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7A838">
      <w:pPr>
        <w:spacing w:line="360" w:lineRule="auto"/>
        <w:jc w:val="center"/>
        <w:rPr>
          <w:rFonts w:ascii="宋体" w:hAnsi="宋体" w:cs="宋体"/>
          <w:b/>
          <w:color w:val="auto"/>
          <w:sz w:val="48"/>
          <w:szCs w:val="48"/>
          <w:highlight w:val="none"/>
        </w:rPr>
      </w:pPr>
    </w:p>
    <w:p w14:paraId="655CE577">
      <w:pPr>
        <w:spacing w:line="360" w:lineRule="auto"/>
        <w:jc w:val="center"/>
        <w:rPr>
          <w:rFonts w:ascii="宋体" w:hAnsi="宋体" w:cs="宋体"/>
          <w:b/>
          <w:color w:val="auto"/>
          <w:sz w:val="48"/>
          <w:szCs w:val="48"/>
          <w:highlight w:val="none"/>
        </w:rPr>
      </w:pPr>
    </w:p>
    <w:p w14:paraId="52C231DF">
      <w:pPr>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昆山市政府采购</w:t>
      </w:r>
    </w:p>
    <w:p w14:paraId="60461CB9">
      <w:pPr>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谈判采购文件</w:t>
      </w:r>
    </w:p>
    <w:p w14:paraId="018E9DF7">
      <w:pPr>
        <w:tabs>
          <w:tab w:val="left" w:pos="0"/>
        </w:tabs>
        <w:spacing w:line="360" w:lineRule="auto"/>
        <w:ind w:left="2446" w:leftChars="400" w:right="840" w:rightChars="400" w:hanging="1606" w:hangingChars="500"/>
        <w:rPr>
          <w:rFonts w:ascii="宋体" w:hAnsi="宋体" w:cs="宋体"/>
          <w:b/>
          <w:color w:val="auto"/>
          <w:sz w:val="32"/>
          <w:highlight w:val="none"/>
        </w:rPr>
      </w:pPr>
    </w:p>
    <w:p w14:paraId="5CBED581">
      <w:pPr>
        <w:tabs>
          <w:tab w:val="left" w:pos="0"/>
        </w:tabs>
        <w:spacing w:line="360" w:lineRule="auto"/>
        <w:ind w:left="2446" w:leftChars="400" w:right="840" w:rightChars="400" w:hanging="1606" w:hangingChars="500"/>
        <w:rPr>
          <w:rFonts w:hint="eastAsia" w:ascii="宋体" w:hAnsi="宋体" w:eastAsia="宋体" w:cs="宋体"/>
          <w:b/>
          <w:color w:val="auto"/>
          <w:sz w:val="32"/>
          <w:highlight w:val="none"/>
          <w:lang w:eastAsia="zh-CN"/>
        </w:rPr>
      </w:pPr>
      <w:r>
        <w:rPr>
          <w:rFonts w:hint="eastAsia" w:ascii="宋体" w:hAnsi="宋体" w:cs="宋体"/>
          <w:b/>
          <w:color w:val="auto"/>
          <w:sz w:val="32"/>
          <w:highlight w:val="none"/>
        </w:rPr>
        <w:t>采购编号：</w:t>
      </w:r>
      <w:r>
        <w:rPr>
          <w:rFonts w:hint="eastAsia" w:ascii="宋体" w:hAnsi="宋体" w:cs="宋体"/>
          <w:b/>
          <w:color w:val="auto"/>
          <w:sz w:val="32"/>
          <w:highlight w:val="none"/>
          <w:lang w:eastAsia="zh-CN"/>
        </w:rPr>
        <w:t>JSZC-320583-CJZB-T2025-0232</w:t>
      </w:r>
    </w:p>
    <w:p w14:paraId="345CF7A8">
      <w:pPr>
        <w:tabs>
          <w:tab w:val="left" w:pos="1701"/>
        </w:tabs>
        <w:spacing w:line="360" w:lineRule="auto"/>
        <w:ind w:left="2446" w:leftChars="400" w:right="840" w:rightChars="400" w:hanging="1606" w:hangingChars="500"/>
        <w:jc w:val="left"/>
        <w:rPr>
          <w:rFonts w:hint="eastAsia" w:ascii="宋体" w:hAnsi="宋体" w:eastAsia="宋体" w:cs="宋体"/>
          <w:b/>
          <w:color w:val="auto"/>
          <w:sz w:val="32"/>
          <w:highlight w:val="none"/>
          <w:lang w:eastAsia="zh-CN"/>
        </w:rPr>
      </w:pPr>
      <w:r>
        <w:rPr>
          <w:rFonts w:hint="eastAsia" w:ascii="宋体" w:hAnsi="宋体" w:cs="宋体"/>
          <w:b/>
          <w:color w:val="auto"/>
          <w:sz w:val="32"/>
          <w:highlight w:val="none"/>
        </w:rPr>
        <w:t>采购内容：</w:t>
      </w:r>
      <w:r>
        <w:rPr>
          <w:rFonts w:hint="eastAsia" w:ascii="宋体" w:hAnsi="宋体" w:cs="宋体"/>
          <w:b/>
          <w:color w:val="auto"/>
          <w:sz w:val="32"/>
          <w:highlight w:val="none"/>
          <w:lang w:eastAsia="zh-CN"/>
        </w:rPr>
        <w:t>激光治疗仪</w:t>
      </w:r>
    </w:p>
    <w:p w14:paraId="3FE1A819">
      <w:pPr>
        <w:tabs>
          <w:tab w:val="left" w:pos="1701"/>
        </w:tabs>
        <w:spacing w:line="360" w:lineRule="auto"/>
        <w:ind w:left="2446" w:leftChars="400" w:right="840" w:rightChars="400" w:hanging="1606" w:hangingChars="500"/>
        <w:jc w:val="left"/>
        <w:rPr>
          <w:rFonts w:ascii="宋体" w:hAnsi="宋体" w:cs="宋体"/>
          <w:b/>
          <w:color w:val="auto"/>
          <w:sz w:val="32"/>
          <w:highlight w:val="none"/>
        </w:rPr>
      </w:pPr>
      <w:r>
        <w:rPr>
          <w:rFonts w:hint="eastAsia" w:ascii="宋体" w:hAnsi="宋体" w:cs="宋体"/>
          <w:b/>
          <w:color w:val="auto"/>
          <w:sz w:val="32"/>
          <w:highlight w:val="none"/>
        </w:rPr>
        <w:t>采 购 人：</w:t>
      </w:r>
      <w:bookmarkStart w:id="0" w:name="OLE_LINK3"/>
      <w:r>
        <w:rPr>
          <w:rFonts w:hint="eastAsia" w:ascii="宋体" w:hAnsi="宋体" w:cs="宋体"/>
          <w:b/>
          <w:color w:val="auto"/>
          <w:sz w:val="32"/>
          <w:highlight w:val="none"/>
        </w:rPr>
        <w:t>昆山市第一人民医院</w:t>
      </w:r>
      <w:bookmarkEnd w:id="0"/>
    </w:p>
    <w:p w14:paraId="6431A241">
      <w:pPr>
        <w:tabs>
          <w:tab w:val="left" w:pos="1701"/>
        </w:tabs>
        <w:spacing w:line="360" w:lineRule="auto"/>
        <w:ind w:left="2446" w:leftChars="400" w:right="840" w:rightChars="400" w:hanging="1606" w:hangingChars="500"/>
        <w:jc w:val="left"/>
        <w:rPr>
          <w:rFonts w:ascii="宋体" w:hAnsi="宋体" w:cs="宋体"/>
          <w:b/>
          <w:color w:val="auto"/>
          <w:sz w:val="32"/>
          <w:highlight w:val="none"/>
        </w:rPr>
      </w:pPr>
      <w:r>
        <w:rPr>
          <w:rFonts w:hint="eastAsia" w:ascii="宋体" w:hAnsi="宋体" w:cs="宋体"/>
          <w:b/>
          <w:color w:val="auto"/>
          <w:sz w:val="32"/>
          <w:highlight w:val="none"/>
        </w:rPr>
        <w:t>采购代理：苏州市创杰招投标咨询服务有限公司</w:t>
      </w:r>
    </w:p>
    <w:p w14:paraId="64BA6A10">
      <w:pPr>
        <w:tabs>
          <w:tab w:val="left" w:pos="1701"/>
        </w:tabs>
        <w:spacing w:line="360" w:lineRule="auto"/>
        <w:ind w:left="2446" w:leftChars="400" w:right="840" w:rightChars="400" w:hanging="1606" w:hangingChars="500"/>
        <w:jc w:val="left"/>
        <w:rPr>
          <w:rFonts w:ascii="宋体" w:hAnsi="宋体" w:cs="宋体"/>
          <w:b/>
          <w:color w:val="auto"/>
          <w:sz w:val="32"/>
          <w:highlight w:val="none"/>
        </w:rPr>
      </w:pPr>
      <w:r>
        <w:rPr>
          <w:rFonts w:hint="eastAsia" w:ascii="宋体" w:hAnsi="宋体" w:cs="宋体"/>
          <w:b/>
          <w:color w:val="auto"/>
          <w:sz w:val="32"/>
          <w:highlight w:val="none"/>
        </w:rPr>
        <w:t>采购类别：货物类</w:t>
      </w:r>
    </w:p>
    <w:p w14:paraId="2595332C">
      <w:pPr>
        <w:tabs>
          <w:tab w:val="left" w:pos="1701"/>
        </w:tabs>
        <w:spacing w:line="360" w:lineRule="auto"/>
        <w:ind w:left="2446" w:leftChars="400" w:right="840" w:rightChars="400" w:hanging="1606" w:hangingChars="500"/>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标的所属行业：工业</w:t>
      </w:r>
    </w:p>
    <w:p w14:paraId="016FC99C">
      <w:pPr>
        <w:spacing w:line="360" w:lineRule="auto"/>
        <w:jc w:val="center"/>
        <w:rPr>
          <w:rFonts w:ascii="宋体" w:hAnsi="宋体" w:cs="宋体"/>
          <w:color w:val="auto"/>
          <w:highlight w:val="none"/>
        </w:rPr>
      </w:pPr>
    </w:p>
    <w:p w14:paraId="636FC03D">
      <w:pPr>
        <w:spacing w:line="360" w:lineRule="auto"/>
        <w:jc w:val="center"/>
        <w:rPr>
          <w:rFonts w:hint="eastAsia" w:ascii="宋体" w:hAnsi="宋体" w:cs="宋体"/>
          <w:color w:val="auto"/>
          <w:highlight w:val="none"/>
        </w:rPr>
      </w:pPr>
    </w:p>
    <w:p w14:paraId="487C5302">
      <w:pPr>
        <w:spacing w:line="360" w:lineRule="auto"/>
        <w:jc w:val="center"/>
        <w:rPr>
          <w:rFonts w:hint="eastAsia" w:ascii="宋体" w:hAnsi="宋体" w:cs="宋体"/>
          <w:color w:val="auto"/>
          <w:highlight w:val="none"/>
        </w:rPr>
      </w:pPr>
    </w:p>
    <w:p w14:paraId="70714D90">
      <w:pPr>
        <w:spacing w:line="360" w:lineRule="auto"/>
        <w:jc w:val="center"/>
        <w:rPr>
          <w:rFonts w:ascii="宋体" w:hAnsi="宋体" w:cs="宋体"/>
          <w:b/>
          <w:color w:val="auto"/>
          <w:sz w:val="32"/>
          <w:highlight w:val="none"/>
        </w:rPr>
      </w:pPr>
      <w:r>
        <w:rPr>
          <w:rFonts w:hint="eastAsia" w:ascii="宋体" w:hAnsi="宋体" w:cs="宋体"/>
          <w:color w:val="auto"/>
          <w:highlight w:val="none"/>
        </w:rPr>
        <w:drawing>
          <wp:inline distT="0" distB="0" distL="0" distR="0">
            <wp:extent cx="1236345" cy="906780"/>
            <wp:effectExtent l="19050" t="0" r="1905" b="0"/>
            <wp:docPr id="4" name="图片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
                    <pic:cNvPicPr>
                      <a:picLocks noChangeAspect="1"/>
                    </pic:cNvPicPr>
                  </pic:nvPicPr>
                  <pic:blipFill>
                    <a:blip r:embed="rId8"/>
                    <a:stretch>
                      <a:fillRect/>
                    </a:stretch>
                  </pic:blipFill>
                  <pic:spPr>
                    <a:xfrm>
                      <a:off x="0" y="0"/>
                      <a:ext cx="1236345" cy="906780"/>
                    </a:xfrm>
                    <a:prstGeom prst="rect">
                      <a:avLst/>
                    </a:prstGeom>
                    <a:noFill/>
                    <a:ln w="9525">
                      <a:noFill/>
                      <a:miter lim="800000"/>
                      <a:headEnd/>
                      <a:tailEnd/>
                    </a:ln>
                  </pic:spPr>
                </pic:pic>
              </a:graphicData>
            </a:graphic>
          </wp:inline>
        </w:drawing>
      </w:r>
    </w:p>
    <w:p w14:paraId="4C370970">
      <w:pPr>
        <w:spacing w:line="360" w:lineRule="auto"/>
        <w:jc w:val="center"/>
        <w:rPr>
          <w:rFonts w:ascii="宋体" w:hAnsi="宋体" w:cs="宋体"/>
          <w:b/>
          <w:color w:val="auto"/>
          <w:sz w:val="30"/>
          <w:szCs w:val="30"/>
          <w:highlight w:val="none"/>
        </w:rPr>
        <w:sectPr>
          <w:headerReference r:id="rId4" w:type="first"/>
          <w:headerReference r:id="rId3" w:type="default"/>
          <w:footerReference r:id="rId5" w:type="default"/>
          <w:footerReference r:id="rId6" w:type="even"/>
          <w:pgSz w:w="11906" w:h="16838"/>
          <w:pgMar w:top="1440" w:right="1417" w:bottom="1440" w:left="1417" w:header="964" w:footer="964" w:gutter="0"/>
          <w:cols w:space="720" w:num="1"/>
          <w:docGrid w:linePitch="360" w:charSpace="0"/>
        </w:sectPr>
      </w:pPr>
      <w:r>
        <w:rPr>
          <w:rFonts w:hint="eastAsia" w:ascii="宋体" w:hAnsi="宋体" w:cs="宋体"/>
          <w:b/>
          <w:color w:val="auto"/>
          <w:sz w:val="30"/>
          <w:szCs w:val="30"/>
          <w:highlight w:val="none"/>
        </w:rPr>
        <w:t>二〇二五年</w:t>
      </w: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月</w:t>
      </w:r>
    </w:p>
    <w:p w14:paraId="5F47DE2F">
      <w:pPr>
        <w:spacing w:line="360" w:lineRule="auto"/>
        <w:jc w:val="center"/>
        <w:rPr>
          <w:rFonts w:ascii="宋体" w:hAnsi="宋体" w:cs="宋体"/>
          <w:b/>
          <w:color w:val="auto"/>
          <w:sz w:val="36"/>
          <w:highlight w:val="none"/>
        </w:rPr>
      </w:pPr>
      <w:r>
        <w:rPr>
          <w:rFonts w:hint="eastAsia" w:ascii="宋体" w:hAnsi="宋体" w:cs="宋体"/>
          <w:b/>
          <w:color w:val="auto"/>
          <w:sz w:val="36"/>
          <w:highlight w:val="none"/>
        </w:rPr>
        <w:t>前附表</w:t>
      </w:r>
    </w:p>
    <w:tbl>
      <w:tblPr>
        <w:tblStyle w:val="43"/>
        <w:tblW w:w="5000" w:type="pct"/>
        <w:jc w:val="center"/>
        <w:tblLayout w:type="fixed"/>
        <w:tblCellMar>
          <w:top w:w="0" w:type="dxa"/>
          <w:left w:w="0" w:type="dxa"/>
          <w:bottom w:w="0" w:type="dxa"/>
          <w:right w:w="0" w:type="dxa"/>
        </w:tblCellMar>
      </w:tblPr>
      <w:tblGrid>
        <w:gridCol w:w="651"/>
        <w:gridCol w:w="1969"/>
        <w:gridCol w:w="6668"/>
      </w:tblGrid>
      <w:tr w14:paraId="60C676A5">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33D4E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3E912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6640D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               容</w:t>
            </w:r>
          </w:p>
        </w:tc>
      </w:tr>
      <w:tr w14:paraId="66E425BA">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A3229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4D06C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项目编号</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86CC5A1">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JSZC-320583-CJZB-T2025-0232</w:t>
            </w:r>
          </w:p>
        </w:tc>
      </w:tr>
      <w:tr w14:paraId="72074EA3">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B27EC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844AA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E0A9078">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激光治疗仪</w:t>
            </w:r>
          </w:p>
        </w:tc>
      </w:tr>
      <w:tr w14:paraId="58F269D8">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D2CC43F">
            <w:pPr>
              <w:tabs>
                <w:tab w:val="left" w:pos="252"/>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B6AC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p w14:paraId="55564A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名称及地址</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85E39A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名称：苏州市创杰招投标咨询服务有限公司</w:t>
            </w:r>
          </w:p>
          <w:p w14:paraId="1C71195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地址：苏州市干将西路399号银海大厦303室</w:t>
            </w:r>
          </w:p>
          <w:p w14:paraId="73E9E1F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联系人：路丽丽  潘莉莉  朱晓芹  庄天扬</w:t>
            </w:r>
          </w:p>
          <w:p w14:paraId="0FFE3773">
            <w:pPr>
              <w:pStyle w:val="42"/>
              <w:spacing w:after="0" w:line="360" w:lineRule="auto"/>
              <w:ind w:left="0" w:firstLine="0"/>
              <w:rPr>
                <w:rFonts w:ascii="宋体" w:hAnsi="宋体" w:cs="宋体"/>
                <w:color w:val="auto"/>
                <w:highlight w:val="none"/>
              </w:rPr>
            </w:pPr>
            <w:r>
              <w:rPr>
                <w:rFonts w:hint="eastAsia" w:ascii="宋体" w:hAnsi="宋体" w:cs="宋体"/>
                <w:color w:val="auto"/>
                <w:szCs w:val="21"/>
                <w:highlight w:val="none"/>
              </w:rPr>
              <w:t>联系电话：0512-65238816</w:t>
            </w:r>
          </w:p>
        </w:tc>
      </w:tr>
      <w:tr w14:paraId="14366F69">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14:paraId="5AD534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B4265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采购单位</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69863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名称：昆山市第一人民医院</w:t>
            </w:r>
          </w:p>
          <w:p w14:paraId="29A18F71">
            <w:pPr>
              <w:spacing w:line="360" w:lineRule="auto"/>
              <w:jc w:val="left"/>
              <w:rPr>
                <w:rFonts w:ascii="宋体" w:hAnsi="宋体" w:cs="宋体"/>
                <w:color w:val="auto"/>
                <w:szCs w:val="21"/>
                <w:highlight w:val="none"/>
              </w:rPr>
            </w:pPr>
            <w:r>
              <w:rPr>
                <w:rFonts w:ascii="宋体" w:hAnsi="宋体" w:cs="宋体"/>
                <w:color w:val="auto"/>
                <w:szCs w:val="21"/>
                <w:highlight w:val="none"/>
              </w:rPr>
              <w:t xml:space="preserve">联系人：昆山市前进东路566号 </w:t>
            </w:r>
          </w:p>
          <w:p w14:paraId="3F469B48">
            <w:pPr>
              <w:spacing w:line="360" w:lineRule="auto"/>
              <w:jc w:val="left"/>
              <w:rPr>
                <w:rFonts w:ascii="宋体" w:hAnsi="宋体" w:cs="宋体"/>
                <w:color w:val="auto"/>
                <w:szCs w:val="21"/>
                <w:highlight w:val="none"/>
              </w:rPr>
            </w:pPr>
            <w:r>
              <w:rPr>
                <w:rFonts w:ascii="宋体" w:hAnsi="宋体" w:cs="宋体"/>
                <w:color w:val="auto"/>
                <w:szCs w:val="21"/>
                <w:highlight w:val="none"/>
              </w:rPr>
              <w:t>联系人：</w:t>
            </w:r>
            <w:r>
              <w:rPr>
                <w:rFonts w:hint="eastAsia" w:ascii="宋体" w:hAnsi="宋体" w:cs="宋体"/>
                <w:color w:val="auto"/>
                <w:szCs w:val="21"/>
                <w:highlight w:val="none"/>
              </w:rPr>
              <w:t>钱自浩</w:t>
            </w:r>
            <w:r>
              <w:rPr>
                <w:rFonts w:ascii="宋体" w:hAnsi="宋体" w:cs="宋体"/>
                <w:color w:val="auto"/>
                <w:szCs w:val="21"/>
                <w:highlight w:val="none"/>
              </w:rPr>
              <w:t xml:space="preserve">     </w:t>
            </w:r>
          </w:p>
          <w:p w14:paraId="2A8F55D1">
            <w:pPr>
              <w:spacing w:line="360" w:lineRule="auto"/>
              <w:jc w:val="left"/>
              <w:rPr>
                <w:rFonts w:ascii="宋体" w:hAnsi="宋体" w:cs="宋体"/>
                <w:color w:val="auto"/>
                <w:szCs w:val="21"/>
                <w:highlight w:val="none"/>
              </w:rPr>
            </w:pPr>
            <w:r>
              <w:rPr>
                <w:rFonts w:ascii="宋体" w:hAnsi="宋体" w:cs="宋体"/>
                <w:color w:val="auto"/>
                <w:szCs w:val="21"/>
                <w:highlight w:val="none"/>
              </w:rPr>
              <w:t>电　话：0512-57027811</w:t>
            </w:r>
          </w:p>
        </w:tc>
      </w:tr>
      <w:tr w14:paraId="5B163223">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2292C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1E060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响应文件组成</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E4742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详见采购文件第二章</w:t>
            </w:r>
          </w:p>
        </w:tc>
      </w:tr>
      <w:tr w14:paraId="6012076F">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DCA06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B1967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谈判保证金</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972A0A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本项目不收取谈判保证金</w:t>
            </w:r>
          </w:p>
        </w:tc>
      </w:tr>
      <w:tr w14:paraId="3AC3E25C">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5CBFF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1A60F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1A9012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响应文件提交截止之日起45天（日历日）</w:t>
            </w:r>
          </w:p>
        </w:tc>
      </w:tr>
      <w:tr w14:paraId="3EA14E24">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4F89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8C478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获取采购文件</w:t>
            </w:r>
          </w:p>
          <w:p w14:paraId="0178C6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5BA5C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自公告发布之日起3个工作日（具体按照本项目政府采购网上采购公告）</w:t>
            </w:r>
          </w:p>
        </w:tc>
      </w:tr>
      <w:tr w14:paraId="4EBD5C27">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4F8A52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B0A94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响应文件网上</w:t>
            </w:r>
          </w:p>
          <w:p w14:paraId="2A0D28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提交截止时间</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1CC19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0分（北京时间）</w:t>
            </w:r>
          </w:p>
          <w:p w14:paraId="106D864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响应文件必须在截止时间前完成提交（上传），逾期提交（上传）的响应文件恕不接受。</w:t>
            </w:r>
          </w:p>
        </w:tc>
      </w:tr>
      <w:tr w14:paraId="254F2408">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BB0FAB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E739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开启时间</w:t>
            </w:r>
          </w:p>
          <w:p w14:paraId="60FFA3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开启地点</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61C700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4245813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“苏采云”系统（网址：</w:t>
            </w:r>
            <w:r>
              <w:rPr>
                <w:color w:val="auto"/>
                <w:highlight w:val="none"/>
              </w:rPr>
              <w:fldChar w:fldCharType="begin"/>
            </w:r>
            <w:r>
              <w:rPr>
                <w:color w:val="auto"/>
                <w:highlight w:val="none"/>
              </w:rPr>
              <w:instrText xml:space="preserve"> HYPERLINK "http://jszfcg.jsczt.cn/" \o "http://jszfcg.jsczt.cn/" </w:instrText>
            </w:r>
            <w:r>
              <w:rPr>
                <w:color w:val="auto"/>
                <w:highlight w:val="none"/>
              </w:rPr>
              <w:fldChar w:fldCharType="separate"/>
            </w:r>
            <w:r>
              <w:rPr>
                <w:rFonts w:hint="eastAsia" w:ascii="宋体" w:hAnsi="宋体" w:cs="宋体"/>
                <w:color w:val="auto"/>
                <w:szCs w:val="21"/>
                <w:highlight w:val="none"/>
              </w:rPr>
              <w:t>http://jszfcg.jsczt.cn/</w: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235966DA">
            <w:pPr>
              <w:spacing w:line="360" w:lineRule="auto"/>
              <w:jc w:val="left"/>
              <w:rPr>
                <w:rFonts w:ascii="宋体" w:hAnsi="宋体" w:cs="宋体"/>
                <w:color w:val="auto"/>
                <w:szCs w:val="21"/>
                <w:highlight w:val="none"/>
              </w:rPr>
            </w:pPr>
            <w:r>
              <w:rPr>
                <w:rFonts w:hint="eastAsia" w:ascii="宋体" w:hAnsi="宋体" w:cs="宋体"/>
                <w:b/>
                <w:color w:val="auto"/>
                <w:szCs w:val="21"/>
                <w:highlight w:val="none"/>
              </w:rPr>
              <w:t>本项目为不见面谈判项目，开启阶段供应商在【供应商解密】环节必须使用 CA证书解密电子响应文件，如在系统规定的解密时间内未能完成解密的视为放弃投标。</w:t>
            </w:r>
          </w:p>
        </w:tc>
      </w:tr>
      <w:tr w14:paraId="0C30CB6D">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2EEBF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504AA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评审时间</w:t>
            </w:r>
          </w:p>
          <w:p w14:paraId="7503AF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评审地点</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D99A7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513B0DD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昆山市前进西路1801号A1栋6楼评标室</w:t>
            </w:r>
          </w:p>
        </w:tc>
      </w:tr>
      <w:tr w14:paraId="01F86F20">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993F8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9BA21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谈判响应</w:t>
            </w:r>
          </w:p>
          <w:p w14:paraId="2CB6B3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文件份数</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DB2588">
            <w:pPr>
              <w:spacing w:line="360" w:lineRule="auto"/>
              <w:rPr>
                <w:rFonts w:ascii="宋体" w:hAnsi="宋体" w:cs="宋体"/>
                <w:color w:val="auto"/>
                <w:highlight w:val="none"/>
              </w:rPr>
            </w:pPr>
            <w:r>
              <w:rPr>
                <w:rFonts w:hint="eastAsia" w:ascii="宋体" w:hAnsi="宋体" w:cs="宋体"/>
                <w:color w:val="auto"/>
                <w:highlight w:val="none"/>
              </w:rPr>
              <w:t>本项目采用电子响应文件，供应商按照采购文件要求制作上传电子响应文件，投标时供应商无需提供纸质响应文件。</w:t>
            </w:r>
          </w:p>
          <w:p w14:paraId="75A7BC1D">
            <w:pPr>
              <w:spacing w:line="360" w:lineRule="auto"/>
              <w:rPr>
                <w:rFonts w:ascii="宋体" w:hAnsi="宋体" w:cs="宋体"/>
                <w:color w:val="auto"/>
                <w:highlight w:val="none"/>
              </w:rPr>
            </w:pPr>
            <w:r>
              <w:rPr>
                <w:rFonts w:hint="eastAsia" w:ascii="宋体" w:hAnsi="宋体" w:cs="宋体"/>
                <w:color w:val="auto"/>
                <w:highlight w:val="none"/>
              </w:rPr>
              <w:t>成交后5个工作日内，成交单位向招标代理机构提供与电子响应文件内容一致的纸质响应文件两份。</w:t>
            </w:r>
          </w:p>
        </w:tc>
      </w:tr>
      <w:tr w14:paraId="1ED520FA">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3924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B386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报价本位币</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D8FE8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人民币  </w:t>
            </w:r>
          </w:p>
        </w:tc>
      </w:tr>
      <w:tr w14:paraId="7D18621D">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DF1E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9736F0">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履约保证金</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9B8B1B">
            <w:pPr>
              <w:spacing w:line="360" w:lineRule="auto"/>
              <w:jc w:val="left"/>
              <w:rPr>
                <w:rFonts w:ascii="宋体" w:hAnsi="宋体" w:cs="宋体"/>
                <w:color w:val="auto"/>
                <w:szCs w:val="21"/>
                <w:highlight w:val="none"/>
              </w:rPr>
            </w:pPr>
            <w:r>
              <w:rPr>
                <w:rFonts w:hint="eastAsia" w:ascii="宋体" w:hAnsi="宋体"/>
                <w:color w:val="auto"/>
                <w:szCs w:val="21"/>
                <w:highlight w:val="none"/>
              </w:rPr>
              <w:t>按照《江苏省财政厅国家金融监管总局江苏监管局江苏省地方金融监督管理局关于在全省政府采购领域推行电子履约保函(保险)的通知》和相关法律法规规定，采购人如向中标(成交)供应商收取履约保证金的，供应商可以以履约保函(保险)的形式代替提供履约保证金。</w:t>
            </w:r>
            <w:r>
              <w:rPr>
                <w:rFonts w:hint="eastAsia" w:ascii="宋体" w:hAnsi="宋体"/>
                <w:b/>
                <w:bCs/>
                <w:color w:val="auto"/>
                <w:szCs w:val="21"/>
                <w:highlight w:val="none"/>
              </w:rPr>
              <w:t>本项目采购人未要求收取履约保证金。</w:t>
            </w:r>
          </w:p>
        </w:tc>
      </w:tr>
      <w:tr w14:paraId="4B85BCF3">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6F888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B09EE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成交通知书</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83F373">
            <w:pPr>
              <w:pStyle w:val="55"/>
              <w:ind w:firstLine="0"/>
              <w:rPr>
                <w:rFonts w:cs="宋体"/>
                <w:color w:val="auto"/>
                <w:sz w:val="21"/>
                <w:szCs w:val="21"/>
                <w:highlight w:val="none"/>
              </w:rPr>
            </w:pPr>
            <w:r>
              <w:rPr>
                <w:rFonts w:hint="eastAsia" w:cs="宋体"/>
                <w:color w:val="auto"/>
                <w:sz w:val="21"/>
                <w:szCs w:val="21"/>
                <w:highlight w:val="none"/>
              </w:rPr>
              <w:t>确定出成交单位后，采购代理机构在法定时间内向成交单位发出成交通知书。成交通知书将成为合同的组成部分。</w:t>
            </w:r>
          </w:p>
          <w:p w14:paraId="675C327D">
            <w:pPr>
              <w:pStyle w:val="55"/>
              <w:ind w:firstLine="0"/>
              <w:rPr>
                <w:rFonts w:cs="宋体"/>
                <w:color w:val="auto"/>
                <w:sz w:val="21"/>
                <w:szCs w:val="21"/>
                <w:highlight w:val="none"/>
              </w:rPr>
            </w:pPr>
            <w:r>
              <w:rPr>
                <w:rFonts w:hint="eastAsia" w:cs="宋体"/>
                <w:b/>
                <w:color w:val="auto"/>
                <w:sz w:val="21"/>
                <w:szCs w:val="21"/>
                <w:highlight w:val="none"/>
              </w:rPr>
              <w:t>请成交单位在成交结果公告届满之日起30日内，使用CA证书登录“苏采云”系统及时下载成交通知书。</w:t>
            </w:r>
          </w:p>
        </w:tc>
      </w:tr>
    </w:tbl>
    <w:p w14:paraId="7FA6621A">
      <w:pPr>
        <w:pageBreakBefore/>
        <w:tabs>
          <w:tab w:val="left" w:pos="315"/>
          <w:tab w:val="center" w:pos="4153"/>
        </w:tabs>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3CB62325">
      <w:pPr>
        <w:tabs>
          <w:tab w:val="left" w:pos="315"/>
          <w:tab w:val="center" w:pos="4153"/>
        </w:tabs>
        <w:spacing w:line="360" w:lineRule="auto"/>
        <w:rPr>
          <w:rFonts w:ascii="宋体" w:hAnsi="宋体" w:cs="宋体"/>
          <w:color w:val="auto"/>
          <w:sz w:val="36"/>
          <w:szCs w:val="36"/>
          <w:highlight w:val="none"/>
        </w:rPr>
      </w:pPr>
    </w:p>
    <w:p w14:paraId="1151DE2D">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第一章、竞争性谈判公告</w:t>
      </w:r>
    </w:p>
    <w:p w14:paraId="23C9CC77">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第二章、谈判供应商须知</w:t>
      </w:r>
    </w:p>
    <w:p w14:paraId="362B2E0B">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第三章、谈判响应文件格式</w:t>
      </w:r>
    </w:p>
    <w:p w14:paraId="74A94BAF">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第四章、谈判采购内容</w:t>
      </w:r>
    </w:p>
    <w:p w14:paraId="103613C6">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第五章、合同主要条款</w:t>
      </w:r>
    </w:p>
    <w:p w14:paraId="0B4A343C">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第六章、评审办法</w:t>
      </w:r>
    </w:p>
    <w:p w14:paraId="5B4E9E32">
      <w:pPr>
        <w:tabs>
          <w:tab w:val="left" w:pos="315"/>
          <w:tab w:val="center" w:pos="4153"/>
        </w:tabs>
        <w:spacing w:line="360" w:lineRule="auto"/>
        <w:jc w:val="center"/>
        <w:outlineLvl w:val="0"/>
        <w:rPr>
          <w:rFonts w:ascii="宋体" w:hAnsi="宋体" w:cs="宋体"/>
          <w:b/>
          <w:color w:val="auto"/>
          <w:sz w:val="32"/>
          <w:szCs w:val="32"/>
          <w:highlight w:val="none"/>
        </w:rPr>
      </w:pPr>
    </w:p>
    <w:p w14:paraId="54284FF1">
      <w:pPr>
        <w:tabs>
          <w:tab w:val="left" w:pos="315"/>
          <w:tab w:val="center" w:pos="4153"/>
        </w:tabs>
        <w:spacing w:line="360" w:lineRule="auto"/>
        <w:jc w:val="center"/>
        <w:outlineLvl w:val="0"/>
        <w:rPr>
          <w:rFonts w:ascii="宋体" w:hAnsi="宋体" w:cs="宋体"/>
          <w:b/>
          <w:color w:val="auto"/>
          <w:sz w:val="32"/>
          <w:szCs w:val="32"/>
          <w:highlight w:val="none"/>
        </w:rPr>
      </w:pPr>
    </w:p>
    <w:p w14:paraId="3D65C9B5">
      <w:pPr>
        <w:tabs>
          <w:tab w:val="left" w:pos="315"/>
          <w:tab w:val="center" w:pos="4153"/>
        </w:tabs>
        <w:spacing w:line="360" w:lineRule="auto"/>
        <w:jc w:val="center"/>
        <w:outlineLvl w:val="0"/>
        <w:rPr>
          <w:rFonts w:ascii="宋体" w:hAnsi="宋体" w:cs="宋体"/>
          <w:b/>
          <w:color w:val="auto"/>
          <w:sz w:val="32"/>
          <w:szCs w:val="32"/>
          <w:highlight w:val="none"/>
        </w:rPr>
      </w:pPr>
    </w:p>
    <w:p w14:paraId="123011C4">
      <w:pPr>
        <w:tabs>
          <w:tab w:val="left" w:pos="315"/>
          <w:tab w:val="center" w:pos="4153"/>
        </w:tabs>
        <w:spacing w:line="360" w:lineRule="auto"/>
        <w:jc w:val="center"/>
        <w:outlineLvl w:val="0"/>
        <w:rPr>
          <w:rFonts w:ascii="宋体" w:hAnsi="宋体" w:cs="宋体"/>
          <w:b/>
          <w:color w:val="auto"/>
          <w:sz w:val="32"/>
          <w:szCs w:val="32"/>
          <w:highlight w:val="none"/>
        </w:rPr>
      </w:pPr>
    </w:p>
    <w:p w14:paraId="78A3CA64">
      <w:pPr>
        <w:tabs>
          <w:tab w:val="left" w:pos="315"/>
          <w:tab w:val="center" w:pos="4153"/>
        </w:tabs>
        <w:spacing w:line="360" w:lineRule="auto"/>
        <w:jc w:val="center"/>
        <w:outlineLvl w:val="0"/>
        <w:rPr>
          <w:rFonts w:ascii="宋体" w:hAnsi="宋体" w:cs="宋体"/>
          <w:b/>
          <w:color w:val="auto"/>
          <w:sz w:val="32"/>
          <w:szCs w:val="32"/>
          <w:highlight w:val="none"/>
        </w:rPr>
      </w:pPr>
    </w:p>
    <w:p w14:paraId="2E2CC4CC">
      <w:pPr>
        <w:tabs>
          <w:tab w:val="left" w:pos="315"/>
          <w:tab w:val="center" w:pos="4153"/>
        </w:tabs>
        <w:spacing w:line="360" w:lineRule="auto"/>
        <w:jc w:val="center"/>
        <w:outlineLvl w:val="0"/>
        <w:rPr>
          <w:rFonts w:ascii="宋体" w:hAnsi="宋体" w:cs="宋体"/>
          <w:b/>
          <w:color w:val="auto"/>
          <w:sz w:val="32"/>
          <w:szCs w:val="32"/>
          <w:highlight w:val="none"/>
        </w:rPr>
      </w:pPr>
    </w:p>
    <w:p w14:paraId="51F8DF0F">
      <w:pPr>
        <w:tabs>
          <w:tab w:val="left" w:pos="315"/>
          <w:tab w:val="center" w:pos="4153"/>
        </w:tabs>
        <w:spacing w:line="360" w:lineRule="auto"/>
        <w:jc w:val="center"/>
        <w:outlineLvl w:val="0"/>
        <w:rPr>
          <w:rFonts w:ascii="宋体" w:hAnsi="宋体" w:cs="宋体"/>
          <w:b/>
          <w:color w:val="auto"/>
          <w:sz w:val="32"/>
          <w:szCs w:val="32"/>
          <w:highlight w:val="none"/>
        </w:rPr>
      </w:pPr>
    </w:p>
    <w:p w14:paraId="2D89420E">
      <w:pPr>
        <w:tabs>
          <w:tab w:val="left" w:pos="315"/>
          <w:tab w:val="center" w:pos="4153"/>
        </w:tabs>
        <w:spacing w:line="360" w:lineRule="auto"/>
        <w:jc w:val="center"/>
        <w:outlineLvl w:val="0"/>
        <w:rPr>
          <w:rFonts w:ascii="宋体" w:hAnsi="宋体" w:cs="宋体"/>
          <w:b/>
          <w:color w:val="auto"/>
          <w:sz w:val="32"/>
          <w:szCs w:val="32"/>
          <w:highlight w:val="none"/>
        </w:rPr>
      </w:pPr>
    </w:p>
    <w:p w14:paraId="47B3D26E">
      <w:pPr>
        <w:tabs>
          <w:tab w:val="left" w:pos="315"/>
          <w:tab w:val="center" w:pos="4153"/>
        </w:tabs>
        <w:spacing w:line="360" w:lineRule="auto"/>
        <w:jc w:val="center"/>
        <w:outlineLvl w:val="0"/>
        <w:rPr>
          <w:rFonts w:ascii="宋体" w:hAnsi="宋体" w:cs="宋体"/>
          <w:b/>
          <w:color w:val="auto"/>
          <w:sz w:val="32"/>
          <w:szCs w:val="32"/>
          <w:highlight w:val="none"/>
        </w:rPr>
      </w:pPr>
    </w:p>
    <w:p w14:paraId="04649D20">
      <w:pPr>
        <w:tabs>
          <w:tab w:val="left" w:pos="315"/>
          <w:tab w:val="center" w:pos="4153"/>
        </w:tabs>
        <w:spacing w:line="360" w:lineRule="auto"/>
        <w:jc w:val="center"/>
        <w:outlineLvl w:val="0"/>
        <w:rPr>
          <w:rFonts w:ascii="宋体" w:hAnsi="宋体" w:cs="宋体"/>
          <w:b/>
          <w:color w:val="auto"/>
          <w:sz w:val="32"/>
          <w:szCs w:val="32"/>
          <w:highlight w:val="none"/>
        </w:rPr>
      </w:pPr>
    </w:p>
    <w:p w14:paraId="08EBEF46">
      <w:pPr>
        <w:tabs>
          <w:tab w:val="left" w:pos="315"/>
          <w:tab w:val="center" w:pos="4153"/>
        </w:tabs>
        <w:spacing w:line="360" w:lineRule="auto"/>
        <w:jc w:val="center"/>
        <w:outlineLvl w:val="0"/>
        <w:rPr>
          <w:rFonts w:ascii="宋体" w:hAnsi="宋体" w:cs="宋体"/>
          <w:b/>
          <w:color w:val="auto"/>
          <w:sz w:val="32"/>
          <w:szCs w:val="32"/>
          <w:highlight w:val="none"/>
        </w:rPr>
      </w:pPr>
    </w:p>
    <w:p w14:paraId="1E9D5CF3">
      <w:pPr>
        <w:tabs>
          <w:tab w:val="left" w:pos="315"/>
          <w:tab w:val="center" w:pos="4153"/>
        </w:tabs>
        <w:spacing w:line="360" w:lineRule="auto"/>
        <w:jc w:val="center"/>
        <w:outlineLvl w:val="0"/>
        <w:rPr>
          <w:rFonts w:ascii="宋体" w:hAnsi="宋体" w:cs="宋体"/>
          <w:b/>
          <w:color w:val="auto"/>
          <w:sz w:val="32"/>
          <w:szCs w:val="32"/>
          <w:highlight w:val="none"/>
        </w:rPr>
      </w:pPr>
    </w:p>
    <w:p w14:paraId="3ACAD5C6">
      <w:pPr>
        <w:tabs>
          <w:tab w:val="left" w:pos="315"/>
          <w:tab w:val="center" w:pos="4153"/>
        </w:tabs>
        <w:spacing w:line="360" w:lineRule="auto"/>
        <w:jc w:val="center"/>
        <w:outlineLvl w:val="0"/>
        <w:rPr>
          <w:rFonts w:ascii="宋体" w:hAnsi="宋体" w:cs="宋体"/>
          <w:b/>
          <w:color w:val="auto"/>
          <w:sz w:val="32"/>
          <w:szCs w:val="32"/>
          <w:highlight w:val="none"/>
        </w:rPr>
      </w:pPr>
    </w:p>
    <w:p w14:paraId="5477FA06">
      <w:pPr>
        <w:tabs>
          <w:tab w:val="left" w:pos="315"/>
          <w:tab w:val="center" w:pos="4153"/>
        </w:tabs>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一、竞争性谈判公告</w:t>
      </w:r>
    </w:p>
    <w:p w14:paraId="5329EBF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45AF601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激光治疗仪</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苏采云系统</w:t>
      </w:r>
      <w:r>
        <w:rPr>
          <w:rFonts w:hint="eastAsia" w:ascii="宋体" w:hAnsi="宋体" w:cs="宋体"/>
          <w:color w:val="auto"/>
          <w:szCs w:val="21"/>
          <w:highlight w:val="none"/>
        </w:rPr>
        <w:t>获取采购文件，并于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日1</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点30分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2785F4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7B52396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JSZC-320583-CJZB-T2025-0232</w:t>
      </w:r>
    </w:p>
    <w:p w14:paraId="66A7A52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激光治疗仪</w:t>
      </w:r>
    </w:p>
    <w:p w14:paraId="72002C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3.采购方式：竞争性谈判</w:t>
      </w:r>
    </w:p>
    <w:p w14:paraId="16D34A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4.预算金额：人民币</w:t>
      </w:r>
      <w:r>
        <w:rPr>
          <w:rFonts w:hint="eastAsia" w:ascii="宋体" w:hAnsi="宋体" w:cs="宋体"/>
          <w:color w:val="auto"/>
          <w:szCs w:val="21"/>
          <w:highlight w:val="none"/>
          <w:lang w:val="en-US" w:eastAsia="zh-CN"/>
        </w:rPr>
        <w:t>壹佰陆拾</w:t>
      </w:r>
      <w:r>
        <w:rPr>
          <w:rFonts w:hint="eastAsia" w:ascii="宋体" w:hAnsi="宋体" w:cs="宋体"/>
          <w:color w:val="auto"/>
          <w:szCs w:val="21"/>
          <w:highlight w:val="none"/>
        </w:rPr>
        <w:t>万元整（¥：</w:t>
      </w:r>
      <w:r>
        <w:rPr>
          <w:rFonts w:hint="eastAsia" w:ascii="宋体" w:hAnsi="宋体" w:cs="宋体"/>
          <w:color w:val="auto"/>
          <w:szCs w:val="21"/>
          <w:highlight w:val="none"/>
          <w:lang w:val="en-US" w:eastAsia="zh-CN"/>
        </w:rPr>
        <w:t>160</w:t>
      </w:r>
      <w:r>
        <w:rPr>
          <w:rFonts w:hint="eastAsia" w:ascii="宋体" w:hAnsi="宋体" w:cs="宋体"/>
          <w:color w:val="auto"/>
          <w:szCs w:val="21"/>
          <w:highlight w:val="none"/>
        </w:rPr>
        <w:t>0000.00）</w:t>
      </w:r>
    </w:p>
    <w:p w14:paraId="0E298F34">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无</w:t>
      </w:r>
    </w:p>
    <w:p w14:paraId="0C1A70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w:t>
      </w:r>
      <w:r>
        <w:rPr>
          <w:rFonts w:hint="eastAsia" w:ascii="宋体" w:hAnsi="宋体" w:cs="宋体"/>
          <w:color w:val="auto"/>
          <w:szCs w:val="21"/>
          <w:highlight w:val="none"/>
          <w:lang w:eastAsia="zh-CN"/>
        </w:rPr>
        <w:t>激光治疗仪</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p w14:paraId="6DD2B6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6.合同履行期限：自收到采购单位通知后30天内交货及安装、调试完成；免费质保期为验收合格之日起</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年（原厂）。</w:t>
      </w:r>
    </w:p>
    <w:p w14:paraId="22AE8EBF">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7.本项目</w:t>
      </w:r>
      <w:r>
        <w:rPr>
          <w:rFonts w:hint="eastAsia" w:ascii="宋体" w:hAnsi="宋体" w:cs="宋体"/>
          <w:color w:val="auto"/>
          <w:szCs w:val="21"/>
          <w:highlight w:val="none"/>
          <w:u w:val="single"/>
        </w:rPr>
        <w:t>不</w:t>
      </w:r>
      <w:r>
        <w:rPr>
          <w:rFonts w:hint="eastAsia" w:ascii="宋体" w:hAnsi="宋体" w:cs="宋体"/>
          <w:color w:val="auto"/>
          <w:szCs w:val="21"/>
          <w:highlight w:val="none"/>
        </w:rPr>
        <w:t>接受联合体。</w:t>
      </w:r>
    </w:p>
    <w:p w14:paraId="3F2D7D9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699DB5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满足《中华人民共和国政府采购法》第二十二条规定：</w:t>
      </w:r>
    </w:p>
    <w:p w14:paraId="2FD21D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2D66C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E003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0541A6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1F0B7F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0F36F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10DE7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落实政府采购政策需满足的资格要求：根据《政府采购促进中小企业发展管理办法》的相关规定，</w:t>
      </w:r>
      <w:r>
        <w:rPr>
          <w:rFonts w:hint="eastAsia" w:ascii="宋体" w:hAnsi="宋体" w:cs="宋体"/>
          <w:b/>
          <w:bCs/>
          <w:color w:val="auto"/>
          <w:szCs w:val="21"/>
          <w:highlight w:val="none"/>
        </w:rPr>
        <w:t>本项目专门面向中小企业采购，所属行业为工业</w:t>
      </w:r>
      <w:r>
        <w:rPr>
          <w:rFonts w:hint="eastAsia" w:ascii="宋体" w:hAnsi="宋体" w:cs="宋体"/>
          <w:color w:val="auto"/>
          <w:szCs w:val="21"/>
          <w:highlight w:val="none"/>
        </w:rPr>
        <w:t>。</w:t>
      </w:r>
    </w:p>
    <w:p w14:paraId="70C730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 xml:space="preserve">本项目的特定资格要求： </w:t>
      </w:r>
    </w:p>
    <w:p w14:paraId="3D7DA3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未被列入失信被执行人、重大税收违法案件当事人名单、政府采购严重失信行为记录名单；</w:t>
      </w:r>
    </w:p>
    <w:p w14:paraId="2B076D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0F9155B5">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cs="宋体"/>
          <w:color w:val="auto"/>
          <w:szCs w:val="21"/>
          <w:highlight w:val="none"/>
        </w:rPr>
        <w:t>法人的分支机构不得参加投标(除银行、保险、石油石化、电力、电信等行业特殊情况外)</w:t>
      </w:r>
      <w:r>
        <w:rPr>
          <w:rFonts w:hint="eastAsia" w:ascii="宋体" w:hAnsi="宋体" w:cs="宋体"/>
          <w:color w:val="auto"/>
          <w:szCs w:val="21"/>
          <w:highlight w:val="none"/>
          <w:lang w:eastAsia="zh-CN"/>
        </w:rPr>
        <w:t>。</w:t>
      </w:r>
    </w:p>
    <w:p w14:paraId="12DD4D0E">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其他特定资格要求：</w:t>
      </w:r>
    </w:p>
    <w:p w14:paraId="5DCF2895">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.1响应单位具有与所投产品相对应的医疗器械生产或经营(许可)资格。</w:t>
      </w:r>
    </w:p>
    <w:p w14:paraId="32705F6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三、获取采购文件</w:t>
      </w:r>
    </w:p>
    <w:p w14:paraId="53950236">
      <w:pPr>
        <w:spacing w:line="360" w:lineRule="auto"/>
        <w:ind w:firstLine="420" w:firstLineChars="200"/>
        <w:rPr>
          <w:rFonts w:ascii="宋体" w:hAnsi="宋体" w:cs="宋体"/>
          <w:color w:val="auto"/>
          <w:szCs w:val="21"/>
          <w:highlight w:val="none"/>
          <w:shd w:val="clear" w:color="auto" w:fill="FFFFFF"/>
        </w:rPr>
      </w:pPr>
      <w:bookmarkStart w:id="1" w:name="_Toc35393624"/>
      <w:bookmarkStart w:id="2" w:name="_Toc28359082"/>
      <w:bookmarkStart w:id="3" w:name="_Toc28359005"/>
      <w:bookmarkStart w:id="4" w:name="_Toc35393793"/>
      <w:r>
        <w:rPr>
          <w:rFonts w:hint="eastAsia" w:ascii="宋体" w:hAnsi="宋体" w:cs="宋体"/>
          <w:color w:val="auto"/>
          <w:szCs w:val="21"/>
          <w:highlight w:val="none"/>
          <w:shd w:val="clear" w:color="auto" w:fill="FFFFFF"/>
        </w:rPr>
        <w:t>1.时间：自公告发布之日起3个工作日（具体按照本项目政府采购网上采购公告）</w:t>
      </w:r>
    </w:p>
    <w:p w14:paraId="024C4649">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2.地点：苏采云系统自行下载</w:t>
      </w:r>
    </w:p>
    <w:p w14:paraId="0FD17ACD">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3.方式：</w:t>
      </w:r>
    </w:p>
    <w:p w14:paraId="3EF5F196">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（1）CA证书办理</w:t>
      </w:r>
    </w:p>
    <w:p w14:paraId="2ED88BEE">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w:t>
      </w:r>
      <w:r>
        <w:rPr>
          <w:rFonts w:hint="eastAsia" w:ascii="宋体" w:hAnsi="宋体" w:cs="宋体"/>
          <w:b/>
          <w:bCs/>
          <w:color w:val="auto"/>
          <w:szCs w:val="21"/>
          <w:highlight w:val="none"/>
          <w:shd w:val="clear" w:color="auto" w:fill="FFFFFF"/>
        </w:rPr>
        <w:t>“苏采云”系统目前仅支持“苏采云”系统下的政务CA证书，江苏省内各地区办理的“苏采云”系统下的政务CA证书全省通用。</w:t>
      </w:r>
      <w:r>
        <w:rPr>
          <w:rFonts w:hint="eastAsia" w:ascii="宋体" w:hAnsi="宋体" w:cs="宋体"/>
          <w:color w:val="auto"/>
          <w:szCs w:val="21"/>
          <w:highlight w:val="none"/>
          <w:shd w:val="clear" w:color="auto" w:fill="FFFFFF"/>
        </w:rPr>
        <w:t>苏州现场办理地址：苏州市姑苏区平泷路251号政务服务中心4楼公共交易中心窗口，咨询电话：0512-69820834。</w:t>
      </w:r>
    </w:p>
    <w:p w14:paraId="15DB116E">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（2）参与采购活动</w:t>
      </w:r>
    </w:p>
    <w:p w14:paraId="73CF2134">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插入CA证书登录“苏采云”系统后选择具体项目，点击“我要参与”并签章提交《投标供应商确认函》，提交《投标供应商确认函》日期视同为依法获取采购文件日期。供应商须打印、保留《投标供应商确认函》，质疑时《投标供应商确认函》与质疑函一并提交；未依照采购公告要求提交《投标供应商确认函》的供应商，视为未参与该项政府采购活动，不具备对该政府采购项目提出质疑的法定权利，但因供应商资格条件或获取采购文件时间设定不符合有关法律法规规定等原因使供应商权益受损的除外。</w:t>
      </w:r>
    </w:p>
    <w:p w14:paraId="30B62152">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（3）电子投标准备</w:t>
      </w:r>
    </w:p>
    <w:p w14:paraId="69CE9D28">
      <w:pPr>
        <w:spacing w:line="360" w:lineRule="auto"/>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供应商在“苏采云”系统中操作参与项目后，必须在“已参与项目”界面中下载电子采购文件（后缀名为“.kedt”）并导入政府采购客户端工具后方可进行响应文件制作和提交</w:t>
      </w:r>
      <w:r>
        <w:rPr>
          <w:rFonts w:hint="eastAsia" w:ascii="宋体" w:hAnsi="宋体" w:cs="宋体"/>
          <w:b/>
          <w:bCs/>
          <w:color w:val="auto"/>
          <w:szCs w:val="21"/>
          <w:highlight w:val="none"/>
          <w:shd w:val="clear" w:color="auto" w:fill="FFFFFF"/>
        </w:rPr>
        <w:t>（具体详见《苏采云系统供应商操作手册》，网址链接https://czju.suzhou.gov.cn/zfcg/html/content/20231220161910031.shtml）</w:t>
      </w:r>
      <w:r>
        <w:rPr>
          <w:rFonts w:hint="eastAsia" w:ascii="宋体" w:hAnsi="宋体" w:cs="宋体"/>
          <w:color w:val="auto"/>
          <w:szCs w:val="21"/>
          <w:highlight w:val="none"/>
          <w:shd w:val="clear" w:color="auto" w:fill="FFFFFF"/>
        </w:rPr>
        <w:t>。在系统操作过程中如有疑问，请按以下方式联系：</w:t>
      </w:r>
    </w:p>
    <w:p w14:paraId="556494E5">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注册咨询：18261002950；</w:t>
      </w:r>
    </w:p>
    <w:p w14:paraId="49AAC62A">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CA技术咨询电话：400-608-6099；</w:t>
      </w:r>
    </w:p>
    <w:p w14:paraId="7B893FB2">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签章使用问题：025-83633811、025-83633812、15380932027、15371015030；</w:t>
      </w:r>
    </w:p>
    <w:p w14:paraId="58115B3C">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系统使用指导与咨询：联系电话：18261002950；QQ：3048755361、1315179389、895706745。</w:t>
      </w:r>
    </w:p>
    <w:p w14:paraId="66A0418D">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4.售价：免费。</w:t>
      </w:r>
      <w:bookmarkEnd w:id="1"/>
      <w:bookmarkEnd w:id="2"/>
      <w:bookmarkEnd w:id="3"/>
      <w:bookmarkEnd w:id="4"/>
    </w:p>
    <w:p w14:paraId="7E687C9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四、响应文件提交</w:t>
      </w:r>
    </w:p>
    <w:p w14:paraId="095538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递交响应文件截止时间</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5F429D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2.地点：“苏采云”系统（网址：http://jszfcg.jsczt.cn/）。响应文件网上递交，不需要现场参加采购活动。</w:t>
      </w:r>
    </w:p>
    <w:p w14:paraId="37A352F9">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3.本项目采用电子招投标形式，请</w:t>
      </w:r>
      <w:r>
        <w:rPr>
          <w:rFonts w:hint="eastAsia" w:ascii="宋体" w:hAnsi="宋体" w:cs="宋体"/>
          <w:bCs/>
          <w:color w:val="auto"/>
          <w:szCs w:val="21"/>
          <w:highlight w:val="none"/>
        </w:rPr>
        <w:t>供应商按照《苏采云系统供应商操作手册》进行制作、上传电子响应文件。电子响应文件制作完成后请于响应文件递交截止时间前成功上传至“苏采云”系统，否则视为放弃参加该采购项目。</w:t>
      </w:r>
      <w:r>
        <w:rPr>
          <w:rFonts w:hint="eastAsia" w:ascii="宋体" w:hAnsi="宋体" w:cs="宋体"/>
          <w:b/>
          <w:bCs/>
          <w:color w:val="auto"/>
          <w:szCs w:val="21"/>
          <w:highlight w:val="none"/>
        </w:rPr>
        <w:t>供应商应充分考虑到网络环境、网络带宽等风险因素，如因供应商自身原因造成的电子响应文件上传不成功由供应商自行承担全部责任。</w:t>
      </w:r>
    </w:p>
    <w:p w14:paraId="2ABA3C8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五、开启</w:t>
      </w:r>
    </w:p>
    <w:p w14:paraId="6CBEB9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1.时间：2025年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bookmarkStart w:id="5" w:name="_GoBack"/>
      <w:bookmarkEnd w:id="5"/>
      <w:r>
        <w:rPr>
          <w:rFonts w:hint="eastAsia" w:ascii="宋体" w:hAnsi="宋体" w:cs="宋体"/>
          <w:color w:val="auto"/>
          <w:szCs w:val="21"/>
          <w:highlight w:val="none"/>
        </w:rPr>
        <w:t>点30分（北京时间）</w:t>
      </w:r>
    </w:p>
    <w:p w14:paraId="53BF81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2.地点：“苏采云”系统（网址：http://jszfcg.jsczt.cn/）</w:t>
      </w:r>
    </w:p>
    <w:p w14:paraId="1A95C3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3.线上参加开标（开启）会方式：供应商登录“苏采云”系统在平台首页点击“开标大厅”，进入江苏省政府采购一体化不见面开标（采购）大厅，在今日项目列表，点击项目，进入不见面开标系统。</w:t>
      </w:r>
      <w:r>
        <w:rPr>
          <w:rFonts w:hint="eastAsia" w:ascii="宋体" w:hAnsi="宋体" w:cs="宋体"/>
          <w:b/>
          <w:bCs/>
          <w:color w:val="auto"/>
          <w:szCs w:val="21"/>
          <w:highlight w:val="none"/>
        </w:rPr>
        <w:t>本项目为不见面谈判项目，</w:t>
      </w:r>
      <w:r>
        <w:rPr>
          <w:rFonts w:hint="eastAsia" w:ascii="宋体" w:hAnsi="宋体" w:cs="宋体"/>
          <w:b/>
          <w:color w:val="auto"/>
          <w:szCs w:val="21"/>
          <w:highlight w:val="none"/>
        </w:rPr>
        <w:t>开启阶段供应商在【供应商解密】环节必须使用 CA证书解密电子响应文件，如在系统规定的解密时间内未能完成解密的视为放弃参与本项目</w:t>
      </w:r>
      <w:r>
        <w:rPr>
          <w:rFonts w:hint="eastAsia" w:ascii="宋体" w:hAnsi="宋体" w:cs="宋体"/>
          <w:b/>
          <w:bCs/>
          <w:color w:val="auto"/>
          <w:szCs w:val="21"/>
          <w:highlight w:val="none"/>
        </w:rPr>
        <w:t>。</w:t>
      </w:r>
    </w:p>
    <w:p w14:paraId="1838588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请供应商确保电脑、系统及其他设备（视频输入输出设备等）无误，且开启直至项目结束始终保持系统在线状态。</w:t>
      </w:r>
    </w:p>
    <w:p w14:paraId="4B9A07B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六、公告期限</w:t>
      </w:r>
    </w:p>
    <w:p w14:paraId="3AFD23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自本公告发布之日起3个工作日。</w:t>
      </w:r>
    </w:p>
    <w:p w14:paraId="5C49F51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14:paraId="625711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1.本项目支持政府采购合同信用融资。</w:t>
      </w:r>
    </w:p>
    <w:p w14:paraId="418ECC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2.本次采购的相关信息刊登在苏州政府采购网、江苏政府采购网。</w:t>
      </w:r>
    </w:p>
    <w:p w14:paraId="1EB738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3.昆山市财政局监督电话：0512-57310854。</w:t>
      </w:r>
    </w:p>
    <w:p w14:paraId="2FB838D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八、凡对本次采购提出询问，请按以下方式联系。</w:t>
      </w:r>
    </w:p>
    <w:p w14:paraId="540E67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68DAD42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Arial"/>
          <w:color w:val="auto"/>
          <w:szCs w:val="21"/>
          <w:highlight w:val="none"/>
        </w:rPr>
        <w:t>昆山市第一人民医院</w:t>
      </w:r>
    </w:p>
    <w:p w14:paraId="0D5152A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地    址：昆山市前进东路566号 </w:t>
      </w:r>
    </w:p>
    <w:p w14:paraId="1F69CD4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联系人：钱自浩</w:t>
      </w:r>
    </w:p>
    <w:p w14:paraId="5CFBA7C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话：0512-57027811</w:t>
      </w:r>
    </w:p>
    <w:p w14:paraId="01BAE7F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25E1BB3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称：苏州市创杰招投标咨询服务有限公司</w:t>
      </w:r>
    </w:p>
    <w:p w14:paraId="4F26A87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址：苏州市干将西路399号银海大厦303室</w:t>
      </w:r>
    </w:p>
    <w:p w14:paraId="56D4411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联系人：路丽丽  潘莉莉   朱晓芹 庄天扬</w:t>
      </w:r>
    </w:p>
    <w:p w14:paraId="66A418F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话：0512-65238816</w:t>
      </w:r>
    </w:p>
    <w:p w14:paraId="453B2F2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4485E69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项目联系人：路丽丽</w:t>
      </w:r>
    </w:p>
    <w:p w14:paraId="7F5BAF8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话：0512-65238816</w:t>
      </w:r>
    </w:p>
    <w:p w14:paraId="4EABAA8B">
      <w:pPr>
        <w:pStyle w:val="54"/>
        <w:rPr>
          <w:color w:val="auto"/>
          <w:highlight w:val="none"/>
        </w:rPr>
      </w:pPr>
    </w:p>
    <w:p w14:paraId="61088B69">
      <w:pPr>
        <w:pageBreakBefore/>
        <w:tabs>
          <w:tab w:val="left" w:pos="315"/>
          <w:tab w:val="center" w:pos="4153"/>
        </w:tabs>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第二章、谈判供应商须知</w:t>
      </w:r>
    </w:p>
    <w:p w14:paraId="2FBBED1C">
      <w:pPr>
        <w:spacing w:line="360" w:lineRule="auto"/>
        <w:ind w:firstLine="420" w:firstLineChars="200"/>
        <w:rPr>
          <w:rFonts w:ascii="宋体" w:hAnsi="宋体" w:cs="宋体"/>
          <w:color w:val="auto"/>
          <w:szCs w:val="21"/>
          <w:highlight w:val="none"/>
        </w:rPr>
      </w:pPr>
    </w:p>
    <w:p w14:paraId="7DF7B74F">
      <w:pPr>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1.说明</w:t>
      </w:r>
    </w:p>
    <w:p w14:paraId="4358EE22">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1.1本谈判采购文件仅适用于苏州市创杰招投标咨询服务有限公司组织的采购活动。</w:t>
      </w:r>
    </w:p>
    <w:p w14:paraId="7EE0C38F">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1.2本次采购活动及因本次采购产生的合同受中国法律制约和保护。</w:t>
      </w:r>
    </w:p>
    <w:p w14:paraId="698FCA38">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1.3本谈判采购文件的解释权属于苏州市创杰招投标咨询服务有限公司。</w:t>
      </w:r>
    </w:p>
    <w:p w14:paraId="79602416">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2.词语释义</w:t>
      </w:r>
    </w:p>
    <w:p w14:paraId="7CDB3C2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2.1谈判采购单位：具体组织实施谈判采购活动的法人或由法人企业授权的分公司；</w:t>
      </w:r>
    </w:p>
    <w:p w14:paraId="477F2D4F">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2.2谈判供应商：响应谈判并且符合谈判采购文件规定资格条件和参加投标竞争的法人、其他组织或者自然人。</w:t>
      </w:r>
    </w:p>
    <w:p w14:paraId="6A522AA4">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2.3响应：谈判供应商根据谈判采购单位发布的谈判采购文件，编制谈判响应文件并按规定参与谈判的行为。</w:t>
      </w:r>
    </w:p>
    <w:p w14:paraId="6BFB083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2.4合同：采供双方根据谈判采购文件和成交的谈判响应文件及成交通知书规定的内容签署的以书面形式所达成的协议，包括所有的附件、附录和构成协议的所有文件。</w:t>
      </w:r>
    </w:p>
    <w:p w14:paraId="013BAE9B">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2.5甲方（采购方）：合同中明确规定的实际购买货物和服务的法人或其他组织和自然人。</w:t>
      </w:r>
    </w:p>
    <w:p w14:paraId="69481FE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2.6乙方（供应商）：合同中规定地向采购方提供货物和服务的法人或其他组织和自然人。</w:t>
      </w:r>
    </w:p>
    <w:p w14:paraId="69D35A76">
      <w:pPr>
        <w:spacing w:line="360" w:lineRule="auto"/>
        <w:ind w:right="62" w:firstLine="480"/>
        <w:rPr>
          <w:rFonts w:ascii="宋体" w:hAnsi="宋体" w:cs="宋体"/>
          <w:color w:val="auto"/>
          <w:szCs w:val="21"/>
          <w:highlight w:val="none"/>
        </w:rPr>
      </w:pPr>
      <w:r>
        <w:rPr>
          <w:rFonts w:hint="eastAsia" w:ascii="宋体" w:hAnsi="宋体" w:cs="宋体"/>
          <w:color w:val="auto"/>
          <w:szCs w:val="21"/>
          <w:highlight w:val="none"/>
        </w:rPr>
        <w:t>2.7货物：系指乙方按谈判采购文件规定，应向甲方提供的一切设备、备品、备件、工具、手册及其他有关技术资料和材料。</w:t>
      </w:r>
    </w:p>
    <w:p w14:paraId="7DC16771">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2.8服务：系指本次谈判采购文件规定乙方应承担的与提供货物和服务有关的辅助服务，比如运输、保险、安装、调试、提供技术援助、培训、配合措施、维修响应及合同中规定乙方应承担的其它义务。</w:t>
      </w:r>
    </w:p>
    <w:p w14:paraId="623A3C7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2.9知识产权：指专利权、商标权、著作权等无形财产专有权的统称。</w:t>
      </w:r>
    </w:p>
    <w:p w14:paraId="0FA450D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2.10天：日历日。</w:t>
      </w:r>
    </w:p>
    <w:p w14:paraId="357CF4B4">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2.11交货地点：合同中明确约定的乙方提交的货物和服务最终到达地点。</w:t>
      </w:r>
    </w:p>
    <w:p w14:paraId="6380E9A1">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2.12合同价款：根据合同规定，乙方在正确地履行合同义务后甲方应支付乙方的价款。</w:t>
      </w:r>
    </w:p>
    <w:p w14:paraId="238A9F9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2.13产地：货物开采、生长、生产、最终制造、加工或提供服务的来源地。</w:t>
      </w:r>
    </w:p>
    <w:p w14:paraId="26A15D98">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2.14不可抗力：不能预见、不能避免并且不能克服的客观情况。</w:t>
      </w:r>
    </w:p>
    <w:p w14:paraId="13D38BFD">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2.15 实质响应：满足有关本次采购标的、数量、质量、价款或者报酬、履行期限、履行地点和方式、违约责任和解决争议方法等要求。</w:t>
      </w:r>
    </w:p>
    <w:p w14:paraId="71DA766C">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2.16 进口产品：通过中国海关报关验放进入中国境内且产自关境外的产品。本项目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p w14:paraId="058E855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2.17书面形式：指书面文字、合同书、信件和传真等可以有形地表现所载内容的形式。</w:t>
      </w:r>
    </w:p>
    <w:p w14:paraId="607DACAF">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3.合格谈判供应商的一般条件</w:t>
      </w:r>
    </w:p>
    <w:p w14:paraId="0311520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3.1具有独立承担民事责任的能力；</w:t>
      </w:r>
    </w:p>
    <w:p w14:paraId="56CEA4F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3.2 具有良好的商业信誉和健全的财务会计制度；</w:t>
      </w:r>
    </w:p>
    <w:p w14:paraId="0C9C0953">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3.3 具有履行合同所必需的设备和专业技术能力；</w:t>
      </w:r>
    </w:p>
    <w:p w14:paraId="72C1F7D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3.4 有依法缴纳税收和社会保障资金的良好记录；</w:t>
      </w:r>
    </w:p>
    <w:p w14:paraId="68E3107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3.5 参加政府采购活动前三年内，在经营活动中没有重大违法记录；</w:t>
      </w:r>
    </w:p>
    <w:p w14:paraId="58E5FCD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3.6 法律、行政法规规定的其他条件。</w:t>
      </w:r>
    </w:p>
    <w:p w14:paraId="7326BFD7">
      <w:pPr>
        <w:spacing w:line="360" w:lineRule="auto"/>
        <w:ind w:firstLine="482"/>
        <w:outlineLvl w:val="1"/>
        <w:rPr>
          <w:rFonts w:ascii="宋体" w:hAnsi="宋体" w:cs="宋体"/>
          <w:b/>
          <w:color w:val="auto"/>
          <w:szCs w:val="21"/>
          <w:highlight w:val="none"/>
        </w:rPr>
      </w:pPr>
      <w:r>
        <w:rPr>
          <w:rFonts w:hint="eastAsia" w:ascii="宋体" w:hAnsi="宋体" w:cs="宋体"/>
          <w:b/>
          <w:color w:val="auto"/>
          <w:szCs w:val="21"/>
          <w:highlight w:val="none"/>
        </w:rPr>
        <w:t>4.合格谈判供应商的特殊条件</w:t>
      </w:r>
    </w:p>
    <w:p w14:paraId="02FA80E7">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4.1投标单位具有与所投产品相对应的医疗器械生产或经营(许可)资格。</w:t>
      </w:r>
    </w:p>
    <w:p w14:paraId="58C36263">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5.谈判供应商代表</w:t>
      </w:r>
    </w:p>
    <w:p w14:paraId="70C6C23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5.1指全权代表供应商参加谈判采购活动并签署谈判响应文件的人，如果谈判供应商代表不是法定代表人，须持有《法定代表人授权委托书》（详见附件格式）。</w:t>
      </w:r>
    </w:p>
    <w:p w14:paraId="63C8279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6.谈判费用</w:t>
      </w:r>
    </w:p>
    <w:p w14:paraId="72DFE66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6.1无论谈判过程中的做法和结果如何，谈判供应商自行承担所有与参加谈判有关的全部费用。</w:t>
      </w:r>
    </w:p>
    <w:p w14:paraId="656EF726">
      <w:pPr>
        <w:spacing w:line="360" w:lineRule="auto"/>
        <w:ind w:firstLine="482"/>
        <w:rPr>
          <w:rFonts w:ascii="宋体" w:hAnsi="宋体" w:cs="宋体"/>
          <w:color w:val="auto"/>
          <w:szCs w:val="21"/>
          <w:highlight w:val="none"/>
        </w:rPr>
      </w:pPr>
      <w:r>
        <w:rPr>
          <w:rFonts w:hint="eastAsia" w:ascii="宋体" w:hAnsi="宋体" w:cs="宋体"/>
          <w:b/>
          <w:color w:val="auto"/>
          <w:szCs w:val="21"/>
          <w:highlight w:val="none"/>
        </w:rPr>
        <w:t>7.联合谈判</w:t>
      </w:r>
    </w:p>
    <w:p w14:paraId="03EA0D2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本项目不接受多个供应商组成联合体参与谈判。</w:t>
      </w:r>
    </w:p>
    <w:p w14:paraId="2684CEC1">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8.谈判采购文件</w:t>
      </w:r>
    </w:p>
    <w:p w14:paraId="4D27F3D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8.1谈判供应商获取谈判采购文件后，应仔细检查谈判采购文件的所有内容，如有残缺等问题应在获取谈判采购文件</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6D45526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8.2 谈判文件及其补充文件不是直接从“苏采云”系统线上获取的，采购代理机构对谈判文件及其补遗的真实性、完整性不承担任何责任。</w:t>
      </w:r>
    </w:p>
    <w:p w14:paraId="102C03EE">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9.谈判采购文件的询问与澄清</w:t>
      </w:r>
    </w:p>
    <w:p w14:paraId="0FBF38E9">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9.1供应商在收到采购文件后，若有问题需要询问，应于收到采购文件后向采购代理机构提出，采购代理机构将予以解答。</w:t>
      </w:r>
    </w:p>
    <w:p w14:paraId="2C6A79CC">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9.2采购人或者采购代理机构可以对已发出的采购文件进行必要的澄清或者修改，并发布澄清（修改）公告。澄清或者修改的内容为采购文件的组成部分。</w:t>
      </w:r>
    </w:p>
    <w:p w14:paraId="701A8EA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10.谈判采购文件的修改</w:t>
      </w:r>
    </w:p>
    <w:p w14:paraId="3BBD5E72">
      <w:pPr>
        <w:spacing w:line="360" w:lineRule="auto"/>
        <w:ind w:firstLine="480"/>
        <w:rPr>
          <w:rFonts w:ascii="宋体" w:hAnsi="宋体" w:cs="宋体"/>
          <w:color w:val="auto"/>
          <w:szCs w:val="21"/>
          <w:highlight w:val="none"/>
        </w:rPr>
      </w:pPr>
      <w:r>
        <w:rPr>
          <w:rFonts w:hint="eastAsia" w:ascii="宋体" w:hAnsi="宋体" w:cs="宋体"/>
          <w:bCs/>
          <w:color w:val="auto"/>
          <w:szCs w:val="21"/>
          <w:highlight w:val="none"/>
        </w:rPr>
        <w:t>10.1在递交谈判响应文件截止时间前，谈判采购单位无论出于自己的考虑，还是出</w:t>
      </w:r>
      <w:r>
        <w:rPr>
          <w:rFonts w:hint="eastAsia" w:ascii="宋体" w:hAnsi="宋体" w:cs="宋体"/>
          <w:color w:val="auto"/>
          <w:szCs w:val="21"/>
          <w:highlight w:val="none"/>
        </w:rPr>
        <w:t>于对谈判供应商提问的澄清，均可对谈判采购文件用更正公告的方式进行修改。</w:t>
      </w:r>
    </w:p>
    <w:p w14:paraId="08BB632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10.2供应商应及时关注采购信息发布媒体上发布的更正（补充）公告，同时下载更正（补充）资料，如有遗漏（包括但不限于文件未下载或下载不完整），所造成的投标失败或损失由供应商自行负责。</w:t>
      </w:r>
    </w:p>
    <w:p w14:paraId="1674EB7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10.3谈判文件的澄清、修改、补充等内容均以采购信息发布媒体上的内容为准。当谈判文件、谈判文件的澄清、修改、补充等在同一内容的表述上不一致时，以最后发出的内容为准。</w:t>
      </w:r>
    </w:p>
    <w:p w14:paraId="4CFBF64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11.勘察现场及谈判采购文件答疑</w:t>
      </w:r>
    </w:p>
    <w:p w14:paraId="6CAC7DED">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11.1勘察现场（本项目无勘察现场）：</w:t>
      </w:r>
    </w:p>
    <w:p w14:paraId="52CAD3F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11.1.1根据自身需要，谈判供应商可在谈判响应文件递交之日前对有关现场和周围环境进行勘察，以获取编制谈判响应文件和签署合同所需的信息。勘察现场所发生的费用由谈判供应商自己承担。</w:t>
      </w:r>
    </w:p>
    <w:p w14:paraId="05CC1A71">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11.1.2谈判采购单位向谈判供应商提供的有关现场的资料和数据，是谈判采购单位现有的并认为能使谈判供应商可利用的资料。谈判采购单位对谈判供应商由此而做出的推论、理解和结论概不负责。</w:t>
      </w:r>
    </w:p>
    <w:p w14:paraId="2A8DEF4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11.1.3 经谈判采购单位允许，谈判供应商可为勘察目的进入谈判采购单位的项目现场，但谈判供应商不得因此使谈判采购单位承担有关的责任和蒙受损失。谈判供应商应承担勘察现场的责任和风险。</w:t>
      </w:r>
    </w:p>
    <w:p w14:paraId="6F00333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11.1.4谈判供应商应在现场勘查时，熟悉现场及周围交通道路等情况，以获得一切可能影响其谈判的直接资料。谈判供应商成交后，不得以不完全了解现场情况为理由而向谈判采购单位提出任何索赔的要求，对此谈判采购单位不承担任何责任并将不作任何答复与考虑。</w:t>
      </w:r>
    </w:p>
    <w:p w14:paraId="4D4AFA82">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2078D82A">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12．提示与要求</w:t>
      </w:r>
    </w:p>
    <w:p w14:paraId="7C08176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12.1谈判供应商应仔细阅读谈判采购文件的所有内容，按谈判采购文件的要求提供谈判响应文件，并保证所提供的全部资料的真实性，以使其对谈判采购文件作出实质性响应，否则，其谈判响应文件可能被拒绝。</w:t>
      </w:r>
    </w:p>
    <w:p w14:paraId="064D3FDA">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12.2无论是否递交谈判响应文件，谈判供应商都应将谈判采购文件及以后的所有通知、文件等视为保密文件。</w:t>
      </w:r>
    </w:p>
    <w:p w14:paraId="2F0A3A00">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13.谈判响应文件计量单位和使用文字</w:t>
      </w:r>
    </w:p>
    <w:p w14:paraId="2AAF144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13.1谈判响应文件中所使用的计量单位，除谈判采购文件中有特殊要求外，均应使用中华人民共和国法定计量单位。</w:t>
      </w:r>
    </w:p>
    <w:p w14:paraId="1BAEA23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0841215D">
      <w:pPr>
        <w:spacing w:line="360" w:lineRule="auto"/>
        <w:ind w:firstLine="482"/>
        <w:outlineLvl w:val="1"/>
        <w:rPr>
          <w:rFonts w:ascii="宋体" w:hAnsi="宋体" w:cs="宋体"/>
          <w:b/>
          <w:color w:val="auto"/>
          <w:szCs w:val="21"/>
          <w:highlight w:val="none"/>
        </w:rPr>
      </w:pPr>
      <w:r>
        <w:rPr>
          <w:rFonts w:hint="eastAsia" w:ascii="宋体" w:hAnsi="宋体" w:cs="宋体"/>
          <w:b/>
          <w:color w:val="auto"/>
          <w:szCs w:val="21"/>
          <w:highlight w:val="none"/>
        </w:rPr>
        <w:t>14.谈判响应文件的组成</w:t>
      </w:r>
    </w:p>
    <w:p w14:paraId="0F1B5673">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（一）文件组成（部分格式见第三章）</w:t>
      </w:r>
    </w:p>
    <w:p w14:paraId="3FD31996">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14.1、封面</w:t>
      </w:r>
    </w:p>
    <w:p w14:paraId="2CD41470">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14.2、开标一览表（必须提供，否则将被认定为未实质性响应谈判文件要求）</w:t>
      </w:r>
    </w:p>
    <w:p w14:paraId="37F8206D">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14.3、谈判报价分析表（必须提供，否则将被认定为未实质性响应谈判文件要求）</w:t>
      </w:r>
    </w:p>
    <w:p w14:paraId="6AC82398">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14.4、资格审查响应文件</w:t>
      </w:r>
    </w:p>
    <w:p w14:paraId="6A27C953">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14.4.1提供符合《中华人民共和国政府采购法》第二十二条规定的承诺书：</w:t>
      </w:r>
    </w:p>
    <w:p w14:paraId="4F8B1637">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14.4.1.1具有独立承担民事责任的能力</w:t>
      </w:r>
      <w:r>
        <w:rPr>
          <w:rFonts w:hint="eastAsia" w:ascii="宋体" w:hAnsi="宋体" w:eastAsia="宋体" w:cs="宋体"/>
          <w:bCs/>
          <w:color w:val="auto"/>
          <w:sz w:val="21"/>
          <w:szCs w:val="21"/>
          <w:highlight w:val="none"/>
          <w:lang w:eastAsia="zh-CN"/>
        </w:rPr>
        <w:t>；</w:t>
      </w:r>
    </w:p>
    <w:p w14:paraId="66FB85EE">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14.4.1.2具有良好的商业信誉和健全的财务会计制度</w:t>
      </w:r>
      <w:r>
        <w:rPr>
          <w:rFonts w:hint="eastAsia" w:ascii="宋体" w:hAnsi="宋体" w:eastAsia="宋体" w:cs="宋体"/>
          <w:bCs/>
          <w:color w:val="auto"/>
          <w:sz w:val="21"/>
          <w:szCs w:val="21"/>
          <w:highlight w:val="none"/>
          <w:lang w:eastAsia="zh-CN"/>
        </w:rPr>
        <w:t>；</w:t>
      </w:r>
    </w:p>
    <w:p w14:paraId="0B0678E8">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14.4.1.3具有履行合同所必需的设备和专业技术能力</w:t>
      </w:r>
      <w:r>
        <w:rPr>
          <w:rFonts w:hint="eastAsia" w:ascii="宋体" w:hAnsi="宋体" w:eastAsia="宋体" w:cs="宋体"/>
          <w:bCs/>
          <w:color w:val="auto"/>
          <w:sz w:val="21"/>
          <w:szCs w:val="21"/>
          <w:highlight w:val="none"/>
          <w:lang w:eastAsia="zh-CN"/>
        </w:rPr>
        <w:t>；</w:t>
      </w:r>
    </w:p>
    <w:p w14:paraId="1CB6C195">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14.4.1.4有依法缴纳税收和社会保障资金的良好记录</w:t>
      </w:r>
      <w:r>
        <w:rPr>
          <w:rFonts w:hint="eastAsia" w:ascii="宋体" w:hAnsi="宋体" w:eastAsia="宋体" w:cs="宋体"/>
          <w:bCs/>
          <w:color w:val="auto"/>
          <w:sz w:val="21"/>
          <w:szCs w:val="21"/>
          <w:highlight w:val="none"/>
          <w:lang w:eastAsia="zh-CN"/>
        </w:rPr>
        <w:t>；</w:t>
      </w:r>
    </w:p>
    <w:p w14:paraId="73B7A66F">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14.4.1.5参加政府采购活动前三年内在经营活动中没有重大违法记录</w:t>
      </w:r>
      <w:r>
        <w:rPr>
          <w:rFonts w:hint="eastAsia" w:ascii="宋体" w:hAnsi="宋体" w:eastAsia="宋体" w:cs="宋体"/>
          <w:bCs/>
          <w:color w:val="auto"/>
          <w:sz w:val="21"/>
          <w:szCs w:val="21"/>
          <w:highlight w:val="none"/>
          <w:lang w:eastAsia="zh-CN"/>
        </w:rPr>
        <w:t>；</w:t>
      </w:r>
    </w:p>
    <w:p w14:paraId="5FF2F4D1">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14.4.1.6法律、行政法规规定的其他条件</w:t>
      </w:r>
      <w:r>
        <w:rPr>
          <w:rFonts w:hint="eastAsia" w:ascii="宋体" w:hAnsi="宋体" w:eastAsia="宋体" w:cs="宋体"/>
          <w:bCs/>
          <w:color w:val="auto"/>
          <w:sz w:val="21"/>
          <w:szCs w:val="21"/>
          <w:highlight w:val="none"/>
          <w:lang w:eastAsia="zh-CN"/>
        </w:rPr>
        <w:t>；</w:t>
      </w:r>
    </w:p>
    <w:p w14:paraId="787357BA">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14.4.2响应单位具有与所投产品相对应的医疗器械生产或经营(许可)资格，提供证明文件；</w:t>
      </w:r>
    </w:p>
    <w:p w14:paraId="4ECA399C">
      <w:pPr>
        <w:pStyle w:val="5"/>
        <w:spacing w:line="360" w:lineRule="auto"/>
        <w:ind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14.4.</w:t>
      </w:r>
      <w:r>
        <w:rPr>
          <w:rFonts w:hint="eastAsia" w:ascii="宋体" w:hAnsi="宋体" w:eastAsia="宋体" w:cs="宋体"/>
          <w:bCs/>
          <w:color w:val="auto"/>
          <w:sz w:val="21"/>
          <w:szCs w:val="21"/>
          <w:highlight w:val="none"/>
          <w:lang w:val="en-US" w:eastAsia="zh-CN"/>
        </w:rPr>
        <w:t>3提供《中小企业声明函》或《残疾人福利性单位声明函》或省级以上监狱管理局、戒毒管理局（含新疆生产建设兵团）出具的属于监狱企业的证明文件；</w:t>
      </w:r>
    </w:p>
    <w:p w14:paraId="109F09CA">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14.4.4</w:t>
      </w:r>
      <w:r>
        <w:rPr>
          <w:rFonts w:hint="eastAsia" w:ascii="宋体" w:hAnsi="宋体" w:eastAsia="宋体" w:cs="宋体"/>
          <w:bCs/>
          <w:color w:val="auto"/>
          <w:sz w:val="21"/>
          <w:szCs w:val="21"/>
          <w:highlight w:val="none"/>
        </w:rPr>
        <w:t>本项目的特定资格要求及其他有关资格证明文件（如有）</w:t>
      </w:r>
      <w:r>
        <w:rPr>
          <w:rFonts w:hint="eastAsia" w:ascii="宋体" w:hAnsi="宋体" w:eastAsia="宋体" w:cs="宋体"/>
          <w:bCs/>
          <w:color w:val="auto"/>
          <w:sz w:val="21"/>
          <w:szCs w:val="21"/>
          <w:highlight w:val="none"/>
          <w:lang w:eastAsia="zh-CN"/>
        </w:rPr>
        <w:t>；</w:t>
      </w:r>
    </w:p>
    <w:p w14:paraId="79B23733">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14.5、符合性审查响应文件</w:t>
      </w:r>
    </w:p>
    <w:p w14:paraId="26AEAC2E">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14.5.1谈判响应函；</w:t>
      </w:r>
    </w:p>
    <w:p w14:paraId="3F6F6789">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14.5.2关于资格文件的声明函；</w:t>
      </w:r>
    </w:p>
    <w:p w14:paraId="643375E2">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14.5.3谈判响应单位法定代表人身份证复印件；法人授权委托书和谈判响应单位授权代理人身份证复印件（如为委托投标）；</w:t>
      </w:r>
    </w:p>
    <w:p w14:paraId="1EF36E91">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14.5.4技术要求偏离表；</w:t>
      </w:r>
    </w:p>
    <w:p w14:paraId="7C2A07B5">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14.5.5商务条款偏离表；</w:t>
      </w:r>
    </w:p>
    <w:p w14:paraId="6D884803">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14.5.6设备配置清单表；</w:t>
      </w:r>
    </w:p>
    <w:p w14:paraId="291C6E12">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14.5.7响应文件中提供所投产品中华人民共和国医疗器械注册证明文件（如属医疗设备，必须提供）；</w:t>
      </w:r>
    </w:p>
    <w:p w14:paraId="71F8E6E7">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14.5.8投标（响应）保证承诺书；</w:t>
      </w:r>
    </w:p>
    <w:p w14:paraId="526E9FFF">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14.5.9售后服务承诺书；</w:t>
      </w:r>
    </w:p>
    <w:p w14:paraId="7B161291">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其他有关符合性证明的文件（如有）；</w:t>
      </w:r>
    </w:p>
    <w:p w14:paraId="41AA50C1">
      <w:pPr>
        <w:pStyle w:val="5"/>
        <w:spacing w:line="360" w:lineRule="auto"/>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14.6、价格折扣文件格式</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本项目为专门面向中小企业采购，无价格折扣）</w:t>
      </w:r>
    </w:p>
    <w:p w14:paraId="4A9C26E9">
      <w:pPr>
        <w:tabs>
          <w:tab w:val="left" w:pos="753"/>
        </w:tabs>
        <w:spacing w:line="360" w:lineRule="auto"/>
        <w:ind w:firstLine="482"/>
        <w:rPr>
          <w:rFonts w:ascii="宋体" w:hAnsi="宋体" w:cs="宋体"/>
          <w:b/>
          <w:bCs/>
          <w:color w:val="auto"/>
          <w:szCs w:val="21"/>
          <w:highlight w:val="none"/>
        </w:rPr>
      </w:pPr>
    </w:p>
    <w:p w14:paraId="390973A4">
      <w:pPr>
        <w:tabs>
          <w:tab w:val="left" w:pos="753"/>
        </w:tabs>
        <w:spacing w:line="360" w:lineRule="auto"/>
        <w:ind w:firstLine="482"/>
        <w:rPr>
          <w:rFonts w:ascii="宋体" w:hAnsi="宋体" w:cs="宋体"/>
          <w:color w:val="auto"/>
          <w:szCs w:val="21"/>
          <w:highlight w:val="none"/>
        </w:rPr>
      </w:pPr>
      <w:r>
        <w:rPr>
          <w:rFonts w:hint="eastAsia" w:ascii="宋体" w:hAnsi="宋体" w:cs="宋体"/>
          <w:b/>
          <w:bCs/>
          <w:color w:val="auto"/>
          <w:szCs w:val="21"/>
          <w:highlight w:val="none"/>
        </w:rPr>
        <w:t>注：</w:t>
      </w:r>
      <w:r>
        <w:rPr>
          <w:rFonts w:hint="eastAsia" w:ascii="宋体" w:hAnsi="宋体" w:cs="宋体"/>
          <w:b/>
          <w:color w:val="auto"/>
          <w:szCs w:val="21"/>
          <w:highlight w:val="none"/>
        </w:rPr>
        <w:t>谈判供应商</w:t>
      </w:r>
      <w:r>
        <w:rPr>
          <w:rFonts w:hint="eastAsia" w:ascii="宋体" w:hAnsi="宋体" w:cs="宋体"/>
          <w:b/>
          <w:bCs/>
          <w:color w:val="auto"/>
          <w:szCs w:val="21"/>
          <w:highlight w:val="none"/>
        </w:rPr>
        <w:t>必须提交上述14.1—14.5款规定的资料。否则，谈判响应文件将被视为因未实质性响应采购文件要求而被拒绝。</w:t>
      </w:r>
    </w:p>
    <w:p w14:paraId="1D5F6999">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15.电子投标（响应）文件的制作及递交</w:t>
      </w:r>
    </w:p>
    <w:p w14:paraId="4BE3E437">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15.1电子投标文件制作</w:t>
      </w:r>
    </w:p>
    <w:p w14:paraId="6B32EFE6">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（1）在苏采云系统中下载招标文件后，点击“客户端下载地址”，下载投标文件客户端，查看客户端使用说明。</w:t>
      </w:r>
    </w:p>
    <w:p w14:paraId="1A5493B1">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（2）将下载的采购文件导入投标文件客户端，按照《操作手册》完成投标文件的编制和加盖电子签章。</w:t>
      </w:r>
    </w:p>
    <w:p w14:paraId="7AEE08BA">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（3）导出制作完成的投标文件，上传至苏采云系统。</w:t>
      </w:r>
    </w:p>
    <w:p w14:paraId="3CD6F668">
      <w:pPr>
        <w:widowControl/>
        <w:spacing w:line="360" w:lineRule="auto"/>
        <w:ind w:firstLine="422"/>
        <w:jc w:val="left"/>
        <w:rPr>
          <w:rFonts w:ascii="宋体" w:hAnsi="宋体" w:cs="宋体"/>
          <w:color w:val="auto"/>
          <w:szCs w:val="21"/>
          <w:highlight w:val="none"/>
          <w:u w:val="single"/>
        </w:rPr>
      </w:pPr>
      <w:r>
        <w:rPr>
          <w:rFonts w:hint="eastAsia" w:ascii="宋体" w:hAnsi="宋体" w:cs="宋体"/>
          <w:b/>
          <w:bCs/>
          <w:color w:val="auto"/>
          <w:szCs w:val="21"/>
          <w:highlight w:val="none"/>
          <w:u w:val="single"/>
        </w:rPr>
        <w:t>注：具体投标文件编制教程查看苏采云系统中的客户端使用说明和供应商《操作手册》</w:t>
      </w:r>
      <w:r>
        <w:rPr>
          <w:rFonts w:hint="eastAsia" w:ascii="宋体" w:hAnsi="宋体" w:cs="宋体"/>
          <w:color w:val="auto"/>
          <w:szCs w:val="21"/>
          <w:highlight w:val="none"/>
          <w:u w:val="single"/>
        </w:rPr>
        <w:t>。</w:t>
      </w:r>
    </w:p>
    <w:p w14:paraId="31704192">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15.2电子投标文件中的资料应按采购文件的要求加盖投标人的电子签章或公章。</w:t>
      </w:r>
    </w:p>
    <w:p w14:paraId="09CB37E1">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15.3未按照要求编制电子投标文件，未按照要求在电子投标文件上加盖电子签章的，均视为无效投标。</w:t>
      </w:r>
    </w:p>
    <w:p w14:paraId="0CE41B9B">
      <w:pPr>
        <w:spacing w:line="360" w:lineRule="auto"/>
        <w:ind w:firstLine="482"/>
        <w:rPr>
          <w:rFonts w:ascii="宋体" w:hAnsi="宋体" w:cs="宋体"/>
          <w:b/>
          <w:bCs/>
          <w:color w:val="auto"/>
          <w:szCs w:val="21"/>
          <w:highlight w:val="none"/>
          <w:lang w:val="zh-CN"/>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val="zh-CN"/>
        </w:rPr>
        <w:t>如不同投标（响应）文件制作机器码一致，则投标无效。</w:t>
      </w:r>
    </w:p>
    <w:p w14:paraId="2BA21985">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16.报价（编制）要求的说明</w:t>
      </w:r>
    </w:p>
    <w:p w14:paraId="2848DB9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16.1除非合同中另有规定，谈判响应单位对《开标一览表》、《谈判报价分析表》中的报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w:t>
      </w:r>
      <w:r>
        <w:rPr>
          <w:rFonts w:hint="eastAsia" w:ascii="宋体" w:hAnsi="宋体" w:cs="宋体"/>
          <w:color w:val="auto"/>
          <w:szCs w:val="21"/>
          <w:highlight w:val="none"/>
          <w:lang w:val="zh-CN"/>
        </w:rPr>
        <w:t>同时，除非合同条款中另有规定，否则</w:t>
      </w:r>
      <w:r>
        <w:rPr>
          <w:rFonts w:hint="eastAsia" w:ascii="宋体" w:hAnsi="宋体" w:cs="宋体"/>
          <w:color w:val="auto"/>
          <w:szCs w:val="21"/>
          <w:highlight w:val="none"/>
        </w:rPr>
        <w:t>乙方</w:t>
      </w:r>
      <w:r>
        <w:rPr>
          <w:rFonts w:hint="eastAsia" w:ascii="宋体" w:hAnsi="宋体" w:cs="宋体"/>
          <w:color w:val="auto"/>
          <w:szCs w:val="21"/>
          <w:highlight w:val="none"/>
          <w:lang w:val="zh-CN"/>
        </w:rPr>
        <w:t>所报价格在合同实施期间不因市场变化因素而变动</w:t>
      </w:r>
      <w:r>
        <w:rPr>
          <w:rFonts w:hint="eastAsia" w:ascii="宋体" w:hAnsi="宋体" w:cs="宋体"/>
          <w:color w:val="auto"/>
          <w:szCs w:val="21"/>
          <w:highlight w:val="none"/>
        </w:rPr>
        <w:t>。</w:t>
      </w:r>
    </w:p>
    <w:p w14:paraId="29986C2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16.2谈判供应商应按《开标一览表》、《谈判报价分析表》中的全部货物和服务计算单价。《谈判报价分析表》中的每一单项均应计算并填写单价。</w:t>
      </w:r>
    </w:p>
    <w:p w14:paraId="3F44E55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16.3谈判供应商应对谈判采购文件内所要采购的全部内容进行报价，只投其中部分内容者，其谈判响应文件将被拒绝。但如果谈判采购文件要求分标段的，则谈判供应商可以有选择地只投其中一个或几个标段，也可以投全部标段，但各标段应分别计算填写单价和总价。</w:t>
      </w:r>
    </w:p>
    <w:p w14:paraId="089FF9AA">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16.4一项内容只允许一个报价，谈判采购单位不接受任何有选择性地报价。</w:t>
      </w:r>
    </w:p>
    <w:p w14:paraId="3AF6D13F">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16.5谈判响应文件报价中的单价和总价全部采用人民币表示，除非合同的特殊条款另有规定。</w:t>
      </w:r>
    </w:p>
    <w:p w14:paraId="4E2DA9C4">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17.谈判响应文件的有效期</w:t>
      </w:r>
    </w:p>
    <w:p w14:paraId="0B74331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17.1自响应文件提交截止之日起</w:t>
      </w:r>
      <w:r>
        <w:rPr>
          <w:rFonts w:hint="eastAsia" w:ascii="宋体" w:hAnsi="宋体" w:cs="宋体"/>
          <w:color w:val="auto"/>
          <w:szCs w:val="21"/>
          <w:highlight w:val="none"/>
          <w:u w:val="single"/>
        </w:rPr>
        <w:t>45</w:t>
      </w:r>
      <w:r>
        <w:rPr>
          <w:rFonts w:hint="eastAsia" w:ascii="宋体" w:hAnsi="宋体" w:cs="宋体"/>
          <w:color w:val="auto"/>
          <w:szCs w:val="21"/>
          <w:highlight w:val="none"/>
        </w:rPr>
        <w:t>天内，谈判响应文件应保持有效。有效期短于这个规定期限的响应，将被拒绝。</w:t>
      </w:r>
    </w:p>
    <w:p w14:paraId="37297FE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17.2在特殊情况下，谈判采购单位可与谈判供应商协商延长谈判响应文件的有效期。这种要求和答复都应以书面形式进行。同意延长有效期的谈判供应商不能修改谈判响应文件，拒绝接受延期要求的谈判供应商的响应将被拒绝。</w:t>
      </w:r>
    </w:p>
    <w:p w14:paraId="4B3131DD">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18.响应截止时间</w:t>
      </w:r>
    </w:p>
    <w:p w14:paraId="2CBBEDB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18.1电子投标（响应）文件制作完成后请于投标（响应）截止时间前上传，否则视为放弃参加该采购项目。</w:t>
      </w:r>
    </w:p>
    <w:p w14:paraId="74ACD99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18.2采购人或采购代理机构推迟投标（响应）截止时间时，应以发布更正公告形式，通知所有投标（响应）单位。在这种情况下，采购人或采购代理机构和投标（响应）单位的权利和义务将受到新的截止期的约束。</w:t>
      </w:r>
    </w:p>
    <w:p w14:paraId="6EA3C80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18.3在投标（递交）截止时间止，采购人或采购代理机构收到的某标段投标（响应）文件少于三份，采购人或采购代理机构有权宣布该标段本次招标（采购）失败。</w:t>
      </w:r>
    </w:p>
    <w:p w14:paraId="42127101">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18.4在投标（响应）截止时间以后送达的投标（响应）文件，采购单位将拒绝接收。</w:t>
      </w:r>
    </w:p>
    <w:p w14:paraId="5AEBA56E">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19.谈判响应文件的修改和撤回</w:t>
      </w:r>
    </w:p>
    <w:p w14:paraId="0F8E1B77">
      <w:pPr>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19.1谈判响应单位在响应截止时间前，可以对所递交的响应文件进行补充、修改或者撤回。</w:t>
      </w:r>
    </w:p>
    <w:p w14:paraId="1CE4A3EA">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20.谈判程序</w:t>
      </w:r>
    </w:p>
    <w:p w14:paraId="5062A1CC">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20.1采购代理机构按本须知规定的时间、地点主持谈判采购活动。</w:t>
      </w:r>
    </w:p>
    <w:p w14:paraId="1858E9D1">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20.2供应商通过“苏采云”系统在线参与谈判活动。供应商应当按照《苏采云系统供应商操作手册》规定在 “苏采云”系统规定的时间内对响应文件进行解密。</w:t>
      </w:r>
    </w:p>
    <w:p w14:paraId="189D09C5">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20.3在谈判响应文件网上递交截止时间止成功解密的谈判供应商少于三家，则本次采购失败。</w:t>
      </w:r>
    </w:p>
    <w:p w14:paraId="136AD561">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20.4由谈判小组审查供应商解密的响应文件（</w:t>
      </w:r>
      <w:r>
        <w:rPr>
          <w:rFonts w:hint="eastAsia" w:ascii="宋体" w:hAnsi="宋体" w:cs="宋体"/>
          <w:color w:val="auto"/>
          <w:szCs w:val="21"/>
          <w:highlight w:val="none"/>
        </w:rPr>
        <w:t>资格性、符合性）</w:t>
      </w:r>
      <w:r>
        <w:rPr>
          <w:rFonts w:hint="eastAsia" w:ascii="宋体" w:hAnsi="宋体" w:cs="宋体"/>
          <w:color w:val="auto"/>
          <w:szCs w:val="21"/>
          <w:highlight w:val="none"/>
          <w:lang w:val="zh-CN"/>
        </w:rPr>
        <w:t>。</w:t>
      </w:r>
    </w:p>
    <w:p w14:paraId="027D3F83">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20.5谈判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5BCC714C">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20.6谈判小组要求供应商澄清、说明或者更正响应文件应当以书面形式做出。供应商的澄清、说明或者更正应当由其单位加盖电子公章。</w:t>
      </w:r>
    </w:p>
    <w:p w14:paraId="5C573907">
      <w:pPr>
        <w:widowControl/>
        <w:spacing w:line="360" w:lineRule="auto"/>
        <w:ind w:firstLine="480"/>
        <w:rPr>
          <w:rFonts w:ascii="宋体" w:hAnsi="宋体" w:cs="宋体"/>
          <w:bCs/>
          <w:color w:val="auto"/>
          <w:szCs w:val="21"/>
          <w:highlight w:val="none"/>
          <w:lang w:val="zh-CN"/>
        </w:rPr>
      </w:pPr>
      <w:r>
        <w:rPr>
          <w:rFonts w:hint="eastAsia" w:ascii="宋体" w:hAnsi="宋体" w:cs="宋体"/>
          <w:bCs/>
          <w:color w:val="auto"/>
          <w:szCs w:val="21"/>
          <w:highlight w:val="none"/>
          <w:lang w:val="zh-CN"/>
        </w:rPr>
        <w:t>本项目供应商的澄清、说明或者补正采用线上澄清：谈判小组将通过“苏采云”系统向供应商发布“澄清要求函”，接到“澄清要求函”的供应商应当按要求在规定时间内通过“苏采云”系统提交“澄清响应函”并加盖CA电子公章，澄清、说明和补充的内容作为响应文件的补充部分。（此处规定时间的计算以系统中的倒计时间为准，供应商应随时保持系统在线，如因供应商自身原因未在规定时间内提交澄清确认资料的，导致的不利后果由供应商自行承担）。</w:t>
      </w:r>
    </w:p>
    <w:p w14:paraId="47F48FA9">
      <w:pPr>
        <w:widowControl/>
        <w:spacing w:line="360" w:lineRule="auto"/>
        <w:ind w:firstLine="480"/>
        <w:rPr>
          <w:rFonts w:ascii="宋体" w:hAnsi="宋体" w:cs="宋体"/>
          <w:bCs/>
          <w:color w:val="auto"/>
          <w:szCs w:val="21"/>
          <w:highlight w:val="none"/>
          <w:lang w:val="zh-CN"/>
        </w:rPr>
      </w:pPr>
      <w:r>
        <w:rPr>
          <w:rFonts w:hint="eastAsia" w:ascii="宋体" w:hAnsi="宋体" w:cs="宋体"/>
          <w:bCs/>
          <w:color w:val="auto"/>
          <w:szCs w:val="21"/>
          <w:highlight w:val="none"/>
          <w:lang w:val="zh-CN"/>
        </w:rPr>
        <w:t>20.7对于通过资格审查和符合性审查的供应商，谈判小组所有成员集中与单一供应商分别进行谈判，并给予所有参加谈判的供应商平等的谈判机会。谈判小组通过“苏采云”系统向供应商发布“谈判函”，供应商应当按照要求在</w:t>
      </w:r>
      <w:r>
        <w:rPr>
          <w:rFonts w:hint="eastAsia" w:ascii="宋体" w:hAnsi="宋体" w:cs="宋体"/>
          <w:bCs/>
          <w:color w:val="auto"/>
          <w:szCs w:val="21"/>
          <w:highlight w:val="none"/>
        </w:rPr>
        <w:t>“苏采云”系统</w:t>
      </w:r>
      <w:r>
        <w:rPr>
          <w:rFonts w:hint="eastAsia" w:ascii="宋体" w:hAnsi="宋体" w:cs="宋体"/>
          <w:bCs/>
          <w:color w:val="auto"/>
          <w:szCs w:val="21"/>
          <w:highlight w:val="none"/>
          <w:lang w:val="zh-CN"/>
        </w:rPr>
        <w:t>提交“谈判响应函”并加盖CA电子公章。</w:t>
      </w:r>
    </w:p>
    <w:p w14:paraId="69614A35">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20.8在谈判过程中，谈判小组可以根据采购文件和谈判情况实质性变动采购需求中的技术、服务要求以及合同草案条款。对采购文件做出的实质性变动是采购文件的有效组成部分，谈判小组将在“苏采云”系统中同时通知所有参加谈判的供应商，供应商应当按照谈判文件的变动情况和谈判小组的要求在“苏采云”系统中重新提交响应文件，并加盖CA电子公章。</w:t>
      </w:r>
    </w:p>
    <w:p w14:paraId="428119A4">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lang w:val="zh-CN"/>
        </w:rPr>
        <w:t>20.9谈判结束后，谈判小组将在“苏采云”系统向所有实质性响应的供应商发布“最后报价要求函”及最后报价格式表，要求所有实质性响应的供应商在规定时间内提交最后报价。</w:t>
      </w:r>
      <w:r>
        <w:rPr>
          <w:rFonts w:hint="eastAsia" w:ascii="宋体" w:hAnsi="宋体" w:cs="宋体"/>
          <w:b/>
          <w:color w:val="auto"/>
          <w:szCs w:val="21"/>
          <w:highlight w:val="none"/>
        </w:rPr>
        <w:t>供应商填写有关承诺及第二次报价，除因谈判文件修改导致成本增加，二次报价不得超过第一次报价，否则为无效响应报价。</w:t>
      </w:r>
    </w:p>
    <w:p w14:paraId="2E9A98ED">
      <w:pPr>
        <w:widowControl/>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20.10供应商未在谈判小组规定的时间内在“苏采云”系统中提交最后报价的视为放弃谈判，其响应文件按无效响应处理，最后报价格式表须加盖CA电子公章,否则视为未提交最后报价。</w:t>
      </w:r>
      <w:r>
        <w:rPr>
          <w:rFonts w:hint="eastAsia" w:ascii="宋体" w:hAnsi="宋体" w:cs="宋体"/>
          <w:bCs/>
          <w:color w:val="auto"/>
          <w:szCs w:val="21"/>
          <w:highlight w:val="none"/>
          <w:lang w:val="zh-CN"/>
        </w:rPr>
        <w:t>此处规定时间的计算以系统中的倒计时间为准，系统中的线上最后报价只有一次机会，提交后无法撤回，请供应商慎重提交。</w:t>
      </w:r>
    </w:p>
    <w:p w14:paraId="484E2149">
      <w:pPr>
        <w:widowControl/>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已提交响应文件的供应商，在提交最后报价之前，可以根据谈判情况退出谈判，并在“苏采云”系统中提交“退出谈判函”并加盖CA电子公章。</w:t>
      </w:r>
    </w:p>
    <w:p w14:paraId="3D653A15">
      <w:pPr>
        <w:widowControl/>
        <w:spacing w:line="360" w:lineRule="auto"/>
        <w:ind w:firstLine="480"/>
        <w:rPr>
          <w:rFonts w:ascii="宋体" w:hAnsi="宋体" w:cs="宋体"/>
          <w:bCs/>
          <w:color w:val="auto"/>
          <w:szCs w:val="21"/>
          <w:highlight w:val="none"/>
          <w:lang w:val="zh-CN"/>
        </w:rPr>
      </w:pPr>
      <w:r>
        <w:rPr>
          <w:rFonts w:hint="eastAsia" w:ascii="宋体" w:hAnsi="宋体" w:cs="宋体"/>
          <w:bCs/>
          <w:color w:val="auto"/>
          <w:szCs w:val="21"/>
          <w:highlight w:val="none"/>
          <w:lang w:val="zh-CN"/>
        </w:rPr>
        <w:t xml:space="preserve">进入项目评审流程后，建议各供应商法定代表人或授权委托人始终保持通讯顺畅，及时登录苏采云系统查阅、答复相关信息。 </w:t>
      </w:r>
    </w:p>
    <w:p w14:paraId="27E0A126">
      <w:pPr>
        <w:widowControl/>
        <w:spacing w:line="360" w:lineRule="auto"/>
        <w:ind w:firstLine="480"/>
        <w:rPr>
          <w:rFonts w:ascii="宋体" w:hAnsi="宋体" w:cs="宋体"/>
          <w:color w:val="auto"/>
          <w:szCs w:val="21"/>
          <w:highlight w:val="none"/>
          <w:lang w:val="zh-CN"/>
        </w:rPr>
      </w:pPr>
      <w:r>
        <w:rPr>
          <w:rFonts w:hint="eastAsia" w:ascii="宋体" w:hAnsi="宋体" w:cs="宋体"/>
          <w:bCs/>
          <w:color w:val="auto"/>
          <w:szCs w:val="21"/>
          <w:highlight w:val="none"/>
          <w:lang w:val="zh-CN"/>
        </w:rPr>
        <w:t>20.11</w:t>
      </w:r>
      <w:r>
        <w:rPr>
          <w:rFonts w:hint="eastAsia" w:ascii="宋体" w:hAnsi="宋体" w:cs="宋体"/>
          <w:bCs/>
          <w:color w:val="auto"/>
          <w:szCs w:val="21"/>
          <w:highlight w:val="none"/>
        </w:rPr>
        <w:t>谈判小组经过与供应商一轮的谈判根据供应</w:t>
      </w:r>
      <w:r>
        <w:rPr>
          <w:rFonts w:hint="eastAsia" w:ascii="宋体" w:hAnsi="宋体" w:cs="宋体"/>
          <w:color w:val="auto"/>
          <w:szCs w:val="21"/>
          <w:highlight w:val="none"/>
        </w:rPr>
        <w:t>商的承诺、响应程度和供应商的最终总报价按谈判采购文件规定的成交原则进行综合评定。</w:t>
      </w:r>
    </w:p>
    <w:p w14:paraId="7F9E3090">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20.12谈判小组根据谈判成交原则确定成交供应商，并将结果通知所有参加谈判的供应商。</w:t>
      </w:r>
    </w:p>
    <w:p w14:paraId="6975FBFB">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20.13如谈判过程中出现本采购文件未尽事宜，由谈判小组根据政府采购有关法律、法规讨论决定。</w:t>
      </w:r>
    </w:p>
    <w:p w14:paraId="3151F320">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21.谈判小组</w:t>
      </w:r>
    </w:p>
    <w:p w14:paraId="2E2CC200">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21.1谈判小组由谈判采购单位依法组建，由采购单位代表、专家评委组成。</w:t>
      </w:r>
    </w:p>
    <w:p w14:paraId="0CE4C98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21.2谈判小组负责具体的谈判事务，并独立履行以下职责：</w:t>
      </w:r>
    </w:p>
    <w:p w14:paraId="769B0BC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21.2.1审查谈判响应文件是否符合谈判采购文件的要求，并做出评价；</w:t>
      </w:r>
    </w:p>
    <w:p w14:paraId="54C8FD09">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21.2.2可以要求谈判供应商对谈判响应文件有关事项做出解释或澄清；</w:t>
      </w:r>
    </w:p>
    <w:p w14:paraId="26D7346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21.2.3推荐成交候选供应商名单；</w:t>
      </w:r>
    </w:p>
    <w:p w14:paraId="51ACEF82">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21.2.4向谈判采购单位或者有关部门报告非法干预谈判工作的行为。</w:t>
      </w:r>
    </w:p>
    <w:p w14:paraId="45F2A775">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21.3谈判小组成员应当履行下列义务：</w:t>
      </w:r>
    </w:p>
    <w:p w14:paraId="3C6566B8">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21.3.1遵纪守法，客观、公正、廉洁地履行职责；</w:t>
      </w:r>
    </w:p>
    <w:p w14:paraId="1C05E6C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21.3.2按照谈判采购文件规定的评审办法和评分标准进行评审，对评审意见承担个人责任；</w:t>
      </w:r>
    </w:p>
    <w:p w14:paraId="7A5F5BA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21.3.3对谈判过程和结果，以及谈判供应商的商业秘密保密；</w:t>
      </w:r>
    </w:p>
    <w:p w14:paraId="7C5E5B7A">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21.3.4参与评审报告的起草；</w:t>
      </w:r>
    </w:p>
    <w:p w14:paraId="0497CDC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21.3.5配合相关部门的投诉处理工作；</w:t>
      </w:r>
    </w:p>
    <w:p w14:paraId="1D64B0A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21.3.6配合谈判采购单位答复谈判供应商提出的质疑。</w:t>
      </w:r>
    </w:p>
    <w:p w14:paraId="22138916">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22.评审内容的保密</w:t>
      </w:r>
    </w:p>
    <w:p w14:paraId="2E18885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22.1谈判开始后，直到宣布授予成交单位合同为止，凡属于审查、澄清、评价和比较谈判响应文件的所有资料，有关授予合同的信息都不应向谈判供应商或与评审无关的其他人泄露。</w:t>
      </w:r>
    </w:p>
    <w:p w14:paraId="1C742958">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22.2在谈判响应文件的审查、澄清、评价和比较以及授予合同的过程中，谈判供应商对谈判采购单位和谈判小组施加影响的任何行为，都将取消其成交资格。</w:t>
      </w:r>
    </w:p>
    <w:p w14:paraId="70AAEABB">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22.3在评审期间，谈判采购单位将通过指定联络人与谈判供应商进行联系。</w:t>
      </w:r>
    </w:p>
    <w:p w14:paraId="6D6D66D2">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23.对谈判响应文件初审</w:t>
      </w:r>
    </w:p>
    <w:p w14:paraId="01494EA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开始谈判后，谈判小组将审查谈判响应文件是否实质性响应谈判采购文件的要求、内容是否完整、价格构成有无计算错误、文件签署是否齐全等，谈判响应文件有下列情况之一者，且谈判小组认为在谈判承诺函中无法修正的则有权将其拒绝：</w:t>
      </w:r>
    </w:p>
    <w:p w14:paraId="31E69FB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23.1.1谈判供应商的谈判响应文件未按照本须知规定制作的；</w:t>
      </w:r>
    </w:p>
    <w:p w14:paraId="4562918A">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23.1.2未按本须知规定提交资格文件；</w:t>
      </w:r>
    </w:p>
    <w:p w14:paraId="168B1EA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23.1.3与谈判采购文件有重大偏离；</w:t>
      </w:r>
    </w:p>
    <w:p w14:paraId="5AD94EE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23.1.4谈判供应商拒绝修正错误；</w:t>
      </w:r>
    </w:p>
    <w:p w14:paraId="42F1337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23.1.5谈判供应商的报价是选择性的；</w:t>
      </w:r>
    </w:p>
    <w:p w14:paraId="5042C52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23.1.6谈判供应商的报价只投了部分内容；</w:t>
      </w:r>
    </w:p>
    <w:p w14:paraId="078AF953">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23.1.7谈判供应商的谈判响应文件出现了评标委员会认为不应当雷同的情况；</w:t>
      </w:r>
    </w:p>
    <w:p w14:paraId="16F4DE98">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23.1.8其他被谈判小组认定无效的情况。</w:t>
      </w:r>
    </w:p>
    <w:p w14:paraId="7FCDCEFB">
      <w:pPr>
        <w:spacing w:line="360" w:lineRule="auto"/>
        <w:ind w:firstLine="480"/>
        <w:rPr>
          <w:rFonts w:ascii="宋体" w:hAnsi="宋体" w:cs="宋体"/>
          <w:b/>
          <w:color w:val="auto"/>
          <w:szCs w:val="21"/>
          <w:highlight w:val="none"/>
          <w:u w:val="single"/>
        </w:rPr>
      </w:pPr>
      <w:r>
        <w:rPr>
          <w:rFonts w:hint="eastAsia" w:ascii="宋体" w:hAnsi="宋体" w:cs="宋体"/>
          <w:color w:val="auto"/>
          <w:szCs w:val="21"/>
          <w:highlight w:val="none"/>
        </w:rPr>
        <w:t>23.2谈判小组将对确定为实质上响应的文件进行审核，看其是否有计算上或累加上的算术错误，修正错误的原则如下：</w:t>
      </w:r>
    </w:p>
    <w:p w14:paraId="507EC8E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23.2.1谈判响应文件的大写金额与小写金额不一致的，以大写金额为准；</w:t>
      </w:r>
    </w:p>
    <w:p w14:paraId="02D4E6E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43E2D0D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23.2.3对不同文字文本谈判响应文件的解释发生异议的，以中文文本为准；</w:t>
      </w:r>
    </w:p>
    <w:p w14:paraId="524F058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23.2.4谈判供应商不同意以上修正，则其谈判响应文件将被拒绝。</w:t>
      </w:r>
    </w:p>
    <w:p w14:paraId="222E5C2E">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24.响应文件的澄清、说明和更正</w:t>
      </w:r>
    </w:p>
    <w:p w14:paraId="014ACFD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24.1对于响应文件中含义不明确、同类问题表述不一致或者有明显文字和计算错误的内容，评标委员会应当要求供应商做出必要的澄清、说明或者补正。供应商的澄清、说明或者补正不得超出响应文件的范围或者改变响应文件的实质性内容。</w:t>
      </w:r>
    </w:p>
    <w:p w14:paraId="13A81E19">
      <w:pPr>
        <w:pStyle w:val="55"/>
        <w:rPr>
          <w:rFonts w:cs="宋体"/>
          <w:color w:val="auto"/>
          <w:sz w:val="21"/>
          <w:szCs w:val="21"/>
          <w:highlight w:val="none"/>
        </w:rPr>
      </w:pPr>
      <w:r>
        <w:rPr>
          <w:rFonts w:hint="eastAsia" w:cs="宋体"/>
          <w:color w:val="auto"/>
          <w:sz w:val="21"/>
          <w:szCs w:val="21"/>
          <w:highlight w:val="none"/>
        </w:rPr>
        <w:t>24.2本项目投标人的澄清、说明或者补正采用线上澄清: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此处规定时间的计算以系统中的倒计时间为准，供应商应随时保持系统在线，如因供应商自身原因未在规定时间内提交澄清确认资料的，导致的不利后果由供应商自行承担。</w:t>
      </w:r>
    </w:p>
    <w:p w14:paraId="56B68E94">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25．项目的终止</w:t>
      </w:r>
    </w:p>
    <w:p w14:paraId="1386475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25.1出现下列情形之一的，将终止竞争性谈判采购活动：</w:t>
      </w:r>
    </w:p>
    <w:p w14:paraId="0EA2635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25.1.1因情况变化，不再符合规定的竞争性谈判采购方式适用情形的；</w:t>
      </w:r>
    </w:p>
    <w:p w14:paraId="31ADA49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25.1.2出现影响采购公正的违法、违规行为的；</w:t>
      </w:r>
    </w:p>
    <w:p w14:paraId="2EFAF09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25.1.3在采购过程中符合竞争要求的供应商或者报价未超过采购最高限价的供应商不足3家的。</w:t>
      </w:r>
    </w:p>
    <w:p w14:paraId="3C0052DB">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26.谈判响应文件的评价和比较</w:t>
      </w:r>
    </w:p>
    <w:p w14:paraId="47D6A7C8">
      <w:pPr>
        <w:spacing w:line="348" w:lineRule="auto"/>
        <w:ind w:firstLine="502"/>
        <w:rPr>
          <w:rFonts w:ascii="宋体" w:hAnsi="宋体" w:cs="宋体"/>
          <w:color w:val="auto"/>
          <w:szCs w:val="21"/>
          <w:highlight w:val="none"/>
        </w:rPr>
      </w:pPr>
      <w:r>
        <w:rPr>
          <w:rFonts w:hint="eastAsia" w:ascii="宋体" w:hAnsi="宋体" w:cs="宋体"/>
          <w:color w:val="auto"/>
          <w:szCs w:val="21"/>
          <w:highlight w:val="none"/>
        </w:rPr>
        <w:t>26.1谈判小组将依据采购文件的规定，按第六章评审办法对所有参加谈判的供应商的响应文件进行实质性响应的评价，并确定参加单一谈判的实质性响应采购文件的供应商。</w:t>
      </w:r>
    </w:p>
    <w:p w14:paraId="063D7C3D">
      <w:pPr>
        <w:spacing w:line="348" w:lineRule="auto"/>
        <w:ind w:firstLine="502"/>
        <w:rPr>
          <w:rFonts w:ascii="宋体" w:hAnsi="宋体" w:cs="宋体"/>
          <w:color w:val="auto"/>
          <w:szCs w:val="21"/>
          <w:highlight w:val="none"/>
        </w:rPr>
      </w:pPr>
      <w:r>
        <w:rPr>
          <w:rFonts w:hint="eastAsia" w:ascii="宋体" w:hAnsi="宋体" w:cs="宋体"/>
          <w:color w:val="auto"/>
          <w:szCs w:val="21"/>
          <w:highlight w:val="none"/>
        </w:rPr>
        <w:t>26.2在谈判过程中，谈判小组如有实质性变动采购需求中的技术、服务要求以及合同草案条款的情形，则仍按第六章的评审办法对供应商就实质性变动内容重新提交的相应的书面响应材料进行评价。</w:t>
      </w:r>
    </w:p>
    <w:p w14:paraId="790768F8">
      <w:pPr>
        <w:spacing w:line="348" w:lineRule="auto"/>
        <w:ind w:firstLine="502"/>
        <w:rPr>
          <w:rFonts w:ascii="宋体" w:hAnsi="宋体" w:cs="宋体"/>
          <w:color w:val="auto"/>
          <w:szCs w:val="21"/>
          <w:highlight w:val="none"/>
        </w:rPr>
      </w:pPr>
      <w:r>
        <w:rPr>
          <w:rFonts w:hint="eastAsia" w:ascii="宋体" w:hAnsi="宋体" w:cs="宋体"/>
          <w:color w:val="auto"/>
          <w:szCs w:val="21"/>
          <w:highlight w:val="none"/>
        </w:rPr>
        <w:t>26.3采购人授权谈判小组根据本文件的规定，在最后报价不超过采购最高限价，且响应内容的质量和服务均能满足采购文件实质性响应要求的供应商（不少于三家）中，按照最后报价由低到高的顺序提出成交候选人，其中最后报价最低的供应商为第一成交候选供应商，并编写评审报告。</w:t>
      </w:r>
    </w:p>
    <w:p w14:paraId="7F93FB48">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27.成交单位的确认</w:t>
      </w:r>
    </w:p>
    <w:p w14:paraId="4F73536D">
      <w:pPr>
        <w:pStyle w:val="5"/>
        <w:spacing w:line="348" w:lineRule="auto"/>
        <w:ind w:firstLine="50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27.1谈判小组根据谈判响应单位资格审查情况，以及对谈判响应文件进行评价和比较，按照评审办法和标准进行评审，并根据采购人的委托，按照成交候选人的顺序在成交候选人中直接确定成交人。</w:t>
      </w:r>
    </w:p>
    <w:p w14:paraId="24B17D2C">
      <w:pPr>
        <w:pStyle w:val="5"/>
        <w:spacing w:line="348" w:lineRule="auto"/>
        <w:ind w:firstLine="50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27.2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4147445">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28.合同授予标准</w:t>
      </w:r>
    </w:p>
    <w:p w14:paraId="5389C77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28.1谈判采购单位将把合同授予其谈判响应文件在实质上响应谈判采购文件要求和按本须知规定评选出的谈判供应商。确定为成交的谈判供应商必须具有实施本合同的能力和资源。</w:t>
      </w:r>
    </w:p>
    <w:p w14:paraId="5BB4AB6A">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29.成交通知书</w:t>
      </w:r>
    </w:p>
    <w:p w14:paraId="2053E901">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29.1确定出成交单位后谈判响应文件有效期截止前，谈判采购单位将以书面形式通知成交的谈判供应商其响应被接受。在成交通知书中给出成交单位的成交标价、交货时间、质量标准和有关合同签订的日期和地点。</w:t>
      </w:r>
    </w:p>
    <w:p w14:paraId="3C7C9DC7">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29.3确定出成交单位后，采购代理机构在法定时间内向成交单位发出中标（成交）通知书。</w:t>
      </w:r>
      <w:r>
        <w:rPr>
          <w:rFonts w:hint="eastAsia" w:ascii="宋体" w:hAnsi="宋体" w:cs="宋体"/>
          <w:b/>
          <w:bCs/>
          <w:color w:val="auto"/>
          <w:szCs w:val="21"/>
          <w:highlight w:val="none"/>
        </w:rPr>
        <w:t>请成交单位在成交结果公告届满之日起30日内,使用CA证书登录“苏采云”系统及时下载中标（成交）通知书。</w:t>
      </w:r>
      <w:r>
        <w:rPr>
          <w:rFonts w:hint="eastAsia" w:ascii="宋体" w:hAnsi="宋体" w:cs="宋体"/>
          <w:color w:val="auto"/>
          <w:szCs w:val="21"/>
          <w:highlight w:val="none"/>
        </w:rPr>
        <w:t>因系统存储空间有限，自成交结果公告届满之日起30日后，“苏采云”系统不再保证提供下载中标通知书服务,因未及时下载而造成的不利后果由成交人自行承担。</w:t>
      </w:r>
    </w:p>
    <w:p w14:paraId="555F1E0C">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29.4成交通知书将成为合同的组成部分，对采购人和成交人具有同等法律效力。</w:t>
      </w:r>
    </w:p>
    <w:p w14:paraId="2AFBFDBB">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29.5中标（成交）通知书发出后，采购人不得违法改变成交结果，成交人无正当理由不得放弃。</w:t>
      </w:r>
    </w:p>
    <w:p w14:paraId="6E25F041">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29.6谈判采购单位对未成交单位不承担解释未成交原因的义务。</w:t>
      </w:r>
    </w:p>
    <w:p w14:paraId="6C18D59D">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30.质疑</w:t>
      </w:r>
    </w:p>
    <w:p w14:paraId="271130B2">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30.1质疑及答复遵守《政府采购质疑和投诉办法》（中华人民共和国财政部令第94号）规定。</w:t>
      </w:r>
    </w:p>
    <w:p w14:paraId="2ACD6C48">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30.2供应商认为采购文件、采购过程和采购结果使自己的权益受到损害的，可以在知道或应知其权益受到损害之日起七个工作日内，以书面形式根据下述条款的规定向代理提出质疑。上述应知其权益受到损害之日，是指：</w:t>
      </w:r>
    </w:p>
    <w:p w14:paraId="1D365F2E">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①对可以质疑的采购文件提出质疑的，为收到采购文件之日或者采购文件公告期限届满之日；</w:t>
      </w:r>
    </w:p>
    <w:p w14:paraId="377D4360">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②对采购过程提出质疑的，为各采购程序环节结束之日；</w:t>
      </w:r>
    </w:p>
    <w:p w14:paraId="67CA6CD4">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③对中标或者成交结果提出质疑的，为中标或者成交结果公告期限届满之日。</w:t>
      </w:r>
    </w:p>
    <w:p w14:paraId="46D0DE0F">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30.3供应商应当在法定质疑期内一次性提出针对同一采购程序环节的质疑。供应商如在法定期限内对同一采购程序环节提出多次质疑的，代理将只对供应商第一次质疑作出答复。</w:t>
      </w:r>
    </w:p>
    <w:p w14:paraId="20C38870">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30.4提出质疑的供应商应当是参与所质疑项目采购活动的供应商，未依照采购公告要求获取采购文件的供应商，视为未参与该项政府采购活动，不具备对该政府采购项目提出质疑的法定权利。</w:t>
      </w:r>
    </w:p>
    <w:p w14:paraId="125DBDE9">
      <w:pPr>
        <w:tabs>
          <w:tab w:val="left" w:pos="753"/>
        </w:tabs>
        <w:spacing w:line="360" w:lineRule="auto"/>
        <w:ind w:firstLine="482"/>
        <w:rPr>
          <w:rFonts w:ascii="宋体" w:hAnsi="宋体" w:cs="宋体"/>
          <w:b/>
          <w:bCs/>
          <w:color w:val="auto"/>
          <w:szCs w:val="21"/>
          <w:highlight w:val="none"/>
        </w:rPr>
      </w:pPr>
      <w:r>
        <w:rPr>
          <w:rFonts w:hint="eastAsia" w:ascii="宋体" w:hAnsi="宋体" w:cs="宋体"/>
          <w:b/>
          <w:bCs/>
          <w:color w:val="auto"/>
          <w:szCs w:val="21"/>
          <w:highlight w:val="none"/>
        </w:rPr>
        <w:t>对采购文件内容质疑时，需提供在《投标供应商确认函》，未提供的视为未依照采购公告要求获取谈判文件的供应商，不具备对该政府采购项目提出质疑的法定权利。</w:t>
      </w:r>
    </w:p>
    <w:p w14:paraId="04879B54">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30.5接收质疑函的方式为书面形式（当场送达或邮寄方式）。供应商质疑函范本格式请参照“苏州市政府采购”网站——“下载中心”——“</w:t>
      </w:r>
      <w:r>
        <w:rPr>
          <w:color w:val="auto"/>
          <w:highlight w:val="none"/>
        </w:rPr>
        <w:fldChar w:fldCharType="begin"/>
      </w:r>
      <w:r>
        <w:rPr>
          <w:color w:val="auto"/>
          <w:highlight w:val="none"/>
        </w:rPr>
        <w:instrText xml:space="preserve"> HYPERLINK "http://czju.suzhou.gov.cn/zfcg/html/content/20180305093615738.shtml" \t "http://czju.suzhou.gov.cn/zfcg/html/channel/_blank" \o "政府采购供应商质疑函范本" </w:instrText>
      </w:r>
      <w:r>
        <w:rPr>
          <w:color w:val="auto"/>
          <w:highlight w:val="none"/>
        </w:rPr>
        <w:fldChar w:fldCharType="separate"/>
      </w:r>
      <w:r>
        <w:rPr>
          <w:rFonts w:hint="eastAsia" w:ascii="宋体" w:hAnsi="宋体" w:cs="宋体"/>
          <w:color w:val="auto"/>
          <w:szCs w:val="21"/>
          <w:highlight w:val="none"/>
        </w:rPr>
        <w:t>政府采购供应商质疑函范本</w:t>
      </w:r>
      <w:r>
        <w:rPr>
          <w:rFonts w:hint="eastAsia" w:ascii="宋体" w:hAnsi="宋体" w:cs="宋体"/>
          <w:color w:val="auto"/>
          <w:szCs w:val="21"/>
          <w:highlight w:val="none"/>
        </w:rPr>
        <w:fldChar w:fldCharType="end"/>
      </w:r>
      <w:r>
        <w:rPr>
          <w:rFonts w:hint="eastAsia" w:ascii="宋体" w:hAnsi="宋体" w:cs="宋体"/>
          <w:color w:val="auto"/>
          <w:szCs w:val="21"/>
          <w:highlight w:val="none"/>
        </w:rPr>
        <w:t>”。 供应商如组成联合体参加投标，则《质疑函范本》中要求签字、盖章、加盖公章之处，联合体各方均须按要求签字、盖章、加盖公章。</w:t>
      </w:r>
    </w:p>
    <w:p w14:paraId="44F59EA3">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30.6供应商提出书面质疑必须有理、有据，不得捏造事实、提供虚假材料进行恶意质疑。否则，一经查实，代理有权依据政府采购的有关规定，报请政府采购监管部门对该供应商进行相应的行政处罚和记录该供应商的失信信息。</w:t>
      </w:r>
    </w:p>
    <w:p w14:paraId="2D894867">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30.7</w:t>
      </w:r>
      <w:r>
        <w:rPr>
          <w:rFonts w:hint="eastAsia" w:ascii="宋体" w:hAnsi="宋体" w:eastAsia="宋体" w:cs="宋体"/>
          <w:color w:val="auto"/>
          <w:kern w:val="2"/>
          <w:sz w:val="21"/>
          <w:szCs w:val="21"/>
          <w:highlight w:val="none"/>
          <w:lang w:val="zh-CN"/>
        </w:rPr>
        <w:t>接收质疑函的方式：书面形式（当场送达或邮寄方式）</w:t>
      </w:r>
    </w:p>
    <w:p w14:paraId="73E02829">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采购代理机构：苏州市创杰招投标咨询服务有限公司</w:t>
      </w:r>
    </w:p>
    <w:p w14:paraId="7E60BA59">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质疑联系人：路丽丽 潘莉莉   朱晓芹  </w:t>
      </w:r>
      <w:r>
        <w:rPr>
          <w:rFonts w:hint="eastAsia" w:ascii="宋体" w:hAnsi="宋体" w:eastAsia="宋体" w:cs="宋体"/>
          <w:color w:val="auto"/>
          <w:kern w:val="2"/>
          <w:sz w:val="21"/>
          <w:szCs w:val="21"/>
          <w:highlight w:val="none"/>
        </w:rPr>
        <w:t>庄天扬</w:t>
      </w:r>
    </w:p>
    <w:p w14:paraId="7A3ECB03">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邮编：215000</w:t>
      </w:r>
    </w:p>
    <w:p w14:paraId="7933B50D">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联系电话：0512-65238816</w:t>
      </w:r>
    </w:p>
    <w:p w14:paraId="382C6FFC">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现场递交地址:苏州市干将西路399号银海大厦303室</w:t>
      </w:r>
    </w:p>
    <w:p w14:paraId="3782619B">
      <w:pPr>
        <w:spacing w:line="360" w:lineRule="auto"/>
        <w:ind w:firstLine="482"/>
        <w:rPr>
          <w:rFonts w:ascii="宋体" w:hAnsi="宋体" w:cs="宋体"/>
          <w:b/>
          <w:color w:val="auto"/>
          <w:szCs w:val="21"/>
          <w:highlight w:val="none"/>
        </w:rPr>
      </w:pPr>
      <w:r>
        <w:rPr>
          <w:rFonts w:hint="eastAsia" w:ascii="宋体" w:hAnsi="宋体" w:cs="宋体"/>
          <w:color w:val="auto"/>
          <w:kern w:val="2"/>
          <w:szCs w:val="21"/>
          <w:highlight w:val="none"/>
          <w:lang w:val="zh-CN"/>
        </w:rPr>
        <w:t>邮寄收取地址:苏州市干将西路399号银海大厦303室</w:t>
      </w:r>
    </w:p>
    <w:p w14:paraId="7884C672">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31.合同的签订</w:t>
      </w:r>
    </w:p>
    <w:p w14:paraId="4B95F58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31.1成交单位应按成交通知书中规定的时间和地点，由法定代表人或代理人与甲方代表签订合同。否则按放弃处理。</w:t>
      </w:r>
    </w:p>
    <w:p w14:paraId="3C1ADDE7">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31.2签订合同及合同条款应以谈判采购文件和成交单位的谈判响应文件及其澄清文件为依据。</w:t>
      </w:r>
    </w:p>
    <w:p w14:paraId="3A80C38B">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32.代理服务费</w:t>
      </w:r>
    </w:p>
    <w:p w14:paraId="76FF88D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32.1成交服务费：由成交单位按照预算金额计算并支付，具体为100万元以内1.5%、100万元～500万元以内1.1%差额定率累进法计算并支付成交服务费，该费用应在领取成交通知书时付清。本项目中标服务费人民币</w:t>
      </w:r>
      <w:r>
        <w:rPr>
          <w:rFonts w:hint="eastAsia" w:ascii="宋体" w:hAnsi="宋体" w:eastAsia="宋体" w:cs="宋体"/>
          <w:color w:val="auto"/>
          <w:sz w:val="21"/>
          <w:szCs w:val="21"/>
          <w:highlight w:val="none"/>
          <w:lang w:val="en-US" w:eastAsia="zh-CN"/>
        </w:rPr>
        <w:t>贰万壹仟陆</w:t>
      </w:r>
      <w:r>
        <w:rPr>
          <w:rFonts w:hint="eastAsia" w:ascii="宋体" w:hAnsi="宋体" w:eastAsia="宋体" w:cs="宋体"/>
          <w:color w:val="auto"/>
          <w:sz w:val="21"/>
          <w:szCs w:val="21"/>
          <w:highlight w:val="none"/>
        </w:rPr>
        <w:t>佰元整。</w:t>
      </w:r>
    </w:p>
    <w:p w14:paraId="3639DAE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服务费交纳账户：苏州市创杰招投标咨询服务有限公司 </w:t>
      </w:r>
    </w:p>
    <w:p w14:paraId="5BA57D1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开户银行：江苏银行苏州金阊支行  </w:t>
      </w:r>
    </w:p>
    <w:p w14:paraId="4217AA2B">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账    号：30100188000004892</w:t>
      </w:r>
    </w:p>
    <w:p w14:paraId="706D2A95">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32.2成交单位如果未按规定缴纳代理服务费，招标代理机构将保留诉讼的权利。</w:t>
      </w:r>
    </w:p>
    <w:p w14:paraId="39485DB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33.谈判保证金：</w:t>
      </w:r>
    </w:p>
    <w:p w14:paraId="4E70D959">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不需提交，采购文件中有关谈判保证金的规定均不适用。投标（响应）人应在投标（响应）文件中提交《投标（响应）保证承诺书》（详见附件），否则为无效投标。</w:t>
      </w:r>
    </w:p>
    <w:p w14:paraId="71702370">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34.未尽事宜</w:t>
      </w:r>
    </w:p>
    <w:p w14:paraId="615291BF">
      <w:pPr>
        <w:pStyle w:val="5"/>
        <w:rPr>
          <w:rFonts w:eastAsia="宋体"/>
          <w:color w:val="auto"/>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按《中华人民共和国政府采购法》及其他有关的法律法规的规定执行。</w:t>
      </w:r>
    </w:p>
    <w:p w14:paraId="68761586">
      <w:pPr>
        <w:pageBreakBefore/>
        <w:tabs>
          <w:tab w:val="left" w:pos="315"/>
          <w:tab w:val="center" w:pos="4153"/>
        </w:tabs>
        <w:spacing w:line="360" w:lineRule="auto"/>
        <w:jc w:val="center"/>
        <w:outlineLvl w:val="0"/>
        <w:rPr>
          <w:rFonts w:ascii="宋体" w:hAnsi="宋体" w:cs="宋体"/>
          <w:b/>
          <w:color w:val="auto"/>
          <w:sz w:val="44"/>
          <w:szCs w:val="44"/>
          <w:highlight w:val="none"/>
        </w:rPr>
      </w:pPr>
    </w:p>
    <w:p w14:paraId="1E679AC7">
      <w:pPr>
        <w:tabs>
          <w:tab w:val="left" w:pos="315"/>
          <w:tab w:val="center" w:pos="4153"/>
        </w:tabs>
        <w:spacing w:line="360" w:lineRule="auto"/>
        <w:jc w:val="center"/>
        <w:outlineLvl w:val="0"/>
        <w:rPr>
          <w:rFonts w:ascii="宋体" w:hAnsi="宋体" w:cs="宋体"/>
          <w:b/>
          <w:color w:val="auto"/>
          <w:sz w:val="44"/>
          <w:szCs w:val="44"/>
          <w:highlight w:val="none"/>
        </w:rPr>
      </w:pPr>
      <w:r>
        <w:rPr>
          <w:rFonts w:hint="eastAsia" w:ascii="宋体" w:hAnsi="宋体" w:cs="宋体"/>
          <w:b/>
          <w:color w:val="auto"/>
          <w:sz w:val="44"/>
          <w:szCs w:val="44"/>
          <w:highlight w:val="none"/>
        </w:rPr>
        <w:t>第三章  谈判响应文件格式</w:t>
      </w:r>
    </w:p>
    <w:p w14:paraId="6BEAAC8F">
      <w:pPr>
        <w:pStyle w:val="5"/>
        <w:spacing w:line="360" w:lineRule="auto"/>
        <w:ind w:firstLine="0"/>
        <w:rPr>
          <w:rFonts w:ascii="宋体" w:hAnsi="宋体" w:eastAsia="宋体" w:cs="宋体"/>
          <w:b/>
          <w:color w:val="auto"/>
          <w:highlight w:val="none"/>
        </w:rPr>
      </w:pPr>
    </w:p>
    <w:p w14:paraId="7875BB6F">
      <w:pPr>
        <w:pStyle w:val="5"/>
        <w:spacing w:line="360" w:lineRule="auto"/>
        <w:ind w:firstLine="0"/>
        <w:rPr>
          <w:rFonts w:ascii="宋体" w:hAnsi="宋体" w:eastAsia="宋体" w:cs="宋体"/>
          <w:b/>
          <w:color w:val="auto"/>
          <w:highlight w:val="none"/>
        </w:rPr>
      </w:pPr>
    </w:p>
    <w:p w14:paraId="41F31889">
      <w:pPr>
        <w:pStyle w:val="5"/>
        <w:spacing w:line="360" w:lineRule="auto"/>
        <w:ind w:firstLine="0"/>
        <w:rPr>
          <w:rFonts w:ascii="宋体" w:hAnsi="宋体" w:eastAsia="宋体" w:cs="宋体"/>
          <w:b/>
          <w:color w:val="auto"/>
          <w:highlight w:val="none"/>
        </w:rPr>
      </w:pPr>
    </w:p>
    <w:p w14:paraId="2128F24F">
      <w:pPr>
        <w:pStyle w:val="5"/>
        <w:spacing w:line="360" w:lineRule="auto"/>
        <w:ind w:firstLine="0"/>
        <w:rPr>
          <w:rFonts w:ascii="宋体" w:hAnsi="宋体" w:eastAsia="宋体" w:cs="宋体"/>
          <w:b/>
          <w:color w:val="auto"/>
          <w:highlight w:val="none"/>
        </w:rPr>
      </w:pPr>
      <w:r>
        <w:rPr>
          <w:rFonts w:hint="eastAsia" w:ascii="宋体" w:hAnsi="宋体" w:eastAsia="宋体" w:cs="宋体"/>
          <w:b/>
          <w:color w:val="auto"/>
          <w:highlight w:val="none"/>
        </w:rPr>
        <w:t>说明：</w:t>
      </w:r>
    </w:p>
    <w:p w14:paraId="7B1A26BA">
      <w:pPr>
        <w:pStyle w:val="5"/>
        <w:rPr>
          <w:rFonts w:eastAsia="宋体"/>
          <w:color w:val="auto"/>
          <w:highlight w:val="none"/>
        </w:rPr>
      </w:pPr>
      <w:r>
        <w:rPr>
          <w:rFonts w:hint="eastAsia" w:ascii="宋体" w:hAnsi="宋体" w:eastAsia="宋体" w:cs="宋体"/>
          <w:b/>
          <w:color w:val="auto"/>
          <w:highlight w:val="none"/>
        </w:rPr>
        <w:t>对本章所有的格式 ，谈判供应商可根据自身情况进行补充和修改，但补充和修改不得造成与本格式内容有实质性的违背。</w:t>
      </w:r>
    </w:p>
    <w:p w14:paraId="74B9F60C">
      <w:pPr>
        <w:pStyle w:val="55"/>
        <w:ind w:firstLine="420"/>
        <w:rPr>
          <w:rFonts w:cs="宋体"/>
          <w:color w:val="auto"/>
          <w:sz w:val="21"/>
          <w:szCs w:val="21"/>
          <w:highlight w:val="none"/>
        </w:rPr>
      </w:pPr>
    </w:p>
    <w:p w14:paraId="56AEF5FF">
      <w:pPr>
        <w:spacing w:line="360" w:lineRule="auto"/>
        <w:outlineLvl w:val="1"/>
        <w:rPr>
          <w:rFonts w:ascii="宋体" w:hAnsi="宋体" w:cs="宋体"/>
          <w:b/>
          <w:color w:val="auto"/>
          <w:szCs w:val="21"/>
          <w:highlight w:val="none"/>
        </w:rPr>
      </w:pPr>
    </w:p>
    <w:p w14:paraId="452E85A3">
      <w:pPr>
        <w:spacing w:line="360" w:lineRule="auto"/>
        <w:outlineLvl w:val="1"/>
        <w:rPr>
          <w:rFonts w:ascii="宋体" w:hAnsi="宋体" w:cs="宋体"/>
          <w:b/>
          <w:color w:val="auto"/>
          <w:szCs w:val="21"/>
          <w:highlight w:val="none"/>
        </w:rPr>
      </w:pPr>
    </w:p>
    <w:p w14:paraId="5CDE400D">
      <w:pPr>
        <w:spacing w:line="360" w:lineRule="auto"/>
        <w:outlineLvl w:val="1"/>
        <w:rPr>
          <w:rFonts w:ascii="宋体" w:hAnsi="宋体" w:cs="宋体"/>
          <w:b/>
          <w:color w:val="auto"/>
          <w:szCs w:val="21"/>
          <w:highlight w:val="none"/>
        </w:rPr>
      </w:pPr>
    </w:p>
    <w:p w14:paraId="1418E5DB">
      <w:pPr>
        <w:spacing w:line="360" w:lineRule="auto"/>
        <w:outlineLvl w:val="1"/>
        <w:rPr>
          <w:rFonts w:ascii="宋体" w:hAnsi="宋体" w:cs="宋体"/>
          <w:b/>
          <w:color w:val="auto"/>
          <w:szCs w:val="21"/>
          <w:highlight w:val="none"/>
        </w:rPr>
      </w:pPr>
    </w:p>
    <w:p w14:paraId="37F6B609">
      <w:pPr>
        <w:spacing w:line="360" w:lineRule="auto"/>
        <w:outlineLvl w:val="1"/>
        <w:rPr>
          <w:rFonts w:ascii="宋体" w:hAnsi="宋体" w:cs="宋体"/>
          <w:b/>
          <w:color w:val="auto"/>
          <w:szCs w:val="21"/>
          <w:highlight w:val="none"/>
        </w:rPr>
      </w:pPr>
    </w:p>
    <w:p w14:paraId="3F5E0BC5">
      <w:pPr>
        <w:spacing w:line="360" w:lineRule="auto"/>
        <w:outlineLvl w:val="1"/>
        <w:rPr>
          <w:rFonts w:ascii="宋体" w:hAnsi="宋体" w:cs="宋体"/>
          <w:b/>
          <w:color w:val="auto"/>
          <w:szCs w:val="21"/>
          <w:highlight w:val="none"/>
        </w:rPr>
      </w:pPr>
    </w:p>
    <w:p w14:paraId="677659CC">
      <w:pPr>
        <w:spacing w:line="360" w:lineRule="auto"/>
        <w:outlineLvl w:val="1"/>
        <w:rPr>
          <w:rFonts w:ascii="宋体" w:hAnsi="宋体" w:cs="宋体"/>
          <w:b/>
          <w:color w:val="auto"/>
          <w:szCs w:val="21"/>
          <w:highlight w:val="none"/>
        </w:rPr>
      </w:pPr>
    </w:p>
    <w:p w14:paraId="5C54D2F1">
      <w:pPr>
        <w:spacing w:line="360" w:lineRule="auto"/>
        <w:outlineLvl w:val="1"/>
        <w:rPr>
          <w:rFonts w:ascii="宋体" w:hAnsi="宋体" w:cs="宋体"/>
          <w:b/>
          <w:color w:val="auto"/>
          <w:szCs w:val="21"/>
          <w:highlight w:val="none"/>
        </w:rPr>
      </w:pPr>
    </w:p>
    <w:p w14:paraId="1FF80030">
      <w:pPr>
        <w:spacing w:line="360" w:lineRule="auto"/>
        <w:outlineLvl w:val="1"/>
        <w:rPr>
          <w:rFonts w:ascii="宋体" w:hAnsi="宋体" w:cs="宋体"/>
          <w:b/>
          <w:color w:val="auto"/>
          <w:szCs w:val="21"/>
          <w:highlight w:val="none"/>
        </w:rPr>
      </w:pPr>
    </w:p>
    <w:p w14:paraId="045C6D61">
      <w:pPr>
        <w:spacing w:line="360" w:lineRule="auto"/>
        <w:outlineLvl w:val="1"/>
        <w:rPr>
          <w:rFonts w:ascii="宋体" w:hAnsi="宋体" w:cs="宋体"/>
          <w:b/>
          <w:color w:val="auto"/>
          <w:szCs w:val="21"/>
          <w:highlight w:val="none"/>
        </w:rPr>
      </w:pPr>
    </w:p>
    <w:p w14:paraId="35D3DB9F">
      <w:pPr>
        <w:spacing w:line="360" w:lineRule="auto"/>
        <w:outlineLvl w:val="1"/>
        <w:rPr>
          <w:rFonts w:ascii="宋体" w:hAnsi="宋体" w:cs="宋体"/>
          <w:b/>
          <w:color w:val="auto"/>
          <w:szCs w:val="21"/>
          <w:highlight w:val="none"/>
        </w:rPr>
      </w:pPr>
    </w:p>
    <w:p w14:paraId="45B5F9AE">
      <w:pPr>
        <w:spacing w:line="360" w:lineRule="auto"/>
        <w:outlineLvl w:val="1"/>
        <w:rPr>
          <w:rFonts w:ascii="宋体" w:hAnsi="宋体" w:cs="宋体"/>
          <w:b/>
          <w:color w:val="auto"/>
          <w:szCs w:val="21"/>
          <w:highlight w:val="none"/>
        </w:rPr>
      </w:pPr>
    </w:p>
    <w:p w14:paraId="625DBD67">
      <w:pPr>
        <w:spacing w:line="360" w:lineRule="auto"/>
        <w:outlineLvl w:val="1"/>
        <w:rPr>
          <w:rFonts w:ascii="宋体" w:hAnsi="宋体" w:cs="宋体"/>
          <w:b/>
          <w:color w:val="auto"/>
          <w:szCs w:val="21"/>
          <w:highlight w:val="none"/>
        </w:rPr>
      </w:pPr>
    </w:p>
    <w:p w14:paraId="3521E884">
      <w:pPr>
        <w:spacing w:line="360" w:lineRule="auto"/>
        <w:outlineLvl w:val="1"/>
        <w:rPr>
          <w:rFonts w:ascii="宋体" w:hAnsi="宋体" w:cs="宋体"/>
          <w:b/>
          <w:color w:val="auto"/>
          <w:szCs w:val="21"/>
          <w:highlight w:val="none"/>
        </w:rPr>
      </w:pPr>
    </w:p>
    <w:p w14:paraId="23693ED6">
      <w:pPr>
        <w:spacing w:line="360" w:lineRule="auto"/>
        <w:outlineLvl w:val="1"/>
        <w:rPr>
          <w:rFonts w:ascii="宋体" w:hAnsi="宋体" w:cs="宋体"/>
          <w:b/>
          <w:color w:val="auto"/>
          <w:szCs w:val="21"/>
          <w:highlight w:val="none"/>
        </w:rPr>
      </w:pPr>
    </w:p>
    <w:p w14:paraId="5FA36DE3">
      <w:pPr>
        <w:spacing w:line="360" w:lineRule="auto"/>
        <w:outlineLvl w:val="1"/>
        <w:rPr>
          <w:rFonts w:ascii="宋体" w:hAnsi="宋体" w:cs="宋体"/>
          <w:b/>
          <w:color w:val="auto"/>
          <w:szCs w:val="21"/>
          <w:highlight w:val="none"/>
        </w:rPr>
      </w:pPr>
    </w:p>
    <w:p w14:paraId="78DDC8E5">
      <w:pPr>
        <w:spacing w:line="360" w:lineRule="auto"/>
        <w:outlineLvl w:val="1"/>
        <w:rPr>
          <w:rFonts w:ascii="宋体" w:hAnsi="宋体" w:cs="宋体"/>
          <w:b/>
          <w:color w:val="auto"/>
          <w:szCs w:val="21"/>
          <w:highlight w:val="none"/>
        </w:rPr>
      </w:pPr>
    </w:p>
    <w:p w14:paraId="45C9FA80">
      <w:pPr>
        <w:spacing w:line="360" w:lineRule="auto"/>
        <w:outlineLvl w:val="1"/>
        <w:rPr>
          <w:rFonts w:ascii="宋体" w:hAnsi="宋体" w:cs="宋体"/>
          <w:b/>
          <w:color w:val="auto"/>
          <w:szCs w:val="21"/>
          <w:highlight w:val="none"/>
        </w:rPr>
      </w:pPr>
    </w:p>
    <w:p w14:paraId="77EB4FD4">
      <w:pPr>
        <w:spacing w:line="360" w:lineRule="auto"/>
        <w:outlineLvl w:val="1"/>
        <w:rPr>
          <w:rFonts w:ascii="宋体" w:hAnsi="宋体" w:cs="宋体"/>
          <w:b/>
          <w:color w:val="auto"/>
          <w:szCs w:val="21"/>
          <w:highlight w:val="none"/>
        </w:rPr>
      </w:pPr>
    </w:p>
    <w:p w14:paraId="58BA2416">
      <w:pPr>
        <w:spacing w:line="360" w:lineRule="auto"/>
        <w:outlineLvl w:val="1"/>
        <w:rPr>
          <w:rFonts w:ascii="宋体" w:hAnsi="宋体" w:cs="宋体"/>
          <w:b/>
          <w:color w:val="auto"/>
          <w:szCs w:val="21"/>
          <w:highlight w:val="none"/>
        </w:rPr>
      </w:pPr>
    </w:p>
    <w:p w14:paraId="235D8CCD">
      <w:pPr>
        <w:spacing w:line="360" w:lineRule="auto"/>
        <w:outlineLvl w:val="1"/>
        <w:rPr>
          <w:rFonts w:ascii="宋体" w:hAnsi="宋体" w:cs="宋体"/>
          <w:b/>
          <w:color w:val="auto"/>
          <w:szCs w:val="21"/>
          <w:highlight w:val="none"/>
        </w:rPr>
      </w:pPr>
    </w:p>
    <w:p w14:paraId="5B70290E">
      <w:pPr>
        <w:spacing w:line="360" w:lineRule="auto"/>
        <w:outlineLvl w:val="1"/>
        <w:rPr>
          <w:rFonts w:ascii="宋体" w:hAnsi="宋体" w:cs="宋体"/>
          <w:b/>
          <w:color w:val="auto"/>
          <w:szCs w:val="21"/>
          <w:highlight w:val="none"/>
        </w:rPr>
      </w:pPr>
    </w:p>
    <w:p w14:paraId="4D53B4F1">
      <w:pPr>
        <w:spacing w:line="360" w:lineRule="auto"/>
        <w:outlineLvl w:val="1"/>
        <w:rPr>
          <w:rFonts w:ascii="宋体" w:hAnsi="宋体" w:cs="宋体"/>
          <w:b/>
          <w:color w:val="auto"/>
          <w:szCs w:val="21"/>
          <w:highlight w:val="none"/>
        </w:rPr>
      </w:pPr>
    </w:p>
    <w:p w14:paraId="62D63310">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附件1：开标一览表</w:t>
      </w:r>
    </w:p>
    <w:p w14:paraId="3B5122BB">
      <w:pPr>
        <w:spacing w:line="360" w:lineRule="auto"/>
        <w:jc w:val="center"/>
        <w:rPr>
          <w:rFonts w:ascii="宋体" w:hAnsi="宋体" w:cs="宋体"/>
          <w:b/>
          <w:color w:val="auto"/>
          <w:szCs w:val="21"/>
          <w:highlight w:val="none"/>
        </w:rPr>
      </w:pPr>
    </w:p>
    <w:p w14:paraId="58D26AFF">
      <w:pPr>
        <w:spacing w:line="360" w:lineRule="auto"/>
        <w:jc w:val="center"/>
        <w:rPr>
          <w:rFonts w:ascii="宋体" w:hAnsi="宋体" w:cs="宋体"/>
          <w:color w:val="auto"/>
          <w:szCs w:val="21"/>
          <w:highlight w:val="none"/>
        </w:rPr>
      </w:pPr>
      <w:r>
        <w:rPr>
          <w:rFonts w:hint="eastAsia" w:ascii="宋体" w:hAnsi="宋体" w:cs="宋体"/>
          <w:b/>
          <w:color w:val="auto"/>
          <w:highlight w:val="none"/>
        </w:rPr>
        <w:t>开标一览表</w:t>
      </w:r>
    </w:p>
    <w:p w14:paraId="7E784D16">
      <w:pPr>
        <w:spacing w:line="360"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rPr>
        <w:t xml:space="preserve">采购编号：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2498"/>
        <w:gridCol w:w="2335"/>
        <w:gridCol w:w="2381"/>
      </w:tblGrid>
      <w:tr w14:paraId="0160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633" w:type="dxa"/>
            <w:noWrap/>
          </w:tcPr>
          <w:p w14:paraId="613BF251">
            <w:pPr>
              <w:pStyle w:val="225"/>
              <w:jc w:val="center"/>
              <w:rPr>
                <w:rFonts w:hAnsi="宋体" w:eastAsia="宋体" w:cs="宋体"/>
                <w:color w:val="auto"/>
                <w:sz w:val="21"/>
                <w:highlight w:val="none"/>
              </w:rPr>
            </w:pPr>
            <w:r>
              <w:rPr>
                <w:rFonts w:hint="eastAsia" w:hAnsi="宋体" w:eastAsia="宋体" w:cs="宋体"/>
                <w:color w:val="auto"/>
                <w:sz w:val="21"/>
                <w:highlight w:val="none"/>
              </w:rPr>
              <w:t>序号</w:t>
            </w:r>
          </w:p>
        </w:tc>
        <w:tc>
          <w:tcPr>
            <w:tcW w:w="2498" w:type="dxa"/>
            <w:noWrap/>
          </w:tcPr>
          <w:p w14:paraId="0B8C79BE">
            <w:pPr>
              <w:pStyle w:val="225"/>
              <w:jc w:val="center"/>
              <w:rPr>
                <w:rFonts w:hAnsi="宋体" w:eastAsia="宋体" w:cs="宋体"/>
                <w:color w:val="auto"/>
                <w:sz w:val="21"/>
                <w:highlight w:val="none"/>
              </w:rPr>
            </w:pPr>
            <w:r>
              <w:rPr>
                <w:rFonts w:hint="eastAsia" w:hAnsi="宋体" w:eastAsia="宋体" w:cs="宋体"/>
                <w:color w:val="auto"/>
                <w:sz w:val="21"/>
                <w:highlight w:val="none"/>
              </w:rPr>
              <w:t>项目名称</w:t>
            </w:r>
          </w:p>
        </w:tc>
        <w:tc>
          <w:tcPr>
            <w:tcW w:w="2335" w:type="dxa"/>
            <w:noWrap/>
          </w:tcPr>
          <w:p w14:paraId="756C6FB0">
            <w:pPr>
              <w:pStyle w:val="225"/>
              <w:jc w:val="center"/>
              <w:rPr>
                <w:rFonts w:hAnsi="宋体" w:eastAsia="宋体" w:cs="宋体"/>
                <w:color w:val="auto"/>
                <w:sz w:val="21"/>
                <w:highlight w:val="none"/>
              </w:rPr>
            </w:pPr>
            <w:r>
              <w:rPr>
                <w:rFonts w:hint="eastAsia" w:hAnsi="宋体" w:eastAsia="宋体" w:cs="宋体"/>
                <w:color w:val="auto"/>
                <w:sz w:val="21"/>
                <w:highlight w:val="none"/>
              </w:rPr>
              <w:t>谈判总报价（元）</w:t>
            </w:r>
          </w:p>
        </w:tc>
        <w:tc>
          <w:tcPr>
            <w:tcW w:w="2381" w:type="dxa"/>
            <w:noWrap/>
          </w:tcPr>
          <w:p w14:paraId="51F93CC3">
            <w:pPr>
              <w:pStyle w:val="225"/>
              <w:jc w:val="center"/>
              <w:rPr>
                <w:rFonts w:hAnsi="宋体" w:eastAsia="宋体" w:cs="宋体"/>
                <w:color w:val="auto"/>
                <w:sz w:val="21"/>
                <w:highlight w:val="none"/>
              </w:rPr>
            </w:pPr>
            <w:r>
              <w:rPr>
                <w:rFonts w:hint="eastAsia" w:hAnsi="宋体" w:eastAsia="宋体" w:cs="宋体"/>
                <w:color w:val="auto"/>
                <w:sz w:val="21"/>
                <w:highlight w:val="none"/>
              </w:rPr>
              <w:t>交货期</w:t>
            </w:r>
          </w:p>
        </w:tc>
      </w:tr>
      <w:tr w14:paraId="2A78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633" w:type="dxa"/>
            <w:noWrap/>
          </w:tcPr>
          <w:p w14:paraId="7708ABC9">
            <w:pPr>
              <w:pStyle w:val="225"/>
              <w:jc w:val="center"/>
              <w:rPr>
                <w:rFonts w:hAnsi="宋体" w:eastAsia="宋体" w:cs="宋体"/>
                <w:color w:val="auto"/>
                <w:sz w:val="21"/>
                <w:highlight w:val="none"/>
              </w:rPr>
            </w:pPr>
          </w:p>
        </w:tc>
        <w:tc>
          <w:tcPr>
            <w:tcW w:w="2498" w:type="dxa"/>
            <w:noWrap/>
          </w:tcPr>
          <w:p w14:paraId="2CC0ACE7">
            <w:pPr>
              <w:pStyle w:val="225"/>
              <w:jc w:val="center"/>
              <w:rPr>
                <w:rFonts w:hAnsi="宋体" w:eastAsia="宋体" w:cs="宋体"/>
                <w:color w:val="auto"/>
                <w:sz w:val="21"/>
                <w:highlight w:val="none"/>
              </w:rPr>
            </w:pPr>
          </w:p>
        </w:tc>
        <w:tc>
          <w:tcPr>
            <w:tcW w:w="2335" w:type="dxa"/>
            <w:noWrap/>
          </w:tcPr>
          <w:p w14:paraId="5FF1226B">
            <w:pPr>
              <w:pStyle w:val="225"/>
              <w:jc w:val="center"/>
              <w:rPr>
                <w:rFonts w:hAnsi="宋体" w:eastAsia="宋体" w:cs="宋体"/>
                <w:color w:val="auto"/>
                <w:sz w:val="21"/>
                <w:highlight w:val="none"/>
              </w:rPr>
            </w:pPr>
          </w:p>
        </w:tc>
        <w:tc>
          <w:tcPr>
            <w:tcW w:w="2381" w:type="dxa"/>
            <w:noWrap/>
          </w:tcPr>
          <w:p w14:paraId="2A5EBCE6">
            <w:pPr>
              <w:pStyle w:val="225"/>
              <w:jc w:val="center"/>
              <w:rPr>
                <w:rFonts w:hAnsi="宋体" w:eastAsia="宋体" w:cs="宋体"/>
                <w:color w:val="auto"/>
                <w:sz w:val="21"/>
                <w:highlight w:val="none"/>
              </w:rPr>
            </w:pPr>
          </w:p>
        </w:tc>
      </w:tr>
      <w:tr w14:paraId="4341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847" w:type="dxa"/>
            <w:gridSpan w:val="4"/>
            <w:noWrap/>
          </w:tcPr>
          <w:p w14:paraId="1A0C3E24">
            <w:pPr>
              <w:pStyle w:val="225"/>
              <w:rPr>
                <w:rFonts w:hAnsi="宋体" w:eastAsia="宋体" w:cs="宋体"/>
                <w:color w:val="auto"/>
                <w:sz w:val="21"/>
                <w:highlight w:val="none"/>
              </w:rPr>
            </w:pPr>
            <w:r>
              <w:rPr>
                <w:rFonts w:hint="eastAsia" w:hAnsi="宋体" w:eastAsia="宋体" w:cs="宋体"/>
                <w:color w:val="auto"/>
                <w:sz w:val="21"/>
                <w:highlight w:val="none"/>
              </w:rPr>
              <w:t>谈判总报价：人民币（大写）</w:t>
            </w:r>
          </w:p>
        </w:tc>
      </w:tr>
    </w:tbl>
    <w:p w14:paraId="394C868F">
      <w:pPr>
        <w:spacing w:line="360" w:lineRule="auto"/>
        <w:rPr>
          <w:rFonts w:ascii="宋体" w:hAnsi="宋体" w:cs="宋体"/>
          <w:color w:val="auto"/>
          <w:szCs w:val="21"/>
          <w:highlight w:val="none"/>
        </w:rPr>
      </w:pPr>
    </w:p>
    <w:p w14:paraId="49FAF131">
      <w:pPr>
        <w:spacing w:line="360" w:lineRule="auto"/>
        <w:rPr>
          <w:rFonts w:ascii="宋体" w:hAnsi="宋体" w:cs="宋体"/>
          <w:color w:val="auto"/>
          <w:szCs w:val="21"/>
          <w:highlight w:val="none"/>
        </w:rPr>
      </w:pPr>
      <w:r>
        <w:rPr>
          <w:rFonts w:hint="eastAsia" w:ascii="宋体" w:hAnsi="宋体" w:cs="宋体"/>
          <w:color w:val="auto"/>
          <w:szCs w:val="21"/>
          <w:highlight w:val="none"/>
        </w:rPr>
        <w:t>谈判响应单位：（签章）</w:t>
      </w:r>
    </w:p>
    <w:p w14:paraId="605580C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738E44F1">
      <w:pPr>
        <w:pStyle w:val="2"/>
        <w:pageBreakBefore/>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附件2：谈判报价分析表</w:t>
      </w:r>
    </w:p>
    <w:p w14:paraId="0F0BB195">
      <w:pPr>
        <w:jc w:val="center"/>
        <w:rPr>
          <w:rFonts w:ascii="宋体" w:hAnsi="宋体" w:cs="宋体"/>
          <w:b/>
          <w:color w:val="auto"/>
          <w:szCs w:val="21"/>
          <w:highlight w:val="none"/>
        </w:rPr>
      </w:pPr>
      <w:r>
        <w:rPr>
          <w:rFonts w:hint="eastAsia" w:ascii="宋体" w:hAnsi="宋体" w:cs="宋体"/>
          <w:b/>
          <w:color w:val="auto"/>
          <w:szCs w:val="21"/>
          <w:highlight w:val="none"/>
        </w:rPr>
        <w:t>谈判报价分析表</w:t>
      </w:r>
    </w:p>
    <w:p w14:paraId="185192B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37"/>
        <w:gridCol w:w="1402"/>
        <w:gridCol w:w="1245"/>
        <w:gridCol w:w="1882"/>
        <w:gridCol w:w="588"/>
        <w:gridCol w:w="588"/>
        <w:gridCol w:w="588"/>
        <w:gridCol w:w="1485"/>
        <w:gridCol w:w="773"/>
      </w:tblGrid>
      <w:tr w14:paraId="7228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vAlign w:val="center"/>
          </w:tcPr>
          <w:p w14:paraId="39C046E1">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序号</w:t>
            </w:r>
          </w:p>
        </w:tc>
        <w:tc>
          <w:tcPr>
            <w:tcW w:w="1493" w:type="dxa"/>
            <w:noWrap/>
            <w:vAlign w:val="center"/>
          </w:tcPr>
          <w:p w14:paraId="1918D85F">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标的物名称</w:t>
            </w:r>
          </w:p>
        </w:tc>
        <w:tc>
          <w:tcPr>
            <w:tcW w:w="1324" w:type="dxa"/>
            <w:noWrap/>
            <w:vAlign w:val="center"/>
          </w:tcPr>
          <w:p w14:paraId="35360A01">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品牌、规格、型号</w:t>
            </w:r>
          </w:p>
        </w:tc>
        <w:tc>
          <w:tcPr>
            <w:tcW w:w="2010" w:type="dxa"/>
            <w:noWrap/>
            <w:vAlign w:val="center"/>
          </w:tcPr>
          <w:p w14:paraId="1AAEE9A4">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生产制造商</w:t>
            </w:r>
          </w:p>
        </w:tc>
        <w:tc>
          <w:tcPr>
            <w:tcW w:w="617" w:type="dxa"/>
            <w:noWrap/>
            <w:vAlign w:val="center"/>
          </w:tcPr>
          <w:p w14:paraId="02547B86">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单位</w:t>
            </w:r>
          </w:p>
        </w:tc>
        <w:tc>
          <w:tcPr>
            <w:tcW w:w="617" w:type="dxa"/>
            <w:noWrap/>
            <w:vAlign w:val="center"/>
          </w:tcPr>
          <w:p w14:paraId="54256FF5">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数量</w:t>
            </w:r>
          </w:p>
        </w:tc>
        <w:tc>
          <w:tcPr>
            <w:tcW w:w="617" w:type="dxa"/>
            <w:noWrap/>
            <w:vAlign w:val="center"/>
          </w:tcPr>
          <w:p w14:paraId="5C1088A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单价</w:t>
            </w:r>
          </w:p>
        </w:tc>
        <w:tc>
          <w:tcPr>
            <w:tcW w:w="1583" w:type="dxa"/>
            <w:noWrap/>
            <w:vAlign w:val="center"/>
          </w:tcPr>
          <w:p w14:paraId="137BF82B">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 xml:space="preserve">交付及完成安装期 </w:t>
            </w:r>
          </w:p>
        </w:tc>
        <w:tc>
          <w:tcPr>
            <w:tcW w:w="816" w:type="dxa"/>
            <w:noWrap/>
            <w:vAlign w:val="center"/>
          </w:tcPr>
          <w:p w14:paraId="08DF72A0">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总价</w:t>
            </w:r>
          </w:p>
        </w:tc>
      </w:tr>
      <w:tr w14:paraId="59E0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171BE5ED">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1</w:t>
            </w:r>
          </w:p>
        </w:tc>
        <w:tc>
          <w:tcPr>
            <w:tcW w:w="1493" w:type="dxa"/>
            <w:noWrap/>
          </w:tcPr>
          <w:p w14:paraId="0D603F0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2</w:t>
            </w:r>
          </w:p>
        </w:tc>
        <w:tc>
          <w:tcPr>
            <w:tcW w:w="1324" w:type="dxa"/>
            <w:noWrap/>
          </w:tcPr>
          <w:p w14:paraId="7461C5A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3</w:t>
            </w:r>
          </w:p>
        </w:tc>
        <w:tc>
          <w:tcPr>
            <w:tcW w:w="2010" w:type="dxa"/>
            <w:noWrap/>
          </w:tcPr>
          <w:p w14:paraId="25A0C8F7">
            <w:pPr>
              <w:pStyle w:val="21"/>
              <w:jc w:val="center"/>
              <w:rPr>
                <w:rFonts w:hAnsi="宋体" w:eastAsia="宋体" w:cs="宋体"/>
                <w:color w:val="auto"/>
                <w:sz w:val="21"/>
                <w:szCs w:val="21"/>
                <w:highlight w:val="none"/>
              </w:rPr>
            </w:pPr>
          </w:p>
        </w:tc>
        <w:tc>
          <w:tcPr>
            <w:tcW w:w="617" w:type="dxa"/>
            <w:noWrap/>
          </w:tcPr>
          <w:p w14:paraId="10A770E6">
            <w:pPr>
              <w:pStyle w:val="21"/>
              <w:jc w:val="center"/>
              <w:rPr>
                <w:rFonts w:hAnsi="宋体" w:eastAsia="宋体" w:cs="宋体"/>
                <w:color w:val="auto"/>
                <w:sz w:val="21"/>
                <w:szCs w:val="21"/>
                <w:highlight w:val="none"/>
              </w:rPr>
            </w:pPr>
          </w:p>
        </w:tc>
        <w:tc>
          <w:tcPr>
            <w:tcW w:w="617" w:type="dxa"/>
            <w:noWrap/>
          </w:tcPr>
          <w:p w14:paraId="0B9B5836">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4</w:t>
            </w:r>
          </w:p>
        </w:tc>
        <w:tc>
          <w:tcPr>
            <w:tcW w:w="617" w:type="dxa"/>
            <w:noWrap/>
          </w:tcPr>
          <w:p w14:paraId="25A9967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5</w:t>
            </w:r>
          </w:p>
        </w:tc>
        <w:tc>
          <w:tcPr>
            <w:tcW w:w="1583" w:type="dxa"/>
            <w:noWrap/>
          </w:tcPr>
          <w:p w14:paraId="7CD3B28A">
            <w:pPr>
              <w:pStyle w:val="21"/>
              <w:jc w:val="center"/>
              <w:rPr>
                <w:rFonts w:hAnsi="宋体" w:eastAsia="宋体" w:cs="宋体"/>
                <w:color w:val="auto"/>
                <w:sz w:val="21"/>
                <w:szCs w:val="21"/>
                <w:highlight w:val="none"/>
              </w:rPr>
            </w:pPr>
          </w:p>
        </w:tc>
        <w:tc>
          <w:tcPr>
            <w:tcW w:w="816" w:type="dxa"/>
            <w:noWrap/>
          </w:tcPr>
          <w:p w14:paraId="16937A86">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6=4*5</w:t>
            </w:r>
          </w:p>
        </w:tc>
      </w:tr>
      <w:tr w14:paraId="41FA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7EFDCDF0">
            <w:pPr>
              <w:pStyle w:val="21"/>
              <w:jc w:val="center"/>
              <w:rPr>
                <w:rFonts w:hAnsi="宋体" w:eastAsia="宋体" w:cs="宋体"/>
                <w:color w:val="auto"/>
                <w:sz w:val="21"/>
                <w:szCs w:val="21"/>
                <w:highlight w:val="none"/>
              </w:rPr>
            </w:pPr>
          </w:p>
        </w:tc>
        <w:tc>
          <w:tcPr>
            <w:tcW w:w="1493" w:type="dxa"/>
            <w:noWrap/>
          </w:tcPr>
          <w:p w14:paraId="1E77FE41">
            <w:pPr>
              <w:pStyle w:val="21"/>
              <w:jc w:val="center"/>
              <w:rPr>
                <w:rFonts w:hAnsi="宋体" w:eastAsia="宋体" w:cs="宋体"/>
                <w:color w:val="auto"/>
                <w:sz w:val="21"/>
                <w:szCs w:val="21"/>
                <w:highlight w:val="none"/>
              </w:rPr>
            </w:pPr>
          </w:p>
        </w:tc>
        <w:tc>
          <w:tcPr>
            <w:tcW w:w="1324" w:type="dxa"/>
            <w:noWrap/>
          </w:tcPr>
          <w:p w14:paraId="2D544695">
            <w:pPr>
              <w:pStyle w:val="21"/>
              <w:jc w:val="center"/>
              <w:rPr>
                <w:rFonts w:hAnsi="宋体" w:eastAsia="宋体" w:cs="宋体"/>
                <w:color w:val="auto"/>
                <w:sz w:val="21"/>
                <w:szCs w:val="21"/>
                <w:highlight w:val="none"/>
              </w:rPr>
            </w:pPr>
          </w:p>
        </w:tc>
        <w:tc>
          <w:tcPr>
            <w:tcW w:w="2010" w:type="dxa"/>
            <w:noWrap/>
          </w:tcPr>
          <w:p w14:paraId="3760709C">
            <w:pPr>
              <w:pStyle w:val="21"/>
              <w:jc w:val="center"/>
              <w:rPr>
                <w:rFonts w:hAnsi="宋体" w:eastAsia="宋体" w:cs="宋体"/>
                <w:color w:val="auto"/>
                <w:sz w:val="21"/>
                <w:szCs w:val="21"/>
                <w:highlight w:val="none"/>
              </w:rPr>
            </w:pPr>
          </w:p>
        </w:tc>
        <w:tc>
          <w:tcPr>
            <w:tcW w:w="617" w:type="dxa"/>
            <w:noWrap/>
          </w:tcPr>
          <w:p w14:paraId="7AFFBDC9">
            <w:pPr>
              <w:pStyle w:val="21"/>
              <w:jc w:val="center"/>
              <w:rPr>
                <w:rFonts w:hAnsi="宋体" w:eastAsia="宋体" w:cs="宋体"/>
                <w:color w:val="auto"/>
                <w:sz w:val="21"/>
                <w:szCs w:val="21"/>
                <w:highlight w:val="none"/>
              </w:rPr>
            </w:pPr>
          </w:p>
        </w:tc>
        <w:tc>
          <w:tcPr>
            <w:tcW w:w="617" w:type="dxa"/>
            <w:noWrap/>
          </w:tcPr>
          <w:p w14:paraId="5BFDAD39">
            <w:pPr>
              <w:pStyle w:val="21"/>
              <w:jc w:val="center"/>
              <w:rPr>
                <w:rFonts w:hAnsi="宋体" w:eastAsia="宋体" w:cs="宋体"/>
                <w:color w:val="auto"/>
                <w:sz w:val="21"/>
                <w:szCs w:val="21"/>
                <w:highlight w:val="none"/>
              </w:rPr>
            </w:pPr>
          </w:p>
        </w:tc>
        <w:tc>
          <w:tcPr>
            <w:tcW w:w="617" w:type="dxa"/>
            <w:noWrap/>
          </w:tcPr>
          <w:p w14:paraId="48A35F7F">
            <w:pPr>
              <w:pStyle w:val="21"/>
              <w:jc w:val="center"/>
              <w:rPr>
                <w:rFonts w:hAnsi="宋体" w:eastAsia="宋体" w:cs="宋体"/>
                <w:color w:val="auto"/>
                <w:sz w:val="21"/>
                <w:szCs w:val="21"/>
                <w:highlight w:val="none"/>
              </w:rPr>
            </w:pPr>
          </w:p>
        </w:tc>
        <w:tc>
          <w:tcPr>
            <w:tcW w:w="1583" w:type="dxa"/>
            <w:noWrap/>
          </w:tcPr>
          <w:p w14:paraId="2C61D0C2">
            <w:pPr>
              <w:pStyle w:val="21"/>
              <w:jc w:val="center"/>
              <w:rPr>
                <w:rFonts w:hAnsi="宋体" w:eastAsia="宋体" w:cs="宋体"/>
                <w:color w:val="auto"/>
                <w:sz w:val="21"/>
                <w:szCs w:val="21"/>
                <w:highlight w:val="none"/>
              </w:rPr>
            </w:pPr>
          </w:p>
        </w:tc>
        <w:tc>
          <w:tcPr>
            <w:tcW w:w="816" w:type="dxa"/>
            <w:noWrap/>
          </w:tcPr>
          <w:p w14:paraId="3D820265">
            <w:pPr>
              <w:pStyle w:val="21"/>
              <w:jc w:val="center"/>
              <w:rPr>
                <w:rFonts w:hAnsi="宋体" w:eastAsia="宋体" w:cs="宋体"/>
                <w:color w:val="auto"/>
                <w:sz w:val="21"/>
                <w:szCs w:val="21"/>
                <w:highlight w:val="none"/>
              </w:rPr>
            </w:pPr>
          </w:p>
        </w:tc>
      </w:tr>
      <w:tr w14:paraId="4A33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4903F23C">
            <w:pPr>
              <w:pStyle w:val="21"/>
              <w:jc w:val="center"/>
              <w:rPr>
                <w:rFonts w:hAnsi="宋体" w:eastAsia="宋体" w:cs="宋体"/>
                <w:color w:val="auto"/>
                <w:sz w:val="21"/>
                <w:szCs w:val="21"/>
                <w:highlight w:val="none"/>
              </w:rPr>
            </w:pPr>
          </w:p>
        </w:tc>
        <w:tc>
          <w:tcPr>
            <w:tcW w:w="1493" w:type="dxa"/>
            <w:noWrap/>
          </w:tcPr>
          <w:p w14:paraId="160A0061">
            <w:pPr>
              <w:pStyle w:val="21"/>
              <w:jc w:val="center"/>
              <w:rPr>
                <w:rFonts w:hAnsi="宋体" w:eastAsia="宋体" w:cs="宋体"/>
                <w:color w:val="auto"/>
                <w:sz w:val="21"/>
                <w:szCs w:val="21"/>
                <w:highlight w:val="none"/>
              </w:rPr>
            </w:pPr>
          </w:p>
        </w:tc>
        <w:tc>
          <w:tcPr>
            <w:tcW w:w="1324" w:type="dxa"/>
            <w:noWrap/>
          </w:tcPr>
          <w:p w14:paraId="00895CEF">
            <w:pPr>
              <w:pStyle w:val="21"/>
              <w:jc w:val="center"/>
              <w:rPr>
                <w:rFonts w:hAnsi="宋体" w:eastAsia="宋体" w:cs="宋体"/>
                <w:color w:val="auto"/>
                <w:sz w:val="21"/>
                <w:szCs w:val="21"/>
                <w:highlight w:val="none"/>
              </w:rPr>
            </w:pPr>
          </w:p>
        </w:tc>
        <w:tc>
          <w:tcPr>
            <w:tcW w:w="2010" w:type="dxa"/>
            <w:noWrap/>
          </w:tcPr>
          <w:p w14:paraId="12FFC7A3">
            <w:pPr>
              <w:pStyle w:val="21"/>
              <w:jc w:val="center"/>
              <w:rPr>
                <w:rFonts w:hAnsi="宋体" w:eastAsia="宋体" w:cs="宋体"/>
                <w:color w:val="auto"/>
                <w:sz w:val="21"/>
                <w:szCs w:val="21"/>
                <w:highlight w:val="none"/>
              </w:rPr>
            </w:pPr>
          </w:p>
        </w:tc>
        <w:tc>
          <w:tcPr>
            <w:tcW w:w="617" w:type="dxa"/>
            <w:noWrap/>
          </w:tcPr>
          <w:p w14:paraId="5FCA9822">
            <w:pPr>
              <w:pStyle w:val="21"/>
              <w:jc w:val="center"/>
              <w:rPr>
                <w:rFonts w:hAnsi="宋体" w:eastAsia="宋体" w:cs="宋体"/>
                <w:color w:val="auto"/>
                <w:sz w:val="21"/>
                <w:szCs w:val="21"/>
                <w:highlight w:val="none"/>
              </w:rPr>
            </w:pPr>
          </w:p>
        </w:tc>
        <w:tc>
          <w:tcPr>
            <w:tcW w:w="617" w:type="dxa"/>
            <w:noWrap/>
          </w:tcPr>
          <w:p w14:paraId="71C60E0A">
            <w:pPr>
              <w:pStyle w:val="21"/>
              <w:jc w:val="center"/>
              <w:rPr>
                <w:rFonts w:hAnsi="宋体" w:eastAsia="宋体" w:cs="宋体"/>
                <w:color w:val="auto"/>
                <w:sz w:val="21"/>
                <w:szCs w:val="21"/>
                <w:highlight w:val="none"/>
              </w:rPr>
            </w:pPr>
          </w:p>
        </w:tc>
        <w:tc>
          <w:tcPr>
            <w:tcW w:w="617" w:type="dxa"/>
            <w:noWrap/>
          </w:tcPr>
          <w:p w14:paraId="7A3DB353">
            <w:pPr>
              <w:pStyle w:val="21"/>
              <w:jc w:val="center"/>
              <w:rPr>
                <w:rFonts w:hAnsi="宋体" w:eastAsia="宋体" w:cs="宋体"/>
                <w:color w:val="auto"/>
                <w:sz w:val="21"/>
                <w:szCs w:val="21"/>
                <w:highlight w:val="none"/>
              </w:rPr>
            </w:pPr>
          </w:p>
        </w:tc>
        <w:tc>
          <w:tcPr>
            <w:tcW w:w="1583" w:type="dxa"/>
            <w:noWrap/>
          </w:tcPr>
          <w:p w14:paraId="42F06717">
            <w:pPr>
              <w:pStyle w:val="21"/>
              <w:jc w:val="center"/>
              <w:rPr>
                <w:rFonts w:hAnsi="宋体" w:eastAsia="宋体" w:cs="宋体"/>
                <w:color w:val="auto"/>
                <w:sz w:val="21"/>
                <w:szCs w:val="21"/>
                <w:highlight w:val="none"/>
              </w:rPr>
            </w:pPr>
          </w:p>
        </w:tc>
        <w:tc>
          <w:tcPr>
            <w:tcW w:w="816" w:type="dxa"/>
            <w:noWrap/>
          </w:tcPr>
          <w:p w14:paraId="315F2586">
            <w:pPr>
              <w:pStyle w:val="21"/>
              <w:jc w:val="center"/>
              <w:rPr>
                <w:rFonts w:hAnsi="宋体" w:eastAsia="宋体" w:cs="宋体"/>
                <w:color w:val="auto"/>
                <w:sz w:val="21"/>
                <w:szCs w:val="21"/>
                <w:highlight w:val="none"/>
              </w:rPr>
            </w:pPr>
          </w:p>
        </w:tc>
      </w:tr>
      <w:tr w14:paraId="312B8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277EA101">
            <w:pPr>
              <w:pStyle w:val="21"/>
              <w:jc w:val="center"/>
              <w:rPr>
                <w:rFonts w:hAnsi="宋体" w:eastAsia="宋体" w:cs="宋体"/>
                <w:color w:val="auto"/>
                <w:sz w:val="21"/>
                <w:szCs w:val="21"/>
                <w:highlight w:val="none"/>
              </w:rPr>
            </w:pPr>
          </w:p>
        </w:tc>
        <w:tc>
          <w:tcPr>
            <w:tcW w:w="1493" w:type="dxa"/>
            <w:noWrap/>
          </w:tcPr>
          <w:p w14:paraId="05683512">
            <w:pPr>
              <w:pStyle w:val="21"/>
              <w:jc w:val="center"/>
              <w:rPr>
                <w:rFonts w:hAnsi="宋体" w:eastAsia="宋体" w:cs="宋体"/>
                <w:color w:val="auto"/>
                <w:sz w:val="21"/>
                <w:szCs w:val="21"/>
                <w:highlight w:val="none"/>
              </w:rPr>
            </w:pPr>
          </w:p>
        </w:tc>
        <w:tc>
          <w:tcPr>
            <w:tcW w:w="1324" w:type="dxa"/>
            <w:noWrap/>
          </w:tcPr>
          <w:p w14:paraId="6ED93FE5">
            <w:pPr>
              <w:pStyle w:val="21"/>
              <w:jc w:val="center"/>
              <w:rPr>
                <w:rFonts w:hAnsi="宋体" w:eastAsia="宋体" w:cs="宋体"/>
                <w:color w:val="auto"/>
                <w:sz w:val="21"/>
                <w:szCs w:val="21"/>
                <w:highlight w:val="none"/>
              </w:rPr>
            </w:pPr>
          </w:p>
        </w:tc>
        <w:tc>
          <w:tcPr>
            <w:tcW w:w="2010" w:type="dxa"/>
            <w:noWrap/>
          </w:tcPr>
          <w:p w14:paraId="4DB11AF1">
            <w:pPr>
              <w:pStyle w:val="21"/>
              <w:jc w:val="center"/>
              <w:rPr>
                <w:rFonts w:hAnsi="宋体" w:eastAsia="宋体" w:cs="宋体"/>
                <w:color w:val="auto"/>
                <w:sz w:val="21"/>
                <w:szCs w:val="21"/>
                <w:highlight w:val="none"/>
              </w:rPr>
            </w:pPr>
          </w:p>
        </w:tc>
        <w:tc>
          <w:tcPr>
            <w:tcW w:w="617" w:type="dxa"/>
            <w:noWrap/>
          </w:tcPr>
          <w:p w14:paraId="5908F152">
            <w:pPr>
              <w:pStyle w:val="21"/>
              <w:jc w:val="center"/>
              <w:rPr>
                <w:rFonts w:hAnsi="宋体" w:eastAsia="宋体" w:cs="宋体"/>
                <w:color w:val="auto"/>
                <w:sz w:val="21"/>
                <w:szCs w:val="21"/>
                <w:highlight w:val="none"/>
              </w:rPr>
            </w:pPr>
          </w:p>
        </w:tc>
        <w:tc>
          <w:tcPr>
            <w:tcW w:w="617" w:type="dxa"/>
            <w:noWrap/>
          </w:tcPr>
          <w:p w14:paraId="5D17A7F6">
            <w:pPr>
              <w:pStyle w:val="21"/>
              <w:jc w:val="center"/>
              <w:rPr>
                <w:rFonts w:hAnsi="宋体" w:eastAsia="宋体" w:cs="宋体"/>
                <w:color w:val="auto"/>
                <w:sz w:val="21"/>
                <w:szCs w:val="21"/>
                <w:highlight w:val="none"/>
              </w:rPr>
            </w:pPr>
          </w:p>
        </w:tc>
        <w:tc>
          <w:tcPr>
            <w:tcW w:w="617" w:type="dxa"/>
            <w:noWrap/>
          </w:tcPr>
          <w:p w14:paraId="17BFE068">
            <w:pPr>
              <w:pStyle w:val="21"/>
              <w:jc w:val="center"/>
              <w:rPr>
                <w:rFonts w:hAnsi="宋体" w:eastAsia="宋体" w:cs="宋体"/>
                <w:color w:val="auto"/>
                <w:sz w:val="21"/>
                <w:szCs w:val="21"/>
                <w:highlight w:val="none"/>
              </w:rPr>
            </w:pPr>
          </w:p>
        </w:tc>
        <w:tc>
          <w:tcPr>
            <w:tcW w:w="1583" w:type="dxa"/>
            <w:noWrap/>
          </w:tcPr>
          <w:p w14:paraId="3F725BAD">
            <w:pPr>
              <w:pStyle w:val="21"/>
              <w:jc w:val="center"/>
              <w:rPr>
                <w:rFonts w:hAnsi="宋体" w:eastAsia="宋体" w:cs="宋体"/>
                <w:color w:val="auto"/>
                <w:sz w:val="21"/>
                <w:szCs w:val="21"/>
                <w:highlight w:val="none"/>
              </w:rPr>
            </w:pPr>
          </w:p>
        </w:tc>
        <w:tc>
          <w:tcPr>
            <w:tcW w:w="816" w:type="dxa"/>
            <w:noWrap/>
          </w:tcPr>
          <w:p w14:paraId="1BEC8212">
            <w:pPr>
              <w:pStyle w:val="21"/>
              <w:jc w:val="center"/>
              <w:rPr>
                <w:rFonts w:hAnsi="宋体" w:eastAsia="宋体" w:cs="宋体"/>
                <w:color w:val="auto"/>
                <w:sz w:val="21"/>
                <w:szCs w:val="21"/>
                <w:highlight w:val="none"/>
              </w:rPr>
            </w:pPr>
          </w:p>
        </w:tc>
      </w:tr>
      <w:tr w14:paraId="227C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5E0A7797">
            <w:pPr>
              <w:pStyle w:val="21"/>
              <w:jc w:val="center"/>
              <w:rPr>
                <w:rFonts w:hAnsi="宋体" w:eastAsia="宋体" w:cs="宋体"/>
                <w:color w:val="auto"/>
                <w:sz w:val="21"/>
                <w:szCs w:val="21"/>
                <w:highlight w:val="none"/>
              </w:rPr>
            </w:pPr>
          </w:p>
        </w:tc>
        <w:tc>
          <w:tcPr>
            <w:tcW w:w="1493" w:type="dxa"/>
            <w:noWrap/>
          </w:tcPr>
          <w:p w14:paraId="50C73A0E">
            <w:pPr>
              <w:pStyle w:val="21"/>
              <w:jc w:val="center"/>
              <w:rPr>
                <w:rFonts w:hAnsi="宋体" w:eastAsia="宋体" w:cs="宋体"/>
                <w:color w:val="auto"/>
                <w:sz w:val="21"/>
                <w:szCs w:val="21"/>
                <w:highlight w:val="none"/>
              </w:rPr>
            </w:pPr>
          </w:p>
        </w:tc>
        <w:tc>
          <w:tcPr>
            <w:tcW w:w="1324" w:type="dxa"/>
            <w:noWrap/>
          </w:tcPr>
          <w:p w14:paraId="2A343DC0">
            <w:pPr>
              <w:pStyle w:val="21"/>
              <w:jc w:val="center"/>
              <w:rPr>
                <w:rFonts w:hAnsi="宋体" w:eastAsia="宋体" w:cs="宋体"/>
                <w:color w:val="auto"/>
                <w:sz w:val="21"/>
                <w:szCs w:val="21"/>
                <w:highlight w:val="none"/>
              </w:rPr>
            </w:pPr>
          </w:p>
        </w:tc>
        <w:tc>
          <w:tcPr>
            <w:tcW w:w="2010" w:type="dxa"/>
            <w:noWrap/>
          </w:tcPr>
          <w:p w14:paraId="16A0F60B">
            <w:pPr>
              <w:pStyle w:val="21"/>
              <w:jc w:val="center"/>
              <w:rPr>
                <w:rFonts w:hAnsi="宋体" w:eastAsia="宋体" w:cs="宋体"/>
                <w:color w:val="auto"/>
                <w:sz w:val="21"/>
                <w:szCs w:val="21"/>
                <w:highlight w:val="none"/>
              </w:rPr>
            </w:pPr>
          </w:p>
        </w:tc>
        <w:tc>
          <w:tcPr>
            <w:tcW w:w="617" w:type="dxa"/>
            <w:noWrap/>
          </w:tcPr>
          <w:p w14:paraId="53FC7F7D">
            <w:pPr>
              <w:pStyle w:val="21"/>
              <w:jc w:val="center"/>
              <w:rPr>
                <w:rFonts w:hAnsi="宋体" w:eastAsia="宋体" w:cs="宋体"/>
                <w:color w:val="auto"/>
                <w:sz w:val="21"/>
                <w:szCs w:val="21"/>
                <w:highlight w:val="none"/>
              </w:rPr>
            </w:pPr>
          </w:p>
        </w:tc>
        <w:tc>
          <w:tcPr>
            <w:tcW w:w="617" w:type="dxa"/>
            <w:noWrap/>
          </w:tcPr>
          <w:p w14:paraId="7886A41F">
            <w:pPr>
              <w:pStyle w:val="21"/>
              <w:jc w:val="center"/>
              <w:rPr>
                <w:rFonts w:hAnsi="宋体" w:eastAsia="宋体" w:cs="宋体"/>
                <w:color w:val="auto"/>
                <w:sz w:val="21"/>
                <w:szCs w:val="21"/>
                <w:highlight w:val="none"/>
              </w:rPr>
            </w:pPr>
          </w:p>
        </w:tc>
        <w:tc>
          <w:tcPr>
            <w:tcW w:w="617" w:type="dxa"/>
            <w:noWrap/>
          </w:tcPr>
          <w:p w14:paraId="7375BDFC">
            <w:pPr>
              <w:pStyle w:val="21"/>
              <w:jc w:val="center"/>
              <w:rPr>
                <w:rFonts w:hAnsi="宋体" w:eastAsia="宋体" w:cs="宋体"/>
                <w:color w:val="auto"/>
                <w:sz w:val="21"/>
                <w:szCs w:val="21"/>
                <w:highlight w:val="none"/>
              </w:rPr>
            </w:pPr>
          </w:p>
        </w:tc>
        <w:tc>
          <w:tcPr>
            <w:tcW w:w="1583" w:type="dxa"/>
            <w:noWrap/>
          </w:tcPr>
          <w:p w14:paraId="46FC5B74">
            <w:pPr>
              <w:pStyle w:val="21"/>
              <w:jc w:val="center"/>
              <w:rPr>
                <w:rFonts w:hAnsi="宋体" w:eastAsia="宋体" w:cs="宋体"/>
                <w:color w:val="auto"/>
                <w:sz w:val="21"/>
                <w:szCs w:val="21"/>
                <w:highlight w:val="none"/>
              </w:rPr>
            </w:pPr>
          </w:p>
        </w:tc>
        <w:tc>
          <w:tcPr>
            <w:tcW w:w="816" w:type="dxa"/>
            <w:noWrap/>
          </w:tcPr>
          <w:p w14:paraId="21CB8C35">
            <w:pPr>
              <w:pStyle w:val="21"/>
              <w:jc w:val="center"/>
              <w:rPr>
                <w:rFonts w:hAnsi="宋体" w:eastAsia="宋体" w:cs="宋体"/>
                <w:color w:val="auto"/>
                <w:sz w:val="21"/>
                <w:szCs w:val="21"/>
                <w:highlight w:val="none"/>
              </w:rPr>
            </w:pPr>
          </w:p>
        </w:tc>
      </w:tr>
      <w:tr w14:paraId="3F9E2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7E31ADD6">
            <w:pPr>
              <w:pStyle w:val="21"/>
              <w:jc w:val="center"/>
              <w:rPr>
                <w:rFonts w:hAnsi="宋体" w:eastAsia="宋体" w:cs="宋体"/>
                <w:color w:val="auto"/>
                <w:sz w:val="21"/>
                <w:szCs w:val="21"/>
                <w:highlight w:val="none"/>
              </w:rPr>
            </w:pPr>
          </w:p>
        </w:tc>
        <w:tc>
          <w:tcPr>
            <w:tcW w:w="1493" w:type="dxa"/>
            <w:noWrap/>
          </w:tcPr>
          <w:p w14:paraId="6EB7871D">
            <w:pPr>
              <w:pStyle w:val="21"/>
              <w:jc w:val="center"/>
              <w:rPr>
                <w:rFonts w:hAnsi="宋体" w:eastAsia="宋体" w:cs="宋体"/>
                <w:color w:val="auto"/>
                <w:sz w:val="21"/>
                <w:szCs w:val="21"/>
                <w:highlight w:val="none"/>
              </w:rPr>
            </w:pPr>
          </w:p>
        </w:tc>
        <w:tc>
          <w:tcPr>
            <w:tcW w:w="1324" w:type="dxa"/>
            <w:noWrap/>
          </w:tcPr>
          <w:p w14:paraId="55CDB04D">
            <w:pPr>
              <w:pStyle w:val="21"/>
              <w:jc w:val="center"/>
              <w:rPr>
                <w:rFonts w:hAnsi="宋体" w:eastAsia="宋体" w:cs="宋体"/>
                <w:color w:val="auto"/>
                <w:sz w:val="21"/>
                <w:szCs w:val="21"/>
                <w:highlight w:val="none"/>
              </w:rPr>
            </w:pPr>
          </w:p>
        </w:tc>
        <w:tc>
          <w:tcPr>
            <w:tcW w:w="2010" w:type="dxa"/>
            <w:noWrap/>
          </w:tcPr>
          <w:p w14:paraId="6E86F194">
            <w:pPr>
              <w:pStyle w:val="21"/>
              <w:jc w:val="center"/>
              <w:rPr>
                <w:rFonts w:hAnsi="宋体" w:eastAsia="宋体" w:cs="宋体"/>
                <w:color w:val="auto"/>
                <w:sz w:val="21"/>
                <w:szCs w:val="21"/>
                <w:highlight w:val="none"/>
              </w:rPr>
            </w:pPr>
          </w:p>
        </w:tc>
        <w:tc>
          <w:tcPr>
            <w:tcW w:w="617" w:type="dxa"/>
            <w:noWrap/>
          </w:tcPr>
          <w:p w14:paraId="2208D74D">
            <w:pPr>
              <w:pStyle w:val="21"/>
              <w:jc w:val="center"/>
              <w:rPr>
                <w:rFonts w:hAnsi="宋体" w:eastAsia="宋体" w:cs="宋体"/>
                <w:color w:val="auto"/>
                <w:sz w:val="21"/>
                <w:szCs w:val="21"/>
                <w:highlight w:val="none"/>
              </w:rPr>
            </w:pPr>
          </w:p>
        </w:tc>
        <w:tc>
          <w:tcPr>
            <w:tcW w:w="617" w:type="dxa"/>
            <w:noWrap/>
          </w:tcPr>
          <w:p w14:paraId="7301E214">
            <w:pPr>
              <w:pStyle w:val="21"/>
              <w:jc w:val="center"/>
              <w:rPr>
                <w:rFonts w:hAnsi="宋体" w:eastAsia="宋体" w:cs="宋体"/>
                <w:color w:val="auto"/>
                <w:sz w:val="21"/>
                <w:szCs w:val="21"/>
                <w:highlight w:val="none"/>
              </w:rPr>
            </w:pPr>
          </w:p>
        </w:tc>
        <w:tc>
          <w:tcPr>
            <w:tcW w:w="617" w:type="dxa"/>
            <w:noWrap/>
          </w:tcPr>
          <w:p w14:paraId="280B6BF4">
            <w:pPr>
              <w:pStyle w:val="21"/>
              <w:jc w:val="center"/>
              <w:rPr>
                <w:rFonts w:hAnsi="宋体" w:eastAsia="宋体" w:cs="宋体"/>
                <w:color w:val="auto"/>
                <w:sz w:val="21"/>
                <w:szCs w:val="21"/>
                <w:highlight w:val="none"/>
              </w:rPr>
            </w:pPr>
          </w:p>
        </w:tc>
        <w:tc>
          <w:tcPr>
            <w:tcW w:w="1583" w:type="dxa"/>
            <w:noWrap/>
          </w:tcPr>
          <w:p w14:paraId="2B16244C">
            <w:pPr>
              <w:pStyle w:val="21"/>
              <w:jc w:val="center"/>
              <w:rPr>
                <w:rFonts w:hAnsi="宋体" w:eastAsia="宋体" w:cs="宋体"/>
                <w:color w:val="auto"/>
                <w:sz w:val="21"/>
                <w:szCs w:val="21"/>
                <w:highlight w:val="none"/>
              </w:rPr>
            </w:pPr>
          </w:p>
        </w:tc>
        <w:tc>
          <w:tcPr>
            <w:tcW w:w="816" w:type="dxa"/>
            <w:noWrap/>
          </w:tcPr>
          <w:p w14:paraId="4FD58BE3">
            <w:pPr>
              <w:pStyle w:val="21"/>
              <w:jc w:val="center"/>
              <w:rPr>
                <w:rFonts w:hAnsi="宋体" w:eastAsia="宋体" w:cs="宋体"/>
                <w:color w:val="auto"/>
                <w:sz w:val="21"/>
                <w:szCs w:val="21"/>
                <w:highlight w:val="none"/>
              </w:rPr>
            </w:pPr>
          </w:p>
        </w:tc>
      </w:tr>
      <w:tr w14:paraId="39D0A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22526376">
            <w:pPr>
              <w:pStyle w:val="21"/>
              <w:jc w:val="center"/>
              <w:rPr>
                <w:rFonts w:hAnsi="宋体" w:eastAsia="宋体" w:cs="宋体"/>
                <w:color w:val="auto"/>
                <w:sz w:val="21"/>
                <w:szCs w:val="21"/>
                <w:highlight w:val="none"/>
              </w:rPr>
            </w:pPr>
          </w:p>
        </w:tc>
        <w:tc>
          <w:tcPr>
            <w:tcW w:w="1493" w:type="dxa"/>
            <w:noWrap/>
          </w:tcPr>
          <w:p w14:paraId="69DDFB6B">
            <w:pPr>
              <w:pStyle w:val="21"/>
              <w:jc w:val="center"/>
              <w:rPr>
                <w:rFonts w:hAnsi="宋体" w:eastAsia="宋体" w:cs="宋体"/>
                <w:color w:val="auto"/>
                <w:sz w:val="21"/>
                <w:szCs w:val="21"/>
                <w:highlight w:val="none"/>
              </w:rPr>
            </w:pPr>
          </w:p>
        </w:tc>
        <w:tc>
          <w:tcPr>
            <w:tcW w:w="1324" w:type="dxa"/>
            <w:noWrap/>
          </w:tcPr>
          <w:p w14:paraId="7E53FC17">
            <w:pPr>
              <w:pStyle w:val="21"/>
              <w:jc w:val="center"/>
              <w:rPr>
                <w:rFonts w:hAnsi="宋体" w:eastAsia="宋体" w:cs="宋体"/>
                <w:color w:val="auto"/>
                <w:sz w:val="21"/>
                <w:szCs w:val="21"/>
                <w:highlight w:val="none"/>
              </w:rPr>
            </w:pPr>
          </w:p>
        </w:tc>
        <w:tc>
          <w:tcPr>
            <w:tcW w:w="2010" w:type="dxa"/>
            <w:noWrap/>
          </w:tcPr>
          <w:p w14:paraId="53F26F03">
            <w:pPr>
              <w:pStyle w:val="21"/>
              <w:jc w:val="center"/>
              <w:rPr>
                <w:rFonts w:hAnsi="宋体" w:eastAsia="宋体" w:cs="宋体"/>
                <w:color w:val="auto"/>
                <w:sz w:val="21"/>
                <w:szCs w:val="21"/>
                <w:highlight w:val="none"/>
              </w:rPr>
            </w:pPr>
          </w:p>
        </w:tc>
        <w:tc>
          <w:tcPr>
            <w:tcW w:w="617" w:type="dxa"/>
            <w:noWrap/>
          </w:tcPr>
          <w:p w14:paraId="68CEE1D3">
            <w:pPr>
              <w:pStyle w:val="21"/>
              <w:jc w:val="center"/>
              <w:rPr>
                <w:rFonts w:hAnsi="宋体" w:eastAsia="宋体" w:cs="宋体"/>
                <w:color w:val="auto"/>
                <w:sz w:val="21"/>
                <w:szCs w:val="21"/>
                <w:highlight w:val="none"/>
              </w:rPr>
            </w:pPr>
          </w:p>
        </w:tc>
        <w:tc>
          <w:tcPr>
            <w:tcW w:w="617" w:type="dxa"/>
            <w:noWrap/>
          </w:tcPr>
          <w:p w14:paraId="5454E3E7">
            <w:pPr>
              <w:pStyle w:val="21"/>
              <w:jc w:val="center"/>
              <w:rPr>
                <w:rFonts w:hAnsi="宋体" w:eastAsia="宋体" w:cs="宋体"/>
                <w:color w:val="auto"/>
                <w:sz w:val="21"/>
                <w:szCs w:val="21"/>
                <w:highlight w:val="none"/>
              </w:rPr>
            </w:pPr>
          </w:p>
        </w:tc>
        <w:tc>
          <w:tcPr>
            <w:tcW w:w="617" w:type="dxa"/>
            <w:noWrap/>
          </w:tcPr>
          <w:p w14:paraId="7FFD6C8A">
            <w:pPr>
              <w:pStyle w:val="21"/>
              <w:jc w:val="center"/>
              <w:rPr>
                <w:rFonts w:hAnsi="宋体" w:eastAsia="宋体" w:cs="宋体"/>
                <w:color w:val="auto"/>
                <w:sz w:val="21"/>
                <w:szCs w:val="21"/>
                <w:highlight w:val="none"/>
              </w:rPr>
            </w:pPr>
          </w:p>
        </w:tc>
        <w:tc>
          <w:tcPr>
            <w:tcW w:w="1583" w:type="dxa"/>
            <w:noWrap/>
          </w:tcPr>
          <w:p w14:paraId="1F22CA49">
            <w:pPr>
              <w:pStyle w:val="21"/>
              <w:jc w:val="center"/>
              <w:rPr>
                <w:rFonts w:hAnsi="宋体" w:eastAsia="宋体" w:cs="宋体"/>
                <w:color w:val="auto"/>
                <w:sz w:val="21"/>
                <w:szCs w:val="21"/>
                <w:highlight w:val="none"/>
              </w:rPr>
            </w:pPr>
          </w:p>
        </w:tc>
        <w:tc>
          <w:tcPr>
            <w:tcW w:w="816" w:type="dxa"/>
            <w:noWrap/>
          </w:tcPr>
          <w:p w14:paraId="39B0E6BB">
            <w:pPr>
              <w:pStyle w:val="21"/>
              <w:jc w:val="center"/>
              <w:rPr>
                <w:rFonts w:hAnsi="宋体" w:eastAsia="宋体" w:cs="宋体"/>
                <w:color w:val="auto"/>
                <w:sz w:val="21"/>
                <w:szCs w:val="21"/>
                <w:highlight w:val="none"/>
              </w:rPr>
            </w:pPr>
          </w:p>
        </w:tc>
      </w:tr>
      <w:tr w14:paraId="3A59B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4ED92A34">
            <w:pPr>
              <w:pStyle w:val="21"/>
              <w:rPr>
                <w:rFonts w:hAnsi="宋体" w:eastAsia="宋体" w:cs="宋体"/>
                <w:color w:val="auto"/>
                <w:sz w:val="21"/>
                <w:szCs w:val="21"/>
                <w:highlight w:val="none"/>
              </w:rPr>
            </w:pPr>
            <w:r>
              <w:rPr>
                <w:rFonts w:hint="eastAsia" w:hAnsi="宋体" w:eastAsia="宋体" w:cs="宋体"/>
                <w:color w:val="auto"/>
                <w:sz w:val="21"/>
                <w:szCs w:val="21"/>
                <w:highlight w:val="none"/>
              </w:rPr>
              <w:t>合计</w:t>
            </w:r>
          </w:p>
        </w:tc>
        <w:tc>
          <w:tcPr>
            <w:tcW w:w="1493" w:type="dxa"/>
            <w:noWrap/>
            <w:vAlign w:val="center"/>
          </w:tcPr>
          <w:p w14:paraId="33499F21">
            <w:pPr>
              <w:pStyle w:val="21"/>
              <w:rPr>
                <w:rFonts w:hAnsi="宋体" w:eastAsia="宋体" w:cs="宋体"/>
                <w:color w:val="auto"/>
                <w:sz w:val="21"/>
                <w:szCs w:val="21"/>
                <w:highlight w:val="none"/>
              </w:rPr>
            </w:pPr>
          </w:p>
        </w:tc>
        <w:tc>
          <w:tcPr>
            <w:tcW w:w="7584" w:type="dxa"/>
            <w:gridSpan w:val="7"/>
            <w:noWrap/>
            <w:vAlign w:val="center"/>
          </w:tcPr>
          <w:p w14:paraId="03BAB180">
            <w:pPr>
              <w:pStyle w:val="21"/>
              <w:rPr>
                <w:rFonts w:hAnsi="宋体" w:eastAsia="宋体" w:cs="宋体"/>
                <w:color w:val="auto"/>
                <w:sz w:val="21"/>
                <w:szCs w:val="21"/>
                <w:highlight w:val="none"/>
              </w:rPr>
            </w:pPr>
            <w:r>
              <w:rPr>
                <w:rFonts w:hint="eastAsia" w:hAnsi="宋体" w:eastAsia="宋体" w:cs="宋体"/>
                <w:color w:val="auto"/>
                <w:sz w:val="21"/>
                <w:szCs w:val="21"/>
                <w:highlight w:val="none"/>
              </w:rPr>
              <w:t>金额（小写）</w:t>
            </w:r>
          </w:p>
        </w:tc>
      </w:tr>
    </w:tbl>
    <w:p w14:paraId="4F0DE581">
      <w:pPr>
        <w:pStyle w:val="5"/>
        <w:spacing w:line="360" w:lineRule="auto"/>
        <w:ind w:firstLine="0"/>
        <w:jc w:val="both"/>
        <w:rPr>
          <w:rFonts w:ascii="宋体" w:hAnsi="宋体" w:eastAsia="宋体" w:cs="宋体"/>
          <w:color w:val="auto"/>
          <w:sz w:val="21"/>
          <w:highlight w:val="none"/>
        </w:rPr>
      </w:pPr>
    </w:p>
    <w:p w14:paraId="7246EBF4">
      <w:pPr>
        <w:pStyle w:val="5"/>
        <w:spacing w:line="360" w:lineRule="auto"/>
        <w:ind w:firstLine="0"/>
        <w:jc w:val="both"/>
        <w:rPr>
          <w:rFonts w:ascii="宋体" w:hAnsi="宋体" w:eastAsia="宋体" w:cs="宋体"/>
          <w:color w:val="auto"/>
          <w:sz w:val="21"/>
          <w:highlight w:val="none"/>
        </w:rPr>
      </w:pPr>
    </w:p>
    <w:p w14:paraId="2ACC26DC">
      <w:pPr>
        <w:pStyle w:val="5"/>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谈判响应单位：（签章）</w:t>
      </w:r>
    </w:p>
    <w:p w14:paraId="3257712E">
      <w:pPr>
        <w:pStyle w:val="5"/>
        <w:spacing w:line="360" w:lineRule="auto"/>
        <w:ind w:firstLine="0"/>
        <w:jc w:val="both"/>
        <w:rPr>
          <w:rFonts w:ascii="宋体" w:hAnsi="宋体" w:eastAsia="宋体" w:cs="宋体"/>
          <w:color w:val="auto"/>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日期：        年    月    日</w:t>
      </w:r>
    </w:p>
    <w:p w14:paraId="16209478">
      <w:pPr>
        <w:pStyle w:val="5"/>
        <w:pageBreakBefore/>
        <w:kinsoku/>
        <w:wordWrap/>
        <w:overflowPunct/>
        <w:topLinePunct w:val="0"/>
        <w:autoSpaceDE/>
        <w:autoSpaceDN/>
        <w:bidi w:val="0"/>
        <w:spacing w:line="360" w:lineRule="auto"/>
        <w:ind w:firstLine="0"/>
        <w:jc w:val="both"/>
        <w:textAlignment w:val="auto"/>
        <w:rPr>
          <w:rFonts w:hint="eastAsia" w:ascii="宋体" w:hAnsi="宋体" w:eastAsia="宋体" w:cs="宋体"/>
          <w:b/>
          <w:color w:val="auto"/>
          <w:spacing w:val="0"/>
          <w:sz w:val="21"/>
          <w:highlight w:val="none"/>
        </w:rPr>
      </w:pPr>
      <w:r>
        <w:rPr>
          <w:rFonts w:hint="eastAsia" w:ascii="宋体" w:hAnsi="宋体" w:cs="宋体"/>
          <w:b/>
          <w:color w:val="auto"/>
          <w:szCs w:val="21"/>
          <w:highlight w:val="none"/>
        </w:rPr>
        <w:t>附件3：</w:t>
      </w:r>
      <w:r>
        <w:rPr>
          <w:rFonts w:hint="eastAsia" w:ascii="宋体" w:hAnsi="宋体" w:eastAsia="宋体" w:cs="宋体"/>
          <w:b/>
          <w:color w:val="auto"/>
          <w:spacing w:val="0"/>
          <w:sz w:val="21"/>
          <w:highlight w:val="none"/>
        </w:rPr>
        <w:t>设备配置清单表</w:t>
      </w:r>
    </w:p>
    <w:p w14:paraId="543CE1A5">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设备配置清单表</w:t>
      </w:r>
    </w:p>
    <w:p w14:paraId="3B0A012C">
      <w:pPr>
        <w:spacing w:line="360" w:lineRule="auto"/>
        <w:rPr>
          <w:rFonts w:ascii="宋体" w:hAnsi="宋体" w:cs="宋体"/>
          <w:color w:val="auto"/>
          <w:szCs w:val="21"/>
          <w:highlight w:val="none"/>
        </w:rPr>
      </w:pPr>
      <w:r>
        <w:rPr>
          <w:rFonts w:hint="eastAsia" w:ascii="宋体" w:hAnsi="宋体" w:cs="宋体"/>
          <w:color w:val="auto"/>
          <w:szCs w:val="21"/>
          <w:highlight w:val="none"/>
          <w:lang w:val="zh-CN"/>
        </w:rPr>
        <w:t xml:space="preserve">采购编号：                         </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1956"/>
        <w:gridCol w:w="1742"/>
        <w:gridCol w:w="1742"/>
        <w:gridCol w:w="725"/>
        <w:gridCol w:w="772"/>
        <w:gridCol w:w="1097"/>
      </w:tblGrid>
      <w:tr w14:paraId="73C4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exac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717F2873">
            <w:pPr>
              <w:jc w:val="center"/>
              <w:rPr>
                <w:rFonts w:ascii="宋体" w:hAnsi="宋体"/>
                <w:color w:val="auto"/>
                <w:szCs w:val="21"/>
                <w:highlight w:val="none"/>
              </w:rPr>
            </w:pPr>
            <w:r>
              <w:rPr>
                <w:rFonts w:hint="eastAsia" w:ascii="宋体" w:hAnsi="宋体" w:cs="宋体"/>
                <w:color w:val="auto"/>
                <w:szCs w:val="21"/>
                <w:highlight w:val="none"/>
                <w:lang w:val="zh-CN"/>
              </w:rPr>
              <w:t>序号</w:t>
            </w:r>
          </w:p>
        </w:tc>
        <w:tc>
          <w:tcPr>
            <w:tcW w:w="1956" w:type="dxa"/>
            <w:tcBorders>
              <w:top w:val="single" w:color="auto" w:sz="4" w:space="0"/>
              <w:left w:val="single" w:color="auto" w:sz="4" w:space="0"/>
              <w:bottom w:val="single" w:color="auto" w:sz="4" w:space="0"/>
              <w:right w:val="single" w:color="auto" w:sz="4" w:space="0"/>
            </w:tcBorders>
            <w:noWrap w:val="0"/>
            <w:vAlign w:val="center"/>
          </w:tcPr>
          <w:p w14:paraId="2B29D187">
            <w:pPr>
              <w:jc w:val="center"/>
              <w:rPr>
                <w:rFonts w:ascii="宋体" w:hAnsi="宋体"/>
                <w:color w:val="auto"/>
                <w:szCs w:val="21"/>
                <w:highlight w:val="none"/>
              </w:rPr>
            </w:pPr>
            <w:r>
              <w:rPr>
                <w:rFonts w:hint="eastAsia" w:ascii="宋体" w:hAnsi="宋体" w:cs="宋体"/>
                <w:color w:val="auto"/>
                <w:szCs w:val="21"/>
                <w:highlight w:val="none"/>
                <w:lang w:val="zh-CN"/>
              </w:rPr>
              <w:t>名称</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207B4EF">
            <w:pPr>
              <w:jc w:val="center"/>
              <w:rPr>
                <w:rFonts w:ascii="宋体" w:hAnsi="宋体" w:cs="宋体"/>
                <w:color w:val="auto"/>
                <w:szCs w:val="21"/>
                <w:highlight w:val="none"/>
              </w:rPr>
            </w:pPr>
            <w:r>
              <w:rPr>
                <w:rFonts w:hint="eastAsia" w:ascii="宋体" w:hAnsi="宋体" w:cs="宋体"/>
                <w:color w:val="auto"/>
                <w:szCs w:val="21"/>
                <w:highlight w:val="none"/>
                <w:lang w:val="zh-CN"/>
              </w:rPr>
              <w:t>生产厂家</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B396FB3">
            <w:pPr>
              <w:jc w:val="center"/>
              <w:rPr>
                <w:rFonts w:ascii="宋体" w:hAnsi="宋体"/>
                <w:color w:val="auto"/>
                <w:szCs w:val="21"/>
                <w:highlight w:val="none"/>
              </w:rPr>
            </w:pPr>
            <w:r>
              <w:rPr>
                <w:rFonts w:hint="eastAsia" w:ascii="宋体" w:hAnsi="宋体"/>
                <w:color w:val="auto"/>
                <w:szCs w:val="21"/>
                <w:highlight w:val="none"/>
              </w:rPr>
              <w:t>规格、型号</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E0D64A7">
            <w:pPr>
              <w:jc w:val="center"/>
              <w:rPr>
                <w:rFonts w:ascii="宋体" w:hAnsi="宋体"/>
                <w:color w:val="auto"/>
                <w:szCs w:val="21"/>
                <w:highlight w:val="none"/>
              </w:rPr>
            </w:pPr>
            <w:r>
              <w:rPr>
                <w:rFonts w:hint="eastAsia" w:ascii="宋体" w:hAnsi="宋体"/>
                <w:color w:val="auto"/>
                <w:szCs w:val="21"/>
                <w:highlight w:val="none"/>
              </w:rPr>
              <w:t>单位</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C34AE48">
            <w:pPr>
              <w:jc w:val="center"/>
              <w:rPr>
                <w:rFonts w:ascii="宋体" w:hAnsi="宋体" w:cs="宋体"/>
                <w:color w:val="auto"/>
                <w:szCs w:val="21"/>
                <w:highlight w:val="none"/>
              </w:rPr>
            </w:pPr>
            <w:r>
              <w:rPr>
                <w:rFonts w:hint="eastAsia" w:ascii="宋体" w:hAnsi="宋体" w:cs="宋体"/>
                <w:color w:val="auto"/>
                <w:szCs w:val="21"/>
                <w:highlight w:val="none"/>
                <w:lang w:val="zh-CN"/>
              </w:rPr>
              <w:t>数量</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10A65F3E">
            <w:pPr>
              <w:jc w:val="center"/>
              <w:rPr>
                <w:rFonts w:ascii="宋体" w:hAnsi="宋体" w:cs="宋体"/>
                <w:color w:val="auto"/>
                <w:szCs w:val="21"/>
                <w:highlight w:val="none"/>
              </w:rPr>
            </w:pPr>
            <w:r>
              <w:rPr>
                <w:rFonts w:hint="eastAsia" w:ascii="宋体" w:hAnsi="宋体" w:cs="宋体"/>
                <w:color w:val="auto"/>
                <w:szCs w:val="21"/>
                <w:highlight w:val="none"/>
                <w:lang w:val="zh-CN"/>
              </w:rPr>
              <w:t>备注</w:t>
            </w:r>
          </w:p>
        </w:tc>
      </w:tr>
      <w:tr w14:paraId="1F729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7E3ACB89">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37FEC9B0">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543C5B84">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CF8CD9C">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1ADB8CE3">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11489EC3">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238DC1EC">
            <w:pPr>
              <w:rPr>
                <w:rFonts w:ascii="宋体" w:hAnsi="宋体"/>
                <w:color w:val="auto"/>
                <w:szCs w:val="21"/>
                <w:highlight w:val="none"/>
              </w:rPr>
            </w:pPr>
          </w:p>
        </w:tc>
      </w:tr>
      <w:tr w14:paraId="1F3D1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28A35E92">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10CD0BE">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DC5FCD0">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7AC9417A">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2C99DE4D">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01724BDB">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6B62FF5B">
            <w:pPr>
              <w:rPr>
                <w:rFonts w:ascii="宋体" w:hAnsi="宋体"/>
                <w:color w:val="auto"/>
                <w:szCs w:val="21"/>
                <w:highlight w:val="none"/>
              </w:rPr>
            </w:pPr>
          </w:p>
        </w:tc>
      </w:tr>
      <w:tr w14:paraId="68670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1652E093">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74D6C1F2">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5472593">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2322D7A2">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1AFA5FD6">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6A16BCE7">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23C9D583">
            <w:pPr>
              <w:rPr>
                <w:rFonts w:ascii="宋体" w:hAnsi="宋体"/>
                <w:color w:val="auto"/>
                <w:szCs w:val="21"/>
                <w:highlight w:val="none"/>
              </w:rPr>
            </w:pPr>
          </w:p>
        </w:tc>
      </w:tr>
      <w:tr w14:paraId="483FC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42CF1E43">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40D7F38">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237912F">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40E36447">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0BF3AC3A">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0D82A96C">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5A5CC9C3">
            <w:pPr>
              <w:rPr>
                <w:rFonts w:ascii="宋体" w:hAnsi="宋体"/>
                <w:color w:val="auto"/>
                <w:szCs w:val="21"/>
                <w:highlight w:val="none"/>
              </w:rPr>
            </w:pPr>
          </w:p>
        </w:tc>
      </w:tr>
      <w:tr w14:paraId="409D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138C81F2">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FA8F024">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121656E">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0EF3B6D4">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39A8C610">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18C51BF1">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5A40581F">
            <w:pPr>
              <w:rPr>
                <w:rFonts w:ascii="宋体" w:hAnsi="宋体"/>
                <w:color w:val="auto"/>
                <w:szCs w:val="21"/>
                <w:highlight w:val="none"/>
              </w:rPr>
            </w:pPr>
          </w:p>
        </w:tc>
      </w:tr>
      <w:tr w14:paraId="42E07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78C99ECB">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7E55531">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5D3C4DFA">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E63D22F">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09A02AED">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578A0949">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60C9141A">
            <w:pPr>
              <w:rPr>
                <w:rFonts w:ascii="宋体" w:hAnsi="宋体"/>
                <w:color w:val="auto"/>
                <w:szCs w:val="21"/>
                <w:highlight w:val="none"/>
              </w:rPr>
            </w:pPr>
          </w:p>
        </w:tc>
      </w:tr>
    </w:tbl>
    <w:p w14:paraId="4D102073">
      <w:pPr>
        <w:spacing w:line="360" w:lineRule="auto"/>
        <w:jc w:val="left"/>
        <w:rPr>
          <w:rFonts w:ascii="宋体" w:hAnsi="宋体"/>
          <w:b/>
          <w:bCs/>
          <w:color w:val="auto"/>
          <w:szCs w:val="21"/>
          <w:highlight w:val="none"/>
        </w:rPr>
      </w:pPr>
    </w:p>
    <w:p w14:paraId="7C85F75C">
      <w:pPr>
        <w:spacing w:line="360" w:lineRule="auto"/>
        <w:jc w:val="left"/>
        <w:rPr>
          <w:rFonts w:ascii="宋体" w:hAnsi="宋体"/>
          <w:b/>
          <w:bCs/>
          <w:color w:val="auto"/>
          <w:szCs w:val="21"/>
          <w:highlight w:val="none"/>
        </w:rPr>
      </w:pPr>
    </w:p>
    <w:p w14:paraId="099D7679">
      <w:pPr>
        <w:pStyle w:val="5"/>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val="0"/>
          <w:bCs/>
          <w:color w:val="auto"/>
          <w:spacing w:val="0"/>
          <w:sz w:val="21"/>
          <w:highlight w:val="none"/>
        </w:rPr>
      </w:pPr>
      <w:r>
        <w:rPr>
          <w:rFonts w:hint="eastAsia" w:ascii="宋体" w:hAnsi="宋体" w:eastAsia="宋体" w:cs="宋体"/>
          <w:b w:val="0"/>
          <w:bCs/>
          <w:color w:val="auto"/>
          <w:spacing w:val="0"/>
          <w:sz w:val="21"/>
          <w:highlight w:val="none"/>
        </w:rPr>
        <w:t>谈判响应单位：（签章）</w:t>
      </w:r>
    </w:p>
    <w:p w14:paraId="4B8417BE">
      <w:pPr>
        <w:spacing w:line="360" w:lineRule="auto"/>
        <w:outlineLvl w:val="1"/>
        <w:rPr>
          <w:rFonts w:hint="eastAsia" w:ascii="宋体" w:hAnsi="宋体" w:cs="宋体"/>
          <w:b/>
          <w:color w:val="auto"/>
          <w:szCs w:val="21"/>
          <w:highlight w:val="none"/>
        </w:rPr>
      </w:pPr>
      <w:r>
        <w:rPr>
          <w:rFonts w:hint="eastAsia" w:ascii="宋体" w:hAnsi="宋体" w:eastAsia="宋体" w:cs="宋体"/>
          <w:b w:val="0"/>
          <w:bCs/>
          <w:color w:val="auto"/>
          <w:spacing w:val="0"/>
          <w:sz w:val="21"/>
          <w:highlight w:val="none"/>
        </w:rPr>
        <w:t>日期：        年    月    日</w:t>
      </w:r>
    </w:p>
    <w:p w14:paraId="09074347">
      <w:pPr>
        <w:spacing w:line="360" w:lineRule="auto"/>
        <w:outlineLvl w:val="1"/>
        <w:rPr>
          <w:rFonts w:hint="eastAsia" w:ascii="宋体" w:hAnsi="宋体" w:cs="宋体"/>
          <w:b/>
          <w:color w:val="auto"/>
          <w:szCs w:val="21"/>
          <w:highlight w:val="none"/>
        </w:rPr>
      </w:pPr>
    </w:p>
    <w:p w14:paraId="15A5C16C">
      <w:pPr>
        <w:spacing w:line="360" w:lineRule="auto"/>
        <w:outlineLvl w:val="1"/>
        <w:rPr>
          <w:rFonts w:hint="eastAsia" w:ascii="宋体" w:hAnsi="宋体" w:cs="宋体"/>
          <w:b/>
          <w:color w:val="auto"/>
          <w:szCs w:val="21"/>
          <w:highlight w:val="none"/>
        </w:rPr>
      </w:pPr>
    </w:p>
    <w:p w14:paraId="61629F55">
      <w:pPr>
        <w:spacing w:line="360" w:lineRule="auto"/>
        <w:outlineLvl w:val="1"/>
        <w:rPr>
          <w:rFonts w:hint="eastAsia" w:ascii="宋体" w:hAnsi="宋体" w:cs="宋体"/>
          <w:b/>
          <w:color w:val="auto"/>
          <w:szCs w:val="21"/>
          <w:highlight w:val="none"/>
        </w:rPr>
      </w:pPr>
    </w:p>
    <w:p w14:paraId="4F0A4594">
      <w:pPr>
        <w:spacing w:line="360" w:lineRule="auto"/>
        <w:outlineLvl w:val="1"/>
        <w:rPr>
          <w:rFonts w:hint="eastAsia" w:ascii="宋体" w:hAnsi="宋体" w:cs="宋体"/>
          <w:b/>
          <w:color w:val="auto"/>
          <w:szCs w:val="21"/>
          <w:highlight w:val="none"/>
        </w:rPr>
      </w:pPr>
    </w:p>
    <w:p w14:paraId="7FF0BF61">
      <w:pPr>
        <w:spacing w:line="360" w:lineRule="auto"/>
        <w:outlineLvl w:val="1"/>
        <w:rPr>
          <w:rFonts w:hint="eastAsia" w:ascii="宋体" w:hAnsi="宋体" w:cs="宋体"/>
          <w:b/>
          <w:color w:val="auto"/>
          <w:szCs w:val="21"/>
          <w:highlight w:val="none"/>
        </w:rPr>
      </w:pPr>
    </w:p>
    <w:p w14:paraId="14E5CFBF">
      <w:pPr>
        <w:spacing w:line="360" w:lineRule="auto"/>
        <w:outlineLvl w:val="1"/>
        <w:rPr>
          <w:rFonts w:hint="eastAsia" w:ascii="宋体" w:hAnsi="宋体" w:cs="宋体"/>
          <w:b/>
          <w:color w:val="auto"/>
          <w:szCs w:val="21"/>
          <w:highlight w:val="none"/>
        </w:rPr>
      </w:pPr>
    </w:p>
    <w:p w14:paraId="26FA3413">
      <w:pPr>
        <w:spacing w:line="360" w:lineRule="auto"/>
        <w:outlineLvl w:val="1"/>
        <w:rPr>
          <w:rFonts w:hint="eastAsia" w:ascii="宋体" w:hAnsi="宋体" w:cs="宋体"/>
          <w:b/>
          <w:color w:val="auto"/>
          <w:szCs w:val="21"/>
          <w:highlight w:val="none"/>
        </w:rPr>
      </w:pPr>
    </w:p>
    <w:p w14:paraId="1FC88E7C">
      <w:pPr>
        <w:spacing w:line="360" w:lineRule="auto"/>
        <w:outlineLvl w:val="1"/>
        <w:rPr>
          <w:rFonts w:hint="eastAsia" w:ascii="宋体" w:hAnsi="宋体" w:cs="宋体"/>
          <w:b/>
          <w:color w:val="auto"/>
          <w:szCs w:val="21"/>
          <w:highlight w:val="none"/>
        </w:rPr>
      </w:pPr>
    </w:p>
    <w:p w14:paraId="5DD973D2">
      <w:pPr>
        <w:spacing w:line="360" w:lineRule="auto"/>
        <w:outlineLvl w:val="1"/>
        <w:rPr>
          <w:rFonts w:hint="eastAsia" w:ascii="宋体" w:hAnsi="宋体" w:cs="宋体"/>
          <w:b/>
          <w:color w:val="auto"/>
          <w:szCs w:val="21"/>
          <w:highlight w:val="none"/>
        </w:rPr>
      </w:pPr>
    </w:p>
    <w:p w14:paraId="0FB14E80">
      <w:pPr>
        <w:spacing w:line="360" w:lineRule="auto"/>
        <w:outlineLvl w:val="1"/>
        <w:rPr>
          <w:rFonts w:hint="eastAsia" w:ascii="宋体" w:hAnsi="宋体" w:cs="宋体"/>
          <w:b/>
          <w:color w:val="auto"/>
          <w:szCs w:val="21"/>
          <w:highlight w:val="none"/>
        </w:rPr>
      </w:pPr>
    </w:p>
    <w:p w14:paraId="019E851C">
      <w:pPr>
        <w:spacing w:line="360" w:lineRule="auto"/>
        <w:outlineLvl w:val="1"/>
        <w:rPr>
          <w:rFonts w:hint="eastAsia" w:ascii="宋体" w:hAnsi="宋体" w:cs="宋体"/>
          <w:b/>
          <w:color w:val="auto"/>
          <w:szCs w:val="21"/>
          <w:highlight w:val="none"/>
        </w:rPr>
      </w:pPr>
    </w:p>
    <w:p w14:paraId="5ECBAC05">
      <w:pPr>
        <w:spacing w:line="360" w:lineRule="auto"/>
        <w:outlineLvl w:val="1"/>
        <w:rPr>
          <w:rFonts w:hint="eastAsia" w:ascii="宋体" w:hAnsi="宋体" w:cs="宋体"/>
          <w:b/>
          <w:color w:val="auto"/>
          <w:szCs w:val="21"/>
          <w:highlight w:val="none"/>
        </w:rPr>
      </w:pPr>
    </w:p>
    <w:p w14:paraId="5D0A423D">
      <w:pPr>
        <w:spacing w:line="360" w:lineRule="auto"/>
        <w:outlineLvl w:val="1"/>
        <w:rPr>
          <w:rFonts w:hint="eastAsia" w:ascii="宋体" w:hAnsi="宋体" w:cs="宋体"/>
          <w:b/>
          <w:color w:val="auto"/>
          <w:szCs w:val="21"/>
          <w:highlight w:val="none"/>
        </w:rPr>
      </w:pPr>
    </w:p>
    <w:p w14:paraId="387C7E22">
      <w:pPr>
        <w:spacing w:line="360" w:lineRule="auto"/>
        <w:outlineLvl w:val="1"/>
        <w:rPr>
          <w:rFonts w:hint="eastAsia" w:ascii="宋体" w:hAnsi="宋体" w:cs="宋体"/>
          <w:b/>
          <w:color w:val="auto"/>
          <w:szCs w:val="21"/>
          <w:highlight w:val="none"/>
        </w:rPr>
      </w:pPr>
    </w:p>
    <w:p w14:paraId="612F2A89">
      <w:pPr>
        <w:spacing w:line="360" w:lineRule="auto"/>
        <w:outlineLvl w:val="1"/>
        <w:rPr>
          <w:rFonts w:hint="eastAsia" w:ascii="宋体" w:hAnsi="宋体" w:cs="宋体"/>
          <w:b/>
          <w:color w:val="auto"/>
          <w:szCs w:val="21"/>
          <w:highlight w:val="none"/>
        </w:rPr>
      </w:pPr>
    </w:p>
    <w:p w14:paraId="71FA2172">
      <w:pPr>
        <w:spacing w:line="360" w:lineRule="auto"/>
        <w:outlineLvl w:val="1"/>
        <w:rPr>
          <w:rFonts w:hint="eastAsia" w:ascii="宋体" w:hAnsi="宋体" w:cs="宋体"/>
          <w:b/>
          <w:color w:val="auto"/>
          <w:szCs w:val="21"/>
          <w:highlight w:val="none"/>
        </w:rPr>
      </w:pPr>
    </w:p>
    <w:p w14:paraId="0B96C4F9">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lang w:val="en-US" w:eastAsia="zh-CN"/>
        </w:rPr>
        <w:t>附件4：</w:t>
      </w:r>
      <w:r>
        <w:rPr>
          <w:rFonts w:hint="eastAsia" w:ascii="宋体" w:hAnsi="宋体" w:cs="宋体"/>
          <w:b/>
          <w:color w:val="auto"/>
          <w:szCs w:val="21"/>
          <w:highlight w:val="none"/>
        </w:rPr>
        <w:t>谈判响应函</w:t>
      </w:r>
    </w:p>
    <w:p w14:paraId="00630D4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谈判响应函</w:t>
      </w:r>
    </w:p>
    <w:p w14:paraId="0E80E415">
      <w:pPr>
        <w:spacing w:line="360" w:lineRule="auto"/>
        <w:rPr>
          <w:rFonts w:ascii="宋体" w:hAnsi="宋体" w:cs="宋体"/>
          <w:color w:val="auto"/>
          <w:szCs w:val="21"/>
          <w:highlight w:val="none"/>
        </w:rPr>
      </w:pPr>
      <w:r>
        <w:rPr>
          <w:rFonts w:hint="eastAsia" w:ascii="宋体" w:hAnsi="宋体" w:cs="宋体"/>
          <w:color w:val="auto"/>
          <w:szCs w:val="21"/>
          <w:highlight w:val="none"/>
        </w:rPr>
        <w:t>苏州市创杰招投标咨询服务有限公司：</w:t>
      </w:r>
    </w:p>
    <w:p w14:paraId="3EBDAD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我们收到你们</w:t>
      </w:r>
      <w:r>
        <w:rPr>
          <w:rFonts w:hint="eastAsia" w:ascii="宋体" w:hAnsi="宋体" w:cs="宋体"/>
          <w:color w:val="auto"/>
          <w:szCs w:val="21"/>
          <w:highlight w:val="none"/>
          <w:lang w:eastAsia="zh-CN"/>
        </w:rPr>
        <w:t>JSZC-320583-CJZB-T2025-0232</w:t>
      </w:r>
      <w:r>
        <w:rPr>
          <w:rFonts w:hint="eastAsia" w:ascii="宋体" w:hAnsi="宋体" w:cs="宋体"/>
          <w:color w:val="auto"/>
          <w:szCs w:val="21"/>
          <w:highlight w:val="none"/>
        </w:rPr>
        <w:t>号谈判采购文件，经仔细阅读和研究，我们决定参加本项目的谈判。</w:t>
      </w:r>
    </w:p>
    <w:p w14:paraId="080FB45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我们愿意按照采购文件的一切要求，提供投标产品及其配套服务，投标总报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w:t>
      </w:r>
      <w:r>
        <w:rPr>
          <w:rFonts w:hint="eastAsia" w:ascii="宋体" w:hAnsi="宋体" w:cs="宋体"/>
          <w:color w:val="auto"/>
          <w:szCs w:val="21"/>
          <w:highlight w:val="none"/>
          <w:lang w:val="zh-CN"/>
        </w:rPr>
        <w:t>同时，除非合同条款中另有规定，否则</w:t>
      </w:r>
      <w:r>
        <w:rPr>
          <w:rFonts w:hint="eastAsia" w:ascii="宋体" w:hAnsi="宋体" w:cs="宋体"/>
          <w:color w:val="auto"/>
          <w:szCs w:val="21"/>
          <w:highlight w:val="none"/>
        </w:rPr>
        <w:t>乙方</w:t>
      </w:r>
      <w:r>
        <w:rPr>
          <w:rFonts w:hint="eastAsia" w:ascii="宋体" w:hAnsi="宋体" w:cs="宋体"/>
          <w:color w:val="auto"/>
          <w:szCs w:val="21"/>
          <w:highlight w:val="none"/>
          <w:lang w:val="zh-CN"/>
        </w:rPr>
        <w:t>所报价格在合同实施期间不因市场变化因素而变动</w:t>
      </w:r>
      <w:r>
        <w:rPr>
          <w:rFonts w:hint="eastAsia" w:ascii="宋体" w:hAnsi="宋体" w:cs="宋体"/>
          <w:color w:val="auto"/>
          <w:szCs w:val="21"/>
          <w:highlight w:val="none"/>
        </w:rPr>
        <w:t>。</w:t>
      </w:r>
    </w:p>
    <w:p w14:paraId="3387821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2、如果我们的响应文件被接受，我们将严格履行谈判采购文件中规定的每一项要求，按期、按质、按量履行服务义务。</w:t>
      </w:r>
    </w:p>
    <w:p w14:paraId="4F39F94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3、我们同意按谈判采购文件中的规定，本响应文件的有效期限为自开标之日起45日。</w:t>
      </w:r>
    </w:p>
    <w:p w14:paraId="7650FF0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4、我们愿意提供采购人在谈判采购文件中要求的所有资料。</w:t>
      </w:r>
    </w:p>
    <w:p w14:paraId="28DF224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5、我方愿意遵守谈判采购文件中所列的收费标准。</w:t>
      </w:r>
    </w:p>
    <w:p w14:paraId="7C88F6F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6、我方在谈判响应文件和谈判中所作的承诺在谈判后保持有效，不作任何更改和变动。</w:t>
      </w:r>
    </w:p>
    <w:p w14:paraId="02D52DA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7、如我方成为成交单位，我方愿意在领取成交通知书时按采购文件要求向代理机构支付成交服务费。</w:t>
      </w:r>
    </w:p>
    <w:p w14:paraId="70888FB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8、我们愿意按照</w:t>
      </w:r>
      <w:r>
        <w:rPr>
          <w:rFonts w:hint="eastAsia" w:ascii="宋体" w:hAnsi="宋体" w:cs="宋体"/>
          <w:bCs/>
          <w:color w:val="auto"/>
          <w:szCs w:val="21"/>
          <w:highlight w:val="none"/>
        </w:rPr>
        <w:t>《中华人民共和国民法典》</w:t>
      </w:r>
      <w:r>
        <w:rPr>
          <w:rFonts w:hint="eastAsia" w:ascii="宋体" w:hAnsi="宋体" w:cs="宋体"/>
          <w:color w:val="auto"/>
          <w:szCs w:val="21"/>
          <w:highlight w:val="none"/>
        </w:rPr>
        <w:t>履行自己应该承担的全部责任。</w:t>
      </w:r>
    </w:p>
    <w:p w14:paraId="5CE9BA5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9、我们愿意按照贵公司谈判采购文件的要求提供电子响应文件，并保证全部谈判响应文件内容真实有效，若有虚假，我公司愿意承担与此相关的一切责任。</w:t>
      </w:r>
    </w:p>
    <w:p w14:paraId="6355C94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10、综合说明：</w:t>
      </w:r>
    </w:p>
    <w:p w14:paraId="1A0E133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（1）伴随服务及配合措施；</w:t>
      </w:r>
    </w:p>
    <w:p w14:paraId="7FB2F78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（2）要求采购单位提供的配合；</w:t>
      </w:r>
    </w:p>
    <w:p w14:paraId="5DA9DD8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（3）对谈判采购文件有不同意见的偏离说明；</w:t>
      </w:r>
    </w:p>
    <w:p w14:paraId="690ABF3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（4）其它说明；</w:t>
      </w:r>
    </w:p>
    <w:p w14:paraId="5969737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所有有关标书的函电，请按下列地址联系：</w:t>
      </w:r>
    </w:p>
    <w:p w14:paraId="2D0CEDB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单位：              邮编：</w:t>
      </w:r>
    </w:p>
    <w:p w14:paraId="18414B2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联系人：            地址：</w:t>
      </w:r>
    </w:p>
    <w:p w14:paraId="17EA249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开户名称：          电话：</w:t>
      </w:r>
    </w:p>
    <w:p w14:paraId="127EFD7F">
      <w:pPr>
        <w:pStyle w:val="42"/>
        <w:ind w:left="0" w:firstLine="0"/>
        <w:rPr>
          <w:rFonts w:ascii="宋体" w:hAnsi="宋体" w:cs="宋体"/>
          <w:color w:val="auto"/>
          <w:szCs w:val="21"/>
          <w:highlight w:val="none"/>
        </w:rPr>
      </w:pPr>
    </w:p>
    <w:p w14:paraId="65E073B3">
      <w:pPr>
        <w:pStyle w:val="5"/>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谈判响应单位：（签章）</w:t>
      </w:r>
    </w:p>
    <w:p w14:paraId="6DECA706">
      <w:pPr>
        <w:pStyle w:val="5"/>
        <w:spacing w:line="360" w:lineRule="auto"/>
        <w:ind w:firstLine="0"/>
        <w:jc w:val="both"/>
        <w:rPr>
          <w:rFonts w:ascii="宋体" w:hAnsi="宋体" w:eastAsia="宋体" w:cs="宋体"/>
          <w:color w:val="auto"/>
          <w:sz w:val="21"/>
          <w:szCs w:val="21"/>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日期：        年    月    日</w:t>
      </w:r>
    </w:p>
    <w:p w14:paraId="4072DEE1">
      <w:pPr>
        <w:pStyle w:val="5"/>
        <w:pageBreakBefore/>
        <w:spacing w:line="360" w:lineRule="auto"/>
        <w:ind w:firstLine="0"/>
        <w:jc w:val="both"/>
        <w:rPr>
          <w:rFonts w:ascii="宋体" w:hAnsi="宋体" w:eastAsia="宋体" w:cs="宋体"/>
          <w:b/>
          <w:color w:val="auto"/>
          <w:sz w:val="21"/>
          <w:highlight w:val="none"/>
        </w:rPr>
      </w:pPr>
      <w:r>
        <w:rPr>
          <w:rFonts w:hint="eastAsia" w:ascii="宋体" w:hAnsi="宋体" w:eastAsia="宋体" w:cs="宋体"/>
          <w:b/>
          <w:color w:val="auto"/>
          <w:sz w:val="21"/>
          <w:highlight w:val="none"/>
        </w:rPr>
        <w:t>附件</w:t>
      </w:r>
      <w:r>
        <w:rPr>
          <w:rFonts w:hint="eastAsia" w:ascii="宋体" w:hAnsi="宋体" w:eastAsia="宋体" w:cs="宋体"/>
          <w:b/>
          <w:color w:val="auto"/>
          <w:sz w:val="21"/>
          <w:highlight w:val="none"/>
          <w:lang w:val="en-US" w:eastAsia="zh-CN"/>
        </w:rPr>
        <w:t>5</w:t>
      </w:r>
      <w:r>
        <w:rPr>
          <w:rFonts w:hint="eastAsia" w:ascii="宋体" w:hAnsi="宋体" w:eastAsia="宋体" w:cs="宋体"/>
          <w:b/>
          <w:color w:val="auto"/>
          <w:sz w:val="21"/>
          <w:highlight w:val="none"/>
        </w:rPr>
        <w:t>：关于资格文件的声明函</w:t>
      </w:r>
    </w:p>
    <w:p w14:paraId="33426CB4">
      <w:pPr>
        <w:pStyle w:val="5"/>
        <w:spacing w:line="360" w:lineRule="auto"/>
        <w:jc w:val="center"/>
        <w:rPr>
          <w:rFonts w:ascii="宋体" w:hAnsi="宋体" w:eastAsia="宋体" w:cs="宋体"/>
          <w:color w:val="auto"/>
          <w:sz w:val="21"/>
          <w:highlight w:val="none"/>
        </w:rPr>
      </w:pPr>
    </w:p>
    <w:p w14:paraId="29DB605C">
      <w:pPr>
        <w:pStyle w:val="5"/>
        <w:spacing w:line="360" w:lineRule="auto"/>
        <w:ind w:firstLine="0"/>
        <w:jc w:val="center"/>
        <w:rPr>
          <w:rFonts w:ascii="宋体" w:hAnsi="宋体" w:eastAsia="宋体" w:cs="宋体"/>
          <w:color w:val="auto"/>
          <w:sz w:val="21"/>
          <w:highlight w:val="none"/>
        </w:rPr>
      </w:pPr>
      <w:r>
        <w:rPr>
          <w:rFonts w:hint="eastAsia" w:ascii="宋体" w:hAnsi="宋体" w:eastAsia="宋体" w:cs="宋体"/>
          <w:color w:val="auto"/>
          <w:sz w:val="21"/>
          <w:highlight w:val="none"/>
        </w:rPr>
        <w:t>关于资格文件的声明函</w:t>
      </w:r>
    </w:p>
    <w:p w14:paraId="4BAB152F">
      <w:pPr>
        <w:pStyle w:val="5"/>
        <w:spacing w:line="360" w:lineRule="auto"/>
        <w:ind w:firstLine="0"/>
        <w:rPr>
          <w:rFonts w:ascii="宋体" w:hAnsi="宋体" w:eastAsia="宋体" w:cs="宋体"/>
          <w:color w:val="auto"/>
          <w:sz w:val="21"/>
          <w:highlight w:val="none"/>
          <w:u w:val="single"/>
        </w:rPr>
      </w:pPr>
    </w:p>
    <w:p w14:paraId="6936E738">
      <w:pPr>
        <w:pStyle w:val="5"/>
        <w:spacing w:line="360" w:lineRule="auto"/>
        <w:ind w:firstLine="1260" w:firstLineChars="600"/>
        <w:rPr>
          <w:rFonts w:ascii="宋体" w:hAnsi="宋体" w:eastAsia="宋体" w:cs="宋体"/>
          <w:color w:val="auto"/>
          <w:sz w:val="21"/>
          <w:highlight w:val="none"/>
        </w:rPr>
      </w:pPr>
      <w:r>
        <w:rPr>
          <w:rFonts w:hint="eastAsia" w:ascii="宋体" w:hAnsi="宋体" w:eastAsia="宋体" w:cs="宋体"/>
          <w:color w:val="auto"/>
          <w:sz w:val="21"/>
          <w:highlight w:val="none"/>
        </w:rPr>
        <w:t>：</w:t>
      </w:r>
    </w:p>
    <w:p w14:paraId="7DC45D3C">
      <w:pPr>
        <w:pStyle w:val="5"/>
        <w:spacing w:line="360" w:lineRule="auto"/>
        <w:rPr>
          <w:rFonts w:ascii="宋体" w:hAnsi="宋体" w:eastAsia="宋体" w:cs="宋体"/>
          <w:color w:val="auto"/>
          <w:sz w:val="21"/>
          <w:szCs w:val="21"/>
          <w:highlight w:val="none"/>
        </w:rPr>
      </w:pPr>
      <w:r>
        <w:rPr>
          <w:rFonts w:hint="eastAsia" w:ascii="宋体" w:hAnsi="宋体" w:eastAsia="宋体" w:cs="宋体"/>
          <w:color w:val="auto"/>
          <w:sz w:val="21"/>
          <w:highlight w:val="none"/>
        </w:rPr>
        <w:t>本公司愿就由贵公司组织实施的编号为</w:t>
      </w:r>
      <w:r>
        <w:rPr>
          <w:rFonts w:hint="eastAsia" w:ascii="宋体" w:hAnsi="宋体" w:eastAsia="宋体" w:cs="宋体"/>
          <w:color w:val="auto"/>
          <w:sz w:val="21"/>
          <w:highlight w:val="none"/>
          <w:lang w:eastAsia="zh-CN"/>
        </w:rPr>
        <w:t>JSZC-320583-CJZB-T2025-0232</w:t>
      </w:r>
      <w:r>
        <w:rPr>
          <w:rFonts w:hint="eastAsia" w:ascii="宋体" w:hAnsi="宋体" w:eastAsia="宋体" w:cs="宋体"/>
          <w:color w:val="auto"/>
          <w:sz w:val="21"/>
          <w:highlight w:val="none"/>
        </w:rPr>
        <w:t>号的招标活动进行投标。本公司所提交的响应文件中所有关于投标资格的文件、证明和陈述均是真实的、准确的。本公司愿意提供采购文件中要求的所有资料，本公司承诺我单位符合采购文件中的所有资格要求。若与真实情况不符，本公司愿意承担由此而产生的一切后果。</w:t>
      </w:r>
    </w:p>
    <w:p w14:paraId="4E05C952">
      <w:pPr>
        <w:pStyle w:val="5"/>
        <w:spacing w:line="360" w:lineRule="auto"/>
        <w:ind w:firstLine="0"/>
        <w:jc w:val="both"/>
        <w:rPr>
          <w:rFonts w:ascii="宋体" w:hAnsi="宋体" w:eastAsia="宋体" w:cs="宋体"/>
          <w:color w:val="auto"/>
          <w:sz w:val="21"/>
          <w:highlight w:val="none"/>
        </w:rPr>
      </w:pPr>
    </w:p>
    <w:p w14:paraId="0DB6705F">
      <w:pPr>
        <w:pStyle w:val="5"/>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谈判响应单位：（签章）</w:t>
      </w:r>
    </w:p>
    <w:p w14:paraId="564BFCF5">
      <w:pPr>
        <w:pStyle w:val="5"/>
        <w:spacing w:line="360" w:lineRule="auto"/>
        <w:ind w:firstLine="0"/>
        <w:jc w:val="both"/>
        <w:rPr>
          <w:rFonts w:ascii="宋体" w:hAnsi="宋体" w:eastAsia="宋体" w:cs="宋体"/>
          <w:color w:val="auto"/>
          <w:sz w:val="21"/>
          <w:szCs w:val="21"/>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日期：        年    月    日</w:t>
      </w:r>
    </w:p>
    <w:p w14:paraId="7C428559">
      <w:pPr>
        <w:pageBreakBefore/>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：（谈判响应单位）法人授权委托书</w:t>
      </w:r>
    </w:p>
    <w:p w14:paraId="3F6669E2">
      <w:pPr>
        <w:pStyle w:val="5"/>
        <w:spacing w:line="360" w:lineRule="auto"/>
        <w:jc w:val="center"/>
        <w:rPr>
          <w:rFonts w:ascii="宋体" w:hAnsi="宋体" w:eastAsia="宋体" w:cs="宋体"/>
          <w:b/>
          <w:color w:val="auto"/>
          <w:sz w:val="21"/>
          <w:szCs w:val="21"/>
          <w:highlight w:val="none"/>
        </w:rPr>
      </w:pPr>
    </w:p>
    <w:p w14:paraId="03291C22">
      <w:pPr>
        <w:pStyle w:val="5"/>
        <w:spacing w:line="360" w:lineRule="auto"/>
        <w:ind w:firstLine="0"/>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法人授权委托书</w:t>
      </w:r>
    </w:p>
    <w:p w14:paraId="11EF33B1">
      <w:pPr>
        <w:pStyle w:val="5"/>
        <w:spacing w:line="360" w:lineRule="auto"/>
        <w:rPr>
          <w:rFonts w:ascii="宋体" w:hAnsi="宋体" w:eastAsia="宋体" w:cs="宋体"/>
          <w:color w:val="auto"/>
          <w:sz w:val="21"/>
          <w:szCs w:val="21"/>
          <w:highlight w:val="none"/>
        </w:rPr>
      </w:pPr>
    </w:p>
    <w:p w14:paraId="0C714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本授权书声明： </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 xml:space="preserve">授权 </w:t>
      </w:r>
      <w:r>
        <w:rPr>
          <w:rFonts w:hint="eastAsia" w:ascii="宋体" w:hAnsi="宋体" w:cs="宋体"/>
          <w:color w:val="auto"/>
          <w:szCs w:val="21"/>
          <w:highlight w:val="none"/>
          <w:u w:val="single"/>
        </w:rPr>
        <w:t>（被授权人的姓名）</w:t>
      </w:r>
      <w:r>
        <w:rPr>
          <w:rFonts w:hint="eastAsia" w:ascii="宋体" w:hAnsi="宋体" w:cs="宋体"/>
          <w:color w:val="auto"/>
          <w:szCs w:val="21"/>
          <w:highlight w:val="none"/>
        </w:rPr>
        <w:t>为我方授权代表（即代理人），参加</w:t>
      </w:r>
      <w:r>
        <w:rPr>
          <w:rFonts w:hint="eastAsia" w:ascii="宋体" w:hAnsi="宋体" w:cs="宋体"/>
          <w:color w:val="auto"/>
          <w:szCs w:val="21"/>
          <w:highlight w:val="none"/>
          <w:u w:val="single"/>
        </w:rPr>
        <w:t>苏州市创杰招投标咨询服务有限公司</w:t>
      </w:r>
      <w:r>
        <w:rPr>
          <w:rFonts w:hint="eastAsia" w:ascii="宋体" w:hAnsi="宋体" w:cs="宋体"/>
          <w:color w:val="auto"/>
          <w:szCs w:val="21"/>
          <w:highlight w:val="none"/>
        </w:rPr>
        <w:t>组织实施的编号为</w:t>
      </w:r>
      <w:r>
        <w:rPr>
          <w:rFonts w:hint="eastAsia" w:ascii="宋体" w:hAnsi="宋体" w:cs="宋体"/>
          <w:color w:val="auto"/>
          <w:szCs w:val="21"/>
          <w:highlight w:val="none"/>
          <w:u w:val="single"/>
        </w:rPr>
        <w:t>（采购编号）</w:t>
      </w:r>
      <w:r>
        <w:rPr>
          <w:rFonts w:hint="eastAsia" w:ascii="宋体" w:hAnsi="宋体" w:cs="宋体"/>
          <w:color w:val="auto"/>
          <w:szCs w:val="21"/>
          <w:highlight w:val="none"/>
        </w:rPr>
        <w:t>的竞争性谈判项目。代理人在本次招标活动过程、合同签订及处理有关事宜所作出的全部意思表示（包括签署的全部文件），我司均予以承认并由我司承担相应法律后果。</w:t>
      </w:r>
    </w:p>
    <w:p w14:paraId="25DF5D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14:paraId="5E6FBE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本授权委托书有效期自委托书作出之日起至本项目合同履行完毕之日止。</w:t>
      </w:r>
    </w:p>
    <w:p w14:paraId="09E5AA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2A6482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被授权人身份证号码： 。</w:t>
      </w:r>
    </w:p>
    <w:p w14:paraId="6E7083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被授权人联系电话：</w:t>
      </w:r>
      <w:r>
        <w:rPr>
          <w:rFonts w:hint="eastAsia" w:ascii="宋体" w:hAnsi="宋体" w:cs="宋体"/>
          <w:color w:val="auto"/>
          <w:szCs w:val="21"/>
          <w:highlight w:val="none"/>
          <w:u w:val="single"/>
        </w:rPr>
        <w:t xml:space="preserve">（手机）                </w:t>
      </w:r>
      <w:r>
        <w:rPr>
          <w:rFonts w:hint="eastAsia" w:ascii="宋体" w:hAnsi="宋体" w:cs="宋体"/>
          <w:color w:val="auto"/>
          <w:szCs w:val="21"/>
          <w:highlight w:val="none"/>
        </w:rPr>
        <w:t>。</w:t>
      </w:r>
    </w:p>
    <w:p w14:paraId="79D753DB">
      <w:pPr>
        <w:spacing w:line="360" w:lineRule="auto"/>
        <w:ind w:firstLine="420"/>
        <w:rPr>
          <w:rFonts w:ascii="宋体" w:hAnsi="宋体" w:cs="宋体"/>
          <w:color w:val="auto"/>
          <w:szCs w:val="21"/>
          <w:highlight w:val="none"/>
        </w:rPr>
      </w:pPr>
    </w:p>
    <w:p w14:paraId="535E5E61">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单位名称：（加盖CA电子公章）</w:t>
      </w:r>
    </w:p>
    <w:p w14:paraId="475038A4">
      <w:pPr>
        <w:spacing w:line="360" w:lineRule="auto"/>
        <w:ind w:right="630"/>
        <w:rPr>
          <w:rFonts w:ascii="宋体" w:hAnsi="宋体" w:cs="宋体"/>
          <w:color w:val="auto"/>
          <w:szCs w:val="21"/>
          <w:highlight w:val="none"/>
        </w:rPr>
      </w:pPr>
      <w:r>
        <w:rPr>
          <w:rFonts w:hint="eastAsia" w:ascii="宋体" w:hAnsi="宋体" w:cs="宋体"/>
          <w:color w:val="auto"/>
          <w:szCs w:val="21"/>
          <w:highlight w:val="none"/>
        </w:rPr>
        <w:t>日期：　　　　年　　  月　　  日</w:t>
      </w:r>
    </w:p>
    <w:p w14:paraId="5B46739E">
      <w:pPr>
        <w:widowControl/>
        <w:jc w:val="left"/>
        <w:rPr>
          <w:rFonts w:ascii="宋体" w:hAnsi="宋体" w:cs="宋体"/>
          <w:color w:val="auto"/>
          <w:szCs w:val="21"/>
          <w:highlight w:val="none"/>
        </w:rPr>
      </w:pPr>
    </w:p>
    <w:p w14:paraId="02AD97ED">
      <w:pPr>
        <w:widowControl/>
        <w:jc w:val="left"/>
        <w:rPr>
          <w:rFonts w:ascii="宋体" w:hAnsi="宋体" w:cs="宋体"/>
          <w:color w:val="auto"/>
          <w:szCs w:val="21"/>
          <w:highlight w:val="none"/>
        </w:rPr>
      </w:pPr>
    </w:p>
    <w:p w14:paraId="3F7325F7">
      <w:pPr>
        <w:spacing w:line="360" w:lineRule="auto"/>
        <w:rPr>
          <w:rFonts w:ascii="宋体" w:hAnsi="宋体" w:cs="宋体"/>
          <w:b/>
          <w:color w:val="auto"/>
          <w:szCs w:val="21"/>
          <w:highlight w:val="none"/>
        </w:rPr>
      </w:pPr>
      <w:r>
        <w:rPr>
          <w:rFonts w:hint="eastAsia" w:ascii="宋体" w:hAnsi="宋体" w:cs="宋体"/>
          <w:b/>
          <w:color w:val="auto"/>
          <w:szCs w:val="21"/>
          <w:highlight w:val="none"/>
        </w:rPr>
        <w:t>备注：供应商如有授权委托，必须提供法定代表人身份证复印件、法人授权委托书及代理人身份证复印件，否则投标无效；</w:t>
      </w:r>
    </w:p>
    <w:p w14:paraId="37E79080">
      <w:pPr>
        <w:pStyle w:val="5"/>
        <w:spacing w:line="360" w:lineRule="auto"/>
        <w:ind w:left="630" w:leftChars="300" w:firstLine="0"/>
        <w:rPr>
          <w:rFonts w:ascii="宋体" w:hAnsi="宋体" w:eastAsia="宋体" w:cs="宋体"/>
          <w:color w:val="auto"/>
          <w:sz w:val="21"/>
          <w:szCs w:val="21"/>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b/>
          <w:color w:val="auto"/>
          <w:sz w:val="21"/>
          <w:szCs w:val="21"/>
          <w:highlight w:val="none"/>
        </w:rPr>
        <w:t>供应商无授权委托的情况下，必须提供法定代表人身份证复印件，否则投标无效。</w:t>
      </w:r>
    </w:p>
    <w:p w14:paraId="1062C1F6">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：技术要求偏离表</w:t>
      </w:r>
    </w:p>
    <w:p w14:paraId="5010AE8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技术要求偏离表</w:t>
      </w:r>
    </w:p>
    <w:p w14:paraId="1B24D07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898"/>
        <w:gridCol w:w="1710"/>
        <w:gridCol w:w="1521"/>
        <w:gridCol w:w="1793"/>
        <w:gridCol w:w="1852"/>
      </w:tblGrid>
      <w:tr w14:paraId="26707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1BDF288B">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01" w:type="dxa"/>
            <w:noWrap/>
            <w:vAlign w:val="center"/>
          </w:tcPr>
          <w:p w14:paraId="7390BF35">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711" w:type="dxa"/>
            <w:noWrap/>
            <w:vAlign w:val="center"/>
          </w:tcPr>
          <w:p w14:paraId="76A6BFB3">
            <w:pPr>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521" w:type="dxa"/>
            <w:noWrap/>
            <w:vAlign w:val="center"/>
          </w:tcPr>
          <w:p w14:paraId="540D4E3D">
            <w:pPr>
              <w:jc w:val="center"/>
              <w:rPr>
                <w:rFonts w:ascii="宋体" w:hAnsi="宋体" w:cs="宋体"/>
                <w:color w:val="auto"/>
                <w:szCs w:val="21"/>
                <w:highlight w:val="none"/>
              </w:rPr>
            </w:pPr>
            <w:r>
              <w:rPr>
                <w:rFonts w:hint="eastAsia" w:ascii="宋体" w:hAnsi="宋体" w:cs="宋体"/>
                <w:color w:val="auto"/>
                <w:szCs w:val="21"/>
                <w:highlight w:val="none"/>
              </w:rPr>
              <w:t>投标要求</w:t>
            </w:r>
          </w:p>
        </w:tc>
        <w:tc>
          <w:tcPr>
            <w:tcW w:w="1795" w:type="dxa"/>
            <w:noWrap/>
            <w:vAlign w:val="center"/>
          </w:tcPr>
          <w:p w14:paraId="27659677">
            <w:pPr>
              <w:jc w:val="center"/>
              <w:rPr>
                <w:rFonts w:ascii="宋体" w:hAnsi="宋体" w:cs="宋体"/>
                <w:color w:val="auto"/>
                <w:szCs w:val="21"/>
                <w:highlight w:val="none"/>
              </w:rPr>
            </w:pPr>
            <w:r>
              <w:rPr>
                <w:rFonts w:hint="eastAsia" w:ascii="宋体" w:hAnsi="宋体" w:cs="宋体"/>
                <w:color w:val="auto"/>
                <w:szCs w:val="21"/>
                <w:highlight w:val="none"/>
              </w:rPr>
              <w:t>偏离/响应</w:t>
            </w:r>
          </w:p>
        </w:tc>
        <w:tc>
          <w:tcPr>
            <w:tcW w:w="1855" w:type="dxa"/>
            <w:noWrap/>
            <w:vAlign w:val="center"/>
          </w:tcPr>
          <w:p w14:paraId="27FAAD9E">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31AA7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62DFE7B9">
            <w:pPr>
              <w:rPr>
                <w:rFonts w:ascii="宋体" w:hAnsi="宋体" w:cs="宋体"/>
                <w:color w:val="auto"/>
                <w:szCs w:val="21"/>
                <w:highlight w:val="none"/>
              </w:rPr>
            </w:pPr>
          </w:p>
        </w:tc>
        <w:tc>
          <w:tcPr>
            <w:tcW w:w="1901" w:type="dxa"/>
            <w:noWrap/>
            <w:vAlign w:val="center"/>
          </w:tcPr>
          <w:p w14:paraId="353BAF8F">
            <w:pPr>
              <w:rPr>
                <w:rFonts w:ascii="宋体" w:hAnsi="宋体" w:cs="宋体"/>
                <w:color w:val="auto"/>
                <w:szCs w:val="21"/>
                <w:highlight w:val="none"/>
              </w:rPr>
            </w:pPr>
          </w:p>
        </w:tc>
        <w:tc>
          <w:tcPr>
            <w:tcW w:w="1711" w:type="dxa"/>
            <w:noWrap/>
            <w:vAlign w:val="center"/>
          </w:tcPr>
          <w:p w14:paraId="58905FFF">
            <w:pPr>
              <w:rPr>
                <w:rFonts w:ascii="宋体" w:hAnsi="宋体" w:cs="宋体"/>
                <w:color w:val="auto"/>
                <w:szCs w:val="21"/>
                <w:highlight w:val="none"/>
              </w:rPr>
            </w:pPr>
          </w:p>
        </w:tc>
        <w:tc>
          <w:tcPr>
            <w:tcW w:w="1521" w:type="dxa"/>
            <w:noWrap/>
            <w:vAlign w:val="center"/>
          </w:tcPr>
          <w:p w14:paraId="31C777E5">
            <w:pPr>
              <w:rPr>
                <w:rFonts w:ascii="宋体" w:hAnsi="宋体" w:cs="宋体"/>
                <w:color w:val="auto"/>
                <w:szCs w:val="21"/>
                <w:highlight w:val="none"/>
              </w:rPr>
            </w:pPr>
          </w:p>
        </w:tc>
        <w:tc>
          <w:tcPr>
            <w:tcW w:w="1795" w:type="dxa"/>
            <w:noWrap/>
            <w:vAlign w:val="center"/>
          </w:tcPr>
          <w:p w14:paraId="6DE7CF84">
            <w:pPr>
              <w:rPr>
                <w:rFonts w:ascii="宋体" w:hAnsi="宋体" w:cs="宋体"/>
                <w:color w:val="auto"/>
                <w:szCs w:val="21"/>
                <w:highlight w:val="none"/>
              </w:rPr>
            </w:pPr>
          </w:p>
        </w:tc>
        <w:tc>
          <w:tcPr>
            <w:tcW w:w="1855" w:type="dxa"/>
            <w:noWrap/>
            <w:vAlign w:val="center"/>
          </w:tcPr>
          <w:p w14:paraId="407515CE">
            <w:pPr>
              <w:rPr>
                <w:rFonts w:ascii="宋体" w:hAnsi="宋体" w:cs="宋体"/>
                <w:color w:val="auto"/>
                <w:szCs w:val="21"/>
                <w:highlight w:val="none"/>
              </w:rPr>
            </w:pPr>
          </w:p>
        </w:tc>
      </w:tr>
      <w:tr w14:paraId="355EE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653C48B5">
            <w:pPr>
              <w:rPr>
                <w:rFonts w:ascii="宋体" w:hAnsi="宋体" w:cs="宋体"/>
                <w:color w:val="auto"/>
                <w:szCs w:val="21"/>
                <w:highlight w:val="none"/>
              </w:rPr>
            </w:pPr>
          </w:p>
        </w:tc>
        <w:tc>
          <w:tcPr>
            <w:tcW w:w="1901" w:type="dxa"/>
            <w:noWrap/>
            <w:vAlign w:val="center"/>
          </w:tcPr>
          <w:p w14:paraId="21238B6B">
            <w:pPr>
              <w:rPr>
                <w:rFonts w:ascii="宋体" w:hAnsi="宋体" w:cs="宋体"/>
                <w:color w:val="auto"/>
                <w:szCs w:val="21"/>
                <w:highlight w:val="none"/>
              </w:rPr>
            </w:pPr>
          </w:p>
        </w:tc>
        <w:tc>
          <w:tcPr>
            <w:tcW w:w="1711" w:type="dxa"/>
            <w:noWrap/>
            <w:vAlign w:val="center"/>
          </w:tcPr>
          <w:p w14:paraId="4CEDF87D">
            <w:pPr>
              <w:rPr>
                <w:rFonts w:ascii="宋体" w:hAnsi="宋体" w:cs="宋体"/>
                <w:color w:val="auto"/>
                <w:szCs w:val="21"/>
                <w:highlight w:val="none"/>
              </w:rPr>
            </w:pPr>
          </w:p>
        </w:tc>
        <w:tc>
          <w:tcPr>
            <w:tcW w:w="1521" w:type="dxa"/>
            <w:noWrap/>
            <w:vAlign w:val="center"/>
          </w:tcPr>
          <w:p w14:paraId="1C8E0923">
            <w:pPr>
              <w:rPr>
                <w:rFonts w:ascii="宋体" w:hAnsi="宋体" w:cs="宋体"/>
                <w:color w:val="auto"/>
                <w:szCs w:val="21"/>
                <w:highlight w:val="none"/>
              </w:rPr>
            </w:pPr>
          </w:p>
        </w:tc>
        <w:tc>
          <w:tcPr>
            <w:tcW w:w="1795" w:type="dxa"/>
            <w:noWrap/>
            <w:vAlign w:val="center"/>
          </w:tcPr>
          <w:p w14:paraId="514271C9">
            <w:pPr>
              <w:rPr>
                <w:rFonts w:ascii="宋体" w:hAnsi="宋体" w:cs="宋体"/>
                <w:color w:val="auto"/>
                <w:szCs w:val="21"/>
                <w:highlight w:val="none"/>
              </w:rPr>
            </w:pPr>
          </w:p>
        </w:tc>
        <w:tc>
          <w:tcPr>
            <w:tcW w:w="1855" w:type="dxa"/>
            <w:noWrap/>
            <w:vAlign w:val="center"/>
          </w:tcPr>
          <w:p w14:paraId="00217AFA">
            <w:pPr>
              <w:rPr>
                <w:rFonts w:ascii="宋体" w:hAnsi="宋体" w:cs="宋体"/>
                <w:color w:val="auto"/>
                <w:szCs w:val="21"/>
                <w:highlight w:val="none"/>
              </w:rPr>
            </w:pPr>
          </w:p>
        </w:tc>
      </w:tr>
      <w:tr w14:paraId="13EC8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23177A6F">
            <w:pPr>
              <w:rPr>
                <w:rFonts w:ascii="宋体" w:hAnsi="宋体" w:cs="宋体"/>
                <w:color w:val="auto"/>
                <w:szCs w:val="21"/>
                <w:highlight w:val="none"/>
              </w:rPr>
            </w:pPr>
          </w:p>
        </w:tc>
        <w:tc>
          <w:tcPr>
            <w:tcW w:w="1901" w:type="dxa"/>
            <w:noWrap/>
            <w:vAlign w:val="center"/>
          </w:tcPr>
          <w:p w14:paraId="1DE89C85">
            <w:pPr>
              <w:rPr>
                <w:rFonts w:ascii="宋体" w:hAnsi="宋体" w:cs="宋体"/>
                <w:color w:val="auto"/>
                <w:szCs w:val="21"/>
                <w:highlight w:val="none"/>
              </w:rPr>
            </w:pPr>
          </w:p>
        </w:tc>
        <w:tc>
          <w:tcPr>
            <w:tcW w:w="1711" w:type="dxa"/>
            <w:noWrap/>
            <w:vAlign w:val="center"/>
          </w:tcPr>
          <w:p w14:paraId="068873F0">
            <w:pPr>
              <w:rPr>
                <w:rFonts w:ascii="宋体" w:hAnsi="宋体" w:cs="宋体"/>
                <w:color w:val="auto"/>
                <w:szCs w:val="21"/>
                <w:highlight w:val="none"/>
              </w:rPr>
            </w:pPr>
          </w:p>
        </w:tc>
        <w:tc>
          <w:tcPr>
            <w:tcW w:w="1521" w:type="dxa"/>
            <w:noWrap/>
            <w:vAlign w:val="center"/>
          </w:tcPr>
          <w:p w14:paraId="2A8B31C1">
            <w:pPr>
              <w:rPr>
                <w:rFonts w:ascii="宋体" w:hAnsi="宋体" w:cs="宋体"/>
                <w:color w:val="auto"/>
                <w:szCs w:val="21"/>
                <w:highlight w:val="none"/>
              </w:rPr>
            </w:pPr>
          </w:p>
        </w:tc>
        <w:tc>
          <w:tcPr>
            <w:tcW w:w="1795" w:type="dxa"/>
            <w:noWrap/>
            <w:vAlign w:val="center"/>
          </w:tcPr>
          <w:p w14:paraId="3C732AB8">
            <w:pPr>
              <w:rPr>
                <w:rFonts w:ascii="宋体" w:hAnsi="宋体" w:cs="宋体"/>
                <w:color w:val="auto"/>
                <w:szCs w:val="21"/>
                <w:highlight w:val="none"/>
              </w:rPr>
            </w:pPr>
          </w:p>
        </w:tc>
        <w:tc>
          <w:tcPr>
            <w:tcW w:w="1855" w:type="dxa"/>
            <w:noWrap/>
            <w:vAlign w:val="center"/>
          </w:tcPr>
          <w:p w14:paraId="45D1F36E">
            <w:pPr>
              <w:rPr>
                <w:rFonts w:ascii="宋体" w:hAnsi="宋体" w:cs="宋体"/>
                <w:color w:val="auto"/>
                <w:szCs w:val="21"/>
                <w:highlight w:val="none"/>
              </w:rPr>
            </w:pPr>
          </w:p>
        </w:tc>
      </w:tr>
      <w:tr w14:paraId="458AE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0598C704">
            <w:pPr>
              <w:rPr>
                <w:rFonts w:ascii="宋体" w:hAnsi="宋体" w:cs="宋体"/>
                <w:color w:val="auto"/>
                <w:szCs w:val="21"/>
                <w:highlight w:val="none"/>
              </w:rPr>
            </w:pPr>
          </w:p>
        </w:tc>
        <w:tc>
          <w:tcPr>
            <w:tcW w:w="1901" w:type="dxa"/>
            <w:noWrap/>
            <w:vAlign w:val="center"/>
          </w:tcPr>
          <w:p w14:paraId="3679B8C5">
            <w:pPr>
              <w:rPr>
                <w:rFonts w:ascii="宋体" w:hAnsi="宋体" w:cs="宋体"/>
                <w:color w:val="auto"/>
                <w:szCs w:val="21"/>
                <w:highlight w:val="none"/>
              </w:rPr>
            </w:pPr>
          </w:p>
        </w:tc>
        <w:tc>
          <w:tcPr>
            <w:tcW w:w="1711" w:type="dxa"/>
            <w:noWrap/>
            <w:vAlign w:val="center"/>
          </w:tcPr>
          <w:p w14:paraId="513AB09D">
            <w:pPr>
              <w:rPr>
                <w:rFonts w:ascii="宋体" w:hAnsi="宋体" w:cs="宋体"/>
                <w:color w:val="auto"/>
                <w:szCs w:val="21"/>
                <w:highlight w:val="none"/>
              </w:rPr>
            </w:pPr>
          </w:p>
        </w:tc>
        <w:tc>
          <w:tcPr>
            <w:tcW w:w="1521" w:type="dxa"/>
            <w:noWrap/>
            <w:vAlign w:val="center"/>
          </w:tcPr>
          <w:p w14:paraId="0F76B606">
            <w:pPr>
              <w:rPr>
                <w:rFonts w:ascii="宋体" w:hAnsi="宋体" w:cs="宋体"/>
                <w:color w:val="auto"/>
                <w:szCs w:val="21"/>
                <w:highlight w:val="none"/>
              </w:rPr>
            </w:pPr>
          </w:p>
        </w:tc>
        <w:tc>
          <w:tcPr>
            <w:tcW w:w="1795" w:type="dxa"/>
            <w:noWrap/>
            <w:vAlign w:val="center"/>
          </w:tcPr>
          <w:p w14:paraId="78B881BD">
            <w:pPr>
              <w:rPr>
                <w:rFonts w:ascii="宋体" w:hAnsi="宋体" w:cs="宋体"/>
                <w:color w:val="auto"/>
                <w:szCs w:val="21"/>
                <w:highlight w:val="none"/>
              </w:rPr>
            </w:pPr>
          </w:p>
        </w:tc>
        <w:tc>
          <w:tcPr>
            <w:tcW w:w="1855" w:type="dxa"/>
            <w:noWrap/>
            <w:vAlign w:val="center"/>
          </w:tcPr>
          <w:p w14:paraId="7B737710">
            <w:pPr>
              <w:rPr>
                <w:rFonts w:ascii="宋体" w:hAnsi="宋体" w:cs="宋体"/>
                <w:color w:val="auto"/>
                <w:szCs w:val="21"/>
                <w:highlight w:val="none"/>
              </w:rPr>
            </w:pPr>
          </w:p>
        </w:tc>
      </w:tr>
      <w:tr w14:paraId="235C7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08D12A64">
            <w:pPr>
              <w:rPr>
                <w:rFonts w:ascii="宋体" w:hAnsi="宋体" w:cs="宋体"/>
                <w:color w:val="auto"/>
                <w:szCs w:val="21"/>
                <w:highlight w:val="none"/>
              </w:rPr>
            </w:pPr>
          </w:p>
        </w:tc>
        <w:tc>
          <w:tcPr>
            <w:tcW w:w="1901" w:type="dxa"/>
            <w:noWrap/>
            <w:vAlign w:val="center"/>
          </w:tcPr>
          <w:p w14:paraId="08F658F3">
            <w:pPr>
              <w:rPr>
                <w:rFonts w:ascii="宋体" w:hAnsi="宋体" w:cs="宋体"/>
                <w:color w:val="auto"/>
                <w:szCs w:val="21"/>
                <w:highlight w:val="none"/>
              </w:rPr>
            </w:pPr>
          </w:p>
        </w:tc>
        <w:tc>
          <w:tcPr>
            <w:tcW w:w="1711" w:type="dxa"/>
            <w:noWrap/>
            <w:vAlign w:val="center"/>
          </w:tcPr>
          <w:p w14:paraId="56638124">
            <w:pPr>
              <w:rPr>
                <w:rFonts w:ascii="宋体" w:hAnsi="宋体" w:cs="宋体"/>
                <w:color w:val="auto"/>
                <w:szCs w:val="21"/>
                <w:highlight w:val="none"/>
              </w:rPr>
            </w:pPr>
          </w:p>
        </w:tc>
        <w:tc>
          <w:tcPr>
            <w:tcW w:w="1521" w:type="dxa"/>
            <w:noWrap/>
            <w:vAlign w:val="center"/>
          </w:tcPr>
          <w:p w14:paraId="30EA3FFA">
            <w:pPr>
              <w:rPr>
                <w:rFonts w:ascii="宋体" w:hAnsi="宋体" w:cs="宋体"/>
                <w:color w:val="auto"/>
                <w:szCs w:val="21"/>
                <w:highlight w:val="none"/>
              </w:rPr>
            </w:pPr>
          </w:p>
        </w:tc>
        <w:tc>
          <w:tcPr>
            <w:tcW w:w="1795" w:type="dxa"/>
            <w:noWrap/>
            <w:vAlign w:val="center"/>
          </w:tcPr>
          <w:p w14:paraId="06956D1C">
            <w:pPr>
              <w:rPr>
                <w:rFonts w:ascii="宋体" w:hAnsi="宋体" w:cs="宋体"/>
                <w:color w:val="auto"/>
                <w:szCs w:val="21"/>
                <w:highlight w:val="none"/>
              </w:rPr>
            </w:pPr>
          </w:p>
        </w:tc>
        <w:tc>
          <w:tcPr>
            <w:tcW w:w="1855" w:type="dxa"/>
            <w:noWrap/>
            <w:vAlign w:val="center"/>
          </w:tcPr>
          <w:p w14:paraId="7F9F17B3">
            <w:pPr>
              <w:rPr>
                <w:rFonts w:ascii="宋体" w:hAnsi="宋体" w:cs="宋体"/>
                <w:color w:val="auto"/>
                <w:szCs w:val="21"/>
                <w:highlight w:val="none"/>
              </w:rPr>
            </w:pPr>
          </w:p>
        </w:tc>
      </w:tr>
      <w:tr w14:paraId="34112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2FF68703">
            <w:pPr>
              <w:rPr>
                <w:rFonts w:ascii="宋体" w:hAnsi="宋体" w:cs="宋体"/>
                <w:color w:val="auto"/>
                <w:szCs w:val="21"/>
                <w:highlight w:val="none"/>
              </w:rPr>
            </w:pPr>
          </w:p>
        </w:tc>
        <w:tc>
          <w:tcPr>
            <w:tcW w:w="1901" w:type="dxa"/>
            <w:noWrap/>
            <w:vAlign w:val="center"/>
          </w:tcPr>
          <w:p w14:paraId="180240A2">
            <w:pPr>
              <w:rPr>
                <w:rFonts w:ascii="宋体" w:hAnsi="宋体" w:cs="宋体"/>
                <w:color w:val="auto"/>
                <w:szCs w:val="21"/>
                <w:highlight w:val="none"/>
              </w:rPr>
            </w:pPr>
          </w:p>
        </w:tc>
        <w:tc>
          <w:tcPr>
            <w:tcW w:w="1711" w:type="dxa"/>
            <w:noWrap/>
            <w:vAlign w:val="center"/>
          </w:tcPr>
          <w:p w14:paraId="043D189B">
            <w:pPr>
              <w:rPr>
                <w:rFonts w:ascii="宋体" w:hAnsi="宋体" w:cs="宋体"/>
                <w:color w:val="auto"/>
                <w:szCs w:val="21"/>
                <w:highlight w:val="none"/>
              </w:rPr>
            </w:pPr>
          </w:p>
        </w:tc>
        <w:tc>
          <w:tcPr>
            <w:tcW w:w="1521" w:type="dxa"/>
            <w:noWrap/>
            <w:vAlign w:val="center"/>
          </w:tcPr>
          <w:p w14:paraId="6D1BA51C">
            <w:pPr>
              <w:rPr>
                <w:rFonts w:ascii="宋体" w:hAnsi="宋体" w:cs="宋体"/>
                <w:color w:val="auto"/>
                <w:szCs w:val="21"/>
                <w:highlight w:val="none"/>
              </w:rPr>
            </w:pPr>
          </w:p>
        </w:tc>
        <w:tc>
          <w:tcPr>
            <w:tcW w:w="1795" w:type="dxa"/>
            <w:noWrap/>
            <w:vAlign w:val="center"/>
          </w:tcPr>
          <w:p w14:paraId="50AF2B35">
            <w:pPr>
              <w:rPr>
                <w:rFonts w:ascii="宋体" w:hAnsi="宋体" w:cs="宋体"/>
                <w:color w:val="auto"/>
                <w:szCs w:val="21"/>
                <w:highlight w:val="none"/>
              </w:rPr>
            </w:pPr>
          </w:p>
        </w:tc>
        <w:tc>
          <w:tcPr>
            <w:tcW w:w="1855" w:type="dxa"/>
            <w:noWrap/>
            <w:vAlign w:val="center"/>
          </w:tcPr>
          <w:p w14:paraId="48DABA3B">
            <w:pPr>
              <w:rPr>
                <w:rFonts w:ascii="宋体" w:hAnsi="宋体" w:cs="宋体"/>
                <w:color w:val="auto"/>
                <w:szCs w:val="21"/>
                <w:highlight w:val="none"/>
              </w:rPr>
            </w:pPr>
          </w:p>
        </w:tc>
      </w:tr>
      <w:tr w14:paraId="368B2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3A96343D">
            <w:pPr>
              <w:rPr>
                <w:rFonts w:ascii="宋体" w:hAnsi="宋体" w:cs="宋体"/>
                <w:color w:val="auto"/>
                <w:szCs w:val="21"/>
                <w:highlight w:val="none"/>
              </w:rPr>
            </w:pPr>
          </w:p>
        </w:tc>
        <w:tc>
          <w:tcPr>
            <w:tcW w:w="1901" w:type="dxa"/>
            <w:noWrap/>
            <w:vAlign w:val="center"/>
          </w:tcPr>
          <w:p w14:paraId="0BB63145">
            <w:pPr>
              <w:rPr>
                <w:rFonts w:ascii="宋体" w:hAnsi="宋体" w:cs="宋体"/>
                <w:color w:val="auto"/>
                <w:szCs w:val="21"/>
                <w:highlight w:val="none"/>
              </w:rPr>
            </w:pPr>
          </w:p>
        </w:tc>
        <w:tc>
          <w:tcPr>
            <w:tcW w:w="1711" w:type="dxa"/>
            <w:noWrap/>
            <w:vAlign w:val="center"/>
          </w:tcPr>
          <w:p w14:paraId="5E1CB0A4">
            <w:pPr>
              <w:rPr>
                <w:rFonts w:ascii="宋体" w:hAnsi="宋体" w:cs="宋体"/>
                <w:color w:val="auto"/>
                <w:szCs w:val="21"/>
                <w:highlight w:val="none"/>
              </w:rPr>
            </w:pPr>
          </w:p>
        </w:tc>
        <w:tc>
          <w:tcPr>
            <w:tcW w:w="1521" w:type="dxa"/>
            <w:noWrap/>
            <w:vAlign w:val="center"/>
          </w:tcPr>
          <w:p w14:paraId="4A024BC2">
            <w:pPr>
              <w:rPr>
                <w:rFonts w:ascii="宋体" w:hAnsi="宋体" w:cs="宋体"/>
                <w:color w:val="auto"/>
                <w:szCs w:val="21"/>
                <w:highlight w:val="none"/>
              </w:rPr>
            </w:pPr>
          </w:p>
        </w:tc>
        <w:tc>
          <w:tcPr>
            <w:tcW w:w="1795" w:type="dxa"/>
            <w:noWrap/>
            <w:vAlign w:val="center"/>
          </w:tcPr>
          <w:p w14:paraId="2DE17910">
            <w:pPr>
              <w:rPr>
                <w:rFonts w:ascii="宋体" w:hAnsi="宋体" w:cs="宋体"/>
                <w:color w:val="auto"/>
                <w:szCs w:val="21"/>
                <w:highlight w:val="none"/>
              </w:rPr>
            </w:pPr>
          </w:p>
        </w:tc>
        <w:tc>
          <w:tcPr>
            <w:tcW w:w="1855" w:type="dxa"/>
            <w:noWrap/>
            <w:vAlign w:val="center"/>
          </w:tcPr>
          <w:p w14:paraId="772E40B8">
            <w:pPr>
              <w:rPr>
                <w:rFonts w:ascii="宋体" w:hAnsi="宋体" w:cs="宋体"/>
                <w:color w:val="auto"/>
                <w:szCs w:val="21"/>
                <w:highlight w:val="none"/>
              </w:rPr>
            </w:pPr>
          </w:p>
        </w:tc>
      </w:tr>
      <w:tr w14:paraId="13420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2690E1A3">
            <w:pPr>
              <w:rPr>
                <w:rFonts w:ascii="宋体" w:hAnsi="宋体" w:cs="宋体"/>
                <w:color w:val="auto"/>
                <w:szCs w:val="21"/>
                <w:highlight w:val="none"/>
              </w:rPr>
            </w:pPr>
          </w:p>
        </w:tc>
        <w:tc>
          <w:tcPr>
            <w:tcW w:w="1901" w:type="dxa"/>
            <w:noWrap/>
            <w:vAlign w:val="center"/>
          </w:tcPr>
          <w:p w14:paraId="0BB3BF03">
            <w:pPr>
              <w:rPr>
                <w:rFonts w:ascii="宋体" w:hAnsi="宋体" w:cs="宋体"/>
                <w:color w:val="auto"/>
                <w:szCs w:val="21"/>
                <w:highlight w:val="none"/>
              </w:rPr>
            </w:pPr>
          </w:p>
        </w:tc>
        <w:tc>
          <w:tcPr>
            <w:tcW w:w="1711" w:type="dxa"/>
            <w:noWrap/>
            <w:vAlign w:val="center"/>
          </w:tcPr>
          <w:p w14:paraId="574BF5E1">
            <w:pPr>
              <w:rPr>
                <w:rFonts w:ascii="宋体" w:hAnsi="宋体" w:cs="宋体"/>
                <w:color w:val="auto"/>
                <w:szCs w:val="21"/>
                <w:highlight w:val="none"/>
              </w:rPr>
            </w:pPr>
          </w:p>
        </w:tc>
        <w:tc>
          <w:tcPr>
            <w:tcW w:w="1521" w:type="dxa"/>
            <w:noWrap/>
            <w:vAlign w:val="center"/>
          </w:tcPr>
          <w:p w14:paraId="3A6CD783">
            <w:pPr>
              <w:rPr>
                <w:rFonts w:ascii="宋体" w:hAnsi="宋体" w:cs="宋体"/>
                <w:color w:val="auto"/>
                <w:szCs w:val="21"/>
                <w:highlight w:val="none"/>
              </w:rPr>
            </w:pPr>
          </w:p>
        </w:tc>
        <w:tc>
          <w:tcPr>
            <w:tcW w:w="1795" w:type="dxa"/>
            <w:noWrap/>
            <w:vAlign w:val="center"/>
          </w:tcPr>
          <w:p w14:paraId="6DEF0D97">
            <w:pPr>
              <w:rPr>
                <w:rFonts w:ascii="宋体" w:hAnsi="宋体" w:cs="宋体"/>
                <w:color w:val="auto"/>
                <w:szCs w:val="21"/>
                <w:highlight w:val="none"/>
              </w:rPr>
            </w:pPr>
          </w:p>
        </w:tc>
        <w:tc>
          <w:tcPr>
            <w:tcW w:w="1855" w:type="dxa"/>
            <w:noWrap/>
            <w:vAlign w:val="center"/>
          </w:tcPr>
          <w:p w14:paraId="2ADAEAD7">
            <w:pPr>
              <w:rPr>
                <w:rFonts w:ascii="宋体" w:hAnsi="宋体" w:cs="宋体"/>
                <w:color w:val="auto"/>
                <w:szCs w:val="21"/>
                <w:highlight w:val="none"/>
              </w:rPr>
            </w:pPr>
          </w:p>
        </w:tc>
      </w:tr>
    </w:tbl>
    <w:p w14:paraId="33BBFCD2">
      <w:pPr>
        <w:spacing w:line="360" w:lineRule="auto"/>
        <w:ind w:left="735" w:hanging="735"/>
        <w:rPr>
          <w:rFonts w:ascii="宋体" w:hAnsi="宋体" w:cs="宋体"/>
          <w:color w:val="auto"/>
          <w:szCs w:val="21"/>
          <w:highlight w:val="none"/>
        </w:rPr>
      </w:pPr>
      <w:r>
        <w:rPr>
          <w:rFonts w:hint="eastAsia" w:ascii="宋体" w:hAnsi="宋体" w:cs="宋体"/>
          <w:color w:val="auto"/>
          <w:szCs w:val="21"/>
          <w:highlight w:val="none"/>
        </w:rPr>
        <w:t>注：1、谈判响应单位应对照采购文件技术要求等要求，所投标的物（服务）与采购文件的规定有偏离的，应在此表中申明与技术要求条文的偏差和例外。</w:t>
      </w:r>
    </w:p>
    <w:p w14:paraId="0CAE7205">
      <w:pPr>
        <w:spacing w:line="360" w:lineRule="auto"/>
        <w:ind w:left="735" w:hanging="315"/>
        <w:rPr>
          <w:rFonts w:ascii="宋体" w:hAnsi="宋体" w:cs="宋体"/>
          <w:color w:val="auto"/>
          <w:szCs w:val="21"/>
          <w:highlight w:val="none"/>
        </w:rPr>
      </w:pPr>
      <w:r>
        <w:rPr>
          <w:rFonts w:hint="eastAsia" w:ascii="宋体" w:hAnsi="宋体" w:cs="宋体"/>
          <w:color w:val="auto"/>
          <w:szCs w:val="21"/>
          <w:highlight w:val="none"/>
        </w:rPr>
        <w:t>2、未在上表中说明的，如在响应文件其他内容中已有文字说明的，则以已有文字说明为准，否则，将被认为完全响应采购文件的规定。但该表不作为谈判响应单位对所投标的物（服务）关于技术要求等详细描述和说明的替代。</w:t>
      </w:r>
    </w:p>
    <w:p w14:paraId="56598031">
      <w:pPr>
        <w:spacing w:line="360" w:lineRule="auto"/>
        <w:rPr>
          <w:rFonts w:ascii="宋体" w:hAnsi="宋体" w:cs="宋体"/>
          <w:color w:val="auto"/>
          <w:szCs w:val="21"/>
          <w:highlight w:val="none"/>
        </w:rPr>
      </w:pPr>
    </w:p>
    <w:p w14:paraId="0F0255F5">
      <w:pPr>
        <w:spacing w:line="360" w:lineRule="auto"/>
        <w:rPr>
          <w:rFonts w:ascii="宋体" w:hAnsi="宋体" w:cs="宋体"/>
          <w:color w:val="auto"/>
          <w:szCs w:val="21"/>
          <w:highlight w:val="none"/>
        </w:rPr>
      </w:pPr>
      <w:r>
        <w:rPr>
          <w:rFonts w:hint="eastAsia" w:ascii="宋体" w:hAnsi="宋体" w:cs="宋体"/>
          <w:color w:val="auto"/>
          <w:szCs w:val="21"/>
          <w:highlight w:val="none"/>
        </w:rPr>
        <w:t>谈判响应单位：（签章）</w:t>
      </w:r>
    </w:p>
    <w:p w14:paraId="21EB4F8E">
      <w:pPr>
        <w:spacing w:line="360" w:lineRule="auto"/>
        <w:rPr>
          <w:rFonts w:ascii="宋体" w:hAnsi="宋体" w:cs="宋体"/>
          <w:b/>
          <w:color w:val="auto"/>
          <w:szCs w:val="21"/>
          <w:highlight w:val="none"/>
        </w:rPr>
      </w:pPr>
      <w:r>
        <w:rPr>
          <w:rFonts w:hint="eastAsia" w:ascii="宋体" w:hAnsi="宋体" w:cs="宋体"/>
          <w:color w:val="auto"/>
          <w:szCs w:val="21"/>
          <w:highlight w:val="none"/>
        </w:rPr>
        <w:t>日期：        年    月    日</w:t>
      </w:r>
      <w:r>
        <w:rPr>
          <w:rFonts w:hint="eastAsia" w:ascii="宋体" w:hAnsi="宋体" w:cs="宋体"/>
          <w:b/>
          <w:color w:val="auto"/>
          <w:szCs w:val="21"/>
          <w:highlight w:val="none"/>
        </w:rPr>
        <w:br w:type="page" w:clear="all"/>
      </w: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：商务条款偏离表</w:t>
      </w:r>
    </w:p>
    <w:p w14:paraId="43552E8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商务条款偏离表</w:t>
      </w:r>
    </w:p>
    <w:p w14:paraId="2484395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2400"/>
        <w:gridCol w:w="2400"/>
        <w:gridCol w:w="1716"/>
      </w:tblGrid>
      <w:tr w14:paraId="508F0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78629D09">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20" w:type="dxa"/>
            <w:noWrap/>
            <w:vAlign w:val="center"/>
          </w:tcPr>
          <w:p w14:paraId="6F60F20F">
            <w:pPr>
              <w:jc w:val="center"/>
              <w:rPr>
                <w:rFonts w:ascii="宋体" w:hAnsi="宋体" w:cs="宋体"/>
                <w:color w:val="auto"/>
                <w:szCs w:val="21"/>
                <w:highlight w:val="none"/>
              </w:rPr>
            </w:pPr>
            <w:r>
              <w:rPr>
                <w:rFonts w:hint="eastAsia" w:ascii="宋体" w:hAnsi="宋体" w:cs="宋体"/>
                <w:color w:val="auto"/>
                <w:szCs w:val="21"/>
                <w:highlight w:val="none"/>
              </w:rPr>
              <w:t>采购文件条目号</w:t>
            </w:r>
          </w:p>
        </w:tc>
        <w:tc>
          <w:tcPr>
            <w:tcW w:w="2400" w:type="dxa"/>
            <w:noWrap/>
            <w:vAlign w:val="center"/>
          </w:tcPr>
          <w:p w14:paraId="49AAB2EB">
            <w:pPr>
              <w:jc w:val="center"/>
              <w:rPr>
                <w:rFonts w:ascii="宋体" w:hAnsi="宋体" w:cs="宋体"/>
                <w:color w:val="auto"/>
                <w:szCs w:val="21"/>
                <w:highlight w:val="none"/>
              </w:rPr>
            </w:pPr>
            <w:r>
              <w:rPr>
                <w:rFonts w:hint="eastAsia" w:ascii="宋体" w:hAnsi="宋体" w:cs="宋体"/>
                <w:color w:val="auto"/>
                <w:szCs w:val="21"/>
                <w:highlight w:val="none"/>
              </w:rPr>
              <w:t>采购文件的商务条款</w:t>
            </w:r>
          </w:p>
        </w:tc>
        <w:tc>
          <w:tcPr>
            <w:tcW w:w="2400" w:type="dxa"/>
            <w:noWrap/>
            <w:vAlign w:val="center"/>
          </w:tcPr>
          <w:p w14:paraId="4A3686C9">
            <w:pPr>
              <w:jc w:val="center"/>
              <w:rPr>
                <w:rFonts w:ascii="宋体" w:hAnsi="宋体" w:cs="宋体"/>
                <w:color w:val="auto"/>
                <w:szCs w:val="21"/>
                <w:highlight w:val="none"/>
              </w:rPr>
            </w:pPr>
            <w:r>
              <w:rPr>
                <w:rFonts w:hint="eastAsia" w:ascii="宋体" w:hAnsi="宋体" w:cs="宋体"/>
                <w:color w:val="auto"/>
                <w:szCs w:val="21"/>
                <w:highlight w:val="none"/>
              </w:rPr>
              <w:t>响应文件的商务条款</w:t>
            </w:r>
          </w:p>
        </w:tc>
        <w:tc>
          <w:tcPr>
            <w:tcW w:w="1716" w:type="dxa"/>
            <w:noWrap/>
            <w:vAlign w:val="center"/>
          </w:tcPr>
          <w:p w14:paraId="5E975A28">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006C9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5520D220">
            <w:pPr>
              <w:rPr>
                <w:rFonts w:ascii="宋体" w:hAnsi="宋体" w:cs="宋体"/>
                <w:color w:val="auto"/>
                <w:szCs w:val="21"/>
                <w:highlight w:val="none"/>
              </w:rPr>
            </w:pPr>
            <w:r>
              <w:rPr>
                <w:rFonts w:hint="eastAsia" w:ascii="宋体" w:hAnsi="宋体" w:cs="宋体"/>
                <w:color w:val="auto"/>
                <w:szCs w:val="21"/>
                <w:highlight w:val="none"/>
              </w:rPr>
              <w:t>1</w:t>
            </w:r>
          </w:p>
        </w:tc>
        <w:tc>
          <w:tcPr>
            <w:tcW w:w="1920" w:type="dxa"/>
            <w:noWrap/>
            <w:vAlign w:val="center"/>
          </w:tcPr>
          <w:p w14:paraId="75EFCEAC">
            <w:pPr>
              <w:rPr>
                <w:rFonts w:ascii="宋体" w:hAnsi="宋体" w:cs="宋体"/>
                <w:color w:val="auto"/>
                <w:szCs w:val="21"/>
                <w:highlight w:val="none"/>
              </w:rPr>
            </w:pPr>
            <w:r>
              <w:rPr>
                <w:rFonts w:hint="eastAsia" w:ascii="宋体" w:hAnsi="宋体" w:cs="宋体"/>
                <w:color w:val="auto"/>
                <w:szCs w:val="21"/>
                <w:highlight w:val="none"/>
              </w:rPr>
              <w:t>交货期限</w:t>
            </w:r>
          </w:p>
        </w:tc>
        <w:tc>
          <w:tcPr>
            <w:tcW w:w="2400" w:type="dxa"/>
            <w:noWrap/>
            <w:vAlign w:val="center"/>
          </w:tcPr>
          <w:p w14:paraId="2D0F72DA">
            <w:pPr>
              <w:rPr>
                <w:rFonts w:ascii="宋体" w:hAnsi="宋体" w:cs="宋体"/>
                <w:color w:val="auto"/>
                <w:szCs w:val="21"/>
                <w:highlight w:val="none"/>
              </w:rPr>
            </w:pPr>
          </w:p>
        </w:tc>
        <w:tc>
          <w:tcPr>
            <w:tcW w:w="2400" w:type="dxa"/>
            <w:noWrap/>
            <w:vAlign w:val="center"/>
          </w:tcPr>
          <w:p w14:paraId="61B535E6">
            <w:pPr>
              <w:rPr>
                <w:rFonts w:ascii="宋体" w:hAnsi="宋体" w:cs="宋体"/>
                <w:color w:val="auto"/>
                <w:szCs w:val="21"/>
                <w:highlight w:val="none"/>
              </w:rPr>
            </w:pPr>
          </w:p>
        </w:tc>
        <w:tc>
          <w:tcPr>
            <w:tcW w:w="1716" w:type="dxa"/>
            <w:noWrap/>
            <w:vAlign w:val="center"/>
          </w:tcPr>
          <w:p w14:paraId="47E12A66">
            <w:pPr>
              <w:rPr>
                <w:rFonts w:ascii="宋体" w:hAnsi="宋体" w:cs="宋体"/>
                <w:color w:val="auto"/>
                <w:szCs w:val="21"/>
                <w:highlight w:val="none"/>
              </w:rPr>
            </w:pPr>
          </w:p>
        </w:tc>
      </w:tr>
      <w:tr w14:paraId="7BA60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768F30AE">
            <w:pPr>
              <w:rPr>
                <w:rFonts w:ascii="宋体" w:hAnsi="宋体" w:cs="宋体"/>
                <w:color w:val="auto"/>
                <w:szCs w:val="21"/>
                <w:highlight w:val="none"/>
              </w:rPr>
            </w:pPr>
            <w:r>
              <w:rPr>
                <w:rFonts w:hint="eastAsia" w:ascii="宋体" w:hAnsi="宋体" w:cs="宋体"/>
                <w:color w:val="auto"/>
                <w:szCs w:val="21"/>
                <w:highlight w:val="none"/>
              </w:rPr>
              <w:t>2</w:t>
            </w:r>
          </w:p>
        </w:tc>
        <w:tc>
          <w:tcPr>
            <w:tcW w:w="1920" w:type="dxa"/>
            <w:noWrap/>
            <w:vAlign w:val="center"/>
          </w:tcPr>
          <w:p w14:paraId="6B9A8387">
            <w:pPr>
              <w:rPr>
                <w:rFonts w:ascii="宋体" w:hAnsi="宋体" w:cs="宋体"/>
                <w:color w:val="auto"/>
                <w:szCs w:val="21"/>
                <w:highlight w:val="none"/>
              </w:rPr>
            </w:pPr>
            <w:r>
              <w:rPr>
                <w:rFonts w:hint="eastAsia" w:ascii="宋体" w:hAnsi="宋体" w:cs="宋体"/>
                <w:color w:val="auto"/>
                <w:szCs w:val="21"/>
                <w:highlight w:val="none"/>
              </w:rPr>
              <w:t>付款步骤</w:t>
            </w:r>
          </w:p>
        </w:tc>
        <w:tc>
          <w:tcPr>
            <w:tcW w:w="2400" w:type="dxa"/>
            <w:noWrap/>
            <w:vAlign w:val="center"/>
          </w:tcPr>
          <w:p w14:paraId="7008E0C5">
            <w:pPr>
              <w:rPr>
                <w:rFonts w:ascii="宋体" w:hAnsi="宋体" w:cs="宋体"/>
                <w:color w:val="auto"/>
                <w:szCs w:val="21"/>
                <w:highlight w:val="none"/>
              </w:rPr>
            </w:pPr>
          </w:p>
        </w:tc>
        <w:tc>
          <w:tcPr>
            <w:tcW w:w="2400" w:type="dxa"/>
            <w:noWrap/>
            <w:vAlign w:val="center"/>
          </w:tcPr>
          <w:p w14:paraId="37ECD8A0">
            <w:pPr>
              <w:rPr>
                <w:rFonts w:ascii="宋体" w:hAnsi="宋体" w:cs="宋体"/>
                <w:color w:val="auto"/>
                <w:szCs w:val="21"/>
                <w:highlight w:val="none"/>
              </w:rPr>
            </w:pPr>
          </w:p>
        </w:tc>
        <w:tc>
          <w:tcPr>
            <w:tcW w:w="1716" w:type="dxa"/>
            <w:noWrap/>
            <w:vAlign w:val="center"/>
          </w:tcPr>
          <w:p w14:paraId="0E5D98D8">
            <w:pPr>
              <w:rPr>
                <w:rFonts w:ascii="宋体" w:hAnsi="宋体" w:cs="宋体"/>
                <w:color w:val="auto"/>
                <w:szCs w:val="21"/>
                <w:highlight w:val="none"/>
              </w:rPr>
            </w:pPr>
          </w:p>
        </w:tc>
      </w:tr>
      <w:tr w14:paraId="06016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3B98EFC3">
            <w:pPr>
              <w:rPr>
                <w:rFonts w:ascii="宋体" w:hAnsi="宋体" w:cs="宋体"/>
                <w:color w:val="auto"/>
                <w:szCs w:val="21"/>
                <w:highlight w:val="none"/>
              </w:rPr>
            </w:pPr>
            <w:r>
              <w:rPr>
                <w:rFonts w:hint="eastAsia" w:ascii="宋体" w:hAnsi="宋体" w:cs="宋体"/>
                <w:color w:val="auto"/>
                <w:szCs w:val="21"/>
                <w:highlight w:val="none"/>
              </w:rPr>
              <w:t>3</w:t>
            </w:r>
          </w:p>
        </w:tc>
        <w:tc>
          <w:tcPr>
            <w:tcW w:w="1920" w:type="dxa"/>
            <w:noWrap/>
            <w:vAlign w:val="center"/>
          </w:tcPr>
          <w:p w14:paraId="675DA87E">
            <w:pPr>
              <w:rPr>
                <w:rFonts w:ascii="宋体" w:hAnsi="宋体" w:cs="宋体"/>
                <w:color w:val="auto"/>
                <w:szCs w:val="21"/>
                <w:highlight w:val="none"/>
              </w:rPr>
            </w:pPr>
            <w:r>
              <w:rPr>
                <w:rFonts w:hint="eastAsia" w:ascii="宋体" w:hAnsi="宋体" w:cs="宋体"/>
                <w:color w:val="auto"/>
                <w:szCs w:val="21"/>
                <w:highlight w:val="none"/>
              </w:rPr>
              <w:t>合同条款</w:t>
            </w:r>
          </w:p>
        </w:tc>
        <w:tc>
          <w:tcPr>
            <w:tcW w:w="2400" w:type="dxa"/>
            <w:noWrap/>
            <w:vAlign w:val="center"/>
          </w:tcPr>
          <w:p w14:paraId="167F9BF4">
            <w:pPr>
              <w:rPr>
                <w:rFonts w:ascii="宋体" w:hAnsi="宋体" w:cs="宋体"/>
                <w:color w:val="auto"/>
                <w:szCs w:val="21"/>
                <w:highlight w:val="none"/>
              </w:rPr>
            </w:pPr>
          </w:p>
        </w:tc>
        <w:tc>
          <w:tcPr>
            <w:tcW w:w="2400" w:type="dxa"/>
            <w:noWrap/>
            <w:vAlign w:val="center"/>
          </w:tcPr>
          <w:p w14:paraId="2BE71FDE">
            <w:pPr>
              <w:rPr>
                <w:rFonts w:ascii="宋体" w:hAnsi="宋体" w:cs="宋体"/>
                <w:color w:val="auto"/>
                <w:szCs w:val="21"/>
                <w:highlight w:val="none"/>
              </w:rPr>
            </w:pPr>
          </w:p>
        </w:tc>
        <w:tc>
          <w:tcPr>
            <w:tcW w:w="1716" w:type="dxa"/>
            <w:noWrap/>
            <w:vAlign w:val="center"/>
          </w:tcPr>
          <w:p w14:paraId="396D4BE5">
            <w:pPr>
              <w:rPr>
                <w:rFonts w:ascii="宋体" w:hAnsi="宋体" w:cs="宋体"/>
                <w:color w:val="auto"/>
                <w:szCs w:val="21"/>
                <w:highlight w:val="none"/>
              </w:rPr>
            </w:pPr>
          </w:p>
        </w:tc>
      </w:tr>
      <w:tr w14:paraId="5D49E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3425F544">
            <w:pPr>
              <w:rPr>
                <w:rFonts w:ascii="宋体" w:hAnsi="宋体" w:cs="宋体"/>
                <w:color w:val="auto"/>
                <w:szCs w:val="21"/>
                <w:highlight w:val="none"/>
              </w:rPr>
            </w:pPr>
            <w:r>
              <w:rPr>
                <w:rFonts w:hint="eastAsia" w:ascii="宋体" w:hAnsi="宋体" w:cs="宋体"/>
                <w:color w:val="auto"/>
                <w:szCs w:val="21"/>
                <w:highlight w:val="none"/>
              </w:rPr>
              <w:t>4</w:t>
            </w:r>
          </w:p>
        </w:tc>
        <w:tc>
          <w:tcPr>
            <w:tcW w:w="1920" w:type="dxa"/>
            <w:noWrap/>
            <w:vAlign w:val="center"/>
          </w:tcPr>
          <w:p w14:paraId="18223F55">
            <w:pPr>
              <w:rPr>
                <w:rFonts w:ascii="宋体" w:hAnsi="宋体" w:cs="宋体"/>
                <w:color w:val="auto"/>
                <w:szCs w:val="21"/>
                <w:highlight w:val="none"/>
              </w:rPr>
            </w:pPr>
          </w:p>
        </w:tc>
        <w:tc>
          <w:tcPr>
            <w:tcW w:w="2400" w:type="dxa"/>
            <w:noWrap/>
            <w:vAlign w:val="center"/>
          </w:tcPr>
          <w:p w14:paraId="2B94B0E8">
            <w:pPr>
              <w:rPr>
                <w:rFonts w:ascii="宋体" w:hAnsi="宋体" w:cs="宋体"/>
                <w:color w:val="auto"/>
                <w:szCs w:val="21"/>
                <w:highlight w:val="none"/>
              </w:rPr>
            </w:pPr>
          </w:p>
        </w:tc>
        <w:tc>
          <w:tcPr>
            <w:tcW w:w="2400" w:type="dxa"/>
            <w:noWrap/>
            <w:vAlign w:val="center"/>
          </w:tcPr>
          <w:p w14:paraId="1F62F69A">
            <w:pPr>
              <w:rPr>
                <w:rFonts w:ascii="宋体" w:hAnsi="宋体" w:cs="宋体"/>
                <w:color w:val="auto"/>
                <w:szCs w:val="21"/>
                <w:highlight w:val="none"/>
              </w:rPr>
            </w:pPr>
          </w:p>
        </w:tc>
        <w:tc>
          <w:tcPr>
            <w:tcW w:w="1716" w:type="dxa"/>
            <w:noWrap/>
            <w:vAlign w:val="center"/>
          </w:tcPr>
          <w:p w14:paraId="6695338C">
            <w:pPr>
              <w:rPr>
                <w:rFonts w:ascii="宋体" w:hAnsi="宋体" w:cs="宋体"/>
                <w:color w:val="auto"/>
                <w:szCs w:val="21"/>
                <w:highlight w:val="none"/>
              </w:rPr>
            </w:pPr>
          </w:p>
        </w:tc>
      </w:tr>
      <w:tr w14:paraId="6A1D0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4B057459">
            <w:pPr>
              <w:rPr>
                <w:rFonts w:ascii="宋体" w:hAnsi="宋体" w:cs="宋体"/>
                <w:color w:val="auto"/>
                <w:szCs w:val="21"/>
                <w:highlight w:val="none"/>
              </w:rPr>
            </w:pPr>
            <w:r>
              <w:rPr>
                <w:rFonts w:hint="eastAsia" w:ascii="宋体" w:hAnsi="宋体" w:cs="宋体"/>
                <w:color w:val="auto"/>
                <w:szCs w:val="21"/>
                <w:highlight w:val="none"/>
              </w:rPr>
              <w:t>...</w:t>
            </w:r>
          </w:p>
        </w:tc>
        <w:tc>
          <w:tcPr>
            <w:tcW w:w="1920" w:type="dxa"/>
            <w:noWrap/>
            <w:vAlign w:val="center"/>
          </w:tcPr>
          <w:p w14:paraId="1AC054D7">
            <w:pPr>
              <w:rPr>
                <w:rFonts w:ascii="宋体" w:hAnsi="宋体" w:cs="宋体"/>
                <w:color w:val="auto"/>
                <w:szCs w:val="21"/>
                <w:highlight w:val="none"/>
              </w:rPr>
            </w:pPr>
          </w:p>
        </w:tc>
        <w:tc>
          <w:tcPr>
            <w:tcW w:w="2400" w:type="dxa"/>
            <w:noWrap/>
            <w:vAlign w:val="center"/>
          </w:tcPr>
          <w:p w14:paraId="23E10D56">
            <w:pPr>
              <w:rPr>
                <w:rFonts w:ascii="宋体" w:hAnsi="宋体" w:cs="宋体"/>
                <w:color w:val="auto"/>
                <w:szCs w:val="21"/>
                <w:highlight w:val="none"/>
              </w:rPr>
            </w:pPr>
          </w:p>
        </w:tc>
        <w:tc>
          <w:tcPr>
            <w:tcW w:w="2400" w:type="dxa"/>
            <w:noWrap/>
            <w:vAlign w:val="center"/>
          </w:tcPr>
          <w:p w14:paraId="7E4A6D04">
            <w:pPr>
              <w:rPr>
                <w:rFonts w:ascii="宋体" w:hAnsi="宋体" w:cs="宋体"/>
                <w:color w:val="auto"/>
                <w:szCs w:val="21"/>
                <w:highlight w:val="none"/>
              </w:rPr>
            </w:pPr>
          </w:p>
        </w:tc>
        <w:tc>
          <w:tcPr>
            <w:tcW w:w="1716" w:type="dxa"/>
            <w:noWrap/>
            <w:vAlign w:val="center"/>
          </w:tcPr>
          <w:p w14:paraId="2A7513F3">
            <w:pPr>
              <w:rPr>
                <w:rFonts w:ascii="宋体" w:hAnsi="宋体" w:cs="宋体"/>
                <w:color w:val="auto"/>
                <w:szCs w:val="21"/>
                <w:highlight w:val="none"/>
              </w:rPr>
            </w:pPr>
          </w:p>
        </w:tc>
      </w:tr>
      <w:tr w14:paraId="495A7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0F6BF001">
            <w:pPr>
              <w:rPr>
                <w:rFonts w:ascii="宋体" w:hAnsi="宋体" w:cs="宋体"/>
                <w:color w:val="auto"/>
                <w:szCs w:val="21"/>
                <w:highlight w:val="none"/>
              </w:rPr>
            </w:pPr>
          </w:p>
        </w:tc>
        <w:tc>
          <w:tcPr>
            <w:tcW w:w="1920" w:type="dxa"/>
            <w:noWrap/>
            <w:vAlign w:val="center"/>
          </w:tcPr>
          <w:p w14:paraId="26E67348">
            <w:pPr>
              <w:rPr>
                <w:rFonts w:ascii="宋体" w:hAnsi="宋体" w:cs="宋体"/>
                <w:color w:val="auto"/>
                <w:szCs w:val="21"/>
                <w:highlight w:val="none"/>
              </w:rPr>
            </w:pPr>
          </w:p>
        </w:tc>
        <w:tc>
          <w:tcPr>
            <w:tcW w:w="2400" w:type="dxa"/>
            <w:noWrap/>
            <w:vAlign w:val="center"/>
          </w:tcPr>
          <w:p w14:paraId="367C4DD9">
            <w:pPr>
              <w:rPr>
                <w:rFonts w:ascii="宋体" w:hAnsi="宋体" w:cs="宋体"/>
                <w:color w:val="auto"/>
                <w:szCs w:val="21"/>
                <w:highlight w:val="none"/>
              </w:rPr>
            </w:pPr>
          </w:p>
        </w:tc>
        <w:tc>
          <w:tcPr>
            <w:tcW w:w="2400" w:type="dxa"/>
            <w:noWrap/>
            <w:vAlign w:val="center"/>
          </w:tcPr>
          <w:p w14:paraId="4AEC564B">
            <w:pPr>
              <w:rPr>
                <w:rFonts w:ascii="宋体" w:hAnsi="宋体" w:cs="宋体"/>
                <w:color w:val="auto"/>
                <w:szCs w:val="21"/>
                <w:highlight w:val="none"/>
              </w:rPr>
            </w:pPr>
          </w:p>
        </w:tc>
        <w:tc>
          <w:tcPr>
            <w:tcW w:w="1716" w:type="dxa"/>
            <w:noWrap/>
            <w:vAlign w:val="center"/>
          </w:tcPr>
          <w:p w14:paraId="04D9A6A7">
            <w:pPr>
              <w:rPr>
                <w:rFonts w:ascii="宋体" w:hAnsi="宋体" w:cs="宋体"/>
                <w:color w:val="auto"/>
                <w:szCs w:val="21"/>
                <w:highlight w:val="none"/>
              </w:rPr>
            </w:pPr>
          </w:p>
        </w:tc>
      </w:tr>
      <w:tr w14:paraId="6CED6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53D4E697">
            <w:pPr>
              <w:rPr>
                <w:rFonts w:ascii="宋体" w:hAnsi="宋体" w:cs="宋体"/>
                <w:color w:val="auto"/>
                <w:szCs w:val="21"/>
                <w:highlight w:val="none"/>
              </w:rPr>
            </w:pPr>
          </w:p>
        </w:tc>
        <w:tc>
          <w:tcPr>
            <w:tcW w:w="1920" w:type="dxa"/>
            <w:noWrap/>
            <w:vAlign w:val="center"/>
          </w:tcPr>
          <w:p w14:paraId="76EB4809">
            <w:pPr>
              <w:rPr>
                <w:rFonts w:ascii="宋体" w:hAnsi="宋体" w:cs="宋体"/>
                <w:color w:val="auto"/>
                <w:szCs w:val="21"/>
                <w:highlight w:val="none"/>
              </w:rPr>
            </w:pPr>
          </w:p>
        </w:tc>
        <w:tc>
          <w:tcPr>
            <w:tcW w:w="2400" w:type="dxa"/>
            <w:noWrap/>
            <w:vAlign w:val="center"/>
          </w:tcPr>
          <w:p w14:paraId="2A853B2D">
            <w:pPr>
              <w:rPr>
                <w:rFonts w:ascii="宋体" w:hAnsi="宋体" w:cs="宋体"/>
                <w:color w:val="auto"/>
                <w:szCs w:val="21"/>
                <w:highlight w:val="none"/>
              </w:rPr>
            </w:pPr>
          </w:p>
        </w:tc>
        <w:tc>
          <w:tcPr>
            <w:tcW w:w="2400" w:type="dxa"/>
            <w:noWrap/>
            <w:vAlign w:val="center"/>
          </w:tcPr>
          <w:p w14:paraId="0D233C1A">
            <w:pPr>
              <w:rPr>
                <w:rFonts w:ascii="宋体" w:hAnsi="宋体" w:cs="宋体"/>
                <w:color w:val="auto"/>
                <w:szCs w:val="21"/>
                <w:highlight w:val="none"/>
              </w:rPr>
            </w:pPr>
          </w:p>
        </w:tc>
        <w:tc>
          <w:tcPr>
            <w:tcW w:w="1716" w:type="dxa"/>
            <w:noWrap/>
            <w:vAlign w:val="center"/>
          </w:tcPr>
          <w:p w14:paraId="732F4566">
            <w:pPr>
              <w:rPr>
                <w:rFonts w:ascii="宋体" w:hAnsi="宋体" w:cs="宋体"/>
                <w:color w:val="auto"/>
                <w:szCs w:val="21"/>
                <w:highlight w:val="none"/>
              </w:rPr>
            </w:pPr>
          </w:p>
        </w:tc>
      </w:tr>
      <w:tr w14:paraId="69FB7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0F0FB5C4">
            <w:pPr>
              <w:rPr>
                <w:rFonts w:ascii="宋体" w:hAnsi="宋体" w:cs="宋体"/>
                <w:color w:val="auto"/>
                <w:szCs w:val="21"/>
                <w:highlight w:val="none"/>
              </w:rPr>
            </w:pPr>
          </w:p>
        </w:tc>
        <w:tc>
          <w:tcPr>
            <w:tcW w:w="1920" w:type="dxa"/>
            <w:noWrap/>
            <w:vAlign w:val="center"/>
          </w:tcPr>
          <w:p w14:paraId="1EF283F6">
            <w:pPr>
              <w:rPr>
                <w:rFonts w:ascii="宋体" w:hAnsi="宋体" w:cs="宋体"/>
                <w:color w:val="auto"/>
                <w:szCs w:val="21"/>
                <w:highlight w:val="none"/>
              </w:rPr>
            </w:pPr>
          </w:p>
        </w:tc>
        <w:tc>
          <w:tcPr>
            <w:tcW w:w="2400" w:type="dxa"/>
            <w:noWrap/>
            <w:vAlign w:val="center"/>
          </w:tcPr>
          <w:p w14:paraId="15027A31">
            <w:pPr>
              <w:rPr>
                <w:rFonts w:ascii="宋体" w:hAnsi="宋体" w:cs="宋体"/>
                <w:color w:val="auto"/>
                <w:szCs w:val="21"/>
                <w:highlight w:val="none"/>
              </w:rPr>
            </w:pPr>
          </w:p>
        </w:tc>
        <w:tc>
          <w:tcPr>
            <w:tcW w:w="2400" w:type="dxa"/>
            <w:noWrap/>
            <w:vAlign w:val="center"/>
          </w:tcPr>
          <w:p w14:paraId="1ADFA0D8">
            <w:pPr>
              <w:rPr>
                <w:rFonts w:ascii="宋体" w:hAnsi="宋体" w:cs="宋体"/>
                <w:color w:val="auto"/>
                <w:szCs w:val="21"/>
                <w:highlight w:val="none"/>
              </w:rPr>
            </w:pPr>
          </w:p>
        </w:tc>
        <w:tc>
          <w:tcPr>
            <w:tcW w:w="1716" w:type="dxa"/>
            <w:noWrap/>
            <w:vAlign w:val="center"/>
          </w:tcPr>
          <w:p w14:paraId="0D8F1326">
            <w:pPr>
              <w:rPr>
                <w:rFonts w:ascii="宋体" w:hAnsi="宋体" w:cs="宋体"/>
                <w:color w:val="auto"/>
                <w:szCs w:val="21"/>
                <w:highlight w:val="none"/>
              </w:rPr>
            </w:pPr>
          </w:p>
        </w:tc>
      </w:tr>
      <w:tr w14:paraId="5D37D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5739E6BA">
            <w:pPr>
              <w:rPr>
                <w:rFonts w:ascii="宋体" w:hAnsi="宋体" w:cs="宋体"/>
                <w:color w:val="auto"/>
                <w:szCs w:val="21"/>
                <w:highlight w:val="none"/>
              </w:rPr>
            </w:pPr>
          </w:p>
        </w:tc>
        <w:tc>
          <w:tcPr>
            <w:tcW w:w="1920" w:type="dxa"/>
            <w:noWrap/>
            <w:vAlign w:val="center"/>
          </w:tcPr>
          <w:p w14:paraId="65439DBA">
            <w:pPr>
              <w:rPr>
                <w:rFonts w:ascii="宋体" w:hAnsi="宋体" w:cs="宋体"/>
                <w:color w:val="auto"/>
                <w:szCs w:val="21"/>
                <w:highlight w:val="none"/>
              </w:rPr>
            </w:pPr>
          </w:p>
        </w:tc>
        <w:tc>
          <w:tcPr>
            <w:tcW w:w="2400" w:type="dxa"/>
            <w:noWrap/>
            <w:vAlign w:val="center"/>
          </w:tcPr>
          <w:p w14:paraId="5BCD160E">
            <w:pPr>
              <w:rPr>
                <w:rFonts w:ascii="宋体" w:hAnsi="宋体" w:cs="宋体"/>
                <w:color w:val="auto"/>
                <w:szCs w:val="21"/>
                <w:highlight w:val="none"/>
              </w:rPr>
            </w:pPr>
          </w:p>
        </w:tc>
        <w:tc>
          <w:tcPr>
            <w:tcW w:w="2400" w:type="dxa"/>
            <w:noWrap/>
            <w:vAlign w:val="center"/>
          </w:tcPr>
          <w:p w14:paraId="13074706">
            <w:pPr>
              <w:rPr>
                <w:rFonts w:ascii="宋体" w:hAnsi="宋体" w:cs="宋体"/>
                <w:color w:val="auto"/>
                <w:szCs w:val="21"/>
                <w:highlight w:val="none"/>
              </w:rPr>
            </w:pPr>
          </w:p>
        </w:tc>
        <w:tc>
          <w:tcPr>
            <w:tcW w:w="1716" w:type="dxa"/>
            <w:noWrap/>
            <w:vAlign w:val="center"/>
          </w:tcPr>
          <w:p w14:paraId="7F5D6CF6">
            <w:pPr>
              <w:rPr>
                <w:rFonts w:ascii="宋体" w:hAnsi="宋体" w:cs="宋体"/>
                <w:color w:val="auto"/>
                <w:szCs w:val="21"/>
                <w:highlight w:val="none"/>
              </w:rPr>
            </w:pPr>
          </w:p>
        </w:tc>
      </w:tr>
      <w:tr w14:paraId="2A425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06EDACB0">
            <w:pPr>
              <w:rPr>
                <w:rFonts w:ascii="宋体" w:hAnsi="宋体" w:cs="宋体"/>
                <w:color w:val="auto"/>
                <w:szCs w:val="21"/>
                <w:highlight w:val="none"/>
              </w:rPr>
            </w:pPr>
          </w:p>
        </w:tc>
        <w:tc>
          <w:tcPr>
            <w:tcW w:w="1920" w:type="dxa"/>
            <w:noWrap/>
            <w:vAlign w:val="center"/>
          </w:tcPr>
          <w:p w14:paraId="2B322FA6">
            <w:pPr>
              <w:rPr>
                <w:rFonts w:ascii="宋体" w:hAnsi="宋体" w:cs="宋体"/>
                <w:color w:val="auto"/>
                <w:szCs w:val="21"/>
                <w:highlight w:val="none"/>
              </w:rPr>
            </w:pPr>
          </w:p>
        </w:tc>
        <w:tc>
          <w:tcPr>
            <w:tcW w:w="2400" w:type="dxa"/>
            <w:noWrap/>
            <w:vAlign w:val="center"/>
          </w:tcPr>
          <w:p w14:paraId="76A38093">
            <w:pPr>
              <w:rPr>
                <w:rFonts w:ascii="宋体" w:hAnsi="宋体" w:cs="宋体"/>
                <w:color w:val="auto"/>
                <w:szCs w:val="21"/>
                <w:highlight w:val="none"/>
              </w:rPr>
            </w:pPr>
          </w:p>
        </w:tc>
        <w:tc>
          <w:tcPr>
            <w:tcW w:w="2400" w:type="dxa"/>
            <w:noWrap/>
            <w:vAlign w:val="center"/>
          </w:tcPr>
          <w:p w14:paraId="229BB4F4">
            <w:pPr>
              <w:rPr>
                <w:rFonts w:ascii="宋体" w:hAnsi="宋体" w:cs="宋体"/>
                <w:color w:val="auto"/>
                <w:szCs w:val="21"/>
                <w:highlight w:val="none"/>
              </w:rPr>
            </w:pPr>
          </w:p>
        </w:tc>
        <w:tc>
          <w:tcPr>
            <w:tcW w:w="1716" w:type="dxa"/>
            <w:noWrap/>
            <w:vAlign w:val="center"/>
          </w:tcPr>
          <w:p w14:paraId="1D83A7C5">
            <w:pPr>
              <w:rPr>
                <w:rFonts w:ascii="宋体" w:hAnsi="宋体" w:cs="宋体"/>
                <w:color w:val="auto"/>
                <w:szCs w:val="21"/>
                <w:highlight w:val="none"/>
              </w:rPr>
            </w:pPr>
          </w:p>
        </w:tc>
      </w:tr>
    </w:tbl>
    <w:p w14:paraId="45476264">
      <w:pPr>
        <w:spacing w:line="360" w:lineRule="auto"/>
        <w:ind w:left="420" w:hanging="420"/>
        <w:rPr>
          <w:rFonts w:ascii="宋体" w:hAnsi="宋体" w:cs="宋体"/>
          <w:color w:val="auto"/>
          <w:szCs w:val="21"/>
          <w:highlight w:val="none"/>
        </w:rPr>
      </w:pPr>
      <w:r>
        <w:rPr>
          <w:rFonts w:hint="eastAsia" w:ascii="宋体" w:hAnsi="宋体" w:cs="宋体"/>
          <w:color w:val="auto"/>
          <w:szCs w:val="21"/>
          <w:highlight w:val="none"/>
        </w:rPr>
        <w:t>注：谈判响应单位的响应文件（除服务要求部分）与采购文件规定的有偏离的，应在此表中说明。未在上表中说明的，如在响应文件其他内容中已有文字说明的，则以已有文字说明为准，否则，将被认为完全响应采购文件的规定。但该表不作为谈判响应单位对所投标服务关于商务条款等详细描述和说明的替代。</w:t>
      </w:r>
    </w:p>
    <w:p w14:paraId="782E9BB9">
      <w:pPr>
        <w:spacing w:line="360" w:lineRule="auto"/>
        <w:rPr>
          <w:rFonts w:ascii="宋体" w:hAnsi="宋体" w:cs="宋体"/>
          <w:color w:val="auto"/>
          <w:szCs w:val="21"/>
          <w:highlight w:val="none"/>
        </w:rPr>
      </w:pPr>
    </w:p>
    <w:p w14:paraId="4697CB33">
      <w:pPr>
        <w:spacing w:line="360" w:lineRule="auto"/>
        <w:rPr>
          <w:rFonts w:ascii="宋体" w:hAnsi="宋体" w:cs="宋体"/>
          <w:color w:val="auto"/>
          <w:szCs w:val="21"/>
          <w:highlight w:val="none"/>
        </w:rPr>
      </w:pPr>
      <w:r>
        <w:rPr>
          <w:rFonts w:hint="eastAsia" w:ascii="宋体" w:hAnsi="宋体" w:cs="宋体"/>
          <w:color w:val="auto"/>
          <w:szCs w:val="21"/>
          <w:highlight w:val="none"/>
        </w:rPr>
        <w:t>谈判响应单位：（签章）</w:t>
      </w:r>
    </w:p>
    <w:p w14:paraId="32E8D198">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7194E692">
      <w:pPr>
        <w:pStyle w:val="42"/>
        <w:rPr>
          <w:rFonts w:ascii="宋体" w:hAnsi="宋体" w:cs="宋体"/>
          <w:color w:val="auto"/>
          <w:szCs w:val="21"/>
          <w:highlight w:val="none"/>
        </w:rPr>
      </w:pPr>
    </w:p>
    <w:p w14:paraId="473CB0E3">
      <w:pPr>
        <w:spacing w:line="360" w:lineRule="auto"/>
        <w:outlineLvl w:val="1"/>
        <w:rPr>
          <w:rFonts w:ascii="宋体" w:hAnsi="宋体" w:cs="宋体"/>
          <w:b/>
          <w:color w:val="auto"/>
          <w:highlight w:val="none"/>
        </w:rPr>
      </w:pPr>
    </w:p>
    <w:p w14:paraId="38F0FD22">
      <w:pPr>
        <w:spacing w:line="360" w:lineRule="auto"/>
        <w:outlineLvl w:val="1"/>
        <w:rPr>
          <w:rFonts w:ascii="宋体" w:hAnsi="宋体" w:cs="宋体"/>
          <w:b/>
          <w:color w:val="auto"/>
          <w:highlight w:val="none"/>
        </w:rPr>
      </w:pPr>
    </w:p>
    <w:p w14:paraId="7C9197BF">
      <w:pPr>
        <w:spacing w:line="360" w:lineRule="auto"/>
        <w:outlineLvl w:val="1"/>
        <w:rPr>
          <w:rFonts w:ascii="宋体" w:hAnsi="宋体" w:cs="宋体"/>
          <w:b/>
          <w:color w:val="auto"/>
          <w:highlight w:val="none"/>
        </w:rPr>
      </w:pPr>
    </w:p>
    <w:p w14:paraId="41018D2F">
      <w:pPr>
        <w:spacing w:line="360" w:lineRule="auto"/>
        <w:outlineLvl w:val="1"/>
        <w:rPr>
          <w:rFonts w:ascii="宋体" w:hAnsi="宋体" w:cs="宋体"/>
          <w:b/>
          <w:color w:val="auto"/>
          <w:highlight w:val="none"/>
        </w:rPr>
      </w:pPr>
    </w:p>
    <w:p w14:paraId="349620D8">
      <w:pPr>
        <w:widowControl/>
        <w:spacing w:line="440" w:lineRule="exact"/>
        <w:ind w:right="960"/>
        <w:rPr>
          <w:rFonts w:hint="eastAsia" w:ascii="宋体" w:hAnsi="宋体" w:eastAsia="宋体" w:cs="宋体"/>
          <w:color w:val="auto"/>
          <w:sz w:val="21"/>
          <w:szCs w:val="21"/>
          <w:highlight w:val="none"/>
        </w:rPr>
      </w:pPr>
      <w:r>
        <w:rPr>
          <w:rFonts w:hint="eastAsia" w:ascii="宋体" w:hAnsi="宋体" w:cs="宋体"/>
          <w:b/>
          <w:bCs/>
          <w:color w:val="auto"/>
          <w:szCs w:val="21"/>
          <w:highlight w:val="none"/>
        </w:rPr>
        <w:t>附件9、</w:t>
      </w:r>
      <w:r>
        <w:rPr>
          <w:rFonts w:hint="eastAsia" w:ascii="宋体" w:hAnsi="宋体" w:cs="宋体"/>
          <w:b/>
          <w:bCs/>
          <w:color w:val="auto"/>
          <w:szCs w:val="21"/>
          <w:highlight w:val="none"/>
          <w:lang w:val="zh-CN"/>
        </w:rPr>
        <w:t>售后服务承诺书</w:t>
      </w:r>
    </w:p>
    <w:p w14:paraId="6A783B26">
      <w:pPr>
        <w:pStyle w:val="5"/>
        <w:ind w:firstLine="0"/>
        <w:outlineLvl w:val="1"/>
        <w:rPr>
          <w:rFonts w:hint="eastAsia" w:ascii="宋体" w:hAnsi="宋体" w:eastAsia="宋体" w:cs="宋体"/>
          <w:b/>
          <w:bCs/>
          <w:color w:val="auto"/>
          <w:highlight w:val="none"/>
        </w:rPr>
      </w:pPr>
    </w:p>
    <w:p w14:paraId="25501454">
      <w:pPr>
        <w:spacing w:line="400" w:lineRule="exact"/>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售后服务承诺书</w:t>
      </w:r>
    </w:p>
    <w:p w14:paraId="62A91C67">
      <w:pPr>
        <w:spacing w:line="400" w:lineRule="exact"/>
        <w:jc w:val="center"/>
        <w:rPr>
          <w:rFonts w:ascii="宋体" w:hAnsi="宋体" w:cs="宋体"/>
          <w:b/>
          <w:color w:val="auto"/>
          <w:szCs w:val="21"/>
          <w:highlight w:val="none"/>
          <w:lang w:val="zh-CN"/>
        </w:rPr>
      </w:pP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060"/>
        <w:gridCol w:w="2452"/>
        <w:gridCol w:w="2523"/>
      </w:tblGrid>
      <w:tr w14:paraId="7327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452442A0">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3060" w:type="dxa"/>
            <w:noWrap/>
            <w:vAlign w:val="center"/>
          </w:tcPr>
          <w:p w14:paraId="0FCB1B3A">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售后服务内容</w:t>
            </w:r>
          </w:p>
        </w:tc>
        <w:tc>
          <w:tcPr>
            <w:tcW w:w="2452" w:type="dxa"/>
            <w:noWrap/>
            <w:vAlign w:val="center"/>
          </w:tcPr>
          <w:p w14:paraId="53849F5A">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期限（时间）</w:t>
            </w:r>
          </w:p>
        </w:tc>
        <w:tc>
          <w:tcPr>
            <w:tcW w:w="2523" w:type="dxa"/>
            <w:noWrap/>
            <w:vAlign w:val="center"/>
          </w:tcPr>
          <w:p w14:paraId="369FB616">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备注</w:t>
            </w:r>
          </w:p>
        </w:tc>
      </w:tr>
      <w:tr w14:paraId="57672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6E56823D">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0" w:type="dxa"/>
            <w:noWrap/>
            <w:vAlign w:val="center"/>
          </w:tcPr>
          <w:p w14:paraId="5B18E79F">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rPr>
              <w:t>质保期</w:t>
            </w:r>
          </w:p>
        </w:tc>
        <w:tc>
          <w:tcPr>
            <w:tcW w:w="2452" w:type="dxa"/>
            <w:noWrap/>
            <w:vAlign w:val="center"/>
          </w:tcPr>
          <w:p w14:paraId="6C67BF88">
            <w:pPr>
              <w:spacing w:before="25" w:after="25" w:line="400" w:lineRule="exact"/>
              <w:jc w:val="center"/>
              <w:rPr>
                <w:rFonts w:ascii="宋体" w:hAnsi="宋体" w:cs="宋体"/>
                <w:color w:val="auto"/>
                <w:szCs w:val="21"/>
                <w:highlight w:val="none"/>
              </w:rPr>
            </w:pPr>
          </w:p>
        </w:tc>
        <w:tc>
          <w:tcPr>
            <w:tcW w:w="2523" w:type="dxa"/>
            <w:noWrap/>
            <w:vAlign w:val="center"/>
          </w:tcPr>
          <w:p w14:paraId="5F2A8798">
            <w:pPr>
              <w:spacing w:before="25" w:after="25" w:line="400" w:lineRule="exact"/>
              <w:jc w:val="center"/>
              <w:rPr>
                <w:rFonts w:ascii="宋体" w:hAnsi="宋体" w:cs="宋体"/>
                <w:color w:val="auto"/>
                <w:szCs w:val="21"/>
                <w:highlight w:val="none"/>
              </w:rPr>
            </w:pPr>
          </w:p>
        </w:tc>
      </w:tr>
      <w:tr w14:paraId="6391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799A8784">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0" w:type="dxa"/>
            <w:noWrap/>
            <w:vAlign w:val="center"/>
          </w:tcPr>
          <w:p w14:paraId="00ACE3EE">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服务响应</w:t>
            </w:r>
          </w:p>
        </w:tc>
        <w:tc>
          <w:tcPr>
            <w:tcW w:w="2452" w:type="dxa"/>
            <w:noWrap/>
            <w:vAlign w:val="center"/>
          </w:tcPr>
          <w:p w14:paraId="07A02AE2">
            <w:pPr>
              <w:spacing w:before="25" w:after="25" w:line="400" w:lineRule="exact"/>
              <w:jc w:val="center"/>
              <w:rPr>
                <w:rFonts w:ascii="宋体" w:hAnsi="宋体" w:cs="宋体"/>
                <w:color w:val="auto"/>
                <w:szCs w:val="21"/>
                <w:highlight w:val="none"/>
              </w:rPr>
            </w:pPr>
          </w:p>
        </w:tc>
        <w:tc>
          <w:tcPr>
            <w:tcW w:w="2523" w:type="dxa"/>
            <w:noWrap/>
            <w:vAlign w:val="center"/>
          </w:tcPr>
          <w:p w14:paraId="273059B3">
            <w:pPr>
              <w:spacing w:before="25" w:after="25" w:line="400" w:lineRule="exact"/>
              <w:jc w:val="center"/>
              <w:rPr>
                <w:rFonts w:ascii="宋体" w:hAnsi="宋体" w:cs="宋体"/>
                <w:color w:val="auto"/>
                <w:szCs w:val="21"/>
                <w:highlight w:val="none"/>
              </w:rPr>
            </w:pPr>
          </w:p>
        </w:tc>
      </w:tr>
      <w:tr w14:paraId="1F70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0FF24F33">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0" w:type="dxa"/>
            <w:noWrap/>
            <w:vAlign w:val="center"/>
          </w:tcPr>
          <w:p w14:paraId="6F9BCF82">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到达现场</w:t>
            </w:r>
          </w:p>
        </w:tc>
        <w:tc>
          <w:tcPr>
            <w:tcW w:w="2452" w:type="dxa"/>
            <w:noWrap/>
            <w:vAlign w:val="center"/>
          </w:tcPr>
          <w:p w14:paraId="7FD447F1">
            <w:pPr>
              <w:spacing w:before="25" w:after="25" w:line="400" w:lineRule="exact"/>
              <w:jc w:val="center"/>
              <w:rPr>
                <w:rFonts w:ascii="宋体" w:hAnsi="宋体" w:cs="宋体"/>
                <w:color w:val="auto"/>
                <w:szCs w:val="21"/>
                <w:highlight w:val="none"/>
              </w:rPr>
            </w:pPr>
          </w:p>
        </w:tc>
        <w:tc>
          <w:tcPr>
            <w:tcW w:w="2523" w:type="dxa"/>
            <w:noWrap/>
            <w:vAlign w:val="center"/>
          </w:tcPr>
          <w:p w14:paraId="5987846D">
            <w:pPr>
              <w:spacing w:before="25" w:after="25" w:line="400" w:lineRule="exact"/>
              <w:jc w:val="center"/>
              <w:rPr>
                <w:rFonts w:ascii="宋体" w:hAnsi="宋体" w:cs="宋体"/>
                <w:color w:val="auto"/>
                <w:szCs w:val="21"/>
                <w:highlight w:val="none"/>
              </w:rPr>
            </w:pPr>
          </w:p>
        </w:tc>
      </w:tr>
      <w:tr w14:paraId="25DF6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828" w:type="dxa"/>
            <w:noWrap/>
            <w:vAlign w:val="center"/>
          </w:tcPr>
          <w:p w14:paraId="71A720E7">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0" w:type="dxa"/>
            <w:noWrap/>
            <w:vAlign w:val="center"/>
          </w:tcPr>
          <w:p w14:paraId="35967149">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解决问题</w:t>
            </w:r>
          </w:p>
        </w:tc>
        <w:tc>
          <w:tcPr>
            <w:tcW w:w="2452" w:type="dxa"/>
            <w:noWrap/>
            <w:vAlign w:val="center"/>
          </w:tcPr>
          <w:p w14:paraId="54AF1C5D">
            <w:pPr>
              <w:spacing w:before="25" w:after="25" w:line="400" w:lineRule="exact"/>
              <w:jc w:val="center"/>
              <w:rPr>
                <w:rFonts w:ascii="宋体" w:hAnsi="宋体" w:cs="宋体"/>
                <w:color w:val="auto"/>
                <w:szCs w:val="21"/>
                <w:highlight w:val="none"/>
              </w:rPr>
            </w:pPr>
          </w:p>
        </w:tc>
        <w:tc>
          <w:tcPr>
            <w:tcW w:w="2523" w:type="dxa"/>
            <w:noWrap/>
            <w:vAlign w:val="center"/>
          </w:tcPr>
          <w:p w14:paraId="7E8A3A51">
            <w:pPr>
              <w:spacing w:before="25" w:after="25" w:line="400" w:lineRule="exact"/>
              <w:jc w:val="center"/>
              <w:rPr>
                <w:rFonts w:ascii="宋体" w:hAnsi="宋体" w:cs="宋体"/>
                <w:color w:val="auto"/>
                <w:szCs w:val="21"/>
                <w:highlight w:val="none"/>
              </w:rPr>
            </w:pPr>
          </w:p>
        </w:tc>
      </w:tr>
      <w:tr w14:paraId="479B6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4146DD64">
            <w:pPr>
              <w:spacing w:before="25" w:after="25" w:line="400" w:lineRule="exact"/>
              <w:jc w:val="center"/>
              <w:rPr>
                <w:rFonts w:ascii="宋体" w:hAnsi="宋体" w:cs="宋体"/>
                <w:color w:val="auto"/>
                <w:szCs w:val="21"/>
                <w:highlight w:val="none"/>
              </w:rPr>
            </w:pPr>
          </w:p>
        </w:tc>
        <w:tc>
          <w:tcPr>
            <w:tcW w:w="3060" w:type="dxa"/>
            <w:noWrap/>
            <w:vAlign w:val="center"/>
          </w:tcPr>
          <w:p w14:paraId="141E3142">
            <w:pPr>
              <w:spacing w:before="25" w:after="25" w:line="400" w:lineRule="exact"/>
              <w:jc w:val="center"/>
              <w:rPr>
                <w:rFonts w:ascii="宋体" w:hAnsi="宋体" w:cs="宋体"/>
                <w:color w:val="auto"/>
                <w:szCs w:val="21"/>
                <w:highlight w:val="none"/>
              </w:rPr>
            </w:pPr>
          </w:p>
        </w:tc>
        <w:tc>
          <w:tcPr>
            <w:tcW w:w="2452" w:type="dxa"/>
            <w:noWrap/>
            <w:vAlign w:val="center"/>
          </w:tcPr>
          <w:p w14:paraId="6007C361">
            <w:pPr>
              <w:spacing w:before="25" w:after="25" w:line="400" w:lineRule="exact"/>
              <w:jc w:val="center"/>
              <w:rPr>
                <w:rFonts w:ascii="宋体" w:hAnsi="宋体" w:cs="宋体"/>
                <w:color w:val="auto"/>
                <w:szCs w:val="21"/>
                <w:highlight w:val="none"/>
              </w:rPr>
            </w:pPr>
          </w:p>
        </w:tc>
        <w:tc>
          <w:tcPr>
            <w:tcW w:w="2523" w:type="dxa"/>
            <w:noWrap/>
            <w:vAlign w:val="center"/>
          </w:tcPr>
          <w:p w14:paraId="23FC7F74">
            <w:pPr>
              <w:spacing w:before="25" w:after="25" w:line="400" w:lineRule="exact"/>
              <w:jc w:val="center"/>
              <w:rPr>
                <w:rFonts w:ascii="宋体" w:hAnsi="宋体" w:cs="宋体"/>
                <w:color w:val="auto"/>
                <w:szCs w:val="21"/>
                <w:highlight w:val="none"/>
              </w:rPr>
            </w:pPr>
          </w:p>
        </w:tc>
      </w:tr>
    </w:tbl>
    <w:p w14:paraId="22B4EE7E">
      <w:pPr>
        <w:spacing w:before="25" w:after="25"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注：1、针对服务内容有必须说明的事项，请在“备注”栏目内注明；</w:t>
      </w:r>
    </w:p>
    <w:p w14:paraId="4D7A8B2D">
      <w:pPr>
        <w:spacing w:before="25" w:after="25" w:line="40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2、如有其它售后服务内容，可自行参照填写。</w:t>
      </w:r>
    </w:p>
    <w:p w14:paraId="760CF33E">
      <w:pPr>
        <w:spacing w:before="25" w:after="25" w:line="400" w:lineRule="exact"/>
        <w:rPr>
          <w:rFonts w:ascii="宋体" w:hAnsi="宋体" w:cs="宋体"/>
          <w:color w:val="auto"/>
          <w:szCs w:val="21"/>
          <w:highlight w:val="none"/>
          <w:lang w:val="zh-CN"/>
        </w:rPr>
      </w:pPr>
    </w:p>
    <w:p w14:paraId="0DAAF0BE">
      <w:pPr>
        <w:widowControl/>
        <w:spacing w:line="440" w:lineRule="exact"/>
        <w:ind w:right="960"/>
        <w:rPr>
          <w:rFonts w:ascii="宋体" w:hAnsi="宋体" w:cs="宋体"/>
          <w:color w:val="auto"/>
          <w:szCs w:val="21"/>
          <w:highlight w:val="none"/>
        </w:rPr>
      </w:pPr>
      <w:r>
        <w:rPr>
          <w:rFonts w:hint="eastAsia" w:ascii="宋体" w:hAnsi="宋体" w:cs="宋体"/>
          <w:color w:val="auto"/>
          <w:szCs w:val="21"/>
          <w:highlight w:val="none"/>
        </w:rPr>
        <w:t>谈判响应单位：（签章）</w:t>
      </w:r>
    </w:p>
    <w:p w14:paraId="10730B21">
      <w:pPr>
        <w:widowControl/>
        <w:spacing w:line="440" w:lineRule="exact"/>
        <w:ind w:right="960"/>
        <w:rPr>
          <w:rFonts w:ascii="宋体" w:hAnsi="宋体" w:cs="宋体"/>
          <w:color w:val="auto"/>
          <w:szCs w:val="21"/>
          <w:highlight w:val="none"/>
        </w:rPr>
      </w:pPr>
      <w:r>
        <w:rPr>
          <w:rFonts w:hint="eastAsia" w:ascii="宋体" w:hAnsi="宋体" w:cs="宋体"/>
          <w:color w:val="auto"/>
          <w:szCs w:val="21"/>
          <w:highlight w:val="none"/>
        </w:rPr>
        <w:t>日期：        年    月    日</w:t>
      </w:r>
    </w:p>
    <w:p w14:paraId="537C7D42">
      <w:pPr>
        <w:pageBreakBefore/>
        <w:spacing w:line="360" w:lineRule="auto"/>
        <w:outlineLvl w:val="1"/>
        <w:rPr>
          <w:rFonts w:ascii="宋体" w:hAnsi="宋体" w:cs="宋体"/>
          <w:b/>
          <w:color w:val="auto"/>
          <w:highlight w:val="none"/>
        </w:rPr>
      </w:pPr>
      <w:r>
        <w:rPr>
          <w:rFonts w:hint="eastAsia" w:ascii="宋体" w:hAnsi="宋体" w:cs="宋体"/>
          <w:b/>
          <w:color w:val="auto"/>
          <w:highlight w:val="none"/>
        </w:rPr>
        <w:t>附件10：投标（响应）保证承诺书</w:t>
      </w:r>
    </w:p>
    <w:p w14:paraId="304D3296">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投标（响应）保证承诺书</w:t>
      </w:r>
    </w:p>
    <w:p w14:paraId="4EC601F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（采购代理机构名称）</w:t>
      </w:r>
    </w:p>
    <w:p w14:paraId="2CD22C3A">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我（单位/本人，以下统称我单位）自愿参加</w:t>
      </w:r>
      <w:r>
        <w:rPr>
          <w:rFonts w:hint="eastAsia" w:ascii="宋体" w:hAnsi="宋体" w:cs="宋体"/>
          <w:color w:val="auto"/>
          <w:szCs w:val="21"/>
          <w:highlight w:val="none"/>
          <w:u w:val="single"/>
        </w:rPr>
        <w:t xml:space="preserve">              （项目名称和采购编号）</w:t>
      </w:r>
      <w:r>
        <w:rPr>
          <w:rFonts w:hint="eastAsia" w:ascii="宋体" w:hAnsi="宋体" w:cs="宋体"/>
          <w:color w:val="auto"/>
          <w:szCs w:val="21"/>
          <w:highlight w:val="none"/>
        </w:rPr>
        <w:t>的投标（响应），并做出如下承诺：</w:t>
      </w:r>
    </w:p>
    <w:p w14:paraId="7152AD5C">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一、除不可抗力外，我单位如果发生以下行为，将在行为发生的10个工作日内，向贵方</w:t>
      </w:r>
      <w:r>
        <w:rPr>
          <w:rFonts w:hint="eastAsia" w:ascii="宋体" w:hAnsi="宋体" w:cs="宋体"/>
          <w:color w:val="auto"/>
          <w:szCs w:val="21"/>
          <w:highlight w:val="none"/>
          <w:u w:val="single"/>
        </w:rPr>
        <w:t>（或采购人）</w:t>
      </w:r>
      <w:r>
        <w:rPr>
          <w:rFonts w:hint="eastAsia" w:ascii="宋体" w:hAnsi="宋体" w:cs="宋体"/>
          <w:color w:val="auto"/>
          <w:szCs w:val="21"/>
          <w:highlight w:val="none"/>
        </w:rPr>
        <w:t>支付本采购文件公布的预算金额（或最高限价）的2%作为违约赔偿金（数量不确定的单价采购须约定具体金额）。</w:t>
      </w:r>
    </w:p>
    <w:p w14:paraId="7897753B">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1.自投标（响应）截止时间至本项目发布中标（成交）公告为止，撤销投标（响应）；</w:t>
      </w:r>
    </w:p>
    <w:p w14:paraId="6A7EC6BE">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2.中标（成交）后不依法与采购人签订合同；</w:t>
      </w:r>
    </w:p>
    <w:p w14:paraId="16B1C5B6">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3.中标（成交）后不按本采购文件规定向采购人提交履约保证金（如有）；</w:t>
      </w:r>
    </w:p>
    <w:p w14:paraId="5006F4B1">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4.中标（成交）后不按本采购文件规定向贵方缴纳采购代理费。</w:t>
      </w:r>
    </w:p>
    <w:p w14:paraId="296A4717">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二、我单位知晓上述行为的法律后果，承认本承诺书作为贵方</w:t>
      </w:r>
      <w:r>
        <w:rPr>
          <w:rFonts w:hint="eastAsia" w:ascii="宋体" w:hAnsi="宋体" w:cs="宋体"/>
          <w:color w:val="auto"/>
          <w:szCs w:val="21"/>
          <w:highlight w:val="none"/>
          <w:u w:val="single"/>
        </w:rPr>
        <w:t>（或采购人）</w:t>
      </w:r>
      <w:r>
        <w:rPr>
          <w:rFonts w:hint="eastAsia" w:ascii="宋体" w:hAnsi="宋体" w:cs="宋体"/>
          <w:color w:val="auto"/>
          <w:szCs w:val="21"/>
          <w:highlight w:val="none"/>
        </w:rPr>
        <w:t>要求我单位履行违约赔偿义务的依据作用。</w:t>
      </w:r>
    </w:p>
    <w:p w14:paraId="37160D68">
      <w:pPr>
        <w:widowControl/>
        <w:spacing w:line="360" w:lineRule="auto"/>
        <w:jc w:val="left"/>
        <w:rPr>
          <w:rFonts w:ascii="宋体" w:hAnsi="宋体" w:cs="宋体"/>
          <w:color w:val="auto"/>
          <w:szCs w:val="21"/>
          <w:highlight w:val="none"/>
        </w:rPr>
      </w:pPr>
    </w:p>
    <w:p w14:paraId="57BF594A">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投标（响应）人（签章）：</w:t>
      </w:r>
    </w:p>
    <w:p w14:paraId="3C5F01D0">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地址：</w:t>
      </w:r>
    </w:p>
    <w:p w14:paraId="3897A74B">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电话：</w:t>
      </w:r>
    </w:p>
    <w:p w14:paraId="0A649323">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w:t>
      </w:r>
    </w:p>
    <w:p w14:paraId="74B0C48B">
      <w:pPr>
        <w:widowControl/>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电子邮件：</w:t>
      </w:r>
    </w:p>
    <w:p w14:paraId="69413D8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邮编：</w:t>
      </w:r>
    </w:p>
    <w:p w14:paraId="201CA4CA">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w:t>
      </w:r>
    </w:p>
    <w:p w14:paraId="27648CD4">
      <w:pPr>
        <w:pStyle w:val="42"/>
        <w:rPr>
          <w:rFonts w:ascii="宋体" w:hAnsi="宋体" w:cs="宋体"/>
          <w:color w:val="auto"/>
          <w:szCs w:val="21"/>
          <w:highlight w:val="none"/>
        </w:rPr>
        <w:sectPr>
          <w:pgSz w:w="11906" w:h="16838"/>
          <w:pgMar w:top="1440" w:right="1417" w:bottom="1440" w:left="1417" w:header="964" w:footer="964" w:gutter="0"/>
          <w:cols w:space="720" w:num="1"/>
          <w:docGrid w:linePitch="360" w:charSpace="0"/>
        </w:sectPr>
      </w:pPr>
    </w:p>
    <w:p w14:paraId="2F63C711">
      <w:pPr>
        <w:pStyle w:val="5"/>
        <w:spacing w:line="360" w:lineRule="auto"/>
        <w:ind w:firstLine="0"/>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附件11：谈判响应单位基本情况表</w:t>
      </w:r>
    </w:p>
    <w:p w14:paraId="34F4EC07">
      <w:pPr>
        <w:pStyle w:val="5"/>
        <w:spacing w:line="360" w:lineRule="auto"/>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谈判响应单位基本情况表</w:t>
      </w:r>
    </w:p>
    <w:p w14:paraId="13BC8696">
      <w:pPr>
        <w:pStyle w:val="5"/>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单位名称：（签章）</w:t>
      </w:r>
    </w:p>
    <w:tbl>
      <w:tblPr>
        <w:tblStyle w:val="43"/>
        <w:tblW w:w="49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16"/>
        <w:gridCol w:w="1988"/>
        <w:gridCol w:w="1528"/>
        <w:gridCol w:w="2128"/>
        <w:gridCol w:w="1297"/>
      </w:tblGrid>
      <w:tr w14:paraId="60B7E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61C85CB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985" w:type="dxa"/>
            <w:noWrap/>
            <w:vAlign w:val="center"/>
          </w:tcPr>
          <w:p w14:paraId="16EE5C5C">
            <w:pPr>
              <w:pStyle w:val="5"/>
              <w:ind w:firstLine="0"/>
              <w:rPr>
                <w:rFonts w:ascii="宋体" w:hAnsi="宋体" w:eastAsia="宋体" w:cs="宋体"/>
                <w:color w:val="auto"/>
                <w:sz w:val="21"/>
                <w:szCs w:val="21"/>
                <w:highlight w:val="none"/>
              </w:rPr>
            </w:pPr>
          </w:p>
        </w:tc>
        <w:tc>
          <w:tcPr>
            <w:tcW w:w="1522" w:type="dxa"/>
            <w:noWrap/>
            <w:vAlign w:val="center"/>
          </w:tcPr>
          <w:p w14:paraId="1F4C2BF4">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431" w:type="dxa"/>
            <w:gridSpan w:val="2"/>
            <w:noWrap/>
            <w:vAlign w:val="center"/>
          </w:tcPr>
          <w:p w14:paraId="6E448904">
            <w:pPr>
              <w:pStyle w:val="5"/>
              <w:ind w:firstLine="0"/>
              <w:rPr>
                <w:rFonts w:ascii="宋体" w:hAnsi="宋体" w:eastAsia="宋体" w:cs="宋体"/>
                <w:color w:val="auto"/>
                <w:sz w:val="21"/>
                <w:szCs w:val="21"/>
                <w:highlight w:val="none"/>
              </w:rPr>
            </w:pPr>
          </w:p>
        </w:tc>
      </w:tr>
      <w:tr w14:paraId="6A351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7D1B493F">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企业地址</w:t>
            </w:r>
          </w:p>
        </w:tc>
        <w:tc>
          <w:tcPr>
            <w:tcW w:w="1985" w:type="dxa"/>
            <w:noWrap/>
            <w:vAlign w:val="center"/>
          </w:tcPr>
          <w:p w14:paraId="3AE7DCF6">
            <w:pPr>
              <w:pStyle w:val="5"/>
              <w:ind w:firstLine="0"/>
              <w:rPr>
                <w:rFonts w:ascii="宋体" w:hAnsi="宋体" w:eastAsia="宋体" w:cs="宋体"/>
                <w:color w:val="auto"/>
                <w:sz w:val="21"/>
                <w:szCs w:val="21"/>
                <w:highlight w:val="none"/>
              </w:rPr>
            </w:pPr>
          </w:p>
        </w:tc>
        <w:tc>
          <w:tcPr>
            <w:tcW w:w="1522" w:type="dxa"/>
            <w:noWrap/>
            <w:vAlign w:val="center"/>
          </w:tcPr>
          <w:p w14:paraId="6667696B">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431" w:type="dxa"/>
            <w:gridSpan w:val="2"/>
            <w:noWrap/>
            <w:vAlign w:val="center"/>
          </w:tcPr>
          <w:p w14:paraId="0E9AFA2A">
            <w:pPr>
              <w:pStyle w:val="5"/>
              <w:ind w:firstLine="216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0100E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506178B9">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938" w:type="dxa"/>
            <w:gridSpan w:val="4"/>
            <w:noWrap/>
            <w:vAlign w:val="center"/>
          </w:tcPr>
          <w:p w14:paraId="176CF941">
            <w:pPr>
              <w:pStyle w:val="5"/>
              <w:ind w:firstLine="0"/>
              <w:rPr>
                <w:rFonts w:ascii="宋体" w:hAnsi="宋体" w:eastAsia="宋体" w:cs="宋体"/>
                <w:color w:val="auto"/>
                <w:sz w:val="21"/>
                <w:szCs w:val="21"/>
                <w:highlight w:val="none"/>
              </w:rPr>
            </w:pPr>
          </w:p>
        </w:tc>
      </w:tr>
      <w:tr w14:paraId="0EE28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7FDBC3EA">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c>
          <w:tcPr>
            <w:tcW w:w="1985" w:type="dxa"/>
            <w:noWrap/>
            <w:vAlign w:val="center"/>
          </w:tcPr>
          <w:p w14:paraId="617B8D58">
            <w:pPr>
              <w:pStyle w:val="5"/>
              <w:ind w:firstLine="0"/>
              <w:rPr>
                <w:rFonts w:ascii="宋体" w:hAnsi="宋体" w:eastAsia="宋体" w:cs="宋体"/>
                <w:color w:val="auto"/>
                <w:sz w:val="21"/>
                <w:szCs w:val="21"/>
                <w:highlight w:val="none"/>
              </w:rPr>
            </w:pPr>
          </w:p>
        </w:tc>
        <w:tc>
          <w:tcPr>
            <w:tcW w:w="3664" w:type="dxa"/>
            <w:gridSpan w:val="2"/>
            <w:noWrap/>
            <w:vAlign w:val="center"/>
          </w:tcPr>
          <w:p w14:paraId="368D12E9">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其中：有中高级以上职称的人数</w:t>
            </w:r>
          </w:p>
        </w:tc>
        <w:tc>
          <w:tcPr>
            <w:tcW w:w="1289" w:type="dxa"/>
            <w:noWrap/>
            <w:vAlign w:val="center"/>
          </w:tcPr>
          <w:p w14:paraId="0E873851">
            <w:pPr>
              <w:pStyle w:val="5"/>
              <w:ind w:firstLine="0"/>
              <w:rPr>
                <w:rFonts w:ascii="宋体" w:hAnsi="宋体" w:eastAsia="宋体" w:cs="宋体"/>
                <w:color w:val="auto"/>
                <w:sz w:val="21"/>
                <w:szCs w:val="21"/>
                <w:highlight w:val="none"/>
              </w:rPr>
            </w:pPr>
          </w:p>
        </w:tc>
      </w:tr>
      <w:tr w14:paraId="4547E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5EAD06B6">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资产总计</w:t>
            </w:r>
          </w:p>
        </w:tc>
        <w:tc>
          <w:tcPr>
            <w:tcW w:w="1985" w:type="dxa"/>
            <w:noWrap/>
            <w:vAlign w:val="center"/>
          </w:tcPr>
          <w:p w14:paraId="5602C468">
            <w:pPr>
              <w:pStyle w:val="5"/>
              <w:ind w:firstLine="84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22" w:type="dxa"/>
            <w:noWrap/>
            <w:vAlign w:val="center"/>
          </w:tcPr>
          <w:p w14:paraId="7D305CA8">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净资产</w:t>
            </w:r>
          </w:p>
        </w:tc>
        <w:tc>
          <w:tcPr>
            <w:tcW w:w="3431" w:type="dxa"/>
            <w:gridSpan w:val="2"/>
            <w:noWrap/>
            <w:vAlign w:val="center"/>
          </w:tcPr>
          <w:p w14:paraId="4C3E5234">
            <w:pPr>
              <w:pStyle w:val="5"/>
              <w:ind w:firstLine="2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5F4C0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0B43DFAB">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股东权益</w:t>
            </w:r>
          </w:p>
        </w:tc>
        <w:tc>
          <w:tcPr>
            <w:tcW w:w="1985" w:type="dxa"/>
            <w:noWrap/>
            <w:vAlign w:val="center"/>
          </w:tcPr>
          <w:p w14:paraId="1F549CD7">
            <w:pPr>
              <w:pStyle w:val="5"/>
              <w:ind w:firstLine="126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22" w:type="dxa"/>
            <w:noWrap/>
            <w:vAlign w:val="center"/>
          </w:tcPr>
          <w:p w14:paraId="1EA099E2">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销售收入</w:t>
            </w:r>
          </w:p>
        </w:tc>
        <w:tc>
          <w:tcPr>
            <w:tcW w:w="3431" w:type="dxa"/>
            <w:gridSpan w:val="2"/>
            <w:noWrap/>
            <w:vAlign w:val="center"/>
          </w:tcPr>
          <w:p w14:paraId="65281FA3">
            <w:pPr>
              <w:pStyle w:val="5"/>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2024年       万元</w:t>
            </w:r>
          </w:p>
        </w:tc>
      </w:tr>
      <w:tr w14:paraId="4D572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55D7273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实现利润</w:t>
            </w:r>
          </w:p>
        </w:tc>
        <w:tc>
          <w:tcPr>
            <w:tcW w:w="1985" w:type="dxa"/>
            <w:noWrap/>
            <w:vAlign w:val="center"/>
          </w:tcPr>
          <w:p w14:paraId="3677D0D6">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2024年     万元</w:t>
            </w:r>
          </w:p>
        </w:tc>
        <w:tc>
          <w:tcPr>
            <w:tcW w:w="1522" w:type="dxa"/>
            <w:noWrap/>
            <w:vAlign w:val="center"/>
          </w:tcPr>
          <w:p w14:paraId="743A21ED">
            <w:pPr>
              <w:pStyle w:val="5"/>
              <w:ind w:firstLine="0"/>
              <w:rPr>
                <w:rFonts w:ascii="宋体" w:hAnsi="宋体" w:eastAsia="宋体" w:cs="宋体"/>
                <w:color w:val="auto"/>
                <w:sz w:val="21"/>
                <w:szCs w:val="21"/>
                <w:highlight w:val="none"/>
              </w:rPr>
            </w:pPr>
          </w:p>
        </w:tc>
        <w:tc>
          <w:tcPr>
            <w:tcW w:w="3431" w:type="dxa"/>
            <w:gridSpan w:val="2"/>
            <w:noWrap/>
            <w:vAlign w:val="center"/>
          </w:tcPr>
          <w:p w14:paraId="0BBB259D">
            <w:pPr>
              <w:pStyle w:val="5"/>
              <w:ind w:firstLine="0"/>
              <w:rPr>
                <w:rFonts w:ascii="宋体" w:hAnsi="宋体" w:eastAsia="宋体" w:cs="宋体"/>
                <w:color w:val="auto"/>
                <w:sz w:val="21"/>
                <w:szCs w:val="21"/>
                <w:highlight w:val="none"/>
              </w:rPr>
            </w:pPr>
          </w:p>
        </w:tc>
      </w:tr>
      <w:tr w14:paraId="36647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0678C30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营业面积（含厂房面积）</w:t>
            </w:r>
          </w:p>
        </w:tc>
        <w:tc>
          <w:tcPr>
            <w:tcW w:w="1985" w:type="dxa"/>
            <w:noWrap/>
            <w:vAlign w:val="center"/>
          </w:tcPr>
          <w:p w14:paraId="47E1ED93">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平方米</w:t>
            </w:r>
          </w:p>
        </w:tc>
        <w:tc>
          <w:tcPr>
            <w:tcW w:w="1522" w:type="dxa"/>
            <w:noWrap/>
            <w:vAlign w:val="center"/>
          </w:tcPr>
          <w:p w14:paraId="2122CCCB">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3431" w:type="dxa"/>
            <w:gridSpan w:val="2"/>
            <w:noWrap/>
            <w:vAlign w:val="center"/>
          </w:tcPr>
          <w:p w14:paraId="6362BC51">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自有面积      平方米</w:t>
            </w:r>
          </w:p>
          <w:p w14:paraId="6E8A9A88">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承租面积      平方米</w:t>
            </w:r>
          </w:p>
        </w:tc>
      </w:tr>
      <w:tr w14:paraId="53F20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5C336F6A">
            <w:pPr>
              <w:pStyle w:val="5"/>
              <w:ind w:firstLine="0"/>
              <w:rPr>
                <w:rFonts w:ascii="宋体" w:hAnsi="宋体" w:eastAsia="宋体" w:cs="宋体"/>
                <w:color w:val="auto"/>
                <w:sz w:val="21"/>
                <w:szCs w:val="21"/>
                <w:highlight w:val="none"/>
              </w:rPr>
            </w:pPr>
          </w:p>
          <w:p w14:paraId="6858812B">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单位简历及内设机构情况</w:t>
            </w:r>
          </w:p>
          <w:p w14:paraId="13F7CA69">
            <w:pPr>
              <w:pStyle w:val="5"/>
              <w:ind w:firstLine="0"/>
              <w:rPr>
                <w:rFonts w:ascii="宋体" w:hAnsi="宋体" w:eastAsia="宋体" w:cs="宋体"/>
                <w:color w:val="auto"/>
                <w:sz w:val="21"/>
                <w:szCs w:val="21"/>
                <w:highlight w:val="none"/>
              </w:rPr>
            </w:pPr>
          </w:p>
        </w:tc>
        <w:tc>
          <w:tcPr>
            <w:tcW w:w="6938" w:type="dxa"/>
            <w:gridSpan w:val="4"/>
            <w:noWrap/>
            <w:vAlign w:val="center"/>
          </w:tcPr>
          <w:p w14:paraId="09627CE2">
            <w:pPr>
              <w:pStyle w:val="5"/>
              <w:ind w:firstLine="0"/>
              <w:rPr>
                <w:rFonts w:ascii="宋体" w:hAnsi="宋体" w:eastAsia="宋体" w:cs="宋体"/>
                <w:color w:val="auto"/>
                <w:sz w:val="21"/>
                <w:szCs w:val="21"/>
                <w:highlight w:val="none"/>
              </w:rPr>
            </w:pPr>
          </w:p>
        </w:tc>
      </w:tr>
      <w:tr w14:paraId="20CB4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7AFD37B3">
            <w:pPr>
              <w:pStyle w:val="5"/>
              <w:ind w:firstLine="0"/>
              <w:rPr>
                <w:rFonts w:ascii="宋体" w:hAnsi="宋体" w:eastAsia="宋体" w:cs="宋体"/>
                <w:color w:val="auto"/>
                <w:sz w:val="21"/>
                <w:szCs w:val="21"/>
                <w:highlight w:val="none"/>
              </w:rPr>
            </w:pPr>
          </w:p>
          <w:p w14:paraId="317046CA">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单位优势及特长</w:t>
            </w:r>
          </w:p>
          <w:p w14:paraId="0E241CC4">
            <w:pPr>
              <w:pStyle w:val="5"/>
              <w:ind w:firstLine="0"/>
              <w:rPr>
                <w:rFonts w:ascii="宋体" w:hAnsi="宋体" w:eastAsia="宋体" w:cs="宋体"/>
                <w:color w:val="auto"/>
                <w:sz w:val="21"/>
                <w:szCs w:val="21"/>
                <w:highlight w:val="none"/>
              </w:rPr>
            </w:pPr>
          </w:p>
        </w:tc>
        <w:tc>
          <w:tcPr>
            <w:tcW w:w="6938" w:type="dxa"/>
            <w:gridSpan w:val="4"/>
            <w:noWrap/>
            <w:vAlign w:val="center"/>
          </w:tcPr>
          <w:p w14:paraId="08DDF63A">
            <w:pPr>
              <w:pStyle w:val="5"/>
              <w:ind w:firstLine="0"/>
              <w:rPr>
                <w:rFonts w:ascii="宋体" w:hAnsi="宋体" w:eastAsia="宋体" w:cs="宋体"/>
                <w:color w:val="auto"/>
                <w:sz w:val="21"/>
                <w:szCs w:val="21"/>
                <w:highlight w:val="none"/>
              </w:rPr>
            </w:pPr>
          </w:p>
        </w:tc>
      </w:tr>
      <w:tr w14:paraId="41B3E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43DA160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近三年来完成或正在履行的重大合同情况</w:t>
            </w:r>
          </w:p>
        </w:tc>
        <w:tc>
          <w:tcPr>
            <w:tcW w:w="6938" w:type="dxa"/>
            <w:gridSpan w:val="4"/>
            <w:noWrap/>
            <w:vAlign w:val="center"/>
          </w:tcPr>
          <w:p w14:paraId="4A082369">
            <w:pPr>
              <w:pStyle w:val="5"/>
              <w:ind w:firstLine="0"/>
              <w:rPr>
                <w:rFonts w:ascii="宋体" w:hAnsi="宋体" w:eastAsia="宋体" w:cs="宋体"/>
                <w:color w:val="auto"/>
                <w:sz w:val="21"/>
                <w:szCs w:val="21"/>
                <w:highlight w:val="none"/>
              </w:rPr>
            </w:pPr>
          </w:p>
        </w:tc>
      </w:tr>
      <w:tr w14:paraId="4E1B7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68A8B0C2">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最近2年内在经营过程中受到何种奖励或处分</w:t>
            </w:r>
          </w:p>
        </w:tc>
        <w:tc>
          <w:tcPr>
            <w:tcW w:w="6938" w:type="dxa"/>
            <w:gridSpan w:val="4"/>
            <w:noWrap/>
            <w:vAlign w:val="center"/>
          </w:tcPr>
          <w:p w14:paraId="632C1274">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（包括财政、工商、税务、物价、技监部门稽查情况和结果）</w:t>
            </w:r>
          </w:p>
        </w:tc>
      </w:tr>
      <w:tr w14:paraId="5A27E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675F0517">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最近3年内有无因售假、售劣或是其他原因被消费者投诉或起诉的情况及说明</w:t>
            </w:r>
          </w:p>
        </w:tc>
        <w:tc>
          <w:tcPr>
            <w:tcW w:w="6938" w:type="dxa"/>
            <w:gridSpan w:val="4"/>
            <w:noWrap/>
            <w:vAlign w:val="center"/>
          </w:tcPr>
          <w:p w14:paraId="1D20DDD1">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（包括解决方式和结果）</w:t>
            </w:r>
          </w:p>
        </w:tc>
      </w:tr>
      <w:tr w14:paraId="4587B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4C631B51">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参加政府采购活动前三年内，在经营活动中有无重大违法记录情况及说明</w:t>
            </w:r>
          </w:p>
        </w:tc>
        <w:tc>
          <w:tcPr>
            <w:tcW w:w="6938" w:type="dxa"/>
            <w:gridSpan w:val="4"/>
            <w:noWrap/>
            <w:vAlign w:val="center"/>
          </w:tcPr>
          <w:p w14:paraId="3AB4CF64">
            <w:pPr>
              <w:pStyle w:val="5"/>
              <w:ind w:firstLine="0"/>
              <w:rPr>
                <w:rFonts w:ascii="宋体" w:hAnsi="宋体" w:eastAsia="宋体" w:cs="宋体"/>
                <w:color w:val="auto"/>
                <w:sz w:val="21"/>
                <w:szCs w:val="21"/>
                <w:highlight w:val="none"/>
              </w:rPr>
            </w:pPr>
          </w:p>
        </w:tc>
      </w:tr>
      <w:tr w14:paraId="27224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36FEBFFF">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获得技术认证的工程师及简介</w:t>
            </w:r>
          </w:p>
        </w:tc>
        <w:tc>
          <w:tcPr>
            <w:tcW w:w="6938" w:type="dxa"/>
            <w:gridSpan w:val="4"/>
            <w:noWrap/>
            <w:vAlign w:val="center"/>
          </w:tcPr>
          <w:p w14:paraId="2D735603">
            <w:pPr>
              <w:pStyle w:val="5"/>
              <w:ind w:firstLine="0"/>
              <w:rPr>
                <w:rFonts w:ascii="宋体" w:hAnsi="宋体" w:eastAsia="宋体" w:cs="宋体"/>
                <w:color w:val="auto"/>
                <w:sz w:val="21"/>
                <w:szCs w:val="21"/>
                <w:highlight w:val="none"/>
              </w:rPr>
            </w:pPr>
          </w:p>
        </w:tc>
      </w:tr>
      <w:tr w14:paraId="5B1EB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3A4D528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其他需要说明的情况</w:t>
            </w:r>
          </w:p>
        </w:tc>
        <w:tc>
          <w:tcPr>
            <w:tcW w:w="6938" w:type="dxa"/>
            <w:gridSpan w:val="4"/>
            <w:noWrap/>
            <w:vAlign w:val="center"/>
          </w:tcPr>
          <w:p w14:paraId="444085C2">
            <w:pPr>
              <w:pStyle w:val="5"/>
              <w:ind w:firstLine="0"/>
              <w:rPr>
                <w:rFonts w:ascii="宋体" w:hAnsi="宋体" w:eastAsia="宋体" w:cs="宋体"/>
                <w:color w:val="auto"/>
                <w:sz w:val="21"/>
                <w:szCs w:val="21"/>
                <w:highlight w:val="none"/>
              </w:rPr>
            </w:pPr>
          </w:p>
        </w:tc>
      </w:tr>
    </w:tbl>
    <w:p w14:paraId="12140733">
      <w:pPr>
        <w:spacing w:line="360" w:lineRule="auto"/>
        <w:rPr>
          <w:rFonts w:ascii="宋体" w:hAnsi="宋体" w:cs="宋体"/>
          <w:b/>
          <w:color w:val="auto"/>
          <w:highlight w:val="none"/>
        </w:rPr>
        <w:sectPr>
          <w:pgSz w:w="11906" w:h="16838"/>
          <w:pgMar w:top="1440" w:right="1417" w:bottom="1440" w:left="1417" w:header="964" w:footer="964" w:gutter="0"/>
          <w:cols w:space="720" w:num="1"/>
          <w:docGrid w:linePitch="360" w:charSpace="0"/>
        </w:sectPr>
      </w:pPr>
    </w:p>
    <w:p w14:paraId="0307C0F3">
      <w:pPr>
        <w:pageBreakBefore/>
        <w:spacing w:line="360" w:lineRule="auto"/>
        <w:rPr>
          <w:rFonts w:ascii="宋体" w:hAnsi="宋体" w:cs="宋体"/>
          <w:b/>
          <w:color w:val="auto"/>
          <w:highlight w:val="none"/>
        </w:rPr>
      </w:pPr>
      <w:r>
        <w:rPr>
          <w:rFonts w:hint="eastAsia" w:ascii="宋体" w:hAnsi="宋体" w:cs="宋体"/>
          <w:b/>
          <w:color w:val="auto"/>
          <w:highlight w:val="none"/>
        </w:rPr>
        <w:t>附件12：类似项目</w:t>
      </w:r>
      <w:r>
        <w:rPr>
          <w:rFonts w:hint="eastAsia" w:ascii="宋体" w:hAnsi="宋体" w:cs="宋体"/>
          <w:b/>
          <w:color w:val="auto"/>
          <w:highlight w:val="none"/>
          <w:lang w:val="zh-CN"/>
        </w:rPr>
        <w:t>业绩一览表（</w:t>
      </w:r>
      <w:r>
        <w:rPr>
          <w:rFonts w:hint="eastAsia" w:ascii="宋体" w:hAnsi="宋体" w:cs="宋体"/>
          <w:b/>
          <w:color w:val="auto"/>
          <w:highlight w:val="none"/>
        </w:rPr>
        <w:t>如有）</w:t>
      </w:r>
    </w:p>
    <w:p w14:paraId="4E7EBB47">
      <w:pPr>
        <w:spacing w:line="360" w:lineRule="auto"/>
        <w:jc w:val="center"/>
        <w:rPr>
          <w:rFonts w:ascii="宋体" w:hAnsi="宋体" w:cs="宋体"/>
          <w:color w:val="auto"/>
          <w:highlight w:val="none"/>
        </w:rPr>
      </w:pPr>
      <w:r>
        <w:rPr>
          <w:rFonts w:hint="eastAsia" w:ascii="宋体" w:hAnsi="宋体" w:cs="宋体"/>
          <w:b/>
          <w:color w:val="auto"/>
          <w:highlight w:val="none"/>
        </w:rPr>
        <w:t>类似项目</w:t>
      </w:r>
      <w:r>
        <w:rPr>
          <w:rFonts w:hint="eastAsia" w:ascii="宋体" w:hAnsi="宋体" w:cs="宋体"/>
          <w:b/>
          <w:color w:val="auto"/>
          <w:highlight w:val="none"/>
          <w:lang w:val="zh-CN"/>
        </w:rPr>
        <w:t>业绩一览表</w:t>
      </w:r>
    </w:p>
    <w:p w14:paraId="659D0D07">
      <w:pPr>
        <w:spacing w:line="360" w:lineRule="auto"/>
        <w:rPr>
          <w:rFonts w:ascii="宋体" w:hAnsi="宋体" w:cs="宋体"/>
          <w:color w:val="auto"/>
          <w:highlight w:val="none"/>
        </w:rPr>
      </w:pPr>
    </w:p>
    <w:p w14:paraId="1572AE3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2"/>
        <w:gridCol w:w="1716"/>
        <w:gridCol w:w="1422"/>
        <w:gridCol w:w="1518"/>
        <w:gridCol w:w="1627"/>
        <w:gridCol w:w="1783"/>
      </w:tblGrid>
      <w:tr w14:paraId="3E698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77332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16" w:type="dxa"/>
            <w:noWrap/>
            <w:vAlign w:val="center"/>
          </w:tcPr>
          <w:p w14:paraId="5F0369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422" w:type="dxa"/>
            <w:noWrap/>
            <w:vAlign w:val="center"/>
          </w:tcPr>
          <w:p w14:paraId="33C868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业主单位</w:t>
            </w:r>
          </w:p>
        </w:tc>
        <w:tc>
          <w:tcPr>
            <w:tcW w:w="1518" w:type="dxa"/>
            <w:tcBorders>
              <w:right w:val="single" w:color="auto" w:sz="4" w:space="0"/>
            </w:tcBorders>
            <w:noWrap/>
            <w:vAlign w:val="center"/>
          </w:tcPr>
          <w:p w14:paraId="4CB685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1627" w:type="dxa"/>
            <w:tcBorders>
              <w:left w:val="single" w:color="auto" w:sz="4" w:space="0"/>
              <w:right w:val="single" w:color="auto" w:sz="4" w:space="0"/>
            </w:tcBorders>
            <w:noWrap/>
            <w:vAlign w:val="center"/>
          </w:tcPr>
          <w:p w14:paraId="2FB1D5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1783" w:type="dxa"/>
            <w:noWrap/>
            <w:vAlign w:val="center"/>
          </w:tcPr>
          <w:p w14:paraId="51272D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合同金额（万元）</w:t>
            </w:r>
          </w:p>
        </w:tc>
      </w:tr>
      <w:tr w14:paraId="18162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568542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16" w:type="dxa"/>
            <w:noWrap/>
            <w:vAlign w:val="center"/>
          </w:tcPr>
          <w:p w14:paraId="42CBED2B">
            <w:pPr>
              <w:spacing w:line="360" w:lineRule="auto"/>
              <w:ind w:left="420"/>
              <w:rPr>
                <w:rFonts w:ascii="宋体" w:hAnsi="宋体" w:cs="宋体"/>
                <w:color w:val="auto"/>
                <w:szCs w:val="21"/>
                <w:highlight w:val="none"/>
              </w:rPr>
            </w:pPr>
          </w:p>
        </w:tc>
        <w:tc>
          <w:tcPr>
            <w:tcW w:w="1422" w:type="dxa"/>
            <w:noWrap/>
            <w:vAlign w:val="center"/>
          </w:tcPr>
          <w:p w14:paraId="6FC1B805">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6C3E145F">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69E7487E">
            <w:pPr>
              <w:spacing w:line="360" w:lineRule="auto"/>
              <w:ind w:left="420"/>
              <w:rPr>
                <w:rFonts w:ascii="宋体" w:hAnsi="宋体" w:cs="宋体"/>
                <w:color w:val="auto"/>
                <w:szCs w:val="21"/>
                <w:highlight w:val="none"/>
              </w:rPr>
            </w:pPr>
          </w:p>
        </w:tc>
        <w:tc>
          <w:tcPr>
            <w:tcW w:w="1783" w:type="dxa"/>
            <w:noWrap/>
            <w:vAlign w:val="center"/>
          </w:tcPr>
          <w:p w14:paraId="6399C67D">
            <w:pPr>
              <w:spacing w:line="360" w:lineRule="auto"/>
              <w:ind w:left="420"/>
              <w:rPr>
                <w:rFonts w:ascii="宋体" w:hAnsi="宋体" w:cs="宋体"/>
                <w:color w:val="auto"/>
                <w:szCs w:val="21"/>
                <w:highlight w:val="none"/>
              </w:rPr>
            </w:pPr>
          </w:p>
        </w:tc>
      </w:tr>
      <w:tr w14:paraId="4D4B0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7C3391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716" w:type="dxa"/>
            <w:noWrap/>
            <w:vAlign w:val="center"/>
          </w:tcPr>
          <w:p w14:paraId="46747357">
            <w:pPr>
              <w:spacing w:line="360" w:lineRule="auto"/>
              <w:ind w:left="420"/>
              <w:rPr>
                <w:rFonts w:ascii="宋体" w:hAnsi="宋体" w:cs="宋体"/>
                <w:color w:val="auto"/>
                <w:szCs w:val="21"/>
                <w:highlight w:val="none"/>
              </w:rPr>
            </w:pPr>
          </w:p>
        </w:tc>
        <w:tc>
          <w:tcPr>
            <w:tcW w:w="1422" w:type="dxa"/>
            <w:noWrap/>
            <w:vAlign w:val="center"/>
          </w:tcPr>
          <w:p w14:paraId="001659AD">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31BD426C">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398F13FA">
            <w:pPr>
              <w:spacing w:line="360" w:lineRule="auto"/>
              <w:ind w:left="420"/>
              <w:rPr>
                <w:rFonts w:ascii="宋体" w:hAnsi="宋体" w:cs="宋体"/>
                <w:color w:val="auto"/>
                <w:szCs w:val="21"/>
                <w:highlight w:val="none"/>
              </w:rPr>
            </w:pPr>
          </w:p>
        </w:tc>
        <w:tc>
          <w:tcPr>
            <w:tcW w:w="1783" w:type="dxa"/>
            <w:noWrap/>
            <w:vAlign w:val="center"/>
          </w:tcPr>
          <w:p w14:paraId="69988C00">
            <w:pPr>
              <w:spacing w:line="360" w:lineRule="auto"/>
              <w:ind w:left="420"/>
              <w:rPr>
                <w:rFonts w:ascii="宋体" w:hAnsi="宋体" w:cs="宋体"/>
                <w:color w:val="auto"/>
                <w:szCs w:val="21"/>
                <w:highlight w:val="none"/>
              </w:rPr>
            </w:pPr>
          </w:p>
        </w:tc>
      </w:tr>
      <w:tr w14:paraId="6EFD1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0D3B7F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716" w:type="dxa"/>
            <w:noWrap/>
            <w:vAlign w:val="center"/>
          </w:tcPr>
          <w:p w14:paraId="28F74D86">
            <w:pPr>
              <w:spacing w:line="360" w:lineRule="auto"/>
              <w:ind w:left="420"/>
              <w:rPr>
                <w:rFonts w:ascii="宋体" w:hAnsi="宋体" w:cs="宋体"/>
                <w:color w:val="auto"/>
                <w:szCs w:val="21"/>
                <w:highlight w:val="none"/>
              </w:rPr>
            </w:pPr>
          </w:p>
        </w:tc>
        <w:tc>
          <w:tcPr>
            <w:tcW w:w="1422" w:type="dxa"/>
            <w:noWrap/>
            <w:vAlign w:val="center"/>
          </w:tcPr>
          <w:p w14:paraId="1B29AC11">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05BAC47B">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059511C4">
            <w:pPr>
              <w:spacing w:line="360" w:lineRule="auto"/>
              <w:ind w:left="420"/>
              <w:rPr>
                <w:rFonts w:ascii="宋体" w:hAnsi="宋体" w:cs="宋体"/>
                <w:color w:val="auto"/>
                <w:szCs w:val="21"/>
                <w:highlight w:val="none"/>
              </w:rPr>
            </w:pPr>
          </w:p>
        </w:tc>
        <w:tc>
          <w:tcPr>
            <w:tcW w:w="1783" w:type="dxa"/>
            <w:noWrap/>
            <w:vAlign w:val="center"/>
          </w:tcPr>
          <w:p w14:paraId="2B1B0CFA">
            <w:pPr>
              <w:spacing w:line="360" w:lineRule="auto"/>
              <w:ind w:left="420"/>
              <w:rPr>
                <w:rFonts w:ascii="宋体" w:hAnsi="宋体" w:cs="宋体"/>
                <w:color w:val="auto"/>
                <w:szCs w:val="21"/>
                <w:highlight w:val="none"/>
              </w:rPr>
            </w:pPr>
          </w:p>
        </w:tc>
      </w:tr>
      <w:tr w14:paraId="2143E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6E4780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716" w:type="dxa"/>
            <w:noWrap/>
            <w:vAlign w:val="center"/>
          </w:tcPr>
          <w:p w14:paraId="1A571EE0">
            <w:pPr>
              <w:spacing w:line="360" w:lineRule="auto"/>
              <w:ind w:left="420"/>
              <w:rPr>
                <w:rFonts w:ascii="宋体" w:hAnsi="宋体" w:cs="宋体"/>
                <w:color w:val="auto"/>
                <w:szCs w:val="21"/>
                <w:highlight w:val="none"/>
              </w:rPr>
            </w:pPr>
          </w:p>
        </w:tc>
        <w:tc>
          <w:tcPr>
            <w:tcW w:w="1422" w:type="dxa"/>
            <w:noWrap/>
            <w:vAlign w:val="center"/>
          </w:tcPr>
          <w:p w14:paraId="4DE622B1">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7C99046F">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7B43322E">
            <w:pPr>
              <w:spacing w:line="360" w:lineRule="auto"/>
              <w:ind w:left="420"/>
              <w:rPr>
                <w:rFonts w:ascii="宋体" w:hAnsi="宋体" w:cs="宋体"/>
                <w:color w:val="auto"/>
                <w:szCs w:val="21"/>
                <w:highlight w:val="none"/>
              </w:rPr>
            </w:pPr>
          </w:p>
        </w:tc>
        <w:tc>
          <w:tcPr>
            <w:tcW w:w="1783" w:type="dxa"/>
            <w:noWrap/>
            <w:vAlign w:val="center"/>
          </w:tcPr>
          <w:p w14:paraId="7D491925">
            <w:pPr>
              <w:spacing w:line="360" w:lineRule="auto"/>
              <w:ind w:left="420"/>
              <w:rPr>
                <w:rFonts w:ascii="宋体" w:hAnsi="宋体" w:cs="宋体"/>
                <w:color w:val="auto"/>
                <w:szCs w:val="21"/>
                <w:highlight w:val="none"/>
              </w:rPr>
            </w:pPr>
          </w:p>
        </w:tc>
      </w:tr>
      <w:tr w14:paraId="499E7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2451CA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716" w:type="dxa"/>
            <w:noWrap/>
            <w:vAlign w:val="center"/>
          </w:tcPr>
          <w:p w14:paraId="718C662F">
            <w:pPr>
              <w:spacing w:line="360" w:lineRule="auto"/>
              <w:ind w:left="420"/>
              <w:rPr>
                <w:rFonts w:ascii="宋体" w:hAnsi="宋体" w:cs="宋体"/>
                <w:color w:val="auto"/>
                <w:szCs w:val="21"/>
                <w:highlight w:val="none"/>
              </w:rPr>
            </w:pPr>
          </w:p>
        </w:tc>
        <w:tc>
          <w:tcPr>
            <w:tcW w:w="1422" w:type="dxa"/>
            <w:noWrap/>
            <w:vAlign w:val="center"/>
          </w:tcPr>
          <w:p w14:paraId="77665390">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30CC7C96">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68C3304F">
            <w:pPr>
              <w:spacing w:line="360" w:lineRule="auto"/>
              <w:ind w:left="420"/>
              <w:rPr>
                <w:rFonts w:ascii="宋体" w:hAnsi="宋体" w:cs="宋体"/>
                <w:color w:val="auto"/>
                <w:szCs w:val="21"/>
                <w:highlight w:val="none"/>
              </w:rPr>
            </w:pPr>
          </w:p>
        </w:tc>
        <w:tc>
          <w:tcPr>
            <w:tcW w:w="1783" w:type="dxa"/>
            <w:noWrap/>
            <w:vAlign w:val="center"/>
          </w:tcPr>
          <w:p w14:paraId="0FBF9CA2">
            <w:pPr>
              <w:spacing w:line="360" w:lineRule="auto"/>
              <w:ind w:left="420"/>
              <w:rPr>
                <w:rFonts w:ascii="宋体" w:hAnsi="宋体" w:cs="宋体"/>
                <w:color w:val="auto"/>
                <w:szCs w:val="21"/>
                <w:highlight w:val="none"/>
              </w:rPr>
            </w:pPr>
          </w:p>
        </w:tc>
      </w:tr>
      <w:tr w14:paraId="1473E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039AC6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716" w:type="dxa"/>
            <w:noWrap/>
            <w:vAlign w:val="center"/>
          </w:tcPr>
          <w:p w14:paraId="2B77A957">
            <w:pPr>
              <w:spacing w:line="360" w:lineRule="auto"/>
              <w:ind w:left="420"/>
              <w:rPr>
                <w:rFonts w:ascii="宋体" w:hAnsi="宋体" w:cs="宋体"/>
                <w:color w:val="auto"/>
                <w:szCs w:val="21"/>
                <w:highlight w:val="none"/>
              </w:rPr>
            </w:pPr>
          </w:p>
        </w:tc>
        <w:tc>
          <w:tcPr>
            <w:tcW w:w="1422" w:type="dxa"/>
            <w:noWrap/>
            <w:vAlign w:val="center"/>
          </w:tcPr>
          <w:p w14:paraId="371ECA78">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3196D29E">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01B4F6DB">
            <w:pPr>
              <w:spacing w:line="360" w:lineRule="auto"/>
              <w:ind w:left="420"/>
              <w:rPr>
                <w:rFonts w:ascii="宋体" w:hAnsi="宋体" w:cs="宋体"/>
                <w:color w:val="auto"/>
                <w:szCs w:val="21"/>
                <w:highlight w:val="none"/>
              </w:rPr>
            </w:pPr>
          </w:p>
        </w:tc>
        <w:tc>
          <w:tcPr>
            <w:tcW w:w="1783" w:type="dxa"/>
            <w:noWrap/>
            <w:vAlign w:val="center"/>
          </w:tcPr>
          <w:p w14:paraId="03C185A5">
            <w:pPr>
              <w:spacing w:line="360" w:lineRule="auto"/>
              <w:ind w:left="420"/>
              <w:rPr>
                <w:rFonts w:ascii="宋体" w:hAnsi="宋体" w:cs="宋体"/>
                <w:color w:val="auto"/>
                <w:szCs w:val="21"/>
                <w:highlight w:val="none"/>
              </w:rPr>
            </w:pPr>
          </w:p>
        </w:tc>
      </w:tr>
      <w:tr w14:paraId="08FE3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740B46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716" w:type="dxa"/>
            <w:noWrap/>
            <w:vAlign w:val="center"/>
          </w:tcPr>
          <w:p w14:paraId="093EBF66">
            <w:pPr>
              <w:spacing w:line="360" w:lineRule="auto"/>
              <w:jc w:val="center"/>
              <w:rPr>
                <w:rFonts w:ascii="宋体" w:hAnsi="宋体" w:cs="宋体"/>
                <w:color w:val="auto"/>
                <w:szCs w:val="21"/>
                <w:highlight w:val="none"/>
              </w:rPr>
            </w:pPr>
          </w:p>
        </w:tc>
        <w:tc>
          <w:tcPr>
            <w:tcW w:w="1422" w:type="dxa"/>
            <w:noWrap/>
            <w:vAlign w:val="center"/>
          </w:tcPr>
          <w:p w14:paraId="3EADE730">
            <w:pPr>
              <w:spacing w:line="360" w:lineRule="auto"/>
              <w:jc w:val="center"/>
              <w:rPr>
                <w:rFonts w:ascii="宋体" w:hAnsi="宋体" w:cs="宋体"/>
                <w:color w:val="auto"/>
                <w:szCs w:val="21"/>
                <w:highlight w:val="none"/>
              </w:rPr>
            </w:pPr>
          </w:p>
        </w:tc>
        <w:tc>
          <w:tcPr>
            <w:tcW w:w="1518" w:type="dxa"/>
            <w:tcBorders>
              <w:right w:val="single" w:color="auto" w:sz="4" w:space="0"/>
            </w:tcBorders>
            <w:noWrap/>
            <w:vAlign w:val="center"/>
          </w:tcPr>
          <w:p w14:paraId="5862E46D">
            <w:pPr>
              <w:spacing w:line="360" w:lineRule="auto"/>
              <w:jc w:val="center"/>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4E7E7A79">
            <w:pPr>
              <w:spacing w:line="360" w:lineRule="auto"/>
              <w:jc w:val="center"/>
              <w:rPr>
                <w:rFonts w:ascii="宋体" w:hAnsi="宋体" w:cs="宋体"/>
                <w:color w:val="auto"/>
                <w:szCs w:val="21"/>
                <w:highlight w:val="none"/>
              </w:rPr>
            </w:pPr>
          </w:p>
        </w:tc>
        <w:tc>
          <w:tcPr>
            <w:tcW w:w="1783" w:type="dxa"/>
            <w:noWrap/>
            <w:vAlign w:val="center"/>
          </w:tcPr>
          <w:p w14:paraId="0EF38B5D">
            <w:pPr>
              <w:spacing w:line="360" w:lineRule="auto"/>
              <w:jc w:val="center"/>
              <w:rPr>
                <w:rFonts w:ascii="宋体" w:hAnsi="宋体" w:cs="宋体"/>
                <w:color w:val="auto"/>
                <w:szCs w:val="21"/>
                <w:highlight w:val="none"/>
              </w:rPr>
            </w:pPr>
          </w:p>
        </w:tc>
      </w:tr>
      <w:tr w14:paraId="712CF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5FBF19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716" w:type="dxa"/>
            <w:noWrap/>
            <w:vAlign w:val="center"/>
          </w:tcPr>
          <w:p w14:paraId="1B84CEA9">
            <w:pPr>
              <w:spacing w:line="360" w:lineRule="auto"/>
              <w:jc w:val="center"/>
              <w:rPr>
                <w:rFonts w:ascii="宋体" w:hAnsi="宋体" w:cs="宋体"/>
                <w:color w:val="auto"/>
                <w:szCs w:val="21"/>
                <w:highlight w:val="none"/>
              </w:rPr>
            </w:pPr>
          </w:p>
        </w:tc>
        <w:tc>
          <w:tcPr>
            <w:tcW w:w="1422" w:type="dxa"/>
            <w:noWrap/>
            <w:vAlign w:val="center"/>
          </w:tcPr>
          <w:p w14:paraId="10D21544">
            <w:pPr>
              <w:spacing w:line="360" w:lineRule="auto"/>
              <w:jc w:val="center"/>
              <w:rPr>
                <w:rFonts w:ascii="宋体" w:hAnsi="宋体" w:cs="宋体"/>
                <w:color w:val="auto"/>
                <w:szCs w:val="21"/>
                <w:highlight w:val="none"/>
              </w:rPr>
            </w:pPr>
          </w:p>
        </w:tc>
        <w:tc>
          <w:tcPr>
            <w:tcW w:w="1518" w:type="dxa"/>
            <w:tcBorders>
              <w:right w:val="single" w:color="auto" w:sz="4" w:space="0"/>
            </w:tcBorders>
            <w:noWrap/>
            <w:vAlign w:val="center"/>
          </w:tcPr>
          <w:p w14:paraId="3CADEEE2">
            <w:pPr>
              <w:spacing w:line="360" w:lineRule="auto"/>
              <w:jc w:val="center"/>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14629EF6">
            <w:pPr>
              <w:spacing w:line="360" w:lineRule="auto"/>
              <w:jc w:val="center"/>
              <w:rPr>
                <w:rFonts w:ascii="宋体" w:hAnsi="宋体" w:cs="宋体"/>
                <w:color w:val="auto"/>
                <w:szCs w:val="21"/>
                <w:highlight w:val="none"/>
              </w:rPr>
            </w:pPr>
          </w:p>
        </w:tc>
        <w:tc>
          <w:tcPr>
            <w:tcW w:w="1783" w:type="dxa"/>
            <w:noWrap/>
            <w:vAlign w:val="center"/>
          </w:tcPr>
          <w:p w14:paraId="2623C435">
            <w:pPr>
              <w:spacing w:line="360" w:lineRule="auto"/>
              <w:jc w:val="center"/>
              <w:rPr>
                <w:rFonts w:ascii="宋体" w:hAnsi="宋体" w:cs="宋体"/>
                <w:color w:val="auto"/>
                <w:szCs w:val="21"/>
                <w:highlight w:val="none"/>
              </w:rPr>
            </w:pPr>
          </w:p>
        </w:tc>
      </w:tr>
    </w:tbl>
    <w:p w14:paraId="6849C9ED">
      <w:pPr>
        <w:pStyle w:val="252"/>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谈判响应单位（签章）：</w:t>
      </w:r>
    </w:p>
    <w:p w14:paraId="30707011">
      <w:pPr>
        <w:pStyle w:val="252"/>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p>
    <w:p w14:paraId="5F820B10">
      <w:pPr>
        <w:rPr>
          <w:rFonts w:ascii="宋体" w:hAnsi="宋体" w:cs="宋体"/>
          <w:color w:val="auto"/>
          <w:highlight w:val="none"/>
        </w:rPr>
      </w:pPr>
    </w:p>
    <w:p w14:paraId="6CD751DF">
      <w:pPr>
        <w:rPr>
          <w:rFonts w:ascii="宋体" w:hAnsi="宋体" w:cs="宋体"/>
          <w:color w:val="auto"/>
          <w:highlight w:val="none"/>
        </w:rPr>
      </w:pPr>
    </w:p>
    <w:p w14:paraId="2D8A800A">
      <w:pPr>
        <w:rPr>
          <w:rFonts w:ascii="宋体" w:hAnsi="宋体" w:cs="宋体"/>
          <w:color w:val="auto"/>
          <w:highlight w:val="none"/>
        </w:rPr>
      </w:pPr>
    </w:p>
    <w:p w14:paraId="3ADE370B">
      <w:pPr>
        <w:pageBreakBefore/>
        <w:spacing w:line="360" w:lineRule="auto"/>
        <w:outlineLvl w:val="1"/>
        <w:rPr>
          <w:rFonts w:ascii="宋体" w:hAnsi="宋体" w:cs="宋体"/>
          <w:color w:val="auto"/>
          <w:szCs w:val="21"/>
          <w:highlight w:val="none"/>
        </w:rPr>
      </w:pPr>
      <w:r>
        <w:rPr>
          <w:rFonts w:hint="eastAsia" w:ascii="宋体" w:hAnsi="宋体" w:cs="宋体"/>
          <w:b/>
          <w:color w:val="auto"/>
          <w:szCs w:val="21"/>
          <w:highlight w:val="none"/>
        </w:rPr>
        <w:t>附件13：中小企业声明函（参考格式）</w:t>
      </w:r>
    </w:p>
    <w:p w14:paraId="36A5C0F0">
      <w:pPr>
        <w:spacing w:line="360" w:lineRule="auto"/>
        <w:jc w:val="center"/>
        <w:rPr>
          <w:rFonts w:ascii="宋体" w:hAnsi="宋体" w:cs="宋体"/>
          <w:color w:val="auto"/>
          <w:highlight w:val="none"/>
        </w:rPr>
      </w:pPr>
    </w:p>
    <w:p w14:paraId="57365121">
      <w:pPr>
        <w:spacing w:line="360" w:lineRule="auto"/>
        <w:jc w:val="center"/>
        <w:rPr>
          <w:rFonts w:ascii="宋体" w:hAnsi="宋体" w:cs="宋体"/>
          <w:color w:val="auto"/>
          <w:highlight w:val="none"/>
        </w:rPr>
      </w:pPr>
      <w:r>
        <w:rPr>
          <w:rFonts w:hint="eastAsia" w:ascii="宋体" w:hAnsi="宋体" w:cs="宋体"/>
          <w:color w:val="auto"/>
          <w:highlight w:val="none"/>
        </w:rPr>
        <w:t xml:space="preserve">中小企业声明函（货物） </w:t>
      </w:r>
    </w:p>
    <w:p w14:paraId="78A27C25">
      <w:pPr>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本公司（</w:t>
      </w:r>
      <w:r>
        <w:rPr>
          <w:rFonts w:hint="eastAsia" w:ascii="宋体" w:hAnsi="宋体" w:cs="宋体"/>
          <w:color w:val="auto"/>
          <w:szCs w:val="21"/>
          <w:highlight w:val="none"/>
        </w:rPr>
        <w:t>联合体</w:t>
      </w:r>
      <w:r>
        <w:rPr>
          <w:rFonts w:hint="eastAsia" w:ascii="宋体" w:hAnsi="宋体" w:cs="宋体"/>
          <w:color w:val="auto"/>
          <w:szCs w:val="21"/>
          <w:highlight w:val="none"/>
          <w:lang w:val="zh-CN"/>
        </w:rPr>
        <w:t>）郑重声明，根据《政府采购促进中小企业发展管理办法》（财库﹝2020﹞46 号）的规定，本公司（</w:t>
      </w:r>
      <w:r>
        <w:rPr>
          <w:rFonts w:hint="eastAsia" w:ascii="宋体" w:hAnsi="宋体" w:cs="宋体"/>
          <w:color w:val="auto"/>
          <w:szCs w:val="21"/>
          <w:highlight w:val="none"/>
        </w:rPr>
        <w:t>联合体</w:t>
      </w:r>
      <w:r>
        <w:rPr>
          <w:rFonts w:hint="eastAsia" w:ascii="宋体" w:hAnsi="宋体" w:cs="宋体"/>
          <w:color w:val="auto"/>
          <w:szCs w:val="21"/>
          <w:highlight w:val="none"/>
          <w:lang w:val="zh-CN"/>
        </w:rPr>
        <w:t>）参加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zh-CN"/>
        </w:rPr>
        <w:t>采购活动，提供的货物全部由符合政策要求的中小企业制造。相关企业（含联合体中的中小企业、签订分包意向协议的中小企业）的具体情况如下：</w:t>
      </w:r>
    </w:p>
    <w:p w14:paraId="73ADCDEA">
      <w:pPr>
        <w:numPr>
          <w:ilvl w:val="0"/>
          <w:numId w:val="3"/>
        </w:numPr>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u w:val="single"/>
          <w:lang w:val="zh-CN"/>
        </w:rPr>
        <w:t xml:space="preserve">（标的名称） </w:t>
      </w:r>
      <w:r>
        <w:rPr>
          <w:rFonts w:hint="eastAsia" w:ascii="宋体" w:hAnsi="宋体" w:cs="宋体"/>
          <w:color w:val="auto"/>
          <w:szCs w:val="21"/>
          <w:highlight w:val="none"/>
          <w:lang w:val="zh-CN"/>
        </w:rPr>
        <w:t>，属于</w:t>
      </w:r>
      <w:r>
        <w:rPr>
          <w:rFonts w:hint="eastAsia" w:ascii="宋体" w:hAnsi="宋体" w:cs="宋体"/>
          <w:color w:val="auto"/>
          <w:szCs w:val="21"/>
          <w:highlight w:val="none"/>
          <w:u w:val="single"/>
          <w:lang w:val="zh-CN"/>
        </w:rPr>
        <w:t>工业</w:t>
      </w:r>
      <w:r>
        <w:rPr>
          <w:rFonts w:hint="eastAsia" w:ascii="宋体" w:hAnsi="宋体" w:cs="宋体"/>
          <w:color w:val="auto"/>
          <w:szCs w:val="21"/>
          <w:highlight w:val="none"/>
          <w:lang w:val="zh-CN"/>
        </w:rPr>
        <w:t>；制造商为</w:t>
      </w:r>
      <w:r>
        <w:rPr>
          <w:rFonts w:hint="eastAsia" w:ascii="宋体" w:hAnsi="宋体" w:cs="宋体"/>
          <w:color w:val="auto"/>
          <w:szCs w:val="21"/>
          <w:highlight w:val="none"/>
          <w:u w:val="single"/>
          <w:lang w:val="zh-CN"/>
        </w:rPr>
        <w:t>（企业名称）</w:t>
      </w:r>
      <w:r>
        <w:rPr>
          <w:rFonts w:hint="eastAsia" w:ascii="宋体" w:hAnsi="宋体" w:cs="宋体"/>
          <w:color w:val="auto"/>
          <w:szCs w:val="21"/>
          <w:highlight w:val="none"/>
          <w:lang w:val="zh-CN"/>
        </w:rPr>
        <w:t>，从业人员</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人，营业收入为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万元，资产总额为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万元，属于</w:t>
      </w:r>
      <w:r>
        <w:rPr>
          <w:rFonts w:hint="eastAsia" w:ascii="宋体" w:hAnsi="宋体" w:cs="宋体"/>
          <w:color w:val="auto"/>
          <w:szCs w:val="21"/>
          <w:highlight w:val="none"/>
          <w:u w:val="single"/>
          <w:lang w:val="zh-CN"/>
        </w:rPr>
        <w:t>（中型企业、小型企业、微型企业）</w:t>
      </w:r>
      <w:r>
        <w:rPr>
          <w:rFonts w:hint="eastAsia" w:ascii="宋体" w:hAnsi="宋体" w:cs="宋体"/>
          <w:color w:val="auto"/>
          <w:szCs w:val="21"/>
          <w:highlight w:val="none"/>
          <w:lang w:val="zh-CN"/>
        </w:rPr>
        <w:t>；</w:t>
      </w:r>
      <w:r>
        <w:rPr>
          <w:rFonts w:hint="eastAsia" w:ascii="宋体" w:hAnsi="宋体" w:cs="宋体"/>
          <w:b/>
          <w:color w:val="auto"/>
          <w:szCs w:val="21"/>
          <w:highlight w:val="none"/>
          <w:lang w:val="zh-CN"/>
        </w:rPr>
        <w:t>注：（企业类型选填一项）</w:t>
      </w:r>
    </w:p>
    <w:p w14:paraId="1C30783F">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u w:val="single"/>
          <w:lang w:val="zh-CN"/>
        </w:rPr>
        <w:t xml:space="preserve">（标的名称） </w:t>
      </w:r>
      <w:r>
        <w:rPr>
          <w:rFonts w:hint="eastAsia" w:ascii="宋体" w:hAnsi="宋体" w:cs="宋体"/>
          <w:color w:val="auto"/>
          <w:szCs w:val="21"/>
          <w:highlight w:val="none"/>
          <w:lang w:val="zh-CN"/>
        </w:rPr>
        <w:t>，属于</w:t>
      </w:r>
      <w:r>
        <w:rPr>
          <w:rFonts w:hint="eastAsia" w:ascii="宋体" w:hAnsi="宋体" w:cs="宋体"/>
          <w:color w:val="auto"/>
          <w:szCs w:val="21"/>
          <w:highlight w:val="none"/>
          <w:u w:val="single"/>
          <w:lang w:val="zh-CN"/>
        </w:rPr>
        <w:t>工业</w:t>
      </w:r>
      <w:r>
        <w:rPr>
          <w:rFonts w:hint="eastAsia" w:ascii="宋体" w:hAnsi="宋体" w:cs="宋体"/>
          <w:color w:val="auto"/>
          <w:szCs w:val="21"/>
          <w:highlight w:val="none"/>
          <w:lang w:val="zh-CN"/>
        </w:rPr>
        <w:t>；制造商为</w:t>
      </w:r>
      <w:r>
        <w:rPr>
          <w:rFonts w:hint="eastAsia" w:ascii="宋体" w:hAnsi="宋体" w:cs="宋体"/>
          <w:color w:val="auto"/>
          <w:szCs w:val="21"/>
          <w:highlight w:val="none"/>
          <w:u w:val="single"/>
          <w:lang w:val="zh-CN"/>
        </w:rPr>
        <w:t>（企业名称）</w:t>
      </w:r>
      <w:r>
        <w:rPr>
          <w:rFonts w:hint="eastAsia" w:ascii="宋体" w:hAnsi="宋体" w:cs="宋体"/>
          <w:color w:val="auto"/>
          <w:szCs w:val="21"/>
          <w:highlight w:val="none"/>
          <w:lang w:val="zh-CN"/>
        </w:rPr>
        <w:t>，从业人员</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人，营业收入为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万元，资产总额为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万元，属于</w:t>
      </w:r>
      <w:r>
        <w:rPr>
          <w:rFonts w:hint="eastAsia" w:ascii="宋体" w:hAnsi="宋体" w:cs="宋体"/>
          <w:color w:val="auto"/>
          <w:szCs w:val="21"/>
          <w:highlight w:val="none"/>
          <w:u w:val="single"/>
          <w:lang w:val="zh-CN"/>
        </w:rPr>
        <w:t>（中型企业、小型企业、微型企业）</w:t>
      </w:r>
      <w:r>
        <w:rPr>
          <w:rFonts w:hint="eastAsia" w:ascii="宋体" w:hAnsi="宋体" w:cs="宋体"/>
          <w:color w:val="auto"/>
          <w:szCs w:val="21"/>
          <w:highlight w:val="none"/>
          <w:lang w:val="zh-CN"/>
        </w:rPr>
        <w:t>；</w:t>
      </w:r>
      <w:r>
        <w:rPr>
          <w:rFonts w:hint="eastAsia" w:ascii="宋体" w:hAnsi="宋体" w:cs="宋体"/>
          <w:b/>
          <w:color w:val="auto"/>
          <w:szCs w:val="21"/>
          <w:highlight w:val="none"/>
          <w:lang w:val="zh-CN"/>
        </w:rPr>
        <w:t>注：（企业类型选填一项）</w:t>
      </w:r>
      <w:r>
        <w:rPr>
          <w:rFonts w:hint="eastAsia" w:ascii="宋体" w:hAnsi="宋体" w:cs="宋体"/>
          <w:color w:val="auto"/>
          <w:szCs w:val="21"/>
          <w:highlight w:val="none"/>
        </w:rPr>
        <w:t>；</w:t>
      </w:r>
    </w:p>
    <w:p w14:paraId="7660463D">
      <w:pPr>
        <w:spacing w:line="360" w:lineRule="auto"/>
        <w:ind w:firstLine="420"/>
        <w:jc w:val="left"/>
        <w:rPr>
          <w:rFonts w:ascii="宋体" w:hAnsi="宋体" w:cs="宋体"/>
          <w:color w:val="auto"/>
          <w:highlight w:val="none"/>
        </w:rPr>
      </w:pPr>
      <w:r>
        <w:rPr>
          <w:rFonts w:hint="eastAsia" w:ascii="宋体" w:hAnsi="宋体" w:cs="宋体"/>
          <w:color w:val="auto"/>
          <w:highlight w:val="none"/>
        </w:rPr>
        <w:t xml:space="preserve"> …… </w:t>
      </w:r>
    </w:p>
    <w:p w14:paraId="29115ED2">
      <w:pPr>
        <w:spacing w:line="360" w:lineRule="auto"/>
        <w:ind w:firstLine="420"/>
        <w:jc w:val="left"/>
        <w:rPr>
          <w:rFonts w:ascii="宋体" w:hAnsi="宋体" w:cs="宋体"/>
          <w:color w:val="auto"/>
          <w:highlight w:val="none"/>
        </w:rPr>
      </w:pPr>
      <w:r>
        <w:rPr>
          <w:rFonts w:hint="eastAsia" w:ascii="宋体" w:hAnsi="宋体" w:cs="宋体"/>
          <w:color w:val="auto"/>
          <w:highlight w:val="none"/>
        </w:rPr>
        <w:t xml:space="preserve">以上企业，不属于大企业的分支机构，不存在控股股东为大企业的情形，也不存在与大企业的负责人为同一人的情形。 本企业对上述声明内容的真实性负责。如有虚假，将依法承担相应责任。 </w:t>
      </w:r>
    </w:p>
    <w:p w14:paraId="4F59957B">
      <w:pPr>
        <w:spacing w:line="360" w:lineRule="auto"/>
        <w:ind w:left="4200"/>
        <w:rPr>
          <w:rFonts w:ascii="宋体" w:hAnsi="宋体" w:cs="宋体"/>
          <w:color w:val="auto"/>
          <w:highlight w:val="none"/>
        </w:rPr>
      </w:pPr>
    </w:p>
    <w:p w14:paraId="0AAFD08F">
      <w:pPr>
        <w:spacing w:line="360" w:lineRule="auto"/>
        <w:ind w:left="4200"/>
        <w:rPr>
          <w:rFonts w:ascii="宋体" w:hAnsi="宋体" w:cs="宋体"/>
          <w:color w:val="auto"/>
          <w:highlight w:val="none"/>
        </w:rPr>
      </w:pPr>
      <w:r>
        <w:rPr>
          <w:rFonts w:hint="eastAsia" w:ascii="宋体" w:hAnsi="宋体" w:cs="宋体"/>
          <w:color w:val="auto"/>
          <w:highlight w:val="none"/>
        </w:rPr>
        <w:t>企业名称（签章）：</w:t>
      </w:r>
    </w:p>
    <w:p w14:paraId="70D1045D">
      <w:pPr>
        <w:spacing w:line="360" w:lineRule="auto"/>
        <w:ind w:left="4200"/>
        <w:rPr>
          <w:rFonts w:ascii="宋体" w:hAnsi="宋体" w:cs="宋体"/>
          <w:color w:val="auto"/>
          <w:sz w:val="32"/>
          <w:szCs w:val="32"/>
          <w:highlight w:val="none"/>
          <w:lang w:val="zh-CN"/>
        </w:rPr>
      </w:pPr>
      <w:r>
        <w:rPr>
          <w:rFonts w:hint="eastAsia" w:ascii="宋体" w:hAnsi="宋体" w:cs="宋体"/>
          <w:color w:val="auto"/>
          <w:highlight w:val="none"/>
        </w:rPr>
        <w:t>日 期：</w:t>
      </w:r>
    </w:p>
    <w:p w14:paraId="1FA382FF">
      <w:pPr>
        <w:spacing w:line="360" w:lineRule="auto"/>
        <w:jc w:val="left"/>
        <w:rPr>
          <w:rFonts w:ascii="宋体" w:hAnsi="宋体" w:cs="宋体"/>
          <w:color w:val="auto"/>
          <w:highlight w:val="none"/>
        </w:rPr>
      </w:pPr>
    </w:p>
    <w:p w14:paraId="757F9029">
      <w:pPr>
        <w:spacing w:line="360" w:lineRule="auto"/>
        <w:jc w:val="left"/>
        <w:rPr>
          <w:rFonts w:ascii="宋体" w:hAnsi="宋体" w:cs="宋体"/>
          <w:color w:val="auto"/>
          <w:highlight w:val="none"/>
        </w:rPr>
      </w:pPr>
    </w:p>
    <w:p w14:paraId="0ACFB45B">
      <w:pPr>
        <w:pStyle w:val="33"/>
        <w:ind w:firstLine="0"/>
        <w:rPr>
          <w:rFonts w:ascii="宋体" w:hAnsi="宋体" w:cs="宋体"/>
          <w:b w:val="0"/>
          <w:bCs w:val="0"/>
          <w:color w:val="auto"/>
          <w:sz w:val="21"/>
          <w:szCs w:val="24"/>
          <w:highlight w:val="none"/>
        </w:rPr>
      </w:pPr>
      <w:r>
        <w:rPr>
          <w:rFonts w:hint="eastAsia" w:ascii="宋体" w:hAnsi="宋体" w:cs="宋体"/>
          <w:b w:val="0"/>
          <w:bCs w:val="0"/>
          <w:color w:val="auto"/>
          <w:sz w:val="21"/>
          <w:szCs w:val="24"/>
          <w:highlight w:val="none"/>
        </w:rPr>
        <w:t>备注：1.从业人员、营业收入、资产总额填报上一年度数据，无上一年度数据的新成立企业可不填报。</w:t>
      </w:r>
    </w:p>
    <w:p w14:paraId="486083A6">
      <w:pPr>
        <w:pStyle w:val="33"/>
        <w:ind w:firstLine="630"/>
        <w:rPr>
          <w:rFonts w:ascii="宋体" w:hAnsi="宋体" w:cs="宋体"/>
          <w:b w:val="0"/>
          <w:bCs w:val="0"/>
          <w:color w:val="auto"/>
          <w:sz w:val="21"/>
          <w:szCs w:val="24"/>
          <w:highlight w:val="none"/>
        </w:rPr>
      </w:pPr>
      <w:r>
        <w:rPr>
          <w:rFonts w:hint="eastAsia" w:ascii="宋体" w:hAnsi="宋体" w:cs="宋体"/>
          <w:b w:val="0"/>
          <w:bCs w:val="0"/>
          <w:color w:val="auto"/>
          <w:sz w:val="21"/>
          <w:szCs w:val="24"/>
          <w:highlight w:val="none"/>
        </w:rPr>
        <w:t>2.</w:t>
      </w:r>
      <w:r>
        <w:rPr>
          <w:rFonts w:hint="eastAsia" w:ascii="宋体" w:hAnsi="宋体" w:cs="宋体"/>
          <w:b w:val="0"/>
          <w:bCs w:val="0"/>
          <w:color w:val="auto"/>
          <w:kern w:val="2"/>
          <w:sz w:val="21"/>
          <w:szCs w:val="24"/>
          <w:highlight w:val="none"/>
        </w:rPr>
        <w:t>在货物采购项目中，货物全部由中小企业制造，即货物由中小企业生产且使用该中小企业商号或者注册商标。</w:t>
      </w:r>
      <w:r>
        <w:rPr>
          <w:rFonts w:hint="eastAsia" w:ascii="宋体" w:hAnsi="宋体" w:cs="宋体"/>
          <w:color w:val="auto"/>
          <w:kern w:val="2"/>
          <w:sz w:val="21"/>
          <w:szCs w:val="24"/>
          <w:highlight w:val="none"/>
        </w:rPr>
        <w:t>供应商提供的货物既有中小企业制造货物，也有大型企业制造货物的，不享受相应扶持政策</w:t>
      </w:r>
      <w:r>
        <w:rPr>
          <w:rFonts w:hint="eastAsia" w:ascii="宋体" w:hAnsi="宋体" w:cs="宋体"/>
          <w:color w:val="auto"/>
          <w:sz w:val="21"/>
          <w:szCs w:val="24"/>
          <w:highlight w:val="none"/>
        </w:rPr>
        <w:t>。</w:t>
      </w:r>
    </w:p>
    <w:p w14:paraId="4451E8B1">
      <w:pPr>
        <w:pStyle w:val="33"/>
        <w:ind w:firstLine="630"/>
        <w:rPr>
          <w:rFonts w:ascii="宋体" w:hAnsi="宋体" w:cs="宋体"/>
          <w:color w:val="auto"/>
          <w:sz w:val="21"/>
          <w:szCs w:val="24"/>
          <w:highlight w:val="none"/>
        </w:rPr>
      </w:pPr>
      <w:r>
        <w:rPr>
          <w:rFonts w:hint="eastAsia" w:ascii="宋体" w:hAnsi="宋体" w:cs="宋体"/>
          <w:b w:val="0"/>
          <w:bCs w:val="0"/>
          <w:color w:val="auto"/>
          <w:sz w:val="21"/>
          <w:szCs w:val="24"/>
          <w:highlight w:val="none"/>
        </w:rPr>
        <w:t>3.《中小企业声明函》中所填的行业应与本采购标的对应的中小企业划分标准所属行业一致，不一致的不可享受相应政策优惠。</w:t>
      </w:r>
      <w:r>
        <w:rPr>
          <w:rFonts w:hint="eastAsia" w:ascii="宋体" w:hAnsi="宋体" w:cs="宋体"/>
          <w:color w:val="auto"/>
          <w:sz w:val="21"/>
          <w:szCs w:val="24"/>
          <w:highlight w:val="none"/>
        </w:rPr>
        <w:t>本采购标的对应的中小企业划分标准所属行业，以采购文件中具体规定为准。</w:t>
      </w:r>
    </w:p>
    <w:p w14:paraId="7A2D66E5">
      <w:pPr>
        <w:pStyle w:val="33"/>
        <w:ind w:firstLine="632"/>
        <w:rPr>
          <w:rFonts w:ascii="宋体" w:hAnsi="宋体" w:cs="宋体"/>
          <w:color w:val="auto"/>
          <w:sz w:val="21"/>
          <w:szCs w:val="24"/>
          <w:highlight w:val="none"/>
        </w:rPr>
      </w:pPr>
      <w:r>
        <w:rPr>
          <w:rFonts w:hint="eastAsia" w:ascii="宋体" w:hAnsi="宋体" w:cs="宋体"/>
          <w:color w:val="auto"/>
          <w:sz w:val="21"/>
          <w:szCs w:val="24"/>
          <w:highlight w:val="none"/>
        </w:rPr>
        <w:t>4.如未对（中型企业、小型企业、微型企业）进行勾选，视同非中小微企业，不可享受相应扶持政策。</w:t>
      </w:r>
    </w:p>
    <w:p w14:paraId="3B53D691">
      <w:pPr>
        <w:pStyle w:val="225"/>
        <w:spacing w:line="360" w:lineRule="auto"/>
        <w:ind w:left="840" w:hanging="210"/>
        <w:rPr>
          <w:rFonts w:hAnsi="宋体" w:eastAsia="宋体" w:cs="宋体"/>
          <w:color w:val="auto"/>
          <w:sz w:val="21"/>
          <w:szCs w:val="24"/>
          <w:highlight w:val="none"/>
          <w:lang w:val="zh-CN"/>
        </w:rPr>
        <w:sectPr>
          <w:pgSz w:w="11906" w:h="16838"/>
          <w:pgMar w:top="1440" w:right="1417" w:bottom="1440" w:left="1417" w:header="964" w:footer="964" w:gutter="0"/>
          <w:cols w:space="720" w:num="1"/>
          <w:docGrid w:linePitch="360" w:charSpace="0"/>
        </w:sectPr>
      </w:pPr>
      <w:r>
        <w:rPr>
          <w:rFonts w:hint="eastAsia" w:hAnsi="宋体" w:eastAsia="宋体" w:cs="宋体"/>
          <w:color w:val="auto"/>
          <w:sz w:val="21"/>
          <w:szCs w:val="24"/>
          <w:highlight w:val="none"/>
        </w:rPr>
        <w:t>5.成交单位为中小企业的，《中小企业声明函》将随成交结果同时公告</w:t>
      </w:r>
      <w:r>
        <w:rPr>
          <w:rFonts w:hint="eastAsia" w:hAnsi="宋体" w:eastAsia="宋体" w:cs="宋体"/>
          <w:color w:val="auto"/>
          <w:sz w:val="21"/>
          <w:szCs w:val="24"/>
          <w:highlight w:val="none"/>
          <w:lang w:val="zh-CN"/>
        </w:rPr>
        <w:t>。</w:t>
      </w:r>
    </w:p>
    <w:p w14:paraId="616B6B7A">
      <w:pPr>
        <w:spacing w:line="360" w:lineRule="auto"/>
        <w:rPr>
          <w:rFonts w:ascii="宋体" w:hAnsi="宋体" w:cs="宋体"/>
          <w:b/>
          <w:color w:val="auto"/>
          <w:highlight w:val="none"/>
        </w:rPr>
      </w:pPr>
      <w:r>
        <w:rPr>
          <w:rFonts w:hint="eastAsia" w:ascii="宋体" w:hAnsi="宋体" w:cs="宋体"/>
          <w:b/>
          <w:color w:val="auto"/>
          <w:highlight w:val="none"/>
        </w:rPr>
        <w:t>附：中小企业划型标准规定（仅供参看，具体按照国家相关最新标准规定）</w:t>
      </w:r>
    </w:p>
    <w:p w14:paraId="6C3D8216">
      <w:pPr>
        <w:spacing w:line="360" w:lineRule="auto"/>
        <w:ind w:firstLine="422"/>
        <w:rPr>
          <w:rFonts w:ascii="宋体" w:hAnsi="宋体" w:cs="宋体"/>
          <w:color w:val="auto"/>
          <w:highlight w:val="none"/>
        </w:rPr>
      </w:pPr>
      <w:r>
        <w:rPr>
          <w:rFonts w:hint="eastAsia" w:ascii="宋体" w:hAnsi="宋体" w:cs="宋体"/>
          <w:b/>
          <w:color w:val="auto"/>
          <w:highlight w:val="none"/>
        </w:rPr>
        <w:t>（一）农、林、牧、渔业。</w:t>
      </w:r>
      <w:r>
        <w:rPr>
          <w:rFonts w:hint="eastAsia" w:ascii="宋体" w:hAnsi="宋体" w:cs="宋体"/>
          <w:color w:val="auto"/>
          <w:highlight w:val="none"/>
        </w:rPr>
        <w:t>营业收入20000万元以下的为中小微型企业。其中，营业收入500万元及以上的为中型企业，营业收入50万元及以上的为小型企业，营业收入50万元以下的为微型企业。</w:t>
      </w:r>
    </w:p>
    <w:p w14:paraId="4AFCA9C0">
      <w:pPr>
        <w:spacing w:line="360" w:lineRule="auto"/>
        <w:ind w:firstLine="422"/>
        <w:rPr>
          <w:rFonts w:ascii="宋体" w:hAnsi="宋体" w:cs="宋体"/>
          <w:color w:val="auto"/>
          <w:highlight w:val="none"/>
        </w:rPr>
      </w:pPr>
      <w:r>
        <w:rPr>
          <w:rFonts w:hint="eastAsia" w:ascii="宋体" w:hAnsi="宋体" w:cs="宋体"/>
          <w:b/>
          <w:color w:val="auto"/>
          <w:highlight w:val="none"/>
        </w:rPr>
        <w:t>（二）工业。</w:t>
      </w:r>
      <w:r>
        <w:rPr>
          <w:rFonts w:hint="eastAsia" w:ascii="宋体" w:hAnsi="宋体" w:cs="宋体"/>
          <w:color w:val="auto"/>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B05645">
      <w:pPr>
        <w:spacing w:line="360" w:lineRule="auto"/>
        <w:ind w:firstLine="422"/>
        <w:rPr>
          <w:rFonts w:ascii="宋体" w:hAnsi="宋体" w:cs="宋体"/>
          <w:color w:val="auto"/>
          <w:highlight w:val="none"/>
        </w:rPr>
      </w:pPr>
      <w:r>
        <w:rPr>
          <w:rFonts w:hint="eastAsia" w:ascii="宋体" w:hAnsi="宋体" w:cs="宋体"/>
          <w:b/>
          <w:color w:val="auto"/>
          <w:highlight w:val="none"/>
        </w:rPr>
        <w:t>（三）建筑业。</w:t>
      </w:r>
      <w:r>
        <w:rPr>
          <w:rFonts w:hint="eastAsia" w:ascii="宋体" w:hAnsi="宋体" w:cs="宋体"/>
          <w:color w:val="auto"/>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46D0A65">
      <w:pPr>
        <w:spacing w:line="360" w:lineRule="auto"/>
        <w:ind w:firstLine="422"/>
        <w:rPr>
          <w:rFonts w:ascii="宋体" w:hAnsi="宋体" w:cs="宋体"/>
          <w:color w:val="auto"/>
          <w:highlight w:val="none"/>
        </w:rPr>
      </w:pPr>
      <w:r>
        <w:rPr>
          <w:rFonts w:hint="eastAsia" w:ascii="宋体" w:hAnsi="宋体" w:cs="宋体"/>
          <w:b/>
          <w:color w:val="auto"/>
          <w:highlight w:val="none"/>
        </w:rPr>
        <w:t>（四）批发业。</w:t>
      </w:r>
      <w:r>
        <w:rPr>
          <w:rFonts w:hint="eastAsia" w:ascii="宋体" w:hAnsi="宋体" w:cs="宋体"/>
          <w:color w:val="auto"/>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5A5CC2">
      <w:pPr>
        <w:spacing w:line="360" w:lineRule="auto"/>
        <w:ind w:firstLine="422"/>
        <w:rPr>
          <w:rFonts w:ascii="宋体" w:hAnsi="宋体" w:cs="宋体"/>
          <w:color w:val="auto"/>
          <w:highlight w:val="none"/>
        </w:rPr>
      </w:pPr>
      <w:r>
        <w:rPr>
          <w:rFonts w:hint="eastAsia" w:ascii="宋体" w:hAnsi="宋体" w:cs="宋体"/>
          <w:b/>
          <w:color w:val="auto"/>
          <w:highlight w:val="none"/>
        </w:rPr>
        <w:t>（五）零售业。</w:t>
      </w:r>
      <w:r>
        <w:rPr>
          <w:rFonts w:hint="eastAsia" w:ascii="宋体" w:hAnsi="宋体" w:cs="宋体"/>
          <w:color w:val="auto"/>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F7A2214">
      <w:pPr>
        <w:spacing w:line="360" w:lineRule="auto"/>
        <w:ind w:firstLine="422"/>
        <w:rPr>
          <w:rFonts w:ascii="宋体" w:hAnsi="宋体" w:cs="宋体"/>
          <w:color w:val="auto"/>
          <w:highlight w:val="none"/>
        </w:rPr>
      </w:pPr>
      <w:r>
        <w:rPr>
          <w:rFonts w:hint="eastAsia" w:ascii="宋体" w:hAnsi="宋体" w:cs="宋体"/>
          <w:b/>
          <w:color w:val="auto"/>
          <w:highlight w:val="none"/>
        </w:rPr>
        <w:t>（六）交通运输业。</w:t>
      </w:r>
      <w:r>
        <w:rPr>
          <w:rFonts w:hint="eastAsia" w:ascii="宋体" w:hAnsi="宋体" w:cs="宋体"/>
          <w:color w:val="auto"/>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AFA5468">
      <w:pPr>
        <w:spacing w:line="360" w:lineRule="auto"/>
        <w:ind w:firstLine="422"/>
        <w:rPr>
          <w:rFonts w:ascii="宋体" w:hAnsi="宋体" w:cs="宋体"/>
          <w:color w:val="auto"/>
          <w:highlight w:val="none"/>
        </w:rPr>
      </w:pPr>
      <w:r>
        <w:rPr>
          <w:rFonts w:hint="eastAsia" w:ascii="宋体" w:hAnsi="宋体" w:cs="宋体"/>
          <w:b/>
          <w:color w:val="auto"/>
          <w:highlight w:val="none"/>
        </w:rPr>
        <w:t>（七）仓储业。</w:t>
      </w:r>
      <w:r>
        <w:rPr>
          <w:rFonts w:hint="eastAsia" w:ascii="宋体" w:hAnsi="宋体" w:cs="宋体"/>
          <w:color w:val="auto"/>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98CB993">
      <w:pPr>
        <w:spacing w:line="360" w:lineRule="auto"/>
        <w:ind w:firstLine="422"/>
        <w:rPr>
          <w:rFonts w:ascii="宋体" w:hAnsi="宋体" w:cs="宋体"/>
          <w:color w:val="auto"/>
          <w:highlight w:val="none"/>
        </w:rPr>
      </w:pPr>
      <w:r>
        <w:rPr>
          <w:rFonts w:hint="eastAsia" w:ascii="宋体" w:hAnsi="宋体" w:cs="宋体"/>
          <w:b/>
          <w:color w:val="auto"/>
          <w:highlight w:val="none"/>
        </w:rPr>
        <w:t>（八）邮政业。</w:t>
      </w:r>
      <w:r>
        <w:rPr>
          <w:rFonts w:hint="eastAsia" w:ascii="宋体" w:hAnsi="宋体" w:cs="宋体"/>
          <w:color w:val="auto"/>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D1E5F9">
      <w:pPr>
        <w:spacing w:line="360" w:lineRule="auto"/>
        <w:ind w:firstLine="422"/>
        <w:rPr>
          <w:rFonts w:ascii="宋体" w:hAnsi="宋体" w:cs="宋体"/>
          <w:color w:val="auto"/>
          <w:highlight w:val="none"/>
        </w:rPr>
      </w:pPr>
      <w:r>
        <w:rPr>
          <w:rFonts w:hint="eastAsia" w:ascii="宋体" w:hAnsi="宋体" w:cs="宋体"/>
          <w:b/>
          <w:color w:val="auto"/>
          <w:highlight w:val="none"/>
        </w:rPr>
        <w:t>（九）住宿业。</w:t>
      </w:r>
      <w:r>
        <w:rPr>
          <w:rFonts w:hint="eastAsia" w:ascii="宋体" w:hAnsi="宋体" w:cs="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3D49A7">
      <w:pPr>
        <w:spacing w:line="360" w:lineRule="auto"/>
        <w:ind w:firstLine="422"/>
        <w:rPr>
          <w:rFonts w:ascii="宋体" w:hAnsi="宋体" w:cs="宋体"/>
          <w:color w:val="auto"/>
          <w:highlight w:val="none"/>
        </w:rPr>
      </w:pPr>
      <w:r>
        <w:rPr>
          <w:rFonts w:hint="eastAsia" w:ascii="宋体" w:hAnsi="宋体" w:cs="宋体"/>
          <w:b/>
          <w:color w:val="auto"/>
          <w:highlight w:val="none"/>
        </w:rPr>
        <w:t>（十）餐饮业。</w:t>
      </w:r>
      <w:r>
        <w:rPr>
          <w:rFonts w:hint="eastAsia" w:ascii="宋体" w:hAnsi="宋体" w:cs="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FFD09B">
      <w:pPr>
        <w:spacing w:line="360" w:lineRule="auto"/>
        <w:ind w:firstLine="422"/>
        <w:rPr>
          <w:rFonts w:ascii="宋体" w:hAnsi="宋体" w:cs="宋体"/>
          <w:color w:val="auto"/>
          <w:highlight w:val="none"/>
        </w:rPr>
      </w:pPr>
      <w:r>
        <w:rPr>
          <w:rFonts w:hint="eastAsia" w:ascii="宋体" w:hAnsi="宋体" w:cs="宋体"/>
          <w:b/>
          <w:color w:val="auto"/>
          <w:highlight w:val="none"/>
        </w:rPr>
        <w:t>（十一）信息传输业。</w:t>
      </w:r>
      <w:r>
        <w:rPr>
          <w:rFonts w:hint="eastAsia" w:ascii="宋体" w:hAnsi="宋体" w:cs="宋体"/>
          <w:color w:val="auto"/>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01BB0F2">
      <w:pPr>
        <w:spacing w:line="360" w:lineRule="auto"/>
        <w:ind w:firstLine="422"/>
        <w:rPr>
          <w:rFonts w:ascii="宋体" w:hAnsi="宋体" w:cs="宋体"/>
          <w:color w:val="auto"/>
          <w:highlight w:val="none"/>
        </w:rPr>
      </w:pPr>
      <w:r>
        <w:rPr>
          <w:rFonts w:hint="eastAsia" w:ascii="宋体" w:hAnsi="宋体" w:cs="宋体"/>
          <w:b/>
          <w:color w:val="auto"/>
          <w:highlight w:val="none"/>
        </w:rPr>
        <w:t>（十二）软件和信息技术服务业。</w:t>
      </w:r>
      <w:r>
        <w:rPr>
          <w:rFonts w:hint="eastAsia" w:ascii="宋体" w:hAnsi="宋体" w:cs="宋体"/>
          <w:color w:val="auto"/>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7A10016">
      <w:pPr>
        <w:spacing w:line="360" w:lineRule="auto"/>
        <w:ind w:firstLine="422"/>
        <w:rPr>
          <w:rFonts w:ascii="宋体" w:hAnsi="宋体" w:cs="宋体"/>
          <w:color w:val="auto"/>
          <w:highlight w:val="none"/>
        </w:rPr>
      </w:pPr>
      <w:r>
        <w:rPr>
          <w:rFonts w:hint="eastAsia" w:ascii="宋体" w:hAnsi="宋体" w:cs="宋体"/>
          <w:b/>
          <w:color w:val="auto"/>
          <w:highlight w:val="none"/>
        </w:rPr>
        <w:t>（十三）房地产开发经营。</w:t>
      </w:r>
      <w:r>
        <w:rPr>
          <w:rFonts w:hint="eastAsia" w:ascii="宋体" w:hAnsi="宋体" w:cs="宋体"/>
          <w:color w:val="auto"/>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0AC271">
      <w:pPr>
        <w:spacing w:line="360" w:lineRule="auto"/>
        <w:ind w:firstLine="422"/>
        <w:rPr>
          <w:rFonts w:ascii="宋体" w:hAnsi="宋体" w:cs="宋体"/>
          <w:color w:val="auto"/>
          <w:highlight w:val="none"/>
        </w:rPr>
      </w:pPr>
      <w:r>
        <w:rPr>
          <w:rFonts w:hint="eastAsia" w:ascii="宋体" w:hAnsi="宋体" w:cs="宋体"/>
          <w:b/>
          <w:color w:val="auto"/>
          <w:highlight w:val="none"/>
        </w:rPr>
        <w:t>（十四）物业管理。</w:t>
      </w:r>
      <w:r>
        <w:rPr>
          <w:rFonts w:hint="eastAsia" w:ascii="宋体" w:hAnsi="宋体" w:cs="宋体"/>
          <w:color w:val="auto"/>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8B26F6">
      <w:pPr>
        <w:spacing w:line="360" w:lineRule="auto"/>
        <w:ind w:firstLine="422"/>
        <w:rPr>
          <w:rFonts w:ascii="宋体" w:hAnsi="宋体" w:cs="宋体"/>
          <w:color w:val="auto"/>
          <w:highlight w:val="none"/>
        </w:rPr>
      </w:pPr>
      <w:r>
        <w:rPr>
          <w:rFonts w:hint="eastAsia" w:ascii="宋体" w:hAnsi="宋体" w:cs="宋体"/>
          <w:b/>
          <w:color w:val="auto"/>
          <w:highlight w:val="none"/>
        </w:rPr>
        <w:t>（十五）租赁和商务服务业。</w:t>
      </w:r>
      <w:r>
        <w:rPr>
          <w:rFonts w:hint="eastAsia" w:ascii="宋体" w:hAnsi="宋体" w:cs="宋体"/>
          <w:color w:val="auto"/>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31DED1">
      <w:pPr>
        <w:pStyle w:val="225"/>
        <w:spacing w:line="360" w:lineRule="auto"/>
        <w:ind w:firstLine="422"/>
        <w:rPr>
          <w:rFonts w:hAnsi="宋体" w:eastAsia="宋体" w:cs="宋体"/>
          <w:color w:val="auto"/>
          <w:sz w:val="21"/>
          <w:szCs w:val="21"/>
          <w:highlight w:val="none"/>
          <w:lang w:val="zh-CN"/>
        </w:rPr>
      </w:pPr>
      <w:r>
        <w:rPr>
          <w:rFonts w:hint="eastAsia" w:hAnsi="宋体" w:eastAsia="宋体" w:cs="宋体"/>
          <w:b/>
          <w:color w:val="auto"/>
          <w:sz w:val="21"/>
          <w:szCs w:val="24"/>
          <w:highlight w:val="none"/>
        </w:rPr>
        <w:t>（十六）其他未列明行业。</w:t>
      </w:r>
      <w:r>
        <w:rPr>
          <w:rFonts w:hint="eastAsia" w:hAnsi="宋体" w:eastAsia="宋体" w:cs="宋体"/>
          <w:color w:val="auto"/>
          <w:sz w:val="21"/>
          <w:szCs w:val="24"/>
          <w:highlight w:val="none"/>
        </w:rPr>
        <w:t>从业人员300人以下的为中小微型企业。其中，从业人员100人及以上的为中型企业；从业人员10人及以上的为小型企业；从业人员10人以下的为微型企业。</w:t>
      </w:r>
    </w:p>
    <w:p w14:paraId="018A7A01">
      <w:pPr>
        <w:spacing w:line="400" w:lineRule="exact"/>
        <w:jc w:val="center"/>
        <w:rPr>
          <w:rFonts w:ascii="宋体" w:hAnsi="宋体" w:cs="宋体"/>
          <w:color w:val="auto"/>
          <w:sz w:val="32"/>
          <w:szCs w:val="32"/>
          <w:highlight w:val="none"/>
          <w:lang w:val="zh-CN"/>
        </w:rPr>
      </w:pPr>
    </w:p>
    <w:p w14:paraId="1E3FBF59">
      <w:pPr>
        <w:spacing w:line="360" w:lineRule="auto"/>
        <w:jc w:val="right"/>
        <w:rPr>
          <w:rFonts w:ascii="宋体" w:hAnsi="宋体" w:cs="宋体"/>
          <w:color w:val="auto"/>
          <w:szCs w:val="21"/>
          <w:highlight w:val="none"/>
        </w:rPr>
      </w:pPr>
    </w:p>
    <w:p w14:paraId="61652B0C">
      <w:pPr>
        <w:pageBreakBefore/>
        <w:spacing w:line="360" w:lineRule="auto"/>
        <w:outlineLvl w:val="1"/>
        <w:rPr>
          <w:rFonts w:ascii="宋体" w:hAnsi="宋体" w:cs="宋体"/>
          <w:b/>
          <w:color w:val="auto"/>
          <w:szCs w:val="21"/>
          <w:highlight w:val="none"/>
        </w:rPr>
      </w:pPr>
      <w:r>
        <w:rPr>
          <w:rFonts w:hint="eastAsia" w:ascii="宋体" w:hAnsi="宋体" w:cs="宋体"/>
          <w:b/>
          <w:color w:val="auto"/>
          <w:highlight w:val="none"/>
        </w:rPr>
        <w:t>附件14：</w:t>
      </w:r>
      <w:r>
        <w:rPr>
          <w:rFonts w:hint="eastAsia" w:ascii="宋体" w:hAnsi="宋体" w:cs="宋体"/>
          <w:b/>
          <w:color w:val="auto"/>
          <w:szCs w:val="21"/>
          <w:highlight w:val="none"/>
        </w:rPr>
        <w:t>残疾人福利性单位声明函</w:t>
      </w:r>
    </w:p>
    <w:p w14:paraId="3CDBBCAD">
      <w:pPr>
        <w:spacing w:line="360" w:lineRule="auto"/>
        <w:jc w:val="center"/>
        <w:rPr>
          <w:rFonts w:ascii="宋体" w:hAnsi="宋体" w:cs="宋体"/>
          <w:b/>
          <w:color w:val="auto"/>
          <w:szCs w:val="21"/>
          <w:highlight w:val="none"/>
        </w:rPr>
      </w:pPr>
    </w:p>
    <w:p w14:paraId="51E4994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残疾人福利性单位声明函</w:t>
      </w:r>
    </w:p>
    <w:p w14:paraId="77DBA950">
      <w:pPr>
        <w:spacing w:line="360" w:lineRule="auto"/>
        <w:rPr>
          <w:rFonts w:ascii="宋体" w:hAnsi="宋体" w:cs="宋体"/>
          <w:b/>
          <w:color w:val="auto"/>
          <w:szCs w:val="21"/>
          <w:highlight w:val="none"/>
        </w:rPr>
      </w:pPr>
    </w:p>
    <w:p w14:paraId="408B5BB1">
      <w:pPr>
        <w:spacing w:line="360" w:lineRule="auto"/>
        <w:ind w:firstLine="444"/>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E0AE1E">
      <w:pPr>
        <w:spacing w:line="360" w:lineRule="auto"/>
        <w:ind w:firstLine="444"/>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4F3C6421">
      <w:pPr>
        <w:spacing w:line="360" w:lineRule="auto"/>
        <w:ind w:firstLine="444"/>
        <w:rPr>
          <w:rFonts w:ascii="宋体" w:hAnsi="宋体" w:cs="宋体"/>
          <w:color w:val="auto"/>
          <w:szCs w:val="21"/>
          <w:highlight w:val="none"/>
        </w:rPr>
      </w:pPr>
    </w:p>
    <w:p w14:paraId="64FF22E6">
      <w:pPr>
        <w:spacing w:line="360" w:lineRule="auto"/>
        <w:ind w:left="4200"/>
        <w:rPr>
          <w:rFonts w:ascii="宋体" w:hAnsi="宋体" w:cs="宋体"/>
          <w:color w:val="auto"/>
          <w:highlight w:val="none"/>
        </w:rPr>
      </w:pPr>
      <w:r>
        <w:rPr>
          <w:rFonts w:hint="eastAsia" w:ascii="宋体" w:hAnsi="宋体" w:cs="宋体"/>
          <w:color w:val="auto"/>
          <w:highlight w:val="none"/>
        </w:rPr>
        <w:t>单位名称（签章）：</w:t>
      </w:r>
    </w:p>
    <w:p w14:paraId="2CFFBF55">
      <w:pPr>
        <w:spacing w:line="360" w:lineRule="auto"/>
        <w:ind w:left="4200"/>
        <w:rPr>
          <w:rFonts w:ascii="宋体" w:hAnsi="宋体" w:cs="宋体"/>
          <w:color w:val="auto"/>
          <w:highlight w:val="none"/>
        </w:rPr>
      </w:pPr>
      <w:r>
        <w:rPr>
          <w:rFonts w:hint="eastAsia" w:ascii="宋体" w:hAnsi="宋体" w:cs="宋体"/>
          <w:color w:val="auto"/>
          <w:highlight w:val="none"/>
        </w:rPr>
        <w:t>日  期：</w:t>
      </w:r>
    </w:p>
    <w:p w14:paraId="73372950">
      <w:pPr>
        <w:spacing w:line="360" w:lineRule="auto"/>
        <w:ind w:firstLine="333"/>
        <w:rPr>
          <w:rFonts w:ascii="宋体" w:hAnsi="宋体" w:cs="宋体"/>
          <w:color w:val="auto"/>
          <w:szCs w:val="21"/>
          <w:highlight w:val="none"/>
        </w:rPr>
      </w:pPr>
    </w:p>
    <w:p w14:paraId="0625107F">
      <w:pPr>
        <w:spacing w:line="360" w:lineRule="auto"/>
        <w:ind w:firstLine="333"/>
        <w:rPr>
          <w:rFonts w:ascii="宋体" w:hAnsi="宋体" w:cs="宋体"/>
          <w:color w:val="auto"/>
          <w:szCs w:val="21"/>
          <w:highlight w:val="none"/>
        </w:rPr>
      </w:pPr>
    </w:p>
    <w:p w14:paraId="3A5AE3EC">
      <w:pPr>
        <w:spacing w:line="360" w:lineRule="auto"/>
        <w:ind w:left="666" w:hanging="666"/>
        <w:rPr>
          <w:rFonts w:ascii="宋体" w:hAnsi="宋体" w:cs="宋体"/>
          <w:color w:val="auto"/>
          <w:szCs w:val="21"/>
          <w:highlight w:val="none"/>
        </w:rPr>
      </w:pPr>
      <w:r>
        <w:rPr>
          <w:rFonts w:hint="eastAsia" w:ascii="宋体" w:hAnsi="宋体" w:cs="宋体"/>
          <w:color w:val="auto"/>
          <w:szCs w:val="21"/>
          <w:highlight w:val="none"/>
        </w:rPr>
        <w:t>备注：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成交供应商为残疾人福利性单位的，采购人或者其委托的采购代理机构应当随中标、成交结果同时公告其《残疾人福利性单位声明函》，接受社会监督。</w:t>
      </w:r>
    </w:p>
    <w:p w14:paraId="4CBA5A6F">
      <w:pPr>
        <w:pStyle w:val="21"/>
        <w:spacing w:line="360" w:lineRule="auto"/>
        <w:rPr>
          <w:rFonts w:hAnsi="宋体" w:eastAsia="宋体" w:cs="宋体"/>
          <w:b/>
          <w:color w:val="auto"/>
          <w:sz w:val="21"/>
          <w:szCs w:val="21"/>
          <w:highlight w:val="none"/>
        </w:rPr>
      </w:pPr>
    </w:p>
    <w:p w14:paraId="7FFB876A">
      <w:pPr>
        <w:tabs>
          <w:tab w:val="left" w:pos="315"/>
          <w:tab w:val="center" w:pos="4153"/>
        </w:tabs>
        <w:spacing w:line="360" w:lineRule="auto"/>
        <w:jc w:val="center"/>
        <w:outlineLvl w:val="0"/>
        <w:rPr>
          <w:rFonts w:ascii="宋体" w:hAnsi="宋体" w:cs="宋体"/>
          <w:b/>
          <w:color w:val="auto"/>
          <w:sz w:val="52"/>
          <w:szCs w:val="20"/>
          <w:highlight w:val="none"/>
        </w:rPr>
      </w:pPr>
    </w:p>
    <w:p w14:paraId="4EE531F3">
      <w:pPr>
        <w:tabs>
          <w:tab w:val="left" w:pos="315"/>
          <w:tab w:val="center" w:pos="4153"/>
        </w:tabs>
        <w:spacing w:line="360" w:lineRule="auto"/>
        <w:jc w:val="center"/>
        <w:outlineLvl w:val="0"/>
        <w:rPr>
          <w:rFonts w:ascii="宋体" w:hAnsi="宋体" w:cs="宋体"/>
          <w:b/>
          <w:color w:val="auto"/>
          <w:sz w:val="52"/>
          <w:szCs w:val="20"/>
          <w:highlight w:val="none"/>
        </w:rPr>
      </w:pPr>
    </w:p>
    <w:p w14:paraId="66AEDE8A">
      <w:pPr>
        <w:tabs>
          <w:tab w:val="left" w:pos="315"/>
          <w:tab w:val="center" w:pos="4153"/>
        </w:tabs>
        <w:spacing w:line="360" w:lineRule="auto"/>
        <w:jc w:val="center"/>
        <w:outlineLvl w:val="0"/>
        <w:rPr>
          <w:rFonts w:ascii="宋体" w:hAnsi="宋体" w:cs="宋体"/>
          <w:b/>
          <w:color w:val="auto"/>
          <w:sz w:val="52"/>
          <w:szCs w:val="20"/>
          <w:highlight w:val="none"/>
        </w:rPr>
      </w:pPr>
    </w:p>
    <w:p w14:paraId="5129B058">
      <w:pPr>
        <w:tabs>
          <w:tab w:val="left" w:pos="315"/>
          <w:tab w:val="center" w:pos="4153"/>
        </w:tabs>
        <w:spacing w:line="360" w:lineRule="auto"/>
        <w:jc w:val="center"/>
        <w:outlineLvl w:val="0"/>
        <w:rPr>
          <w:rFonts w:ascii="宋体" w:hAnsi="宋体" w:cs="宋体"/>
          <w:b/>
          <w:color w:val="auto"/>
          <w:sz w:val="52"/>
          <w:szCs w:val="20"/>
          <w:highlight w:val="none"/>
        </w:rPr>
      </w:pPr>
    </w:p>
    <w:p w14:paraId="1A3DAED2">
      <w:pPr>
        <w:tabs>
          <w:tab w:val="left" w:pos="315"/>
          <w:tab w:val="center" w:pos="4153"/>
        </w:tabs>
        <w:spacing w:line="360" w:lineRule="auto"/>
        <w:jc w:val="center"/>
        <w:outlineLvl w:val="0"/>
        <w:rPr>
          <w:rFonts w:ascii="宋体" w:hAnsi="宋体" w:cs="宋体"/>
          <w:b/>
          <w:color w:val="auto"/>
          <w:sz w:val="52"/>
          <w:szCs w:val="20"/>
          <w:highlight w:val="none"/>
        </w:rPr>
      </w:pPr>
    </w:p>
    <w:p w14:paraId="23D0024B">
      <w:pPr>
        <w:adjustRightInd w:val="0"/>
        <w:snapToGrid w:val="0"/>
        <w:spacing w:line="360" w:lineRule="auto"/>
        <w:rPr>
          <w:rFonts w:ascii="宋体" w:hAnsi="宋体" w:cs="宋体"/>
          <w:b/>
          <w:bCs/>
          <w:color w:val="auto"/>
          <w:spacing w:val="6"/>
          <w:szCs w:val="21"/>
          <w:highlight w:val="none"/>
        </w:rPr>
      </w:pPr>
      <w:r>
        <w:rPr>
          <w:rFonts w:hint="eastAsia" w:ascii="宋体" w:hAnsi="宋体" w:cs="宋体"/>
          <w:b/>
          <w:bCs/>
          <w:color w:val="auto"/>
          <w:spacing w:val="6"/>
          <w:szCs w:val="21"/>
          <w:highlight w:val="none"/>
        </w:rPr>
        <w:t>附件15：政府采购合同信用融资政策告知函（本附件无需盖章放置响应文件中）</w:t>
      </w:r>
    </w:p>
    <w:p w14:paraId="775DB895">
      <w:pPr>
        <w:adjustRightInd w:val="0"/>
        <w:snapToGrid w:val="0"/>
        <w:spacing w:line="360" w:lineRule="auto"/>
        <w:rPr>
          <w:rFonts w:ascii="宋体" w:hAnsi="宋体" w:cs="宋体"/>
          <w:color w:val="auto"/>
          <w:spacing w:val="6"/>
          <w:szCs w:val="21"/>
          <w:highlight w:val="none"/>
        </w:rPr>
      </w:pPr>
    </w:p>
    <w:p w14:paraId="3B1D9A77">
      <w:pPr>
        <w:adjustRightInd w:val="0"/>
        <w:snapToGrid w:val="0"/>
        <w:spacing w:line="360" w:lineRule="auto"/>
        <w:jc w:val="center"/>
        <w:rPr>
          <w:rFonts w:ascii="宋体" w:hAnsi="宋体" w:cs="宋体"/>
          <w:color w:val="auto"/>
          <w:spacing w:val="6"/>
          <w:szCs w:val="21"/>
          <w:highlight w:val="none"/>
        </w:rPr>
      </w:pPr>
      <w:r>
        <w:rPr>
          <w:rFonts w:hint="eastAsia" w:ascii="宋体" w:hAnsi="宋体" w:cs="宋体"/>
          <w:color w:val="auto"/>
          <w:spacing w:val="6"/>
          <w:szCs w:val="21"/>
          <w:highlight w:val="none"/>
        </w:rPr>
        <w:t>政府采购合同信用融资政策告知函</w:t>
      </w:r>
    </w:p>
    <w:p w14:paraId="7B41FA1F">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各政府采购供应商：</w:t>
      </w:r>
    </w:p>
    <w:p w14:paraId="23F057A1">
      <w:pPr>
        <w:widowControl/>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欢迎贵公司参加苏州市政府采购活动！</w:t>
      </w:r>
    </w:p>
    <w:p w14:paraId="4AF4FCA9">
      <w:pPr>
        <w:tabs>
          <w:tab w:val="left" w:pos="315"/>
          <w:tab w:val="center" w:pos="4153"/>
        </w:tabs>
        <w:spacing w:line="360" w:lineRule="auto"/>
        <w:jc w:val="center"/>
        <w:outlineLvl w:val="0"/>
        <w:rPr>
          <w:rFonts w:ascii="宋体" w:hAnsi="宋体" w:cs="宋体"/>
          <w:b/>
          <w:color w:val="auto"/>
          <w:sz w:val="52"/>
          <w:szCs w:val="20"/>
          <w:highlight w:val="none"/>
        </w:rPr>
      </w:pPr>
      <w:r>
        <w:rPr>
          <w:rFonts w:hint="eastAsia" w:ascii="宋体" w:hAnsi="宋体" w:cs="宋体"/>
          <w:color w:val="auto"/>
          <w:szCs w:val="21"/>
          <w:highlight w:val="none"/>
        </w:rPr>
        <w:t>政府采购合同信用融资是江苏省、苏州市为支持中小企业发展，缓解中小企业融资难题推出的一项融资服务举措。若贵公司经评审最终成为本次政府采购项目的合格中标（成交）供应商，可向金融机构申请贷款，无需抵押、担保，金融机构将根据江苏省财政厅 中国人民银行南京分行《关于深入推进政府采购线上合同信用融资工作的通知》（苏财购［2021］82号）及苏州市财政局、人民银行苏州市分行相关文件要求，按照双方自愿的原则提供便捷、优惠的贷款服务。</w:t>
      </w:r>
    </w:p>
    <w:p w14:paraId="564A8147">
      <w:pPr>
        <w:tabs>
          <w:tab w:val="left" w:pos="315"/>
          <w:tab w:val="center" w:pos="4153"/>
        </w:tabs>
        <w:spacing w:line="360" w:lineRule="auto"/>
        <w:jc w:val="center"/>
        <w:outlineLvl w:val="0"/>
        <w:rPr>
          <w:rFonts w:ascii="宋体" w:hAnsi="宋体" w:cs="宋体"/>
          <w:b/>
          <w:color w:val="auto"/>
          <w:sz w:val="52"/>
          <w:szCs w:val="20"/>
          <w:highlight w:val="none"/>
        </w:rPr>
      </w:pPr>
    </w:p>
    <w:p w14:paraId="2649E9C5">
      <w:pPr>
        <w:spacing w:line="360" w:lineRule="auto"/>
        <w:ind w:firstLine="420"/>
        <w:jc w:val="center"/>
        <w:rPr>
          <w:rFonts w:ascii="宋体" w:hAnsi="宋体" w:cs="宋体"/>
          <w:b/>
          <w:color w:val="auto"/>
          <w:sz w:val="44"/>
          <w:szCs w:val="44"/>
          <w:highlight w:val="none"/>
        </w:rPr>
      </w:pPr>
    </w:p>
    <w:p w14:paraId="0F54BBCD">
      <w:pPr>
        <w:spacing w:line="360" w:lineRule="auto"/>
        <w:ind w:firstLine="420"/>
        <w:jc w:val="center"/>
        <w:rPr>
          <w:rFonts w:ascii="宋体" w:hAnsi="宋体" w:cs="宋体"/>
          <w:b/>
          <w:color w:val="auto"/>
          <w:sz w:val="44"/>
          <w:szCs w:val="44"/>
          <w:highlight w:val="none"/>
        </w:rPr>
      </w:pPr>
    </w:p>
    <w:p w14:paraId="150562EC">
      <w:pPr>
        <w:spacing w:line="360" w:lineRule="auto"/>
        <w:ind w:firstLine="420"/>
        <w:jc w:val="center"/>
        <w:rPr>
          <w:rFonts w:ascii="宋体" w:hAnsi="宋体" w:cs="宋体"/>
          <w:b/>
          <w:color w:val="auto"/>
          <w:sz w:val="44"/>
          <w:szCs w:val="44"/>
          <w:highlight w:val="none"/>
        </w:rPr>
      </w:pPr>
    </w:p>
    <w:p w14:paraId="4ABB814D">
      <w:pPr>
        <w:spacing w:line="360" w:lineRule="auto"/>
        <w:ind w:firstLine="420"/>
        <w:jc w:val="center"/>
        <w:rPr>
          <w:rFonts w:ascii="宋体" w:hAnsi="宋体" w:cs="宋体"/>
          <w:b/>
          <w:color w:val="auto"/>
          <w:sz w:val="44"/>
          <w:szCs w:val="44"/>
          <w:highlight w:val="none"/>
        </w:rPr>
      </w:pPr>
    </w:p>
    <w:p w14:paraId="5938BB1F">
      <w:pPr>
        <w:spacing w:line="360" w:lineRule="auto"/>
        <w:ind w:firstLine="420"/>
        <w:jc w:val="center"/>
        <w:rPr>
          <w:rFonts w:ascii="宋体" w:hAnsi="宋体" w:cs="宋体"/>
          <w:b/>
          <w:color w:val="auto"/>
          <w:sz w:val="44"/>
          <w:szCs w:val="44"/>
          <w:highlight w:val="none"/>
        </w:rPr>
      </w:pPr>
    </w:p>
    <w:p w14:paraId="016D02B2">
      <w:pPr>
        <w:spacing w:line="360" w:lineRule="auto"/>
        <w:ind w:firstLine="420"/>
        <w:jc w:val="center"/>
        <w:rPr>
          <w:rFonts w:ascii="宋体" w:hAnsi="宋体" w:cs="宋体"/>
          <w:b/>
          <w:color w:val="auto"/>
          <w:sz w:val="44"/>
          <w:szCs w:val="44"/>
          <w:highlight w:val="none"/>
        </w:rPr>
      </w:pPr>
    </w:p>
    <w:p w14:paraId="33B2FD87">
      <w:pPr>
        <w:spacing w:line="360" w:lineRule="auto"/>
        <w:ind w:firstLine="420"/>
        <w:jc w:val="center"/>
        <w:rPr>
          <w:rFonts w:ascii="宋体" w:hAnsi="宋体" w:cs="宋体"/>
          <w:b/>
          <w:color w:val="auto"/>
          <w:sz w:val="44"/>
          <w:szCs w:val="44"/>
          <w:highlight w:val="none"/>
        </w:rPr>
      </w:pPr>
    </w:p>
    <w:p w14:paraId="4A1F2146">
      <w:pPr>
        <w:spacing w:line="360" w:lineRule="auto"/>
        <w:ind w:firstLine="420"/>
        <w:jc w:val="center"/>
        <w:rPr>
          <w:rFonts w:ascii="宋体" w:hAnsi="宋体" w:cs="宋体"/>
          <w:b/>
          <w:color w:val="auto"/>
          <w:sz w:val="44"/>
          <w:szCs w:val="44"/>
          <w:highlight w:val="none"/>
        </w:rPr>
      </w:pPr>
    </w:p>
    <w:p w14:paraId="630E434F">
      <w:pPr>
        <w:spacing w:line="360" w:lineRule="auto"/>
        <w:ind w:firstLine="420"/>
        <w:jc w:val="center"/>
        <w:rPr>
          <w:rFonts w:ascii="宋体" w:hAnsi="宋体" w:cs="宋体"/>
          <w:b/>
          <w:color w:val="auto"/>
          <w:sz w:val="44"/>
          <w:szCs w:val="44"/>
          <w:highlight w:val="none"/>
        </w:rPr>
      </w:pPr>
    </w:p>
    <w:p w14:paraId="0CF95517">
      <w:pPr>
        <w:spacing w:line="360" w:lineRule="auto"/>
        <w:ind w:firstLine="420"/>
        <w:jc w:val="center"/>
        <w:rPr>
          <w:rFonts w:ascii="宋体" w:hAnsi="宋体" w:cs="宋体"/>
          <w:b/>
          <w:color w:val="auto"/>
          <w:sz w:val="44"/>
          <w:szCs w:val="44"/>
          <w:highlight w:val="none"/>
        </w:rPr>
      </w:pPr>
    </w:p>
    <w:p w14:paraId="4A6F301E">
      <w:pPr>
        <w:spacing w:line="360" w:lineRule="auto"/>
        <w:ind w:firstLine="420"/>
        <w:jc w:val="center"/>
        <w:rPr>
          <w:rFonts w:ascii="宋体" w:hAnsi="宋体" w:cs="宋体"/>
          <w:b/>
          <w:color w:val="auto"/>
          <w:sz w:val="44"/>
          <w:szCs w:val="44"/>
          <w:highlight w:val="none"/>
        </w:rPr>
      </w:pPr>
      <w:r>
        <w:rPr>
          <w:rFonts w:hint="eastAsia" w:ascii="宋体" w:hAnsi="宋体" w:cs="宋体"/>
          <w:b/>
          <w:color w:val="auto"/>
          <w:sz w:val="44"/>
          <w:szCs w:val="44"/>
          <w:highlight w:val="none"/>
        </w:rPr>
        <w:t>第四章 谈判采购内容</w:t>
      </w:r>
    </w:p>
    <w:p w14:paraId="0838F3B2">
      <w:pPr>
        <w:spacing w:line="360" w:lineRule="auto"/>
        <w:ind w:firstLine="420"/>
        <w:rPr>
          <w:rFonts w:ascii="宋体" w:hAnsi="宋体" w:cs="宋体"/>
          <w:color w:val="auto"/>
          <w:szCs w:val="21"/>
          <w:highlight w:val="none"/>
        </w:rPr>
      </w:pPr>
      <w:r>
        <w:rPr>
          <w:rFonts w:hint="eastAsia" w:ascii="宋体" w:hAnsi="宋体" w:cs="宋体"/>
          <w:color w:val="auto"/>
          <w:highlight w:val="none"/>
        </w:rPr>
        <w:t>受昆山市第一人民医院之委托，苏州市创杰招投标咨询服务有限公司对其需采购的</w:t>
      </w:r>
      <w:r>
        <w:rPr>
          <w:rFonts w:hint="eastAsia" w:ascii="宋体" w:hAnsi="宋体" w:cs="宋体"/>
          <w:color w:val="auto"/>
          <w:highlight w:val="none"/>
          <w:lang w:eastAsia="zh-CN"/>
        </w:rPr>
        <w:t>激光治疗仪</w:t>
      </w:r>
      <w:r>
        <w:rPr>
          <w:rFonts w:hint="eastAsia" w:ascii="宋体" w:hAnsi="宋体" w:cs="宋体"/>
          <w:color w:val="auto"/>
          <w:highlight w:val="none"/>
        </w:rPr>
        <w:t>在国内组织竞争性谈判采购。欢迎符合资格条件的供应商前来报名参加谈判</w:t>
      </w:r>
      <w:r>
        <w:rPr>
          <w:rFonts w:hint="eastAsia" w:ascii="宋体" w:hAnsi="宋体" w:cs="宋体"/>
          <w:color w:val="auto"/>
          <w:szCs w:val="21"/>
          <w:highlight w:val="none"/>
        </w:rPr>
        <w:t>。</w:t>
      </w:r>
    </w:p>
    <w:p w14:paraId="3BDE59BC">
      <w:pPr>
        <w:spacing w:line="360" w:lineRule="auto"/>
        <w:outlineLvl w:val="1"/>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一、采购编号：</w:t>
      </w:r>
      <w:r>
        <w:rPr>
          <w:rFonts w:hint="eastAsia" w:ascii="宋体" w:hAnsi="宋体" w:cs="宋体"/>
          <w:bCs/>
          <w:color w:val="auto"/>
          <w:szCs w:val="21"/>
          <w:highlight w:val="none"/>
          <w:lang w:eastAsia="zh-CN"/>
        </w:rPr>
        <w:t>JSZC-320583-CJZB-T2025-0232</w:t>
      </w:r>
    </w:p>
    <w:p w14:paraId="165FD474">
      <w:pPr>
        <w:spacing w:line="360" w:lineRule="auto"/>
        <w:outlineLvl w:val="1"/>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二、项目名称：</w:t>
      </w:r>
      <w:r>
        <w:rPr>
          <w:rFonts w:hint="eastAsia" w:ascii="宋体" w:hAnsi="宋体" w:cs="宋体"/>
          <w:bCs/>
          <w:color w:val="auto"/>
          <w:szCs w:val="21"/>
          <w:highlight w:val="none"/>
          <w:lang w:eastAsia="zh-CN"/>
        </w:rPr>
        <w:t>激光治疗仪</w:t>
      </w:r>
    </w:p>
    <w:p w14:paraId="24517807">
      <w:pPr>
        <w:spacing w:line="360" w:lineRule="auto"/>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三、预算金额</w:t>
      </w:r>
      <w:r>
        <w:rPr>
          <w:rFonts w:hint="eastAsia" w:ascii="宋体" w:hAnsi="宋体" w:cs="宋体"/>
          <w:color w:val="auto"/>
          <w:szCs w:val="21"/>
          <w:highlight w:val="none"/>
        </w:rPr>
        <w:t>：人民币</w:t>
      </w:r>
      <w:r>
        <w:rPr>
          <w:rFonts w:hint="eastAsia" w:ascii="宋体" w:hAnsi="宋体" w:cs="宋体"/>
          <w:color w:val="auto"/>
          <w:szCs w:val="21"/>
          <w:highlight w:val="none"/>
          <w:lang w:val="en-US" w:eastAsia="zh-CN"/>
        </w:rPr>
        <w:t>壹佰陆拾</w:t>
      </w:r>
      <w:r>
        <w:rPr>
          <w:rFonts w:hint="eastAsia" w:ascii="宋体" w:hAnsi="宋体" w:cs="宋体"/>
          <w:color w:val="auto"/>
          <w:szCs w:val="21"/>
          <w:highlight w:val="none"/>
        </w:rPr>
        <w:t>万元整（¥：</w:t>
      </w:r>
      <w:r>
        <w:rPr>
          <w:rFonts w:hint="eastAsia" w:ascii="宋体" w:hAnsi="宋体" w:cs="宋体"/>
          <w:color w:val="auto"/>
          <w:szCs w:val="21"/>
          <w:highlight w:val="none"/>
          <w:lang w:val="en-US" w:eastAsia="zh-CN"/>
        </w:rPr>
        <w:t>160</w:t>
      </w:r>
      <w:r>
        <w:rPr>
          <w:rFonts w:hint="eastAsia" w:ascii="宋体" w:hAnsi="宋体" w:cs="宋体"/>
          <w:color w:val="auto"/>
          <w:szCs w:val="21"/>
          <w:highlight w:val="none"/>
        </w:rPr>
        <w:t>0000.00）</w:t>
      </w:r>
    </w:p>
    <w:p w14:paraId="1D4B3A25">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无</w:t>
      </w:r>
    </w:p>
    <w:p w14:paraId="3DA89DC0">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★四、采购清单</w:t>
      </w:r>
    </w:p>
    <w:tbl>
      <w:tblPr>
        <w:tblStyle w:val="43"/>
        <w:tblW w:w="8266"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196"/>
        <w:gridCol w:w="1331"/>
        <w:gridCol w:w="1571"/>
        <w:gridCol w:w="2118"/>
      </w:tblGrid>
      <w:tr w14:paraId="066D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0" w:type="dxa"/>
            <w:vAlign w:val="center"/>
          </w:tcPr>
          <w:p w14:paraId="2185CB6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96" w:type="dxa"/>
            <w:vAlign w:val="center"/>
          </w:tcPr>
          <w:p w14:paraId="387C08E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标的</w:t>
            </w:r>
            <w:r>
              <w:rPr>
                <w:rFonts w:hint="eastAsia" w:ascii="宋体" w:hAnsi="宋体" w:cs="宋体"/>
                <w:color w:val="auto"/>
                <w:szCs w:val="21"/>
                <w:highlight w:val="none"/>
              </w:rPr>
              <w:t>名称</w:t>
            </w:r>
          </w:p>
        </w:tc>
        <w:tc>
          <w:tcPr>
            <w:tcW w:w="1331" w:type="dxa"/>
            <w:vAlign w:val="center"/>
          </w:tcPr>
          <w:p w14:paraId="5069923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571" w:type="dxa"/>
            <w:vAlign w:val="center"/>
          </w:tcPr>
          <w:p w14:paraId="5377E24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118" w:type="dxa"/>
            <w:vAlign w:val="center"/>
          </w:tcPr>
          <w:p w14:paraId="14AD299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BEC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0" w:type="dxa"/>
            <w:vAlign w:val="center"/>
          </w:tcPr>
          <w:p w14:paraId="152603E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196" w:type="dxa"/>
            <w:vAlign w:val="center"/>
          </w:tcPr>
          <w:p w14:paraId="0C1A3D89">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激光治疗仪</w:t>
            </w:r>
          </w:p>
        </w:tc>
        <w:tc>
          <w:tcPr>
            <w:tcW w:w="1331" w:type="dxa"/>
            <w:vAlign w:val="center"/>
          </w:tcPr>
          <w:p w14:paraId="4399F4C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571" w:type="dxa"/>
            <w:vAlign w:val="center"/>
          </w:tcPr>
          <w:p w14:paraId="14DD269F">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台</w:t>
            </w:r>
          </w:p>
        </w:tc>
        <w:tc>
          <w:tcPr>
            <w:tcW w:w="2118" w:type="dxa"/>
            <w:vAlign w:val="center"/>
          </w:tcPr>
          <w:p w14:paraId="0302648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tc>
      </w:tr>
    </w:tbl>
    <w:p w14:paraId="0049874B">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★五、具体技术要求：（本文件中★标示内容为实质性要求）</w:t>
      </w:r>
    </w:p>
    <w:p w14:paraId="4373D62B">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default" w:hAnsi="宋体" w:cs="宋体"/>
          <w:b w:val="0"/>
          <w:bCs w:val="0"/>
          <w:color w:val="auto"/>
          <w:szCs w:val="21"/>
          <w:highlight w:val="none"/>
          <w:lang w:val="en-US" w:eastAsia="zh-CN"/>
        </w:rPr>
      </w:pP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lang w:val="en-US" w:eastAsia="zh-CN"/>
        </w:rPr>
        <w:t>一）用途：主要用于气道内良恶性肿瘤、肉芽组织等的消融、对气道内 少见的骨化性疾病、支气管结石的治疗、气管软化症、气管 -支气管内膜非典型增生、淀粉样变、缝线和金属支架等气道异物的切割及应用于经导航/CT 引导下的肺外周结节消融。</w:t>
      </w:r>
    </w:p>
    <w:p w14:paraId="7C6ED14B">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default" w:hAnsi="宋体" w:cs="宋体"/>
          <w:b w:val="0"/>
          <w:bCs w:val="0"/>
          <w:color w:val="auto"/>
          <w:szCs w:val="21"/>
          <w:highlight w:val="none"/>
          <w:lang w:val="en-US" w:eastAsia="zh-CN"/>
        </w:rPr>
      </w:pP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lang w:val="en-US" w:eastAsia="zh-CN"/>
        </w:rPr>
        <w:t>二）技术参数要求：</w:t>
      </w:r>
    </w:p>
    <w:p w14:paraId="4199E69F">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1.具备中文操作界面，操作界面：≥8寸彩色触摸屏控制；</w:t>
      </w:r>
    </w:p>
    <w:p w14:paraId="050766A0">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2.功率：≥99W，1W步进可调；（</w:t>
      </w:r>
      <w:r>
        <w:rPr>
          <w:rFonts w:hint="eastAsia" w:ascii="宋体" w:hAnsi="宋体" w:cs="宋体"/>
          <w:color w:val="auto"/>
          <w:szCs w:val="21"/>
          <w:highlight w:val="none"/>
          <w:lang w:val="zh-CN"/>
        </w:rPr>
        <w:t>提供技术参数彩页或官网截图证明或技术白皮书</w:t>
      </w:r>
      <w:r>
        <w:rPr>
          <w:rFonts w:hint="eastAsia" w:ascii="宋体" w:hAnsi="宋体" w:cs="宋体"/>
          <w:color w:val="auto"/>
          <w:szCs w:val="21"/>
          <w:highlight w:val="none"/>
          <w:lang w:val="en-US" w:eastAsia="zh-CN"/>
        </w:rPr>
        <w:t>作为佐证资料）</w:t>
      </w:r>
    </w:p>
    <w:p w14:paraId="5A199E50">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3.激光工作模式：连续波模式或脉冲模式；</w:t>
      </w:r>
    </w:p>
    <w:p w14:paraId="3BB5DCD0">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4.脉冲宽度：脉宽≥0.5ms；</w:t>
      </w:r>
    </w:p>
    <w:p w14:paraId="36B6A314">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5.输出脉冲频率≥0.3Hz；</w:t>
      </w:r>
    </w:p>
    <w:p w14:paraId="5814708C">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6.激光安全等级：4级；</w:t>
      </w:r>
    </w:p>
    <w:p w14:paraId="65DEBAC0">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7.冷却系统：封闭循环水冷或风冷；</w:t>
      </w:r>
    </w:p>
    <w:p w14:paraId="00D07B59">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8.光束传输系统：标准SMA 905连接头；</w:t>
      </w:r>
    </w:p>
    <w:p w14:paraId="545B0E1D">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9.提供光纤型号：≥2种，包括400微米及600微米；</w:t>
      </w:r>
    </w:p>
    <w:p w14:paraId="03836C74">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10激光波长：980nm-1064nm；（</w:t>
      </w:r>
      <w:r>
        <w:rPr>
          <w:rFonts w:hint="eastAsia" w:ascii="宋体" w:hAnsi="宋体" w:cs="宋体"/>
          <w:color w:val="auto"/>
          <w:szCs w:val="21"/>
          <w:highlight w:val="none"/>
          <w:lang w:val="zh-CN"/>
        </w:rPr>
        <w:t>提供技术参数彩页或官网截图证明或技术白皮书</w:t>
      </w:r>
      <w:r>
        <w:rPr>
          <w:rFonts w:hint="eastAsia" w:ascii="宋体" w:hAnsi="宋体" w:cs="宋体"/>
          <w:color w:val="auto"/>
          <w:szCs w:val="21"/>
          <w:highlight w:val="none"/>
          <w:lang w:val="en-US" w:eastAsia="zh-CN"/>
        </w:rPr>
        <w:t>作为佐证资料）</w:t>
      </w:r>
    </w:p>
    <w:p w14:paraId="13FE46D6">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11激光器类型：固体激光器或半导体激光器；</w:t>
      </w:r>
    </w:p>
    <w:p w14:paraId="26486E04">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12吸收色基：水和血红蛋白同时吸收，切割和止血同步；</w:t>
      </w:r>
    </w:p>
    <w:p w14:paraId="341DD64B">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13光纤传输效率：≥75%；</w:t>
      </w:r>
    </w:p>
    <w:p w14:paraId="2F65D386">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14激光输出功率的不稳定度：≤±10%；</w:t>
      </w:r>
    </w:p>
    <w:p w14:paraId="318804F6">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15激光输出功率的复现性：≤±10%；</w:t>
      </w:r>
    </w:p>
    <w:p w14:paraId="6FE12FA3">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16指示光：波长≥520nm±20nm；</w:t>
      </w:r>
    </w:p>
    <w:p w14:paraId="3BF4B516">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17紧急开关：配有紧急停止按钮，可在紧急情况下一键关闭设备；</w:t>
      </w:r>
    </w:p>
    <w:p w14:paraId="450F40E1">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eastAsia="宋体" w:cs="宋体"/>
          <w:b w:val="0"/>
          <w:bCs w:val="0"/>
          <w:color w:val="auto"/>
          <w:szCs w:val="21"/>
          <w:highlight w:val="none"/>
          <w:lang w:eastAsia="zh-CN"/>
        </w:rPr>
      </w:pPr>
      <w:r>
        <w:rPr>
          <w:rFonts w:hint="eastAsia" w:hAnsi="宋体" w:cs="宋体"/>
          <w:b w:val="0"/>
          <w:bCs w:val="0"/>
          <w:color w:val="auto"/>
          <w:szCs w:val="21"/>
          <w:highlight w:val="none"/>
          <w:lang w:eastAsia="zh-CN"/>
        </w:rPr>
        <w:t>18移动性：可随意移动；</w:t>
      </w:r>
    </w:p>
    <w:p w14:paraId="67B1B7E5">
      <w:pPr>
        <w:pStyle w:val="54"/>
        <w:widowControl w:val="0"/>
        <w:kinsoku w:val="0"/>
        <w:overflowPunct w:val="0"/>
        <w:spacing w:line="360" w:lineRule="auto"/>
        <w:rPr>
          <w:rFonts w:hAnsi="宋体" w:cs="宋体"/>
          <w:b/>
          <w:bCs/>
          <w:color w:val="auto"/>
          <w:szCs w:val="21"/>
          <w:highlight w:val="none"/>
        </w:rPr>
      </w:pPr>
      <w:r>
        <w:rPr>
          <w:rFonts w:hint="eastAsia" w:hAnsi="宋体" w:cs="宋体"/>
          <w:b/>
          <w:bCs/>
          <w:color w:val="auto"/>
          <w:szCs w:val="21"/>
          <w:highlight w:val="none"/>
        </w:rPr>
        <w:t>六、设备质量要求：</w:t>
      </w:r>
    </w:p>
    <w:p w14:paraId="79D3157F">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1.设备质量及安装符合国家质量标准和验收规范，供应商应保证所供标的物是全新的，未使用过的，并且是非长期积压的库存商品（距离生产日期在</w:t>
      </w:r>
      <w:r>
        <w:rPr>
          <w:rFonts w:hint="eastAsia" w:hAnsi="宋体" w:cs="宋体"/>
          <w:color w:val="auto"/>
          <w:szCs w:val="21"/>
          <w:highlight w:val="none"/>
          <w:lang w:val="en-US" w:eastAsia="zh-CN"/>
        </w:rPr>
        <w:t>6个月</w:t>
      </w:r>
      <w:r>
        <w:rPr>
          <w:rFonts w:hint="eastAsia" w:hAnsi="宋体" w:cs="宋体"/>
          <w:color w:val="auto"/>
          <w:szCs w:val="21"/>
          <w:highlight w:val="none"/>
        </w:rPr>
        <w:t>内）。</w:t>
      </w:r>
    </w:p>
    <w:p w14:paraId="601C4990">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olor w:val="auto"/>
          <w:szCs w:val="21"/>
          <w:highlight w:val="none"/>
        </w:rPr>
        <w:t>所有设备各项技术应当符合国家（强制性）标准及各项规范要求；国家没有相应标准、规范的，可使用行业标准、规定；非标准设备按招标约定的技术要求和规范</w:t>
      </w:r>
      <w:r>
        <w:rPr>
          <w:rFonts w:hint="eastAsia" w:hAnsi="宋体" w:cs="宋体"/>
          <w:color w:val="auto"/>
          <w:szCs w:val="21"/>
          <w:highlight w:val="none"/>
        </w:rPr>
        <w:t xml:space="preserve">。 </w:t>
      </w:r>
    </w:p>
    <w:p w14:paraId="686296C2">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3.所有设备在到达安装现场时须经采购单位技术人员记录验收后才可进行设备安装，验货时须提交该产品的原厂质量合格证明及服务质保证明文件。</w:t>
      </w:r>
    </w:p>
    <w:p w14:paraId="35B7BFE9">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4.所有设备、附（配）件应具备该类产品的功能要求，无瑕疵和缺陷，质量为合格产品，同时有明确的生产厂商或制造厂商。 </w:t>
      </w:r>
    </w:p>
    <w:p w14:paraId="5A0DC21D">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5.缺陷保修：如果设备交付使用后，缺陷多次反复出现，中标方必须提出分析报告和解决方案，更换该产品，直到最后纠正缺陷、投标人提供质保从纠正之日起重新计算质保期。</w:t>
      </w:r>
    </w:p>
    <w:p w14:paraId="4235964E">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6.如果是超出投标人的责任范围的疏忽、误操作等情况而导致的更换修正，应由投标人进行修理，其额外费用由双方协商承担。</w:t>
      </w:r>
    </w:p>
    <w:p w14:paraId="3DD97CE0">
      <w:pPr>
        <w:pStyle w:val="54"/>
        <w:widowControl w:val="0"/>
        <w:kinsoku w:val="0"/>
        <w:overflowPunct w:val="0"/>
        <w:spacing w:line="360" w:lineRule="auto"/>
        <w:rPr>
          <w:rFonts w:hAnsi="宋体" w:cs="宋体"/>
          <w:b/>
          <w:bCs/>
          <w:color w:val="auto"/>
          <w:szCs w:val="21"/>
          <w:highlight w:val="none"/>
        </w:rPr>
      </w:pPr>
      <w:r>
        <w:rPr>
          <w:rFonts w:hint="eastAsia" w:hAnsi="宋体"/>
          <w:color w:val="auto"/>
          <w:szCs w:val="21"/>
          <w:highlight w:val="none"/>
        </w:rPr>
        <w:t>★</w:t>
      </w:r>
      <w:r>
        <w:rPr>
          <w:rFonts w:hint="eastAsia" w:hAnsi="宋体" w:cs="宋体"/>
          <w:b/>
          <w:bCs/>
          <w:color w:val="auto"/>
          <w:szCs w:val="21"/>
          <w:highlight w:val="none"/>
        </w:rPr>
        <w:t>七、售后服务要求：</w:t>
      </w:r>
    </w:p>
    <w:p w14:paraId="1A3A55EE">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成交方应配备专门的项目团队人员，保证货物的运输、交付、安装、调试等定时定期进行。</w:t>
      </w:r>
    </w:p>
    <w:p w14:paraId="4572A3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bCs/>
          <w:color w:val="auto"/>
          <w:szCs w:val="21"/>
          <w:highlight w:val="none"/>
        </w:rPr>
        <w:t>质保期：</w:t>
      </w:r>
      <w:r>
        <w:rPr>
          <w:rFonts w:hint="eastAsia" w:ascii="宋体" w:hAnsi="宋体" w:cs="宋体"/>
          <w:color w:val="auto"/>
          <w:szCs w:val="21"/>
          <w:highlight w:val="none"/>
        </w:rPr>
        <w:t>原厂整机免费保修≥</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年（自验收合格之日起）。</w:t>
      </w:r>
      <w:r>
        <w:rPr>
          <w:rFonts w:hint="eastAsia" w:ascii="宋体" w:hAnsi="宋体" w:cs="宋体"/>
          <w:bCs/>
          <w:color w:val="auto"/>
          <w:szCs w:val="21"/>
          <w:highlight w:val="none"/>
        </w:rPr>
        <w:t>保修期后提供终身维修和维护服务，且只收取配件费用，</w:t>
      </w:r>
      <w:r>
        <w:rPr>
          <w:rFonts w:hint="eastAsia" w:ascii="宋体" w:hAnsi="宋体" w:cs="宋体"/>
          <w:color w:val="auto"/>
          <w:szCs w:val="21"/>
          <w:highlight w:val="none"/>
        </w:rPr>
        <w:t>不收取人工费及其他费用。设备服务期内，保证为所购设备提供维修及原厂备件服务，供方需长期提供优惠价格的主要零配件。</w:t>
      </w:r>
      <w:r>
        <w:rPr>
          <w:rFonts w:hint="eastAsia" w:ascii="宋体" w:hAnsi="宋体"/>
          <w:color w:val="auto"/>
          <w:szCs w:val="21"/>
          <w:highlight w:val="none"/>
        </w:rPr>
        <w:t xml:space="preserve">   </w:t>
      </w:r>
    </w:p>
    <w:p w14:paraId="45C7AF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3.投标产品在国内设有售后维修中心。在免费维护期内，供应商应成立专门的技术支持和售后服务小组，提供完善周到的本地化服务，</w:t>
      </w:r>
      <w:r>
        <w:rPr>
          <w:rFonts w:hint="eastAsia" w:ascii="宋体" w:hAnsi="宋体" w:cs="宋体"/>
          <w:bCs/>
          <w:color w:val="auto"/>
          <w:szCs w:val="21"/>
          <w:highlight w:val="none"/>
        </w:rPr>
        <w:t>提供24小时服务热线，</w:t>
      </w:r>
      <w:r>
        <w:rPr>
          <w:rFonts w:hint="eastAsia" w:ascii="宋体" w:hAnsi="宋体" w:cs="宋体"/>
          <w:color w:val="auto"/>
          <w:kern w:val="2"/>
          <w:szCs w:val="21"/>
          <w:highlight w:val="none"/>
        </w:rPr>
        <w:t>接到用户报</w:t>
      </w:r>
      <w:r>
        <w:rPr>
          <w:rFonts w:hint="eastAsia" w:ascii="宋体" w:hAnsi="宋体" w:cs="宋体"/>
          <w:color w:val="auto"/>
          <w:szCs w:val="21"/>
          <w:highlight w:val="none"/>
        </w:rPr>
        <w:t>修通知后，</w:t>
      </w:r>
      <w:r>
        <w:rPr>
          <w:rFonts w:hint="eastAsia" w:ascii="宋体" w:hAnsi="宋体" w:cs="宋体"/>
          <w:color w:val="auto"/>
          <w:kern w:val="2"/>
          <w:szCs w:val="21"/>
          <w:highlight w:val="none"/>
        </w:rPr>
        <w:t>维修人员应在2小时内响应，24小时内到达现场，48小时内完成维修</w:t>
      </w:r>
      <w:r>
        <w:rPr>
          <w:rFonts w:hint="eastAsia" w:ascii="宋体" w:hAnsi="宋体" w:cs="宋体"/>
          <w:bCs/>
          <w:color w:val="auto"/>
          <w:szCs w:val="21"/>
          <w:highlight w:val="none"/>
        </w:rPr>
        <w:t>。48小时未能修复、机器不能正常使用，须提供备用设备，设备未能修复、不能正常运行时，每超过1天免费质保期延长1周</w:t>
      </w:r>
      <w:r>
        <w:rPr>
          <w:rFonts w:hint="eastAsia" w:ascii="宋体" w:hAnsi="宋体"/>
          <w:color w:val="auto"/>
          <w:szCs w:val="21"/>
          <w:highlight w:val="none"/>
        </w:rPr>
        <w:t>。</w:t>
      </w:r>
    </w:p>
    <w:p w14:paraId="0B855C36">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在质保期内，供应商承诺无偿并迅速更换由于元器件缺陷及工艺等问题而发生故障的产品，并对因维修、保养，更换零部件等所发生的一切费用，均由供应商承担。</w:t>
      </w:r>
    </w:p>
    <w:p w14:paraId="0F7C42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5.如有其他项目需供应商配合完成，供应商须无条件派相关工程师现场配合，直至该项目完成，对此采购单位无须承担任何费用。</w:t>
      </w:r>
    </w:p>
    <w:p w14:paraId="027B3B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6.免费质保期后，采购单位可以在任意年度或时间段购买、投保，没有连续续签的要求，供应商对此予以认可及接受、并承担设备更新迭代的相关费用。</w:t>
      </w:r>
    </w:p>
    <w:p w14:paraId="09A61C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产品如涉及配件、易损件等，供应商须在投标时详细提供产品涉及的所有配件、易损件名称、价格。成交后如出现未在列的配件、易损件等，均视为免费使用或更换等，此报价5年内不得提高；配件的供给，供应商承诺给予保障</w:t>
      </w:r>
      <w:r>
        <w:rPr>
          <w:rFonts w:hint="eastAsia" w:ascii="宋体" w:hAnsi="宋体" w:cs="宋体"/>
          <w:color w:val="auto"/>
          <w:szCs w:val="21"/>
          <w:highlight w:val="none"/>
          <w:lang w:val="en-US" w:eastAsia="zh-CN"/>
        </w:rPr>
        <w:t>设备使用年限内</w:t>
      </w:r>
      <w:r>
        <w:rPr>
          <w:rFonts w:hint="eastAsia" w:ascii="宋体" w:hAnsi="宋体" w:cs="宋体"/>
          <w:color w:val="auto"/>
          <w:szCs w:val="21"/>
          <w:highlight w:val="none"/>
        </w:rPr>
        <w:t>。</w:t>
      </w:r>
    </w:p>
    <w:p w14:paraId="3E1200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8.供应商应提供软件版本免费升级服务（在不涉及硬件情况下）。</w:t>
      </w:r>
    </w:p>
    <w:p w14:paraId="0E156B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供应商不得以“密码”制约用户。如用户工作和维修需要，应无条件免费开放密码。</w:t>
      </w:r>
    </w:p>
    <w:p w14:paraId="3CD4F7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供应商产品对甲方以后设备、系统永久无偿开放。</w:t>
      </w:r>
    </w:p>
    <w:p w14:paraId="1144C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如发生供应商怠于提供上述义务而导致采购单位损失等,采购单位有权要求供应商予以赔偿。</w:t>
      </w:r>
    </w:p>
    <w:p w14:paraId="74D6AE48">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特别约定：鉴于各类技术的快速发展以及采购单位自身各类发展需求，供应商应无条件向采购单位及采购单位合作方开放或提供各类端口或信息采集口，对此供应商予以再次确认且无权收取任何费用</w:t>
      </w:r>
    </w:p>
    <w:p w14:paraId="5A743A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9.质保期内，中标方负责维修和保养服务，每年保养至少2次并提供保养报告。</w:t>
      </w:r>
    </w:p>
    <w:p w14:paraId="323A77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w:t>
      </w:r>
      <w:r>
        <w:rPr>
          <w:rFonts w:hint="eastAsia" w:ascii="宋体" w:hAnsi="宋体" w:cs="宋体"/>
          <w:color w:val="auto"/>
          <w:szCs w:val="21"/>
          <w:highlight w:val="none"/>
        </w:rPr>
        <w:t>中标人应就货物的使用维护向用户提供原厂免费技术培训，提供专业的人员上门培训，免费提供针对性的培训课程及相关学习资料，培训内容包括但不限于安装调试、维修保养、设备操作，并提供维修资料及中文操作手册，确保相关人员可熟练使用该设备</w:t>
      </w:r>
      <w:r>
        <w:rPr>
          <w:rFonts w:hint="eastAsia" w:ascii="宋体" w:hAnsi="宋体"/>
          <w:color w:val="auto"/>
          <w:szCs w:val="21"/>
          <w:highlight w:val="none"/>
        </w:rPr>
        <w:t>。</w:t>
      </w:r>
    </w:p>
    <w:p w14:paraId="435921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11.若设备需要接入医院信息系统，所需接口费用一律由中标方承担。</w:t>
      </w:r>
    </w:p>
    <w:p w14:paraId="76A0B105">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olor w:val="auto"/>
          <w:szCs w:val="21"/>
          <w:highlight w:val="none"/>
        </w:rPr>
        <w:t>12.所投设备如属于法定或强检设备的，中标方需承担首次计量检测费用</w:t>
      </w:r>
      <w:r>
        <w:rPr>
          <w:rFonts w:hint="eastAsia" w:hAnsi="宋体" w:cs="宋体"/>
          <w:color w:val="auto"/>
          <w:szCs w:val="21"/>
          <w:highlight w:val="none"/>
        </w:rPr>
        <w:t>。</w:t>
      </w:r>
    </w:p>
    <w:p w14:paraId="1FE4F84C">
      <w:pPr>
        <w:spacing w:line="360" w:lineRule="auto"/>
        <w:outlineLvl w:val="1"/>
        <w:rPr>
          <w:rFonts w:ascii="宋体" w:hAnsi="宋体" w:cs="宋体"/>
          <w:b/>
          <w:bCs/>
          <w:color w:val="auto"/>
          <w:sz w:val="24"/>
          <w:highlight w:val="none"/>
        </w:rPr>
      </w:pPr>
      <w:r>
        <w:rPr>
          <w:rFonts w:hint="eastAsia" w:ascii="宋体" w:hAnsi="宋体"/>
          <w:b/>
          <w:bCs/>
          <w:color w:val="auto"/>
          <w:szCs w:val="21"/>
          <w:highlight w:val="none"/>
        </w:rPr>
        <w:t>八、</w:t>
      </w:r>
      <w:r>
        <w:rPr>
          <w:rFonts w:hint="eastAsia" w:ascii="宋体" w:hAnsi="宋体" w:cs="宋体"/>
          <w:b/>
          <w:bCs/>
          <w:color w:val="auto"/>
          <w:szCs w:val="21"/>
          <w:highlight w:val="none"/>
        </w:rPr>
        <w:t>综合说明</w:t>
      </w:r>
    </w:p>
    <w:p w14:paraId="55F2B3D2">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rPr>
        <w:t>1、所有报价设备的生产、制造、安装等，各项技术参数标准应当符合国家相应标准或相关规范要求；国家没有相应标准、规范的，可使用行业标准、规定；非标设备按谈判文件约定的技术要求和规范。</w:t>
      </w:r>
      <w:r>
        <w:rPr>
          <w:rFonts w:hint="eastAsia" w:ascii="宋体" w:hAnsi="宋体" w:cs="宋体"/>
          <w:b/>
          <w:color w:val="auto"/>
          <w:szCs w:val="21"/>
          <w:highlight w:val="none"/>
        </w:rPr>
        <w:t>供应商响应文件中必须列明响应产品的品牌、型号、相关参数，否则视为无效响应。</w:t>
      </w:r>
    </w:p>
    <w:p w14:paraId="354851E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2、谈判供应商必须承诺谈判文件中提出的全部技术规格与要求，如果其中某些条款不响应时，应在文件中逐条列出，未列出的视同响应。</w:t>
      </w:r>
    </w:p>
    <w:p w14:paraId="3828825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谈判总报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w:t>
      </w:r>
      <w:r>
        <w:rPr>
          <w:rFonts w:hint="eastAsia" w:ascii="宋体" w:hAnsi="宋体" w:cs="宋体"/>
          <w:color w:val="auto"/>
          <w:szCs w:val="21"/>
          <w:highlight w:val="none"/>
          <w:lang w:val="zh-CN"/>
        </w:rPr>
        <w:t>同时，除非合同条款中另有规定，否则</w:t>
      </w:r>
      <w:r>
        <w:rPr>
          <w:rFonts w:hint="eastAsia" w:ascii="宋体" w:hAnsi="宋体" w:cs="宋体"/>
          <w:color w:val="auto"/>
          <w:szCs w:val="21"/>
          <w:highlight w:val="none"/>
        </w:rPr>
        <w:t>乙方</w:t>
      </w:r>
      <w:r>
        <w:rPr>
          <w:rFonts w:hint="eastAsia" w:ascii="宋体" w:hAnsi="宋体" w:cs="宋体"/>
          <w:color w:val="auto"/>
          <w:szCs w:val="21"/>
          <w:highlight w:val="none"/>
          <w:lang w:val="zh-CN"/>
        </w:rPr>
        <w:t>所报价格在合同实施期间不因市场变化因素而变动</w:t>
      </w:r>
      <w:r>
        <w:rPr>
          <w:rFonts w:hint="eastAsia" w:ascii="宋体" w:hAnsi="宋体" w:cs="宋体"/>
          <w:color w:val="auto"/>
          <w:szCs w:val="21"/>
          <w:highlight w:val="none"/>
        </w:rPr>
        <w:t>。</w:t>
      </w:r>
    </w:p>
    <w:p w14:paraId="79F0866D">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交货要求：</w:t>
      </w:r>
    </w:p>
    <w:p w14:paraId="485EFC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4.1交货期限：自收到采购单位通知后30天内交货及安装、调试完成。</w:t>
      </w:r>
    </w:p>
    <w:p w14:paraId="22460A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4.2交货地点：昆山市第一人民医院（具体按照采购单位要求）。</w:t>
      </w:r>
    </w:p>
    <w:p w14:paraId="47C036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4.3货物交货时，包装须完整无破损，乙方还必须提供以下材料：</w:t>
      </w:r>
    </w:p>
    <w:p w14:paraId="45CD4A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A、货物装箱清单 </w:t>
      </w:r>
    </w:p>
    <w:p w14:paraId="033CD0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B、合格证（国产设备必须提供）    </w:t>
      </w:r>
    </w:p>
    <w:p w14:paraId="27D81F95">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C、报关单&amp;商检单（进口设备）等证明标的物合法、合规来源的证明文件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如涉及）</w:t>
      </w:r>
    </w:p>
    <w:p w14:paraId="609022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D、医疗器械注册证</w:t>
      </w:r>
    </w:p>
    <w:p w14:paraId="314CB5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E、培训单          </w:t>
      </w:r>
    </w:p>
    <w:p w14:paraId="655A1C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F、质量检验合格文件（计量合格证）</w:t>
      </w:r>
    </w:p>
    <w:p w14:paraId="3F9EAF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G、中英文技术资料                 </w:t>
      </w:r>
    </w:p>
    <w:p w14:paraId="36C370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H、使用维修保养中文说明书</w:t>
      </w:r>
    </w:p>
    <w:p w14:paraId="0FCB8D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I、其它必备材料和必备工具等       </w:t>
      </w:r>
    </w:p>
    <w:p w14:paraId="749FA1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J、保修单等其它必须材料</w:t>
      </w:r>
    </w:p>
    <w:p w14:paraId="4B23CC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5、验收要求：</w:t>
      </w:r>
    </w:p>
    <w:p w14:paraId="62690F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5.1验收标准：根据政府采购合同要求、采购文件要求、响应文件、承诺及有关国家或行业规定。</w:t>
      </w:r>
    </w:p>
    <w:p w14:paraId="11DCBC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项目的验收包括：数量、外观、质量、性能；符合规定的性能，无瑕疵和缺陷，质量为合格产品，可以正常使用。成交供应商对质量问题负责包退、包换和包修，因此发生的费用由成交供应商自行负责。采购单位将组织专业人员对供方提供的产品进行检验或抽检，对由此造成采购单位的工期耽误等损失，均由供方承担。</w:t>
      </w:r>
    </w:p>
    <w:p w14:paraId="3DBE59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根据甲方按检验标准自己检验的结果或当地计监部门的检验结果，或者在质量保证期内，如果标的物的数量、质量或规格与合同不符或证实标的物是有缺陷的，包括潜在缺陷或使用不符合要求的材料等，甲方应尽快以书面形式通知乙方并提出索赔。</w:t>
      </w:r>
    </w:p>
    <w:p w14:paraId="4CDCD0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6、凡涉及招标文件的补充说明和修改，均以苏州市政府采购网通知为准。</w:t>
      </w:r>
    </w:p>
    <w:p w14:paraId="481D6EE5">
      <w:pPr>
        <w:kinsoku w:val="0"/>
        <w:overflowPunct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知识产权：供方应保证采购人免除且供方承担由于采购人在其本国使用该设备或设备任何一部分时而引起第三方提出的侵犯专利权、商标权或工业设计权的起诉、行动、行政程序索赔、请求等以及采购人为此而产生的损失和损害、费用和支出（包括律师费）。</w:t>
      </w:r>
    </w:p>
    <w:p w14:paraId="2451DE1C">
      <w:pPr>
        <w:kinsoku w:val="0"/>
        <w:overflowPunct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8、采用最低评标价法的采购项目，提供相同品牌产品的不同投标人参加同一合同项下投标的，以其中通过资格审查、符合性审查且报价最低的参加评标；报价相同的，由采购人或者采购人委托评标委员会按照采购文件规定的方式确定一个参加评标的投标人，采购文件未规定的采取随机抽取方式确定，其他投标无效。</w:t>
      </w:r>
    </w:p>
    <w:p w14:paraId="3978D523">
      <w:pPr>
        <w:autoSpaceDE w:val="0"/>
        <w:autoSpaceDN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九、信用查询</w:t>
      </w:r>
    </w:p>
    <w:p w14:paraId="72A16C1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根据政府采购法及相关法规的规定，将对供应商进行信用查询，凡经确认不符合政府采购相关法律法规规定的，将拒绝其参与政府采购活动。</w:t>
      </w:r>
    </w:p>
    <w:p w14:paraId="1FDE283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查询时间：投标文件递交截止时间后。</w:t>
      </w:r>
    </w:p>
    <w:p w14:paraId="5A81AE4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查询渠道：</w:t>
      </w:r>
      <w:r>
        <w:rPr>
          <w:rFonts w:hint="eastAsia" w:ascii="宋体" w:hAnsi="宋体" w:cs="宋体"/>
          <w:color w:val="auto"/>
          <w:szCs w:val="21"/>
          <w:highlight w:val="none"/>
        </w:rPr>
        <w:t>采购代理机构会在接收投标文件截止时间后，登录</w:t>
      </w:r>
      <w:r>
        <w:rPr>
          <w:rFonts w:ascii="宋体" w:hAnsi="宋体" w:cs="宋体"/>
          <w:color w:val="auto"/>
          <w:szCs w:val="21"/>
          <w:highlight w:val="none"/>
        </w:rPr>
        <w:t>信用中国</w:t>
      </w:r>
      <w:r>
        <w:rPr>
          <w:rFonts w:hint="eastAsia" w:ascii="宋体" w:hAnsi="宋体" w:cs="宋体"/>
          <w:color w:val="auto"/>
          <w:szCs w:val="21"/>
          <w:highlight w:val="none"/>
        </w:rPr>
        <w:t>网站</w:t>
      </w:r>
      <w:r>
        <w:rPr>
          <w:rFonts w:ascii="宋体" w:hAnsi="宋体" w:cs="宋体"/>
          <w:color w:val="auto"/>
          <w:szCs w:val="21"/>
          <w:highlight w:val="none"/>
        </w:rPr>
        <w:t>（www.creditchina.gov.cn）查询供应商的信用记录，并将查询结果递交</w:t>
      </w:r>
      <w:r>
        <w:rPr>
          <w:rFonts w:hint="eastAsia" w:ascii="宋体" w:hAnsi="宋体" w:cs="宋体"/>
          <w:color w:val="auto"/>
          <w:szCs w:val="21"/>
          <w:highlight w:val="none"/>
        </w:rPr>
        <w:t>评标委员会。</w:t>
      </w:r>
    </w:p>
    <w:p w14:paraId="7503B740">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查询证据留存方式：</w:t>
      </w:r>
      <w:r>
        <w:rPr>
          <w:rFonts w:hint="eastAsia" w:ascii="宋体" w:hAnsi="宋体" w:cs="宋体"/>
          <w:color w:val="auto"/>
          <w:szCs w:val="21"/>
          <w:highlight w:val="none"/>
        </w:rPr>
        <w:t>采购人、采购代理机构工作人员等应按照相关管理办法查询相关主体的信用记录，并保存好相关证据材料，信用查询记录及相关证据应当归入采购档案妥善保管。采购代理机构工作人员应登</w:t>
      </w:r>
      <w:r>
        <w:rPr>
          <w:rFonts w:hint="eastAsia" w:ascii="宋体" w:hAnsi="宋体"/>
          <w:color w:val="auto"/>
          <w:szCs w:val="21"/>
          <w:highlight w:val="none"/>
        </w:rPr>
        <w:t>录</w:t>
      </w:r>
      <w:r>
        <w:rPr>
          <w:rFonts w:hint="eastAsia" w:ascii="宋体" w:hAnsi="宋体" w:cs="宋体"/>
          <w:color w:val="auto"/>
          <w:szCs w:val="21"/>
          <w:highlight w:val="none"/>
        </w:rPr>
        <w:t>到来源网站页面进行复核并打印，作为证据留存。</w:t>
      </w:r>
    </w:p>
    <w:p w14:paraId="3FAFC37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olor w:val="auto"/>
          <w:highlight w:val="none"/>
        </w:rPr>
        <w:t>4、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38B25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信用记录使用规则：对供应商进行资格性审查时，应根据查询结果对供应商的不良信用记录逐项甄别确认。按照《中华人民共和国政府采购法》第二十二条规定，下列信用记录属于应依法拒绝供应商参加政府采购的失信信息：</w:t>
      </w:r>
    </w:p>
    <w:p w14:paraId="2BFD941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（一）政府采购严重违法记录，即供应商被全国各级财政部门列入“政府采购严重违法失信行为记录名单”，且在处罚有效期内的。</w:t>
      </w:r>
    </w:p>
    <w:p w14:paraId="4B9479B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（二）财政部门与法院、工商、税务等部门联合惩戒的失信信息，包括：</w:t>
      </w:r>
    </w:p>
    <w:p w14:paraId="7950487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（1）被列入失信被执行人名单；</w:t>
      </w:r>
    </w:p>
    <w:p w14:paraId="2FC1957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（2）被列入重大税收违法案件当事人名单；</w:t>
      </w:r>
    </w:p>
    <w:p w14:paraId="0067BAB5">
      <w:pPr>
        <w:spacing w:line="360" w:lineRule="auto"/>
        <w:ind w:left="420" w:leftChars="200"/>
        <w:rPr>
          <w:rFonts w:ascii="宋体" w:hAnsi="宋体" w:cs="宋体"/>
          <w:b/>
          <w:bCs/>
          <w:color w:val="auto"/>
          <w:szCs w:val="21"/>
          <w:highlight w:val="none"/>
        </w:rPr>
      </w:pPr>
      <w:r>
        <w:rPr>
          <w:rFonts w:hint="eastAsia" w:ascii="宋体" w:hAnsi="宋体" w:cs="宋体"/>
          <w:color w:val="auto"/>
          <w:szCs w:val="21"/>
          <w:highlight w:val="none"/>
          <w:lang w:val="zh-CN"/>
        </w:rPr>
        <w:t>（3）企业经营异常名录中被责令停产停业、暂扣或者吊销许可证或者执照，或者对经营活动中的</w:t>
      </w:r>
      <w:r>
        <w:rPr>
          <w:rFonts w:hint="eastAsia" w:ascii="宋体" w:hAnsi="宋体" w:cs="宋体"/>
          <w:color w:val="auto"/>
          <w:szCs w:val="21"/>
          <w:highlight w:val="none"/>
        </w:rPr>
        <w:t>违法行为处以</w:t>
      </w:r>
      <w:r>
        <w:rPr>
          <w:rFonts w:hint="eastAsia" w:ascii="宋体" w:hAnsi="宋体" w:cs="宋体"/>
          <w:color w:val="auto"/>
          <w:szCs w:val="21"/>
          <w:highlight w:val="none"/>
          <w:lang w:val="zh-CN"/>
        </w:rPr>
        <w:t>较大数额罚款（“较大数额罚款”认定为200万元以上的罚款，法律、行政法规以及国务院有关部门明确规定相关领域“较大数额罚款”标准高于200万元的，从其规定）的信用记录。处罚生效日至递交（响应）文件日未满三年的</w:t>
      </w:r>
    </w:p>
    <w:p w14:paraId="0C57F486">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十、相关政策（如涉及）</w:t>
      </w:r>
    </w:p>
    <w:p w14:paraId="5D71B3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（1）本次招标</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设备的投标，进口产品的定义为：指通过中国海关报关验收进入中国境内且产自境外的产品，具体按照苏财购〔2008〕14号江苏省财政厅转发财政部办公厅关于政府采购进口产品管理有关问题的通知的规定。</w:t>
      </w:r>
    </w:p>
    <w:p w14:paraId="43C7626C">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（2）中、小、微企业</w:t>
      </w:r>
      <w:r>
        <w:rPr>
          <w:rFonts w:hint="eastAsia" w:ascii="宋体" w:hAnsi="宋体" w:cs="宋体"/>
          <w:b/>
          <w:bCs/>
          <w:color w:val="auto"/>
          <w:szCs w:val="21"/>
          <w:highlight w:val="none"/>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14:paraId="0D9DCEC1">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hint="eastAsia" w:ascii="宋体" w:hAnsi="宋体" w:cs="宋体"/>
          <w:color w:val="auto"/>
          <w:szCs w:val="21"/>
          <w:highlight w:val="none"/>
        </w:rPr>
        <w:t>小型企业和微型企业的投标报价扣除20%后参与评审。</w:t>
      </w:r>
      <w:r>
        <w:rPr>
          <w:rFonts w:hint="eastAsia" w:ascii="宋体" w:hAnsi="宋体" w:cs="宋体"/>
          <w:b/>
          <w:color w:val="auto"/>
          <w:highlight w:val="none"/>
        </w:rPr>
        <w:t>《中小企业声明函》中所填的行业应与本采购标的对应的中小企业划分标准所属行业一致，未提交声明函或所提交的声明函中行业与本采购标的对应的中小企业划分标准所属行业不一致不享受相关政策。</w:t>
      </w:r>
    </w:p>
    <w:p w14:paraId="36A6ECF8">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hint="eastAsia" w:ascii="宋体" w:hAnsi="宋体" w:cs="宋体"/>
          <w:b/>
          <w:color w:val="auto"/>
          <w:szCs w:val="21"/>
          <w:highlight w:val="none"/>
        </w:rPr>
        <w:t>服务类项目中供应商若使用退休人员，将不享受相关扶持政策。</w:t>
      </w:r>
    </w:p>
    <w:p w14:paraId="3938AC74">
      <w:pPr>
        <w:tabs>
          <w:tab w:val="left" w:pos="567"/>
        </w:tabs>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根据《政府采购促进中小企业发展管理办法》（财库〔2020〕46号）及《中小企业划型标准规定》（工信部联企业〔2011〕300号），本采购项目对应的中小企业划分标准所属行业为：工业。</w:t>
      </w:r>
    </w:p>
    <w:p w14:paraId="488D0E31">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（3）残疾人福利性单位</w:t>
      </w:r>
      <w:r>
        <w:rPr>
          <w:rFonts w:hint="eastAsia" w:ascii="宋体" w:hAnsi="宋体" w:cs="宋体"/>
          <w:b/>
          <w:bCs/>
          <w:color w:val="auto"/>
          <w:szCs w:val="21"/>
          <w:highlight w:val="none"/>
        </w:rPr>
        <w:t>（若为专门面向中小企业采购的项目或者采购包，不再执行价格评审优惠的扶持政策）</w:t>
      </w:r>
    </w:p>
    <w:p w14:paraId="4F6B0288">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14:paraId="3F088011">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（4）监狱企业</w:t>
      </w:r>
      <w:r>
        <w:rPr>
          <w:rFonts w:hint="eastAsia" w:ascii="宋体" w:hAnsi="宋体" w:cs="宋体"/>
          <w:b/>
          <w:bCs/>
          <w:color w:val="auto"/>
          <w:szCs w:val="21"/>
          <w:highlight w:val="none"/>
        </w:rPr>
        <w:t>（若为专门面向中小企业采购的项目或者采购包，不再执行价格评审优惠的扶持政策）</w:t>
      </w:r>
    </w:p>
    <w:p w14:paraId="1FBCC7B4">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政府采购支持监狱企业发展有关问题的通知》（财库〔2014〕68号）的相关规定，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14:paraId="38EFE89E">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（5）绿色采购</w:t>
      </w:r>
    </w:p>
    <w:p w14:paraId="64E3546A">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1）根据《关于调整优化节能产品、环境标志产品政府采购执行机制的通知》（财库〔2019〕9号）等相关文件的规定，</w:t>
      </w:r>
      <w:r>
        <w:rPr>
          <w:rFonts w:hint="eastAsia" w:ascii="宋体" w:hAnsi="宋体" w:cs="宋体"/>
          <w:b/>
          <w:color w:val="auto"/>
          <w:szCs w:val="21"/>
          <w:highlight w:val="none"/>
        </w:rPr>
        <w:t>对属于《节能产品政府采购品目清单》中强制采购范围内产品的，供应商须提供由国家确定的认证机构出具的、处于有效期之内的节能产品认证证书，上述品目清单可通过“中国政府采购网”（http://www.ccgp.gov.cn）查询,并在响应文件中提供由国家确定的认证机构出具的、处于有效期之内的节能产品认证证书复印件，否则视为未实质性响应。</w:t>
      </w:r>
    </w:p>
    <w:p w14:paraId="7B3B155F">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0A8E50B2">
      <w:pPr>
        <w:kinsoku w:val="0"/>
        <w:overflowPunct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14:paraId="462DCD15">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6）根据《苏财购〔2025〕62号》文，评审委员会启动异常低价投标（响应）审查的情形和具体要求，包括：</w:t>
      </w:r>
    </w:p>
    <w:p w14:paraId="6886B7D7">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A、评审过程中出现下列情形之一的，评审委员会应当启动异常低价投标（响应）审查程序：</w:t>
      </w:r>
    </w:p>
    <w:p w14:paraId="61972AEB">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（1）投标（响应）报价低于采购项目预算50%的，即投标（响应）报价&lt;采购项目预算×50%；</w:t>
      </w:r>
    </w:p>
    <w:p w14:paraId="42B7B34E">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（2）投标（响应）报价低于采购项目最高限价45%的，即投标（响应）报价&lt;采购项目最高限价×45%；</w:t>
      </w:r>
    </w:p>
    <w:p w14:paraId="4D71D5D0">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（3）评审委员会认定的供应商报价过低、有可能影响产品质量或者不能诚信履约的其他情形。</w:t>
      </w:r>
    </w:p>
    <w:p w14:paraId="31E4EE71">
      <w:pPr>
        <w:kinsoku w:val="0"/>
        <w:overflowPunct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highlight w:val="none"/>
          <w:lang w:val="en-US" w:eastAsia="zh-CN"/>
        </w:rPr>
        <w:t>B、启动异常低价投标（响应）审查后，评审委员会应当要求相关供应商在苏采云系统中设置的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65D9126">
      <w:pPr>
        <w:spacing w:line="360" w:lineRule="auto"/>
        <w:ind w:firstLine="482"/>
        <w:jc w:val="center"/>
        <w:rPr>
          <w:rFonts w:ascii="宋体" w:hAnsi="宋体" w:cs="宋体"/>
          <w:b/>
          <w:color w:val="auto"/>
          <w:sz w:val="32"/>
          <w:szCs w:val="32"/>
          <w:highlight w:val="none"/>
        </w:rPr>
      </w:pPr>
    </w:p>
    <w:p w14:paraId="1847E913">
      <w:pPr>
        <w:spacing w:line="360" w:lineRule="auto"/>
        <w:ind w:firstLine="482"/>
        <w:jc w:val="center"/>
        <w:rPr>
          <w:rFonts w:ascii="宋体" w:hAnsi="宋体" w:cs="宋体"/>
          <w:b/>
          <w:color w:val="auto"/>
          <w:sz w:val="44"/>
          <w:szCs w:val="44"/>
          <w:highlight w:val="none"/>
        </w:rPr>
      </w:pPr>
    </w:p>
    <w:p w14:paraId="176D19C6">
      <w:pPr>
        <w:spacing w:line="360" w:lineRule="auto"/>
        <w:ind w:firstLine="482"/>
        <w:jc w:val="center"/>
        <w:rPr>
          <w:rFonts w:ascii="宋体" w:hAnsi="宋体" w:cs="宋体"/>
          <w:b/>
          <w:color w:val="auto"/>
          <w:sz w:val="44"/>
          <w:szCs w:val="44"/>
          <w:highlight w:val="none"/>
        </w:rPr>
      </w:pPr>
    </w:p>
    <w:p w14:paraId="499207F9">
      <w:pPr>
        <w:spacing w:line="360" w:lineRule="auto"/>
        <w:ind w:firstLine="482"/>
        <w:jc w:val="center"/>
        <w:rPr>
          <w:rFonts w:ascii="宋体" w:hAnsi="宋体" w:cs="宋体"/>
          <w:b/>
          <w:color w:val="auto"/>
          <w:sz w:val="44"/>
          <w:szCs w:val="44"/>
          <w:highlight w:val="none"/>
        </w:rPr>
      </w:pPr>
    </w:p>
    <w:p w14:paraId="5C8444F8">
      <w:pPr>
        <w:spacing w:line="360" w:lineRule="auto"/>
        <w:ind w:firstLine="482"/>
        <w:jc w:val="center"/>
        <w:rPr>
          <w:rFonts w:ascii="宋体" w:hAnsi="宋体" w:cs="宋体"/>
          <w:b/>
          <w:color w:val="auto"/>
          <w:sz w:val="44"/>
          <w:szCs w:val="44"/>
          <w:highlight w:val="none"/>
        </w:rPr>
      </w:pPr>
    </w:p>
    <w:p w14:paraId="2DE9A951">
      <w:pPr>
        <w:spacing w:line="360" w:lineRule="auto"/>
        <w:ind w:firstLine="482"/>
        <w:jc w:val="center"/>
        <w:rPr>
          <w:rFonts w:ascii="宋体" w:hAnsi="宋体" w:cs="宋体"/>
          <w:b/>
          <w:color w:val="auto"/>
          <w:sz w:val="44"/>
          <w:szCs w:val="44"/>
          <w:highlight w:val="none"/>
        </w:rPr>
      </w:pPr>
    </w:p>
    <w:p w14:paraId="0918AC85">
      <w:pPr>
        <w:spacing w:line="360" w:lineRule="auto"/>
        <w:ind w:firstLine="482"/>
        <w:jc w:val="center"/>
        <w:rPr>
          <w:rFonts w:ascii="宋体" w:hAnsi="宋体" w:cs="宋体"/>
          <w:b/>
          <w:color w:val="auto"/>
          <w:sz w:val="44"/>
          <w:szCs w:val="44"/>
          <w:highlight w:val="none"/>
        </w:rPr>
      </w:pPr>
    </w:p>
    <w:p w14:paraId="603E460F">
      <w:pPr>
        <w:spacing w:line="360" w:lineRule="auto"/>
        <w:ind w:firstLine="482"/>
        <w:jc w:val="center"/>
        <w:rPr>
          <w:rFonts w:ascii="宋体" w:hAnsi="宋体" w:cs="宋体"/>
          <w:b/>
          <w:color w:val="auto"/>
          <w:sz w:val="44"/>
          <w:szCs w:val="44"/>
          <w:highlight w:val="none"/>
        </w:rPr>
      </w:pPr>
    </w:p>
    <w:p w14:paraId="52C4D3CF">
      <w:pPr>
        <w:spacing w:line="360" w:lineRule="auto"/>
        <w:ind w:firstLine="482"/>
        <w:jc w:val="center"/>
        <w:rPr>
          <w:rFonts w:ascii="宋体" w:hAnsi="宋体" w:cs="宋体"/>
          <w:b/>
          <w:color w:val="auto"/>
          <w:sz w:val="44"/>
          <w:szCs w:val="44"/>
          <w:highlight w:val="none"/>
        </w:rPr>
      </w:pPr>
    </w:p>
    <w:p w14:paraId="6E1F4191">
      <w:pPr>
        <w:spacing w:line="360" w:lineRule="auto"/>
        <w:ind w:firstLine="482"/>
        <w:jc w:val="center"/>
        <w:rPr>
          <w:rFonts w:ascii="宋体" w:hAnsi="宋体" w:cs="宋体"/>
          <w:b/>
          <w:color w:val="auto"/>
          <w:sz w:val="44"/>
          <w:szCs w:val="44"/>
          <w:highlight w:val="none"/>
        </w:rPr>
      </w:pPr>
    </w:p>
    <w:p w14:paraId="0648B060">
      <w:pPr>
        <w:spacing w:line="360" w:lineRule="auto"/>
        <w:ind w:firstLine="482"/>
        <w:jc w:val="center"/>
        <w:rPr>
          <w:rFonts w:ascii="宋体" w:hAnsi="宋体" w:cs="宋体"/>
          <w:b/>
          <w:color w:val="auto"/>
          <w:sz w:val="44"/>
          <w:szCs w:val="44"/>
          <w:highlight w:val="none"/>
        </w:rPr>
      </w:pPr>
    </w:p>
    <w:p w14:paraId="16633DEA">
      <w:pPr>
        <w:spacing w:line="360" w:lineRule="auto"/>
        <w:ind w:firstLine="482"/>
        <w:jc w:val="center"/>
        <w:rPr>
          <w:rFonts w:ascii="宋体" w:hAnsi="宋体" w:cs="宋体"/>
          <w:b/>
          <w:color w:val="auto"/>
          <w:sz w:val="44"/>
          <w:szCs w:val="44"/>
          <w:highlight w:val="none"/>
        </w:rPr>
      </w:pPr>
    </w:p>
    <w:p w14:paraId="217F96EF">
      <w:pPr>
        <w:spacing w:line="360" w:lineRule="auto"/>
        <w:ind w:firstLine="482"/>
        <w:jc w:val="center"/>
        <w:rPr>
          <w:rFonts w:ascii="宋体" w:hAnsi="宋体" w:cs="宋体"/>
          <w:b/>
          <w:color w:val="auto"/>
          <w:sz w:val="44"/>
          <w:szCs w:val="44"/>
          <w:highlight w:val="none"/>
        </w:rPr>
      </w:pPr>
    </w:p>
    <w:p w14:paraId="38B8BDCF">
      <w:pPr>
        <w:spacing w:line="360" w:lineRule="auto"/>
        <w:ind w:firstLine="482"/>
        <w:jc w:val="center"/>
        <w:rPr>
          <w:rFonts w:ascii="宋体" w:hAnsi="宋体" w:cs="宋体"/>
          <w:b/>
          <w:color w:val="auto"/>
          <w:sz w:val="44"/>
          <w:szCs w:val="44"/>
          <w:highlight w:val="none"/>
        </w:rPr>
      </w:pPr>
    </w:p>
    <w:p w14:paraId="3EB9FFFE">
      <w:pPr>
        <w:spacing w:line="360" w:lineRule="auto"/>
        <w:ind w:firstLine="482"/>
        <w:jc w:val="center"/>
        <w:rPr>
          <w:rFonts w:ascii="宋体" w:hAnsi="宋体" w:cs="宋体"/>
          <w:b/>
          <w:color w:val="auto"/>
          <w:sz w:val="44"/>
          <w:szCs w:val="44"/>
          <w:highlight w:val="none"/>
        </w:rPr>
      </w:pPr>
      <w:r>
        <w:rPr>
          <w:rFonts w:hint="eastAsia" w:ascii="宋体" w:hAnsi="宋体" w:cs="宋体"/>
          <w:b/>
          <w:color w:val="auto"/>
          <w:sz w:val="44"/>
          <w:szCs w:val="44"/>
          <w:highlight w:val="none"/>
        </w:rPr>
        <w:t>第五章 合同主要条款</w:t>
      </w:r>
    </w:p>
    <w:p w14:paraId="42057CDF">
      <w:pPr>
        <w:spacing w:line="360" w:lineRule="auto"/>
        <w:ind w:firstLine="482"/>
        <w:rPr>
          <w:rFonts w:ascii="宋体" w:hAnsi="宋体" w:cs="宋体"/>
          <w:color w:val="auto"/>
          <w:szCs w:val="21"/>
          <w:highlight w:val="none"/>
        </w:rPr>
      </w:pPr>
      <w:r>
        <w:rPr>
          <w:rFonts w:hint="eastAsia" w:ascii="宋体" w:hAnsi="宋体" w:cs="宋体"/>
          <w:bCs/>
          <w:color w:val="auto"/>
          <w:szCs w:val="21"/>
          <w:highlight w:val="none"/>
        </w:rPr>
        <w:t>根据</w:t>
      </w:r>
      <w:r>
        <w:rPr>
          <w:rFonts w:hint="eastAsia" w:ascii="宋体" w:hAnsi="宋体" w:cs="宋体"/>
          <w:color w:val="auto"/>
          <w:szCs w:val="21"/>
          <w:highlight w:val="none"/>
        </w:rPr>
        <w:t>苏州市创杰招投标咨询服务有限公司采购编号</w:t>
      </w:r>
      <w:r>
        <w:rPr>
          <w:rFonts w:hint="eastAsia" w:ascii="宋体" w:hAnsi="宋体" w:cs="宋体"/>
          <w:color w:val="auto"/>
          <w:szCs w:val="21"/>
          <w:highlight w:val="none"/>
          <w:lang w:eastAsia="zh-CN"/>
        </w:rPr>
        <w:t>JSZC-320583-CJZB-T2025-0232</w:t>
      </w:r>
      <w:r>
        <w:rPr>
          <w:rFonts w:hint="eastAsia" w:ascii="宋体" w:hAnsi="宋体" w:cs="宋体"/>
          <w:bCs/>
          <w:color w:val="auto"/>
          <w:szCs w:val="21"/>
          <w:highlight w:val="none"/>
        </w:rPr>
        <w:t>谈判采购文件及成交通知书，甲乙双方就此次成交的事宜，签订本合同书</w:t>
      </w:r>
      <w:r>
        <w:rPr>
          <w:rFonts w:hint="eastAsia" w:ascii="宋体" w:hAnsi="宋体" w:cs="宋体"/>
          <w:color w:val="auto"/>
          <w:szCs w:val="21"/>
          <w:highlight w:val="none"/>
        </w:rPr>
        <w:t>。</w:t>
      </w:r>
    </w:p>
    <w:p w14:paraId="52927DA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一、合同标的物</w:t>
      </w:r>
    </w:p>
    <w:p w14:paraId="265BE866">
      <w:pPr>
        <w:adjustRightInd w:val="0"/>
        <w:snapToGrid w:val="0"/>
        <w:spacing w:line="360" w:lineRule="auto"/>
        <w:ind w:firstLine="210" w:firstLineChars="100"/>
        <w:rPr>
          <w:rFonts w:ascii="宋体" w:hAnsi="宋体" w:cs="宋体"/>
          <w:color w:val="auto"/>
          <w:szCs w:val="21"/>
          <w:highlight w:val="none"/>
          <w:u w:val="single"/>
        </w:rPr>
      </w:pPr>
      <w:r>
        <w:rPr>
          <w:rFonts w:hint="eastAsia" w:ascii="宋体" w:hAnsi="宋体" w:cs="宋体"/>
          <w:bCs/>
          <w:color w:val="auto"/>
          <w:szCs w:val="21"/>
          <w:highlight w:val="none"/>
        </w:rPr>
        <w:t>1.乙方负责</w:t>
      </w:r>
      <w:r>
        <w:rPr>
          <w:rFonts w:hint="eastAsia" w:ascii="宋体" w:hAnsi="宋体" w:cs="宋体"/>
          <w:color w:val="auto"/>
          <w:szCs w:val="21"/>
          <w:highlight w:val="none"/>
        </w:rPr>
        <w:t>提供甲方所需的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F00EDD3">
      <w:pPr>
        <w:adjustRightInd w:val="0"/>
        <w:snapToGrid w:val="0"/>
        <w:spacing w:line="360" w:lineRule="auto"/>
        <w:ind w:firstLine="210" w:firstLineChars="100"/>
        <w:rPr>
          <w:rFonts w:ascii="宋体" w:hAnsi="宋体" w:cs="宋体"/>
          <w:b/>
          <w:color w:val="auto"/>
          <w:szCs w:val="21"/>
          <w:highlight w:val="none"/>
        </w:rPr>
      </w:pPr>
      <w:r>
        <w:rPr>
          <w:rFonts w:hint="eastAsia" w:ascii="宋体" w:hAnsi="宋体" w:cs="宋体"/>
          <w:color w:val="auto"/>
          <w:szCs w:val="21"/>
          <w:highlight w:val="none"/>
        </w:rPr>
        <w:t>2.合同价及明细见下表：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46"/>
        <w:gridCol w:w="1574"/>
        <w:gridCol w:w="921"/>
        <w:gridCol w:w="792"/>
        <w:gridCol w:w="1111"/>
        <w:gridCol w:w="898"/>
        <w:gridCol w:w="896"/>
      </w:tblGrid>
      <w:tr w14:paraId="112B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2" w:type="dxa"/>
            <w:noWrap/>
            <w:vAlign w:val="center"/>
          </w:tcPr>
          <w:p w14:paraId="00CA2C99">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46" w:type="dxa"/>
            <w:noWrap/>
            <w:vAlign w:val="center"/>
          </w:tcPr>
          <w:p w14:paraId="0642ED30">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货物名称（原厂全新）</w:t>
            </w:r>
          </w:p>
        </w:tc>
        <w:tc>
          <w:tcPr>
            <w:tcW w:w="1574" w:type="dxa"/>
            <w:noWrap/>
            <w:vAlign w:val="center"/>
          </w:tcPr>
          <w:p w14:paraId="5DF5EC0C">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品牌、规格、型号</w:t>
            </w:r>
          </w:p>
        </w:tc>
        <w:tc>
          <w:tcPr>
            <w:tcW w:w="921" w:type="dxa"/>
            <w:noWrap/>
            <w:vAlign w:val="center"/>
          </w:tcPr>
          <w:p w14:paraId="662B7278">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92" w:type="dxa"/>
            <w:noWrap/>
            <w:vAlign w:val="center"/>
          </w:tcPr>
          <w:p w14:paraId="5057BCC5">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111" w:type="dxa"/>
            <w:noWrap/>
            <w:vAlign w:val="center"/>
          </w:tcPr>
          <w:p w14:paraId="1EC42F84">
            <w:pPr>
              <w:widowControl/>
              <w:adjustRightInd w:val="0"/>
              <w:snapToGrid w:val="0"/>
              <w:rPr>
                <w:rFonts w:ascii="宋体" w:hAnsi="宋体" w:cs="宋体"/>
                <w:color w:val="auto"/>
                <w:szCs w:val="21"/>
                <w:highlight w:val="none"/>
              </w:rPr>
            </w:pPr>
            <w:r>
              <w:rPr>
                <w:rFonts w:hint="eastAsia" w:ascii="宋体" w:hAnsi="宋体" w:cs="宋体"/>
                <w:color w:val="auto"/>
                <w:szCs w:val="21"/>
                <w:highlight w:val="none"/>
              </w:rPr>
              <w:t>生产厂家</w:t>
            </w:r>
          </w:p>
        </w:tc>
        <w:tc>
          <w:tcPr>
            <w:tcW w:w="898" w:type="dxa"/>
            <w:noWrap/>
            <w:vAlign w:val="center"/>
          </w:tcPr>
          <w:p w14:paraId="2E430E9B">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单价</w:t>
            </w:r>
          </w:p>
          <w:p w14:paraId="31A32204">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（元）</w:t>
            </w:r>
          </w:p>
        </w:tc>
        <w:tc>
          <w:tcPr>
            <w:tcW w:w="896" w:type="dxa"/>
            <w:noWrap/>
            <w:vAlign w:val="center"/>
          </w:tcPr>
          <w:p w14:paraId="6EA1CEB4">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总价</w:t>
            </w:r>
          </w:p>
          <w:p w14:paraId="7AD34350">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（元）</w:t>
            </w:r>
          </w:p>
        </w:tc>
      </w:tr>
      <w:tr w14:paraId="1BD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07C0C308">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646" w:type="dxa"/>
            <w:noWrap/>
            <w:vAlign w:val="center"/>
          </w:tcPr>
          <w:p w14:paraId="3CEF8017">
            <w:pPr>
              <w:widowControl/>
              <w:adjustRightInd w:val="0"/>
              <w:snapToGrid w:val="0"/>
              <w:jc w:val="center"/>
              <w:rPr>
                <w:rFonts w:ascii="宋体" w:hAnsi="宋体" w:cs="宋体"/>
                <w:color w:val="auto"/>
                <w:szCs w:val="21"/>
                <w:highlight w:val="none"/>
              </w:rPr>
            </w:pPr>
          </w:p>
        </w:tc>
        <w:tc>
          <w:tcPr>
            <w:tcW w:w="1574" w:type="dxa"/>
            <w:noWrap/>
            <w:vAlign w:val="center"/>
          </w:tcPr>
          <w:p w14:paraId="1E3FEAF5">
            <w:pPr>
              <w:widowControl/>
              <w:adjustRightInd w:val="0"/>
              <w:snapToGrid w:val="0"/>
              <w:jc w:val="center"/>
              <w:rPr>
                <w:rFonts w:ascii="宋体" w:hAnsi="宋体" w:cs="宋体"/>
                <w:color w:val="auto"/>
                <w:szCs w:val="21"/>
                <w:highlight w:val="none"/>
              </w:rPr>
            </w:pPr>
          </w:p>
        </w:tc>
        <w:tc>
          <w:tcPr>
            <w:tcW w:w="921" w:type="dxa"/>
            <w:noWrap/>
            <w:vAlign w:val="center"/>
          </w:tcPr>
          <w:p w14:paraId="2795F6B4">
            <w:pPr>
              <w:widowControl/>
              <w:adjustRightInd w:val="0"/>
              <w:snapToGrid w:val="0"/>
              <w:jc w:val="center"/>
              <w:rPr>
                <w:rFonts w:ascii="宋体" w:hAnsi="宋体" w:cs="宋体"/>
                <w:color w:val="auto"/>
                <w:szCs w:val="21"/>
                <w:highlight w:val="none"/>
              </w:rPr>
            </w:pPr>
          </w:p>
        </w:tc>
        <w:tc>
          <w:tcPr>
            <w:tcW w:w="792" w:type="dxa"/>
            <w:noWrap/>
            <w:vAlign w:val="center"/>
          </w:tcPr>
          <w:p w14:paraId="7508ECAB">
            <w:pPr>
              <w:widowControl/>
              <w:adjustRightInd w:val="0"/>
              <w:snapToGrid w:val="0"/>
              <w:jc w:val="center"/>
              <w:rPr>
                <w:rFonts w:ascii="宋体" w:hAnsi="宋体" w:cs="宋体"/>
                <w:color w:val="auto"/>
                <w:szCs w:val="21"/>
                <w:highlight w:val="none"/>
              </w:rPr>
            </w:pPr>
          </w:p>
        </w:tc>
        <w:tc>
          <w:tcPr>
            <w:tcW w:w="1111" w:type="dxa"/>
            <w:noWrap/>
            <w:vAlign w:val="center"/>
          </w:tcPr>
          <w:p w14:paraId="63F95184">
            <w:pPr>
              <w:widowControl/>
              <w:jc w:val="center"/>
              <w:rPr>
                <w:rFonts w:ascii="宋体" w:hAnsi="宋体" w:cs="宋体"/>
                <w:color w:val="auto"/>
                <w:szCs w:val="21"/>
                <w:highlight w:val="none"/>
              </w:rPr>
            </w:pPr>
          </w:p>
        </w:tc>
        <w:tc>
          <w:tcPr>
            <w:tcW w:w="898" w:type="dxa"/>
            <w:noWrap/>
            <w:vAlign w:val="center"/>
          </w:tcPr>
          <w:p w14:paraId="0C1AB349">
            <w:pPr>
              <w:widowControl/>
              <w:jc w:val="center"/>
              <w:rPr>
                <w:rFonts w:ascii="宋体" w:hAnsi="宋体" w:cs="宋体"/>
                <w:color w:val="auto"/>
                <w:szCs w:val="21"/>
                <w:highlight w:val="none"/>
              </w:rPr>
            </w:pPr>
          </w:p>
        </w:tc>
        <w:tc>
          <w:tcPr>
            <w:tcW w:w="896" w:type="dxa"/>
            <w:noWrap/>
            <w:vAlign w:val="center"/>
          </w:tcPr>
          <w:p w14:paraId="1FC5AAA7">
            <w:pPr>
              <w:widowControl/>
              <w:jc w:val="center"/>
              <w:rPr>
                <w:rFonts w:ascii="宋体" w:hAnsi="宋体" w:cs="宋体"/>
                <w:color w:val="auto"/>
                <w:szCs w:val="21"/>
                <w:highlight w:val="none"/>
              </w:rPr>
            </w:pPr>
          </w:p>
        </w:tc>
      </w:tr>
      <w:tr w14:paraId="636C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6988C276">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646" w:type="dxa"/>
            <w:noWrap/>
            <w:vAlign w:val="center"/>
          </w:tcPr>
          <w:p w14:paraId="4AE4263E">
            <w:pPr>
              <w:widowControl/>
              <w:adjustRightInd w:val="0"/>
              <w:snapToGrid w:val="0"/>
              <w:jc w:val="center"/>
              <w:rPr>
                <w:rFonts w:ascii="宋体" w:hAnsi="宋体" w:cs="宋体"/>
                <w:color w:val="auto"/>
                <w:szCs w:val="21"/>
                <w:highlight w:val="none"/>
              </w:rPr>
            </w:pPr>
          </w:p>
        </w:tc>
        <w:tc>
          <w:tcPr>
            <w:tcW w:w="1574" w:type="dxa"/>
            <w:noWrap/>
            <w:vAlign w:val="center"/>
          </w:tcPr>
          <w:p w14:paraId="79DB6E03">
            <w:pPr>
              <w:widowControl/>
              <w:adjustRightInd w:val="0"/>
              <w:snapToGrid w:val="0"/>
              <w:jc w:val="center"/>
              <w:rPr>
                <w:rFonts w:ascii="宋体" w:hAnsi="宋体" w:cs="宋体"/>
                <w:color w:val="auto"/>
                <w:szCs w:val="21"/>
                <w:highlight w:val="none"/>
              </w:rPr>
            </w:pPr>
          </w:p>
        </w:tc>
        <w:tc>
          <w:tcPr>
            <w:tcW w:w="921" w:type="dxa"/>
            <w:noWrap/>
            <w:vAlign w:val="center"/>
          </w:tcPr>
          <w:p w14:paraId="14771FEA">
            <w:pPr>
              <w:widowControl/>
              <w:adjustRightInd w:val="0"/>
              <w:snapToGrid w:val="0"/>
              <w:jc w:val="center"/>
              <w:rPr>
                <w:rFonts w:ascii="宋体" w:hAnsi="宋体" w:cs="宋体"/>
                <w:color w:val="auto"/>
                <w:szCs w:val="21"/>
                <w:highlight w:val="none"/>
              </w:rPr>
            </w:pPr>
          </w:p>
        </w:tc>
        <w:tc>
          <w:tcPr>
            <w:tcW w:w="792" w:type="dxa"/>
            <w:noWrap/>
            <w:vAlign w:val="center"/>
          </w:tcPr>
          <w:p w14:paraId="12C4AF8A">
            <w:pPr>
              <w:widowControl/>
              <w:adjustRightInd w:val="0"/>
              <w:snapToGrid w:val="0"/>
              <w:jc w:val="center"/>
              <w:rPr>
                <w:rFonts w:ascii="宋体" w:hAnsi="宋体" w:cs="宋体"/>
                <w:color w:val="auto"/>
                <w:szCs w:val="21"/>
                <w:highlight w:val="none"/>
              </w:rPr>
            </w:pPr>
          </w:p>
        </w:tc>
        <w:tc>
          <w:tcPr>
            <w:tcW w:w="1111" w:type="dxa"/>
            <w:noWrap/>
            <w:vAlign w:val="center"/>
          </w:tcPr>
          <w:p w14:paraId="0BAB0BD2">
            <w:pPr>
              <w:widowControl/>
              <w:jc w:val="center"/>
              <w:rPr>
                <w:rFonts w:ascii="宋体" w:hAnsi="宋体" w:cs="宋体"/>
                <w:color w:val="auto"/>
                <w:szCs w:val="21"/>
                <w:highlight w:val="none"/>
              </w:rPr>
            </w:pPr>
          </w:p>
        </w:tc>
        <w:tc>
          <w:tcPr>
            <w:tcW w:w="898" w:type="dxa"/>
            <w:noWrap/>
            <w:vAlign w:val="center"/>
          </w:tcPr>
          <w:p w14:paraId="4396B84B">
            <w:pPr>
              <w:widowControl/>
              <w:jc w:val="center"/>
              <w:rPr>
                <w:rFonts w:ascii="宋体" w:hAnsi="宋体" w:cs="宋体"/>
                <w:color w:val="auto"/>
                <w:szCs w:val="21"/>
                <w:highlight w:val="none"/>
              </w:rPr>
            </w:pPr>
          </w:p>
        </w:tc>
        <w:tc>
          <w:tcPr>
            <w:tcW w:w="896" w:type="dxa"/>
            <w:noWrap/>
            <w:vAlign w:val="center"/>
          </w:tcPr>
          <w:p w14:paraId="1EA5015E">
            <w:pPr>
              <w:widowControl/>
              <w:jc w:val="center"/>
              <w:rPr>
                <w:rFonts w:ascii="宋体" w:hAnsi="宋体" w:cs="宋体"/>
                <w:color w:val="auto"/>
                <w:szCs w:val="21"/>
                <w:highlight w:val="none"/>
              </w:rPr>
            </w:pPr>
          </w:p>
        </w:tc>
      </w:tr>
      <w:tr w14:paraId="3221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52C0C27E">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646" w:type="dxa"/>
            <w:noWrap/>
            <w:vAlign w:val="center"/>
          </w:tcPr>
          <w:p w14:paraId="0F347BC6">
            <w:pPr>
              <w:widowControl/>
              <w:adjustRightInd w:val="0"/>
              <w:snapToGrid w:val="0"/>
              <w:jc w:val="center"/>
              <w:rPr>
                <w:rFonts w:ascii="宋体" w:hAnsi="宋体" w:cs="宋体"/>
                <w:color w:val="auto"/>
                <w:szCs w:val="21"/>
                <w:highlight w:val="none"/>
              </w:rPr>
            </w:pPr>
          </w:p>
        </w:tc>
        <w:tc>
          <w:tcPr>
            <w:tcW w:w="1574" w:type="dxa"/>
            <w:noWrap/>
            <w:vAlign w:val="center"/>
          </w:tcPr>
          <w:p w14:paraId="112615CF">
            <w:pPr>
              <w:widowControl/>
              <w:adjustRightInd w:val="0"/>
              <w:snapToGrid w:val="0"/>
              <w:jc w:val="center"/>
              <w:rPr>
                <w:rFonts w:ascii="宋体" w:hAnsi="宋体" w:cs="宋体"/>
                <w:color w:val="auto"/>
                <w:szCs w:val="21"/>
                <w:highlight w:val="none"/>
              </w:rPr>
            </w:pPr>
          </w:p>
        </w:tc>
        <w:tc>
          <w:tcPr>
            <w:tcW w:w="921" w:type="dxa"/>
            <w:noWrap/>
            <w:vAlign w:val="center"/>
          </w:tcPr>
          <w:p w14:paraId="3541107C">
            <w:pPr>
              <w:widowControl/>
              <w:adjustRightInd w:val="0"/>
              <w:snapToGrid w:val="0"/>
              <w:jc w:val="center"/>
              <w:rPr>
                <w:rFonts w:ascii="宋体" w:hAnsi="宋体" w:cs="宋体"/>
                <w:color w:val="auto"/>
                <w:szCs w:val="21"/>
                <w:highlight w:val="none"/>
              </w:rPr>
            </w:pPr>
          </w:p>
        </w:tc>
        <w:tc>
          <w:tcPr>
            <w:tcW w:w="792" w:type="dxa"/>
            <w:noWrap/>
            <w:vAlign w:val="center"/>
          </w:tcPr>
          <w:p w14:paraId="74CADF9C">
            <w:pPr>
              <w:widowControl/>
              <w:adjustRightInd w:val="0"/>
              <w:snapToGrid w:val="0"/>
              <w:jc w:val="center"/>
              <w:rPr>
                <w:rFonts w:ascii="宋体" w:hAnsi="宋体" w:cs="宋体"/>
                <w:color w:val="auto"/>
                <w:szCs w:val="21"/>
                <w:highlight w:val="none"/>
              </w:rPr>
            </w:pPr>
          </w:p>
        </w:tc>
        <w:tc>
          <w:tcPr>
            <w:tcW w:w="1111" w:type="dxa"/>
            <w:noWrap/>
            <w:vAlign w:val="center"/>
          </w:tcPr>
          <w:p w14:paraId="188FEFD1">
            <w:pPr>
              <w:widowControl/>
              <w:jc w:val="center"/>
              <w:rPr>
                <w:rFonts w:ascii="宋体" w:hAnsi="宋体" w:cs="宋体"/>
                <w:color w:val="auto"/>
                <w:szCs w:val="21"/>
                <w:highlight w:val="none"/>
              </w:rPr>
            </w:pPr>
          </w:p>
        </w:tc>
        <w:tc>
          <w:tcPr>
            <w:tcW w:w="898" w:type="dxa"/>
            <w:noWrap/>
            <w:vAlign w:val="center"/>
          </w:tcPr>
          <w:p w14:paraId="6C78DDCD">
            <w:pPr>
              <w:widowControl/>
              <w:jc w:val="center"/>
              <w:rPr>
                <w:rFonts w:ascii="宋体" w:hAnsi="宋体" w:cs="宋体"/>
                <w:color w:val="auto"/>
                <w:szCs w:val="21"/>
                <w:highlight w:val="none"/>
              </w:rPr>
            </w:pPr>
          </w:p>
        </w:tc>
        <w:tc>
          <w:tcPr>
            <w:tcW w:w="896" w:type="dxa"/>
            <w:noWrap/>
            <w:vAlign w:val="center"/>
          </w:tcPr>
          <w:p w14:paraId="6E58B8AD">
            <w:pPr>
              <w:widowControl/>
              <w:jc w:val="center"/>
              <w:rPr>
                <w:rFonts w:ascii="宋体" w:hAnsi="宋体" w:cs="宋体"/>
                <w:color w:val="auto"/>
                <w:szCs w:val="21"/>
                <w:highlight w:val="none"/>
              </w:rPr>
            </w:pPr>
          </w:p>
        </w:tc>
      </w:tr>
      <w:tr w14:paraId="1716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5923D9CB">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w:t>
            </w:r>
          </w:p>
        </w:tc>
        <w:tc>
          <w:tcPr>
            <w:tcW w:w="1646" w:type="dxa"/>
            <w:noWrap/>
            <w:vAlign w:val="center"/>
          </w:tcPr>
          <w:p w14:paraId="0EECE3FE">
            <w:pPr>
              <w:widowControl/>
              <w:adjustRightInd w:val="0"/>
              <w:snapToGrid w:val="0"/>
              <w:jc w:val="center"/>
              <w:rPr>
                <w:rFonts w:ascii="宋体" w:hAnsi="宋体" w:cs="宋体"/>
                <w:color w:val="auto"/>
                <w:szCs w:val="21"/>
                <w:highlight w:val="none"/>
              </w:rPr>
            </w:pPr>
          </w:p>
        </w:tc>
        <w:tc>
          <w:tcPr>
            <w:tcW w:w="1574" w:type="dxa"/>
            <w:noWrap/>
            <w:vAlign w:val="center"/>
          </w:tcPr>
          <w:p w14:paraId="408B9F9E">
            <w:pPr>
              <w:widowControl/>
              <w:adjustRightInd w:val="0"/>
              <w:snapToGrid w:val="0"/>
              <w:jc w:val="center"/>
              <w:rPr>
                <w:rFonts w:ascii="宋体" w:hAnsi="宋体" w:cs="宋体"/>
                <w:color w:val="auto"/>
                <w:szCs w:val="21"/>
                <w:highlight w:val="none"/>
              </w:rPr>
            </w:pPr>
          </w:p>
        </w:tc>
        <w:tc>
          <w:tcPr>
            <w:tcW w:w="921" w:type="dxa"/>
            <w:noWrap/>
            <w:vAlign w:val="center"/>
          </w:tcPr>
          <w:p w14:paraId="36243031">
            <w:pPr>
              <w:widowControl/>
              <w:adjustRightInd w:val="0"/>
              <w:snapToGrid w:val="0"/>
              <w:jc w:val="center"/>
              <w:rPr>
                <w:rFonts w:ascii="宋体" w:hAnsi="宋体" w:cs="宋体"/>
                <w:color w:val="auto"/>
                <w:szCs w:val="21"/>
                <w:highlight w:val="none"/>
              </w:rPr>
            </w:pPr>
          </w:p>
        </w:tc>
        <w:tc>
          <w:tcPr>
            <w:tcW w:w="792" w:type="dxa"/>
            <w:noWrap/>
            <w:vAlign w:val="center"/>
          </w:tcPr>
          <w:p w14:paraId="06982260">
            <w:pPr>
              <w:widowControl/>
              <w:adjustRightInd w:val="0"/>
              <w:snapToGrid w:val="0"/>
              <w:jc w:val="center"/>
              <w:rPr>
                <w:rFonts w:ascii="宋体" w:hAnsi="宋体" w:cs="宋体"/>
                <w:color w:val="auto"/>
                <w:szCs w:val="21"/>
                <w:highlight w:val="none"/>
              </w:rPr>
            </w:pPr>
          </w:p>
        </w:tc>
        <w:tc>
          <w:tcPr>
            <w:tcW w:w="1111" w:type="dxa"/>
            <w:noWrap/>
            <w:vAlign w:val="center"/>
          </w:tcPr>
          <w:p w14:paraId="2C573F3B">
            <w:pPr>
              <w:widowControl/>
              <w:jc w:val="center"/>
              <w:rPr>
                <w:rFonts w:ascii="宋体" w:hAnsi="宋体" w:cs="宋体"/>
                <w:color w:val="auto"/>
                <w:szCs w:val="21"/>
                <w:highlight w:val="none"/>
              </w:rPr>
            </w:pPr>
          </w:p>
        </w:tc>
        <w:tc>
          <w:tcPr>
            <w:tcW w:w="898" w:type="dxa"/>
            <w:noWrap/>
            <w:vAlign w:val="center"/>
          </w:tcPr>
          <w:p w14:paraId="3024D1C3">
            <w:pPr>
              <w:widowControl/>
              <w:jc w:val="center"/>
              <w:rPr>
                <w:rFonts w:ascii="宋体" w:hAnsi="宋体" w:cs="宋体"/>
                <w:color w:val="auto"/>
                <w:szCs w:val="21"/>
                <w:highlight w:val="none"/>
              </w:rPr>
            </w:pPr>
          </w:p>
        </w:tc>
        <w:tc>
          <w:tcPr>
            <w:tcW w:w="896" w:type="dxa"/>
            <w:noWrap/>
            <w:vAlign w:val="center"/>
          </w:tcPr>
          <w:p w14:paraId="3D51FDA4">
            <w:pPr>
              <w:widowControl/>
              <w:jc w:val="center"/>
              <w:rPr>
                <w:rFonts w:ascii="宋体" w:hAnsi="宋体" w:cs="宋体"/>
                <w:color w:val="auto"/>
                <w:szCs w:val="21"/>
                <w:highlight w:val="none"/>
              </w:rPr>
            </w:pPr>
          </w:p>
        </w:tc>
      </w:tr>
      <w:tr w14:paraId="2BEB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600" w:type="dxa"/>
            <w:gridSpan w:val="8"/>
            <w:noWrap/>
            <w:vAlign w:val="center"/>
          </w:tcPr>
          <w:p w14:paraId="620D4511">
            <w:pPr>
              <w:widowControl/>
              <w:jc w:val="left"/>
              <w:rPr>
                <w:rFonts w:ascii="宋体" w:hAnsi="宋体" w:cs="宋体"/>
                <w:b/>
                <w:color w:val="auto"/>
                <w:szCs w:val="21"/>
                <w:highlight w:val="none"/>
              </w:rPr>
            </w:pPr>
            <w:r>
              <w:rPr>
                <w:rFonts w:hint="eastAsia" w:ascii="宋体" w:hAnsi="宋体" w:cs="宋体"/>
                <w:b/>
                <w:color w:val="auto"/>
                <w:szCs w:val="21"/>
                <w:highlight w:val="none"/>
              </w:rPr>
              <w:t>合计金额（含税）：</w:t>
            </w:r>
          </w:p>
        </w:tc>
      </w:tr>
    </w:tbl>
    <w:p w14:paraId="7FD1ED1D">
      <w:pPr>
        <w:adjustRightInd w:val="0"/>
        <w:snapToGrid w:val="0"/>
        <w:spacing w:line="360" w:lineRule="auto"/>
        <w:rPr>
          <w:rFonts w:ascii="宋体" w:hAnsi="宋体" w:cs="宋体"/>
          <w:b/>
          <w:color w:val="auto"/>
          <w:highlight w:val="none"/>
        </w:rPr>
      </w:pPr>
    </w:p>
    <w:p w14:paraId="2BC759D6">
      <w:pPr>
        <w:adjustRightInd w:val="0"/>
        <w:snapToGrid w:val="0"/>
        <w:spacing w:line="360" w:lineRule="auto"/>
        <w:rPr>
          <w:rFonts w:ascii="宋体" w:hAnsi="宋体" w:cs="宋体"/>
          <w:b/>
          <w:color w:val="auto"/>
          <w:highlight w:val="none"/>
        </w:rPr>
      </w:pPr>
      <w:r>
        <w:rPr>
          <w:rFonts w:hint="eastAsia" w:ascii="宋体" w:hAnsi="宋体" w:cs="宋体"/>
          <w:b/>
          <w:color w:val="auto"/>
          <w:highlight w:val="none"/>
        </w:rPr>
        <w:t>二、下列文件为本合同不可分割部分：</w:t>
      </w:r>
    </w:p>
    <w:p w14:paraId="315BC89A">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（一）成交通知书；</w:t>
      </w:r>
    </w:p>
    <w:p w14:paraId="42A6530B">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（二）谈判采购文件、技术要求及补充通知（如有）；</w:t>
      </w:r>
    </w:p>
    <w:p w14:paraId="336E6BDF">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（三）成交文件和其它承诺、书面澄清等；</w:t>
      </w:r>
    </w:p>
    <w:p w14:paraId="24066792">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（四）技术文件；</w:t>
      </w:r>
    </w:p>
    <w:p w14:paraId="1B5D6F9F">
      <w:pPr>
        <w:pStyle w:val="23"/>
        <w:adjustRightInd w:val="0"/>
        <w:snapToGrid w:val="0"/>
        <w:spacing w:line="360" w:lineRule="auto"/>
        <w:ind w:firstLine="420" w:firstLineChars="200"/>
        <w:rPr>
          <w:rFonts w:cs="宋体"/>
          <w:bCs/>
          <w:color w:val="auto"/>
          <w:sz w:val="21"/>
          <w:szCs w:val="24"/>
          <w:highlight w:val="none"/>
        </w:rPr>
      </w:pPr>
      <w:r>
        <w:rPr>
          <w:rFonts w:hint="eastAsia" w:cs="宋体"/>
          <w:color w:val="auto"/>
          <w:sz w:val="21"/>
          <w:szCs w:val="24"/>
          <w:highlight w:val="none"/>
        </w:rPr>
        <w:t>（五）其他约定文件等。</w:t>
      </w:r>
    </w:p>
    <w:p w14:paraId="16C226D6">
      <w:pPr>
        <w:pStyle w:val="23"/>
        <w:adjustRightInd w:val="0"/>
        <w:snapToGrid w:val="0"/>
        <w:spacing w:line="360" w:lineRule="auto"/>
        <w:rPr>
          <w:rFonts w:cs="宋体"/>
          <w:b/>
          <w:color w:val="auto"/>
          <w:sz w:val="21"/>
          <w:szCs w:val="24"/>
          <w:highlight w:val="none"/>
        </w:rPr>
      </w:pPr>
      <w:r>
        <w:rPr>
          <w:rFonts w:hint="eastAsia" w:cs="宋体"/>
          <w:bCs/>
          <w:color w:val="auto"/>
          <w:sz w:val="21"/>
          <w:szCs w:val="24"/>
          <w:highlight w:val="none"/>
        </w:rPr>
        <w:t>三、</w:t>
      </w:r>
      <w:r>
        <w:rPr>
          <w:rFonts w:hint="eastAsia" w:cs="宋体"/>
          <w:b/>
          <w:color w:val="auto"/>
          <w:sz w:val="21"/>
          <w:szCs w:val="24"/>
          <w:highlight w:val="none"/>
        </w:rPr>
        <w:t xml:space="preserve">合同价格与支付：  </w:t>
      </w:r>
    </w:p>
    <w:p w14:paraId="64FA197F">
      <w:pPr>
        <w:tabs>
          <w:tab w:val="left" w:pos="63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1.本合同价格为</w:t>
      </w:r>
      <w:r>
        <w:rPr>
          <w:rFonts w:hint="eastAsia" w:ascii="宋体" w:hAnsi="宋体" w:cs="宋体"/>
          <w:color w:val="auto"/>
          <w:szCs w:val="28"/>
          <w:highlight w:val="none"/>
        </w:rPr>
        <w:t>项目所在地</w:t>
      </w:r>
      <w:r>
        <w:rPr>
          <w:rFonts w:hint="eastAsia" w:ascii="宋体" w:hAnsi="宋体" w:cs="宋体"/>
          <w:color w:val="auto"/>
          <w:highlight w:val="none"/>
        </w:rPr>
        <w:t>含税价，本合同价格按人民币结算。</w:t>
      </w:r>
    </w:p>
    <w:p w14:paraId="13A4D37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2.本合同总价为（含税）：</w:t>
      </w:r>
      <w:r>
        <w:rPr>
          <w:rFonts w:hint="eastAsia" w:ascii="宋体" w:hAnsi="宋体" w:cs="宋体"/>
          <w:b/>
          <w:color w:val="auto"/>
          <w:szCs w:val="21"/>
          <w:highlight w:val="none"/>
          <w:u w:val="single"/>
        </w:rPr>
        <w:t xml:space="preserve">         （￥    ）</w:t>
      </w:r>
      <w:r>
        <w:rPr>
          <w:rFonts w:hint="eastAsia" w:ascii="宋体" w:hAnsi="宋体" w:cs="宋体"/>
          <w:color w:val="auto"/>
          <w:highlight w:val="none"/>
        </w:rPr>
        <w:t xml:space="preserve">，合同总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同时，除非合同条款中另有规定，否则乙方所报价格在合同实施期间不因市场变化因素而变动。 </w:t>
      </w:r>
    </w:p>
    <w:p w14:paraId="48848C9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3.根据现行税法对乙方征收的与本合同有关的一切税费均由乙方承担。</w:t>
      </w:r>
    </w:p>
    <w:p w14:paraId="156D50F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4、付款步骤：</w:t>
      </w:r>
    </w:p>
    <w:p w14:paraId="291D4D3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在合同签订完毕生效，待全部货物到达甲方指定地点，安装调试结束，验收合格后，由甲方收到乙方提供的合格销售发票后</w:t>
      </w:r>
      <w:r>
        <w:rPr>
          <w:rFonts w:hint="eastAsia" w:ascii="宋体" w:hAnsi="宋体" w:cs="宋体"/>
          <w:color w:val="auto"/>
          <w:highlight w:val="none"/>
          <w:lang w:val="en-US" w:eastAsia="zh-CN"/>
        </w:rPr>
        <w:t>6个月</w:t>
      </w:r>
      <w:r>
        <w:rPr>
          <w:rFonts w:hint="eastAsia" w:ascii="宋体" w:hAnsi="宋体" w:cs="宋体"/>
          <w:color w:val="auto"/>
          <w:highlight w:val="none"/>
        </w:rPr>
        <w:t>内，由甲方按合同总价支付90%的货款，余款10%在正常使用满壹年后的三个月内一次性付清。</w:t>
      </w:r>
    </w:p>
    <w:p w14:paraId="227DCF2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（A）采购人、成交供应商和招标代理机构签章认可的《政府采购履约验收书》。</w:t>
      </w:r>
    </w:p>
    <w:p w14:paraId="47D3685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（B）合格销售发票。</w:t>
      </w:r>
    </w:p>
    <w:p w14:paraId="6C0EDCF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付款方式：</w:t>
      </w:r>
      <w:r>
        <w:rPr>
          <w:rFonts w:hint="eastAsia" w:ascii="宋体" w:hAnsi="宋体" w:eastAsia="宋体" w:cs="宋体"/>
          <w:color w:val="auto"/>
          <w:highlight w:val="none"/>
        </w:rPr>
        <w:t>银行汇票或转</w:t>
      </w:r>
      <w:r>
        <w:rPr>
          <w:rFonts w:hint="eastAsia" w:ascii="宋体" w:hAnsi="宋体" w:eastAsia="宋体" w:cs="宋体"/>
          <w:color w:val="auto"/>
          <w:highlight w:val="none"/>
          <w:lang w:val="en-US" w:eastAsia="zh-CN"/>
        </w:rPr>
        <w:t>账</w:t>
      </w:r>
      <w:r>
        <w:rPr>
          <w:rFonts w:hint="eastAsia" w:ascii="宋体" w:hAnsi="宋体" w:eastAsia="宋体" w:cs="宋体"/>
          <w:color w:val="auto"/>
          <w:highlight w:val="none"/>
        </w:rPr>
        <w:t>至乙方指定的银行账户</w:t>
      </w:r>
      <w:r>
        <w:rPr>
          <w:rFonts w:hint="eastAsia" w:ascii="宋体" w:hAnsi="宋体" w:cs="宋体"/>
          <w:color w:val="auto"/>
          <w:highlight w:val="none"/>
        </w:rPr>
        <w:t>。</w:t>
      </w:r>
    </w:p>
    <w:p w14:paraId="78ED138F">
      <w:pPr>
        <w:kinsoku w:val="0"/>
        <w:overflowPunct w:val="0"/>
        <w:autoSpaceDE w:val="0"/>
        <w:autoSpaceDN w:val="0"/>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四、交付时间、地点： </w:t>
      </w:r>
    </w:p>
    <w:p w14:paraId="3141105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1、交货时间：自收到甲方通知后30天内交货及安装、调试完成。</w:t>
      </w:r>
    </w:p>
    <w:p w14:paraId="57F79DE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2、交货地点：昆山市第一人民医院，具体按照甲方指定地点。</w:t>
      </w:r>
    </w:p>
    <w:p w14:paraId="17B0F8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3、货物交货时，包装须完整无破损，乙方还必须提供以下材料：</w:t>
      </w:r>
    </w:p>
    <w:p w14:paraId="3E2BA2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A、货物装箱清单 </w:t>
      </w:r>
    </w:p>
    <w:p w14:paraId="29E8B80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B、合格证（国产设备必须提供）    </w:t>
      </w:r>
    </w:p>
    <w:p w14:paraId="1EA59987">
      <w:pPr>
        <w:spacing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cs="宋体"/>
          <w:color w:val="auto"/>
          <w:highlight w:val="none"/>
        </w:rPr>
        <w:t>C、报关单&amp;商检单（进口设备）等证明标的物合法、合规来源的证明文件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如涉及）</w:t>
      </w:r>
    </w:p>
    <w:p w14:paraId="701FF50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D、有效的医疗器械注册证（注册证编号：__________，覆盖型号：</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39E2FE1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E、培训单          </w:t>
      </w:r>
    </w:p>
    <w:p w14:paraId="3904B67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F、质量检验合格文件（计量合格证）</w:t>
      </w:r>
    </w:p>
    <w:p w14:paraId="048B89E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G、中英文技术资料                 </w:t>
      </w:r>
    </w:p>
    <w:p w14:paraId="1080931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H、使用维修保养中文说明书</w:t>
      </w:r>
    </w:p>
    <w:p w14:paraId="7BD2FD0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I、其它必备材料和必备工具等       </w:t>
      </w:r>
    </w:p>
    <w:p w14:paraId="3ABD559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J、保修单等其它必须材料</w:t>
      </w:r>
    </w:p>
    <w:p w14:paraId="5351FF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4、乙方须在交货时向甲方出具满足质保期要求的原厂质保证明文件，否则甲方有权终止合同并由乙方承担因此带来的一切损失。</w:t>
      </w:r>
    </w:p>
    <w:p w14:paraId="72A29565">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五、质量及验收：</w:t>
      </w:r>
    </w:p>
    <w:p w14:paraId="0B3EB80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1.产品质量及安装符合国家质量标准和验收规范，供应商应保证所供标的物是全新的，未使用过的，并且是非长期积压的库存商品（距离生产日期在</w:t>
      </w:r>
      <w:r>
        <w:rPr>
          <w:rFonts w:hint="eastAsia" w:ascii="宋体" w:hAnsi="宋体" w:cs="宋体"/>
          <w:bCs/>
          <w:color w:val="auto"/>
          <w:highlight w:val="none"/>
          <w:lang w:val="en-US" w:eastAsia="zh-CN"/>
        </w:rPr>
        <w:t>6个月</w:t>
      </w:r>
      <w:r>
        <w:rPr>
          <w:rFonts w:hint="eastAsia" w:ascii="宋体" w:hAnsi="宋体" w:cs="宋体"/>
          <w:bCs/>
          <w:color w:val="auto"/>
          <w:highlight w:val="none"/>
        </w:rPr>
        <w:t>内）。</w:t>
      </w:r>
    </w:p>
    <w:p w14:paraId="33BF036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2.所有产品各项技术应当符合国家（强制性）标准及各项规范要求；国家没有相应标准、规范的，可使用行业标准、规定；非标准设备按招标约定的技术要求和规范。 </w:t>
      </w:r>
    </w:p>
    <w:p w14:paraId="666169E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3.所有设备在到达安装现场时须经采购单位技术人员记录验收后才可进行设备安装，验货时须提交该产品的原厂质量合格证明及服务质保证明文件。</w:t>
      </w:r>
    </w:p>
    <w:p w14:paraId="72A6EC4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4.所有设备、附（配）件应具备该类产品的功能要求，无瑕疵和缺陷，质量为合格产品，同时有明确的生产厂商或制造厂商。 </w:t>
      </w:r>
    </w:p>
    <w:p w14:paraId="08EF391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5.缺陷保修：如果设备交付使用后，缺陷多次反复出现，中标方必须提出分析报告和解决方案，更换该产品，直到最后纠正缺陷、投标人提供质保从纠正之日起重新计算质保期。</w:t>
      </w:r>
    </w:p>
    <w:p w14:paraId="3B39D19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6.如果是超出投标人的责任范围的疏忽、误操作等情况而导致的更换修正，应由投标人进行修理，其额外费用由双方协商承担。</w:t>
      </w:r>
    </w:p>
    <w:p w14:paraId="1634D6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7.验收要求：</w:t>
      </w:r>
    </w:p>
    <w:p w14:paraId="15F30D8B">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7.1.履约验收标准：根据政府采购合同要求、采购文件要求、响应文件、承诺及有关行业规定，并经甲方签字确认。在甲方验收合格前，产品的毁损、灭失风险由乙方承担。如双方对验收结果存在争议，必要时可共同委托第三方检测机构进行检验，检测费用由责任方承担；</w:t>
      </w:r>
    </w:p>
    <w:p w14:paraId="1E9E6D74">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7.2.履约验收主体：由甲方或委托专家（或第三方机构）组成的验收小组进行验收。</w:t>
      </w:r>
    </w:p>
    <w:p w14:paraId="53A9A8BB">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7.3.履约验收方式：严格按照本合同约定对每一项技术、服务、安全标准的履约情况进行确认，验收结束后，出具验收书，列明各分项标准的验收情况及项目总体评价，由验收双方共同签署。相关检测（检验）费用或验收小组成员中的专业技术人员费用由乙方承担，并在报价时综合考虑。</w:t>
      </w:r>
    </w:p>
    <w:p w14:paraId="5988C92A">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7.4.验收时间：</w:t>
      </w:r>
    </w:p>
    <w:p w14:paraId="797C5BF5">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（1）政府采购合同约定的履约验收条件达到时，甲方应当在 5 个工作日内启动履约验收工作，并向乙方发出《政府采购履约验收通知单》。</w:t>
      </w:r>
    </w:p>
    <w:p w14:paraId="08E71152">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（2）在政府采购合同约定的履行验收条件达到时，乙方可以主动联系甲方启动履约验收工作。</w:t>
      </w:r>
    </w:p>
    <w:p w14:paraId="014B59B7">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7.5.其他验收要求按照《江苏省政府采购履约验收管理办法》规定执行。</w:t>
      </w:r>
    </w:p>
    <w:p w14:paraId="1F59AE19">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7.6验收合格以双方签署《政府采购履约验收书》之日为准。</w:t>
      </w:r>
    </w:p>
    <w:p w14:paraId="57F500F2">
      <w:pPr>
        <w:spacing w:line="360" w:lineRule="auto"/>
        <w:rPr>
          <w:rFonts w:ascii="宋体" w:hAnsi="宋体" w:cs="宋体"/>
          <w:b/>
          <w:color w:val="auto"/>
          <w:highlight w:val="none"/>
        </w:rPr>
      </w:pPr>
      <w:r>
        <w:rPr>
          <w:rFonts w:hint="eastAsia" w:ascii="宋体" w:hAnsi="宋体" w:cs="宋体"/>
          <w:b/>
          <w:color w:val="auto"/>
          <w:highlight w:val="none"/>
        </w:rPr>
        <w:t>六、售后服务及其他要求：</w:t>
      </w:r>
    </w:p>
    <w:p w14:paraId="5C3ACDA6">
      <w:pPr>
        <w:tabs>
          <w:tab w:val="left" w:pos="630"/>
        </w:tabs>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（一）具体按采购文件售后服务条款。</w:t>
      </w:r>
    </w:p>
    <w:p w14:paraId="52390E10">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（二）其他要求按乙方响应文件承诺的条款执行。</w:t>
      </w:r>
    </w:p>
    <w:p w14:paraId="27B7C62E">
      <w:pPr>
        <w:spacing w:line="360" w:lineRule="auto"/>
        <w:rPr>
          <w:rFonts w:ascii="宋体" w:hAnsi="宋体" w:cs="宋体"/>
          <w:b/>
          <w:color w:val="auto"/>
          <w:highlight w:val="none"/>
        </w:rPr>
      </w:pPr>
      <w:r>
        <w:rPr>
          <w:rFonts w:hint="eastAsia" w:ascii="宋体" w:hAnsi="宋体" w:cs="宋体"/>
          <w:b/>
          <w:color w:val="auto"/>
          <w:highlight w:val="none"/>
        </w:rPr>
        <w:t>七、违约责任：</w:t>
      </w:r>
    </w:p>
    <w:p w14:paraId="0B7E6EAD">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（一）违约责任</w:t>
      </w:r>
    </w:p>
    <w:p w14:paraId="779AF3BD">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合同一方不履行合同任一义务或者履行合同义务不完全符合任一约定的，应当主动承担继续履行、采取补救措施及赔偿损失等违约责任，但守约方有权要求违约方承担违约金。</w:t>
      </w:r>
    </w:p>
    <w:p w14:paraId="0E6E8E13">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若实际损失超过违约金的应按照实际损失承担赔偿责任，损失赔偿范围包括但不限于守约方的直接损失、间接损失及维权支出的各项费用(诉讼费、律师费、鉴定费、保全费等)。</w:t>
      </w:r>
    </w:p>
    <w:p w14:paraId="6542AB5B">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1、甲方违约责任</w:t>
      </w:r>
    </w:p>
    <w:p w14:paraId="6EE0C4B7">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 在合同生效后，甲方无正当理由要求退货的，应向乙方偿付合同总价款5%的违约金，违约金不足以补偿损失的，乙方有权要求甲方补足。</w:t>
      </w:r>
    </w:p>
    <w:p w14:paraId="0A61AAC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1.2 甲方无故逾期付款的应按照逾期付款金额的每天万分之四支付逾期付款违约金。</w:t>
      </w:r>
    </w:p>
    <w:p w14:paraId="79EFEB1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1.3 甲方违反合同规定，拒绝接收乙方交付的合格标的物，应当承担乙方由此造成的损失。</w:t>
      </w:r>
    </w:p>
    <w:p w14:paraId="7F7EE6E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（二）乙方违约责任</w:t>
      </w:r>
    </w:p>
    <w:p w14:paraId="25993B66">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1、乙方有下列行为之一的，甲方有权解除合同，要求乙方返还甲方所支付的任何款项并支付合同总价款20%的违约金，违约金不足以补偿实际损失的，甲方有权要求乙方补足：</w:t>
      </w:r>
    </w:p>
    <w:p w14:paraId="7A26D3CF">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1)不能交货。乙方交货、安装、检验逾期超过15日(自然日)的，视为不能交货；</w:t>
      </w:r>
    </w:p>
    <w:p w14:paraId="4132B7F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2)交付的标的物不符合投标文件及合同约定；</w:t>
      </w:r>
    </w:p>
    <w:p w14:paraId="180C88D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3)因可归责于乙方的情形导致标的物不能正常使用，致使甲方合同目的无法实现；</w:t>
      </w:r>
    </w:p>
    <w:p w14:paraId="6AD6BB90">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4)其他合同约定的违约行为，致使甲方合同目的无法实现。</w:t>
      </w:r>
    </w:p>
    <w:p w14:paraId="338BBA7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注：乙方提供的货物中有不符合招标文件中的技术要求的，视为该种货物交付不合格。乙方提供的各种规格的货物中有任一种交付不合格的，视同为整个标的物的交付不合格。</w:t>
      </w:r>
    </w:p>
    <w:p w14:paraId="0ED6F741">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乙方逾期交货的，应在发货前与甲方协商，但如甲方仍需求的，乙方应立即发货并应按照逾期交货部分货款的每天百分之一支付逾期交货违约金，同时承担甲方因此遭致的损失费用；如甲方不再需求，则甲方有权解除合同，乙方向甲方支付合同总价款20%的违约金，违约金不足以补偿损失的甲方仍有权要求乙方补足，因本条款产生纠纷而发生的诉讼，乙方须向甲方承担一切损失、费用、成本，包括但不限于诉讼费、律师费、鉴定费、保全费、 差旅费等。</w:t>
      </w:r>
    </w:p>
    <w:p w14:paraId="6CA1EACA">
      <w:pPr>
        <w:adjustRightInd w:val="0"/>
        <w:snapToGrid w:val="0"/>
        <w:spacing w:line="360" w:lineRule="auto"/>
        <w:ind w:firstLine="211" w:firstLineChars="100"/>
        <w:jc w:val="left"/>
        <w:rPr>
          <w:rFonts w:ascii="宋体" w:hAnsi="宋体" w:cs="宋体"/>
          <w:b/>
          <w:bCs/>
          <w:color w:val="auto"/>
          <w:highlight w:val="none"/>
        </w:rPr>
      </w:pPr>
      <w:r>
        <w:rPr>
          <w:rFonts w:hint="eastAsia" w:ascii="宋体" w:hAnsi="宋体" w:cs="宋体"/>
          <w:b/>
          <w:bCs/>
          <w:color w:val="auto"/>
          <w:highlight w:val="none"/>
        </w:rPr>
        <w:t>八、不可抗力</w:t>
      </w:r>
    </w:p>
    <w:p w14:paraId="6A5B03A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1.因不可抗力不能履行合同的，根据不可抗力的影响，部分或者全部免除责任。但合同一方迟延履行后发生不可抗力的，不能免除责任。</w:t>
      </w:r>
    </w:p>
    <w:p w14:paraId="668BB560">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2.合同一方因不可抗力不能履行合同的，应当及时通知对方，以减轻可能给对方造成的损失，并应当在合理期限内提供证明。</w:t>
      </w:r>
    </w:p>
    <w:p w14:paraId="298447A3">
      <w:pPr>
        <w:adjustRightInd w:val="0"/>
        <w:snapToGrid w:val="0"/>
        <w:spacing w:line="360" w:lineRule="auto"/>
        <w:ind w:firstLine="211" w:firstLineChars="100"/>
        <w:jc w:val="left"/>
        <w:textAlignment w:val="baseline"/>
        <w:rPr>
          <w:rFonts w:ascii="宋体" w:hAnsi="宋体" w:cs="宋体"/>
          <w:b/>
          <w:bCs/>
          <w:color w:val="auto"/>
          <w:highlight w:val="none"/>
        </w:rPr>
      </w:pPr>
      <w:r>
        <w:rPr>
          <w:rFonts w:hint="eastAsia" w:ascii="宋体" w:hAnsi="宋体" w:cs="宋体"/>
          <w:b/>
          <w:bCs/>
          <w:color w:val="auto"/>
          <w:highlight w:val="none"/>
        </w:rPr>
        <w:t>九、合同的解除和转让</w:t>
      </w:r>
    </w:p>
    <w:p w14:paraId="235CDF83">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1、合同的解除</w:t>
      </w:r>
    </w:p>
    <w:p w14:paraId="16791E5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1.1有下列情形之一，合同一方可以解除合同：</w:t>
      </w:r>
    </w:p>
    <w:p w14:paraId="1B52EA6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1.1.1因不可抗力致使不能实现合同目的，未受不可抗力影响的一方有权解除合同；</w:t>
      </w:r>
    </w:p>
    <w:p w14:paraId="4082D5B6">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1.1.2合同期间，因合同一方违约并无法获得守约方认可，守约方有权解除合同、违约方则退回已收款项并需承担本合同总价款30%作为违约金，并按本合同第七条承担各项违约责任；</w:t>
      </w:r>
    </w:p>
    <w:p w14:paraId="74A4600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1.2有权解除合同的一方，可在违约事实或不可抗力发生之后三天内书面通知对方以主张解除合同，合同在书面通知寄往对方时即告解除。</w:t>
      </w:r>
    </w:p>
    <w:p w14:paraId="0B137DB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1.3本合同当事人联系信息以国家企业信用信息公示系统等查询备注地址为准，适用于双方往来联系、书面文件送达及争议解决时法律文书(含裁判文书)送达。</w:t>
      </w:r>
    </w:p>
    <w:p w14:paraId="59E58A32">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2、合同的转让</w:t>
      </w:r>
    </w:p>
    <w:p w14:paraId="72A99DB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2.1合同的部分和全部都不得转让。</w:t>
      </w:r>
    </w:p>
    <w:p w14:paraId="054BFE89">
      <w:pPr>
        <w:spacing w:line="360" w:lineRule="auto"/>
        <w:ind w:firstLine="211" w:firstLineChars="100"/>
        <w:rPr>
          <w:rFonts w:ascii="宋体" w:hAnsi="宋体" w:cs="宋体"/>
          <w:b/>
          <w:color w:val="auto"/>
          <w:highlight w:val="none"/>
        </w:rPr>
      </w:pPr>
      <w:r>
        <w:rPr>
          <w:rFonts w:hint="eastAsia" w:ascii="宋体" w:hAnsi="宋体" w:cs="宋体"/>
          <w:b/>
          <w:color w:val="auto"/>
          <w:highlight w:val="none"/>
        </w:rPr>
        <w:t>十、索赔：</w:t>
      </w:r>
    </w:p>
    <w:p w14:paraId="67E6E8E2">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1、甲方有权根据甲方所出具的验收证明、第三方质量检验机构或其他专业机构、组织、部门出具的检验证书向乙方提出索赔。</w:t>
      </w:r>
    </w:p>
    <w:p w14:paraId="62709B3B">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2、在本合同规定的检验期和质量保证期内，乙方同意甲方有权按下列一种或多种方式合并解决索赔事宜：</w:t>
      </w:r>
    </w:p>
    <w:p w14:paraId="36521F9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 乙方负责及时退货，并按合同规定的价款将货款退还给甲方，并承担由此发生的一切损失和费用，包括但不限于20%违约金、利息、银行手续费、运费、保险费、检验费、 仓储费、装卸费以及为保护退回标的物所需的其它必要费用。</w:t>
      </w:r>
    </w:p>
    <w:p w14:paraId="71C47AA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2.2根据标的物的低劣程度、损坏程度以及甲方遭受损失的数额，经双方协商确定降低标的物的价格。</w:t>
      </w:r>
    </w:p>
    <w:p w14:paraId="3C5E2A0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2.3用符合规格、质量和性能要求的原厂全新零件、部件或标的物来更换有缺陷的部分或修补缺陷部分，乙方应承担一切费用和风险并负担甲方所发生的一切直接费用。质保期 自发生上述情形之日起，至标的物恢复正常使用之日止，停止计算。</w:t>
      </w:r>
    </w:p>
    <w:p w14:paraId="1688D0E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如果在甲方发出索赔通知后七天内，乙方未能答复，上述索赔应视为已被乙方接受。若乙方未在甲方提出索赔通知后七天内或甲方同意的更长时间内，按照合同规定的任何一种方法解决索赔事宜，甲方将从未付款中直接扣除索赔金额，如果这些 金额不足以补偿索赔金额，甲方有权向乙方提出对不足部分的补偿。</w:t>
      </w:r>
    </w:p>
    <w:p w14:paraId="6AFD4774">
      <w:pPr>
        <w:spacing w:line="360" w:lineRule="auto"/>
        <w:rPr>
          <w:rFonts w:ascii="宋体" w:hAnsi="宋体" w:cs="宋体"/>
          <w:b/>
          <w:color w:val="auto"/>
          <w:highlight w:val="none"/>
        </w:rPr>
      </w:pPr>
      <w:r>
        <w:rPr>
          <w:rFonts w:hint="eastAsia" w:ascii="宋体" w:hAnsi="宋体" w:cs="宋体"/>
          <w:b/>
          <w:color w:val="auto"/>
          <w:highlight w:val="none"/>
        </w:rPr>
        <w:t>十一、争议解决</w:t>
      </w:r>
    </w:p>
    <w:p w14:paraId="0CD2CF9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甲乙双方因合同发生争议，应在招标代理机构的主持下进行调解，协商不成，任何一方可以甲方所在地人民法院起诉。</w:t>
      </w:r>
    </w:p>
    <w:p w14:paraId="5BC89361">
      <w:pPr>
        <w:spacing w:line="360" w:lineRule="auto"/>
        <w:rPr>
          <w:rFonts w:ascii="宋体" w:hAnsi="宋体" w:cs="宋体"/>
          <w:bCs/>
          <w:color w:val="auto"/>
          <w:highlight w:val="none"/>
        </w:rPr>
      </w:pPr>
      <w:r>
        <w:rPr>
          <w:rFonts w:hint="eastAsia" w:ascii="宋体" w:hAnsi="宋体" w:cs="宋体"/>
          <w:b/>
          <w:color w:val="auto"/>
          <w:highlight w:val="none"/>
        </w:rPr>
        <w:t>十二、合同生效及其它</w:t>
      </w:r>
    </w:p>
    <w:p w14:paraId="3B5419C2">
      <w:pPr>
        <w:spacing w:line="360" w:lineRule="auto"/>
        <w:ind w:firstLine="420" w:firstLineChars="200"/>
        <w:jc w:val="left"/>
        <w:rPr>
          <w:rFonts w:ascii="宋体" w:hAnsi="宋体" w:cs="宋体"/>
          <w:bCs/>
          <w:color w:val="auto"/>
          <w:szCs w:val="21"/>
          <w:highlight w:val="none"/>
          <w:lang w:val="zh-CN"/>
        </w:rPr>
      </w:pPr>
      <w:r>
        <w:rPr>
          <w:rFonts w:hint="eastAsia" w:ascii="宋体" w:hAnsi="宋体" w:cs="宋体"/>
          <w:bCs/>
          <w:color w:val="auto"/>
          <w:szCs w:val="21"/>
          <w:highlight w:val="none"/>
        </w:rPr>
        <w:t>1、</w:t>
      </w:r>
      <w:r>
        <w:rPr>
          <w:rFonts w:hint="eastAsia" w:ascii="宋体" w:hAnsi="宋体" w:cs="宋体"/>
          <w:bCs/>
          <w:color w:val="auto"/>
          <w:szCs w:val="21"/>
          <w:highlight w:val="none"/>
          <w:lang w:val="zh-CN"/>
        </w:rPr>
        <w:t>本合同经甲乙双方法定代表人或其委托代理人签字并加盖公章（或合同章）后生效。</w:t>
      </w:r>
    </w:p>
    <w:p w14:paraId="7F15A5F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2、合同在执行过程中出现的未尽事宜，双方在不违背本合同和招标文件的原则下协商解决，协商结果以书面形式盖章记录在案，作为本合同的附件，与本合同具有同等效力，但需向招标代理机构和政府采购管理部门提交一份备存。</w:t>
      </w:r>
    </w:p>
    <w:p w14:paraId="7F871B7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3、未尽事宜：本合同未尽事宜应按《中华人民共和国民法典》、《中华人民共和国政府采购法》以及其同相关法律、法规之规定解释。</w:t>
      </w:r>
    </w:p>
    <w:p w14:paraId="64F9E71E">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4、本合同一式肆份，甲方贰份、乙方及招标代理机构各执壹份，具备同等法律效力。</w:t>
      </w:r>
    </w:p>
    <w:p w14:paraId="32C83656">
      <w:pPr>
        <w:spacing w:line="520" w:lineRule="exact"/>
        <w:rPr>
          <w:rFonts w:ascii="宋体" w:hAnsi="宋体" w:cs="宋体"/>
          <w:color w:val="auto"/>
          <w:szCs w:val="21"/>
          <w:highlight w:val="none"/>
        </w:rPr>
      </w:pPr>
    </w:p>
    <w:p w14:paraId="639678BD">
      <w:pPr>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甲方（签章）：                                    乙方（签章）： </w:t>
      </w:r>
    </w:p>
    <w:p w14:paraId="58109827">
      <w:pPr>
        <w:spacing w:line="520" w:lineRule="exact"/>
        <w:rPr>
          <w:rFonts w:ascii="宋体" w:hAnsi="宋体" w:cs="宋体"/>
          <w:color w:val="auto"/>
          <w:szCs w:val="21"/>
          <w:highlight w:val="none"/>
        </w:rPr>
      </w:pPr>
      <w:r>
        <w:rPr>
          <w:rFonts w:hint="eastAsia" w:ascii="宋体" w:hAnsi="宋体" w:cs="宋体"/>
          <w:color w:val="auto"/>
          <w:szCs w:val="21"/>
          <w:highlight w:val="none"/>
        </w:rPr>
        <w:t>甲方法定(授权)代表人</w:t>
      </w:r>
      <w:r>
        <w:rPr>
          <w:rFonts w:hint="eastAsia" w:ascii="宋体" w:hAnsi="宋体" w:cs="宋体"/>
          <w:color w:val="auto"/>
          <w:szCs w:val="21"/>
          <w:highlight w:val="none"/>
          <w:lang w:val="en-US" w:eastAsia="zh-CN"/>
        </w:rPr>
        <w:t>签章</w:t>
      </w:r>
      <w:r>
        <w:rPr>
          <w:rFonts w:hint="eastAsia" w:ascii="宋体" w:hAnsi="宋体" w:cs="宋体"/>
          <w:color w:val="auto"/>
          <w:szCs w:val="21"/>
          <w:highlight w:val="none"/>
        </w:rPr>
        <w:t>：                        乙方法定(授权)代表人</w:t>
      </w:r>
      <w:r>
        <w:rPr>
          <w:rFonts w:hint="eastAsia" w:ascii="宋体" w:hAnsi="宋体" w:cs="宋体"/>
          <w:color w:val="auto"/>
          <w:szCs w:val="21"/>
          <w:highlight w:val="none"/>
          <w:lang w:val="en-US" w:eastAsia="zh-CN"/>
        </w:rPr>
        <w:t>签章</w:t>
      </w:r>
      <w:r>
        <w:rPr>
          <w:rFonts w:hint="eastAsia" w:ascii="宋体" w:hAnsi="宋体" w:cs="宋体"/>
          <w:color w:val="auto"/>
          <w:szCs w:val="21"/>
          <w:highlight w:val="none"/>
        </w:rPr>
        <w:t xml:space="preserve">：   </w:t>
      </w:r>
    </w:p>
    <w:p w14:paraId="6E4D3A79">
      <w:pPr>
        <w:spacing w:line="520" w:lineRule="exact"/>
        <w:rPr>
          <w:rFonts w:ascii="宋体" w:hAnsi="宋体" w:cs="宋体"/>
          <w:color w:val="auto"/>
          <w:szCs w:val="21"/>
          <w:highlight w:val="none"/>
        </w:rPr>
      </w:pPr>
      <w:r>
        <w:rPr>
          <w:rFonts w:hint="eastAsia" w:ascii="宋体" w:hAnsi="宋体" w:cs="宋体"/>
          <w:color w:val="auto"/>
          <w:szCs w:val="21"/>
          <w:highlight w:val="none"/>
        </w:rPr>
        <w:t>签约日期：   年   月    日                        签约日期：   年   月    日</w:t>
      </w:r>
    </w:p>
    <w:p w14:paraId="0DB3E613">
      <w:pPr>
        <w:spacing w:line="360" w:lineRule="auto"/>
        <w:ind w:firstLine="3534" w:firstLineChars="800"/>
        <w:rPr>
          <w:rFonts w:ascii="宋体" w:hAnsi="宋体" w:cs="宋体"/>
          <w:b/>
          <w:color w:val="auto"/>
          <w:sz w:val="44"/>
          <w:szCs w:val="44"/>
          <w:highlight w:val="none"/>
        </w:rPr>
      </w:pPr>
    </w:p>
    <w:p w14:paraId="01A37011">
      <w:pPr>
        <w:spacing w:line="360" w:lineRule="auto"/>
        <w:ind w:firstLine="3534" w:firstLineChars="800"/>
        <w:rPr>
          <w:rFonts w:ascii="宋体" w:hAnsi="宋体" w:cs="宋体"/>
          <w:b/>
          <w:color w:val="auto"/>
          <w:sz w:val="44"/>
          <w:szCs w:val="44"/>
          <w:highlight w:val="none"/>
        </w:rPr>
      </w:pPr>
    </w:p>
    <w:p w14:paraId="20643062">
      <w:pPr>
        <w:spacing w:line="360" w:lineRule="auto"/>
        <w:ind w:firstLine="3534" w:firstLineChars="800"/>
        <w:rPr>
          <w:rFonts w:ascii="宋体" w:hAnsi="宋体" w:cs="宋体"/>
          <w:b/>
          <w:color w:val="auto"/>
          <w:sz w:val="44"/>
          <w:szCs w:val="44"/>
          <w:highlight w:val="none"/>
        </w:rPr>
      </w:pPr>
    </w:p>
    <w:p w14:paraId="6746C78C">
      <w:pPr>
        <w:spacing w:line="360" w:lineRule="auto"/>
        <w:ind w:firstLine="3534" w:firstLineChars="800"/>
        <w:rPr>
          <w:rFonts w:ascii="宋体" w:hAnsi="宋体" w:cs="宋体"/>
          <w:b/>
          <w:color w:val="auto"/>
          <w:sz w:val="44"/>
          <w:szCs w:val="44"/>
          <w:highlight w:val="none"/>
        </w:rPr>
      </w:pPr>
    </w:p>
    <w:p w14:paraId="7A651E15">
      <w:pPr>
        <w:spacing w:line="360" w:lineRule="auto"/>
        <w:ind w:firstLine="3534" w:firstLineChars="800"/>
        <w:rPr>
          <w:rFonts w:ascii="宋体" w:hAnsi="宋体" w:cs="宋体"/>
          <w:b/>
          <w:color w:val="auto"/>
          <w:sz w:val="44"/>
          <w:szCs w:val="44"/>
          <w:highlight w:val="none"/>
        </w:rPr>
      </w:pPr>
    </w:p>
    <w:p w14:paraId="2ABEC635">
      <w:pPr>
        <w:spacing w:line="360" w:lineRule="auto"/>
        <w:ind w:firstLine="3534" w:firstLineChars="800"/>
        <w:rPr>
          <w:rFonts w:ascii="宋体" w:hAnsi="宋体" w:cs="宋体"/>
          <w:b/>
          <w:color w:val="auto"/>
          <w:sz w:val="44"/>
          <w:szCs w:val="44"/>
          <w:highlight w:val="none"/>
        </w:rPr>
      </w:pPr>
    </w:p>
    <w:p w14:paraId="2451C9BA">
      <w:pPr>
        <w:spacing w:line="360" w:lineRule="auto"/>
        <w:ind w:firstLine="3534" w:firstLineChars="800"/>
        <w:rPr>
          <w:rFonts w:ascii="宋体" w:hAnsi="宋体" w:cs="宋体"/>
          <w:b/>
          <w:color w:val="auto"/>
          <w:sz w:val="44"/>
          <w:szCs w:val="44"/>
          <w:highlight w:val="none"/>
        </w:rPr>
      </w:pPr>
    </w:p>
    <w:p w14:paraId="1308B155">
      <w:pPr>
        <w:spacing w:line="360" w:lineRule="auto"/>
        <w:ind w:firstLine="3534" w:firstLineChars="800"/>
        <w:rPr>
          <w:rFonts w:ascii="宋体" w:hAnsi="宋体" w:cs="宋体"/>
          <w:b/>
          <w:color w:val="auto"/>
          <w:sz w:val="44"/>
          <w:szCs w:val="44"/>
          <w:highlight w:val="none"/>
        </w:rPr>
      </w:pPr>
      <w:r>
        <w:rPr>
          <w:rFonts w:hint="eastAsia" w:ascii="宋体" w:hAnsi="宋体" w:cs="宋体"/>
          <w:b/>
          <w:color w:val="auto"/>
          <w:sz w:val="44"/>
          <w:szCs w:val="44"/>
          <w:highlight w:val="none"/>
        </w:rPr>
        <w:t>第六章 评审办法</w:t>
      </w:r>
    </w:p>
    <w:p w14:paraId="60F307BC">
      <w:pPr>
        <w:spacing w:line="360" w:lineRule="auto"/>
        <w:rPr>
          <w:rFonts w:ascii="宋体" w:hAnsi="宋体" w:cs="宋体"/>
          <w:b/>
          <w:color w:val="auto"/>
          <w:szCs w:val="21"/>
          <w:highlight w:val="none"/>
        </w:rPr>
      </w:pPr>
      <w:r>
        <w:rPr>
          <w:rFonts w:hint="eastAsia" w:ascii="宋体" w:hAnsi="宋体" w:cs="宋体"/>
          <w:b/>
          <w:color w:val="auto"/>
          <w:szCs w:val="21"/>
          <w:highlight w:val="none"/>
        </w:rPr>
        <w:t>一、评审办法</w:t>
      </w:r>
    </w:p>
    <w:p w14:paraId="36B2A422">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评审委员会（即谈判小组）各成员独立对供应商提交的响应文件进行评审和评价，在评审内容表中作相应记录，以判定响应文件的质量和服务均能满足采购文件实质性响应要求，并确定最终成交供应商。</w:t>
      </w:r>
    </w:p>
    <w:p w14:paraId="620D7EC6">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1、评审方法如下：</w:t>
      </w:r>
    </w:p>
    <w:p w14:paraId="0F7E55B5">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05AB314D">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17D5205">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2、谈判小组认为供应商的报价明显低于其他通过符合性审查的供应商的报价，有可能影响产品质量或者不能诚信履约的，应当要求其在苏采云系统中作出相关说明，供应商不能证明其报价合理性的，谈判小组应当认定其响应无效。</w:t>
      </w:r>
    </w:p>
    <w:p w14:paraId="5AE7917A">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3、成交人的确定</w:t>
      </w:r>
    </w:p>
    <w:p w14:paraId="47350751">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1）评审委员会在最后报价不超过采购最高限价，且响应内容的质量和服务均能满足采购文件实质性响应要求的供应商（不少于三家）中，按照最后报价由低到高的顺序排列，其中最后报价最低的供应商为第一成交候选供应商。如选取成交候选人时出现最后报价相同的，则由谈判小组以抽签方式确定优先选取顺序。</w:t>
      </w:r>
    </w:p>
    <w:p w14:paraId="57990CBD">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（2）评审委员会根据采购人的授权，按照成交候选人的顺序在成交候选人中直接确定成交人。</w:t>
      </w:r>
    </w:p>
    <w:p w14:paraId="713B4DE3">
      <w:pPr>
        <w:spacing w:line="360" w:lineRule="auto"/>
        <w:ind w:firstLine="482"/>
        <w:rPr>
          <w:rFonts w:ascii="宋体" w:hAnsi="宋体" w:cs="宋体"/>
          <w:b/>
          <w:bCs/>
          <w:color w:val="auto"/>
          <w:szCs w:val="21"/>
          <w:highlight w:val="none"/>
        </w:rPr>
      </w:pPr>
      <w:r>
        <w:rPr>
          <w:rFonts w:hint="eastAsia" w:ascii="宋体" w:hAnsi="宋体" w:cs="宋体"/>
          <w:b/>
          <w:bCs/>
          <w:color w:val="auto"/>
          <w:szCs w:val="21"/>
          <w:highlight w:val="none"/>
        </w:rPr>
        <w:t>二、评审内容表</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4"/>
        <w:gridCol w:w="2252"/>
        <w:gridCol w:w="1013"/>
      </w:tblGrid>
      <w:tr w14:paraId="673F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5324" w:type="dxa"/>
            <w:noWrap/>
            <w:vAlign w:val="center"/>
          </w:tcPr>
          <w:p w14:paraId="3D18B273">
            <w:pPr>
              <w:jc w:val="center"/>
              <w:rPr>
                <w:rFonts w:ascii="宋体" w:hAnsi="宋体" w:cs="宋体"/>
                <w:bCs/>
                <w:color w:val="auto"/>
                <w:szCs w:val="21"/>
                <w:highlight w:val="none"/>
              </w:rPr>
            </w:pPr>
            <w:r>
              <w:rPr>
                <w:rFonts w:hint="eastAsia" w:ascii="宋体" w:hAnsi="宋体" w:cs="宋体"/>
                <w:bCs/>
                <w:color w:val="auto"/>
                <w:szCs w:val="21"/>
                <w:highlight w:val="none"/>
              </w:rPr>
              <w:t>评审内容</w:t>
            </w:r>
          </w:p>
        </w:tc>
        <w:tc>
          <w:tcPr>
            <w:tcW w:w="2252" w:type="dxa"/>
            <w:noWrap/>
            <w:vAlign w:val="center"/>
          </w:tcPr>
          <w:p w14:paraId="7E840A8F">
            <w:pPr>
              <w:jc w:val="center"/>
              <w:rPr>
                <w:rFonts w:ascii="宋体" w:hAnsi="宋体" w:cs="宋体"/>
                <w:bCs/>
                <w:color w:val="auto"/>
                <w:szCs w:val="21"/>
                <w:highlight w:val="none"/>
              </w:rPr>
            </w:pPr>
            <w:r>
              <w:rPr>
                <w:rFonts w:hint="eastAsia" w:ascii="宋体" w:hAnsi="宋体" w:cs="宋体"/>
                <w:bCs/>
                <w:color w:val="auto"/>
                <w:szCs w:val="21"/>
                <w:highlight w:val="none"/>
              </w:rPr>
              <w:t>是否符合（是/否）</w:t>
            </w:r>
          </w:p>
        </w:tc>
        <w:tc>
          <w:tcPr>
            <w:tcW w:w="1013" w:type="dxa"/>
            <w:noWrap/>
            <w:vAlign w:val="center"/>
          </w:tcPr>
          <w:p w14:paraId="7560A726">
            <w:pPr>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14:paraId="1AF6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324" w:type="dxa"/>
            <w:noWrap/>
            <w:vAlign w:val="center"/>
          </w:tcPr>
          <w:p w14:paraId="541A9DDC">
            <w:pPr>
              <w:jc w:val="left"/>
              <w:rPr>
                <w:rFonts w:ascii="宋体" w:hAnsi="宋体" w:cs="宋体"/>
                <w:bCs/>
                <w:color w:val="auto"/>
                <w:szCs w:val="21"/>
                <w:highlight w:val="none"/>
              </w:rPr>
            </w:pPr>
            <w:r>
              <w:rPr>
                <w:rFonts w:hint="eastAsia" w:ascii="宋体" w:hAnsi="宋体" w:cs="宋体"/>
                <w:bCs/>
                <w:color w:val="auto"/>
                <w:szCs w:val="21"/>
                <w:highlight w:val="none"/>
              </w:rPr>
              <w:t>1、合格谈判供应商的资格条件。</w:t>
            </w:r>
          </w:p>
        </w:tc>
        <w:tc>
          <w:tcPr>
            <w:tcW w:w="2252" w:type="dxa"/>
            <w:noWrap/>
            <w:vAlign w:val="center"/>
          </w:tcPr>
          <w:p w14:paraId="2432F2A4">
            <w:pPr>
              <w:jc w:val="left"/>
              <w:rPr>
                <w:rFonts w:ascii="宋体" w:hAnsi="宋体" w:cs="宋体"/>
                <w:bCs/>
                <w:color w:val="auto"/>
                <w:szCs w:val="21"/>
                <w:highlight w:val="none"/>
              </w:rPr>
            </w:pPr>
          </w:p>
        </w:tc>
        <w:tc>
          <w:tcPr>
            <w:tcW w:w="1013" w:type="dxa"/>
            <w:noWrap/>
            <w:vAlign w:val="center"/>
          </w:tcPr>
          <w:p w14:paraId="690A7D58">
            <w:pPr>
              <w:jc w:val="left"/>
              <w:rPr>
                <w:rFonts w:ascii="宋体" w:hAnsi="宋体" w:cs="宋体"/>
                <w:bCs/>
                <w:color w:val="auto"/>
                <w:szCs w:val="21"/>
                <w:highlight w:val="none"/>
              </w:rPr>
            </w:pPr>
          </w:p>
        </w:tc>
      </w:tr>
      <w:tr w14:paraId="1F730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24" w:type="dxa"/>
            <w:noWrap/>
            <w:vAlign w:val="center"/>
          </w:tcPr>
          <w:p w14:paraId="7E8B2283">
            <w:pPr>
              <w:jc w:val="left"/>
              <w:rPr>
                <w:rFonts w:ascii="宋体" w:hAnsi="宋体" w:cs="宋体"/>
                <w:bCs/>
                <w:color w:val="auto"/>
                <w:szCs w:val="21"/>
                <w:highlight w:val="none"/>
              </w:rPr>
            </w:pPr>
            <w:r>
              <w:rPr>
                <w:rFonts w:hint="eastAsia" w:ascii="宋体" w:hAnsi="宋体" w:cs="宋体"/>
                <w:bCs/>
                <w:color w:val="auto"/>
                <w:szCs w:val="21"/>
                <w:highlight w:val="none"/>
              </w:rPr>
              <w:t>2、谈判响应产品的数量、配置等是否符合谈判文件要求。</w:t>
            </w:r>
          </w:p>
        </w:tc>
        <w:tc>
          <w:tcPr>
            <w:tcW w:w="2252" w:type="dxa"/>
            <w:noWrap/>
            <w:vAlign w:val="center"/>
          </w:tcPr>
          <w:p w14:paraId="3723770C">
            <w:pPr>
              <w:jc w:val="left"/>
              <w:rPr>
                <w:rFonts w:ascii="宋体" w:hAnsi="宋体" w:cs="宋体"/>
                <w:bCs/>
                <w:color w:val="auto"/>
                <w:szCs w:val="21"/>
                <w:highlight w:val="none"/>
              </w:rPr>
            </w:pPr>
          </w:p>
        </w:tc>
        <w:tc>
          <w:tcPr>
            <w:tcW w:w="1013" w:type="dxa"/>
            <w:noWrap/>
            <w:vAlign w:val="center"/>
          </w:tcPr>
          <w:p w14:paraId="65E60D1A">
            <w:pPr>
              <w:jc w:val="left"/>
              <w:rPr>
                <w:rFonts w:ascii="宋体" w:hAnsi="宋体" w:cs="宋体"/>
                <w:bCs/>
                <w:color w:val="auto"/>
                <w:szCs w:val="21"/>
                <w:highlight w:val="none"/>
              </w:rPr>
            </w:pPr>
          </w:p>
        </w:tc>
      </w:tr>
      <w:tr w14:paraId="012C5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5324" w:type="dxa"/>
            <w:noWrap/>
            <w:vAlign w:val="center"/>
          </w:tcPr>
          <w:p w14:paraId="24ED71F1">
            <w:pPr>
              <w:jc w:val="left"/>
              <w:rPr>
                <w:rFonts w:ascii="宋体" w:hAnsi="宋体" w:cs="宋体"/>
                <w:bCs/>
                <w:color w:val="auto"/>
                <w:szCs w:val="21"/>
                <w:highlight w:val="none"/>
              </w:rPr>
            </w:pPr>
            <w:r>
              <w:rPr>
                <w:rFonts w:hint="eastAsia" w:ascii="宋体" w:hAnsi="宋体" w:cs="宋体"/>
                <w:bCs/>
                <w:color w:val="auto"/>
                <w:szCs w:val="21"/>
                <w:highlight w:val="none"/>
              </w:rPr>
              <w:t>3、产品</w:t>
            </w:r>
            <w:r>
              <w:rPr>
                <w:rFonts w:ascii="宋体" w:hAnsi="宋体"/>
                <w:color w:val="auto"/>
                <w:szCs w:val="21"/>
                <w:highlight w:val="none"/>
              </w:rPr>
              <w:t>交货时间、付款方式、质保期、</w:t>
            </w:r>
            <w:r>
              <w:rPr>
                <w:rFonts w:hint="eastAsia" w:ascii="宋体" w:hAnsi="宋体" w:cs="宋体"/>
                <w:bCs/>
                <w:color w:val="auto"/>
                <w:szCs w:val="21"/>
                <w:highlight w:val="none"/>
              </w:rPr>
              <w:t>售后服务</w:t>
            </w:r>
            <w:r>
              <w:rPr>
                <w:rFonts w:hint="eastAsia" w:ascii="宋体" w:hAnsi="宋体" w:cs="宋体"/>
                <w:bCs/>
                <w:color w:val="auto"/>
                <w:szCs w:val="21"/>
                <w:highlight w:val="none"/>
                <w:lang w:val="en-US" w:eastAsia="zh-CN"/>
              </w:rPr>
              <w:t>承诺</w:t>
            </w:r>
            <w:r>
              <w:rPr>
                <w:rFonts w:hint="eastAsia" w:ascii="宋体" w:hAnsi="宋体" w:cs="宋体"/>
                <w:bCs/>
                <w:color w:val="auto"/>
                <w:szCs w:val="21"/>
                <w:highlight w:val="none"/>
              </w:rPr>
              <w:t>。</w:t>
            </w:r>
          </w:p>
        </w:tc>
        <w:tc>
          <w:tcPr>
            <w:tcW w:w="2252" w:type="dxa"/>
            <w:noWrap/>
            <w:vAlign w:val="center"/>
          </w:tcPr>
          <w:p w14:paraId="6FEDBC9B">
            <w:pPr>
              <w:jc w:val="left"/>
              <w:rPr>
                <w:rFonts w:ascii="宋体" w:hAnsi="宋体" w:cs="宋体"/>
                <w:bCs/>
                <w:color w:val="auto"/>
                <w:szCs w:val="21"/>
                <w:highlight w:val="none"/>
              </w:rPr>
            </w:pPr>
          </w:p>
        </w:tc>
        <w:tc>
          <w:tcPr>
            <w:tcW w:w="1013" w:type="dxa"/>
            <w:noWrap/>
            <w:vAlign w:val="center"/>
          </w:tcPr>
          <w:p w14:paraId="3E8466D3">
            <w:pPr>
              <w:jc w:val="left"/>
              <w:rPr>
                <w:rFonts w:ascii="宋体" w:hAnsi="宋体" w:cs="宋体"/>
                <w:bCs/>
                <w:color w:val="auto"/>
                <w:szCs w:val="21"/>
                <w:highlight w:val="none"/>
              </w:rPr>
            </w:pPr>
          </w:p>
        </w:tc>
      </w:tr>
      <w:tr w14:paraId="0F92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5324" w:type="dxa"/>
            <w:noWrap/>
            <w:vAlign w:val="center"/>
          </w:tcPr>
          <w:p w14:paraId="602BEB2C">
            <w:pPr>
              <w:jc w:val="left"/>
              <w:rPr>
                <w:rFonts w:ascii="宋体" w:hAnsi="宋体" w:cs="宋体"/>
                <w:bCs/>
                <w:color w:val="auto"/>
                <w:szCs w:val="21"/>
                <w:highlight w:val="none"/>
              </w:rPr>
            </w:pPr>
            <w:r>
              <w:rPr>
                <w:rFonts w:hint="eastAsia" w:ascii="宋体" w:hAnsi="宋体" w:cs="宋体"/>
                <w:bCs/>
                <w:color w:val="auto"/>
                <w:szCs w:val="21"/>
                <w:highlight w:val="none"/>
              </w:rPr>
              <w:t>4、其他（除供应商资格条件及采购内容以外的其他涉及实质性响应谈判文件的条款内容）。</w:t>
            </w:r>
          </w:p>
        </w:tc>
        <w:tc>
          <w:tcPr>
            <w:tcW w:w="2252" w:type="dxa"/>
            <w:noWrap/>
            <w:vAlign w:val="center"/>
          </w:tcPr>
          <w:p w14:paraId="07A1F326">
            <w:pPr>
              <w:jc w:val="left"/>
              <w:rPr>
                <w:rFonts w:ascii="宋体" w:hAnsi="宋体" w:cs="宋体"/>
                <w:bCs/>
                <w:color w:val="auto"/>
                <w:szCs w:val="21"/>
                <w:highlight w:val="none"/>
              </w:rPr>
            </w:pPr>
          </w:p>
        </w:tc>
        <w:tc>
          <w:tcPr>
            <w:tcW w:w="1013" w:type="dxa"/>
            <w:noWrap/>
            <w:vAlign w:val="center"/>
          </w:tcPr>
          <w:p w14:paraId="3DA70D5B">
            <w:pPr>
              <w:jc w:val="left"/>
              <w:rPr>
                <w:rFonts w:ascii="宋体" w:hAnsi="宋体" w:cs="宋体"/>
                <w:bCs/>
                <w:color w:val="auto"/>
                <w:szCs w:val="21"/>
                <w:highlight w:val="none"/>
              </w:rPr>
            </w:pPr>
          </w:p>
        </w:tc>
      </w:tr>
    </w:tbl>
    <w:p w14:paraId="10CA8CD9">
      <w:pPr>
        <w:pStyle w:val="21"/>
        <w:spacing w:line="360" w:lineRule="auto"/>
        <w:rPr>
          <w:rFonts w:hAnsi="宋体" w:eastAsia="宋体" w:cs="宋体"/>
          <w:b/>
          <w:color w:val="auto"/>
          <w:sz w:val="21"/>
          <w:szCs w:val="21"/>
          <w:highlight w:val="none"/>
        </w:rPr>
      </w:pPr>
      <w:r>
        <w:rPr>
          <w:rFonts w:hint="eastAsia" w:hAnsi="宋体" w:eastAsia="宋体" w:cs="宋体"/>
          <w:b/>
          <w:color w:val="auto"/>
          <w:sz w:val="21"/>
          <w:szCs w:val="21"/>
          <w:highlight w:val="none"/>
        </w:rPr>
        <w:t>（全文完）</w:t>
      </w:r>
    </w:p>
    <w:sectPr>
      <w:pgSz w:w="11906" w:h="16838"/>
      <w:pgMar w:top="1440" w:right="1417" w:bottom="1440" w:left="1417" w:header="964" w:footer="96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568E">
    <w:pPr>
      <w:pStyle w:val="2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rUadddsBAACwAwAADgAAAAAAAAAB&#10;ACAAAAAfAQAAZHJzL2Uyb0RvYy54bWxQSwUGAAAAAAYABgBZAQAAbAUAAAAA&#10;">
          <v:path/>
          <v:fill on="f" focussize="0,0"/>
          <v:stroke on="f" weight="0.5pt" joinstyle="miter"/>
          <v:imagedata o:title=""/>
          <o:lock v:ext="edit"/>
          <v:textbox inset="0mm,0mm,0mm,0mm" style="mso-fit-shape-to-text:t;">
            <w:txbxContent>
              <w:p w14:paraId="419DEA13">
                <w:pPr>
                  <w:pStyle w:val="27"/>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7B170">
    <w:pPr>
      <w:pStyle w:val="27"/>
      <w:framePr w:wrap="around" w:vAnchor="text" w:hAnchor="margin" w:xAlign="center" w:y="1"/>
      <w:rPr>
        <w:rStyle w:val="48"/>
      </w:rPr>
    </w:pPr>
    <w:r>
      <w:fldChar w:fldCharType="begin"/>
    </w:r>
    <w:r>
      <w:rPr>
        <w:rStyle w:val="48"/>
      </w:rPr>
      <w:instrText xml:space="preserve">PAGE  </w:instrText>
    </w:r>
    <w:r>
      <w:fldChar w:fldCharType="end"/>
    </w:r>
  </w:p>
  <w:p w14:paraId="5DFA392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35DF">
    <w:pPr>
      <w:pStyle w:val="29"/>
      <w:tabs>
        <w:tab w:val="right" w:pos="8820"/>
      </w:tabs>
      <w:jc w:val="left"/>
      <w:rPr>
        <w:rFonts w:hint="eastAsia" w:ascii="宋体" w:hAnsi="宋体" w:eastAsia="宋体"/>
        <w:lang w:eastAsia="zh-CN"/>
      </w:rPr>
    </w:pPr>
    <w:r>
      <w:drawing>
        <wp:inline distT="0" distB="0" distL="0" distR="0">
          <wp:extent cx="321945" cy="241300"/>
          <wp:effectExtent l="19050" t="0" r="1905"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pic:cNvPicPr>
                </pic:nvPicPr>
                <pic:blipFill>
                  <a:blip r:embed="rId1"/>
                  <a:stretch>
                    <a:fillRect/>
                  </a:stretch>
                </pic:blipFill>
                <pic:spPr>
                  <a:xfrm>
                    <a:off x="0" y="0"/>
                    <a:ext cx="321945" cy="241300"/>
                  </a:xfrm>
                  <a:prstGeom prst="rect">
                    <a:avLst/>
                  </a:prstGeom>
                  <a:noFill/>
                  <a:ln w="9525">
                    <a:noFill/>
                    <a:miter lim="800000"/>
                    <a:headEnd/>
                    <a:tailEnd/>
                  </a:ln>
                </pic:spPr>
              </pic:pic>
            </a:graphicData>
          </a:graphic>
        </wp:inline>
      </w:drawing>
    </w:r>
    <w:r>
      <w:rPr>
        <w:rFonts w:hint="eastAsia" w:ascii="宋体" w:hAnsi="宋体"/>
      </w:rPr>
      <w:t>苏州市创杰招投标咨询服务有限公司</w:t>
    </w:r>
    <w:r>
      <w:tab/>
    </w:r>
    <w:r>
      <w:rPr>
        <w:rFonts w:hint="eastAsia" w:ascii="宋体" w:hAnsi="宋体"/>
      </w:rPr>
      <w:t xml:space="preserve"> </w:t>
    </w:r>
    <w:r>
      <w:rPr>
        <w:rFonts w:hint="eastAsia" w:ascii="宋体" w:hAnsi="宋体"/>
        <w:lang w:val="en-US" w:eastAsia="zh-CN"/>
      </w:rPr>
      <w:t xml:space="preserve">                        </w:t>
    </w:r>
    <w:r>
      <w:rPr>
        <w:rFonts w:hint="eastAsia" w:ascii="宋体" w:hAnsi="宋体"/>
      </w:rPr>
      <w:t>采购编号：</w:t>
    </w:r>
    <w:r>
      <w:rPr>
        <w:rFonts w:hint="eastAsia" w:ascii="宋体" w:hAnsi="宋体"/>
        <w:lang w:eastAsia="zh-CN"/>
      </w:rPr>
      <w:t>JSZC-320583-CJZB-T2025-0232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617C">
    <w:pPr>
      <w:pStyle w:val="29"/>
      <w:tabs>
        <w:tab w:val="right" w:pos="8820"/>
      </w:tabs>
      <w:jc w:val="left"/>
      <w:rPr>
        <w:rFonts w:ascii="宋体" w:hAnsi="宋体"/>
      </w:rPr>
    </w:pPr>
    <w:r>
      <w:drawing>
        <wp:inline distT="0" distB="0" distL="0" distR="0">
          <wp:extent cx="321945" cy="241300"/>
          <wp:effectExtent l="19050" t="0" r="1905" b="0"/>
          <wp:docPr id="2" name="图片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
                  <pic:cNvPicPr>
                    <a:picLocks noChangeAspect="1"/>
                  </pic:cNvPicPr>
                </pic:nvPicPr>
                <pic:blipFill>
                  <a:blip r:embed="rId1"/>
                  <a:stretch>
                    <a:fillRect/>
                  </a:stretch>
                </pic:blipFill>
                <pic:spPr>
                  <a:xfrm>
                    <a:off x="0" y="0"/>
                    <a:ext cx="321945" cy="241300"/>
                  </a:xfrm>
                  <a:prstGeom prst="rect">
                    <a:avLst/>
                  </a:prstGeom>
                  <a:noFill/>
                  <a:ln w="9525">
                    <a:noFill/>
                    <a:miter lim="800000"/>
                    <a:headEnd/>
                    <a:tailEnd/>
                  </a:ln>
                </pic:spPr>
              </pic:pic>
            </a:graphicData>
          </a:graphic>
        </wp:inline>
      </w:drawing>
    </w:r>
    <w:r>
      <w:rPr>
        <w:rFonts w:hint="eastAsia" w:ascii="宋体" w:hAnsi="宋体"/>
      </w:rPr>
      <w:t>苏州市创杰招投标咨询服务有限公司</w:t>
    </w:r>
    <w:r>
      <w:tab/>
    </w:r>
    <w:r>
      <w:rPr>
        <w:rFonts w:hint="eastAsia" w:ascii="宋体" w:hAnsi="宋体"/>
      </w:rPr>
      <w:t>标号：</w:t>
    </w:r>
    <w:r>
      <w:rPr>
        <w:rFonts w:ascii="宋体" w:hAnsi="宋体"/>
      </w:rPr>
      <w:t>SZCJ20</w:t>
    </w:r>
    <w:r>
      <w:rPr>
        <w:rFonts w:hint="eastAsia" w:ascii="宋体" w:hAnsi="宋体"/>
      </w:rPr>
      <w:t>16</w:t>
    </w:r>
    <w:r>
      <w:rPr>
        <w:rFonts w:ascii="宋体" w:hAnsi="宋体"/>
      </w:rPr>
      <w:t>-</w:t>
    </w:r>
    <w:r>
      <w:rPr>
        <w:rFonts w:hint="eastAsia" w:ascii="宋体" w:hAnsi="宋体"/>
      </w:rPr>
      <w:t>C</w:t>
    </w:r>
    <w:r>
      <w:rPr>
        <w:rFonts w:ascii="宋体" w:hAnsi="宋体"/>
      </w:rPr>
      <w:t>-</w:t>
    </w:r>
    <w:r>
      <w:rPr>
        <w:rFonts w:hint="eastAsia" w:ascii="宋体" w:hAnsi="宋体"/>
      </w:rPr>
      <w:t>001号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japaneseCounting"/>
      <w:pStyle w:val="227"/>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3208E"/>
    <w:multiLevelType w:val="multilevel"/>
    <w:tmpl w:val="0053208E"/>
    <w:lvl w:ilvl="0" w:tentative="0">
      <w:start w:val="2"/>
      <w:numFmt w:val="japaneseCounting"/>
      <w:pStyle w:val="40"/>
      <w:lvlText w:val="（%1）"/>
      <w:lvlJc w:val="left"/>
      <w:pPr>
        <w:tabs>
          <w:tab w:val="left" w:pos="1140"/>
        </w:tabs>
        <w:ind w:left="1140" w:hanging="720"/>
      </w:pPr>
      <w:rPr>
        <w:rFonts w:hint="eastAsia"/>
        <w:b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5B654F3"/>
    <w:multiLevelType w:val="multilevel"/>
    <w:tmpl w:val="25B654F3"/>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g2ZGIyZWRmZTk5MGEyN2Y5Y2Y2MjllNTgyNjIzMzUifQ=="/>
  </w:docVars>
  <w:rsids>
    <w:rsidRoot w:val="00463D40"/>
    <w:rsid w:val="00147710"/>
    <w:rsid w:val="003161F6"/>
    <w:rsid w:val="00463D40"/>
    <w:rsid w:val="00641E35"/>
    <w:rsid w:val="00966176"/>
    <w:rsid w:val="00B610E2"/>
    <w:rsid w:val="00C069F6"/>
    <w:rsid w:val="00C65F37"/>
    <w:rsid w:val="02054EED"/>
    <w:rsid w:val="02B61B44"/>
    <w:rsid w:val="02C60875"/>
    <w:rsid w:val="035B12CD"/>
    <w:rsid w:val="0391732F"/>
    <w:rsid w:val="04020FDC"/>
    <w:rsid w:val="043A7135"/>
    <w:rsid w:val="04477AA3"/>
    <w:rsid w:val="04E115E2"/>
    <w:rsid w:val="05007302"/>
    <w:rsid w:val="059D4469"/>
    <w:rsid w:val="05D034F9"/>
    <w:rsid w:val="05D03C7B"/>
    <w:rsid w:val="05D21D37"/>
    <w:rsid w:val="06220888"/>
    <w:rsid w:val="06AF673E"/>
    <w:rsid w:val="075C3866"/>
    <w:rsid w:val="081439C0"/>
    <w:rsid w:val="081B5093"/>
    <w:rsid w:val="081D1247"/>
    <w:rsid w:val="0827320A"/>
    <w:rsid w:val="09A52BFC"/>
    <w:rsid w:val="09AB7597"/>
    <w:rsid w:val="0A4D56E8"/>
    <w:rsid w:val="0AB04E86"/>
    <w:rsid w:val="0AD953B0"/>
    <w:rsid w:val="0B310DB7"/>
    <w:rsid w:val="0BC60628"/>
    <w:rsid w:val="0BD16684"/>
    <w:rsid w:val="0C1C2ED4"/>
    <w:rsid w:val="0C22507E"/>
    <w:rsid w:val="0C3E10AC"/>
    <w:rsid w:val="0D4E3FCC"/>
    <w:rsid w:val="0E4869D7"/>
    <w:rsid w:val="0E87566C"/>
    <w:rsid w:val="0F057F3E"/>
    <w:rsid w:val="0F1669F0"/>
    <w:rsid w:val="0F853DCF"/>
    <w:rsid w:val="0F967CB3"/>
    <w:rsid w:val="0FC7596C"/>
    <w:rsid w:val="104718C8"/>
    <w:rsid w:val="105552F6"/>
    <w:rsid w:val="113D2012"/>
    <w:rsid w:val="11B83D8F"/>
    <w:rsid w:val="11FE4A4F"/>
    <w:rsid w:val="126E2BE7"/>
    <w:rsid w:val="13AD48CA"/>
    <w:rsid w:val="13E640AA"/>
    <w:rsid w:val="142E400F"/>
    <w:rsid w:val="14487AD4"/>
    <w:rsid w:val="14CD507F"/>
    <w:rsid w:val="14D31D4A"/>
    <w:rsid w:val="14DB04C0"/>
    <w:rsid w:val="155E2E9F"/>
    <w:rsid w:val="156658E8"/>
    <w:rsid w:val="158305A9"/>
    <w:rsid w:val="159677A4"/>
    <w:rsid w:val="165776E4"/>
    <w:rsid w:val="17576AD0"/>
    <w:rsid w:val="19124678"/>
    <w:rsid w:val="197A1AB1"/>
    <w:rsid w:val="19932009"/>
    <w:rsid w:val="1AC94DE8"/>
    <w:rsid w:val="1ACB308B"/>
    <w:rsid w:val="1C5946F0"/>
    <w:rsid w:val="1CA347AF"/>
    <w:rsid w:val="1CB97098"/>
    <w:rsid w:val="1CE67A02"/>
    <w:rsid w:val="1D151E3B"/>
    <w:rsid w:val="1D8E5635"/>
    <w:rsid w:val="1E1C5B20"/>
    <w:rsid w:val="1E4A2212"/>
    <w:rsid w:val="1EE43FC5"/>
    <w:rsid w:val="1F06506F"/>
    <w:rsid w:val="1FB45B95"/>
    <w:rsid w:val="1FC942B4"/>
    <w:rsid w:val="1FCF7AFB"/>
    <w:rsid w:val="20171C5D"/>
    <w:rsid w:val="205A28DB"/>
    <w:rsid w:val="206B16F0"/>
    <w:rsid w:val="20AA343C"/>
    <w:rsid w:val="20BA2A49"/>
    <w:rsid w:val="20BE0DD8"/>
    <w:rsid w:val="20EA1F62"/>
    <w:rsid w:val="22916662"/>
    <w:rsid w:val="22C00EC3"/>
    <w:rsid w:val="22E96774"/>
    <w:rsid w:val="23A6613D"/>
    <w:rsid w:val="24472287"/>
    <w:rsid w:val="24CA5E5B"/>
    <w:rsid w:val="25170171"/>
    <w:rsid w:val="25202EC3"/>
    <w:rsid w:val="262A6E89"/>
    <w:rsid w:val="2677762E"/>
    <w:rsid w:val="267E090E"/>
    <w:rsid w:val="26EF6293"/>
    <w:rsid w:val="273A72C8"/>
    <w:rsid w:val="278B57CE"/>
    <w:rsid w:val="279664C8"/>
    <w:rsid w:val="28235FAE"/>
    <w:rsid w:val="28795BCE"/>
    <w:rsid w:val="292645B9"/>
    <w:rsid w:val="29EA2491"/>
    <w:rsid w:val="2ACD4BCA"/>
    <w:rsid w:val="2AFC0438"/>
    <w:rsid w:val="2C4A48F9"/>
    <w:rsid w:val="2D1B234D"/>
    <w:rsid w:val="2D5E0F35"/>
    <w:rsid w:val="2D904AFD"/>
    <w:rsid w:val="2DCB0E63"/>
    <w:rsid w:val="2E026666"/>
    <w:rsid w:val="2E077529"/>
    <w:rsid w:val="2F880CC8"/>
    <w:rsid w:val="316103C4"/>
    <w:rsid w:val="31C14142"/>
    <w:rsid w:val="32004C6A"/>
    <w:rsid w:val="32046588"/>
    <w:rsid w:val="32590B33"/>
    <w:rsid w:val="32DC359F"/>
    <w:rsid w:val="333746BC"/>
    <w:rsid w:val="335B15E7"/>
    <w:rsid w:val="337C013C"/>
    <w:rsid w:val="339B7340"/>
    <w:rsid w:val="34234D03"/>
    <w:rsid w:val="346815CD"/>
    <w:rsid w:val="34A34243"/>
    <w:rsid w:val="35071D38"/>
    <w:rsid w:val="35C85B24"/>
    <w:rsid w:val="35CE0412"/>
    <w:rsid w:val="36427103"/>
    <w:rsid w:val="366B28CE"/>
    <w:rsid w:val="366F4CB5"/>
    <w:rsid w:val="36E7289C"/>
    <w:rsid w:val="37644B91"/>
    <w:rsid w:val="37B85359"/>
    <w:rsid w:val="380951E1"/>
    <w:rsid w:val="380E51E8"/>
    <w:rsid w:val="38562BC4"/>
    <w:rsid w:val="3876776F"/>
    <w:rsid w:val="38820427"/>
    <w:rsid w:val="38CE223C"/>
    <w:rsid w:val="38EE1809"/>
    <w:rsid w:val="39624330"/>
    <w:rsid w:val="399041DC"/>
    <w:rsid w:val="3A6F3C5F"/>
    <w:rsid w:val="3AAD5BAB"/>
    <w:rsid w:val="3ABC6E32"/>
    <w:rsid w:val="3AE3659B"/>
    <w:rsid w:val="3AEC0329"/>
    <w:rsid w:val="3C1243BD"/>
    <w:rsid w:val="3C125CC6"/>
    <w:rsid w:val="3C255B6A"/>
    <w:rsid w:val="3C2C383A"/>
    <w:rsid w:val="3CC6041E"/>
    <w:rsid w:val="3CDE6FFD"/>
    <w:rsid w:val="3DCD56F0"/>
    <w:rsid w:val="3DDD67A7"/>
    <w:rsid w:val="3DE47B36"/>
    <w:rsid w:val="3E804580"/>
    <w:rsid w:val="3EA82911"/>
    <w:rsid w:val="3F4F2336"/>
    <w:rsid w:val="3F6D6940"/>
    <w:rsid w:val="3FA16929"/>
    <w:rsid w:val="3FA23805"/>
    <w:rsid w:val="3FF93E47"/>
    <w:rsid w:val="406E36E7"/>
    <w:rsid w:val="412C23C6"/>
    <w:rsid w:val="41314E40"/>
    <w:rsid w:val="41C71300"/>
    <w:rsid w:val="41FF4F3E"/>
    <w:rsid w:val="429A2760"/>
    <w:rsid w:val="42CE30A8"/>
    <w:rsid w:val="43680D3A"/>
    <w:rsid w:val="4396542E"/>
    <w:rsid w:val="43B753A5"/>
    <w:rsid w:val="43E52FB4"/>
    <w:rsid w:val="443727E8"/>
    <w:rsid w:val="444F280E"/>
    <w:rsid w:val="449B0822"/>
    <w:rsid w:val="44FF34A7"/>
    <w:rsid w:val="456C1845"/>
    <w:rsid w:val="459F4295"/>
    <w:rsid w:val="45CC3389"/>
    <w:rsid w:val="46B1251B"/>
    <w:rsid w:val="46D10C0E"/>
    <w:rsid w:val="471A4521"/>
    <w:rsid w:val="472054C0"/>
    <w:rsid w:val="47601971"/>
    <w:rsid w:val="47946129"/>
    <w:rsid w:val="47C06F1E"/>
    <w:rsid w:val="48D2515B"/>
    <w:rsid w:val="490232CF"/>
    <w:rsid w:val="494E2F75"/>
    <w:rsid w:val="49AA1C33"/>
    <w:rsid w:val="4B2C0426"/>
    <w:rsid w:val="4B771FE9"/>
    <w:rsid w:val="4B9D7D34"/>
    <w:rsid w:val="4BCF3BD3"/>
    <w:rsid w:val="4C966E5B"/>
    <w:rsid w:val="4CF92740"/>
    <w:rsid w:val="4D202EFB"/>
    <w:rsid w:val="4D48330A"/>
    <w:rsid w:val="4D741370"/>
    <w:rsid w:val="4DCD01D6"/>
    <w:rsid w:val="4E533488"/>
    <w:rsid w:val="4EAC6864"/>
    <w:rsid w:val="4EFF657E"/>
    <w:rsid w:val="4F073684"/>
    <w:rsid w:val="4F565BAF"/>
    <w:rsid w:val="4FC14EFE"/>
    <w:rsid w:val="4FF66CE2"/>
    <w:rsid w:val="50911FBB"/>
    <w:rsid w:val="509C604E"/>
    <w:rsid w:val="516C7448"/>
    <w:rsid w:val="51713037"/>
    <w:rsid w:val="51864E23"/>
    <w:rsid w:val="520B4FFC"/>
    <w:rsid w:val="52371F34"/>
    <w:rsid w:val="524654B9"/>
    <w:rsid w:val="525E35BB"/>
    <w:rsid w:val="528B1ED6"/>
    <w:rsid w:val="53E20767"/>
    <w:rsid w:val="545B76B8"/>
    <w:rsid w:val="54BE13A5"/>
    <w:rsid w:val="54BE262D"/>
    <w:rsid w:val="55261D66"/>
    <w:rsid w:val="55796E0E"/>
    <w:rsid w:val="557E2802"/>
    <w:rsid w:val="5617324E"/>
    <w:rsid w:val="566E223B"/>
    <w:rsid w:val="56CE186A"/>
    <w:rsid w:val="571076B7"/>
    <w:rsid w:val="57284198"/>
    <w:rsid w:val="5792770D"/>
    <w:rsid w:val="57BC170B"/>
    <w:rsid w:val="58383CFE"/>
    <w:rsid w:val="5939268C"/>
    <w:rsid w:val="59862EFB"/>
    <w:rsid w:val="59965D30"/>
    <w:rsid w:val="59C27165"/>
    <w:rsid w:val="5A1B4488"/>
    <w:rsid w:val="5A451531"/>
    <w:rsid w:val="5B250563"/>
    <w:rsid w:val="5B8C73EB"/>
    <w:rsid w:val="5BB214A6"/>
    <w:rsid w:val="5BDF2F43"/>
    <w:rsid w:val="5C021BCB"/>
    <w:rsid w:val="5C3E6516"/>
    <w:rsid w:val="5C504119"/>
    <w:rsid w:val="5C602626"/>
    <w:rsid w:val="5CF55D01"/>
    <w:rsid w:val="5D5977A1"/>
    <w:rsid w:val="5D5B7DEE"/>
    <w:rsid w:val="5DB723C2"/>
    <w:rsid w:val="5DD42981"/>
    <w:rsid w:val="5E6967DF"/>
    <w:rsid w:val="5E9A5822"/>
    <w:rsid w:val="5F0C25F1"/>
    <w:rsid w:val="5F117C07"/>
    <w:rsid w:val="5F435C84"/>
    <w:rsid w:val="600C329F"/>
    <w:rsid w:val="60896648"/>
    <w:rsid w:val="60B8658C"/>
    <w:rsid w:val="60EC73A0"/>
    <w:rsid w:val="61926657"/>
    <w:rsid w:val="61DA6CE0"/>
    <w:rsid w:val="624078A4"/>
    <w:rsid w:val="628F77C1"/>
    <w:rsid w:val="6291178B"/>
    <w:rsid w:val="629E64EA"/>
    <w:rsid w:val="62B822C4"/>
    <w:rsid w:val="62BB7C17"/>
    <w:rsid w:val="62CD1C76"/>
    <w:rsid w:val="638F5110"/>
    <w:rsid w:val="64540C6F"/>
    <w:rsid w:val="65953340"/>
    <w:rsid w:val="665153A8"/>
    <w:rsid w:val="677961F6"/>
    <w:rsid w:val="677A27ED"/>
    <w:rsid w:val="68700D09"/>
    <w:rsid w:val="689275C2"/>
    <w:rsid w:val="69126921"/>
    <w:rsid w:val="69223A77"/>
    <w:rsid w:val="69341482"/>
    <w:rsid w:val="69630BAB"/>
    <w:rsid w:val="69AB1384"/>
    <w:rsid w:val="6A7431F4"/>
    <w:rsid w:val="6ADA7A66"/>
    <w:rsid w:val="6AF503DD"/>
    <w:rsid w:val="6C2E60B8"/>
    <w:rsid w:val="6E056B89"/>
    <w:rsid w:val="6E9D5283"/>
    <w:rsid w:val="705E273E"/>
    <w:rsid w:val="70DC1E23"/>
    <w:rsid w:val="70E02E56"/>
    <w:rsid w:val="711023BF"/>
    <w:rsid w:val="715E76DD"/>
    <w:rsid w:val="71CA4040"/>
    <w:rsid w:val="71DF4F6E"/>
    <w:rsid w:val="72E727B7"/>
    <w:rsid w:val="737451AF"/>
    <w:rsid w:val="739345A3"/>
    <w:rsid w:val="744A7EB9"/>
    <w:rsid w:val="74CE23CA"/>
    <w:rsid w:val="755B6E9E"/>
    <w:rsid w:val="7602080D"/>
    <w:rsid w:val="76D915A4"/>
    <w:rsid w:val="76FA244B"/>
    <w:rsid w:val="773D58EF"/>
    <w:rsid w:val="77490AF4"/>
    <w:rsid w:val="77AB69F3"/>
    <w:rsid w:val="77EB3293"/>
    <w:rsid w:val="79143B77"/>
    <w:rsid w:val="7AD16AD5"/>
    <w:rsid w:val="7AE641FA"/>
    <w:rsid w:val="7CB4579F"/>
    <w:rsid w:val="7CD92BCE"/>
    <w:rsid w:val="7D5D2A86"/>
    <w:rsid w:val="7DD72249"/>
    <w:rsid w:val="7E292420"/>
    <w:rsid w:val="7E2A4375"/>
    <w:rsid w:val="7E30647D"/>
    <w:rsid w:val="7E797790"/>
    <w:rsid w:val="7ECA4053"/>
    <w:rsid w:val="7F0F7867"/>
    <w:rsid w:val="7F7B02CE"/>
    <w:rsid w:val="7F8E03F1"/>
    <w:rsid w:val="7FA01415"/>
    <w:rsid w:val="7FDB6FCA"/>
    <w:rsid w:val="7FDE1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03"/>
    <w:qFormat/>
    <w:uiPriority w:val="0"/>
    <w:pPr>
      <w:keepNext/>
      <w:keepLines/>
      <w:spacing w:before="340" w:after="330" w:line="578" w:lineRule="auto"/>
      <w:outlineLvl w:val="0"/>
    </w:pPr>
    <w:rPr>
      <w:b/>
      <w:bCs/>
      <w:sz w:val="44"/>
      <w:szCs w:val="44"/>
    </w:rPr>
  </w:style>
  <w:style w:type="paragraph" w:styleId="3">
    <w:name w:val="heading 2"/>
    <w:basedOn w:val="1"/>
    <w:next w:val="1"/>
    <w:link w:val="20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link w:val="205"/>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214"/>
    <w:qFormat/>
    <w:uiPriority w:val="0"/>
    <w:pPr>
      <w:keepNext/>
      <w:spacing w:before="240" w:after="60"/>
      <w:outlineLvl w:val="3"/>
    </w:pPr>
    <w:rPr>
      <w:b/>
      <w:bCs/>
      <w:sz w:val="28"/>
      <w:szCs w:val="28"/>
    </w:rPr>
  </w:style>
  <w:style w:type="paragraph" w:styleId="7">
    <w:name w:val="heading 5"/>
    <w:basedOn w:val="1"/>
    <w:next w:val="1"/>
    <w:link w:val="209"/>
    <w:qFormat/>
    <w:uiPriority w:val="0"/>
    <w:pPr>
      <w:spacing w:before="240" w:after="60"/>
      <w:outlineLvl w:val="4"/>
    </w:pPr>
    <w:rPr>
      <w:b/>
      <w:bCs/>
      <w:i/>
      <w:iCs/>
      <w:sz w:val="26"/>
      <w:szCs w:val="26"/>
    </w:rPr>
  </w:style>
  <w:style w:type="paragraph" w:styleId="8">
    <w:name w:val="heading 6"/>
    <w:basedOn w:val="1"/>
    <w:next w:val="1"/>
    <w:link w:val="61"/>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6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6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64"/>
    <w:autoRedefine/>
    <w:unhideWhenUsed/>
    <w:qFormat/>
    <w:uiPriority w:val="9"/>
    <w:pPr>
      <w:keepNext/>
      <w:keepLines/>
      <w:spacing w:before="320" w:after="200"/>
      <w:outlineLvl w:val="8"/>
    </w:pPr>
    <w:rPr>
      <w:rFonts w:ascii="Arial" w:hAnsi="Arial" w:eastAsia="Arial" w:cs="Arial"/>
      <w:i/>
      <w:iCs/>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08"/>
    <w:qFormat/>
    <w:uiPriority w:val="0"/>
    <w:pPr>
      <w:widowControl/>
      <w:ind w:firstLine="420"/>
      <w:jc w:val="left"/>
    </w:pPr>
    <w:rPr>
      <w:rFonts w:eastAsia="楷体_GB2312"/>
      <w:sz w:val="24"/>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Document Map"/>
    <w:basedOn w:val="1"/>
    <w:semiHidden/>
    <w:qFormat/>
    <w:uiPriority w:val="0"/>
    <w:pPr>
      <w:shd w:val="clear" w:color="auto" w:fill="000080"/>
    </w:pPr>
  </w:style>
  <w:style w:type="paragraph" w:styleId="15">
    <w:name w:val="annotation text"/>
    <w:basedOn w:val="1"/>
    <w:link w:val="222"/>
    <w:qFormat/>
    <w:uiPriority w:val="99"/>
    <w:pPr>
      <w:jc w:val="left"/>
    </w:pPr>
  </w:style>
  <w:style w:type="paragraph" w:styleId="16">
    <w:name w:val="Body Text"/>
    <w:basedOn w:val="1"/>
    <w:next w:val="1"/>
    <w:qFormat/>
    <w:uiPriority w:val="0"/>
    <w:pPr>
      <w:spacing w:after="120"/>
    </w:pPr>
  </w:style>
  <w:style w:type="paragraph" w:styleId="17">
    <w:name w:val="Body Text Indent"/>
    <w:basedOn w:val="1"/>
    <w:link w:val="251"/>
    <w:autoRedefine/>
    <w:qFormat/>
    <w:uiPriority w:val="0"/>
    <w:pPr>
      <w:spacing w:after="120"/>
      <w:ind w:left="420"/>
    </w:pPr>
  </w:style>
  <w:style w:type="paragraph" w:styleId="18">
    <w:name w:val="Block Text"/>
    <w:basedOn w:val="2"/>
    <w:next w:val="1"/>
    <w:qFormat/>
    <w:uiPriority w:val="0"/>
    <w:pPr>
      <w:spacing w:line="360" w:lineRule="auto"/>
      <w:ind w:left="630" w:right="-609" w:firstLine="420"/>
    </w:pPr>
    <w:rPr>
      <w:rFonts w:hint="eastAsia" w:ascii="仿宋_GB2312" w:eastAsia="仿宋_GB2312"/>
      <w:szCs w:val="20"/>
    </w:r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link w:val="207"/>
    <w:qFormat/>
    <w:uiPriority w:val="0"/>
    <w:pPr>
      <w:widowControl/>
      <w:jc w:val="left"/>
    </w:pPr>
    <w:rPr>
      <w:rFonts w:ascii="宋体" w:hAnsi="Courier New" w:eastAsia="楷体_GB2312"/>
      <w:sz w:val="26"/>
    </w:rPr>
  </w:style>
  <w:style w:type="paragraph" w:styleId="22">
    <w:name w:val="toc 8"/>
    <w:basedOn w:val="1"/>
    <w:next w:val="1"/>
    <w:autoRedefine/>
    <w:unhideWhenUsed/>
    <w:qFormat/>
    <w:uiPriority w:val="39"/>
    <w:pPr>
      <w:spacing w:after="57"/>
      <w:ind w:left="1984"/>
    </w:pPr>
  </w:style>
  <w:style w:type="paragraph" w:styleId="23">
    <w:name w:val="Date"/>
    <w:basedOn w:val="1"/>
    <w:next w:val="1"/>
    <w:link w:val="223"/>
    <w:autoRedefine/>
    <w:qFormat/>
    <w:uiPriority w:val="0"/>
    <w:pPr>
      <w:ind w:left="100"/>
    </w:pPr>
    <w:rPr>
      <w:sz w:val="36"/>
      <w:szCs w:val="20"/>
    </w:rPr>
  </w:style>
  <w:style w:type="paragraph" w:styleId="24">
    <w:name w:val="Body Text Indent 2"/>
    <w:basedOn w:val="1"/>
    <w:autoRedefine/>
    <w:qFormat/>
    <w:uiPriority w:val="0"/>
    <w:pPr>
      <w:spacing w:after="120" w:line="480" w:lineRule="auto"/>
      <w:ind w:left="420"/>
    </w:pPr>
  </w:style>
  <w:style w:type="paragraph" w:styleId="25">
    <w:name w:val="endnote text"/>
    <w:basedOn w:val="1"/>
    <w:link w:val="200"/>
    <w:autoRedefine/>
    <w:semiHidden/>
    <w:unhideWhenUsed/>
    <w:qFormat/>
    <w:uiPriority w:val="99"/>
    <w:rPr>
      <w:sz w:val="20"/>
    </w:rPr>
  </w:style>
  <w:style w:type="paragraph" w:styleId="26">
    <w:name w:val="Balloon Text"/>
    <w:basedOn w:val="1"/>
    <w:autoRedefine/>
    <w:semiHidden/>
    <w:qFormat/>
    <w:uiPriority w:val="0"/>
    <w:rPr>
      <w:sz w:val="18"/>
      <w:szCs w:val="18"/>
    </w:rPr>
  </w:style>
  <w:style w:type="paragraph" w:styleId="27">
    <w:name w:val="footer"/>
    <w:basedOn w:val="1"/>
    <w:link w:val="212"/>
    <w:qFormat/>
    <w:uiPriority w:val="0"/>
    <w:pPr>
      <w:tabs>
        <w:tab w:val="center" w:pos="4153"/>
        <w:tab w:val="right" w:pos="8306"/>
      </w:tabs>
      <w:jc w:val="left"/>
    </w:pPr>
    <w:rPr>
      <w:sz w:val="18"/>
      <w:szCs w:val="18"/>
    </w:rPr>
  </w:style>
  <w:style w:type="paragraph" w:styleId="28">
    <w:name w:val="envelope return"/>
    <w:basedOn w:val="1"/>
    <w:qFormat/>
    <w:uiPriority w:val="0"/>
    <w:rPr>
      <w:rFonts w:ascii="Arial" w:hAnsi="Arial" w:eastAsia="楷体_GB2312"/>
      <w:sz w:val="26"/>
      <w:szCs w:val="20"/>
    </w:rPr>
  </w:style>
  <w:style w:type="paragraph" w:styleId="29">
    <w:name w:val="header"/>
    <w:basedOn w:val="1"/>
    <w:link w:val="218"/>
    <w:qFormat/>
    <w:uiPriority w:val="99"/>
    <w:pPr>
      <w:pBdr>
        <w:bottom w:val="single" w:color="auto" w:sz="6" w:space="1"/>
      </w:pBdr>
      <w:tabs>
        <w:tab w:val="center" w:pos="4153"/>
        <w:tab w:val="right" w:pos="8306"/>
      </w:tabs>
      <w:jc w:val="center"/>
    </w:pPr>
    <w:rPr>
      <w:sz w:val="18"/>
      <w:szCs w:val="18"/>
    </w:rPr>
  </w:style>
  <w:style w:type="paragraph" w:styleId="30">
    <w:name w:val="toc 1"/>
    <w:basedOn w:val="1"/>
    <w:next w:val="1"/>
    <w:semiHidden/>
    <w:qFormat/>
    <w:uiPriority w:val="0"/>
    <w:pPr>
      <w:jc w:val="left"/>
    </w:pPr>
    <w:rPr>
      <w:rFonts w:eastAsia="楷体_GB2312"/>
      <w:sz w:val="24"/>
      <w:szCs w:val="20"/>
    </w:rPr>
  </w:style>
  <w:style w:type="paragraph" w:styleId="31">
    <w:name w:val="toc 4"/>
    <w:basedOn w:val="1"/>
    <w:next w:val="1"/>
    <w:unhideWhenUsed/>
    <w:qFormat/>
    <w:uiPriority w:val="39"/>
    <w:pPr>
      <w:spacing w:after="57"/>
      <w:ind w:left="850"/>
    </w:pPr>
  </w:style>
  <w:style w:type="paragraph" w:styleId="32">
    <w:name w:val="Subtitle"/>
    <w:basedOn w:val="1"/>
    <w:next w:val="1"/>
    <w:qFormat/>
    <w:uiPriority w:val="0"/>
    <w:pPr>
      <w:spacing w:before="240" w:after="60" w:line="312" w:lineRule="auto"/>
      <w:jc w:val="center"/>
      <w:outlineLvl w:val="1"/>
    </w:pPr>
    <w:rPr>
      <w:rFonts w:ascii="宋体" w:hAnsi="Courier New" w:eastAsia="楷体_GB2312"/>
      <w:sz w:val="26"/>
      <w:szCs w:val="20"/>
    </w:rPr>
  </w:style>
  <w:style w:type="paragraph" w:styleId="33">
    <w:name w:val="footnote text"/>
    <w:basedOn w:val="2"/>
    <w:next w:val="18"/>
    <w:qFormat/>
    <w:uiPriority w:val="0"/>
    <w:pPr>
      <w:spacing w:before="0" w:after="0" w:line="360" w:lineRule="auto"/>
      <w:ind w:firstLine="3584"/>
    </w:pPr>
  </w:style>
  <w:style w:type="paragraph" w:styleId="34">
    <w:name w:val="toc 6"/>
    <w:basedOn w:val="1"/>
    <w:next w:val="1"/>
    <w:unhideWhenUsed/>
    <w:qFormat/>
    <w:uiPriority w:val="39"/>
    <w:pPr>
      <w:spacing w:after="57"/>
      <w:ind w:left="1417"/>
    </w:pPr>
  </w:style>
  <w:style w:type="paragraph" w:styleId="35">
    <w:name w:val="Body Text Indent 3"/>
    <w:basedOn w:val="1"/>
    <w:qFormat/>
    <w:uiPriority w:val="0"/>
    <w:pPr>
      <w:spacing w:line="440" w:lineRule="atLeast"/>
      <w:ind w:firstLine="480"/>
      <w:jc w:val="left"/>
    </w:pPr>
    <w:rPr>
      <w:sz w:val="24"/>
    </w:rPr>
  </w:style>
  <w:style w:type="paragraph" w:styleId="36">
    <w:name w:val="table of figures"/>
    <w:basedOn w:val="1"/>
    <w:next w:val="1"/>
    <w:unhideWhenUsed/>
    <w:qFormat/>
    <w:uiPriority w:val="99"/>
  </w:style>
  <w:style w:type="paragraph" w:styleId="37">
    <w:name w:val="toc 2"/>
    <w:basedOn w:val="1"/>
    <w:next w:val="1"/>
    <w:unhideWhenUsed/>
    <w:qFormat/>
    <w:uiPriority w:val="39"/>
    <w:pPr>
      <w:spacing w:after="57"/>
      <w:ind w:left="283"/>
    </w:pPr>
  </w:style>
  <w:style w:type="paragraph" w:styleId="38">
    <w:name w:val="toc 9"/>
    <w:basedOn w:val="1"/>
    <w:next w:val="1"/>
    <w:unhideWhenUsed/>
    <w:qFormat/>
    <w:uiPriority w:val="39"/>
    <w:pPr>
      <w:spacing w:after="57"/>
      <w:ind w:left="2268"/>
    </w:pPr>
  </w:style>
  <w:style w:type="paragraph" w:styleId="39">
    <w:name w:val="Normal (Web)"/>
    <w:basedOn w:val="1"/>
    <w:qFormat/>
    <w:uiPriority w:val="0"/>
    <w:pPr>
      <w:widowControl/>
      <w:spacing w:before="100" w:beforeAutospacing="1" w:after="100" w:afterAutospacing="1"/>
      <w:jc w:val="left"/>
    </w:pPr>
    <w:rPr>
      <w:rFonts w:ascii="宋体" w:hAnsi="宋体" w:cs="宋体"/>
      <w:sz w:val="24"/>
    </w:rPr>
  </w:style>
  <w:style w:type="paragraph" w:styleId="40">
    <w:name w:val="Title"/>
    <w:basedOn w:val="1"/>
    <w:link w:val="215"/>
    <w:qFormat/>
    <w:uiPriority w:val="0"/>
    <w:pPr>
      <w:numPr>
        <w:ilvl w:val="0"/>
        <w:numId w:val="1"/>
      </w:numPr>
      <w:tabs>
        <w:tab w:val="left" w:pos="432"/>
      </w:tabs>
      <w:spacing w:before="240" w:after="60"/>
      <w:jc w:val="center"/>
      <w:outlineLvl w:val="0"/>
    </w:pPr>
    <w:rPr>
      <w:rFonts w:ascii="Arial" w:hAnsi="Arial"/>
      <w:b/>
      <w:bCs/>
      <w:sz w:val="32"/>
      <w:szCs w:val="32"/>
    </w:rPr>
  </w:style>
  <w:style w:type="paragraph" w:styleId="41">
    <w:name w:val="annotation subject"/>
    <w:basedOn w:val="15"/>
    <w:next w:val="15"/>
    <w:semiHidden/>
    <w:qFormat/>
    <w:uiPriority w:val="0"/>
    <w:rPr>
      <w:b/>
      <w:bCs/>
    </w:rPr>
  </w:style>
  <w:style w:type="paragraph" w:styleId="42">
    <w:name w:val="Body Text First Indent 2"/>
    <w:basedOn w:val="17"/>
    <w:qFormat/>
    <w:uiPriority w:val="0"/>
    <w:pPr>
      <w:ind w:firstLine="420"/>
    </w:p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0"/>
    <w:rPr>
      <w:b/>
      <w:bCs/>
    </w:rPr>
  </w:style>
  <w:style w:type="character" w:styleId="47">
    <w:name w:val="endnote reference"/>
    <w:basedOn w:val="45"/>
    <w:semiHidden/>
    <w:unhideWhenUsed/>
    <w:qFormat/>
    <w:uiPriority w:val="99"/>
    <w:rPr>
      <w:vertAlign w:val="superscript"/>
    </w:rPr>
  </w:style>
  <w:style w:type="character" w:styleId="48">
    <w:name w:val="page number"/>
    <w:basedOn w:val="45"/>
    <w:qFormat/>
    <w:uiPriority w:val="0"/>
  </w:style>
  <w:style w:type="character" w:styleId="49">
    <w:name w:val="FollowedHyperlink"/>
    <w:basedOn w:val="45"/>
    <w:semiHidden/>
    <w:unhideWhenUsed/>
    <w:qFormat/>
    <w:uiPriority w:val="0"/>
    <w:rPr>
      <w:color w:val="333333"/>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99"/>
    <w:rPr>
      <w:sz w:val="21"/>
      <w:szCs w:val="21"/>
    </w:rPr>
  </w:style>
  <w:style w:type="character" w:styleId="53">
    <w:name w:val="footnote reference"/>
    <w:basedOn w:val="45"/>
    <w:unhideWhenUsed/>
    <w:qFormat/>
    <w:uiPriority w:val="99"/>
    <w:rPr>
      <w:vertAlign w:val="superscript"/>
    </w:rPr>
  </w:style>
  <w:style w:type="paragraph" w:customStyle="1" w:styleId="54">
    <w:name w:val="段"/>
    <w:next w:val="1"/>
    <w:autoRedefine/>
    <w:qFormat/>
    <w:uiPriority w:val="0"/>
    <w:pPr>
      <w:ind w:firstLine="200"/>
      <w:jc w:val="both"/>
    </w:pPr>
    <w:rPr>
      <w:rFonts w:ascii="宋体" w:hAnsi="Times New Roman" w:eastAsia="宋体" w:cs="Times New Roman"/>
      <w:sz w:val="21"/>
      <w:lang w:val="en-US" w:eastAsia="zh-CN" w:bidi="ar-SA"/>
    </w:rPr>
  </w:style>
  <w:style w:type="paragraph" w:customStyle="1" w:styleId="55">
    <w:name w:val="首行缩进"/>
    <w:basedOn w:val="1"/>
    <w:qFormat/>
    <w:uiPriority w:val="0"/>
    <w:pPr>
      <w:spacing w:line="360" w:lineRule="auto"/>
      <w:ind w:firstLine="480"/>
      <w:jc w:val="left"/>
    </w:pPr>
    <w:rPr>
      <w:rFonts w:ascii="宋体" w:hAnsi="宋体"/>
      <w:sz w:val="24"/>
    </w:rPr>
  </w:style>
  <w:style w:type="character" w:customStyle="1" w:styleId="56">
    <w:name w:val="Heading 1 Char"/>
    <w:basedOn w:val="45"/>
    <w:qFormat/>
    <w:uiPriority w:val="9"/>
    <w:rPr>
      <w:rFonts w:ascii="Arial" w:hAnsi="Arial" w:eastAsia="Arial" w:cs="Arial"/>
      <w:sz w:val="40"/>
      <w:szCs w:val="40"/>
    </w:rPr>
  </w:style>
  <w:style w:type="character" w:customStyle="1" w:styleId="57">
    <w:name w:val="Heading 2 Char"/>
    <w:basedOn w:val="45"/>
    <w:qFormat/>
    <w:uiPriority w:val="9"/>
    <w:rPr>
      <w:rFonts w:ascii="Arial" w:hAnsi="Arial" w:eastAsia="Arial" w:cs="Arial"/>
      <w:sz w:val="34"/>
    </w:rPr>
  </w:style>
  <w:style w:type="character" w:customStyle="1" w:styleId="58">
    <w:name w:val="Heading 3 Char"/>
    <w:basedOn w:val="45"/>
    <w:qFormat/>
    <w:uiPriority w:val="9"/>
    <w:rPr>
      <w:rFonts w:ascii="Arial" w:hAnsi="Arial" w:eastAsia="Arial" w:cs="Arial"/>
      <w:sz w:val="30"/>
      <w:szCs w:val="30"/>
    </w:rPr>
  </w:style>
  <w:style w:type="character" w:customStyle="1" w:styleId="59">
    <w:name w:val="Heading 4 Char"/>
    <w:basedOn w:val="45"/>
    <w:qFormat/>
    <w:uiPriority w:val="9"/>
    <w:rPr>
      <w:rFonts w:ascii="Arial" w:hAnsi="Arial" w:eastAsia="Arial" w:cs="Arial"/>
      <w:b/>
      <w:bCs/>
      <w:sz w:val="26"/>
      <w:szCs w:val="26"/>
    </w:rPr>
  </w:style>
  <w:style w:type="character" w:customStyle="1" w:styleId="60">
    <w:name w:val="Heading 5 Char"/>
    <w:basedOn w:val="45"/>
    <w:qFormat/>
    <w:uiPriority w:val="9"/>
    <w:rPr>
      <w:rFonts w:ascii="Arial" w:hAnsi="Arial" w:eastAsia="Arial" w:cs="Arial"/>
      <w:b/>
      <w:bCs/>
      <w:sz w:val="24"/>
      <w:szCs w:val="24"/>
    </w:rPr>
  </w:style>
  <w:style w:type="character" w:customStyle="1" w:styleId="61">
    <w:name w:val="标题 6 Char"/>
    <w:basedOn w:val="45"/>
    <w:link w:val="8"/>
    <w:qFormat/>
    <w:uiPriority w:val="9"/>
    <w:rPr>
      <w:rFonts w:ascii="Arial" w:hAnsi="Arial" w:eastAsia="Arial" w:cs="Arial"/>
      <w:b/>
      <w:bCs/>
      <w:sz w:val="22"/>
      <w:szCs w:val="22"/>
    </w:rPr>
  </w:style>
  <w:style w:type="character" w:customStyle="1" w:styleId="62">
    <w:name w:val="标题 7 Char"/>
    <w:basedOn w:val="45"/>
    <w:link w:val="9"/>
    <w:qFormat/>
    <w:uiPriority w:val="9"/>
    <w:rPr>
      <w:rFonts w:ascii="Arial" w:hAnsi="Arial" w:eastAsia="Arial" w:cs="Arial"/>
      <w:b/>
      <w:bCs/>
      <w:i/>
      <w:iCs/>
      <w:sz w:val="22"/>
      <w:szCs w:val="22"/>
    </w:rPr>
  </w:style>
  <w:style w:type="character" w:customStyle="1" w:styleId="63">
    <w:name w:val="标题 8 Char"/>
    <w:basedOn w:val="45"/>
    <w:link w:val="10"/>
    <w:qFormat/>
    <w:uiPriority w:val="9"/>
    <w:rPr>
      <w:rFonts w:ascii="Arial" w:hAnsi="Arial" w:eastAsia="Arial" w:cs="Arial"/>
      <w:i/>
      <w:iCs/>
      <w:sz w:val="22"/>
      <w:szCs w:val="22"/>
    </w:rPr>
  </w:style>
  <w:style w:type="character" w:customStyle="1" w:styleId="64">
    <w:name w:val="标题 9 Char"/>
    <w:basedOn w:val="45"/>
    <w:link w:val="11"/>
    <w:qFormat/>
    <w:uiPriority w:val="9"/>
    <w:rPr>
      <w:rFonts w:ascii="Arial" w:hAnsi="Arial" w:eastAsia="Arial" w:cs="Arial"/>
      <w:i/>
      <w:iCs/>
      <w:sz w:val="21"/>
      <w:szCs w:val="21"/>
    </w:rPr>
  </w:style>
  <w:style w:type="character" w:customStyle="1" w:styleId="65">
    <w:name w:val="Title Char"/>
    <w:basedOn w:val="45"/>
    <w:qFormat/>
    <w:uiPriority w:val="10"/>
    <w:rPr>
      <w:sz w:val="48"/>
      <w:szCs w:val="48"/>
    </w:rPr>
  </w:style>
  <w:style w:type="character" w:customStyle="1" w:styleId="66">
    <w:name w:val="Subtitle Char"/>
    <w:basedOn w:val="45"/>
    <w:qFormat/>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引用 Char"/>
    <w:link w:val="67"/>
    <w:qFormat/>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0">
    <w:name w:val="明显引用 Char"/>
    <w:link w:val="69"/>
    <w:qFormat/>
    <w:uiPriority w:val="30"/>
    <w:rPr>
      <w:i/>
    </w:rPr>
  </w:style>
  <w:style w:type="character" w:customStyle="1" w:styleId="71">
    <w:name w:val="Header Char"/>
    <w:basedOn w:val="45"/>
    <w:qFormat/>
    <w:uiPriority w:val="99"/>
  </w:style>
  <w:style w:type="character" w:customStyle="1" w:styleId="72">
    <w:name w:val="Footer Char"/>
    <w:basedOn w:val="45"/>
    <w:qFormat/>
    <w:uiPriority w:val="99"/>
  </w:style>
  <w:style w:type="character" w:customStyle="1" w:styleId="73">
    <w:name w:val="Caption Char"/>
    <w:qFormat/>
    <w:uiPriority w:val="99"/>
  </w:style>
  <w:style w:type="table" w:customStyle="1" w:styleId="74">
    <w:name w:val="Table Grid Light"/>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4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4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4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4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4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basedOn w:val="4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43"/>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basedOn w:val="43"/>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basedOn w:val="4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basedOn w:val="43"/>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basedOn w:val="43"/>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basedOn w:val="43"/>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basedOn w:val="4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Tint="80"/>
      </w:rPr>
      <w:tcPr>
        <w:tcBorders>
          <w:bottom w:val="single" w:color="7E7E7E" w:themeColor="text1" w:themeTint="80" w:sz="12" w:space="0"/>
        </w:tcBorders>
      </w:tcPr>
    </w:tblStylePr>
    <w:tblStylePr w:type="lastRow">
      <w:rPr>
        <w:b/>
        <w:color w:val="7E7E7E" w:themeColor="text1" w:themeTint="80"/>
      </w:rPr>
    </w:tblStylePr>
    <w:tblStylePr w:type="firstCol">
      <w:rPr>
        <w:b/>
        <w:color w:val="7E7E7E" w:themeColor="text1" w:themeTint="80"/>
      </w:rPr>
    </w:tblStylePr>
    <w:tblStylePr w:type="lastCol">
      <w:rPr>
        <w:b/>
        <w:color w:val="7E7E7E" w:themeColor="text1"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Tint="80"/>
        <w:sz w:val="22"/>
      </w:rPr>
      <w:tcPr>
        <w:shd w:val="clear" w:color="CACACA" w:themeColor="text1" w:themeTint="34" w:fill="CACACA" w:themeFill="text1" w:themeFillTint="34"/>
      </w:tcPr>
    </w:tblStylePr>
    <w:tblStylePr w:type="band2Horz">
      <w:rPr>
        <w:rFonts w:ascii="Arial" w:hAnsi="Arial"/>
        <w:color w:val="7E7E7E" w:themeColor="text1" w:themeTint="80"/>
        <w:sz w:val="22"/>
      </w:rPr>
    </w:tblStylePr>
  </w:style>
  <w:style w:type="table" w:customStyle="1" w:styleId="116">
    <w:name w:val="Grid Table 6 Colorful - Accent 1"/>
    <w:basedOn w:val="43"/>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Tint="80"/>
      </w:rPr>
      <w:tcPr>
        <w:tcBorders>
          <w:bottom w:val="single" w:color="A6BFDD" w:themeColor="accent1" w:themeTint="80" w:sz="12" w:space="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Tint="80"/>
        <w:sz w:val="22"/>
      </w:rPr>
      <w:tcPr>
        <w:shd w:val="clear" w:color="DBE5F1" w:themeColor="accent1" w:themeTint="34" w:fill="DBE5F1" w:themeFill="accent1" w:themeFillTint="34"/>
      </w:tcPr>
    </w:tblStylePr>
    <w:tblStylePr w:type="band2Horz">
      <w:rPr>
        <w:rFonts w:ascii="Arial" w:hAnsi="Arial"/>
        <w:color w:val="A6BFDD" w:themeColor="accent1" w:themeTint="80"/>
        <w:sz w:val="22"/>
      </w:rPr>
    </w:tblStylePr>
  </w:style>
  <w:style w:type="table" w:customStyle="1" w:styleId="117">
    <w:name w:val="Grid Table 6 Colorful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99896" w:themeColor="accent2" w:themeTint="96"/>
      </w:rPr>
      <w:tcPr>
        <w:tcBorders>
          <w:bottom w:val="single" w:color="D99795" w:themeColor="accent2" w:themeTint="97" w:sz="12" w:space="0"/>
        </w:tcBorders>
      </w:tcPr>
    </w:tblStylePr>
    <w:tblStylePr w:type="lastRow">
      <w:rPr>
        <w:b/>
        <w:color w:val="D99896" w:themeColor="accent2" w:themeTint="96"/>
      </w:rPr>
    </w:tblStylePr>
    <w:tblStylePr w:type="firstCol">
      <w:rPr>
        <w:b/>
        <w:color w:val="D99896" w:themeColor="accent2" w:themeTint="96"/>
      </w:rPr>
    </w:tblStylePr>
    <w:tblStylePr w:type="lastCol">
      <w:rPr>
        <w:b/>
        <w:color w:val="D99896" w:themeColor="accent2" w:themeTint="96"/>
      </w:rPr>
    </w:tblStylePr>
    <w:tblStylePr w:type="band1Vert">
      <w:tcPr>
        <w:shd w:val="clear" w:color="F2DCDC" w:themeColor="accent2" w:themeTint="32" w:fill="F2DCDC" w:themeFill="accent2" w:themeFillTint="32"/>
      </w:tcPr>
    </w:tblStylePr>
    <w:tblStylePr w:type="band1Horz">
      <w:rPr>
        <w:rFonts w:ascii="Arial" w:hAnsi="Arial"/>
        <w:color w:val="D99896" w:themeColor="accent2" w:themeTint="96"/>
        <w:sz w:val="22"/>
      </w:rPr>
      <w:tcPr>
        <w:shd w:val="clear" w:color="F2DCDC" w:themeColor="accent2" w:themeTint="32" w:fill="F2DCDC" w:themeFill="accent2" w:themeFillTint="32"/>
      </w:tcPr>
    </w:tblStylePr>
    <w:tblStylePr w:type="band2Horz">
      <w:rPr>
        <w:rFonts w:ascii="Arial" w:hAnsi="Arial"/>
        <w:color w:val="D99896" w:themeColor="accent2" w:themeTint="96"/>
        <w:sz w:val="22"/>
      </w:rPr>
    </w:tblStylePr>
  </w:style>
  <w:style w:type="table" w:customStyle="1" w:styleId="118">
    <w:name w:val="Grid Table 6 Colorful - Accent 3"/>
    <w:basedOn w:val="4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rPr>
      <w:tcPr>
        <w:tcBorders>
          <w:bottom w:val="single" w:color="9BBB59" w:themeColor="accent3" w:themeTint="FE" w:sz="12" w:space="0"/>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rPr>
      <w:tcPr>
        <w:shd w:val="clear" w:color="EAF1DD" w:themeColor="accent3" w:themeTint="34" w:fill="EAF1DD" w:themeFill="accent3" w:themeFillTint="34"/>
      </w:tcPr>
    </w:tblStylePr>
    <w:tblStylePr w:type="band2Horz">
      <w:rPr>
        <w:rFonts w:ascii="Arial" w:hAnsi="Arial"/>
        <w:color w:val="9BBB59" w:themeColor="accent3"/>
        <w:sz w:val="22"/>
      </w:rPr>
    </w:tblStylePr>
  </w:style>
  <w:style w:type="table" w:customStyle="1" w:styleId="119">
    <w:name w:val="Grid Table 6 Colorful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7" w:themeColor="accent4" w:themeTint="99"/>
      </w:rPr>
      <w:tcPr>
        <w:tcBorders>
          <w:bottom w:val="single" w:color="B2A1C6" w:themeColor="accent4" w:themeTint="9A" w:sz="12" w:space="0"/>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cPr>
        <w:shd w:val="clear" w:color="E5DFEC" w:themeColor="accent4" w:themeTint="34" w:fill="E5DFEC" w:themeFill="accent4" w:themeFillTint="34"/>
      </w:tcPr>
    </w:tblStyle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120">
    <w:name w:val="Grid Table 6 Colorful - Accent 5"/>
    <w:basedOn w:val="43"/>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678" w:themeColor="accent5" w:themeShade="94"/>
      </w:rPr>
      <w:tcPr>
        <w:tcBorders>
          <w:bottom w:val="single" w:color="4BACC6" w:themeColor="accent5"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121">
    <w:name w:val="Grid Table 6 Colorful - Accent 6"/>
    <w:basedOn w:val="43"/>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678" w:themeColor="accent5" w:themeShade="94"/>
      </w:rPr>
      <w:tcPr>
        <w:tcBorders>
          <w:bottom w:val="single" w:color="F79646" w:themeColor="accent6"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678" w:themeColor="accent5" w:themeShade="94"/>
        <w:sz w:val="22"/>
      </w:rPr>
      <w:tcPr>
        <w:shd w:val="clear" w:color="FDE9D9" w:themeColor="accent6" w:themeTint="34" w:fill="FDE9D9" w:themeFill="accent6" w:themeFillTint="34"/>
      </w:tcPr>
    </w:tblStylePr>
    <w:tblStylePr w:type="band2Horz">
      <w:rPr>
        <w:rFonts w:ascii="Arial" w:hAnsi="Arial"/>
        <w:color w:val="266678" w:themeColor="accent5" w:themeShade="94"/>
        <w:sz w:val="22"/>
      </w:rPr>
    </w:tblStylePr>
  </w:style>
  <w:style w:type="table" w:customStyle="1" w:styleId="122">
    <w:name w:val="Grid Table 7 Colorful"/>
    <w:basedOn w:val="4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Tint="80"/>
        <w:sz w:val="22"/>
      </w:rPr>
      <w:tcPr>
        <w:shd w:val="clear" w:color="F1F1F1" w:themeColor="text1" w:themeTint="0D" w:fill="F1F1F1" w:themeFill="text1" w:themeFillTint="0D"/>
      </w:tcPr>
    </w:tblStylePr>
    <w:tblStylePr w:type="band2Horz">
      <w:rPr>
        <w:rFonts w:ascii="Arial" w:hAnsi="Arial"/>
        <w:color w:val="7E7E7E" w:themeColor="text1" w:themeTint="80"/>
        <w:sz w:val="22"/>
      </w:rPr>
    </w:tblStylePr>
  </w:style>
  <w:style w:type="table" w:customStyle="1" w:styleId="123">
    <w:name w:val="Grid Table 7 Colorful - Accent 1"/>
    <w:basedOn w:val="43"/>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6BFDD" w:themeColor="accent1"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Tint="80"/>
        <w:sz w:val="22"/>
      </w:rPr>
      <w:tcPr>
        <w:shd w:val="clear" w:color="DBE5F1" w:themeColor="accent1" w:themeTint="34" w:fill="DBE5F1" w:themeFill="accent1" w:themeFillTint="34"/>
      </w:tcPr>
    </w:tblStylePr>
    <w:tblStylePr w:type="band2Horz">
      <w:rPr>
        <w:rFonts w:ascii="Arial" w:hAnsi="Arial"/>
        <w:color w:val="A6BFDD" w:themeColor="accent1" w:themeTint="80"/>
        <w:sz w:val="22"/>
      </w:rPr>
    </w:tblStylePr>
  </w:style>
  <w:style w:type="table" w:customStyle="1" w:styleId="124">
    <w:name w:val="Grid Table 7 Colorful - Accent 2"/>
    <w:basedOn w:val="43"/>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99896" w:themeColor="accent2" w:themeTint="96"/>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896" w:themeColor="accent2" w:themeTint="96"/>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896" w:themeColor="accent2" w:themeTint="96"/>
        <w:sz w:val="22"/>
      </w:rPr>
      <w:tcPr>
        <w:shd w:val="clear" w:color="F2DCDC" w:themeColor="accent2" w:themeTint="32" w:fill="F2DCDC" w:themeFill="accent2" w:themeFillTint="32"/>
      </w:tcPr>
    </w:tblStylePr>
    <w:tblStylePr w:type="band2Horz">
      <w:rPr>
        <w:rFonts w:ascii="Arial" w:hAnsi="Arial"/>
        <w:color w:val="D99896" w:themeColor="accent2" w:themeTint="96"/>
        <w:sz w:val="22"/>
      </w:rPr>
    </w:tblStylePr>
  </w:style>
  <w:style w:type="table" w:customStyle="1" w:styleId="125">
    <w:name w:val="Grid Table 7 Colorful - Accent 3"/>
    <w:basedOn w:val="4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rPr>
      <w:tcPr>
        <w:shd w:val="clear" w:color="EAF1DD" w:themeColor="accent3" w:themeTint="34" w:fill="EAF1DD" w:themeFill="accent3" w:themeFillTint="34"/>
      </w:tcPr>
    </w:tblStylePr>
    <w:tblStylePr w:type="band2Horz">
      <w:rPr>
        <w:rFonts w:ascii="Arial" w:hAnsi="Arial"/>
        <w:color w:val="9BBB59" w:themeColor="accent3"/>
        <w:sz w:val="22"/>
      </w:rPr>
    </w:tblStylePr>
  </w:style>
  <w:style w:type="table" w:customStyle="1" w:styleId="126">
    <w:name w:val="Grid Table 7 Colorful - Accent 4"/>
    <w:basedOn w:val="43"/>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2A1C7" w:themeColor="accent4" w:themeTint="99"/>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7" w:themeColor="accent4" w:themeTint="99"/>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127">
    <w:name w:val="Grid Table 7 Colorful - Accent 5"/>
    <w:basedOn w:val="43"/>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6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6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6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128">
    <w:name w:val="Grid Table 7 Colorful - Accent 6"/>
    <w:basedOn w:val="43"/>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307"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307"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307"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307" w:themeColor="accent6" w:themeShade="94"/>
        <w:sz w:val="22"/>
      </w:rPr>
      <w:tcPr>
        <w:shd w:val="clear" w:color="FDE9D9" w:themeColor="accent6" w:themeTint="34" w:fill="FDE9D9" w:themeFill="accent6" w:themeFillTint="34"/>
      </w:tcPr>
    </w:tblStylePr>
    <w:tblStylePr w:type="band2Horz">
      <w:rPr>
        <w:rFonts w:ascii="Arial" w:hAnsi="Arial"/>
        <w:color w:val="B05307" w:themeColor="accent6" w:themeShade="94"/>
        <w:sz w:val="22"/>
      </w:rPr>
    </w:tblStylePr>
  </w:style>
  <w:style w:type="table" w:customStyle="1" w:styleId="129">
    <w:name w:val="List Table 1 Light"/>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basedOn w:val="4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43"/>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basedOn w:val="43"/>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basedOn w:val="4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basedOn w:val="43"/>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basedOn w:val="43"/>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basedOn w:val="43"/>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43"/>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basedOn w:val="4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basedOn w:val="43"/>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basedOn w:val="43"/>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43"/>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basedOn w:val="43"/>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basedOn w:val="4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basedOn w:val="43"/>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basedOn w:val="43"/>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basedOn w:val="43"/>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basedOn w:val="4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8">
    <w:name w:val="List Table 5 Dark - Accent 1"/>
    <w:basedOn w:val="43"/>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9">
    <w:name w:val="List Table 5 Dark - Accent 2"/>
    <w:basedOn w:val="43"/>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0">
    <w:name w:val="List Table 5 Dark - Accent 3"/>
    <w:basedOn w:val="4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1">
    <w:name w:val="List Table 5 Dark - Accent 4"/>
    <w:basedOn w:val="43"/>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2">
    <w:name w:val="List Table 5 Dark - Accent 5"/>
    <w:basedOn w:val="43"/>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3">
    <w:name w:val="List Table 5 Dark - Accent 6"/>
    <w:basedOn w:val="43"/>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4">
    <w:name w:val="List Table 6 Colorful"/>
    <w:basedOn w:val="43"/>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65">
    <w:name w:val="List Table 6 Colorful - Accent 1"/>
    <w:basedOn w:val="43"/>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A71" w:themeColor="accent1" w:themeShade="94"/>
      </w:rPr>
      <w:tcPr>
        <w:tcBorders>
          <w:bottom w:val="single" w:color="4F81BD" w:themeColor="accent1" w:sz="4" w:space="0"/>
        </w:tcBorders>
      </w:tcPr>
    </w:tblStylePr>
    <w:tblStylePr w:type="lastRow">
      <w:rPr>
        <w:b/>
        <w:color w:val="2A4A71" w:themeColor="accent1" w:themeShade="94"/>
      </w:rPr>
      <w:tcPr>
        <w:tcBorders>
          <w:top w:val="single" w:color="4F81BD" w:themeColor="accent1" w:sz="4" w:space="0"/>
        </w:tcBorders>
      </w:tcPr>
    </w:tblStylePr>
    <w:tblStylePr w:type="firstCol">
      <w:rPr>
        <w:b/>
        <w:color w:val="2A4A71" w:themeColor="accent1" w:themeShade="94"/>
      </w:rPr>
    </w:tblStylePr>
    <w:tblStylePr w:type="lastCol">
      <w:rPr>
        <w:b/>
        <w:color w:val="2A4A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4"/>
        <w:sz w:val="22"/>
      </w:rPr>
      <w:tcPr>
        <w:shd w:val="clear" w:color="D2DFEE" w:themeColor="accent1" w:themeTint="40" w:fill="D2DFEE" w:themeFill="accent1" w:themeFillTint="40"/>
      </w:tcPr>
    </w:tblStylePr>
    <w:tblStylePr w:type="band2Horz">
      <w:rPr>
        <w:rFonts w:ascii="Arial" w:hAnsi="Arial"/>
        <w:color w:val="2A4A71" w:themeColor="accent1" w:themeShade="94"/>
        <w:sz w:val="22"/>
      </w:rPr>
    </w:tblStylePr>
  </w:style>
  <w:style w:type="table" w:customStyle="1" w:styleId="166">
    <w:name w:val="List Table 6 Colorful - Accent 2"/>
    <w:basedOn w:val="43"/>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99896" w:themeColor="accent2" w:themeTint="96"/>
      </w:rPr>
      <w:tcPr>
        <w:tcBorders>
          <w:bottom w:val="single" w:color="D99795" w:themeColor="accent2" w:themeTint="97" w:sz="4" w:space="0"/>
        </w:tcBorders>
      </w:tcPr>
    </w:tblStylePr>
    <w:tblStylePr w:type="lastRow">
      <w:rPr>
        <w:b/>
        <w:color w:val="D99896" w:themeColor="accent2" w:themeTint="96"/>
      </w:rPr>
      <w:tcPr>
        <w:tcBorders>
          <w:top w:val="single" w:color="D99795" w:themeColor="accent2" w:themeTint="97" w:sz="4" w:space="0"/>
        </w:tcBorders>
      </w:tcPr>
    </w:tblStylePr>
    <w:tblStylePr w:type="firstCol">
      <w:rPr>
        <w:b/>
        <w:color w:val="D99896" w:themeColor="accent2" w:themeTint="96"/>
      </w:rPr>
    </w:tblStylePr>
    <w:tblStylePr w:type="lastCol">
      <w:rPr>
        <w:b/>
        <w:color w:val="D99896" w:themeColor="accent2" w:themeTint="96"/>
      </w:rPr>
    </w:tblStylePr>
    <w:tblStylePr w:type="band1Vert">
      <w:tcPr>
        <w:shd w:val="clear" w:color="EFD3D2" w:themeColor="accent2" w:themeTint="40" w:fill="EFD3D2" w:themeFill="accent2" w:themeFillTint="40"/>
      </w:tcPr>
    </w:tblStylePr>
    <w:tblStylePr w:type="band1Horz">
      <w:rPr>
        <w:rFonts w:ascii="Arial" w:hAnsi="Arial"/>
        <w:color w:val="D99896" w:themeColor="accent2" w:themeTint="96"/>
        <w:sz w:val="22"/>
      </w:rPr>
      <w:tcPr>
        <w:shd w:val="clear" w:color="EFD3D2" w:themeColor="accent2" w:themeTint="40" w:fill="EFD3D2" w:themeFill="accent2" w:themeFillTint="40"/>
      </w:tcPr>
    </w:tblStylePr>
    <w:tblStylePr w:type="band2Horz">
      <w:rPr>
        <w:rFonts w:ascii="Arial" w:hAnsi="Arial"/>
        <w:color w:val="D99896" w:themeColor="accent2" w:themeTint="96"/>
        <w:sz w:val="22"/>
      </w:rPr>
    </w:tblStylePr>
  </w:style>
  <w:style w:type="table" w:customStyle="1" w:styleId="167">
    <w:name w:val="List Table 6 Colorful - Accent 3"/>
    <w:basedOn w:val="43"/>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2D69B" w:themeColor="accent3" w:themeTint="99"/>
      </w:rPr>
      <w:tcPr>
        <w:tcBorders>
          <w:bottom w:val="single" w:color="C3D69C" w:themeColor="accent3" w:themeTint="98" w:sz="4" w:space="0"/>
        </w:tcBorders>
      </w:tcPr>
    </w:tblStylePr>
    <w:tblStylePr w:type="lastRow">
      <w:rPr>
        <w:b/>
        <w:color w:val="C2D69B" w:themeColor="accent3" w:themeTint="99"/>
      </w:rPr>
      <w:tcPr>
        <w:tcBorders>
          <w:top w:val="single" w:color="C3D69C" w:themeColor="accent3" w:themeTint="98" w:sz="4" w:space="0"/>
        </w:tcBorders>
      </w:tcPr>
    </w:tblStylePr>
    <w:tblStylePr w:type="firstCol">
      <w:rPr>
        <w:b/>
        <w:color w:val="C2D69B" w:themeColor="accent3" w:themeTint="99"/>
      </w:rPr>
    </w:tblStylePr>
    <w:tblStylePr w:type="lastCol">
      <w:rPr>
        <w:b/>
        <w:color w:val="C2D69B" w:themeColor="accent3" w:themeTint="99"/>
      </w:rPr>
    </w:tblStylePr>
    <w:tblStylePr w:type="band1Vert">
      <w:tcPr>
        <w:shd w:val="clear" w:color="E5EDD5" w:themeColor="accent3" w:themeTint="40" w:fill="E5EDD5" w:themeFill="accent3" w:themeFillTint="40"/>
      </w:tcPr>
    </w:tblStylePr>
    <w:tblStylePr w:type="band1Horz">
      <w:rPr>
        <w:rFonts w:ascii="Arial" w:hAnsi="Arial"/>
        <w:color w:val="C2D69B" w:themeColor="accent3" w:themeTint="99"/>
        <w:sz w:val="22"/>
      </w:rPr>
      <w:tcPr>
        <w:shd w:val="clear" w:color="E5EDD5" w:themeColor="accent3" w:themeTint="40" w:fill="E5EDD5" w:themeFill="accent3" w:themeFillTint="40"/>
      </w:tcPr>
    </w:tblStylePr>
    <w:tblStylePr w:type="band2Horz">
      <w:rPr>
        <w:rFonts w:ascii="Arial" w:hAnsi="Arial"/>
        <w:color w:val="C2D69B" w:themeColor="accent3" w:themeTint="99"/>
        <w:sz w:val="22"/>
      </w:rPr>
    </w:tblStylePr>
  </w:style>
  <w:style w:type="table" w:customStyle="1" w:styleId="168">
    <w:name w:val="List Table 6 Colorful - Accent 4"/>
    <w:basedOn w:val="43"/>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2A1C7" w:themeColor="accent4" w:themeTint="99"/>
      </w:rPr>
      <w:tcPr>
        <w:tcBorders>
          <w:bottom w:val="single" w:color="B2A1C6" w:themeColor="accent4" w:themeTint="9A" w:sz="4" w:space="0"/>
        </w:tcBorders>
      </w:tcPr>
    </w:tblStylePr>
    <w:tblStylePr w:type="lastRow">
      <w:rPr>
        <w:b/>
        <w:color w:val="B2A1C7" w:themeColor="accent4" w:themeTint="99"/>
      </w:rPr>
      <w:tcPr>
        <w:tcBorders>
          <w:top w:val="single" w:color="B2A1C6" w:themeColor="accent4" w:themeTint="9A" w:sz="4" w:space="0"/>
        </w:tcBorders>
      </w:tcPr>
    </w:tblStylePr>
    <w:tblStylePr w:type="firstCol">
      <w:rPr>
        <w:b/>
        <w:color w:val="B2A1C7" w:themeColor="accent4" w:themeTint="99"/>
      </w:rPr>
    </w:tblStylePr>
    <w:tblStylePr w:type="lastCol">
      <w:rPr>
        <w:b/>
        <w:color w:val="B2A1C7" w:themeColor="accent4" w:themeTint="99"/>
      </w:rPr>
    </w:tblStylePr>
    <w:tblStylePr w:type="band1Vert">
      <w:tcPr>
        <w:shd w:val="clear" w:color="DFD8E7" w:themeColor="accent4" w:themeTint="40" w:fill="DFD8E7" w:themeFill="accent4" w:themeFillTint="40"/>
      </w:tcPr>
    </w:tblStyle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169">
    <w:name w:val="List Table 6 Colorful - Accent 5"/>
    <w:basedOn w:val="43"/>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2CDDC" w:themeColor="accent5" w:themeTint="99"/>
      </w:rPr>
      <w:tcPr>
        <w:tcBorders>
          <w:bottom w:val="single" w:color="92CCDC" w:themeColor="accent5" w:themeTint="9A" w:sz="4" w:space="0"/>
        </w:tcBorders>
      </w:tcPr>
    </w:tblStylePr>
    <w:tblStylePr w:type="lastRow">
      <w:rPr>
        <w:b/>
        <w:color w:val="92CDDC" w:themeColor="accent5" w:themeTint="99"/>
      </w:rPr>
      <w:tcPr>
        <w:tcBorders>
          <w:top w:val="single" w:color="92CCDC" w:themeColor="accent5" w:themeTint="9A" w:sz="4" w:space="0"/>
        </w:tcBorders>
      </w:tcPr>
    </w:tblStylePr>
    <w:tblStylePr w:type="firstCol">
      <w:rPr>
        <w:b/>
        <w:color w:val="92CDDC" w:themeColor="accent5" w:themeTint="99"/>
      </w:rPr>
    </w:tblStylePr>
    <w:tblStylePr w:type="lastCol">
      <w:rPr>
        <w:b/>
        <w:color w:val="92CDDC" w:themeColor="accent5" w:themeTint="99"/>
      </w:rPr>
    </w:tblStylePr>
    <w:tblStylePr w:type="band1Vert">
      <w:tcPr>
        <w:shd w:val="clear" w:color="D1EAF0" w:themeColor="accent5" w:themeTint="40" w:fill="D1EAF0" w:themeFill="accent5" w:themeFillTint="40"/>
      </w:tcPr>
    </w:tblStyle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170">
    <w:name w:val="List Table 6 Colorful - Accent 6"/>
    <w:basedOn w:val="43"/>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BF8F" w:themeColor="accent6" w:themeTint="99"/>
      </w:rPr>
      <w:tcPr>
        <w:tcBorders>
          <w:bottom w:val="single" w:color="FAC090" w:themeColor="accent6" w:themeTint="98" w:sz="4" w:space="0"/>
        </w:tcBorders>
      </w:tcPr>
    </w:tblStylePr>
    <w:tblStylePr w:type="lastRow">
      <w:rPr>
        <w:b/>
        <w:color w:val="FABF8F" w:themeColor="accent6" w:themeTint="99"/>
      </w:rPr>
      <w:tcPr>
        <w:tcBorders>
          <w:top w:val="single" w:color="FAC090" w:themeColor="accent6" w:themeTint="98" w:sz="4" w:space="0"/>
        </w:tcBorders>
      </w:tcPr>
    </w:tblStylePr>
    <w:tblStylePr w:type="firstCol">
      <w:rPr>
        <w:b/>
        <w:color w:val="FABF8F" w:themeColor="accent6" w:themeTint="99"/>
      </w:rPr>
    </w:tblStylePr>
    <w:tblStylePr w:type="lastCol">
      <w:rPr>
        <w:b/>
        <w:color w:val="FABF8F" w:themeColor="accent6" w:themeTint="99"/>
      </w:rPr>
    </w:tblStylePr>
    <w:tblStylePr w:type="band1Vert">
      <w:tcPr>
        <w:shd w:val="clear" w:color="FCE4D0" w:themeColor="accent6" w:themeTint="40" w:fill="FCE4D0" w:themeFill="accent6" w:themeFillTint="40"/>
      </w:tcPr>
    </w:tblStylePr>
    <w:tblStylePr w:type="band1Horz">
      <w:rPr>
        <w:rFonts w:ascii="Arial" w:hAnsi="Arial"/>
        <w:color w:val="FABF8F" w:themeColor="accent6" w:themeTint="99"/>
        <w:sz w:val="22"/>
      </w:rPr>
      <w:tcPr>
        <w:shd w:val="clear" w:color="FCE4D0" w:themeColor="accent6" w:themeTint="40" w:fill="FCE4D0" w:themeFill="accent6" w:themeFillTint="40"/>
      </w:tcPr>
    </w:tblStylePr>
    <w:tblStylePr w:type="band2Horz">
      <w:rPr>
        <w:rFonts w:ascii="Arial" w:hAnsi="Arial"/>
        <w:color w:val="FABF8F" w:themeColor="accent6" w:themeTint="99"/>
        <w:sz w:val="22"/>
      </w:rPr>
    </w:tblStylePr>
  </w:style>
  <w:style w:type="table" w:customStyle="1" w:styleId="171">
    <w:name w:val="List Table 7 Colorful"/>
    <w:basedOn w:val="43"/>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Tint="80"/>
        <w:sz w:val="22"/>
      </w:rPr>
      <w:tcPr>
        <w:shd w:val="clear" w:color="BEBEBE" w:themeColor="text1" w:themeTint="40" w:fill="BEBEBE" w:themeFill="text1" w:themeFillTint="40"/>
      </w:tcPr>
    </w:tblStylePr>
    <w:tblStylePr w:type="band2Horz">
      <w:rPr>
        <w:rFonts w:ascii="Arial" w:hAnsi="Arial"/>
        <w:color w:val="7E7E7E" w:themeColor="text1" w:themeTint="80"/>
        <w:sz w:val="22"/>
      </w:rPr>
    </w:tblStylePr>
  </w:style>
  <w:style w:type="table" w:customStyle="1" w:styleId="172">
    <w:name w:val="List Table 7 Colorful - Accent 1"/>
    <w:basedOn w:val="43"/>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A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A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A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4"/>
        <w:sz w:val="22"/>
      </w:rPr>
      <w:tcPr>
        <w:shd w:val="clear" w:color="D2DFEE" w:themeColor="accent1" w:themeTint="40" w:fill="D2DFEE" w:themeFill="accent1" w:themeFillTint="40"/>
      </w:tcPr>
    </w:tblStylePr>
    <w:tblStylePr w:type="band2Horz">
      <w:rPr>
        <w:rFonts w:ascii="Arial" w:hAnsi="Arial"/>
        <w:color w:val="2A4A71" w:themeColor="accent1" w:themeShade="94"/>
        <w:sz w:val="22"/>
      </w:rPr>
    </w:tblStylePr>
  </w:style>
  <w:style w:type="table" w:customStyle="1" w:styleId="173">
    <w:name w:val="List Table 7 Colorful - Accent 2"/>
    <w:basedOn w:val="43"/>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99896" w:themeColor="accent2" w:themeTint="96"/>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896" w:themeColor="accent2" w:themeTint="96"/>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896" w:themeColor="accent2" w:themeTint="96"/>
        <w:sz w:val="22"/>
      </w:rPr>
      <w:tcPr>
        <w:shd w:val="clear" w:color="EFD3D2" w:themeColor="accent2" w:themeTint="40" w:fill="EFD3D2" w:themeFill="accent2" w:themeFillTint="40"/>
      </w:tcPr>
    </w:tblStylePr>
    <w:tblStylePr w:type="band2Horz">
      <w:rPr>
        <w:rFonts w:ascii="Arial" w:hAnsi="Arial"/>
        <w:color w:val="D99896" w:themeColor="accent2" w:themeTint="96"/>
        <w:sz w:val="22"/>
      </w:rPr>
    </w:tblStylePr>
  </w:style>
  <w:style w:type="table" w:customStyle="1" w:styleId="174">
    <w:name w:val="List Table 7 Colorful - Accent 3"/>
    <w:basedOn w:val="43"/>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2D69B" w:themeColor="accent3" w:themeTint="99"/>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2D69B" w:themeColor="accent3" w:themeTint="99"/>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2D69B" w:themeColor="accent3" w:themeTint="99"/>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2D69B" w:themeColor="accent3" w:themeTint="99"/>
        <w:sz w:val="22"/>
      </w:rPr>
      <w:tcPr>
        <w:shd w:val="clear" w:color="E5EDD5" w:themeColor="accent3" w:themeTint="40" w:fill="E5EDD5" w:themeFill="accent3" w:themeFillTint="40"/>
      </w:tcPr>
    </w:tblStylePr>
    <w:tblStylePr w:type="band2Horz">
      <w:rPr>
        <w:rFonts w:ascii="Arial" w:hAnsi="Arial"/>
        <w:color w:val="C2D69B" w:themeColor="accent3" w:themeTint="99"/>
        <w:sz w:val="22"/>
      </w:rPr>
    </w:tblStylePr>
  </w:style>
  <w:style w:type="table" w:customStyle="1" w:styleId="175">
    <w:name w:val="List Table 7 Colorful - Accent 4"/>
    <w:basedOn w:val="43"/>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2A1C7" w:themeColor="accent4" w:themeTint="99"/>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7" w:themeColor="accent4" w:themeTint="99"/>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176">
    <w:name w:val="List Table 7 Colorful - Accent 5"/>
    <w:basedOn w:val="43"/>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2CDDC" w:themeColor="accent5" w:themeTint="99"/>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DDC" w:themeColor="accent5" w:themeTint="99"/>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DDC" w:themeColor="accent5" w:themeTint="99"/>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177">
    <w:name w:val="List Table 7 Colorful - Accent 6"/>
    <w:basedOn w:val="43"/>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BF8F" w:themeColor="accent6" w:themeTint="99"/>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BF8F" w:themeColor="accent6" w:themeTint="99"/>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BF8F" w:themeColor="accent6" w:themeTint="99"/>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BF8F" w:themeColor="accent6" w:themeTint="99"/>
        <w:sz w:val="22"/>
      </w:rPr>
      <w:tcPr>
        <w:shd w:val="clear" w:color="FCE4D0" w:themeColor="accent6" w:themeTint="40" w:fill="FCE4D0" w:themeFill="accent6" w:themeFillTint="40"/>
      </w:tcPr>
    </w:tblStylePr>
    <w:tblStylePr w:type="band2Horz">
      <w:rPr>
        <w:rFonts w:ascii="Arial" w:hAnsi="Arial"/>
        <w:color w:val="FABF8F" w:themeColor="accent6" w:themeTint="99"/>
        <w:sz w:val="22"/>
      </w:rPr>
    </w:tblStylePr>
  </w:style>
  <w:style w:type="table" w:customStyle="1" w:styleId="178">
    <w:name w:val="Lined - Accent"/>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basedOn w:val="4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43"/>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basedOn w:val="43"/>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basedOn w:val="4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basedOn w:val="43"/>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basedOn w:val="43"/>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basedOn w:val="43"/>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basedOn w:val="4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Footnote Text Char"/>
    <w:qFormat/>
    <w:uiPriority w:val="99"/>
    <w:rPr>
      <w:sz w:val="18"/>
    </w:rPr>
  </w:style>
  <w:style w:type="character" w:customStyle="1" w:styleId="200">
    <w:name w:val="尾注文本 Char"/>
    <w:link w:val="25"/>
    <w:qFormat/>
    <w:uiPriority w:val="99"/>
    <w:rPr>
      <w:sz w:val="20"/>
    </w:rPr>
  </w:style>
  <w:style w:type="paragraph" w:customStyle="1" w:styleId="201">
    <w:name w:val="TOC 标题1"/>
    <w:unhideWhenUsed/>
    <w:qFormat/>
    <w:uiPriority w:val="39"/>
    <w:rPr>
      <w:rFonts w:ascii="Times New Roman" w:hAnsi="Times New Roman" w:eastAsia="宋体" w:cs="Times New Roman"/>
      <w:lang w:val="en-US" w:eastAsia="zh-CN" w:bidi="ar-SA"/>
    </w:rPr>
  </w:style>
  <w:style w:type="paragraph" w:customStyle="1" w:styleId="202">
    <w:name w:val="文档结构图1"/>
    <w:basedOn w:val="1"/>
    <w:qFormat/>
    <w:uiPriority w:val="99"/>
    <w:pPr>
      <w:shd w:val="clear" w:color="auto" w:fill="000080"/>
    </w:pPr>
  </w:style>
  <w:style w:type="character" w:customStyle="1" w:styleId="203">
    <w:name w:val="标题 1 Char"/>
    <w:link w:val="2"/>
    <w:qFormat/>
    <w:uiPriority w:val="0"/>
    <w:rPr>
      <w:b/>
      <w:bCs/>
      <w:sz w:val="44"/>
      <w:szCs w:val="44"/>
    </w:rPr>
  </w:style>
  <w:style w:type="character" w:customStyle="1" w:styleId="204">
    <w:name w:val="标题 2 Char"/>
    <w:link w:val="3"/>
    <w:qFormat/>
    <w:uiPriority w:val="0"/>
    <w:rPr>
      <w:rFonts w:ascii="Cambria" w:hAnsi="Cambria"/>
      <w:b/>
      <w:bCs/>
      <w:sz w:val="32"/>
      <w:szCs w:val="32"/>
    </w:rPr>
  </w:style>
  <w:style w:type="character" w:customStyle="1" w:styleId="205">
    <w:name w:val="标题 3 Char"/>
    <w:link w:val="4"/>
    <w:qFormat/>
    <w:uiPriority w:val="0"/>
    <w:rPr>
      <w:b/>
      <w:bCs/>
      <w:sz w:val="32"/>
      <w:szCs w:val="32"/>
    </w:rPr>
  </w:style>
  <w:style w:type="paragraph" w:customStyle="1" w:styleId="206">
    <w:name w:val="正文 A"/>
    <w:next w:val="54"/>
    <w:qFormat/>
    <w:uiPriority w:val="0"/>
    <w:pPr>
      <w:framePr w:wrap="around" w:vAnchor="margin" w:hAnchor="text" w:yAlign="top"/>
      <w:widowControl w:val="0"/>
      <w:jc w:val="both"/>
    </w:pPr>
    <w:rPr>
      <w:rFonts w:ascii="Calibri" w:hAnsi="Calibri" w:eastAsia="Times New Roman" w:cs="Times New Roman"/>
      <w:color w:val="000000"/>
      <w:sz w:val="21"/>
      <w:szCs w:val="21"/>
      <w:lang w:val="en-US" w:eastAsia="zh-CN" w:bidi="ar-SA"/>
    </w:rPr>
  </w:style>
  <w:style w:type="character" w:customStyle="1" w:styleId="207">
    <w:name w:val="纯文本 Char"/>
    <w:link w:val="21"/>
    <w:qFormat/>
    <w:uiPriority w:val="0"/>
    <w:rPr>
      <w:rFonts w:ascii="宋体" w:hAnsi="Courier New" w:eastAsia="楷体_GB2312"/>
      <w:sz w:val="26"/>
      <w:szCs w:val="24"/>
      <w:lang w:val="en-US" w:eastAsia="zh-CN" w:bidi="ar-SA"/>
    </w:rPr>
  </w:style>
  <w:style w:type="character" w:customStyle="1" w:styleId="208">
    <w:name w:val="正文缩进 Char"/>
    <w:link w:val="5"/>
    <w:qFormat/>
    <w:uiPriority w:val="0"/>
    <w:rPr>
      <w:rFonts w:eastAsia="楷体_GB2312"/>
      <w:sz w:val="24"/>
      <w:lang w:val="en-US" w:eastAsia="zh-CN" w:bidi="ar-SA"/>
    </w:rPr>
  </w:style>
  <w:style w:type="character" w:customStyle="1" w:styleId="209">
    <w:name w:val="标题 5 Char"/>
    <w:link w:val="7"/>
    <w:qFormat/>
    <w:uiPriority w:val="0"/>
    <w:rPr>
      <w:rFonts w:eastAsia="宋体"/>
      <w:b/>
      <w:bCs/>
      <w:i/>
      <w:iCs/>
      <w:sz w:val="26"/>
      <w:szCs w:val="26"/>
      <w:lang w:val="en-US" w:eastAsia="zh-CN" w:bidi="ar-SA"/>
    </w:rPr>
  </w:style>
  <w:style w:type="character" w:customStyle="1" w:styleId="210">
    <w:name w:val="+正文 Char3"/>
    <w:link w:val="211"/>
    <w:qFormat/>
    <w:uiPriority w:val="0"/>
    <w:rPr>
      <w:rFonts w:eastAsia="宋体"/>
      <w:sz w:val="24"/>
      <w:lang w:val="en-US" w:eastAsia="zh-CN" w:bidi="ar-SA"/>
    </w:rPr>
  </w:style>
  <w:style w:type="paragraph" w:customStyle="1" w:styleId="211">
    <w:name w:val="+正文"/>
    <w:basedOn w:val="1"/>
    <w:link w:val="210"/>
    <w:qFormat/>
    <w:uiPriority w:val="0"/>
    <w:pPr>
      <w:spacing w:line="360" w:lineRule="auto"/>
      <w:ind w:firstLine="200"/>
    </w:pPr>
    <w:rPr>
      <w:sz w:val="24"/>
      <w:szCs w:val="20"/>
    </w:rPr>
  </w:style>
  <w:style w:type="character" w:customStyle="1" w:styleId="212">
    <w:name w:val="页脚 Char"/>
    <w:link w:val="27"/>
    <w:semiHidden/>
    <w:qFormat/>
    <w:uiPriority w:val="0"/>
    <w:rPr>
      <w:rFonts w:eastAsia="宋体"/>
      <w:sz w:val="18"/>
      <w:szCs w:val="18"/>
      <w:lang w:val="en-US" w:eastAsia="zh-CN" w:bidi="ar-SA"/>
    </w:rPr>
  </w:style>
  <w:style w:type="character" w:customStyle="1" w:styleId="213">
    <w:name w:val="Char Char8"/>
    <w:qFormat/>
    <w:uiPriority w:val="0"/>
    <w:rPr>
      <w:sz w:val="18"/>
    </w:rPr>
  </w:style>
  <w:style w:type="character" w:customStyle="1" w:styleId="214">
    <w:name w:val="标题 4 Char"/>
    <w:link w:val="6"/>
    <w:qFormat/>
    <w:uiPriority w:val="0"/>
    <w:rPr>
      <w:rFonts w:eastAsia="宋体"/>
      <w:b/>
      <w:bCs/>
      <w:sz w:val="28"/>
      <w:szCs w:val="28"/>
      <w:lang w:val="en-US" w:eastAsia="zh-CN" w:bidi="ar-SA"/>
    </w:rPr>
  </w:style>
  <w:style w:type="character" w:customStyle="1" w:styleId="215">
    <w:name w:val="标题 Char"/>
    <w:link w:val="40"/>
    <w:qFormat/>
    <w:uiPriority w:val="0"/>
    <w:rPr>
      <w:rFonts w:ascii="Arial" w:hAnsi="Arial"/>
      <w:b/>
      <w:bCs/>
      <w:sz w:val="32"/>
      <w:szCs w:val="32"/>
      <w:lang w:bidi="ar-SA"/>
    </w:rPr>
  </w:style>
  <w:style w:type="character" w:customStyle="1" w:styleId="216">
    <w:name w:val="文字正文主体 Char Char"/>
    <w:link w:val="217"/>
    <w:qFormat/>
    <w:uiPriority w:val="0"/>
    <w:rPr>
      <w:rFonts w:ascii="仿宋" w:hAnsi="仿宋" w:eastAsia="仿宋"/>
      <w:color w:val="3A3A3A"/>
      <w:sz w:val="28"/>
      <w:lang w:val="en-US" w:eastAsia="zh-CN" w:bidi="ar-SA"/>
    </w:rPr>
  </w:style>
  <w:style w:type="paragraph" w:customStyle="1" w:styleId="217">
    <w:name w:val="文字正文主体"/>
    <w:basedOn w:val="1"/>
    <w:link w:val="216"/>
    <w:qFormat/>
    <w:uiPriority w:val="0"/>
    <w:pPr>
      <w:tabs>
        <w:tab w:val="center" w:pos="2268"/>
        <w:tab w:val="right" w:pos="7938"/>
      </w:tabs>
      <w:spacing w:line="360" w:lineRule="auto"/>
      <w:ind w:firstLine="560"/>
    </w:pPr>
    <w:rPr>
      <w:rFonts w:ascii="仿宋" w:hAnsi="仿宋" w:eastAsia="仿宋"/>
      <w:color w:val="3A3A3A"/>
      <w:sz w:val="28"/>
      <w:szCs w:val="20"/>
    </w:rPr>
  </w:style>
  <w:style w:type="character" w:customStyle="1" w:styleId="218">
    <w:name w:val="页眉 Char"/>
    <w:link w:val="29"/>
    <w:qFormat/>
    <w:uiPriority w:val="99"/>
    <w:rPr>
      <w:rFonts w:eastAsia="宋体"/>
      <w:sz w:val="18"/>
      <w:szCs w:val="18"/>
      <w:lang w:val="en-US" w:eastAsia="zh-CN" w:bidi="ar-SA"/>
    </w:rPr>
  </w:style>
  <w:style w:type="character" w:customStyle="1" w:styleId="219">
    <w:name w:val="Char Char5"/>
    <w:qFormat/>
    <w:uiPriority w:val="0"/>
    <w:rPr>
      <w:sz w:val="24"/>
      <w:lang w:val="en-US" w:eastAsia="zh-CN"/>
    </w:rPr>
  </w:style>
  <w:style w:type="character" w:customStyle="1" w:styleId="220">
    <w:name w:val="Char Char11"/>
    <w:qFormat/>
    <w:uiPriority w:val="0"/>
    <w:rPr>
      <w:sz w:val="21"/>
    </w:rPr>
  </w:style>
  <w:style w:type="character" w:customStyle="1" w:styleId="221">
    <w:name w:val="c lh15"/>
    <w:basedOn w:val="45"/>
    <w:qFormat/>
    <w:uiPriority w:val="0"/>
  </w:style>
  <w:style w:type="character" w:customStyle="1" w:styleId="222">
    <w:name w:val="批注文字 Char"/>
    <w:link w:val="15"/>
    <w:qFormat/>
    <w:uiPriority w:val="0"/>
    <w:rPr>
      <w:rFonts w:eastAsia="宋体"/>
      <w:sz w:val="21"/>
      <w:szCs w:val="24"/>
      <w:lang w:val="en-US" w:eastAsia="zh-CN" w:bidi="ar-SA"/>
    </w:rPr>
  </w:style>
  <w:style w:type="character" w:customStyle="1" w:styleId="223">
    <w:name w:val="日期 Char"/>
    <w:link w:val="23"/>
    <w:qFormat/>
    <w:uiPriority w:val="0"/>
    <w:rPr>
      <w:sz w:val="36"/>
      <w:lang w:bidi="ar-SA"/>
    </w:rPr>
  </w:style>
  <w:style w:type="character" w:customStyle="1" w:styleId="224">
    <w:name w:val="Plain Text Char Char"/>
    <w:link w:val="225"/>
    <w:qFormat/>
    <w:uiPriority w:val="0"/>
    <w:rPr>
      <w:rFonts w:ascii="宋体" w:hAnsi="Courier New" w:eastAsia="楷体_GB2312"/>
      <w:sz w:val="28"/>
    </w:rPr>
  </w:style>
  <w:style w:type="paragraph" w:customStyle="1" w:styleId="225">
    <w:name w:val="纯文本1"/>
    <w:basedOn w:val="1"/>
    <w:link w:val="224"/>
    <w:qFormat/>
    <w:uiPriority w:val="0"/>
    <w:rPr>
      <w:rFonts w:ascii="宋体" w:hAnsi="Courier New" w:eastAsia="楷体_GB2312"/>
      <w:sz w:val="28"/>
      <w:szCs w:val="20"/>
    </w:rPr>
  </w:style>
  <w:style w:type="paragraph" w:customStyle="1" w:styleId="226">
    <w:name w:val="Char Char Char Char Char Char Char Char Char1 Char Char Char Char"/>
    <w:basedOn w:val="14"/>
    <w:qFormat/>
    <w:uiPriority w:val="0"/>
    <w:pPr>
      <w:spacing w:line="360" w:lineRule="auto"/>
    </w:pPr>
    <w:rPr>
      <w:rFonts w:eastAsia="楷体_GB2312"/>
      <w:sz w:val="26"/>
      <w:szCs w:val="20"/>
    </w:rPr>
  </w:style>
  <w:style w:type="paragraph" w:customStyle="1" w:styleId="227">
    <w:name w:val="Char Char Char Char Char Char Char Char Char Char"/>
    <w:basedOn w:val="1"/>
    <w:qFormat/>
    <w:uiPriority w:val="0"/>
    <w:pPr>
      <w:numPr>
        <w:ilvl w:val="0"/>
        <w:numId w:val="2"/>
      </w:numPr>
    </w:pPr>
    <w:rPr>
      <w:sz w:val="24"/>
    </w:rPr>
  </w:style>
  <w:style w:type="paragraph" w:customStyle="1" w:styleId="228">
    <w:name w:val="Char Char Char Char Char Char Char Char Char1 Char"/>
    <w:basedOn w:val="14"/>
    <w:qFormat/>
    <w:uiPriority w:val="0"/>
    <w:pPr>
      <w:spacing w:line="360" w:lineRule="auto"/>
    </w:pPr>
    <w:rPr>
      <w:rFonts w:ascii="Tahoma" w:hAnsi="Tahoma"/>
      <w:sz w:val="24"/>
    </w:rPr>
  </w:style>
  <w:style w:type="paragraph" w:customStyle="1" w:styleId="229">
    <w:name w:val="Char Char Char"/>
    <w:basedOn w:val="14"/>
    <w:qFormat/>
    <w:uiPriority w:val="0"/>
    <w:pPr>
      <w:spacing w:line="360" w:lineRule="auto"/>
    </w:pPr>
    <w:rPr>
      <w:rFonts w:ascii="Tahoma" w:hAnsi="Tahoma"/>
      <w:sz w:val="24"/>
    </w:rPr>
  </w:style>
  <w:style w:type="paragraph" w:customStyle="1" w:styleId="230">
    <w:name w:val="Char Char Char Char"/>
    <w:basedOn w:val="14"/>
    <w:qFormat/>
    <w:uiPriority w:val="0"/>
    <w:pPr>
      <w:spacing w:line="360" w:lineRule="auto"/>
    </w:pPr>
    <w:rPr>
      <w:sz w:val="24"/>
      <w:szCs w:val="20"/>
    </w:rPr>
  </w:style>
  <w:style w:type="paragraph" w:customStyle="1" w:styleId="231">
    <w:name w:val="Char1 Char Char Char"/>
    <w:basedOn w:val="1"/>
    <w:qFormat/>
    <w:uiPriority w:val="0"/>
    <w:rPr>
      <w:rFonts w:ascii="Tahoma" w:hAnsi="Tahoma"/>
      <w:sz w:val="24"/>
      <w:szCs w:val="20"/>
    </w:rPr>
  </w:style>
  <w:style w:type="paragraph" w:customStyle="1" w:styleId="232">
    <w:name w:val="Char"/>
    <w:basedOn w:val="1"/>
    <w:qFormat/>
    <w:uiPriority w:val="0"/>
    <w:pPr>
      <w:tabs>
        <w:tab w:val="left" w:pos="420"/>
      </w:tabs>
      <w:ind w:left="420" w:hanging="420"/>
    </w:pPr>
    <w:rPr>
      <w:sz w:val="24"/>
    </w:rPr>
  </w:style>
  <w:style w:type="paragraph" w:customStyle="1" w:styleId="233">
    <w:name w:val="正文2"/>
    <w:basedOn w:val="1"/>
    <w:qFormat/>
    <w:uiPriority w:val="0"/>
    <w:pPr>
      <w:widowControl/>
      <w:spacing w:after="160" w:line="360" w:lineRule="auto"/>
      <w:ind w:firstLine="200"/>
      <w:jc w:val="left"/>
    </w:pPr>
    <w:rPr>
      <w:rFonts w:ascii="Verdana" w:hAnsi="Verdana" w:eastAsia="黑体"/>
      <w:szCs w:val="20"/>
      <w:lang w:eastAsia="en-US"/>
    </w:rPr>
  </w:style>
  <w:style w:type="paragraph" w:customStyle="1" w:styleId="234">
    <w:name w:val="Char Char Char1 Char Char Char Char"/>
    <w:basedOn w:val="1"/>
    <w:qFormat/>
    <w:uiPriority w:val="0"/>
    <w:pPr>
      <w:widowControl/>
      <w:spacing w:after="160" w:line="240" w:lineRule="exact"/>
      <w:jc w:val="left"/>
    </w:pPr>
    <w:rPr>
      <w:sz w:val="24"/>
    </w:rPr>
  </w:style>
  <w:style w:type="paragraph" w:styleId="235">
    <w:name w:val="No Spacing"/>
    <w:qFormat/>
    <w:uiPriority w:val="1"/>
    <w:pPr>
      <w:widowControl w:val="0"/>
      <w:jc w:val="both"/>
    </w:pPr>
    <w:rPr>
      <w:rFonts w:ascii="Times New Roman" w:hAnsi="Times New Roman" w:eastAsia="宋体" w:cs="Times New Roman"/>
      <w:sz w:val="21"/>
      <w:szCs w:val="24"/>
      <w:lang w:val="en-US" w:eastAsia="zh-CN" w:bidi="ar-SA"/>
    </w:rPr>
  </w:style>
  <w:style w:type="paragraph" w:customStyle="1" w:styleId="236">
    <w:name w:val="纯文本11"/>
    <w:basedOn w:val="1"/>
    <w:qFormat/>
    <w:uiPriority w:val="0"/>
    <w:rPr>
      <w:rFonts w:ascii="宋体" w:hAnsi="Courier New" w:eastAsia="楷体_GB2312"/>
      <w:sz w:val="28"/>
      <w:szCs w:val="20"/>
    </w:rPr>
  </w:style>
  <w:style w:type="character" w:customStyle="1" w:styleId="237">
    <w:name w:val="纯文本 Char1"/>
    <w:qFormat/>
    <w:uiPriority w:val="0"/>
    <w:rPr>
      <w:rFonts w:ascii="宋体" w:hAnsi="Courier New" w:eastAsia="楷体_GB2312"/>
      <w:sz w:val="24"/>
      <w:lang w:val="en-US" w:eastAsia="zh-CN" w:bidi="ar-SA"/>
    </w:rPr>
  </w:style>
  <w:style w:type="paragraph" w:customStyle="1" w:styleId="238">
    <w:name w:val="纯文本2"/>
    <w:basedOn w:val="1"/>
    <w:qFormat/>
    <w:uiPriority w:val="0"/>
    <w:rPr>
      <w:rFonts w:ascii="宋体" w:hAnsi="Courier New" w:eastAsia="楷体_GB2312"/>
      <w:sz w:val="26"/>
      <w:szCs w:val="20"/>
    </w:rPr>
  </w:style>
  <w:style w:type="character" w:customStyle="1" w:styleId="239">
    <w:name w:val="Plain Text Char"/>
    <w:qFormat/>
    <w:uiPriority w:val="0"/>
    <w:rPr>
      <w:rFonts w:ascii="宋体" w:hAnsi="Courier New" w:eastAsia="楷体_GB2312"/>
      <w:sz w:val="26"/>
      <w:lang w:val="en-US" w:eastAsia="zh-CN" w:bidi="ar-SA"/>
    </w:rPr>
  </w:style>
  <w:style w:type="paragraph" w:customStyle="1" w:styleId="240">
    <w:name w:val="修订1"/>
    <w:hidden/>
    <w:semiHidden/>
    <w:unhideWhenUsed/>
    <w:qFormat/>
    <w:uiPriority w:val="99"/>
    <w:rPr>
      <w:rFonts w:ascii="Times New Roman" w:hAnsi="Times New Roman" w:eastAsia="宋体" w:cs="Times New Roman"/>
      <w:sz w:val="21"/>
      <w:szCs w:val="24"/>
      <w:lang w:val="en-US" w:eastAsia="zh-CN" w:bidi="ar-SA"/>
    </w:rPr>
  </w:style>
  <w:style w:type="character" w:customStyle="1" w:styleId="241">
    <w:name w:val="apple-converted-space"/>
    <w:basedOn w:val="45"/>
    <w:qFormat/>
    <w:uiPriority w:val="0"/>
  </w:style>
  <w:style w:type="paragraph" w:customStyle="1" w:styleId="242">
    <w:name w:val="p1"/>
    <w:basedOn w:val="1"/>
    <w:qFormat/>
    <w:uiPriority w:val="0"/>
    <w:pPr>
      <w:widowControl/>
      <w:spacing w:before="100" w:beforeAutospacing="1" w:after="100" w:afterAutospacing="1"/>
      <w:jc w:val="left"/>
    </w:pPr>
    <w:rPr>
      <w:rFonts w:ascii="宋体" w:hAnsi="宋体" w:cs="宋体"/>
      <w:sz w:val="24"/>
    </w:rPr>
  </w:style>
  <w:style w:type="paragraph" w:customStyle="1" w:styleId="243">
    <w:name w:val="p3"/>
    <w:basedOn w:val="1"/>
    <w:qFormat/>
    <w:uiPriority w:val="0"/>
    <w:pPr>
      <w:widowControl/>
      <w:spacing w:before="100" w:beforeAutospacing="1" w:after="100" w:afterAutospacing="1"/>
      <w:jc w:val="left"/>
    </w:pPr>
    <w:rPr>
      <w:rFonts w:ascii="宋体" w:hAnsi="宋体" w:cs="宋体"/>
      <w:sz w:val="24"/>
    </w:rPr>
  </w:style>
  <w:style w:type="character" w:customStyle="1" w:styleId="244">
    <w:name w:val="s6"/>
    <w:basedOn w:val="45"/>
    <w:qFormat/>
    <w:uiPriority w:val="0"/>
  </w:style>
  <w:style w:type="character" w:customStyle="1" w:styleId="245">
    <w:name w:val="s1"/>
    <w:basedOn w:val="45"/>
    <w:qFormat/>
    <w:uiPriority w:val="0"/>
  </w:style>
  <w:style w:type="paragraph" w:customStyle="1" w:styleId="246">
    <w:name w:val="列出段落1"/>
    <w:basedOn w:val="1"/>
    <w:qFormat/>
    <w:uiPriority w:val="34"/>
    <w:pPr>
      <w:ind w:firstLine="420"/>
    </w:pPr>
    <w:rPr>
      <w:lang w:val="zh-CN"/>
    </w:rPr>
  </w:style>
  <w:style w:type="character" w:customStyle="1" w:styleId="247">
    <w:name w:val="批注文字 Char3"/>
    <w:qFormat/>
    <w:uiPriority w:val="0"/>
    <w:rPr>
      <w:rFonts w:eastAsia="宋体"/>
      <w:sz w:val="21"/>
      <w:szCs w:val="24"/>
      <w:lang w:val="en-US" w:eastAsia="zh-CN" w:bidi="ar-SA"/>
    </w:rPr>
  </w:style>
  <w:style w:type="paragraph" w:styleId="248">
    <w:name w:val="List Paragraph"/>
    <w:basedOn w:val="1"/>
    <w:qFormat/>
    <w:uiPriority w:val="99"/>
    <w:pPr>
      <w:ind w:firstLine="420"/>
    </w:pPr>
  </w:style>
  <w:style w:type="paragraph" w:customStyle="1" w:styleId="249">
    <w:name w:val="BodyText"/>
    <w:basedOn w:val="1"/>
    <w:qFormat/>
    <w:uiPriority w:val="99"/>
    <w:pPr>
      <w:spacing w:after="120"/>
    </w:pPr>
  </w:style>
  <w:style w:type="character" w:customStyle="1" w:styleId="250">
    <w:name w:val="NormalCharacter"/>
    <w:semiHidden/>
    <w:qFormat/>
    <w:uiPriority w:val="0"/>
  </w:style>
  <w:style w:type="character" w:customStyle="1" w:styleId="251">
    <w:name w:val="正文文本缩进 Char"/>
    <w:basedOn w:val="45"/>
    <w:link w:val="17"/>
    <w:qFormat/>
    <w:uiPriority w:val="0"/>
    <w:rPr>
      <w:rFonts w:ascii="Times New Roman" w:hAnsi="Times New Roman"/>
      <w:sz w:val="21"/>
      <w:szCs w:val="24"/>
    </w:rPr>
  </w:style>
  <w:style w:type="paragraph" w:customStyle="1" w:styleId="252">
    <w:name w:val="纯文本3"/>
    <w:basedOn w:val="1"/>
    <w:qFormat/>
    <w:uiPriority w:val="0"/>
    <w:rPr>
      <w:rFonts w:ascii="宋体" w:hAnsi="Courier New" w:eastAsia="楷体_GB2312"/>
      <w:sz w:val="28"/>
      <w:szCs w:val="20"/>
    </w:rPr>
  </w:style>
  <w:style w:type="paragraph" w:customStyle="1" w:styleId="253">
    <w:name w:val="修订2"/>
    <w:hidden/>
    <w:semiHidden/>
    <w:qFormat/>
    <w:uiPriority w:val="99"/>
    <w:rPr>
      <w:rFonts w:ascii="Times New Roman" w:hAnsi="Times New Roman" w:eastAsia="宋体" w:cs="Times New Roman"/>
      <w:sz w:val="21"/>
      <w:szCs w:val="24"/>
      <w:lang w:val="en-US" w:eastAsia="zh-CN" w:bidi="ar-SA"/>
    </w:rPr>
  </w:style>
  <w:style w:type="paragraph" w:customStyle="1" w:styleId="254">
    <w:name w:val="修订3"/>
    <w:hidden/>
    <w:semiHidden/>
    <w:qFormat/>
    <w:uiPriority w:val="99"/>
    <w:rPr>
      <w:rFonts w:ascii="Times New Roman" w:hAnsi="Times New Roman" w:eastAsia="宋体" w:cs="Times New Roman"/>
      <w:sz w:val="21"/>
      <w:szCs w:val="24"/>
      <w:lang w:val="en-US" w:eastAsia="zh-CN" w:bidi="ar-SA"/>
    </w:rPr>
  </w:style>
  <w:style w:type="paragraph" w:customStyle="1" w:styleId="255">
    <w:name w:val="修订4"/>
    <w:hidden/>
    <w:semiHidden/>
    <w:qFormat/>
    <w:uiPriority w:val="99"/>
    <w:rPr>
      <w:rFonts w:ascii="Times New Roman" w:hAnsi="Times New Roman" w:eastAsia="宋体" w:cs="Times New Roman"/>
      <w:sz w:val="21"/>
      <w:szCs w:val="24"/>
      <w:lang w:val="en-US" w:eastAsia="zh-CN" w:bidi="ar-SA"/>
    </w:rPr>
  </w:style>
  <w:style w:type="paragraph" w:customStyle="1" w:styleId="256">
    <w:name w:val="列出段落2"/>
    <w:basedOn w:val="1"/>
    <w:qFormat/>
    <w:uiPriority w:val="34"/>
    <w:pPr>
      <w:ind w:firstLine="420"/>
    </w:pPr>
  </w:style>
  <w:style w:type="paragraph" w:customStyle="1" w:styleId="257">
    <w:name w:val="_正文段落"/>
    <w:basedOn w:val="1"/>
    <w:qFormat/>
    <w:uiPriority w:val="0"/>
    <w:pPr>
      <w:spacing w:line="360" w:lineRule="auto"/>
      <w:ind w:firstLine="200"/>
    </w:pPr>
    <w:rPr>
      <w:sz w:val="24"/>
    </w:rPr>
  </w:style>
  <w:style w:type="paragraph" w:customStyle="1" w:styleId="258">
    <w:name w:val="_Style 30"/>
    <w:basedOn w:val="1"/>
    <w:next w:val="21"/>
    <w:qFormat/>
    <w:uiPriority w:val="0"/>
    <w:rPr>
      <w:rFonts w:ascii="宋体" w:hAnsi="Courier New"/>
    </w:rPr>
  </w:style>
  <w:style w:type="paragraph" w:customStyle="1" w:styleId="259">
    <w:name w:val="正文缩进1"/>
    <w:basedOn w:val="1"/>
    <w:next w:val="1"/>
    <w:unhideWhenUsed/>
    <w:qFormat/>
    <w:uiPriority w:val="99"/>
    <w:pPr>
      <w:ind w:firstLine="42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14484</Words>
  <Characters>15746</Characters>
  <Lines>243</Lines>
  <Paragraphs>68</Paragraphs>
  <TotalTime>5</TotalTime>
  <ScaleCrop>false</ScaleCrop>
  <LinksUpToDate>false</LinksUpToDate>
  <CharactersWithSpaces>16037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2024-01-02T10:17:00Z</dcterms:created>
  <dc:creator>Lenovo User</dc:creator>
  <cp:lastModifiedBy>路</cp:lastModifiedBy>
  <dcterms:modified xsi:type="dcterms:W3CDTF">2025-11-21T01:23:12Z</dcterms:modified>
  <dc:title>谈判邀请函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22B7F8F18FDA4FFC87E0DFA883F7A2C7_13</vt:lpwstr>
  </property>
  <property fmtid="{D5CDD505-2E9C-101B-9397-08002B2CF9AE}" pid="4" name="ContentTypeId">
    <vt:lpwstr>0x01010081C51C0CE0027140830352BF468F90BF</vt:lpwstr>
  </property>
  <property fmtid="{D5CDD505-2E9C-101B-9397-08002B2CF9AE}" pid="5" name="KSOTemplateDocerSaveRecord">
    <vt:lpwstr>eyJoZGlkIjoiYTg2ZGIyZWRmZTk5MGEyN2Y5Y2Y2MjllNTgyNjIzMzUiLCJ1c2VySWQiOiIxMDQzMzQ5ODU4In0=</vt:lpwstr>
  </property>
</Properties>
</file>