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sz w:val="32"/>
          <w:highlight w:val="none"/>
        </w:rPr>
      </w:pPr>
      <w:r>
        <w:rPr>
          <w:rFonts w:hint="eastAsia" w:ascii="宋体" w:hAnsi="宋体" w:cs="宋体"/>
          <w:sz w:val="32"/>
          <w:highlight w:val="none"/>
        </w:rPr>
        <w:t xml:space="preserve">    </w:t>
      </w:r>
      <w:r/>
    </w:p>
    <w:p>
      <w:pPr>
        <w:pStyle w:val="710"/>
        <w:rPr>
          <w:rFonts w:hint="eastAsia" w:ascii="宋体" w:hAnsi="宋体" w:cs="宋体"/>
          <w:sz w:val="32"/>
          <w:highlight w:val="none"/>
        </w:rPr>
      </w:pPr>
      <w:r>
        <w:rPr>
          <w:rFonts w:hint="eastAsia" w:ascii="宋体" w:hAnsi="宋体" w:cs="宋体"/>
          <w:sz w:val="32"/>
          <w:highlight w:val="none"/>
        </w:rPr>
      </w:r>
      <w:r/>
    </w:p>
    <w:p>
      <w:pPr>
        <w:rPr>
          <w:rFonts w:hint="eastAsia"/>
          <w:highlight w:val="none"/>
        </w:rPr>
      </w:pPr>
      <w:r>
        <w:rPr>
          <w:rFonts w:hint="eastAsia"/>
          <w:highlight w:val="none"/>
        </w:rPr>
      </w:r>
      <w:r/>
    </w:p>
    <w:p>
      <w:pPr>
        <w:jc w:val="center"/>
        <w:rPr>
          <w:rFonts w:hint="eastAsia" w:ascii="宋体" w:hAnsi="宋体" w:cs="宋体"/>
          <w:spacing w:val="76"/>
          <w:sz w:val="144"/>
          <w:highlight w:val="none"/>
        </w:rPr>
      </w:pPr>
      <w:r>
        <w:rPr>
          <w:rFonts w:hint="eastAsia" w:ascii="宋体" w:hAnsi="宋体" w:cs="宋体"/>
          <w:spacing w:val="76"/>
          <w:sz w:val="144"/>
          <w:highlight w:val="none"/>
        </w:rPr>
        <w:t xml:space="preserve">招标文件</w:t>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10"/>
        <w:rPr>
          <w:rFonts w:hint="eastAsia"/>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1266825</wp:posOffset>
                </wp:positionH>
                <wp:positionV relativeFrom="paragraph">
                  <wp:posOffset>193040</wp:posOffset>
                </wp:positionV>
                <wp:extent cx="3032760" cy="239649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032760" cy="239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9.8pt;mso-position-horizontal:absolute;mso-position-vertical-relative:text;margin-top:15.2pt;mso-position-vertical:absolute;width:238.8pt;height:188.7pt;mso-wrap-distance-left:9.0pt;mso-wrap-distance-top:0.0pt;mso-wrap-distance-right:9.0pt;mso-wrap-distance-bottom:0.0pt;" stroked="f">
                <v:path textboxrect="0,0,0,0"/>
                <w10:wrap type="square"/>
                <v:imagedata r:id="rId12" o:title=""/>
              </v:shape>
            </w:pict>
          </mc:Fallback>
        </mc:AlternateContent>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71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rPr>
          <w:rFonts w:hint="eastAsia"/>
          <w:highlight w:val="none"/>
        </w:rPr>
      </w:pPr>
      <w:r>
        <w:rPr>
          <w:rFonts w:hint="eastAsia"/>
          <w:highlight w:val="none"/>
        </w:rPr>
      </w:r>
      <w:r/>
    </w:p>
    <w:p>
      <w:pPr>
        <w:ind w:firstLine="2100"/>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ind w:firstLine="2100"/>
        <w:keepLines w:val="0"/>
        <w:keepNext w:val="0"/>
        <w:pageBreakBefore w:val="0"/>
        <w:spacing w:line="480" w:lineRule="exact"/>
        <w:widowControl w:val="off"/>
        <w:rPr>
          <w:rFonts w:hint="eastAsia" w:ascii="宋体" w:hAnsi="宋体" w:cs="宋体"/>
          <w:color w:val="000000"/>
          <w:sz w:val="28"/>
          <w:szCs w:val="28"/>
          <w:highlight w:val="none"/>
        </w:rPr>
        <w:outlineLvl w:val="9"/>
      </w:pPr>
      <w:r>
        <w:rPr>
          <w:rFonts w:hint="eastAsia" w:ascii="宋体" w:hAnsi="宋体" w:cs="宋体"/>
          <w:color w:val="000000"/>
          <w:sz w:val="28"/>
          <w:szCs w:val="28"/>
          <w:highlight w:val="none"/>
        </w:rPr>
      </w:r>
      <w:r/>
    </w:p>
    <w:p>
      <w:pPr>
        <w:ind w:left="0" w:firstLine="1262"/>
        <w:jc w:val="both"/>
        <w:keepLines w:val="0"/>
        <w:keepNext w:val="0"/>
        <w:pageBreakBefore w:val="0"/>
        <w:spacing w:line="480" w:lineRule="exact"/>
        <w:widowControl w:val="off"/>
        <w:rPr>
          <w:rFonts w:hint="eastAsia" w:ascii="宋体" w:hAnsi="宋体" w:eastAsia="宋体" w:cs="宋体"/>
          <w:b/>
          <w:bCs/>
          <w:color w:val="000000"/>
          <w:sz w:val="30"/>
          <w:szCs w:val="30"/>
          <w:highlight w:val="none"/>
          <w:lang w:eastAsia="zh-CN"/>
        </w:rPr>
        <w:outlineLvl w:val="9"/>
      </w:pPr>
      <w:r>
        <w:rPr>
          <w:rFonts w:hint="eastAsia" w:ascii="宋体" w:hAnsi="宋体" w:cs="宋体"/>
          <w:b/>
          <w:bCs/>
          <w:color w:val="000000"/>
          <w:sz w:val="30"/>
          <w:szCs w:val="30"/>
          <w:highlight w:val="none"/>
        </w:rPr>
        <w:t xml:space="preserve">项目名称：</w:t>
      </w:r>
      <w:r>
        <w:rPr>
          <w:rFonts w:hint="eastAsia" w:ascii="宋体" w:hAnsi="宋体" w:cs="宋体"/>
          <w:b/>
          <w:bCs/>
          <w:color w:val="000000"/>
          <w:sz w:val="30"/>
          <w:szCs w:val="30"/>
          <w:highlight w:val="none"/>
          <w:lang w:eastAsia="zh-CN"/>
        </w:rPr>
        <w:t xml:space="preserve">徐州市市场监督管理局食品安全监督抽检</w:t>
      </w:r>
      <w:r/>
    </w:p>
    <w:p>
      <w:pPr>
        <w:ind w:left="0" w:firstLine="1262"/>
        <w:jc w:val="both"/>
        <w:keepLines w:val="0"/>
        <w:keepNext w:val="0"/>
        <w:pageBreakBefore w:val="0"/>
        <w:spacing w:line="480" w:lineRule="exact"/>
        <w:widowControl w:val="off"/>
        <w:rPr>
          <w:rFonts w:hint="eastAsia" w:ascii="宋体" w:hAnsi="宋体" w:eastAsia="宋体" w:cs="宋体"/>
          <w:b/>
          <w:bCs/>
          <w:color w:val="000000"/>
          <w:sz w:val="30"/>
          <w:szCs w:val="30"/>
          <w:highlight w:val="none"/>
          <w:lang w:eastAsia="zh-CN"/>
        </w:rPr>
        <w:outlineLvl w:val="9"/>
      </w:pPr>
      <w:r>
        <w:rPr>
          <w:rFonts w:hint="eastAsia" w:ascii="宋体" w:hAnsi="宋体" w:cs="宋体"/>
          <w:b/>
          <w:bCs/>
          <w:color w:val="000000"/>
          <w:sz w:val="30"/>
          <w:szCs w:val="30"/>
          <w:highlight w:val="none"/>
        </w:rPr>
        <w:t xml:space="preserve">项目编号：</w:t>
      </w:r>
      <w:r>
        <w:rPr>
          <w:rFonts w:hint="eastAsia" w:ascii="宋体" w:hAnsi="宋体" w:cs="宋体"/>
          <w:b/>
          <w:bCs/>
          <w:color w:val="000000"/>
          <w:sz w:val="30"/>
          <w:szCs w:val="30"/>
          <w:highlight w:val="none"/>
          <w:lang w:eastAsia="zh-CN"/>
        </w:rPr>
        <w:t xml:space="preserve">JSZC-320300-YMXM-G2024-0011</w:t>
      </w:r>
      <w:r/>
    </w:p>
    <w:p>
      <w:pPr>
        <w:ind w:left="0" w:firstLine="1262"/>
        <w:keepLines w:val="0"/>
        <w:keepNext w:val="0"/>
        <w:pageBreakBefore w:val="0"/>
        <w:spacing w:line="480" w:lineRule="exact"/>
        <w:widowControl w:val="off"/>
        <w:rPr>
          <w:rFonts w:hint="eastAsia" w:ascii="宋体" w:hAnsi="宋体" w:eastAsia="宋体" w:cs="宋体"/>
          <w:b/>
          <w:bCs/>
          <w:color w:val="000000"/>
          <w:sz w:val="30"/>
          <w:szCs w:val="30"/>
          <w:highlight w:val="none"/>
          <w:lang w:eastAsia="zh-CN"/>
        </w:rPr>
        <w:outlineLvl w:val="9"/>
      </w:pPr>
      <w:r>
        <w:rPr>
          <w:rFonts w:hint="eastAsia" w:ascii="宋体" w:hAnsi="宋体" w:cs="宋体"/>
          <w:b/>
          <w:bCs/>
          <w:color w:val="000000"/>
          <w:sz w:val="30"/>
          <w:szCs w:val="30"/>
          <w:highlight w:val="none"/>
        </w:rPr>
        <w:t xml:space="preserve">采 购 人：</w:t>
      </w:r>
      <w:r>
        <w:rPr>
          <w:rFonts w:hint="eastAsia" w:ascii="宋体" w:hAnsi="宋体" w:cs="宋体"/>
          <w:b/>
          <w:bCs/>
          <w:color w:val="000000"/>
          <w:sz w:val="30"/>
          <w:szCs w:val="30"/>
          <w:highlight w:val="none"/>
          <w:lang w:eastAsia="zh-CN"/>
        </w:rPr>
        <w:t xml:space="preserve">徐州市市场监督管理局</w:t>
      </w:r>
      <w:r/>
    </w:p>
    <w:p>
      <w:pPr>
        <w:ind w:left="0" w:firstLine="1262"/>
        <w:jc w:val="center"/>
        <w:keepLines w:val="0"/>
        <w:keepNext w:val="0"/>
        <w:pageBreakBefore w:val="0"/>
        <w:spacing w:line="480" w:lineRule="exact"/>
        <w:widowControl w:val="off"/>
        <w:rPr>
          <w:rFonts w:hint="eastAsia" w:ascii="宋体" w:hAnsi="宋体" w:cs="宋体"/>
          <w:b/>
          <w:bCs/>
          <w:sz w:val="30"/>
          <w:szCs w:val="30"/>
          <w:highlight w:val="none"/>
        </w:rPr>
        <w:outlineLvl w:val="9"/>
      </w:pPr>
      <w:r>
        <w:rPr>
          <w:rFonts w:hint="eastAsia" w:ascii="宋体" w:hAnsi="宋体" w:cs="宋体"/>
          <w:b/>
          <w:bCs/>
          <w:sz w:val="30"/>
          <w:szCs w:val="30"/>
          <w:highlight w:val="none"/>
        </w:rPr>
      </w:r>
      <w:r/>
    </w:p>
    <w:p>
      <w:pPr>
        <w:ind w:left="0" w:firstLine="419"/>
        <w:jc w:val="center"/>
        <w:keepLines w:val="0"/>
        <w:keepNext w:val="0"/>
        <w:pageBreakBefore w:val="0"/>
        <w:spacing w:line="480" w:lineRule="exact"/>
        <w:widowControl w:val="off"/>
        <w:rPr>
          <w:rFonts w:hint="eastAsia" w:ascii="宋体" w:hAnsi="宋体" w:eastAsia="宋体" w:cs="宋体"/>
          <w:b/>
          <w:bCs/>
          <w:sz w:val="30"/>
          <w:szCs w:val="30"/>
          <w:highlight w:val="none"/>
          <w:lang w:eastAsia="zh-CN"/>
        </w:rPr>
        <w:outlineLvl w:val="9"/>
      </w:pPr>
      <w:r>
        <w:rPr>
          <w:rFonts w:hint="eastAsia" w:ascii="宋体" w:hAnsi="宋体" w:cs="宋体"/>
          <w:b/>
          <w:bCs/>
          <w:sz w:val="30"/>
          <w:szCs w:val="30"/>
          <w:highlight w:val="none"/>
        </w:rPr>
        <w:t xml:space="preserve">采购代理机构：</w:t>
      </w:r>
      <w:r>
        <w:rPr>
          <w:rFonts w:hint="eastAsia" w:ascii="宋体" w:hAnsi="宋体" w:cs="宋体"/>
          <w:b/>
          <w:bCs/>
          <w:sz w:val="30"/>
          <w:szCs w:val="30"/>
          <w:highlight w:val="none"/>
          <w:lang w:eastAsia="zh-CN"/>
        </w:rPr>
        <w:t xml:space="preserve">永明项目管理有限公司</w:t>
      </w:r>
      <w:r/>
    </w:p>
    <w:p>
      <w:pPr>
        <w:pStyle w:val="756"/>
        <w:ind w:left="0" w:firstLine="1262"/>
        <w:jc w:val="center"/>
        <w:keepLines w:val="0"/>
        <w:keepNext w:val="0"/>
        <w:pageBreakBefore w:val="0"/>
        <w:spacing w:line="480" w:lineRule="exact"/>
        <w:widowControl w:val="off"/>
        <w:rPr>
          <w:rFonts w:hint="eastAsia" w:ascii="宋体" w:hAnsi="宋体" w:cs="宋体"/>
          <w:b/>
          <w:bCs/>
          <w:color w:val="000000"/>
          <w:sz w:val="30"/>
          <w:szCs w:val="30"/>
          <w:highlight w:val="none"/>
        </w:rPr>
        <w:outlineLvl w:val="9"/>
      </w:pPr>
      <w:r>
        <w:rPr>
          <w:rFonts w:hint="eastAsia" w:ascii="宋体" w:hAnsi="宋体" w:cs="宋体"/>
          <w:b/>
          <w:bCs/>
          <w:color w:val="000000"/>
          <w:sz w:val="30"/>
          <w:szCs w:val="30"/>
          <w:highlight w:val="none"/>
        </w:rPr>
      </w:r>
      <w:r/>
    </w:p>
    <w:p>
      <w:pPr>
        <w:pStyle w:val="756"/>
        <w:ind w:left="0" w:firstLine="641"/>
        <w:jc w:val="center"/>
        <w:keepLines w:val="0"/>
        <w:keepNext w:val="0"/>
        <w:pageBreakBefore w:val="0"/>
        <w:spacing w:line="480" w:lineRule="exact"/>
        <w:widowControl w:val="off"/>
        <w:rPr>
          <w:rFonts w:hint="eastAsia" w:ascii="宋体" w:hAnsi="宋体" w:cs="宋体"/>
          <w:b/>
          <w:sz w:val="40"/>
          <w:szCs w:val="22"/>
          <w:highlight w:val="none"/>
        </w:rPr>
        <w:outlineLvl w:val="9"/>
      </w:pPr>
      <w:r>
        <w:rPr>
          <w:rFonts w:hint="eastAsia" w:ascii="宋体" w:hAnsi="宋体" w:cs="宋体"/>
          <w:b/>
          <w:bCs/>
          <w:color w:val="000000"/>
          <w:sz w:val="30"/>
          <w:szCs w:val="30"/>
          <w:highlight w:val="none"/>
        </w:rPr>
        <w:t xml:space="preserve">二〇二</w:t>
      </w:r>
      <w:r>
        <w:rPr>
          <w:rFonts w:hint="eastAsia" w:ascii="宋体" w:hAnsi="宋体" w:cs="宋体"/>
          <w:b/>
          <w:bCs/>
          <w:color w:val="000000"/>
          <w:sz w:val="30"/>
          <w:szCs w:val="30"/>
          <w:highlight w:val="none"/>
          <w:lang w:val="en-US" w:eastAsia="zh-CN"/>
        </w:rPr>
        <w:t xml:space="preserve">四</w:t>
      </w:r>
      <w:r>
        <w:rPr>
          <w:rFonts w:hint="eastAsia" w:ascii="宋体" w:hAnsi="宋体" w:cs="宋体"/>
          <w:b/>
          <w:bCs/>
          <w:color w:val="000000"/>
          <w:sz w:val="30"/>
          <w:szCs w:val="30"/>
          <w:highlight w:val="none"/>
        </w:rPr>
        <w:t xml:space="preserve">年</w:t>
      </w:r>
      <w:r>
        <w:rPr>
          <w:rFonts w:hint="eastAsia" w:ascii="宋体" w:hAnsi="宋体" w:cs="宋体"/>
          <w:b/>
          <w:bCs/>
          <w:color w:val="000000"/>
          <w:sz w:val="30"/>
          <w:szCs w:val="30"/>
          <w:highlight w:val="none"/>
          <w:lang w:val="en-US" w:eastAsia="zh-CN"/>
        </w:rPr>
        <w:t xml:space="preserve">十</w:t>
      </w:r>
      <w:r>
        <w:rPr>
          <w:rFonts w:hint="eastAsia" w:ascii="宋体" w:hAnsi="宋体" w:cs="宋体"/>
          <w:b/>
          <w:bCs/>
          <w:color w:val="000000"/>
          <w:sz w:val="30"/>
          <w:szCs w:val="30"/>
          <w:highlight w:val="none"/>
        </w:rPr>
        <w:t xml:space="preserve">月</w:t>
      </w:r>
      <w:r>
        <w:rPr>
          <w:rFonts w:hint="eastAsia" w:ascii="宋体" w:hAnsi="宋体" w:cs="宋体"/>
          <w:b/>
          <w:sz w:val="44"/>
          <w:highlight w:val="none"/>
        </w:rPr>
        <w:br w:type="page" w:clear="all"/>
      </w:r>
      <w:r/>
    </w:p>
    <w:p>
      <w:pPr>
        <w:pStyle w:val="756"/>
        <w:ind w:firstLine="0"/>
        <w:jc w:val="center"/>
        <w:rPr>
          <w:rFonts w:hint="eastAsia" w:ascii="宋体" w:hAnsi="宋体" w:cs="宋体"/>
          <w:b/>
          <w:sz w:val="44"/>
          <w:highlight w:val="none"/>
        </w:rPr>
      </w:pPr>
      <w:r>
        <w:rPr>
          <w:rFonts w:hint="eastAsia" w:ascii="宋体" w:hAnsi="宋体" w:cs="宋体"/>
          <w:b/>
          <w:sz w:val="44"/>
          <w:highlight w:val="none"/>
        </w:rPr>
        <w:t xml:space="preserve">目 录</w:t>
      </w:r>
      <w:r/>
    </w:p>
    <w:p>
      <w:pPr>
        <w:jc w:val="center"/>
        <w:spacing w:line="520" w:lineRule="exact"/>
        <w:rPr>
          <w:rFonts w:hint="eastAsia" w:ascii="宋体" w:hAnsi="宋体" w:cs="宋体"/>
          <w:b/>
          <w:sz w:val="44"/>
          <w:szCs w:val="44"/>
          <w:highlight w:val="none"/>
        </w:rPr>
      </w:pPr>
      <w:r/>
      <w:bookmarkStart w:id="0" w:name="_Toc522790130"/>
      <w:r/>
      <w:r/>
    </w:p>
    <w:p>
      <w:pPr>
        <w:jc w:val="center"/>
        <w:spacing w:line="520" w:lineRule="exact"/>
        <w:rPr>
          <w:rFonts w:hint="eastAsia" w:ascii="宋体" w:hAnsi="宋体" w:cs="宋体"/>
          <w:b/>
          <w:sz w:val="30"/>
          <w:szCs w:val="30"/>
          <w:highlight w:val="none"/>
        </w:rPr>
      </w:pPr>
      <w:r>
        <w:rPr>
          <w:rFonts w:hint="eastAsia" w:ascii="宋体" w:hAnsi="宋体" w:cs="宋体"/>
          <w:b/>
          <w:sz w:val="30"/>
          <w:szCs w:val="30"/>
          <w:highlight w:val="none"/>
        </w:rPr>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TOC \o "1-3" \h \z \u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"_Toc523404695"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第一章  投标邀请</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"_Toc523404696"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第二章  投标人须知</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"_Toc523404697"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第三章  投标资料表</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"_Toc523404698"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第四章  评标标准</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"_Toc523404699"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第五章  拟签订的合同文本</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"_Toc523404700"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第六章  采购需求</w:t>
      </w:r>
      <w:r>
        <w:rPr>
          <w:rFonts w:hint="eastAsia" w:ascii="宋体" w:hAnsi="宋体" w:cs="宋体"/>
          <w:color w:val="000000"/>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begin"/>
      </w:r>
      <w:r>
        <w:rPr>
          <w:rFonts w:hint="eastAsia" w:ascii="宋体" w:hAnsi="宋体" w:cs="宋体"/>
          <w:color w:val="000000"/>
          <w:sz w:val="28"/>
          <w:szCs w:val="28"/>
          <w:highlight w:val="none"/>
          <w:lang w:eastAsia="zh-CN"/>
        </w:rPr>
        <w:instrText xml:space="preserve"> HYPERLINK \l "_Toc523404701" </w:instrText>
      </w:r>
      <w:r>
        <w:rPr>
          <w:rFonts w:hint="eastAsia" w:ascii="宋体" w:hAnsi="宋体" w:cs="宋体"/>
          <w:color w:val="000000"/>
          <w:sz w:val="28"/>
          <w:szCs w:val="28"/>
          <w:highlight w:val="none"/>
          <w:lang w:eastAsia="zh-CN"/>
        </w:rPr>
        <w:fldChar w:fldCharType="separate"/>
      </w:r>
      <w:r>
        <w:rPr>
          <w:rFonts w:hint="eastAsia" w:ascii="宋体" w:hAnsi="宋体" w:cs="宋体"/>
          <w:color w:val="000000"/>
          <w:sz w:val="28"/>
          <w:szCs w:val="28"/>
          <w:highlight w:val="none"/>
          <w:lang w:eastAsia="zh-CN"/>
        </w:rPr>
        <w:t xml:space="preserve">第七章  投标文件相关格</w:t>
      </w:r>
      <w:bookmarkStart w:id="1" w:name="_Hlt532911771"/>
      <w:r/>
      <w:bookmarkStart w:id="2" w:name="_Hlt532911772"/>
      <w:r>
        <w:rPr>
          <w:rFonts w:hint="eastAsia" w:ascii="宋体" w:hAnsi="宋体" w:cs="宋体"/>
          <w:color w:val="000000"/>
          <w:sz w:val="28"/>
          <w:szCs w:val="28"/>
          <w:highlight w:val="none"/>
          <w:lang w:eastAsia="zh-CN"/>
        </w:rPr>
        <w:t xml:space="preserve">式</w:t>
      </w:r>
      <w:bookmarkEnd w:id="1"/>
      <w:r/>
      <w:bookmarkEnd w:id="2"/>
      <w:r>
        <w:rPr>
          <w:rFonts w:hint="eastAsia" w:ascii="宋体" w:hAnsi="宋体" w:cs="宋体"/>
          <w:color w:val="000000"/>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highlight w:val="none"/>
          <w:lang w:eastAsia="zh-CN"/>
        </w:rPr>
        <w:outlineLvl w:val="9"/>
      </w:pPr>
      <w:r>
        <w:rPr>
          <w:rFonts w:hint="eastAsia" w:ascii="宋体" w:hAnsi="宋体" w:cs="宋体"/>
          <w:color w:val="000000"/>
          <w:sz w:val="28"/>
          <w:szCs w:val="28"/>
          <w:highlight w:val="none"/>
          <w:lang w:eastAsia="zh-CN"/>
        </w:rPr>
        <w:fldChar w:fldCharType="end"/>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spacing w:line="520" w:lineRule="exact"/>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line="520" w:lineRule="exact"/>
        <w:rPr>
          <w:rFonts w:hint="eastAsia" w:ascii="宋体" w:hAnsi="宋体" w:eastAsia="宋体" w:cs="宋体"/>
          <w:b/>
          <w:sz w:val="44"/>
          <w:szCs w:val="44"/>
          <w:highlight w:val="none"/>
          <w:lang w:eastAsia="zh-CN"/>
        </w:rPr>
      </w:pPr>
      <w:r>
        <w:rPr>
          <w:rFonts w:hint="eastAsia" w:ascii="宋体" w:hAnsi="宋体" w:cs="宋体"/>
          <w:b/>
          <w:sz w:val="44"/>
          <w:szCs w:val="44"/>
          <w:highlight w:val="none"/>
        </w:rPr>
        <w:br w:type="page" w:clear="all"/>
      </w:r>
      <w:r/>
    </w:p>
    <w:p>
      <w:pPr>
        <w:jc w:val="center"/>
        <w:spacing w:line="520" w:lineRule="exact"/>
        <w:rPr>
          <w:rFonts w:hint="eastAsia" w:ascii="宋体" w:hAnsi="宋体" w:cs="宋体"/>
          <w:b/>
          <w:sz w:val="44"/>
          <w:szCs w:val="44"/>
          <w:highlight w:val="none"/>
          <w:lang w:eastAsia="zh-CN"/>
        </w:rPr>
      </w:pPr>
      <w:r>
        <w:rPr>
          <w:rFonts w:hint="eastAsia" w:ascii="宋体" w:hAnsi="宋体" w:cs="宋体"/>
          <w:b/>
          <w:sz w:val="44"/>
          <w:szCs w:val="44"/>
          <w:highlight w:val="none"/>
          <w:lang w:eastAsia="zh-CN"/>
        </w:rPr>
        <w:t xml:space="preserve">徐州市市场监督管理局食品安全监督抽检</w:t>
      </w:r>
      <w:r/>
    </w:p>
    <w:p>
      <w:pPr>
        <w:jc w:val="center"/>
        <w:spacing w:line="520" w:lineRule="exact"/>
        <w:rPr>
          <w:rFonts w:hint="eastAsia" w:ascii="宋体" w:hAnsi="宋体" w:cs="宋体"/>
          <w:b/>
          <w:color w:val="ff0000"/>
          <w:sz w:val="44"/>
          <w:szCs w:val="44"/>
          <w:highlight w:val="none"/>
        </w:rPr>
      </w:pPr>
      <w:r>
        <w:rPr>
          <w:rFonts w:hint="eastAsia" w:ascii="宋体" w:hAnsi="宋体" w:cs="宋体"/>
          <w:b/>
          <w:color w:val="000000"/>
          <w:sz w:val="44"/>
          <w:szCs w:val="44"/>
          <w:highlight w:val="none"/>
        </w:rPr>
        <w:t xml:space="preserve">招标文件</w:t>
      </w:r>
      <w:r>
        <w:rPr>
          <w:rFonts w:hint="eastAsia" w:ascii="宋体" w:hAnsi="宋体" w:cs="宋体"/>
          <w:b/>
          <w:color w:val="ff0000"/>
          <w:sz w:val="30"/>
          <w:szCs w:val="30"/>
          <w:highlight w:val="none"/>
        </w:rPr>
        <w:t xml:space="preserve"> </w:t>
      </w:r>
      <w:r/>
    </w:p>
    <w:p>
      <w:pPr>
        <w:rPr>
          <w:rFonts w:hint="eastAsia" w:ascii="宋体" w:hAnsi="宋体" w:cs="宋体"/>
          <w:b/>
          <w:sz w:val="30"/>
          <w:szCs w:val="30"/>
          <w:highlight w:val="none"/>
        </w:rPr>
      </w:pPr>
      <w:r>
        <w:rPr>
          <w:rFonts w:hint="eastAsia" w:ascii="宋体" w:hAnsi="宋体" w:cs="宋体"/>
          <w:b/>
          <w:sz w:val="30"/>
          <w:szCs w:val="30"/>
          <w:highlight w:val="none"/>
        </w:rPr>
        <w:t xml:space="preserve">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firstLine="480"/>
        <w:pageBreakBefore w:val="0"/>
        <w:spacing w:line="36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800"/>
        <w:ind w:left="0" w:firstLine="562"/>
        <w:pageBreakBefore w:val="0"/>
        <w:spacing w:line="520" w:lineRule="exact"/>
        <w:widowControl w:val="off"/>
        <w:rPr>
          <w:rFonts w:hint="eastAsia" w:ascii="宋体" w:hAnsi="宋体" w:eastAsia="宋体" w:cs="宋体"/>
          <w:sz w:val="28"/>
          <w:szCs w:val="28"/>
          <w:highlight w:val="none"/>
        </w:rPr>
      </w:pPr>
      <w:r/>
      <w:bookmarkStart w:id="3" w:name="_Toc523404695"/>
      <w:r>
        <w:rPr>
          <w:rFonts w:hint="eastAsia" w:ascii="宋体" w:hAnsi="宋体" w:eastAsia="宋体" w:cs="宋体"/>
          <w:sz w:val="28"/>
          <w:szCs w:val="28"/>
          <w:highlight w:val="none"/>
        </w:rPr>
        <w:t xml:space="preserve">第一章  投标邀请</w:t>
      </w:r>
      <w:bookmarkEnd w:id="3"/>
      <w:r/>
      <w:r/>
    </w:p>
    <w:p>
      <w:pPr>
        <w:ind w:left="0" w:firstLine="480"/>
        <w:jc w:val="center"/>
        <w:pageBreakBefore w:val="0"/>
        <w:spacing w:line="36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对</w:t>
      </w:r>
      <w:r>
        <w:rPr>
          <w:rFonts w:hint="eastAsia" w:ascii="宋体" w:hAnsi="宋体" w:cs="宋体"/>
          <w:sz w:val="24"/>
          <w:szCs w:val="24"/>
          <w:highlight w:val="none"/>
          <w:lang w:eastAsia="zh-CN"/>
        </w:rPr>
        <w:t xml:space="preserve">徐州市市场监督管理局</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”进行公开招标采购，现邀请符合相关条件的供应商投标。</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一、项目名称和项目编号</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(一)项目名称：</w:t>
      </w:r>
      <w:r>
        <w:rPr>
          <w:rFonts w:hint="eastAsia" w:ascii="宋体" w:hAnsi="宋体" w:cs="宋体"/>
          <w:sz w:val="24"/>
          <w:szCs w:val="24"/>
          <w:highlight w:val="none"/>
          <w:lang w:eastAsia="zh-CN"/>
        </w:rPr>
        <w:t xml:space="preserve">徐州市市场监督管理局食品安全监督抽检</w:t>
      </w:r>
      <w:r/>
    </w:p>
    <w:p>
      <w:pPr>
        <w:ind w:left="0" w:firstLine="480"/>
        <w:pageBreakBefore w:val="0"/>
        <w:spacing w:line="520" w:lineRule="exact"/>
        <w:widowControl w:val="off"/>
        <w:rPr>
          <w:rFonts w:hint="eastAsia" w:ascii="宋体" w:hAnsi="宋体" w:eastAsia="宋体" w:cs="宋体"/>
          <w:color w:val="ff0000"/>
          <w:sz w:val="24"/>
          <w:szCs w:val="24"/>
          <w:highlight w:val="none"/>
          <w:lang w:eastAsia="zh-CN"/>
        </w:rPr>
      </w:pPr>
      <w:r>
        <w:rPr>
          <w:rFonts w:hint="eastAsia" w:ascii="宋体" w:hAnsi="宋体" w:cs="宋体"/>
          <w:sz w:val="24"/>
          <w:szCs w:val="24"/>
          <w:highlight w:val="none"/>
        </w:rPr>
        <w:t xml:space="preserve">(二)项目编号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JSZC-320300-YMXM-G2024-0011</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二、对投标人的资格要求</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详见本项目公开招标公告。</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三、获取招标文件</w:t>
      </w:r>
      <w:bookmarkEnd w:id="0"/>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（一）潜在供应商访问电子招标投标交易平台的网络地址和方法：</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（1）登录 http://jszfcg.jsczt.cn/ ，或进入徐州政府采购网--业务工作--用户登录，点击“苏采云”进入系统。</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（二）采购代理机构将数据电文形式的招标文件加载至电子招标投标交易平台，供潜在供应商下载或者查阅。</w:t>
      </w:r>
      <w:r/>
    </w:p>
    <w:p>
      <w:pPr>
        <w:ind w:left="0" w:firstLine="480"/>
        <w:pageBreakBefore w:val="0"/>
        <w:spacing w:line="52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（三）售价：免费。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四、投标有关信息</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（一）投标截止时间：</w:t>
      </w:r>
      <w:r>
        <w:rPr>
          <w:rFonts w:hint="eastAsia" w:ascii="宋体" w:hAnsi="宋体" w:cs="宋体"/>
          <w:b/>
          <w:bCs/>
          <w:sz w:val="24"/>
          <w:szCs w:val="24"/>
          <w:highlight w:val="none"/>
          <w:lang w:eastAsia="zh-CN"/>
        </w:rPr>
        <w:t xml:space="preserve">2024年11月15日</w:t>
      </w:r>
      <w:r>
        <w:rPr>
          <w:rFonts w:hint="eastAsia" w:ascii="宋体" w:hAnsi="宋体" w:cs="宋体"/>
          <w:b/>
          <w:bCs/>
          <w:sz w:val="24"/>
          <w:szCs w:val="24"/>
          <w:highlight w:val="none"/>
        </w:rPr>
        <w:t xml:space="preserve">北京时间09:30</w:t>
      </w:r>
      <w:r>
        <w:rPr>
          <w:rFonts w:hint="eastAsia" w:ascii="宋体" w:hAnsi="宋体" w:cs="宋体"/>
          <w:sz w:val="24"/>
          <w:szCs w:val="24"/>
          <w:highlight w:val="none"/>
        </w:rPr>
        <w:t xml:space="preserve">。</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（二）开标时间：</w:t>
      </w:r>
      <w:r>
        <w:rPr>
          <w:rFonts w:hint="eastAsia" w:ascii="宋体" w:hAnsi="宋体" w:cs="宋体"/>
          <w:b/>
          <w:bCs/>
          <w:sz w:val="24"/>
          <w:szCs w:val="24"/>
          <w:highlight w:val="none"/>
          <w:lang w:eastAsia="zh-CN"/>
        </w:rPr>
        <w:t xml:space="preserve">2024年11月15日</w:t>
      </w:r>
      <w:r>
        <w:rPr>
          <w:rFonts w:hint="eastAsia" w:ascii="宋体" w:hAnsi="宋体" w:cs="宋体"/>
          <w:b/>
          <w:bCs/>
          <w:sz w:val="24"/>
          <w:szCs w:val="24"/>
          <w:highlight w:val="none"/>
        </w:rPr>
        <w:t xml:space="preserve">北京时间09:30</w:t>
      </w:r>
      <w:r>
        <w:rPr>
          <w:rFonts w:hint="eastAsia" w:ascii="宋体" w:hAnsi="宋体" w:cs="宋体"/>
          <w:sz w:val="24"/>
          <w:szCs w:val="24"/>
          <w:highlight w:val="none"/>
        </w:rPr>
        <w:t xml:space="preserve">。</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五、采购人</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（一）名称：</w:t>
      </w:r>
      <w:r>
        <w:rPr>
          <w:rFonts w:hint="eastAsia" w:ascii="宋体" w:hAnsi="宋体" w:cs="宋体"/>
          <w:sz w:val="24"/>
          <w:szCs w:val="24"/>
          <w:highlight w:val="none"/>
          <w:lang w:eastAsia="zh-CN"/>
        </w:rPr>
        <w:t xml:space="preserve">徐州市市场监督管理局</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（二）地址：</w:t>
      </w:r>
      <w:r>
        <w:rPr>
          <w:rFonts w:hint="eastAsia" w:ascii="宋体" w:hAnsi="宋体" w:cs="宋体"/>
          <w:color w:val="000000"/>
          <w:sz w:val="24"/>
          <w:szCs w:val="24"/>
          <w:highlight w:val="none"/>
          <w:lang w:eastAsia="zh-CN"/>
        </w:rPr>
        <w:t xml:space="preserve">徐州市云龙区新安路11号</w:t>
      </w:r>
      <w:r>
        <w:rPr>
          <w:rFonts w:ascii="宋体" w:hAnsi="宋体" w:cs="宋体"/>
          <w:color w:val="ff0000"/>
          <w:sz w:val="24"/>
          <w:szCs w:val="24"/>
          <w:highlight w:val="none"/>
        </w:rPr>
        <w:t xml:space="preserve"> </w:t>
      </w:r>
      <w:r/>
    </w:p>
    <w:p>
      <w:pPr>
        <w:ind w:left="0" w:firstLine="480"/>
        <w:pageBreakBefore w:val="0"/>
        <w:spacing w:line="520" w:lineRule="exact"/>
        <w:widowControl w:val="off"/>
        <w:rPr>
          <w:rFonts w:hint="eastAsia" w:ascii="宋体" w:hAnsi="宋体" w:cs="宋体"/>
          <w:sz w:val="24"/>
          <w:szCs w:val="24"/>
          <w:highlight w:val="none"/>
          <w:lang w:eastAsia="zh-CN"/>
        </w:rPr>
      </w:pPr>
      <w:r>
        <w:rPr>
          <w:rFonts w:hint="eastAsia" w:ascii="宋体" w:hAnsi="宋体" w:cs="宋体"/>
          <w:sz w:val="24"/>
          <w:szCs w:val="24"/>
          <w:highlight w:val="none"/>
        </w:rPr>
        <w:t xml:space="preserve">（三）联系方法：</w:t>
      </w:r>
      <w:r>
        <w:rPr>
          <w:rFonts w:hint="eastAsia" w:ascii="宋体" w:hAnsi="宋体" w:cs="宋体"/>
          <w:sz w:val="24"/>
          <w:szCs w:val="24"/>
          <w:highlight w:val="none"/>
          <w:lang w:val="en-US" w:eastAsia="zh-CN"/>
        </w:rPr>
        <w:t xml:space="preserve">0516-69859230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（四）采购项目联系人：</w:t>
      </w:r>
      <w:r>
        <w:rPr>
          <w:rFonts w:hint="eastAsia" w:ascii="宋体" w:hAnsi="宋体" w:cs="宋体"/>
          <w:sz w:val="24"/>
          <w:szCs w:val="24"/>
          <w:highlight w:val="none"/>
          <w:lang w:eastAsia="zh-CN"/>
        </w:rPr>
        <w:t xml:space="preserve">黄小凤</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p>
    <w:p>
      <w:pPr>
        <w:ind w:left="0" w:firstLine="48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六、采购代理机构</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（一）名称：</w:t>
      </w:r>
      <w:r>
        <w:rPr>
          <w:rFonts w:hint="eastAsia" w:ascii="宋体" w:hAnsi="宋体" w:cs="宋体"/>
          <w:sz w:val="24"/>
          <w:szCs w:val="24"/>
          <w:highlight w:val="none"/>
          <w:lang w:eastAsia="zh-CN"/>
        </w:rPr>
        <w:t xml:space="preserve">永明项目管理有限公司</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（二）地址：</w:t>
      </w:r>
      <w:r>
        <w:rPr>
          <w:rFonts w:hint="eastAsia" w:ascii="宋体" w:hAnsi="宋体" w:cs="宋体"/>
          <w:sz w:val="24"/>
          <w:szCs w:val="24"/>
          <w:highlight w:val="none"/>
          <w:lang w:eastAsia="zh-CN"/>
        </w:rPr>
        <w:t xml:space="preserve">江苏省徐州市云龙区绿地商务城蓝海officeA座21楼</w:t>
      </w:r>
      <w:r/>
    </w:p>
    <w:p>
      <w:pPr>
        <w:ind w:left="0" w:firstLine="48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（三）联系方法：</w:t>
      </w:r>
      <w:r>
        <w:rPr>
          <w:rFonts w:hint="eastAsia" w:ascii="宋体" w:hAnsi="宋体" w:cs="宋体"/>
          <w:sz w:val="24"/>
          <w:szCs w:val="24"/>
          <w:highlight w:val="none"/>
          <w:lang w:eastAsia="zh-CN"/>
        </w:rPr>
        <w:t xml:space="preserve">0516-</w:t>
      </w:r>
      <w:r>
        <w:rPr>
          <w:rFonts w:hint="eastAsia" w:ascii="宋体" w:hAnsi="宋体" w:cs="宋体"/>
          <w:sz w:val="24"/>
          <w:szCs w:val="24"/>
          <w:highlight w:val="none"/>
          <w:lang w:val="en-US" w:eastAsia="zh-CN"/>
        </w:rPr>
        <w:t xml:space="preserve">83333882</w:t>
      </w:r>
      <w:r/>
    </w:p>
    <w:p>
      <w:pPr>
        <w:ind w:left="0" w:firstLine="480"/>
        <w:pageBreakBefore w:val="0"/>
        <w:spacing w:line="52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（四）采购项目联系人：</w:t>
      </w:r>
      <w:r>
        <w:rPr>
          <w:rFonts w:hint="eastAsia" w:ascii="宋体" w:hAnsi="宋体" w:cs="宋体"/>
          <w:sz w:val="24"/>
          <w:szCs w:val="24"/>
          <w:highlight w:val="none"/>
          <w:lang w:val="en-US" w:eastAsia="zh-CN"/>
        </w:rPr>
        <w:t xml:space="preserve">张卉</w:t>
      </w:r>
      <w:r/>
    </w:p>
    <w:p>
      <w:pPr>
        <w:ind w:firstLine="600"/>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885"/>
        <w:rPr>
          <w:rFonts w:ascii="宋体" w:hAnsi="宋体" w:eastAsia="宋体"/>
          <w:highlight w:val="none"/>
        </w:rPr>
      </w:pPr>
      <w:r/>
      <w:bookmarkStart w:id="4" w:name="_Toc523404696"/>
      <w:r/>
      <w:bookmarkStart w:id="5" w:name="_Toc522790131"/>
      <w:r>
        <w:rPr>
          <w:rFonts w:hint="eastAsia" w:ascii="宋体" w:hAnsi="宋体" w:eastAsia="宋体" w:cs="宋体"/>
          <w:highlight w:val="none"/>
        </w:rPr>
        <w:br w:type="page" w:clear="all"/>
      </w:r>
      <w:bookmarkEnd w:id="4"/>
      <w:r/>
      <w:bookmarkEnd w:id="5"/>
      <w:r/>
      <w:bookmarkStart w:id="6" w:name="_Toc523404697"/>
      <w:r/>
      <w:bookmarkStart w:id="7" w:name="_Toc522790132"/>
      <w:r>
        <w:rPr>
          <w:rFonts w:ascii="宋体" w:hAnsi="宋体" w:eastAsia="宋体"/>
          <w:highlight w:val="none"/>
        </w:rPr>
        <w:t xml:space="preserve">第二章  投标人须知</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一、总则</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（一）采购人。采购人即指依法进行政府采购的国家机关、事业单位和团体组织。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（二）政府招标采购方式。政府采购货物或服务（以下简称“货物服务”）的招标方式，分为公开招标和邀请招标。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（五）采购人委托采购代理机构代理招标的，采购代理机构必须在采购人委托的范围内依法开展采购活动。</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（六）投标人的资格条件：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投标人是指响应招标、参加投标竞争的法人、其他组织或者自然人。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投标人授权代表系指法定代表人或受法人委托的受托人。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（七）投标费用：投标人应承担所有与准备和参加投标有关的费用。无论投标的结果如何，采购代理机构对上述费用不承担任何责任和义务。</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二、招标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（八）招标文件应包括以下内容：</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第一章，投标邀请；</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第二章，投标人须知；</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第三章，投标资料表；</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第四章，评标标准；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第五章，拟签订的合同文本；</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第六章，采购需求；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第七章，投标文件相关格式。</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（九）招标文件澄清或者修改：</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现场考察以本文件第三章《投标资料表》中的要求为准。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开标前答疑会以本文件第三章《投标资料表》中的要求为准。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三、投标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（十）投标人应当按照招标文件的要求编制投标文件。投标文件应对招标文件提出的要求和条件作出实质性响应。</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（十二）投标文件的构成：</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投标文件的构成以本文件第三章《投标资料表》中的要求为准。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投标人应当提交的资格、资信证明文件，以本文件第三章《投标资料表》中的所提要求为准。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（十三）投标函和价格表、商务条件、交货和提供服务的时间：</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投标函和价格表的要求见本章（十二）、（十三），格式见本文件第七章《投标文件相关格式》中《投标函》和《开标一览表》。</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商务条件以本文件第三章《投标资料表》中的要求为准。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交货和提供服务的时间，以本文件第三章《投标资料表》中所提要求为准。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（十四）投标报价要求：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投标人应按照招标文件的要求报出分项价格和总价。</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投标人应按照招标文件的要求进行报价，如投标人作出偏离，应在《偏离表》中列出。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采购人不支付报价以外的任何费用。</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w:t>
      </w:r>
      <w:r>
        <w:rPr>
          <w:rFonts w:ascii="宋体" w:hAnsi="宋体"/>
          <w:sz w:val="24"/>
          <w:szCs w:val="24"/>
          <w:highlight w:val="none"/>
        </w:rPr>
        <w:t xml:space="preserve">投标人所报的价格，在合同执行过程中是固定的，不得以任何理由予以变更。投标人提交滑动价格的投标文件，在资格性、符合性检查时按照无效投标处理。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w:t>
      </w:r>
      <w:r>
        <w:rPr>
          <w:rFonts w:ascii="宋体" w:hAnsi="宋体"/>
          <w:sz w:val="24"/>
          <w:szCs w:val="24"/>
          <w:highlight w:val="none"/>
        </w:rPr>
        <w:t xml:space="preserve">投标人只能提交一个投标价格，投标人提交多个价格的投标文件，在资格性、符合性检查时按照无效投标处理。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（十五）投标货币。以本文件第三章《投标资料表》中所提要求为准。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（十六）投标有效期：</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投标有效期为开标之日后90天。采购人可以要求对投标有效期延长一次，但该延长期最长不得超过30天。</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如果采购人发出要求延长投标有效期的通知，并在投标有效期届满前，没有收到投标人同意的书面通知，则视为该投标人不接受上述延期的要求。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（十七）投标文件的编制要求和签署要求</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投标人应对 CA 证书妥善保管，如被他人盗用投标，因此带来的结果均由投标人自行承担。</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投标人应当对招标文件提出的要求和条件作出实质性响应，并在电子投标系统逐条应答。</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投标人应对要求提供的资格证明文件（如资质证书、资格证书）、技术资料（如白皮书、彩页、手册、检测报告等）扫描上传至投标系统。</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（十八）投标文件的盖章要求：</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投标文件的盖章要求，以本文件第三章《投标资料表》中所提要求为准。</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（二十二）本项目不允许分包。</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（二十三）投标人应当遵循公平竞争的原则，不得恶意串通，不得妨碍其他投标人的竞争行为，不得损害采购人或者其他投标人的合法权益。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在评标过程中发现投标人有上述情形的，评标委员会应当认定其投标无效，并书面报告本级财政部门。</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（二十四）有下列情形之一的，其投标无效。</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不同投标人的投标文件，由同一单位或者个人编制；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不同投标人委托同一单位或者个人办理投标事宜；</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不同投标人的投标文件中，所载明的项目管理成员或联系人为同一人；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w:t>
      </w:r>
      <w:r>
        <w:rPr>
          <w:rFonts w:ascii="宋体" w:hAnsi="宋体"/>
          <w:sz w:val="24"/>
          <w:szCs w:val="24"/>
          <w:highlight w:val="none"/>
        </w:rPr>
        <w:t xml:space="preserve">不同投标人的投标文件，异常一致或者投标报价呈规律性差异；</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w:t>
      </w:r>
      <w:r>
        <w:rPr>
          <w:rFonts w:ascii="宋体" w:hAnsi="宋体"/>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w:t>
      </w:r>
      <w:r>
        <w:rPr>
          <w:rFonts w:ascii="宋体" w:hAnsi="宋体"/>
          <w:sz w:val="24"/>
          <w:szCs w:val="24"/>
          <w:highlight w:val="none"/>
        </w:rPr>
        <w:t xml:space="preserve">电子投标文件未按规定期限投标的；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7</w:t>
      </w:r>
      <w:r>
        <w:rPr>
          <w:rFonts w:hint="eastAsia" w:ascii="宋体" w:hAnsi="宋体"/>
          <w:sz w:val="24"/>
          <w:szCs w:val="24"/>
          <w:highlight w:val="none"/>
        </w:rPr>
        <w:t xml:space="preserve">.</w:t>
      </w:r>
      <w:r>
        <w:rPr>
          <w:rFonts w:ascii="宋体" w:hAnsi="宋体"/>
          <w:sz w:val="24"/>
          <w:szCs w:val="24"/>
          <w:highlight w:val="none"/>
        </w:rPr>
        <w:t xml:space="preserve">电子投标文件未按招标文件要求签章的；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w:t>
      </w:r>
      <w:r>
        <w:rPr>
          <w:rFonts w:ascii="宋体" w:hAnsi="宋体"/>
          <w:sz w:val="24"/>
          <w:szCs w:val="24"/>
          <w:highlight w:val="none"/>
        </w:rPr>
        <w:t xml:space="preserve">投标人未在规定时间内解密电子投标文件的；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9</w:t>
      </w:r>
      <w:r>
        <w:rPr>
          <w:rFonts w:hint="eastAsia" w:ascii="宋体" w:hAnsi="宋体"/>
          <w:sz w:val="24"/>
          <w:szCs w:val="24"/>
          <w:highlight w:val="none"/>
        </w:rPr>
        <w:t xml:space="preserve">.</w:t>
      </w:r>
      <w:r>
        <w:rPr>
          <w:rFonts w:ascii="宋体" w:hAnsi="宋体"/>
          <w:sz w:val="24"/>
          <w:szCs w:val="24"/>
          <w:highlight w:val="none"/>
        </w:rPr>
        <w:t xml:space="preserve">投标文件未按招标文件规定的内容和要求填写的；没有在投标系统指定位置上传对应文件、材料的；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10</w:t>
      </w:r>
      <w:r>
        <w:rPr>
          <w:rFonts w:hint="eastAsia" w:ascii="宋体" w:hAnsi="宋体"/>
          <w:sz w:val="24"/>
          <w:szCs w:val="24"/>
          <w:highlight w:val="none"/>
        </w:rPr>
        <w:t xml:space="preserve">.</w:t>
      </w:r>
      <w:r>
        <w:rPr>
          <w:rFonts w:ascii="宋体" w:hAnsi="宋体"/>
          <w:sz w:val="24"/>
          <w:szCs w:val="24"/>
          <w:highlight w:val="none"/>
        </w:rPr>
        <w:t xml:space="preserve">不具备招标文件中规定的资格要求的；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11</w:t>
      </w:r>
      <w:r>
        <w:rPr>
          <w:rFonts w:hint="eastAsia" w:ascii="宋体" w:hAnsi="宋体"/>
          <w:sz w:val="24"/>
          <w:szCs w:val="24"/>
          <w:highlight w:val="none"/>
        </w:rPr>
        <w:t xml:space="preserve">.</w:t>
      </w:r>
      <w:r>
        <w:rPr>
          <w:rFonts w:ascii="宋体" w:hAnsi="宋体"/>
          <w:sz w:val="24"/>
          <w:szCs w:val="24"/>
          <w:highlight w:val="none"/>
        </w:rPr>
        <w:t xml:space="preserve">报价超过招标文件中规定的预算金额或者最高限价的；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12</w:t>
      </w:r>
      <w:r>
        <w:rPr>
          <w:rFonts w:hint="eastAsia" w:ascii="宋体" w:hAnsi="宋体"/>
          <w:sz w:val="24"/>
          <w:szCs w:val="24"/>
          <w:highlight w:val="none"/>
        </w:rPr>
        <w:t xml:space="preserve">.</w:t>
      </w:r>
      <w:r>
        <w:rPr>
          <w:rFonts w:ascii="宋体" w:hAnsi="宋体"/>
          <w:sz w:val="24"/>
          <w:szCs w:val="24"/>
          <w:highlight w:val="none"/>
        </w:rPr>
        <w:t xml:space="preserve">投标文件含有采购人不能接受的附加条件的；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w:t>
      </w:r>
      <w:r>
        <w:rPr>
          <w:rFonts w:ascii="宋体" w:hAnsi="宋体"/>
          <w:sz w:val="24"/>
          <w:szCs w:val="24"/>
          <w:highlight w:val="none"/>
        </w:rPr>
        <w:t xml:space="preserve">法律、法规和招标文件规定的其他无效情形。</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四、开标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（二十五）开标：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1.开标时间及地点。开标应当在招标文件确定的提交投标文件截止时间的同一时间公开进行；开标地点应当为招标文件中预先确定的地点。</w:t>
      </w:r>
      <w:r/>
    </w:p>
    <w:p>
      <w:pPr>
        <w:pStyle w:val="708"/>
        <w:ind w:left="0" w:firstLine="480"/>
        <w:keepLines w:val="0"/>
        <w:keepNext w:val="0"/>
        <w:pageBreakBefore w:val="0"/>
        <w:spacing w:line="520" w:lineRule="exact"/>
        <w:rPr>
          <w:rFonts w:ascii="宋体" w:hAnsi="宋体"/>
          <w:sz w:val="24"/>
          <w:szCs w:val="24"/>
          <w:highlight w:val="none"/>
          <w:shd w:val="clear" w:color="auto" w:fill="ffffff"/>
        </w:rPr>
      </w:pPr>
      <w:r>
        <w:rPr>
          <w:rFonts w:ascii="宋体" w:hAnsi="宋体"/>
          <w:sz w:val="24"/>
          <w:szCs w:val="24"/>
          <w:highlight w:val="none"/>
          <w:shd w:val="clear" w:color="auto" w:fill="ffffff"/>
        </w:rPr>
        <w:t xml:space="preserve">2.由电子招标投标交易平台主持，邀请投标人参加。</w:t>
      </w:r>
      <w:r/>
    </w:p>
    <w:p>
      <w:pPr>
        <w:pStyle w:val="708"/>
        <w:ind w:left="0" w:firstLine="480"/>
        <w:keepLines w:val="0"/>
        <w:keepNext w:val="0"/>
        <w:pageBreakBefore w:val="0"/>
        <w:spacing w:line="520" w:lineRule="exact"/>
        <w:rPr>
          <w:rFonts w:ascii="宋体" w:hAnsi="宋体"/>
          <w:sz w:val="24"/>
          <w:szCs w:val="24"/>
          <w:highlight w:val="none"/>
          <w:shd w:val="clear" w:color="auto" w:fill="ffffff"/>
        </w:rPr>
      </w:pPr>
      <w:r>
        <w:rPr>
          <w:rFonts w:ascii="宋体" w:hAnsi="宋体"/>
          <w:sz w:val="24"/>
          <w:szCs w:val="24"/>
          <w:highlight w:val="none"/>
          <w:shd w:val="clear" w:color="auto" w:fill="ffffff"/>
        </w:rPr>
        <w:t xml:space="preserve">3.所有投标单位使用 CA 证书在开标时间时，解密各自投标文件，投标人不足3家的，不得评标。</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shd w:val="clear" w:color="auto" w:fill="ffffff"/>
        </w:rPr>
        <w:t xml:space="preserve">4.投标人原因造成投标文件未</w:t>
      </w:r>
      <w:r>
        <w:rPr>
          <w:rFonts w:ascii="宋体" w:hAnsi="宋体"/>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五、评标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（二十六）公开招标采购项目开标结束后，采购人依法对投标人的资格进行审查。合格投标人不足3家的，不得评标。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1.评标工作由采购代理机构负责组织，并履行下列职责：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（2）宣布评标纪律；</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（3）公布投标人名单，告知评审专家应当回避的情形；</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（4）组织评标委员会推选评标组长（采购人代表不得担任组长）；</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（5）在评标期间采取必要的通讯管理措施，保证评标活动不受外界干扰；</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（6）根据评标委员会的要求介绍政府采购相关政策法规、招标文件；</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（8）核对评标结果，对有《</w:t>
      </w:r>
      <w:r>
        <w:rPr>
          <w:sz w:val="24"/>
          <w:szCs w:val="24"/>
          <w:highlight w:val="none"/>
        </w:rPr>
        <w:fldChar w:fldCharType="begin"/>
      </w:r>
      <w:r>
        <w:rPr>
          <w:sz w:val="24"/>
          <w:szCs w:val="24"/>
          <w:highlight w:val="none"/>
        </w:rPr>
        <w:instrText xml:space="preserve"> HYPERLINK "http://www.caigou2003.com/" \t "_blank" </w:instrText>
      </w:r>
      <w:r>
        <w:rPr>
          <w:sz w:val="24"/>
          <w:szCs w:val="24"/>
          <w:highlight w:val="none"/>
        </w:rPr>
        <w:fldChar w:fldCharType="separate"/>
      </w:r>
      <w:r>
        <w:rPr>
          <w:rFonts w:ascii="宋体" w:hAnsi="宋体"/>
          <w:sz w:val="24"/>
          <w:szCs w:val="24"/>
          <w:highlight w:val="none"/>
        </w:rPr>
        <w:t xml:space="preserve">政府采购</w:t>
      </w:r>
      <w:r>
        <w:rPr>
          <w:rFonts w:ascii="宋体" w:hAnsi="宋体"/>
          <w:sz w:val="24"/>
          <w:szCs w:val="24"/>
          <w:highlight w:val="none"/>
        </w:rPr>
        <w:fldChar w:fldCharType="end"/>
      </w:r>
      <w:r>
        <w:rPr>
          <w:rFonts w:ascii="宋体" w:hAnsi="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（9）评审工作完成后，按照规定向评审专家支付劳务报酬和异地评审差旅费，不得向评审专家以外的其他人员支付评审劳务报酬； </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（10）处理与评标有关的其他事项。</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2.评标委员会负责具体评标事务，并独立履行下列职责：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（1）审查、评价投标文件是否符合招标文件的商务、技术等实质性要求；</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（2）要求投标人对投标文件有关事项作出澄清或者说明；</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（3）对投标文件进行比较和评价；</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（4）确定中标候选人名单，以及根据采购人委托直接确定中标人；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（5）向采购人、采购代理机构或有关部门报告评标中发现的违法行为。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（二十七）评标方法分为最低评标价法和综合评分法。</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1.本项目的评标方法：见招标文件第三章《投标资料表》。</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2.本项目的评标标准：见招标文件第四章《评分标准》。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（二十八）评标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1.评标工作程序：</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（1）投标文件初审。</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①资格性审查。</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②符合性审查。</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（2）澄清有关问题。</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（3）比较与评价。</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（4）推荐中标候选供应商名单。</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（5）编写评审报告（评标报告）。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3.采用</w:t>
      </w:r>
      <w:r>
        <w:rPr>
          <w:sz w:val="24"/>
          <w:szCs w:val="24"/>
          <w:highlight w:val="none"/>
        </w:rPr>
        <w:fldChar w:fldCharType="begin"/>
      </w:r>
      <w:r>
        <w:rPr>
          <w:sz w:val="24"/>
          <w:szCs w:val="24"/>
          <w:highlight w:val="none"/>
        </w:rPr>
        <w:instrText xml:space="preserve"> HYPERLINK "http://lilun.caigou2003.com/recijiedu/2365668.html" \t "_blank" </w:instrText>
      </w:r>
      <w:r>
        <w:rPr>
          <w:sz w:val="24"/>
          <w:szCs w:val="24"/>
          <w:highlight w:val="none"/>
        </w:rPr>
        <w:fldChar w:fldCharType="separate"/>
      </w:r>
      <w:r>
        <w:rPr>
          <w:rFonts w:ascii="宋体" w:hAnsi="宋体"/>
          <w:sz w:val="24"/>
          <w:szCs w:val="24"/>
          <w:highlight w:val="none"/>
        </w:rPr>
        <w:t xml:space="preserve">最低评标价法</w:t>
      </w:r>
      <w:r>
        <w:rPr>
          <w:rFonts w:ascii="宋体" w:hAnsi="宋体"/>
          <w:sz w:val="24"/>
          <w:szCs w:val="24"/>
          <w:highlight w:val="none"/>
        </w:rPr>
        <w:fldChar w:fldCharType="end"/>
      </w:r>
      <w:r>
        <w:rPr>
          <w:rFonts w:ascii="宋体" w:hAnsi="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采用</w:t>
      </w:r>
      <w:r>
        <w:rPr>
          <w:sz w:val="24"/>
          <w:szCs w:val="24"/>
          <w:highlight w:val="none"/>
        </w:rPr>
        <w:fldChar w:fldCharType="begin"/>
      </w:r>
      <w:r>
        <w:rPr>
          <w:sz w:val="24"/>
          <w:szCs w:val="24"/>
          <w:highlight w:val="none"/>
        </w:rPr>
        <w:instrText xml:space="preserve"> HYPERLINK "http://lilun.caigou2003.com/recijiedu/2365667.html" \t "_blank" </w:instrText>
      </w:r>
      <w:r>
        <w:rPr>
          <w:sz w:val="24"/>
          <w:szCs w:val="24"/>
          <w:highlight w:val="none"/>
        </w:rPr>
        <w:fldChar w:fldCharType="separate"/>
      </w:r>
      <w:r>
        <w:rPr>
          <w:rFonts w:ascii="宋体" w:hAnsi="宋体"/>
          <w:sz w:val="24"/>
          <w:szCs w:val="24"/>
          <w:highlight w:val="none"/>
        </w:rPr>
        <w:t xml:space="preserve">综合评分法</w:t>
      </w:r>
      <w:r>
        <w:rPr>
          <w:rFonts w:ascii="宋体" w:hAnsi="宋体"/>
          <w:sz w:val="24"/>
          <w:szCs w:val="24"/>
          <w:highlight w:val="none"/>
        </w:rPr>
        <w:fldChar w:fldCharType="end"/>
      </w:r>
      <w:r>
        <w:rPr>
          <w:rFonts w:ascii="宋体" w:hAnsi="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非单一产品采购项目，多家投标人提供的核心产品品牌相同的，按前两款规定处理。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（二十九）投标文件报价出现前后不一致的，按照下列规定修正：</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1.投标文件中开标一览表（报价表）内容与投标文件中相应内容不一致的，以开标一览表（报价表）为准；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2.大写金额和小写金额不一致的，以大写金额为准；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3.单价金额小数点或者百分比有明显错位的，以开标一览表的总价为准，并修改单价；</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4.总价金额与按单价合计金额不一致的，以单价金额计算结果为准。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（三十二）废标条款：</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出现下列情形之一的，应予废标。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1.符合专业条件的供应商或者对招标文件作实质响应的供应商不足三家的；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2.出现影响采购公正的违法、违规行为的；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3.投标人的报价均超过了采购预算，采购人不能支付的；</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4.因重大变故，采购任务取消的。</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六、定标</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（三十三）采购代理机构应当在评标结束后2个工作日内将评标报告送采购人。</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（三十四）采购人应当自收到评标报告之日起5个工作日内，在评标报告确定的中标候选人名单中按顺序确定中标人。</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七、政府采购合同</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（三十六）签订政府采购合同（合同签订方式）：</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8"/>
        <w:ind w:left="0" w:firstLine="480"/>
        <w:jc w:val="left"/>
        <w:keepLines w:val="0"/>
        <w:keepNext w:val="0"/>
        <w:pageBreakBefore w:val="0"/>
        <w:spacing w:line="520" w:lineRule="exact"/>
        <w:widowControl/>
        <w:rPr>
          <w:rFonts w:ascii="宋体" w:hAnsi="宋体"/>
          <w:sz w:val="24"/>
          <w:szCs w:val="24"/>
          <w:highlight w:val="none"/>
        </w:rPr>
      </w:pPr>
      <w:r>
        <w:rPr>
          <w:rFonts w:ascii="宋体" w:hAnsi="宋体"/>
          <w:sz w:val="24"/>
          <w:szCs w:val="24"/>
          <w:highlight w:val="none"/>
        </w:rPr>
        <w:t xml:space="preserve">采购人不得向中标人提出任何不合理的要求作为签订合同的条件。</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4"/>
          <w:szCs w:val="24"/>
          <w:highlight w:val="none"/>
          <w:lang w:val="en-US" w:eastAsia="zh-CN"/>
        </w:rPr>
        <w:t xml:space="preserve">民法典</w:t>
      </w:r>
      <w:r>
        <w:rPr>
          <w:rFonts w:ascii="宋体" w:hAnsi="宋体"/>
          <w:sz w:val="24"/>
          <w:szCs w:val="24"/>
          <w:highlight w:val="none"/>
        </w:rPr>
        <w:t xml:space="preserve">》相关条款执行。</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（三十八）履约保证金：</w:t>
      </w:r>
      <w:r/>
    </w:p>
    <w:p>
      <w:pPr>
        <w:pStyle w:val="708"/>
        <w:ind w:left="0" w:firstLine="480"/>
        <w:jc w:val="left"/>
        <w:keepLines w:val="0"/>
        <w:keepNext w:val="0"/>
        <w:pageBreakBefore w:val="0"/>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要求详见</w:t>
      </w:r>
      <w:r>
        <w:rPr>
          <w:rFonts w:hint="eastAsia" w:ascii="宋体" w:hAnsi="宋体"/>
          <w:color w:val="000000"/>
          <w:sz w:val="24"/>
          <w:szCs w:val="24"/>
          <w:highlight w:val="none"/>
          <w:lang w:val="en-US" w:eastAsia="zh-CN"/>
        </w:rPr>
        <w:t xml:space="preserve">第三章</w:t>
      </w:r>
      <w:r>
        <w:rPr>
          <w:rFonts w:ascii="宋体" w:hAnsi="宋体"/>
          <w:color w:val="000000"/>
          <w:sz w:val="24"/>
          <w:szCs w:val="24"/>
          <w:highlight w:val="none"/>
        </w:rPr>
        <w:t xml:space="preserve">（三十八）的规定。</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（三十九）腐败和欺诈行为：</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1.采购代理机构、采购人、投标人等参与招投标的各方，均应在招标、采购、合同执行等过程中保持廉洁和最高的道德水准。</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（1）腐败和欺诈行为的含义：</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（2）如果被推荐的中标人有腐败和欺诈行为，将取消其中标资格。</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708"/>
        <w:ind w:left="0" w:firstLine="480"/>
        <w:jc w:val="left"/>
        <w:keepLines w:val="0"/>
        <w:keepNext w:val="0"/>
        <w:pageBreakBefore w:val="0"/>
        <w:spacing w:line="520" w:lineRule="exact"/>
        <w:rPr>
          <w:rFonts w:hint="eastAsia" w:hAnsi="宋体" w:eastAsia="宋体"/>
          <w:sz w:val="24"/>
          <w:szCs w:val="24"/>
          <w:highlight w:val="none"/>
          <w:u w:val="none"/>
          <w:lang w:val="en-US" w:eastAsia="zh-CN"/>
        </w:rPr>
      </w:pPr>
      <w:r>
        <w:rPr>
          <w:rFonts w:hint="eastAsia" w:hAnsi="宋体" w:eastAsia="宋体"/>
          <w:sz w:val="24"/>
          <w:szCs w:val="24"/>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八、询问和质疑</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（四十）询问和质疑</w:t>
      </w:r>
      <w:r/>
    </w:p>
    <w:p>
      <w:pPr>
        <w:pStyle w:val="708"/>
        <w:ind w:left="0" w:firstLine="480"/>
        <w:jc w:val="left"/>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8"/>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九、</w:t>
      </w:r>
      <w:r>
        <w:rPr>
          <w:rFonts w:ascii="宋体" w:hAnsi="宋体"/>
          <w:sz w:val="24"/>
          <w:szCs w:val="24"/>
          <w:highlight w:val="none"/>
        </w:rPr>
        <w:t xml:space="preserve">电子招标投标交易平台</w:t>
      </w:r>
      <w:r/>
    </w:p>
    <w:p>
      <w:pPr>
        <w:pStyle w:val="708"/>
        <w:ind w:left="0" w:firstLine="480"/>
        <w:keepLines w:val="0"/>
        <w:keepNext w:val="0"/>
        <w:pageBreakBefore w:val="0"/>
        <w:spacing w:line="520" w:lineRule="exact"/>
        <w:rPr>
          <w:rFonts w:ascii="宋体" w:hAnsi="宋体"/>
          <w:sz w:val="24"/>
          <w:szCs w:val="24"/>
          <w:highlight w:val="none"/>
        </w:rPr>
      </w:pPr>
      <w:r>
        <w:rPr>
          <w:rFonts w:ascii="宋体" w:hAnsi="宋体"/>
          <w:sz w:val="24"/>
          <w:szCs w:val="24"/>
          <w:highlight w:val="none"/>
        </w:rPr>
        <w:t xml:space="preserve">（四十一）电子招标投标交易平台（即“苏采云”系统，网址：</w:t>
      </w:r>
      <w:r>
        <w:rPr>
          <w:sz w:val="24"/>
          <w:szCs w:val="24"/>
          <w:highlight w:val="none"/>
        </w:rPr>
        <w:fldChar w:fldCharType="begin"/>
      </w:r>
      <w:r>
        <w:rPr>
          <w:sz w:val="24"/>
          <w:szCs w:val="24"/>
          <w:highlight w:val="none"/>
        </w:rPr>
        <w:instrText xml:space="preserve"> HYPERLINK "http://jszfcg.jsczt.cn/" \o "http://jszfcg.jsczt.cn/" </w:instrText>
      </w:r>
      <w:r>
        <w:rPr>
          <w:sz w:val="24"/>
          <w:szCs w:val="24"/>
          <w:highlight w:val="none"/>
        </w:rPr>
        <w:fldChar w:fldCharType="separate"/>
      </w:r>
      <w:r>
        <w:rPr>
          <w:rFonts w:ascii="宋体" w:hAnsi="宋体"/>
          <w:sz w:val="24"/>
          <w:szCs w:val="24"/>
          <w:highlight w:val="none"/>
        </w:rPr>
        <w:t xml:space="preserve">http://jszfcg.jsczt.cn/</w:t>
      </w:r>
      <w:r>
        <w:rPr>
          <w:rFonts w:ascii="宋体" w:hAnsi="宋体"/>
          <w:sz w:val="24"/>
          <w:szCs w:val="24"/>
          <w:highlight w:val="none"/>
        </w:rPr>
        <w:fldChar w:fldCharType="end"/>
      </w:r>
      <w:r>
        <w:rPr>
          <w:rFonts w:ascii="宋体" w:hAnsi="宋体"/>
          <w:sz w:val="24"/>
          <w:szCs w:val="24"/>
          <w:highlight w:val="none"/>
        </w:rPr>
        <w:t xml:space="preserve">）相关要求是本招标文件的组成部分。</w:t>
      </w:r>
      <w:r/>
    </w:p>
    <w:p>
      <w:pPr>
        <w:ind w:firstLine="600"/>
        <w:jc w:val="center"/>
        <w:spacing w:line="520" w:lineRule="exact"/>
        <w:rPr>
          <w:rFonts w:hint="eastAsia" w:ascii="宋体" w:hAnsi="宋体" w:cs="宋体"/>
          <w:sz w:val="28"/>
          <w:szCs w:val="28"/>
          <w:highlight w:val="none"/>
        </w:rPr>
      </w:pPr>
      <w:r>
        <w:rPr>
          <w:rFonts w:hint="eastAsia" w:ascii="宋体" w:hAnsi="宋体" w:cs="宋体"/>
          <w:sz w:val="30"/>
          <w:szCs w:val="30"/>
          <w:highlight w:val="none"/>
        </w:rPr>
        <w:br w:type="page" w:clear="all"/>
      </w:r>
      <w:r>
        <w:rPr>
          <w:rFonts w:hint="eastAsia" w:ascii="宋体" w:hAnsi="宋体" w:cs="宋体"/>
          <w:b/>
          <w:bCs/>
          <w:sz w:val="28"/>
          <w:szCs w:val="28"/>
          <w:highlight w:val="none"/>
        </w:rPr>
        <w:t xml:space="preserve">第三章  投标资料表</w:t>
      </w:r>
      <w:bookmarkEnd w:id="6"/>
      <w:r/>
      <w:bookmarkEnd w:id="7"/>
      <w:r/>
      <w:r/>
    </w:p>
    <w:p>
      <w:pPr>
        <w:ind w:firstLine="600"/>
        <w:jc w:val="center"/>
        <w:spacing w:line="360" w:lineRule="exact"/>
        <w:rPr>
          <w:rFonts w:hint="eastAsia" w:ascii="宋体" w:hAnsi="宋体" w:cs="宋体"/>
          <w:sz w:val="30"/>
          <w:szCs w:val="30"/>
          <w:highlight w:val="none"/>
        </w:rPr>
      </w:pPr>
      <w:r>
        <w:rPr>
          <w:rFonts w:hint="eastAsia" w:ascii="宋体" w:hAnsi="宋体" w:cs="宋体"/>
          <w:sz w:val="30"/>
          <w:szCs w:val="30"/>
          <w:highlight w:val="none"/>
        </w:rPr>
      </w:r>
      <w:r/>
    </w:p>
    <w:p>
      <w:pPr>
        <w:pStyle w:val="708"/>
        <w:ind w:firstLine="560"/>
        <w:jc w:val="lef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highlight w:val="none"/>
        </w:rPr>
      </w:pPr>
      <w:r>
        <w:rPr>
          <w:rFonts w:hint="eastAsia" w:ascii="宋体" w:hAnsi="宋体" w:cs="宋体"/>
          <w:highlight w:val="none"/>
        </w:rPr>
      </w:r>
      <w:r/>
    </w:p>
    <w:tbl>
      <w:tblPr>
        <w:tblStyle w:val="679"/>
        <w:tblW w:w="0" w:type="auto"/>
        <w:tblInd w:w="-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jc w:val="cente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条款项号</w:t>
            </w:r>
            <w:r/>
          </w:p>
        </w:tc>
        <w:tc>
          <w:tcPr>
            <w:tcW w:w="8685" w:type="dxa"/>
            <w:vAlign w:val="top"/>
            <w:textDirection w:val="lrTb"/>
            <w:noWrap w:val="false"/>
          </w:tcPr>
          <w:p>
            <w:pPr>
              <w:jc w:val="center"/>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内    容</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总则</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w:t>
            </w:r>
            <w:r/>
          </w:p>
        </w:tc>
        <w:tc>
          <w:tcPr>
            <w:tcW w:w="8685"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本项目采购人：</w:t>
            </w:r>
            <w:r>
              <w:rPr>
                <w:rFonts w:hint="eastAsia" w:ascii="宋体" w:hAnsi="宋体" w:cs="宋体"/>
                <w:sz w:val="24"/>
                <w:szCs w:val="24"/>
                <w:highlight w:val="none"/>
                <w:lang w:eastAsia="zh-CN"/>
              </w:rPr>
              <w:t xml:space="preserve">徐州市市场监督管理局</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本次采购采用的政府采购方式：公开招标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采购人确定的采购项目属性：服务</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8685" w:type="dxa"/>
            <w:vAlign w:val="top"/>
            <w:textDirection w:val="lrTb"/>
            <w:noWrap w:val="false"/>
          </w:tcPr>
          <w:p>
            <w:pP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本项目采购代理机构：</w:t>
            </w:r>
            <w:r>
              <w:rPr>
                <w:rFonts w:hint="eastAsia" w:ascii="宋体" w:hAnsi="宋体" w:cs="宋体"/>
                <w:sz w:val="24"/>
                <w:szCs w:val="24"/>
                <w:highlight w:val="none"/>
                <w:lang w:eastAsia="zh-CN"/>
              </w:rPr>
              <w:t xml:space="preserve">永明项目管理有限公司</w:t>
            </w:r>
            <w:r/>
          </w:p>
        </w:tc>
      </w:tr>
      <w:tr>
        <w:trPr/>
        <w:tc>
          <w:tcPr>
            <w:tcW w:w="1725" w:type="dxa"/>
            <w:vAlign w:val="top"/>
            <w:textDirection w:val="lrTb"/>
            <w:noWrap w:val="false"/>
          </w:tcPr>
          <w:p>
            <w:pPr>
              <w:ind w:firstLine="56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w:t>
            </w:r>
            <w:r/>
          </w:p>
        </w:tc>
        <w:tc>
          <w:tcPr>
            <w:tcW w:w="8685" w:type="dxa"/>
            <w:vAlign w:val="top"/>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投标人的资格条件：</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一、符合《中华人民共和国政府采购法》第二十二条的规定。</w:t>
            </w:r>
            <w:r/>
          </w:p>
          <w:p>
            <w:p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w:t>
            </w:r>
            <w:r>
              <w:rPr>
                <w:rFonts w:hint="eastAsia" w:ascii="宋体" w:hAnsi="宋体" w:cs="宋体"/>
                <w:b/>
                <w:bCs/>
                <w:color w:val="000000"/>
                <w:sz w:val="24"/>
                <w:szCs w:val="24"/>
                <w:highlight w:val="none"/>
                <w:lang w:val="en-US" w:eastAsia="zh-CN"/>
              </w:rPr>
              <w:t xml:space="preserve">不属于</w:t>
            </w:r>
            <w:r>
              <w:rPr>
                <w:rFonts w:hint="eastAsia" w:ascii="宋体" w:hAnsi="宋体" w:eastAsia="宋体" w:cs="宋体"/>
                <w:b/>
                <w:bCs/>
                <w:color w:val="000000"/>
                <w:sz w:val="24"/>
                <w:szCs w:val="24"/>
                <w:highlight w:val="none"/>
              </w:rPr>
              <w:t xml:space="preserve">专门面向中小微企业采购的项目。</w:t>
            </w:r>
            <w:r/>
          </w:p>
          <w:p>
            <w:pPr>
              <w:jc w:val="left"/>
              <w:spacing w:line="400" w:lineRule="exact"/>
              <w:rPr>
                <w:rFonts w:ascii="宋体" w:hAnsi="宋体"/>
                <w:color w:val="000000"/>
                <w:sz w:val="24"/>
                <w:szCs w:val="24"/>
                <w:highlight w:val="none"/>
              </w:rPr>
            </w:pPr>
            <w:r>
              <w:rPr>
                <w:rFonts w:hint="eastAsia" w:ascii="宋体" w:hAnsi="宋体" w:cs="宋体"/>
                <w:b/>
                <w:bCs/>
                <w:color w:val="000000"/>
                <w:sz w:val="24"/>
                <w:szCs w:val="24"/>
                <w:highlight w:val="none"/>
                <w:lang w:val="en-US" w:eastAsia="zh-CN"/>
              </w:rPr>
              <w:t xml:space="preserve">三、本项目的特定资格要求：具有食品检验机构资质。</w:t>
            </w:r>
            <w:r>
              <w:rPr>
                <w:rFonts w:hint="eastAsia" w:ascii="宋体" w:hAnsi="宋体" w:eastAsia="宋体" w:cs="宋体"/>
                <w:b/>
                <w:bCs/>
                <w:color w:val="000000"/>
                <w:sz w:val="24"/>
                <w:szCs w:val="24"/>
                <w:highlight w:val="none"/>
              </w:rPr>
              <w:br w:type="textWrapping" w:clear="all"/>
            </w:r>
            <w:r>
              <w:rPr>
                <w:rFonts w:ascii="宋体" w:hAnsi="宋体"/>
                <w:color w:val="000000"/>
                <w:sz w:val="24"/>
                <w:szCs w:val="24"/>
                <w:highlight w:val="none"/>
              </w:rPr>
              <w:t xml:space="preserve">同时明确相关事项如下：</w:t>
            </w:r>
            <w:r/>
          </w:p>
          <w:p>
            <w:pPr>
              <w:pStyle w:val="708"/>
              <w:jc w:val="left"/>
              <w:spacing w:line="400" w:lineRule="exact"/>
              <w:rPr>
                <w:rFonts w:ascii="宋体" w:hAnsi="宋体"/>
                <w:color w:val="000000"/>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w:t>
            </w:r>
            <w:r>
              <w:rPr>
                <w:rFonts w:ascii="宋体" w:hAnsi="宋体"/>
                <w:color w:val="000000"/>
                <w:sz w:val="24"/>
                <w:szCs w:val="24"/>
                <w:highlight w:val="none"/>
              </w:rPr>
              <w:t xml:space="preserve">本项目不接受联合体参与采购活动。</w:t>
            </w:r>
            <w:r/>
          </w:p>
          <w:p>
            <w:pPr>
              <w:pStyle w:val="708"/>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sz w:val="24"/>
                <w:szCs w:val="24"/>
                <w:highlight w:val="none"/>
              </w:rPr>
              <w:t xml:space="preserve">、</w:t>
            </w:r>
            <w:r>
              <w:rPr>
                <w:rFonts w:ascii="宋体" w:hAnsi="宋体"/>
                <w:color w:val="000000"/>
                <w:sz w:val="24"/>
                <w:szCs w:val="24"/>
                <w:highlight w:val="none"/>
              </w:rPr>
              <w:t xml:space="preserve">单位负责人为同一人或者存在直接控股、管理关系的不同供应商，不得参加同一合同项下的政府采购活动。</w:t>
            </w:r>
            <w:r/>
          </w:p>
          <w:p>
            <w:pPr>
              <w:pStyle w:val="708"/>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为本采购项目提供整体设计、规范编制或者项目管理、监理、检测等服务的供应商，不得再参加本采购项目的采购活动。</w:t>
            </w:r>
            <w:r/>
          </w:p>
          <w:p>
            <w:pPr>
              <w:pStyle w:val="708"/>
              <w:jc w:val="left"/>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查询及使用供应商信用记录：</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)由采购人查询信用信息。</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)查询渠道包括：</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①“信用中国”网（</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\o "http://www.creditchina.gov.cn/" </w:instrText>
            </w:r>
            <w:r>
              <w:rPr>
                <w:rFonts w:ascii="宋体" w:hAnsi="宋体"/>
                <w:sz w:val="24"/>
                <w:szCs w:val="24"/>
                <w:highlight w:val="none"/>
              </w:rPr>
              <w:fldChar w:fldCharType="separate"/>
            </w:r>
            <w:r>
              <w:rPr>
                <w:rFonts w:ascii="宋体" w:hAnsi="宋体"/>
                <w:sz w:val="24"/>
                <w:szCs w:val="24"/>
                <w:highlight w:val="none"/>
              </w:rPr>
              <w:t xml:space="preserve">www.creditchina.gov.cn</w:t>
            </w:r>
            <w:r>
              <w:rPr>
                <w:rFonts w:ascii="宋体" w:hAnsi="宋体"/>
                <w:sz w:val="24"/>
                <w:szCs w:val="24"/>
                <w:highlight w:val="none"/>
              </w:rPr>
              <w:fldChar w:fldCharType="end"/>
            </w:r>
            <w:r>
              <w:rPr>
                <w:rFonts w:ascii="宋体" w:hAnsi="宋体"/>
                <w:sz w:val="24"/>
                <w:szCs w:val="24"/>
                <w:highlight w:val="none"/>
              </w:rPr>
              <w:t xml:space="preserve">）；</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②中国政府采购网（</w:t>
            </w:r>
            <w:r>
              <w:rPr>
                <w:rFonts w:ascii="宋体" w:hAnsi="宋体"/>
                <w:sz w:val="24"/>
                <w:szCs w:val="24"/>
                <w:highlight w:val="none"/>
              </w:rPr>
              <w:fldChar w:fldCharType="begin"/>
            </w:r>
            <w:r>
              <w:rPr>
                <w:rFonts w:ascii="宋体" w:hAnsi="宋体"/>
                <w:sz w:val="24"/>
                <w:szCs w:val="24"/>
                <w:highlight w:val="none"/>
              </w:rPr>
              <w:instrText xml:space="preserve"> HYPERLINK "http://www.ccgp.gov.cn/" \o "http://www.ccgp.gov.cn/" </w:instrText>
            </w:r>
            <w:r>
              <w:rPr>
                <w:rFonts w:ascii="宋体" w:hAnsi="宋体"/>
                <w:sz w:val="24"/>
                <w:szCs w:val="24"/>
                <w:highlight w:val="none"/>
              </w:rPr>
              <w:fldChar w:fldCharType="separate"/>
            </w:r>
            <w:r>
              <w:rPr>
                <w:rFonts w:ascii="宋体" w:hAnsi="宋体"/>
                <w:sz w:val="24"/>
                <w:szCs w:val="24"/>
                <w:highlight w:val="none"/>
              </w:rPr>
              <w:t xml:space="preserve">www.ccgp.gov.cn</w:t>
            </w:r>
            <w:r>
              <w:rPr>
                <w:rFonts w:ascii="宋体" w:hAnsi="宋体"/>
                <w:sz w:val="24"/>
                <w:szCs w:val="24"/>
                <w:highlight w:val="none"/>
              </w:rPr>
              <w:fldChar w:fldCharType="end"/>
            </w:r>
            <w:r>
              <w:rPr>
                <w:rFonts w:ascii="宋体" w:hAnsi="宋体"/>
                <w:sz w:val="24"/>
                <w:szCs w:val="24"/>
                <w:highlight w:val="none"/>
              </w:rPr>
              <w:t xml:space="preserve">）；</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③“诚信江苏”网（</w:t>
            </w:r>
            <w:r>
              <w:rPr>
                <w:rFonts w:ascii="宋体" w:hAnsi="宋体"/>
                <w:sz w:val="24"/>
                <w:szCs w:val="24"/>
                <w:highlight w:val="none"/>
              </w:rPr>
              <w:fldChar w:fldCharType="begin"/>
            </w:r>
            <w:r>
              <w:rPr>
                <w:rFonts w:ascii="宋体" w:hAnsi="宋体"/>
                <w:sz w:val="24"/>
                <w:szCs w:val="24"/>
                <w:highlight w:val="none"/>
              </w:rPr>
              <w:instrText xml:space="preserve"> HYPERLINK "http://www.jiangsu.gov.cn/jsxy/index.htm" \o "http://www.jiangsu.gov.cn/jsxy/index.htm" </w:instrText>
            </w:r>
            <w:r>
              <w:rPr>
                <w:rFonts w:ascii="宋体" w:hAnsi="宋体"/>
                <w:sz w:val="24"/>
                <w:szCs w:val="24"/>
                <w:highlight w:val="none"/>
              </w:rPr>
              <w:fldChar w:fldCharType="separate"/>
            </w:r>
            <w:r>
              <w:rPr>
                <w:rFonts w:ascii="宋体" w:hAnsi="宋体"/>
                <w:sz w:val="24"/>
                <w:szCs w:val="24"/>
                <w:highlight w:val="none"/>
              </w:rPr>
              <w:t xml:space="preserve">www.jiangsu.gov.cn/jsxy/index.htm</w:t>
            </w:r>
            <w:r>
              <w:rPr>
                <w:rFonts w:ascii="宋体" w:hAnsi="宋体"/>
                <w:sz w:val="24"/>
                <w:szCs w:val="24"/>
                <w:highlight w:val="none"/>
              </w:rPr>
              <w:fldChar w:fldCharType="end"/>
            </w:r>
            <w:r>
              <w:rPr>
                <w:rFonts w:ascii="宋体" w:hAnsi="宋体"/>
                <w:sz w:val="24"/>
                <w:szCs w:val="24"/>
                <w:highlight w:val="none"/>
              </w:rPr>
              <w:t xml:space="preserve">）</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和或“信用江苏”网（http://credit.jiangsu.gov.cn/）；</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④“诚信徐州”网（</w:t>
            </w:r>
            <w:r>
              <w:rPr>
                <w:rFonts w:ascii="宋体" w:hAnsi="宋体"/>
                <w:sz w:val="24"/>
                <w:szCs w:val="24"/>
                <w:highlight w:val="none"/>
              </w:rPr>
              <w:fldChar w:fldCharType="begin"/>
            </w:r>
            <w:r>
              <w:rPr>
                <w:rFonts w:ascii="宋体" w:hAnsi="宋体"/>
                <w:sz w:val="24"/>
                <w:szCs w:val="24"/>
                <w:highlight w:val="none"/>
              </w:rPr>
              <w:instrText xml:space="preserve"> HYPERLINK "http://www.xuzhoucredit.gov.cn/" \o "http://www.xuzhoucredit.gov.cn/" </w:instrText>
            </w:r>
            <w:r>
              <w:rPr>
                <w:rFonts w:ascii="宋体" w:hAnsi="宋体"/>
                <w:sz w:val="24"/>
                <w:szCs w:val="24"/>
                <w:highlight w:val="none"/>
              </w:rPr>
              <w:fldChar w:fldCharType="separate"/>
            </w:r>
            <w:r>
              <w:rPr>
                <w:rFonts w:ascii="宋体" w:hAnsi="宋体"/>
                <w:sz w:val="24"/>
                <w:szCs w:val="24"/>
                <w:highlight w:val="none"/>
              </w:rPr>
              <w:t xml:space="preserve">http://www.xuzhoucredit.gov.cn</w:t>
            </w:r>
            <w:r>
              <w:rPr>
                <w:rFonts w:ascii="宋体" w:hAnsi="宋体"/>
                <w:sz w:val="24"/>
                <w:szCs w:val="24"/>
                <w:highlight w:val="none"/>
              </w:rPr>
              <w:fldChar w:fldCharType="end"/>
            </w:r>
            <w:r>
              <w:rPr>
                <w:rFonts w:ascii="宋体" w:hAnsi="宋体"/>
                <w:sz w:val="24"/>
                <w:szCs w:val="24"/>
                <w:highlight w:val="none"/>
              </w:rPr>
              <w:t xml:space="preserve">）或“信用徐州”网（www.xuzhoucredit.gov.cn/）。</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)截止时点（查询环节）：资格审查结束前。</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)信用信息查询记录和证据留存的具体方式：网页截屏打印，与其他采购文件一并保存。</w:t>
            </w:r>
            <w:r/>
          </w:p>
          <w:p>
            <w:pPr>
              <w:pStyle w:val="708"/>
              <w:jc w:val="left"/>
              <w:spacing w:line="400" w:lineRule="exact"/>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)信用信息的使用规则：</w:t>
            </w:r>
            <w:r/>
          </w:p>
          <w:p>
            <w:pPr>
              <w:spacing w:line="400" w:lineRule="exact"/>
              <w:rPr>
                <w:rFonts w:hint="eastAsia" w:ascii="宋体" w:hAnsi="宋体" w:cs="宋体"/>
                <w:color w:val="000000"/>
                <w:sz w:val="24"/>
                <w:szCs w:val="24"/>
                <w:highlight w:val="none"/>
              </w:rPr>
            </w:pPr>
            <w:r>
              <w:rPr>
                <w:rFonts w:ascii="宋体" w:hAnsi="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招标代理服务费由中标人支付，标准不高于《招标代理服务收费标准》（见附件）。</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(九)1</w:t>
            </w:r>
            <w:r/>
          </w:p>
        </w:tc>
        <w:tc>
          <w:tcPr>
            <w:tcW w:w="8685" w:type="dxa"/>
            <w:vAlign w:val="top"/>
            <w:textDirection w:val="lrTb"/>
            <w:noWrap w:val="false"/>
          </w:tcPr>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(九)2</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不安排现场考察。</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(九)3</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不安排开标前答疑会。</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w:t>
            </w:r>
            <w:r/>
          </w:p>
        </w:tc>
      </w:tr>
      <w:tr>
        <w:trPr>
          <w:trHeight w:val="482"/>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(十一)</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投标文件的语言为中文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(十二)1</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(十二)2</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投标文件编制要求：</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请按照以下要求（包括但不限于以下要求）制作：</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一、基本目录</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1、《开标一览表》（加盖电子签章，政府采购客户端工具输入报价自动生成）；</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二、资格条件（1-</w:t>
            </w: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必须提供，否则投标无效）</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1、投标人合法有效的法人或者其他组织的营业执照等证明文件，以上证明文件提供原件的扫描件。</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2、财务状况报告（即提供投标人的本项目开标时间前6个月内任何</w:t>
            </w:r>
            <w:r>
              <w:rPr>
                <w:rFonts w:hint="eastAsia" w:ascii="宋体" w:hAnsi="宋体" w:cs="宋体"/>
                <w:sz w:val="24"/>
                <w:szCs w:val="24"/>
                <w:highlight w:val="none"/>
                <w:lang w:val="en-US" w:eastAsia="zh-CN"/>
              </w:rPr>
              <w:t xml:space="preserve">时间</w:t>
            </w:r>
            <w:bookmarkStart w:id="25" w:name="_GoBack"/>
            <w:r/>
            <w:bookmarkEnd w:id="25"/>
            <w:r>
              <w:rPr>
                <w:rFonts w:hint="eastAsia" w:ascii="宋体" w:hAnsi="宋体" w:cs="宋体"/>
                <w:sz w:val="24"/>
                <w:szCs w:val="24"/>
                <w:highlight w:val="none"/>
              </w:rPr>
              <w:t xml:space="preserve">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4、具备履行合同所必需的设备和专业技术能力的证明材料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即投标文件中提供《具备履行合同所必需的设备和专业技术能力的书面声明》（加盖电子签章，格式见招标文件第七章《投标文件相关格式》）</w:t>
            </w:r>
            <w:r>
              <w:rPr>
                <w:rFonts w:hint="eastAsia" w:ascii="宋体" w:hAnsi="宋体" w:cs="宋体"/>
                <w:color w:val="000000"/>
                <w:sz w:val="24"/>
                <w:szCs w:val="24"/>
                <w:highlight w:val="none"/>
                <w:lang w:eastAsia="zh-CN"/>
              </w:rPr>
              <w:t xml:space="preserve">，所附证明材料原件的</w:t>
            </w:r>
            <w:r>
              <w:rPr>
                <w:rFonts w:hint="eastAsia" w:ascii="宋体" w:hAnsi="宋体" w:cs="宋体"/>
                <w:color w:val="000000"/>
                <w:sz w:val="24"/>
                <w:szCs w:val="24"/>
                <w:highlight w:val="none"/>
                <w:lang w:val="en-US" w:eastAsia="zh-CN"/>
              </w:rPr>
              <w:t xml:space="preserve">扫描件</w:t>
            </w:r>
            <w:r>
              <w:rPr>
                <w:rFonts w:hint="eastAsia" w:ascii="宋体" w:hAnsi="宋体" w:cs="宋体"/>
                <w:color w:val="000000"/>
                <w:sz w:val="24"/>
                <w:szCs w:val="24"/>
                <w:highlight w:val="none"/>
                <w:lang w:eastAsia="zh-CN"/>
              </w:rPr>
              <w:t xml:space="preserve">必须包含</w:t>
            </w:r>
            <w:r>
              <w:rPr>
                <w:rFonts w:hint="eastAsia" w:ascii="宋体" w:hAnsi="宋体" w:cs="宋体"/>
                <w:color w:val="000000"/>
                <w:sz w:val="24"/>
                <w:szCs w:val="24"/>
                <w:highlight w:val="none"/>
                <w:lang w:val="en-US" w:eastAsia="zh-CN"/>
              </w:rPr>
              <w:t xml:space="preserve">：</w:t>
            </w:r>
            <w:r/>
          </w:p>
          <w:p>
            <w:pPr>
              <w:spacing w:line="400" w:lineRule="exact"/>
              <w:widowControl/>
              <w:rPr>
                <w:rFonts w:hint="default" w:ascii="宋体" w:hAnsi="宋体" w:cs="宋体"/>
                <w:color w:val="000000"/>
                <w:sz w:val="24"/>
                <w:szCs w:val="24"/>
                <w:highlight w:val="none"/>
                <w:lang w:val="en-US" w:eastAsia="zh-CN"/>
              </w:rPr>
            </w:pPr>
            <w:r>
              <w:rPr>
                <w:rFonts w:hint="eastAsia" w:ascii="Calibri" w:hAnsi="Calibri" w:cs="Calibri"/>
                <w:color w:val="000000"/>
                <w:sz w:val="24"/>
                <w:szCs w:val="24"/>
                <w:highlight w:val="none"/>
                <w:lang w:val="en-US" w:eastAsia="zh-CN"/>
              </w:rPr>
              <w:t xml:space="preserve">①</w:t>
            </w:r>
            <w:r>
              <w:rPr>
                <w:rFonts w:hint="default" w:ascii="宋体" w:hAnsi="宋体" w:cs="宋体"/>
                <w:color w:val="000000"/>
                <w:sz w:val="24"/>
                <w:szCs w:val="24"/>
                <w:highlight w:val="none"/>
                <w:lang w:val="en-US" w:eastAsia="zh-CN"/>
              </w:rPr>
              <w:t xml:space="preserve">具有食品检验机构资质</w:t>
            </w:r>
            <w:r>
              <w:rPr>
                <w:rFonts w:hint="eastAsia" w:ascii="宋体" w:hAnsi="宋体" w:cs="宋体"/>
                <w:color w:val="000000"/>
                <w:sz w:val="24"/>
                <w:szCs w:val="24"/>
                <w:highlight w:val="none"/>
                <w:lang w:val="en-US" w:eastAsia="zh-CN"/>
              </w:rPr>
              <w:t xml:space="preserve">。</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投标人信用信息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提供网页截图</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加盖电子签章，</w:t>
            </w:r>
            <w:r>
              <w:rPr>
                <w:rFonts w:hint="eastAsia" w:ascii="宋体" w:hAnsi="宋体" w:cs="宋体"/>
                <w:sz w:val="24"/>
                <w:szCs w:val="24"/>
                <w:highlight w:val="none"/>
              </w:rPr>
              <w:t xml:space="preserve">要求见本章条款项号“(六)”中“四、”内容）。</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三、符合条件（必须提供，否则投标无效）</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(一)报价</w:t>
            </w:r>
            <w:r/>
          </w:p>
          <w:p>
            <w:pPr>
              <w:spacing w:line="400" w:lineRule="exact"/>
              <w:rPr>
                <w:rFonts w:hint="eastAsia" w:ascii="宋体" w:hAnsi="宋体" w:cs="宋体"/>
                <w:color w:val="0000ff"/>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《分项价格表》（加盖电子签章，格式见招标文件第七章《投标文件相关格式》）。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（二）商务资信</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《投标函》（加盖电子签章，格式见招标文件第七章《投标文件相关格式》）。</w:t>
            </w:r>
            <w:r/>
          </w:p>
          <w:p>
            <w:pPr>
              <w:spacing w:line="4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2.《法定代表人授权书》（提供原件的扫描件，格式见招标文件第七章《投标文件相关格式》）。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（三）技术响应</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《偏离表》（加盖电子签章，格式见招标文件第七章《投标文件相关格式》）。</w:t>
            </w:r>
            <w:r>
              <w:rPr>
                <w:rFonts w:hint="eastAsia" w:ascii="宋体" w:hAnsi="宋体" w:cs="宋体"/>
                <w:sz w:val="24"/>
                <w:szCs w:val="24"/>
                <w:highlight w:val="none"/>
                <w:lang w:val="en-US" w:eastAsia="zh-CN"/>
              </w:rPr>
              <w:t xml:space="preserve">    </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四、综合评审评分项</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1、详细完整的技术服务方案；</w:t>
            </w:r>
            <w:r/>
          </w:p>
          <w:p>
            <w:pP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2、评分细则及采购需求中需提供的相关材料，特别要求的除外；</w:t>
            </w:r>
            <w:r/>
          </w:p>
          <w:p>
            <w:pPr>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提供的服务全部由符合政策要求的中小企业承接，提供《中小企业声明函》</w:t>
            </w:r>
            <w:r>
              <w:rPr>
                <w:rFonts w:hint="eastAsia" w:ascii="宋体" w:hAnsi="宋体" w:cs="宋体"/>
                <w:b/>
                <w:bCs/>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注：监狱企业和残疾人福利性单位等同于小微企业。</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享受政府采购支持政策的残疾人福利性单位应当同时满足以下条件：</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  具体以《三部门联合发布关于促进残疾人就业政府采购政策的通知》（财库〔2017〕141号）规定为准。注：</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1.投标人应对以上文件的合法性、真实性负责；</w:t>
            </w:r>
            <w:r/>
          </w:p>
          <w:p>
            <w:pPr>
              <w:spacing w:line="400" w:lineRule="exact"/>
              <w:rPr>
                <w:rFonts w:hint="eastAsia" w:ascii="宋体" w:hAnsi="宋体" w:cs="宋体"/>
                <w:bCs/>
                <w:sz w:val="24"/>
                <w:szCs w:val="24"/>
                <w:highlight w:val="none"/>
              </w:rPr>
            </w:pPr>
            <w:r>
              <w:rPr>
                <w:rFonts w:hint="eastAsia" w:ascii="宋体" w:hAnsi="宋体" w:cs="宋体"/>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(十三)2</w:t>
            </w:r>
            <w:r/>
          </w:p>
        </w:tc>
        <w:tc>
          <w:tcPr>
            <w:tcW w:w="8685"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商务条件见：</w:t>
            </w:r>
            <w:r/>
          </w:p>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一、本文件第四章《评标标准》中《评分细则》。</w:t>
            </w:r>
            <w:r/>
          </w:p>
          <w:p>
            <w:pPr>
              <w:spacing w:line="400" w:lineRule="exact"/>
              <w:rPr>
                <w:rFonts w:hint="eastAsia" w:ascii="宋体" w:hAnsi="宋体" w:cs="宋体"/>
                <w:bCs/>
                <w:sz w:val="24"/>
                <w:szCs w:val="24"/>
                <w:highlight w:val="none"/>
              </w:rPr>
            </w:pPr>
            <w:r>
              <w:rPr>
                <w:rFonts w:hint="eastAsia" w:ascii="宋体" w:hAnsi="宋体" w:cs="宋体"/>
                <w:sz w:val="24"/>
                <w:szCs w:val="24"/>
                <w:highlight w:val="none"/>
              </w:rPr>
              <w:t xml:space="preserve">二、本文件第三章《投标资料表》中(十二)1和(十二)2。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(十三)3</w:t>
            </w:r>
            <w:r/>
          </w:p>
        </w:tc>
        <w:tc>
          <w:tcPr>
            <w:tcW w:w="8685" w:type="dxa"/>
            <w:vAlign w:val="top"/>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交货和提供服务的时间：见本文件第五章 《拟签订的合同文本》及或本文件第六章《采购需求》。</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(十四)3</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b/>
                <w:bCs w:val="0"/>
                <w:sz w:val="24"/>
                <w:szCs w:val="24"/>
                <w:highlight w:val="none"/>
              </w:rPr>
              <w:t xml:space="preserve">本项目预算金额50万元人民币，不接受单批次报价超过849元人民币、总任务量低于588批次的投标报价</w:t>
            </w:r>
            <w:r>
              <w:rPr>
                <w:rFonts w:hint="eastAsia" w:ascii="宋体" w:hAnsi="宋体" w:cs="宋体"/>
                <w:bCs/>
                <w:sz w:val="24"/>
                <w:szCs w:val="24"/>
                <w:highlight w:val="none"/>
              </w:rPr>
              <w:t xml:space="preserve">；（报价包含采样费、检测费、买样费、各种税费、交通费、人工、保险、利润、税金、复检合格应支付给复检机构的复检费用及合同包含的所有风险、责任等各项应有的全部费用，采购人不再支付报价以外的任何费用。）</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(十六)</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以人民币报价。</w:t>
            </w:r>
            <w:r/>
          </w:p>
        </w:tc>
      </w:tr>
      <w:tr>
        <w:trPr/>
        <w:tc>
          <w:tcPr>
            <w:tcW w:w="1725" w:type="dxa"/>
            <w:vAlign w:val="top"/>
            <w:textDirection w:val="lrTb"/>
            <w:noWrap w:val="false"/>
          </w:tcPr>
          <w:p>
            <w:pPr>
              <w:jc w:val="center"/>
              <w:spacing w:line="400" w:lineRule="exact"/>
              <w:rPr>
                <w:rFonts w:hint="eastAsia" w:ascii="宋体" w:hAnsi="宋体" w:eastAsia="宋体" w:cs="宋体"/>
                <w:bCs/>
                <w:color w:val="ff0000"/>
                <w:sz w:val="24"/>
                <w:szCs w:val="24"/>
                <w:highlight w:val="none"/>
                <w:lang w:eastAsia="zh-CN"/>
              </w:rPr>
            </w:pPr>
            <w:r>
              <w:rPr>
                <w:rFonts w:hint="eastAsia" w:ascii="宋体" w:hAnsi="宋体" w:cs="宋体"/>
                <w:bCs/>
                <w:color w:val="000000"/>
                <w:sz w:val="24"/>
                <w:szCs w:val="24"/>
                <w:highlight w:val="none"/>
              </w:rPr>
              <w:t xml:space="preserve">（十七）</w:t>
            </w:r>
            <w:r>
              <w:rPr>
                <w:rFonts w:hint="eastAsia" w:ascii="宋体" w:hAnsi="宋体" w:cs="宋体"/>
                <w:bCs/>
                <w:color w:val="000000"/>
                <w:sz w:val="24"/>
                <w:szCs w:val="24"/>
                <w:highlight w:val="none"/>
                <w:lang w:val="en-US" w:eastAsia="zh-CN"/>
              </w:rPr>
              <w:t xml:space="preserve">1</w:t>
            </w:r>
            <w:r/>
          </w:p>
        </w:tc>
        <w:tc>
          <w:tcPr>
            <w:tcW w:w="8685" w:type="dxa"/>
            <w:vAlign w:val="top"/>
            <w:textDirection w:val="lrTb"/>
            <w:noWrap w:val="false"/>
          </w:tcPr>
          <w:p>
            <w:pPr>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供应商操作手册及政府采购客户端工具可通过“苏采云”系统（网址：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color w:val="000000"/>
                <w:sz w:val="24"/>
                <w:szCs w:val="24"/>
                <w:highlight w:val="none"/>
              </w:rPr>
              <w:fldChar w:fldCharType="end"/>
            </w:r>
            <w:r/>
          </w:p>
          <w:p>
            <w:pPr>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投标人应当通过“苏采云”系统提交数据电文形式的投标文件（即电子投标）。</w:t>
            </w:r>
            <w:r/>
          </w:p>
          <w:p>
            <w:pPr>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特别说明：通过“苏采云”系统提交政府采购客户端工具导出加密的投标文件（后缀名为zip）。</w:t>
            </w:r>
            <w:r>
              <w:rPr>
                <w:rFonts w:hint="eastAsia" w:ascii="宋体" w:hAnsi="宋体" w:cs="宋体"/>
                <w:b/>
                <w:bCs/>
                <w:color w:val="000000"/>
                <w:sz w:val="24"/>
                <w:szCs w:val="24"/>
                <w:highlight w:val="none"/>
              </w:rPr>
              <w:t xml:space="preserve">投标文件不得超过</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50M！</w:t>
            </w:r>
            <w:r/>
          </w:p>
          <w:p>
            <w:pPr>
              <w:jc w:val="left"/>
              <w:spacing w:line="400" w:lineRule="exact"/>
              <w:rPr>
                <w:rFonts w:hint="eastAsia" w:ascii="宋体" w:hAnsi="宋体" w:cs="宋体"/>
                <w:bCs/>
                <w:color w:val="ff0000"/>
                <w:sz w:val="24"/>
                <w:szCs w:val="24"/>
                <w:highlight w:val="none"/>
              </w:rPr>
            </w:pPr>
            <w:r>
              <w:rPr>
                <w:rFonts w:hint="eastAsia" w:ascii="宋体" w:hAnsi="宋体" w:cs="宋体"/>
                <w:color w:val="000000"/>
                <w:sz w:val="24"/>
                <w:szCs w:val="24"/>
                <w:highlight w:val="none"/>
              </w:rPr>
              <w:t xml:space="preserve"> 说明：本项目采用线上投标，即供应商投标文件从政府采购客户端工具制作通过“苏采云”系统提交，未提供线上投标文件的，投标无效。</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(十八)4</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见本文件第三章《投标资料表》中(十二)1和(十二)2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(十九)</w:t>
            </w:r>
            <w:r/>
          </w:p>
        </w:tc>
        <w:tc>
          <w:tcPr>
            <w:tcW w:w="8685" w:type="dxa"/>
            <w:vAlign w:val="top"/>
            <w:textDirection w:val="lrTb"/>
            <w:noWrap w:val="false"/>
          </w:tcPr>
          <w:p>
            <w:pPr>
              <w:jc w:val="left"/>
              <w:spacing w:line="400" w:lineRule="exact"/>
              <w:rPr>
                <w:rFonts w:hint="eastAsia" w:ascii="宋体" w:hAnsi="宋体" w:cs="宋体"/>
                <w:b/>
                <w:bCs/>
                <w:color w:val="ff0000"/>
                <w:sz w:val="24"/>
                <w:szCs w:val="24"/>
                <w:highlight w:val="none"/>
              </w:rPr>
            </w:pPr>
            <w:r>
              <w:rPr>
                <w:rFonts w:hint="eastAsia" w:ascii="宋体" w:hAnsi="宋体" w:cs="宋体"/>
                <w:sz w:val="24"/>
                <w:szCs w:val="24"/>
                <w:highlight w:val="none"/>
              </w:rPr>
              <w:t xml:space="preserve">投标文件的提交与接收： </w:t>
            </w:r>
            <w:r>
              <w:rPr>
                <w:rFonts w:hint="eastAsia" w:ascii="宋体" w:hAnsi="宋体" w:cs="宋体"/>
                <w:sz w:val="24"/>
                <w:szCs w:val="24"/>
                <w:highlight w:val="none"/>
              </w:rPr>
              <w:br w:type="textWrapping" w:clear="all"/>
            </w:r>
            <w:r>
              <w:rPr>
                <w:rFonts w:hint="eastAsia" w:ascii="宋体" w:hAnsi="宋体" w:cs="宋体"/>
                <w:color w:val="000000"/>
                <w:sz w:val="24"/>
                <w:szCs w:val="24"/>
                <w:highlight w:val="none"/>
              </w:rPr>
              <w:t xml:space="preserve">1.投标文件提交与接收时间：提交投标文件截止时间</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2024年11月15日</w:t>
            </w:r>
            <w:r>
              <w:rPr>
                <w:rFonts w:hint="eastAsia" w:ascii="宋体" w:hAnsi="宋体" w:cs="宋体"/>
                <w:b/>
                <w:bCs/>
                <w:color w:val="000000"/>
                <w:sz w:val="24"/>
                <w:szCs w:val="24"/>
                <w:highlight w:val="none"/>
              </w:rPr>
              <w:t xml:space="preserve">09:30）前。</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tc>
          <w:tcPr>
            <w:tcW w:w="172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w:t>
            </w:r>
            <w:r/>
          </w:p>
        </w:tc>
        <w:tc>
          <w:tcPr>
            <w:tcW w:w="8685" w:type="dxa"/>
            <w:vAlign w:val="top"/>
            <w:textDirection w:val="lrTb"/>
            <w:noWrap w:val="false"/>
          </w:tcPr>
          <w:p>
            <w:pPr>
              <w:jc w:val="both"/>
              <w:spacing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spacing w:line="4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投标人应在开标时间后</w:t>
            </w:r>
            <w:r>
              <w:rPr>
                <w:rFonts w:hint="eastAsia" w:ascii="宋体" w:hAnsi="宋体" w:eastAsia="宋体" w:cs="宋体"/>
                <w:sz w:val="24"/>
                <w:szCs w:val="24"/>
                <w:highlight w:val="none"/>
                <w:lang w:val="en-US" w:eastAsia="zh-CN"/>
              </w:rPr>
              <w:t xml:space="preserve">规定的时间内</w:t>
            </w:r>
            <w:r>
              <w:rPr>
                <w:rFonts w:hint="eastAsia" w:ascii="宋体" w:hAnsi="宋体" w:eastAsia="宋体" w:cs="宋体"/>
                <w:sz w:val="24"/>
                <w:szCs w:val="24"/>
                <w:highlight w:val="none"/>
              </w:rPr>
              <w:t xml:space="preserve">，使用CA数字证书解密各自投标文件。</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w:t>
            </w:r>
            <w:r/>
          </w:p>
        </w:tc>
        <w:tc>
          <w:tcPr>
            <w:tcW w:w="8685"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(二十五)1</w:t>
            </w:r>
            <w:r/>
          </w:p>
        </w:tc>
        <w:tc>
          <w:tcPr>
            <w:tcW w:w="8685" w:type="dxa"/>
            <w:vAlign w:val="top"/>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开标时间及地点：</w:t>
            </w:r>
            <w:r/>
          </w:p>
          <w:p>
            <w:pPr>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color w:val="000000"/>
                <w:sz w:val="24"/>
                <w:szCs w:val="24"/>
                <w:highlight w:val="none"/>
              </w:rPr>
              <w:t xml:space="preserve">开标时间：</w:t>
            </w:r>
            <w:r>
              <w:rPr>
                <w:rFonts w:hint="eastAsia" w:ascii="宋体" w:hAnsi="宋体" w:cs="宋体"/>
                <w:b/>
                <w:bCs/>
                <w:color w:val="000000"/>
                <w:sz w:val="24"/>
                <w:szCs w:val="24"/>
                <w:highlight w:val="none"/>
                <w:lang w:val="en-US" w:eastAsia="zh-CN"/>
              </w:rPr>
              <w:t xml:space="preserve">2024年11月15日</w:t>
            </w:r>
            <w:r>
              <w:rPr>
                <w:rFonts w:hint="eastAsia" w:ascii="宋体" w:hAnsi="宋体" w:eastAsia="宋体" w:cs="宋体"/>
                <w:b/>
                <w:bCs/>
                <w:color w:val="000000"/>
                <w:sz w:val="24"/>
                <w:szCs w:val="24"/>
                <w:highlight w:val="none"/>
              </w:rPr>
              <w:t xml:space="preserve">09:30（标准时间）</w:t>
            </w:r>
            <w:r>
              <w:rPr>
                <w:rFonts w:hint="eastAsia" w:ascii="宋体" w:hAnsi="宋体" w:eastAsia="宋体" w:cs="宋体"/>
                <w:color w:val="000000"/>
                <w:sz w:val="24"/>
                <w:szCs w:val="24"/>
                <w:highlight w:val="none"/>
              </w:rPr>
              <w:t xml:space="preserve">。</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(二十五)3</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szCs w:val="24"/>
                <w:highlight w:val="none"/>
              </w:rPr>
              <w:t xml:space="preserve">开标时间后30分钟内</w:t>
            </w:r>
            <w:r>
              <w:rPr>
                <w:rFonts w:hint="eastAsia" w:ascii="宋体" w:hAnsi="宋体" w:cs="宋体"/>
                <w:sz w:val="24"/>
                <w:szCs w:val="24"/>
                <w:highlight w:val="none"/>
              </w:rPr>
              <w:t xml:space="preserve">，通过“苏采云”系统（使用“CA数字证书”）解密。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所有投标人解密（或解密时间）结束后，“苏采云”系统生成开标记录并向社会公众公布，但依法应当保密的除外。</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五</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评标</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(二十七)</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本项目的评标方法：综合评分法。</w:t>
            </w:r>
            <w:r/>
          </w:p>
        </w:tc>
      </w:tr>
      <w:tr>
        <w:trPr>
          <w:trHeight w:val="90"/>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(二十八)1</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(二十八)1（4）</w:t>
            </w:r>
            <w:r/>
          </w:p>
        </w:tc>
        <w:tc>
          <w:tcPr>
            <w:tcW w:w="8685" w:type="dxa"/>
            <w:vAlign w:val="top"/>
            <w:textDirection w:val="lrTb"/>
            <w:noWrap w:val="false"/>
          </w:tcPr>
          <w:p>
            <w:pPr>
              <w:ind w:left="0" w:firstLine="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一、推荐中标候选供应商名单。中标候选供应商数量应当根据采购需要确定，但必须按顺序排列中标候选供应商。</w:t>
            </w:r>
            <w:r/>
          </w:p>
          <w:p>
            <w:pPr>
              <w:ind w:left="0" w:firstLine="0"/>
              <w:spacing w:line="4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sz w:val="24"/>
                <w:szCs w:val="24"/>
                <w:highlight w:val="none"/>
              </w:rPr>
              <w:t xml:space="preserve">服务方案总</w:t>
            </w:r>
            <w:r>
              <w:rPr>
                <w:rFonts w:hint="eastAsia" w:ascii="宋体" w:hAnsi="宋体" w:cs="宋体"/>
                <w:sz w:val="24"/>
                <w:szCs w:val="24"/>
                <w:highlight w:val="none"/>
              </w:rPr>
              <w:t xml:space="preserve">得分顺序排列</w:t>
            </w:r>
            <w:r>
              <w:rPr>
                <w:rFonts w:hint="eastAsia" w:ascii="宋体" w:hAnsi="宋体" w:cs="宋体"/>
                <w:sz w:val="24"/>
                <w:szCs w:val="24"/>
                <w:highlight w:val="none"/>
                <w:lang w:eastAsia="zh-CN"/>
              </w:rPr>
              <w:t xml:space="preserve">。</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（二十九）</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4"/>
                <w:szCs w:val="24"/>
                <w:highlight w:val="none"/>
              </w:rPr>
            </w:pPr>
            <w:r>
              <w:rPr>
                <w:rFonts w:hint="eastAsia" w:ascii="宋体" w:hAnsi="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政府采购合同</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(三十七)1</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采购人与中标、成交供应商应当在中标、成交通知书发出之日起30日内，按照采购文件确定的事项签订政府采购合同。</w:t>
            </w:r>
            <w:r/>
          </w:p>
        </w:tc>
      </w:tr>
      <w:tr>
        <w:trPr>
          <w:trHeight w:val="468"/>
        </w:trPr>
        <w:tc>
          <w:tcPr>
            <w:tcW w:w="172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（三十八）</w:t>
            </w:r>
            <w:r/>
          </w:p>
        </w:tc>
        <w:tc>
          <w:tcPr>
            <w:tcW w:w="8685" w:type="dxa"/>
            <w:vAlign w:val="top"/>
            <w:textDirection w:val="lrTb"/>
            <w:noWrap w:val="false"/>
          </w:tcPr>
          <w:p>
            <w:pPr>
              <w:pStyle w:val="879"/>
              <w:rPr>
                <w:rFonts w:hint="eastAsia" w:hAnsi="宋体"/>
                <w:color w:val="000000"/>
                <w:sz w:val="24"/>
                <w:szCs w:val="24"/>
                <w:highlight w:val="none"/>
              </w:rPr>
            </w:pPr>
            <w:r>
              <w:rPr>
                <w:rFonts w:hint="eastAsia" w:hAnsi="宋体"/>
                <w:sz w:val="24"/>
                <w:szCs w:val="24"/>
                <w:highlight w:val="none"/>
                <w:lang w:val="zh-CN"/>
              </w:rPr>
              <w:t xml:space="preserve">履约保证金：</w:t>
            </w:r>
            <w:r>
              <w:rPr>
                <w:rFonts w:hint="eastAsia" w:hAnsi="宋体"/>
                <w:sz w:val="24"/>
                <w:szCs w:val="24"/>
                <w:highlight w:val="none"/>
              </w:rPr>
              <w:t xml:space="preserve">无。</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(四十一)</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供应商在法定质疑期内一次性提出针对同一采购程序环节的质疑。</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质疑接收人：</w:t>
            </w:r>
            <w:r>
              <w:rPr>
                <w:rFonts w:hint="eastAsia" w:ascii="宋体" w:hAnsi="宋体" w:cs="宋体"/>
                <w:sz w:val="24"/>
                <w:szCs w:val="24"/>
                <w:highlight w:val="none"/>
                <w:lang w:eastAsia="zh-CN"/>
              </w:rPr>
              <w:t xml:space="preserve">张卉</w:t>
            </w: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0516-83333882</w:t>
            </w:r>
            <w:r>
              <w:rPr>
                <w:rFonts w:hint="eastAsia" w:ascii="宋体" w:hAnsi="宋体" w:cs="宋体"/>
                <w:sz w:val="24"/>
                <w:szCs w:val="24"/>
                <w:highlight w:val="none"/>
              </w:rPr>
              <w:t xml:space="preserve">；</w:t>
            </w:r>
            <w:r/>
          </w:p>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办公地址：</w:t>
            </w:r>
            <w:r>
              <w:rPr>
                <w:rFonts w:hint="eastAsia" w:ascii="宋体" w:hAnsi="宋体" w:cs="宋体"/>
                <w:sz w:val="24"/>
                <w:szCs w:val="24"/>
                <w:highlight w:val="none"/>
                <w:lang w:eastAsia="zh-CN"/>
              </w:rPr>
              <w:t xml:space="preserve">江苏省徐州市云龙区绿地商务城蓝海officeA座21楼</w:t>
            </w:r>
            <w:r>
              <w:rPr>
                <w:rFonts w:hint="eastAsia" w:ascii="宋体" w:hAnsi="宋体" w:cs="宋体"/>
                <w:sz w:val="24"/>
                <w:szCs w:val="24"/>
                <w:highlight w:val="none"/>
              </w:rPr>
              <w:t xml:space="preserve">。</w:t>
            </w:r>
            <w:r/>
          </w:p>
        </w:tc>
      </w:tr>
      <w:tr>
        <w:trPr/>
        <w:tc>
          <w:tcPr>
            <w:tcW w:w="1725" w:type="dxa"/>
            <w:vAlign w:val="top"/>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bCs/>
                <w:sz w:val="24"/>
                <w:szCs w:val="24"/>
                <w:highlight w:val="none"/>
              </w:rPr>
              <w:t xml:space="preserve">附加说明</w:t>
            </w:r>
            <w:r/>
          </w:p>
        </w:tc>
        <w:tc>
          <w:tcPr>
            <w:tcW w:w="8685" w:type="dxa"/>
            <w:vAlign w:val="top"/>
            <w:textDirection w:val="lrTb"/>
            <w:noWrap w:val="false"/>
          </w:tcPr>
          <w:p>
            <w:pPr>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中标供应商须在领取中标通知书之前</w:t>
            </w:r>
            <w:r>
              <w:rPr>
                <w:rFonts w:hint="eastAsia" w:ascii="宋体" w:hAnsi="宋体" w:cs="宋体"/>
                <w:sz w:val="24"/>
                <w:szCs w:val="24"/>
                <w:highlight w:val="none"/>
              </w:rPr>
              <w:t xml:space="preserve">，须向采购代理机构提交《开标一览表》和《分项价格表》的数据文件（WORD格式）及</w:t>
            </w:r>
            <w:r>
              <w:rPr>
                <w:rFonts w:hint="eastAsia" w:ascii="宋体" w:hAnsi="宋体" w:cs="宋体"/>
                <w:sz w:val="24"/>
                <w:szCs w:val="24"/>
                <w:highlight w:val="none"/>
                <w:lang w:val="en-US" w:eastAsia="zh-CN"/>
              </w:rPr>
              <w:t xml:space="preserve">纸质标书文件一式两份，正本一份，副本一份</w:t>
            </w:r>
            <w:r>
              <w:rPr>
                <w:rFonts w:hint="eastAsia" w:ascii="宋体" w:hAnsi="宋体" w:cs="宋体"/>
                <w:sz w:val="24"/>
                <w:szCs w:val="24"/>
                <w:highlight w:val="none"/>
              </w:rPr>
              <w:t xml:space="preserve">。</w:t>
            </w:r>
            <w:r/>
          </w:p>
        </w:tc>
      </w:tr>
    </w:tbl>
    <w:p>
      <w:pPr>
        <w:ind w:firstLine="600"/>
        <w:spacing w:line="240" w:lineRule="exact"/>
        <w:widowControl/>
        <w:rPr>
          <w:rFonts w:hint="eastAsia" w:ascii="宋体" w:hAnsi="宋体" w:cs="宋体"/>
          <w:sz w:val="30"/>
          <w:szCs w:val="30"/>
          <w:highlight w:val="none"/>
        </w:rPr>
      </w:pPr>
      <w:r/>
      <w:bookmarkStart w:id="8" w:name="_Toc522790133"/>
      <w:r/>
      <w:r/>
    </w:p>
    <w:p>
      <w:pPr>
        <w:spacing w:line="520" w:lineRule="exact"/>
        <w:widowControl/>
        <w:rPr>
          <w:rFonts w:hint="eastAsia" w:ascii="宋体" w:hAnsi="宋体" w:cs="宋体"/>
          <w:b/>
          <w:sz w:val="24"/>
          <w:szCs w:val="24"/>
          <w:highlight w:val="none"/>
        </w:rPr>
      </w:pPr>
      <w:r/>
      <w:bookmarkStart w:id="9" w:name="_Toc523404698"/>
      <w:r>
        <w:rPr>
          <w:rFonts w:hint="eastAsia" w:ascii="宋体" w:hAnsi="宋体" w:cs="宋体"/>
          <w:sz w:val="30"/>
          <w:szCs w:val="30"/>
          <w:highlight w:val="none"/>
        </w:rPr>
        <w:br w:type="page" w:clear="all"/>
      </w:r>
      <w:r>
        <w:rPr>
          <w:rFonts w:hint="eastAsia" w:ascii="宋体" w:hAnsi="宋体" w:cs="宋体"/>
          <w:color w:val="000000"/>
          <w:sz w:val="24"/>
          <w:szCs w:val="24"/>
          <w:highlight w:val="none"/>
        </w:rPr>
        <w:t xml:space="preserve">本章附件：</w:t>
      </w:r>
      <w:r>
        <w:rPr>
          <w:rFonts w:hint="eastAsia" w:ascii="宋体" w:hAnsi="宋体" w:cs="宋体"/>
          <w:b/>
          <w:color w:val="000000"/>
          <w:sz w:val="24"/>
          <w:szCs w:val="24"/>
          <w:highlight w:val="none"/>
        </w:rPr>
        <w:t xml:space="preserve">招标代理服务收费标准</w:t>
      </w:r>
      <w:r/>
    </w:p>
    <w:tbl>
      <w:tblPr>
        <w:tblStyle w:val="679"/>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1134"/>
        <w:gridCol w:w="1559"/>
        <w:gridCol w:w="1418"/>
        <w:gridCol w:w="1984"/>
      </w:tblGrid>
      <w:tr>
        <w:trPr>
          <w:jc w:val="center"/>
          <w:trHeight w:val="717"/>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p>
        </w:tc>
        <w:tc>
          <w:tcPr>
            <w:tcW w:w="1984"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收费上限</w:t>
            </w:r>
            <w:r/>
          </w:p>
        </w:tc>
      </w:tr>
      <w:tr>
        <w:trPr>
          <w:jc w:val="center"/>
          <w:trHeight w:val="24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tcW w:w="1984" w:type="dxa"/>
            <w:vAlign w:val="center"/>
            <w:vMerge w:val="restart"/>
            <w:textDirection w:val="lrTb"/>
            <w:noWrap w:val="false"/>
          </w:tcPr>
          <w:p>
            <w:pPr>
              <w:ind w:firstLine="21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最低5千元</w:t>
            </w:r>
            <w:r/>
          </w:p>
          <w:p>
            <w:pPr>
              <w:ind w:firstLine="21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万元</w:t>
            </w:r>
            <w:r/>
          </w:p>
          <w:p>
            <w:pPr>
              <w:ind w:firstLine="21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314" w:type="dxa"/>
            <w:vAlign w:val="center"/>
            <w:textDirection w:val="lrTb"/>
            <w:noWrap w:val="false"/>
          </w:tcPr>
          <w:p>
            <w:pPr>
              <w:jc w:val="center"/>
              <w:spacing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cs="宋体"/>
                <w:color w:val="333333"/>
                <w:sz w:val="24"/>
                <w:szCs w:val="24"/>
                <w:highlight w:val="none"/>
                <w:lang w:val="en-US" w:eastAsia="zh-CN"/>
              </w:rPr>
              <w:t xml:space="preserve">以上</w:t>
            </w:r>
            <w:r/>
          </w:p>
        </w:tc>
        <w:tc>
          <w:tcPr>
            <w:tcW w:w="113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559"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4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98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2.代理服务费按差额定率累进法计算。</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3.代理服务费基准金额（按差额定率累进法计算的）=中标金额（按差额定率累进法计算的） * 费率（%）</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5.计算出的代理服务费应收取金额如低于5千元，按5千元收取；如高于15万元，按15万元收取。</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6.定点类等无金额或事先不能计算出价格总额的项目，按中标（成交）金额100万元计算服务费。</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7.多个采购包（标段）项目按总项目中标（成交）金额收费，最高不超过15万元。</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8.以上价格为协会指导价，具体价格双方可协商确定。</w:t>
      </w:r>
      <w:r/>
    </w:p>
    <w:p>
      <w:pPr>
        <w:ind w:firstLine="560"/>
        <w:keepLines w:val="0"/>
        <w:keepNext w:val="0"/>
        <w:pageBreakBefore w:val="0"/>
        <w:spacing w:line="24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9.账户信息：</w:t>
      </w:r>
      <w:r/>
    </w:p>
    <w:p>
      <w:pPr>
        <w:ind w:firstLine="560"/>
        <w:keepLines w:val="0"/>
        <w:keepNext w:val="0"/>
        <w:pageBreakBefore w:val="0"/>
        <w:spacing w:line="24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户  名：永明项目管理有限公司华越分公司 </w:t>
      </w:r>
      <w:r/>
    </w:p>
    <w:p>
      <w:pPr>
        <w:ind w:firstLine="560"/>
        <w:keepLines w:val="0"/>
        <w:keepNext w:val="0"/>
        <w:pageBreakBefore w:val="0"/>
        <w:spacing w:line="24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开户行：中国建设银行股份有限公司徐州城中支行</w:t>
      </w:r>
      <w:r/>
    </w:p>
    <w:p>
      <w:pPr>
        <w:ind w:firstLine="560"/>
        <w:keepLines w:val="0"/>
        <w:keepNext w:val="0"/>
        <w:pageBreakBefore w:val="0"/>
        <w:spacing w:line="240"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账  号：32050171823600001863</w:t>
      </w:r>
      <w:r/>
    </w:p>
    <w:p>
      <w:pPr>
        <w:ind w:firstLine="675"/>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numPr>
          <w:ilvl w:val="0"/>
          <w:numId w:val="1"/>
        </w:numPr>
        <w:ind w:firstLine="420"/>
        <w:jc w:val="center"/>
        <w:spacing w:line="520" w:lineRule="exact"/>
        <w:widowControl/>
        <w:rPr>
          <w:rFonts w:hint="eastAsia" w:ascii="宋体" w:hAnsi="宋体" w:cs="宋体"/>
          <w:b/>
          <w:bCs/>
          <w:sz w:val="30"/>
          <w:szCs w:val="44"/>
          <w:highlight w:val="none"/>
        </w:rPr>
      </w:pPr>
      <w:r>
        <w:rPr>
          <w:rFonts w:hint="eastAsia" w:ascii="宋体" w:hAnsi="宋体" w:cs="宋体"/>
          <w:highlight w:val="none"/>
        </w:rPr>
        <w:br w:type="page" w:clear="all"/>
      </w:r>
      <w:r>
        <w:rPr>
          <w:rFonts w:hint="eastAsia" w:ascii="宋体" w:hAnsi="宋体" w:cs="宋体"/>
          <w:b/>
          <w:bCs/>
          <w:sz w:val="30"/>
          <w:szCs w:val="44"/>
          <w:highlight w:val="none"/>
        </w:rPr>
        <w:t xml:space="preserve"> 评标标准</w:t>
      </w:r>
      <w:bookmarkEnd w:id="8"/>
      <w:r/>
      <w:bookmarkEnd w:id="9"/>
      <w:r/>
      <w:r/>
    </w:p>
    <w:p>
      <w:pPr>
        <w:pStyle w:val="860"/>
        <w:jc w:val="center"/>
        <w:rPr>
          <w:rFonts w:hint="eastAsia"/>
          <w:b/>
          <w:bCs/>
          <w:highlight w:val="none"/>
        </w:rPr>
      </w:pPr>
      <w:r>
        <w:rPr>
          <w:rFonts w:hint="eastAsia"/>
          <w:b/>
          <w:bCs/>
          <w:highlight w:val="none"/>
        </w:rPr>
      </w:r>
      <w:r/>
    </w:p>
    <w:tbl>
      <w:tblPr>
        <w:tblStyle w:val="679"/>
        <w:tblW w:w="9630" w:type="dxa"/>
        <w:tblInd w:w="-6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90"/>
        <w:gridCol w:w="7635"/>
      </w:tblGrid>
      <w:tr>
        <w:trPr>
          <w:trHeight w:val="456"/>
          <w:tblHeader/>
        </w:trPr>
        <w:tc>
          <w:tcPr>
            <w:gridSpan w:val="2"/>
            <w:shd w:val="clear" w:color="auto" w:fill="ffffff"/>
            <w:tcW w:w="1995" w:type="dxa"/>
            <w:vAlign w:val="center"/>
            <w:textDirection w:val="lrTb"/>
            <w:noWrap w:val="false"/>
          </w:tcPr>
          <w:p>
            <w:pPr>
              <w:pStyle w:val="861"/>
              <w:jc w:val="center"/>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评审因素</w:t>
            </w:r>
            <w:r/>
          </w:p>
        </w:tc>
        <w:tc>
          <w:tcPr>
            <w:shd w:val="clear" w:color="auto" w:fill="ffffff"/>
            <w:tcW w:w="7635" w:type="dxa"/>
            <w:vAlign w:val="center"/>
            <w:textDirection w:val="lrTb"/>
            <w:noWrap w:val="false"/>
          </w:tcPr>
          <w:p>
            <w:pPr>
              <w:pStyle w:val="861"/>
              <w:jc w:val="center"/>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评审因素细化和量化</w:t>
            </w:r>
            <w:r/>
          </w:p>
        </w:tc>
      </w:tr>
      <w:tr>
        <w:trPr>
          <w:trHeight w:val="456"/>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价格（</w:t>
            </w:r>
            <w:r>
              <w:rPr>
                <w:rFonts w:hint="eastAsia" w:ascii="宋体" w:hAnsi="宋体" w:cs="仿宋_GB2312"/>
                <w:sz w:val="24"/>
                <w:szCs w:val="24"/>
                <w:highlight w:val="none"/>
                <w:lang w:val="en-US"/>
              </w:rPr>
              <w:t xml:space="preserve">10分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各投标人得分=最低评审价格÷各投标人评审价格×10分；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注：得分四舍五入保留小数点后</w:t>
            </w:r>
            <w:r>
              <w:rPr>
                <w:rFonts w:hint="eastAsia" w:ascii="宋体" w:hAnsi="宋体" w:cs="仿宋_GB2312"/>
                <w:b/>
                <w:bCs/>
                <w:sz w:val="24"/>
                <w:szCs w:val="24"/>
                <w:highlight w:val="none"/>
                <w:lang w:val="en-US"/>
              </w:rPr>
              <w:t xml:space="preserve">2</w:t>
            </w:r>
            <w:r>
              <w:rPr>
                <w:rFonts w:hint="eastAsia" w:ascii="宋体" w:hAnsi="宋体" w:cs="仿宋_GB2312"/>
                <w:b/>
                <w:bCs/>
                <w:sz w:val="24"/>
                <w:szCs w:val="24"/>
                <w:highlight w:val="none"/>
              </w:rPr>
              <w:t xml:space="preserve">位。</w:t>
            </w:r>
            <w:r/>
          </w:p>
        </w:tc>
      </w:tr>
      <w:tr>
        <w:trPr>
          <w:trHeight w:val="2713"/>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投标人业绩（</w:t>
            </w:r>
            <w:r>
              <w:rPr>
                <w:rFonts w:hint="eastAsia" w:ascii="宋体" w:hAnsi="宋体" w:cs="仿宋_GB2312"/>
                <w:sz w:val="24"/>
                <w:szCs w:val="24"/>
                <w:highlight w:val="none"/>
                <w:lang w:val="en-US"/>
              </w:rPr>
              <w:t xml:space="preserve">4分</w:t>
            </w:r>
            <w:r>
              <w:rPr>
                <w:rFonts w:hint="eastAsia" w:ascii="宋体" w:hAnsi="宋体" w:cs="仿宋_GB2312"/>
                <w:sz w:val="24"/>
                <w:szCs w:val="24"/>
                <w:highlight w:val="none"/>
              </w:rPr>
              <w:t xml:space="preserve">）</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rPr>
              <w:t xml:space="preserve">投标文件中提供投标人为乙方(卖方) ，合同签订日期在 2021</w:t>
            </w:r>
            <w:r>
              <w:rPr>
                <w:rFonts w:hint="eastAsia" w:ascii="宋体" w:hAnsi="宋体" w:cs="仿宋_GB2312"/>
                <w:sz w:val="24"/>
                <w:szCs w:val="24"/>
                <w:highlight w:val="none"/>
                <w:lang w:val="zh-CN"/>
              </w:rPr>
              <w:t xml:space="preserve">年</w:t>
            </w:r>
            <w:r>
              <w:rPr>
                <w:rFonts w:hint="eastAsia" w:ascii="宋体" w:hAnsi="宋体" w:cs="仿宋_GB2312"/>
                <w:sz w:val="24"/>
                <w:szCs w:val="24"/>
                <w:highlight w:val="none"/>
                <w:lang w:val="en-US" w:eastAsia="zh-CN"/>
              </w:rPr>
              <w:t xml:space="preserve">9</w:t>
            </w:r>
            <w:r>
              <w:rPr>
                <w:rFonts w:hint="eastAsia" w:ascii="宋体" w:hAnsi="宋体" w:cs="仿宋_GB2312"/>
                <w:sz w:val="24"/>
                <w:szCs w:val="24"/>
                <w:highlight w:val="none"/>
                <w:lang w:val="zh-CN"/>
              </w:rPr>
              <w:t xml:space="preserve">月1日（以合同签订时间为准）至今，投标人承担过国家机关组织的抽检任务的（</w:t>
            </w:r>
            <w:r>
              <w:rPr>
                <w:rFonts w:hint="eastAsia" w:ascii="宋体" w:hAnsi="宋体" w:cs="仿宋_GB2312"/>
                <w:sz w:val="24"/>
                <w:szCs w:val="24"/>
                <w:highlight w:val="none"/>
              </w:rPr>
              <w:t xml:space="preserve">包含监督抽检、风险监测、评价性抽检、专项抽检等</w:t>
            </w:r>
            <w:r>
              <w:rPr>
                <w:rFonts w:hint="eastAsia" w:ascii="宋体" w:hAnsi="宋体" w:cs="仿宋_GB2312"/>
                <w:sz w:val="24"/>
                <w:szCs w:val="24"/>
                <w:highlight w:val="none"/>
                <w:lang w:val="zh-CN"/>
              </w:rPr>
              <w:t xml:space="preserve">），合同内容为同类食品安全抽样检测项目相关业绩材料复印件(检测合同或任务委托书等)。每提供一份得 2 分，同一采购人同样业务不同年份的业绩算一份，本项最高得 4 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lang w:val="zh-CN"/>
              </w:rPr>
              <w:t xml:space="preserve">注：</w:t>
            </w:r>
            <w:r>
              <w:rPr>
                <w:rFonts w:hint="eastAsia" w:ascii="宋体" w:hAnsi="宋体" w:cs="仿宋_GB2312"/>
                <w:b/>
                <w:bCs/>
                <w:sz w:val="24"/>
                <w:szCs w:val="24"/>
                <w:highlight w:val="none"/>
              </w:rPr>
              <w:t xml:space="preserve">投标人应提供合同或委托书等证明文件的主要内容页和签字盖章页的扫描件。</w:t>
            </w:r>
            <w:r/>
          </w:p>
        </w:tc>
      </w:tr>
      <w:tr>
        <w:trPr>
          <w:trHeight w:val="9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综合覆盖率专业类产品检测能力（</w:t>
            </w:r>
            <w:r>
              <w:rPr>
                <w:rFonts w:hint="eastAsia" w:ascii="宋体" w:hAnsi="宋体" w:cs="仿宋_GB2312"/>
                <w:sz w:val="24"/>
                <w:szCs w:val="24"/>
                <w:highlight w:val="none"/>
                <w:lang w:val="en-US"/>
              </w:rPr>
              <w:t xml:space="preserve">4</w:t>
            </w:r>
            <w:r>
              <w:rPr>
                <w:rFonts w:hint="eastAsia" w:ascii="宋体" w:hAnsi="宋体" w:cs="仿宋_GB2312"/>
                <w:sz w:val="24"/>
                <w:szCs w:val="24"/>
                <w:highlight w:val="none"/>
              </w:rPr>
              <w:t xml:space="preserve">分）</w:t>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投标人具有与承检任务相适应的综合覆盖率，检测品种、检测项目，《国家</w:t>
            </w:r>
            <w:r>
              <w:rPr>
                <w:rFonts w:hint="eastAsia" w:ascii="宋体" w:hAnsi="宋体" w:cs="仿宋_GB2312"/>
                <w:sz w:val="24"/>
                <w:szCs w:val="24"/>
                <w:highlight w:val="none"/>
                <w:lang w:eastAsia="zh-CN"/>
              </w:rPr>
              <w:t xml:space="preserve">徐州市市场监督管理局食品安全监督抽检</w:t>
            </w:r>
            <w:r>
              <w:rPr>
                <w:rFonts w:hint="eastAsia" w:ascii="宋体" w:hAnsi="宋体" w:cs="仿宋_GB2312"/>
                <w:sz w:val="24"/>
                <w:szCs w:val="24"/>
                <w:highlight w:val="none"/>
              </w:rPr>
              <w:t xml:space="preserve">实施细则》2024版综合覆盖率不足98%不得分，覆盖率100%为4分，每降低1%扣2分，扣完为止。本项最高得4分，最低得0分。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注：须按照《国家</w:t>
            </w:r>
            <w:r>
              <w:rPr>
                <w:rFonts w:hint="eastAsia" w:ascii="宋体" w:hAnsi="宋体" w:cs="仿宋_GB2312"/>
                <w:b/>
                <w:bCs/>
                <w:sz w:val="24"/>
                <w:szCs w:val="24"/>
                <w:highlight w:val="none"/>
                <w:lang w:eastAsia="zh-CN"/>
              </w:rPr>
              <w:t xml:space="preserve">徐州市市场监督管理局食品安全监督抽检</w:t>
            </w:r>
            <w:r>
              <w:rPr>
                <w:rFonts w:hint="eastAsia" w:ascii="宋体" w:hAnsi="宋体" w:cs="仿宋_GB2312"/>
                <w:b/>
                <w:bCs/>
                <w:sz w:val="24"/>
                <w:szCs w:val="24"/>
                <w:highlight w:val="none"/>
              </w:rPr>
              <w:t xml:space="preserve">实施细则》2024版食品类别、品种、项目提供其计量认证证书对应具体页码、项目号明细，扫描后加盖投标人公章。</w:t>
            </w:r>
            <w:r/>
          </w:p>
        </w:tc>
      </w:tr>
      <w:tr>
        <w:trPr>
          <w:trHeight w:val="78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项目人员（</w:t>
            </w:r>
            <w:r>
              <w:rPr>
                <w:rFonts w:hint="eastAsia" w:ascii="宋体" w:hAnsi="宋体" w:cs="仿宋_GB2312"/>
                <w:sz w:val="24"/>
                <w:szCs w:val="24"/>
                <w:highlight w:val="none"/>
                <w:lang w:val="en-US"/>
              </w:rPr>
              <w:t xml:space="preserve">8分</w:t>
            </w:r>
            <w:r>
              <w:rPr>
                <w:rFonts w:hint="eastAsia" w:ascii="宋体" w:hAnsi="宋体" w:cs="仿宋_GB2312"/>
                <w:sz w:val="24"/>
                <w:szCs w:val="24"/>
                <w:highlight w:val="none"/>
              </w:rPr>
              <w:t xml:space="preserve">）</w:t>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拟投入本项目的团队配置：</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1、具有专职食品检验人员的数量：24人以下不得分，24人得1分，每增加5人加0.5分，满分 2 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2、具有承担食品抽检工作的专职抽样人员：8人以下不得分，8人得1分，每增加1人加0.5分，满分 2 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 从事食品检验工作的副高级及以上技术职称人员数量：4人以下不得分，4人得1分，每增加1人加0.5分，满分2分。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4、项目负责人能力：</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（1）具有研究生学历，高级职称，从事食品抽检工作年限5年以上、经验丰富、专业水平高、管理能力强，得2分；</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（2）具有本科学历，高级职称，从事食品抽检工作年限3年以上、经验较丰富、专业水平较高、管理能力较强，得1 分； </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（3）具有专科学历，中级职称，经验较丰富，具有一定的专业水平和管理能力，得 0.5 分； </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en-US"/>
              </w:rPr>
              <w:t xml:space="preserve">（4）专科学历以下或中级职称以下，经验欠缺的，得 0 分。</w:t>
            </w:r>
            <w:r/>
          </w:p>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注：（1）以上项目人员需在投标文件人员配备表中明确相关信息（姓名、岗位、职称</w:t>
            </w:r>
            <w:r>
              <w:rPr>
                <w:rFonts w:hint="eastAsia" w:ascii="宋体" w:hAnsi="宋体" w:cs="仿宋_GB2312"/>
                <w:b/>
                <w:bCs/>
                <w:sz w:val="24"/>
                <w:szCs w:val="24"/>
                <w:highlight w:val="none"/>
                <w:lang w:val="en-US"/>
              </w:rPr>
              <w:t xml:space="preserve">、工作年限</w:t>
            </w:r>
            <w:r>
              <w:rPr>
                <w:rFonts w:hint="eastAsia" w:ascii="宋体" w:hAnsi="宋体" w:cs="仿宋_GB2312"/>
                <w:b/>
                <w:bCs/>
                <w:sz w:val="24"/>
                <w:szCs w:val="24"/>
                <w:highlight w:val="none"/>
              </w:rPr>
              <w:t xml:space="preserve">等），否则不得分；</w:t>
            </w:r>
            <w:r/>
          </w:p>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（2）抽样人员与检验人员不得重复，重复的不计分；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（3）以上项目人员，提供近</w:t>
            </w:r>
            <w:r>
              <w:rPr>
                <w:rFonts w:hint="eastAsia" w:ascii="宋体" w:hAnsi="宋体" w:cs="仿宋_GB2312"/>
                <w:b/>
                <w:bCs/>
                <w:sz w:val="24"/>
                <w:szCs w:val="24"/>
                <w:highlight w:val="none"/>
                <w:lang w:val="en-US"/>
              </w:rPr>
              <w:t xml:space="preserve">三个月内</w:t>
            </w:r>
            <w:r>
              <w:rPr>
                <w:rFonts w:hint="eastAsia" w:ascii="宋体" w:hAnsi="宋体" w:cs="仿宋_GB2312"/>
                <w:b/>
                <w:bCs/>
                <w:sz w:val="24"/>
                <w:szCs w:val="24"/>
                <w:highlight w:val="none"/>
              </w:rPr>
              <w:t xml:space="preserve">在投标人单位缴纳社保证明材料，劳务派遣人员提供用工合同。</w:t>
            </w:r>
            <w:r/>
          </w:p>
        </w:tc>
      </w:tr>
      <w:tr>
        <w:trPr>
          <w:trHeight w:val="833"/>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实验场所（</w:t>
            </w:r>
            <w:r>
              <w:rPr>
                <w:rFonts w:hint="eastAsia" w:ascii="宋体" w:hAnsi="宋体" w:cs="仿宋_GB2312"/>
                <w:sz w:val="24"/>
                <w:szCs w:val="24"/>
                <w:highlight w:val="none"/>
                <w:lang w:val="en-US"/>
              </w:rPr>
              <w:t xml:space="preserve">5分</w:t>
            </w:r>
            <w:r>
              <w:rPr>
                <w:rFonts w:hint="eastAsia" w:ascii="宋体" w:hAnsi="宋体" w:cs="仿宋_GB2312"/>
                <w:sz w:val="24"/>
                <w:szCs w:val="24"/>
                <w:highlight w:val="none"/>
              </w:rPr>
              <w:t xml:space="preserve">）</w:t>
            </w:r>
            <w:r/>
          </w:p>
        </w:tc>
        <w:tc>
          <w:tcPr>
            <w:shd w:val="clear" w:color="auto" w:fill="ffffff"/>
            <w:tcW w:w="763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开展食品安全抽样检验工作实验场所面积：</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1、面积≥5000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，得</w:t>
            </w:r>
            <w:r>
              <w:rPr>
                <w:rFonts w:hint="eastAsia" w:ascii="宋体" w:hAnsi="宋体" w:cs="仿宋_GB2312"/>
                <w:sz w:val="24"/>
                <w:szCs w:val="24"/>
                <w:highlight w:val="none"/>
                <w:lang w:val="en-US"/>
              </w:rPr>
              <w:t xml:space="preserve">5</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2、3000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≤面积＜5000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，得 3 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3、面积＜3000 </w:t>
            </w:r>
            <w:r>
              <w:rPr>
                <w:rFonts w:hint="eastAsia" w:ascii="宋体" w:hAnsi="宋体" w:cs="仿宋_GB2312"/>
                <w:sz w:val="24"/>
                <w:szCs w:val="24"/>
                <w:highlight w:val="none"/>
                <w:lang w:val="en-US"/>
              </w:rPr>
              <w:t xml:space="preserve">m2</w:t>
            </w:r>
            <w:r>
              <w:rPr>
                <w:rFonts w:hint="eastAsia" w:ascii="宋体" w:hAnsi="宋体" w:cs="仿宋_GB2312"/>
                <w:sz w:val="24"/>
                <w:szCs w:val="24"/>
                <w:highlight w:val="none"/>
              </w:rPr>
              <w:t xml:space="preserve">，得 </w:t>
            </w:r>
            <w:r>
              <w:rPr>
                <w:rFonts w:hint="eastAsia" w:ascii="宋体" w:hAnsi="宋体" w:cs="仿宋_GB2312"/>
                <w:sz w:val="24"/>
                <w:szCs w:val="24"/>
                <w:highlight w:val="none"/>
                <w:lang w:val="en-US"/>
              </w:rPr>
              <w:t xml:space="preserve">0</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1）投标人须承诺抽样检验的实验室为投标人自有实验室，并提供承诺书。采购人有权在合同签订前进行现场考察，一旦发现弄虚作假，将取消中标资格，并报有关部门严肃处理；（2）提供抽样检验场所的房产证或所有权证明文件或服务期内有效的房屋租赁合同加发票扫描件及相关证明材料；（3）提供食品实验室平面布局图，并提供各组成部分面积清单；（4）未达到上述要求或未提供有效证明文件的不得分。</w:t>
            </w:r>
            <w:r/>
          </w:p>
        </w:tc>
      </w:tr>
      <w:tr>
        <w:trPr>
          <w:trHeight w:val="9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应急时间响应（6分）</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抽检样品进入实验室单程服务时限在1小时内得6分，1-2小时得4分，2-3小时得3分，3-4小时得2分，多于4小时得1分。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响应文件中提供承诺函及相关证明材料。</w:t>
            </w:r>
            <w:r/>
          </w:p>
        </w:tc>
      </w:tr>
      <w:tr>
        <w:trPr>
          <w:trHeight w:val="1108"/>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实验室设备（</w:t>
            </w:r>
            <w:r>
              <w:rPr>
                <w:rFonts w:hint="eastAsia" w:ascii="宋体" w:hAnsi="宋体" w:cs="仿宋_GB2312"/>
                <w:sz w:val="24"/>
                <w:szCs w:val="24"/>
                <w:highlight w:val="none"/>
                <w:lang w:val="en-US"/>
              </w:rPr>
              <w:t xml:space="preserve">6分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lang w:val="zh-CN"/>
              </w:rPr>
              <w:t xml:space="preserve">基本要求：</w:t>
            </w:r>
            <w:r>
              <w:rPr>
                <w:rFonts w:hint="eastAsia" w:ascii="宋体" w:hAnsi="宋体" w:cs="仿宋_GB2312"/>
                <w:sz w:val="24"/>
                <w:szCs w:val="24"/>
                <w:highlight w:val="none"/>
              </w:rPr>
              <w:t xml:space="preserve">具有用于动物源性成分和转基因成分鉴定的分子生物学实验室、实时荧光PCR仪。需至少具有液质联用仪2台、液相色谱仪4台、气相色谱仪3台、气质联用仪1台、电感耦合等离子体质谱仪（ICP-MS）1台、原子荧光光谱仪2台仪器设备。</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在满足以上基本要求的基础上，每增加一台液质联用仪或一台气质联用仪的得</w:t>
            </w:r>
            <w:r>
              <w:rPr>
                <w:rFonts w:hint="eastAsia" w:ascii="宋体" w:hAnsi="宋体" w:cs="仿宋_GB2312"/>
                <w:sz w:val="24"/>
                <w:szCs w:val="24"/>
                <w:highlight w:val="none"/>
              </w:rPr>
              <w:t xml:space="preserve">2</w:t>
            </w:r>
            <w:r>
              <w:rPr>
                <w:rFonts w:hint="eastAsia" w:ascii="宋体" w:hAnsi="宋体" w:cs="仿宋_GB2312"/>
                <w:sz w:val="24"/>
                <w:szCs w:val="24"/>
                <w:highlight w:val="none"/>
                <w:lang w:val="zh-CN"/>
              </w:rPr>
              <w:t xml:space="preserve">分，最高得</w:t>
            </w:r>
            <w:r>
              <w:rPr>
                <w:rFonts w:hint="eastAsia" w:ascii="宋体" w:hAnsi="宋体" w:cs="仿宋_GB2312"/>
                <w:sz w:val="24"/>
                <w:szCs w:val="24"/>
                <w:highlight w:val="none"/>
              </w:rPr>
              <w:t xml:space="preserve">6</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（提供上述仪器设备购置清单、发票等证明材料扫描件，并加盖投标人公章）</w:t>
            </w:r>
            <w:r/>
          </w:p>
        </w:tc>
      </w:tr>
      <w:tr>
        <w:trPr>
          <w:trHeight w:val="5434"/>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采样设备（</w:t>
            </w:r>
            <w:r>
              <w:rPr>
                <w:rFonts w:hint="eastAsia" w:ascii="宋体" w:hAnsi="宋体" w:cs="仿宋_GB2312"/>
                <w:sz w:val="24"/>
                <w:szCs w:val="24"/>
                <w:highlight w:val="none"/>
                <w:lang w:val="en-US"/>
              </w:rPr>
              <w:t xml:space="preserve">6分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根据投标人配备的满足采购人项目需求中有关采样需求的工作装备设备的采样设备能力进行评分（</w:t>
            </w:r>
            <w:r>
              <w:rPr>
                <w:rFonts w:hint="eastAsia" w:ascii="宋体" w:hAnsi="宋体" w:cs="仿宋_GB2312"/>
                <w:sz w:val="24"/>
                <w:szCs w:val="24"/>
                <w:highlight w:val="none"/>
              </w:rPr>
              <w:t xml:space="preserve">6</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1</w:t>
            </w:r>
            <w:r>
              <w:rPr>
                <w:rFonts w:hint="eastAsia" w:ascii="宋体" w:hAnsi="宋体" w:cs="仿宋_GB2312"/>
                <w:sz w:val="24"/>
                <w:szCs w:val="24"/>
                <w:highlight w:val="none"/>
              </w:rPr>
              <w:t xml:space="preserve">.</w:t>
            </w:r>
            <w:r>
              <w:rPr>
                <w:rFonts w:hint="eastAsia" w:ascii="宋体" w:hAnsi="宋体" w:cs="仿宋_GB2312"/>
                <w:sz w:val="24"/>
                <w:szCs w:val="24"/>
                <w:highlight w:val="none"/>
                <w:lang w:val="zh-CN"/>
              </w:rPr>
              <w:t xml:space="preserve">用于食品采样的车辆不少于 </w:t>
            </w:r>
            <w:r>
              <w:rPr>
                <w:rFonts w:hint="eastAsia" w:ascii="宋体" w:hAnsi="宋体" w:cs="仿宋_GB2312"/>
                <w:sz w:val="24"/>
                <w:szCs w:val="24"/>
                <w:highlight w:val="none"/>
              </w:rPr>
              <w:t xml:space="preserve">4</w:t>
            </w:r>
            <w:r>
              <w:rPr>
                <w:rFonts w:hint="eastAsia" w:ascii="宋体" w:hAnsi="宋体" w:cs="仿宋_GB2312"/>
                <w:sz w:val="24"/>
                <w:szCs w:val="24"/>
                <w:highlight w:val="none"/>
                <w:lang w:val="zh-CN"/>
              </w:rPr>
              <w:t xml:space="preserve">台（其中冷藏车不少于1台），同时满足得 </w:t>
            </w:r>
            <w:r>
              <w:rPr>
                <w:rFonts w:hint="eastAsia" w:ascii="宋体" w:hAnsi="宋体" w:cs="仿宋_GB2312"/>
                <w:sz w:val="24"/>
                <w:szCs w:val="24"/>
                <w:highlight w:val="none"/>
              </w:rPr>
              <w:t xml:space="preserve">2</w:t>
            </w:r>
            <w:r>
              <w:rPr>
                <w:rFonts w:hint="eastAsia" w:ascii="宋体" w:hAnsi="宋体" w:cs="仿宋_GB2312"/>
                <w:sz w:val="24"/>
                <w:szCs w:val="24"/>
                <w:highlight w:val="none"/>
                <w:lang w:val="zh-CN"/>
              </w:rPr>
              <w:t xml:space="preserve">分；未同时满足得1分； </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其他不得分（</w:t>
            </w:r>
            <w:r>
              <w:rPr>
                <w:rFonts w:hint="eastAsia" w:ascii="宋体" w:hAnsi="宋体" w:cs="仿宋_GB2312"/>
                <w:sz w:val="24"/>
                <w:szCs w:val="24"/>
                <w:highlight w:val="none"/>
              </w:rPr>
              <w:t xml:space="preserve">2</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b/>
                <w:bCs/>
                <w:sz w:val="24"/>
                <w:szCs w:val="24"/>
                <w:highlight w:val="none"/>
                <w:lang w:val="zh-CN"/>
              </w:rPr>
              <w:t xml:space="preserve">注：上述评分点需提供有效的供应商购置或租赁的证明材料，如购置发票、有效租赁合同。</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zh-CN"/>
              </w:rPr>
              <w:t xml:space="preserve">2</w:t>
            </w:r>
            <w:r>
              <w:rPr>
                <w:rFonts w:hint="eastAsia" w:ascii="宋体" w:hAnsi="宋体" w:cs="仿宋_GB2312"/>
                <w:sz w:val="24"/>
                <w:szCs w:val="24"/>
                <w:highlight w:val="none"/>
              </w:rPr>
              <w:t xml:space="preserve">.</w:t>
            </w:r>
            <w:r>
              <w:rPr>
                <w:rFonts w:hint="eastAsia" w:ascii="宋体" w:hAnsi="宋体" w:cs="仿宋_GB2312"/>
                <w:sz w:val="24"/>
                <w:szCs w:val="24"/>
                <w:highlight w:val="none"/>
                <w:lang w:val="zh-CN"/>
              </w:rPr>
              <w:t xml:space="preserve">配备投标人独立购置的用于采样过程取证的执法记录仪，不少于</w:t>
            </w:r>
            <w:r>
              <w:rPr>
                <w:rFonts w:hint="eastAsia" w:ascii="宋体" w:hAnsi="宋体" w:cs="仿宋_GB2312"/>
                <w:sz w:val="24"/>
                <w:szCs w:val="24"/>
                <w:highlight w:val="none"/>
              </w:rPr>
              <w:t xml:space="preserve">4</w:t>
            </w:r>
            <w:r>
              <w:rPr>
                <w:rFonts w:hint="eastAsia" w:ascii="宋体" w:hAnsi="宋体" w:cs="仿宋_GB2312"/>
                <w:sz w:val="24"/>
                <w:szCs w:val="24"/>
                <w:highlight w:val="none"/>
                <w:lang w:val="zh-CN"/>
              </w:rPr>
              <w:t xml:space="preserve">部，得2分；不满足不得分（2分）。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3.配备投标人独立购置的用于食品保存的车载冰箱，不少于4台得1分，不满足不得分（1分）。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4.配备投标人独立购置的用于食品采样后保存样品的保温箱，不少于4个得1分，不满足不得分（1分）。</w:t>
            </w:r>
            <w:r/>
          </w:p>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注：本评分项上述第2、3、4评分点需提供投标人自有购置发票或采购合同等相关证明材料（不含租赁）。</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（2）本评分项1-4所有评分点证明资料不完整或证明材料与投标人不一致、不清晰、不明确、不符合要求者均不得分。</w:t>
            </w:r>
            <w:r/>
          </w:p>
        </w:tc>
      </w:tr>
      <w:tr>
        <w:trPr>
          <w:trHeight w:val="90"/>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实验室能力（</w:t>
            </w:r>
            <w:r>
              <w:rPr>
                <w:rFonts w:hint="eastAsia" w:ascii="宋体" w:hAnsi="宋体" w:cs="仿宋_GB2312"/>
                <w:sz w:val="24"/>
                <w:szCs w:val="24"/>
                <w:highlight w:val="none"/>
                <w:lang w:val="en-US"/>
              </w:rPr>
              <w:t xml:space="preserve">6分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1、具备农产品质量安全检测机构证书CATL。2分</w:t>
            </w:r>
            <w:r/>
          </w:p>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2、具备CNAS实验室认可证书。1分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en-US"/>
              </w:rPr>
              <w:t xml:space="preserve">3、具备质量管理体系、环境管理体系、职业健康安全管理体系证书。</w:t>
            </w:r>
            <w:r>
              <w:rPr>
                <w:rFonts w:hint="eastAsia" w:ascii="宋体" w:hAnsi="宋体" w:cs="仿宋_GB2312"/>
                <w:sz w:val="24"/>
                <w:szCs w:val="24"/>
                <w:highlight w:val="none"/>
              </w:rPr>
              <w:t xml:space="preserve">具备质量管理体系证书得2分，环境管理体系、职业健康安全管理体系证书每提供一个得0.5分，满分3分。</w:t>
            </w:r>
            <w:r/>
          </w:p>
          <w:p>
            <w:pPr>
              <w:pStyle w:val="861"/>
              <w:rPr>
                <w:rFonts w:hint="eastAsia" w:ascii="宋体" w:hAnsi="宋体" w:cs="仿宋_GB2312"/>
                <w:sz w:val="24"/>
                <w:szCs w:val="24"/>
                <w:highlight w:val="none"/>
                <w:lang w:val="en-US"/>
              </w:rPr>
            </w:pPr>
            <w:r>
              <w:rPr>
                <w:rFonts w:hint="eastAsia" w:ascii="宋体" w:hAnsi="宋体" w:cs="仿宋_GB2312"/>
                <w:b/>
                <w:bCs/>
                <w:sz w:val="24"/>
                <w:szCs w:val="24"/>
                <w:highlight w:val="none"/>
                <w:lang w:val="en-US"/>
              </w:rPr>
              <w:t xml:space="preserve">注：需提供相关证书或证明文件</w:t>
            </w:r>
            <w:r/>
          </w:p>
        </w:tc>
      </w:tr>
      <w:tr>
        <w:trPr>
          <w:trHeight w:val="1647"/>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实验室能力验证（</w:t>
            </w:r>
            <w:r>
              <w:rPr>
                <w:rFonts w:hint="eastAsia" w:ascii="宋体" w:hAnsi="宋体" w:cs="仿宋_GB2312"/>
                <w:sz w:val="24"/>
                <w:szCs w:val="24"/>
                <w:highlight w:val="none"/>
                <w:lang w:val="en-US"/>
              </w:rPr>
              <w:t xml:space="preserve">3分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自</w:t>
            </w:r>
            <w:r>
              <w:rPr>
                <w:rFonts w:hint="eastAsia" w:ascii="宋体" w:hAnsi="宋体" w:cs="仿宋_GB2312"/>
                <w:sz w:val="24"/>
                <w:szCs w:val="24"/>
                <w:highlight w:val="none"/>
                <w:lang w:val="en-US"/>
              </w:rPr>
              <w:t xml:space="preserve">2022</w:t>
            </w:r>
            <w:r>
              <w:rPr>
                <w:rFonts w:hint="eastAsia" w:ascii="宋体" w:hAnsi="宋体" w:cs="仿宋_GB2312"/>
                <w:sz w:val="24"/>
                <w:szCs w:val="24"/>
                <w:highlight w:val="none"/>
              </w:rPr>
              <w:t xml:space="preserve">年1月1日以来，投标人参加过国际、国内相关机构组织的食品检测项目的实验室能力验证或市场监管部门组织的盲样考核，并获得满意结果的， 每次 0.2 分，满分 </w:t>
            </w:r>
            <w:r>
              <w:rPr>
                <w:rFonts w:hint="eastAsia" w:ascii="宋体" w:hAnsi="宋体" w:cs="仿宋_GB2312"/>
                <w:sz w:val="24"/>
                <w:szCs w:val="24"/>
                <w:highlight w:val="none"/>
                <w:lang w:val="en-US"/>
              </w:rPr>
              <w:t xml:space="preserve">3</w:t>
            </w:r>
            <w:r>
              <w:rPr>
                <w:rFonts w:hint="eastAsia" w:ascii="宋体" w:hAnsi="宋体" w:cs="仿宋_GB2312"/>
                <w:sz w:val="24"/>
                <w:szCs w:val="24"/>
                <w:highlight w:val="none"/>
              </w:rPr>
              <w:t xml:space="preserve"> 分。</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注：需提供能力验证报告或证明结果满意的证书扫描件，获得不满意结果的或未提供有效证明文件的不得分。</w:t>
            </w:r>
            <w:r/>
          </w:p>
        </w:tc>
      </w:tr>
      <w:tr>
        <w:trPr>
          <w:trHeight w:val="1755"/>
        </w:trPr>
        <w:tc>
          <w:tcPr>
            <w:gridSpan w:val="2"/>
            <w:shd w:val="clear" w:color="auto" w:fill="ffffff"/>
            <w:tcW w:w="1995"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食品抽检数据质量（</w:t>
            </w:r>
            <w:r>
              <w:rPr>
                <w:rFonts w:hint="eastAsia" w:ascii="宋体" w:hAnsi="宋体" w:cs="仿宋_GB2312"/>
                <w:sz w:val="24"/>
                <w:szCs w:val="24"/>
                <w:highlight w:val="none"/>
                <w:lang w:val="en-US"/>
              </w:rPr>
              <w:t xml:space="preserve">5分</w:t>
            </w:r>
            <w:r>
              <w:rPr>
                <w:rFonts w:hint="eastAsia" w:ascii="宋体" w:hAnsi="宋体" w:cs="仿宋_GB2312"/>
                <w:sz w:val="24"/>
                <w:szCs w:val="24"/>
                <w:highlight w:val="none"/>
              </w:rPr>
              <w:t xml:space="preserve">）</w:t>
            </w:r>
            <w:r/>
          </w:p>
        </w:tc>
        <w:tc>
          <w:tcPr>
            <w:shd w:val="clear" w:color="auto" w:fill="ffffff"/>
            <w:tcW w:w="7635" w:type="dxa"/>
            <w:textDirection w:val="lrTb"/>
            <w:noWrap w:val="false"/>
          </w:tcPr>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在食品抽检数据质量抽查中（以2022年至今数据为准）准确率达到9</w:t>
            </w:r>
            <w:r>
              <w:rPr>
                <w:rFonts w:hint="eastAsia" w:ascii="宋体" w:hAnsi="宋体" w:cs="仿宋_GB2312"/>
                <w:sz w:val="24"/>
                <w:szCs w:val="24"/>
                <w:highlight w:val="none"/>
              </w:rPr>
              <w:t xml:space="preserve">9</w:t>
            </w:r>
            <w:r>
              <w:rPr>
                <w:rFonts w:hint="eastAsia" w:ascii="宋体" w:hAnsi="宋体" w:cs="仿宋_GB2312"/>
                <w:sz w:val="24"/>
                <w:szCs w:val="24"/>
                <w:highlight w:val="none"/>
                <w:lang w:val="zh-CN"/>
              </w:rPr>
              <w:t xml:space="preserve">%的得1分，低于9</w:t>
            </w:r>
            <w:r>
              <w:rPr>
                <w:rFonts w:hint="eastAsia" w:ascii="宋体" w:hAnsi="宋体" w:cs="仿宋_GB2312"/>
                <w:sz w:val="24"/>
                <w:szCs w:val="24"/>
                <w:highlight w:val="none"/>
              </w:rPr>
              <w:t xml:space="preserve">9</w:t>
            </w:r>
            <w:r>
              <w:rPr>
                <w:rFonts w:hint="eastAsia" w:ascii="宋体" w:hAnsi="宋体" w:cs="仿宋_GB2312"/>
                <w:sz w:val="24"/>
                <w:szCs w:val="24"/>
                <w:highlight w:val="none"/>
                <w:lang w:val="zh-CN"/>
              </w:rPr>
              <w:t xml:space="preserve">%的不得分，每增加0.</w:t>
            </w:r>
            <w:r>
              <w:rPr>
                <w:rFonts w:hint="eastAsia" w:ascii="宋体" w:hAnsi="宋体" w:cs="仿宋_GB2312"/>
                <w:sz w:val="24"/>
                <w:szCs w:val="24"/>
                <w:highlight w:val="none"/>
              </w:rPr>
              <w:t xml:space="preserve">25</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rPr>
              <w:t xml:space="preserve">1</w:t>
            </w:r>
            <w:r>
              <w:rPr>
                <w:rFonts w:hint="eastAsia" w:ascii="宋体" w:hAnsi="宋体" w:cs="仿宋_GB2312"/>
                <w:sz w:val="24"/>
                <w:szCs w:val="24"/>
                <w:highlight w:val="none"/>
                <w:lang w:val="zh-CN"/>
              </w:rPr>
              <w:t xml:space="preserve">分，最高得</w:t>
            </w:r>
            <w:r>
              <w:rPr>
                <w:rFonts w:hint="eastAsia" w:ascii="宋体" w:hAnsi="宋体" w:cs="仿宋_GB2312"/>
                <w:sz w:val="24"/>
                <w:szCs w:val="24"/>
                <w:highlight w:val="none"/>
              </w:rPr>
              <w:t xml:space="preserve">5</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val="zh-CN"/>
              </w:rPr>
              <w:t xml:space="preserve">须提供市场监管局的证明。</w:t>
            </w:r>
            <w:r/>
          </w:p>
          <w:p>
            <w:pPr>
              <w:pStyle w:val="861"/>
              <w:rPr>
                <w:rFonts w:hint="eastAsia" w:ascii="宋体" w:hAnsi="宋体" w:cs="仿宋_GB2312"/>
                <w:sz w:val="24"/>
                <w:szCs w:val="24"/>
                <w:highlight w:val="none"/>
              </w:rPr>
            </w:pPr>
            <w:r>
              <w:rPr>
                <w:rFonts w:hint="eastAsia" w:ascii="宋体" w:hAnsi="宋体" w:cs="仿宋_GB2312"/>
                <w:b/>
                <w:bCs/>
                <w:sz w:val="24"/>
                <w:szCs w:val="24"/>
                <w:highlight w:val="none"/>
              </w:rPr>
              <w:t xml:space="preserve">注：需提供承诺函及相关证明材料原件扫描件。（承诺函格式自拟）</w:t>
            </w:r>
            <w:r/>
          </w:p>
        </w:tc>
      </w:tr>
      <w:tr>
        <w:trPr>
          <w:trHeight w:val="726"/>
        </w:trPr>
        <w:tc>
          <w:tcPr>
            <w:shd w:val="clear" w:color="auto" w:fill="ffffff"/>
            <w:tcW w:w="705" w:type="dxa"/>
            <w:vAlign w:val="center"/>
            <w:vMerge w:val="restart"/>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服务方案（</w:t>
            </w:r>
            <w:r>
              <w:rPr>
                <w:rFonts w:hint="eastAsia" w:ascii="宋体" w:hAnsi="宋体" w:cs="仿宋_GB2312"/>
                <w:sz w:val="24"/>
                <w:szCs w:val="24"/>
                <w:highlight w:val="none"/>
                <w:lang w:val="en-US"/>
              </w:rPr>
              <w:t xml:space="preserve">3</w:t>
            </w:r>
            <w:r>
              <w:rPr>
                <w:rFonts w:hint="eastAsia" w:ascii="宋体" w:hAnsi="宋体" w:cs="仿宋_GB2312"/>
                <w:sz w:val="24"/>
                <w:szCs w:val="24"/>
                <w:highlight w:val="none"/>
                <w:lang w:val="en-US" w:eastAsia="zh-CN"/>
              </w:rPr>
              <w:t xml:space="preserve">7</w:t>
            </w:r>
            <w:r>
              <w:rPr>
                <w:rFonts w:hint="eastAsia" w:ascii="宋体" w:hAnsi="宋体" w:cs="仿宋_GB2312"/>
                <w:sz w:val="24"/>
                <w:szCs w:val="24"/>
                <w:highlight w:val="none"/>
              </w:rPr>
              <w:t xml:space="preserve">分）</w:t>
            </w:r>
            <w:r/>
          </w:p>
        </w:tc>
        <w:tc>
          <w:tcPr>
            <w:shd w:val="clear" w:color="auto" w:fill="ffffff"/>
            <w:tcW w:w="1290"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快速响应保障方案与服务时效（13分）</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根据投标人快速响应保障方案与服务时效进行评分（13分）：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（1）</w:t>
            </w:r>
            <w:r>
              <w:rPr>
                <w:rFonts w:hint="eastAsia" w:ascii="宋体" w:hAnsi="宋体" w:cs="仿宋_GB2312"/>
                <w:sz w:val="24"/>
                <w:szCs w:val="24"/>
                <w:highlight w:val="none"/>
              </w:rPr>
              <w:t xml:space="preserve">响应时效快速、措施合理、效率高，可行性强，</w:t>
            </w:r>
            <w:r>
              <w:rPr>
                <w:rFonts w:hint="eastAsia" w:ascii="宋体" w:hAnsi="宋体" w:cs="仿宋_GB2312"/>
                <w:sz w:val="24"/>
                <w:szCs w:val="24"/>
                <w:highlight w:val="none"/>
                <w:lang w:val="zh-CN"/>
              </w:rPr>
              <w:t xml:space="preserve">得 </w:t>
            </w:r>
            <w:r>
              <w:rPr>
                <w:rFonts w:hint="eastAsia" w:ascii="宋体" w:hAnsi="宋体" w:cs="仿宋_GB2312"/>
                <w:sz w:val="24"/>
                <w:szCs w:val="24"/>
                <w:highlight w:val="none"/>
                <w:lang w:val="en-US"/>
              </w:rPr>
              <w:t xml:space="preserve">13</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lang w:val="zh-CN"/>
              </w:rPr>
              <w:t xml:space="preserve">（2）</w:t>
            </w:r>
            <w:r>
              <w:rPr>
                <w:rFonts w:hint="eastAsia" w:ascii="宋体" w:hAnsi="宋体" w:cs="仿宋_GB2312"/>
                <w:sz w:val="24"/>
                <w:szCs w:val="24"/>
                <w:highlight w:val="none"/>
              </w:rPr>
              <w:t xml:space="preserve">响应时效较快速、措施较合理，可行性较强，</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lang w:val="en-US"/>
              </w:rPr>
              <w:t xml:space="preserve">10</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rPr>
              <w:t xml:space="preserve">（3）响应时效一般、措施基本合理，可行性一般，</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lang w:val="en-US"/>
              </w:rPr>
              <w:t xml:space="preserve">7</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lang w:val="zh-CN"/>
              </w:rPr>
            </w:pPr>
            <w:r>
              <w:rPr>
                <w:rFonts w:hint="eastAsia" w:ascii="宋体" w:hAnsi="宋体" w:cs="仿宋_GB2312"/>
                <w:sz w:val="24"/>
                <w:szCs w:val="24"/>
                <w:highlight w:val="none"/>
              </w:rPr>
              <w:t xml:space="preserve">（4）响应不及时，措施、可行性较差，</w:t>
            </w:r>
            <w:r>
              <w:rPr>
                <w:rFonts w:hint="eastAsia" w:ascii="宋体" w:hAnsi="宋体" w:cs="仿宋_GB2312"/>
                <w:sz w:val="24"/>
                <w:szCs w:val="24"/>
                <w:highlight w:val="none"/>
                <w:lang w:val="zh-CN"/>
              </w:rPr>
              <w:t xml:space="preserve">得</w:t>
            </w:r>
            <w:r>
              <w:rPr>
                <w:rFonts w:hint="eastAsia" w:ascii="宋体" w:hAnsi="宋体" w:cs="仿宋_GB2312"/>
                <w:sz w:val="24"/>
                <w:szCs w:val="24"/>
                <w:highlight w:val="none"/>
                <w:lang w:val="en-US"/>
              </w:rPr>
              <w:t xml:space="preserve">3</w:t>
            </w:r>
            <w:r>
              <w:rPr>
                <w:rFonts w:hint="eastAsia" w:ascii="宋体" w:hAnsi="宋体" w:cs="仿宋_GB2312"/>
                <w:sz w:val="24"/>
                <w:szCs w:val="24"/>
                <w:highlight w:val="none"/>
                <w:lang w:val="zh-CN"/>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w:t>
            </w:r>
            <w:r>
              <w:rPr>
                <w:rFonts w:hint="eastAsia" w:ascii="宋体" w:hAnsi="宋体" w:cs="仿宋_GB2312"/>
                <w:sz w:val="24"/>
                <w:szCs w:val="24"/>
                <w:highlight w:val="none"/>
                <w:lang w:val="en-US"/>
              </w:rPr>
              <w:t xml:space="preserve">5</w:t>
            </w:r>
            <w:r>
              <w:rPr>
                <w:rFonts w:hint="eastAsia" w:ascii="宋体" w:hAnsi="宋体" w:cs="仿宋_GB2312"/>
                <w:sz w:val="24"/>
                <w:szCs w:val="24"/>
                <w:highlight w:val="none"/>
              </w:rPr>
              <w:t xml:space="preserve">）未提供的不得分。</w:t>
            </w:r>
            <w:r/>
          </w:p>
        </w:tc>
      </w:tr>
      <w:tr>
        <w:trPr>
          <w:trHeight w:val="697"/>
        </w:trPr>
        <w:tc>
          <w:tcPr>
            <w:shd w:val="clear" w:color="auto" w:fill="ffffff"/>
            <w:tcW w:w="705" w:type="dxa"/>
            <w:vAlign w:val="center"/>
            <w:vMerge w:val="continue"/>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r>
            <w:r/>
          </w:p>
        </w:tc>
        <w:tc>
          <w:tcPr>
            <w:shd w:val="clear" w:color="auto" w:fill="ffffff"/>
            <w:tcW w:w="1290" w:type="dxa"/>
            <w:vAlign w:val="center"/>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lang w:val="en-US"/>
              </w:rPr>
              <w:t xml:space="preserve">实施方案（13分）</w:t>
            </w:r>
            <w:r/>
          </w:p>
        </w:tc>
        <w:tc>
          <w:tcPr>
            <w:shd w:val="clear" w:color="auto" w:fill="ffffff"/>
            <w:tcW w:w="7635" w:type="dxa"/>
            <w:textDirection w:val="lrTb"/>
            <w:noWrap w:val="false"/>
          </w:tcPr>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根据投标人实施方案进行评分。实施方案应包括但不限于抽样、检验、数据上报、分析汇总等各项内容（13分）：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（1）方案内容全面，科学有效，可操作性强得13分；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（2）方案内容较全面，较科学，较有效，可操作性较强得</w:t>
            </w:r>
            <w:r>
              <w:rPr>
                <w:rFonts w:hint="eastAsia" w:ascii="宋体" w:hAnsi="宋体" w:cs="仿宋_GB2312"/>
                <w:sz w:val="24"/>
                <w:szCs w:val="24"/>
                <w:highlight w:val="none"/>
                <w:lang w:val="en-US" w:eastAsia="zh-CN"/>
              </w:rPr>
              <w:t xml:space="preserve">10</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（3）实施方案内容基本完整，可操作性一般的得</w:t>
            </w:r>
            <w:r>
              <w:rPr>
                <w:rFonts w:hint="eastAsia" w:ascii="宋体" w:hAnsi="宋体" w:cs="仿宋_GB2312"/>
                <w:sz w:val="24"/>
                <w:szCs w:val="24"/>
                <w:highlight w:val="none"/>
                <w:lang w:val="en-US" w:eastAsia="zh-CN"/>
              </w:rPr>
              <w:t xml:space="preserve">7</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（4）实施方案内容不完整，可操作性差的得</w:t>
            </w:r>
            <w:r>
              <w:rPr>
                <w:rFonts w:hint="eastAsia" w:ascii="宋体" w:hAnsi="宋体" w:cs="仿宋_GB2312"/>
                <w:sz w:val="24"/>
                <w:szCs w:val="24"/>
                <w:highlight w:val="none"/>
                <w:lang w:val="en-US" w:eastAsia="zh-CN"/>
              </w:rPr>
              <w:t xml:space="preserve">3</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rPr>
              <w:t xml:space="preserve">（5）未提供的不得分。 </w:t>
            </w:r>
            <w:r/>
          </w:p>
        </w:tc>
      </w:tr>
      <w:tr>
        <w:trPr>
          <w:trHeight w:val="697"/>
        </w:trPr>
        <w:tc>
          <w:tcPr>
            <w:shd w:val="clear" w:color="auto" w:fill="ffffff"/>
            <w:tcW w:w="705" w:type="dxa"/>
            <w:vAlign w:val="center"/>
            <w:vMerge w:val="continue"/>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r>
            <w:r/>
          </w:p>
        </w:tc>
        <w:tc>
          <w:tcPr>
            <w:shd w:val="clear" w:color="auto" w:fill="ffffff"/>
            <w:tcW w:w="1290" w:type="dxa"/>
            <w:vAlign w:val="center"/>
            <w:textDirection w:val="lrTb"/>
            <w:noWrap w:val="false"/>
          </w:tcPr>
          <w:p>
            <w:pPr>
              <w:pStyle w:val="861"/>
              <w:rPr>
                <w:rFonts w:hint="eastAsia" w:ascii="宋体" w:hAnsi="宋体" w:cs="仿宋_GB2312"/>
                <w:sz w:val="24"/>
                <w:szCs w:val="24"/>
                <w:highlight w:val="none"/>
                <w:lang w:val="en-US"/>
              </w:rPr>
            </w:pPr>
            <w:r>
              <w:rPr>
                <w:rFonts w:hint="eastAsia" w:ascii="宋体" w:hAnsi="宋体" w:cs="仿宋_GB2312"/>
                <w:sz w:val="24"/>
                <w:szCs w:val="24"/>
                <w:highlight w:val="none"/>
                <w:lang w:val="en-US"/>
              </w:rPr>
              <w:t xml:space="preserve">质量控制方案（</w:t>
            </w:r>
            <w:r>
              <w:rPr>
                <w:rFonts w:hint="eastAsia" w:ascii="宋体" w:hAnsi="宋体" w:cs="仿宋_GB2312"/>
                <w:sz w:val="24"/>
                <w:szCs w:val="24"/>
                <w:highlight w:val="none"/>
                <w:lang w:val="en-US" w:eastAsia="zh-CN"/>
              </w:rPr>
              <w:t xml:space="preserve">11</w:t>
            </w:r>
            <w:r>
              <w:rPr>
                <w:rFonts w:hint="eastAsia" w:ascii="宋体" w:hAnsi="宋体" w:cs="仿宋_GB2312"/>
                <w:sz w:val="24"/>
                <w:szCs w:val="24"/>
                <w:highlight w:val="none"/>
                <w:lang w:val="en-US"/>
              </w:rPr>
              <w:t xml:space="preserve">分）</w:t>
            </w:r>
            <w:r/>
          </w:p>
        </w:tc>
        <w:tc>
          <w:tcPr>
            <w:shd w:val="clear" w:color="auto" w:fill="ffffff"/>
            <w:tcW w:w="7635" w:type="dxa"/>
            <w:textDirection w:val="lrTb"/>
            <w:noWrap w:val="false"/>
          </w:tcPr>
          <w:p>
            <w:pPr>
              <w:pStyle w:val="861"/>
              <w:rPr>
                <w:rFonts w:hint="eastAsia" w:ascii="宋体" w:hAnsi="宋体" w:cs="仿宋_GB2312"/>
                <w:b/>
                <w:bCs/>
                <w:sz w:val="24"/>
                <w:szCs w:val="24"/>
                <w:highlight w:val="none"/>
              </w:rPr>
            </w:pPr>
            <w:r>
              <w:rPr>
                <w:rFonts w:hint="eastAsia" w:ascii="宋体" w:hAnsi="宋体" w:cs="仿宋_GB2312"/>
                <w:b/>
                <w:bCs/>
                <w:sz w:val="24"/>
                <w:szCs w:val="24"/>
                <w:highlight w:val="none"/>
              </w:rPr>
              <w:t xml:space="preserve">根据投标人质量控制方案进行评分。方案内容应包括但不限于以下5个内容：①质量方针②质量目标③质量承诺④质量保证措施⑤数据质量保证措施⑥</w:t>
            </w:r>
            <w:r>
              <w:rPr>
                <w:rFonts w:hint="eastAsia" w:ascii="宋体" w:hAnsi="宋体" w:cs="仿宋_GB2312"/>
                <w:b/>
                <w:bCs/>
                <w:sz w:val="24"/>
                <w:szCs w:val="24"/>
                <w:highlight w:val="none"/>
                <w:lang w:eastAsia="zh-CN"/>
              </w:rPr>
              <w:t xml:space="preserve">承担食品安全抽检任务的机构考核结果</w:t>
            </w:r>
            <w:r>
              <w:rPr>
                <w:rFonts w:hint="eastAsia" w:ascii="宋体" w:hAnsi="宋体" w:cs="仿宋_GB2312"/>
                <w:b/>
                <w:bCs/>
                <w:sz w:val="24"/>
                <w:szCs w:val="24"/>
                <w:highlight w:val="none"/>
              </w:rPr>
              <w:t xml:space="preserve">。</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1</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方案内容详细完整，能够满足项目需求，针对性强得</w:t>
            </w:r>
            <w:r>
              <w:rPr>
                <w:rFonts w:hint="eastAsia" w:ascii="宋体" w:hAnsi="宋体" w:cs="仿宋_GB2312"/>
                <w:sz w:val="24"/>
                <w:szCs w:val="24"/>
                <w:highlight w:val="none"/>
                <w:lang w:val="en-US" w:eastAsia="zh-CN"/>
              </w:rPr>
              <w:t xml:space="preserve">11</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2</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方案内容较完整，基本能够满足项目需求，针对性较强得</w:t>
            </w:r>
            <w:r>
              <w:rPr>
                <w:rFonts w:hint="eastAsia" w:ascii="宋体" w:hAnsi="宋体" w:cs="仿宋_GB2312"/>
                <w:sz w:val="24"/>
                <w:szCs w:val="24"/>
                <w:highlight w:val="none"/>
                <w:lang w:val="en-US" w:eastAsia="zh-CN"/>
              </w:rPr>
              <w:t xml:space="preserve">7</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3</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方案内容不完整，能够满足项目需求，针对性不强得</w:t>
            </w:r>
            <w:r>
              <w:rPr>
                <w:rFonts w:hint="eastAsia" w:ascii="宋体" w:hAnsi="宋体" w:cs="仿宋_GB2312"/>
                <w:sz w:val="24"/>
                <w:szCs w:val="24"/>
                <w:highlight w:val="none"/>
                <w:lang w:val="en-US" w:eastAsia="zh-CN"/>
              </w:rPr>
              <w:t xml:space="preserve">3</w:t>
            </w:r>
            <w:r>
              <w:rPr>
                <w:rFonts w:hint="eastAsia" w:ascii="宋体" w:hAnsi="宋体" w:cs="仿宋_GB2312"/>
                <w:sz w:val="24"/>
                <w:szCs w:val="24"/>
                <w:highlight w:val="none"/>
              </w:rPr>
              <w:t xml:space="preserve">分。</w:t>
            </w:r>
            <w:r/>
          </w:p>
          <w:p>
            <w:pPr>
              <w:pStyle w:val="861"/>
              <w:rPr>
                <w:rFonts w:hint="eastAsia" w:ascii="宋体" w:hAnsi="宋体" w:cs="仿宋_GB2312"/>
                <w:sz w:val="24"/>
                <w:szCs w:val="24"/>
                <w:highlight w:val="none"/>
              </w:rPr>
            </w:pP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4</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rPr>
              <w:t xml:space="preserve">未提供的不得分。</w:t>
            </w:r>
            <w:r/>
          </w:p>
        </w:tc>
      </w:tr>
      <w:tr>
        <w:trPr>
          <w:trHeight w:val="697"/>
        </w:trPr>
        <w:tc>
          <w:tcPr>
            <w:gridSpan w:val="2"/>
            <w:shd w:val="clear" w:color="auto" w:fill="ffffff"/>
            <w:tcW w:w="1995" w:type="dxa"/>
            <w:vAlign w:val="center"/>
            <w:textDirection w:val="lrTb"/>
            <w:noWrap w:val="false"/>
          </w:tcPr>
          <w:p>
            <w:pPr>
              <w:pStyle w:val="861"/>
              <w:rPr>
                <w:rFonts w:hint="eastAsia" w:ascii="宋体" w:hAnsi="宋体" w:cs="仿宋_GB2312"/>
                <w:color w:val="auto"/>
                <w:sz w:val="24"/>
                <w:szCs w:val="24"/>
                <w:highlight w:val="none"/>
                <w:lang w:val="en-US"/>
              </w:rPr>
            </w:pPr>
            <w:r>
              <w:rPr>
                <w:rFonts w:hint="eastAsia" w:ascii="宋体" w:hAnsi="宋体" w:cs="仿宋_GB2312"/>
                <w:color w:val="auto"/>
                <w:sz w:val="24"/>
                <w:szCs w:val="24"/>
                <w:highlight w:val="none"/>
                <w:lang w:val="en-US"/>
              </w:rPr>
              <w:t xml:space="preserve">减分项</w:t>
            </w:r>
            <w:r/>
          </w:p>
        </w:tc>
        <w:tc>
          <w:tcPr>
            <w:shd w:val="clear" w:color="auto" w:fill="ffffff"/>
            <w:tcW w:w="7635" w:type="dxa"/>
            <w:textDirection w:val="lrTb"/>
            <w:noWrap w:val="false"/>
          </w:tcPr>
          <w:p>
            <w:pPr>
              <w:pStyle w:val="861"/>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在食品安全抽检数据质量考核及机构考核中，被通报的，每出现扣2分。</w:t>
            </w:r>
            <w:r/>
          </w:p>
        </w:tc>
      </w:tr>
    </w:tbl>
    <w:p>
      <w:pPr>
        <w:pStyle w:val="861"/>
        <w:rPr>
          <w:rFonts w:hint="eastAsia" w:ascii="宋体" w:hAnsi="宋体" w:cs="仿宋_GB2312"/>
          <w:sz w:val="28"/>
          <w:szCs w:val="28"/>
          <w:highlight w:val="none"/>
        </w:rPr>
      </w:pPr>
      <w:r>
        <w:rPr>
          <w:rFonts w:hint="eastAsia" w:ascii="宋体" w:hAnsi="宋体" w:cs="仿宋_GB2312"/>
          <w:sz w:val="28"/>
          <w:szCs w:val="28"/>
          <w:highlight w:val="none"/>
        </w:rPr>
      </w:r>
      <w:r/>
    </w:p>
    <w:p>
      <w:pPr>
        <w:pStyle w:val="861"/>
        <w:rPr>
          <w:rFonts w:ascii="宋体" w:hAnsi="宋体" w:cs="仿宋_GB2312"/>
          <w:sz w:val="28"/>
          <w:szCs w:val="28"/>
          <w:highlight w:val="none"/>
        </w:rPr>
      </w:pPr>
      <w:r>
        <w:rPr>
          <w:rFonts w:hint="eastAsia" w:ascii="宋体" w:hAnsi="宋体" w:cs="仿宋_GB2312"/>
          <w:sz w:val="24"/>
          <w:szCs w:val="24"/>
          <w:highlight w:val="none"/>
        </w:rPr>
        <w:t xml:space="preserve">本章说明：本项目采用综合评分法，评分结果精确到小数点后两位。</w:t>
      </w:r>
      <w:r/>
    </w:p>
    <w:p>
      <w:pPr>
        <w:pStyle w:val="800"/>
        <w:rPr>
          <w:rFonts w:hint="eastAsia" w:ascii="宋体" w:hAnsi="宋体" w:eastAsia="宋体" w:cs="宋体"/>
          <w:sz w:val="24"/>
          <w:highlight w:val="none"/>
        </w:rPr>
      </w:pPr>
      <w:r/>
      <w:bookmarkStart w:id="10" w:name="_Toc523404699"/>
      <w:r/>
      <w:bookmarkStart w:id="11" w:name="_Toc522790134"/>
      <w:r>
        <w:rPr>
          <w:rFonts w:hint="eastAsia" w:ascii="宋体" w:hAnsi="宋体" w:eastAsia="宋体" w:cs="宋体"/>
          <w:highlight w:val="none"/>
        </w:rPr>
        <w:br w:type="page" w:clear="all"/>
      </w:r>
      <w:r>
        <w:rPr>
          <w:rFonts w:hint="eastAsia" w:ascii="宋体" w:hAnsi="宋体" w:eastAsia="宋体" w:cs="宋体"/>
          <w:highlight w:val="none"/>
        </w:rPr>
        <w:t xml:space="preserve">第五章  </w:t>
      </w:r>
      <w:bookmarkStart w:id="12" w:name="OLE_LINK1"/>
      <w:r>
        <w:rPr>
          <w:rFonts w:hint="eastAsia" w:ascii="宋体" w:hAnsi="宋体" w:eastAsia="宋体" w:cs="宋体"/>
          <w:highlight w:val="none"/>
        </w:rPr>
        <w:t xml:space="preserve">拟签订的合同文本</w:t>
      </w:r>
      <w:bookmarkEnd w:id="10"/>
      <w:r/>
      <w:bookmarkEnd w:id="11"/>
      <w:r/>
      <w:bookmarkEnd w:id="12"/>
      <w:r/>
      <w:r/>
    </w:p>
    <w:p>
      <w:pPr>
        <w:pStyle w:val="71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项目名称：徐州市市场监督管理局食品安全监督抽检</w:t>
      </w:r>
      <w:r/>
    </w:p>
    <w:p>
      <w:pPr>
        <w:pStyle w:val="71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项目编号：JSZC-320300-YMXM-G2024-0011</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政</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府</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采</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购</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合</w:t>
      </w:r>
      <w:r/>
    </w:p>
    <w:p>
      <w:pPr>
        <w:pStyle w:val="712"/>
        <w:ind w:firstLine="198"/>
        <w:jc w:val="center"/>
        <w:spacing w:line="300" w:lineRule="auto"/>
        <w:rPr>
          <w:rFonts w:cs="宋体" w:asciiTheme="minorEastAsia" w:hAnsiTheme="minorEastAsia" w:eastAsiaTheme="minorEastAsia"/>
          <w:sz w:val="44"/>
          <w:szCs w:val="44"/>
          <w:highlight w:val="none"/>
          <w:lang w:eastAsia="zh-CN"/>
        </w:rPr>
      </w:pPr>
      <w:r>
        <w:rPr>
          <w:rFonts w:hint="eastAsia" w:cs="宋体" w:asciiTheme="minorEastAsia" w:hAnsiTheme="minorEastAsia" w:eastAsiaTheme="minorEastAsia"/>
          <w:sz w:val="44"/>
          <w:szCs w:val="44"/>
          <w:highlight w:val="none"/>
          <w:lang w:eastAsia="zh-CN"/>
        </w:rPr>
        <w:t xml:space="preserve">同</w:t>
      </w:r>
      <w:r/>
    </w:p>
    <w:p>
      <w:pPr>
        <w:pStyle w:val="712"/>
        <w:spacing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p>
      <w:pPr>
        <w:pStyle w:val="71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  购  人：徐州市市场监督管理局</w:t>
      </w:r>
      <w:r/>
    </w:p>
    <w:p>
      <w:pPr>
        <w:pStyle w:val="71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成交供应商：</w:t>
      </w:r>
      <w:r/>
    </w:p>
    <w:p>
      <w:pPr>
        <w:pStyle w:val="712"/>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合同签订日期：   年   月   日</w:t>
      </w:r>
      <w:r/>
    </w:p>
    <w:p>
      <w:pPr>
        <w:pStyle w:val="708"/>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友情提醒：采购人与中标、成交供应商应当在中标、成交通知书发出之日起三十日内，按照采购文件确定的事项签订政府采购合同。</w:t>
      </w:r>
      <w:r/>
    </w:p>
    <w:p>
      <w:pPr>
        <w:ind w:firstLine="482"/>
        <w:jc w:val="left"/>
        <w:keepLines w:val="0"/>
        <w:keepNext w:val="0"/>
        <w:pageBreakBefore w:val="0"/>
        <w:spacing w:line="360" w:lineRule="auto"/>
        <w:widowControl w:val="off"/>
        <w:tabs>
          <w:tab w:val="left" w:pos="720" w:leader="none"/>
        </w:tabs>
        <w:rPr>
          <w:rFonts w:hint="eastAsia" w:ascii="宋体" w:hAnsi="宋体" w:eastAsia="宋体" w:cs="宋体"/>
          <w:b/>
          <w:bCs/>
          <w:color w:val="000000"/>
          <w:sz w:val="52"/>
          <w:szCs w:val="52"/>
          <w:highlight w:val="none"/>
        </w:rPr>
      </w:pPr>
      <w:r>
        <w:rPr>
          <w:rFonts w:hint="eastAsia" w:ascii="宋体" w:hAnsi="宋体" w:eastAsia="宋体" w:cs="宋体"/>
          <w:b/>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r>
      <w:r/>
    </w:p>
    <w:p>
      <w:pPr>
        <w:pStyle w:val="851"/>
        <w:rPr>
          <w:rFonts w:hint="eastAsia"/>
          <w:highlight w:val="none"/>
        </w:rPr>
      </w:pPr>
      <w:r>
        <w:rPr>
          <w:rFonts w:hint="eastAsia"/>
          <w:highlight w:val="none"/>
        </w:rPr>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t xml:space="preserve">        </w:t>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r>
      <w:r/>
    </w:p>
    <w:p>
      <w:pPr>
        <w:spacing w:line="360" w:lineRule="auto"/>
        <w:tabs>
          <w:tab w:val="left" w:pos="720" w:leader="none"/>
        </w:tabs>
        <w:rPr>
          <w:rFonts w:hint="eastAsia" w:ascii="楷体" w:hAnsi="楷体" w:eastAsia="楷体"/>
          <w:b/>
          <w:sz w:val="32"/>
          <w:szCs w:val="32"/>
          <w:highlight w:val="none"/>
        </w:rPr>
      </w:pPr>
      <w:r>
        <w:rPr>
          <w:rFonts w:hint="eastAsia" w:ascii="楷体" w:hAnsi="楷体" w:eastAsia="楷体"/>
          <w:b/>
          <w:sz w:val="32"/>
          <w:szCs w:val="32"/>
          <w:highlight w:val="none"/>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乙方（卖方）：</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签订日期：</w:t>
      </w:r>
      <w:r>
        <w:rPr>
          <w:rFonts w:hint="eastAsia" w:ascii="宋体" w:hAnsi="宋体" w:eastAsia="宋体" w:cs="宋体"/>
          <w:sz w:val="24"/>
          <w:szCs w:val="24"/>
          <w:highlight w:val="none"/>
          <w:u w:val="singl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招标采购</w:t>
      </w:r>
      <w:r>
        <w:rPr>
          <w:rFonts w:hint="eastAsia" w:ascii="宋体" w:hAnsi="宋体" w:eastAsia="宋体" w:cs="宋体"/>
          <w:sz w:val="24"/>
          <w:szCs w:val="24"/>
          <w:highlight w:val="none"/>
        </w:rPr>
        <w:t xml:space="preserve">的结果，甲方将</w:t>
      </w:r>
      <w:r>
        <w:rPr>
          <w:rFonts w:hint="eastAsia" w:ascii="宋体" w:hAnsi="宋体" w:eastAsia="宋体" w:cs="宋体"/>
          <w:sz w:val="24"/>
          <w:szCs w:val="24"/>
          <w:highlight w:val="none"/>
          <w:u w:val="single"/>
          <w:lang w:val="en-US" w:eastAsia="zh-CN"/>
        </w:rPr>
        <w:t xml:space="preserve">             项目</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）委托给乙方。根据《中华人民共和国民法典》、《中华人民共和国政府采购法》及有关法律、法规，在自愿、平等、协商一致的基础上，甲乙双方恪守公平、公正、诚信的原则，签订本合同。</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一、服务范围及内容：乙方根据甲方需求，提供下列服务：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1、抽检品种：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2、检测项目及批次：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二、合同价及结算方式：</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1、合同总价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经双方协商一致， 选择以下第 （    ）种付款方式:</w:t>
      </w:r>
      <w:r/>
    </w:p>
    <w:p>
      <w:pPr>
        <w:pStyle w:val="716"/>
        <w:ind w:firstLine="482"/>
        <w:keepLines w:val="0"/>
        <w:keepNext w:val="0"/>
        <w:pageBreakBefore w:val="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付款方式一：提交预付款保函的</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u w:val="single"/>
        </w:rPr>
        <w:t xml:space="preserve">十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在合同签订生效</w:t>
      </w:r>
      <w:r>
        <w:rPr>
          <w:rFonts w:hint="eastAsia" w:ascii="宋体" w:hAnsi="宋体" w:eastAsia="宋体" w:cs="宋体"/>
          <w:sz w:val="24"/>
          <w:szCs w:val="24"/>
          <w:highlight w:val="none"/>
          <w:lang w:val="en-US" w:eastAsia="zh-CN"/>
        </w:rPr>
        <w:t xml:space="preserve">15日内</w:t>
      </w:r>
      <w:r>
        <w:rPr>
          <w:rFonts w:hint="eastAsia" w:ascii="宋体" w:hAnsi="宋体" w:eastAsia="宋体" w:cs="宋体"/>
          <w:sz w:val="24"/>
          <w:szCs w:val="24"/>
          <w:highlight w:val="none"/>
        </w:rPr>
        <w:t xml:space="preserve">，乙方向甲方出具等额预付款保函后，办理政府采购资金结算手续</w:t>
      </w:r>
      <w:r>
        <w:rPr>
          <w:rFonts w:hint="eastAsia" w:ascii="宋体" w:hAnsi="宋体" w:eastAsia="宋体" w:cs="宋体"/>
          <w:bCs/>
          <w:sz w:val="24"/>
          <w:szCs w:val="24"/>
          <w:highlight w:val="none"/>
        </w:rPr>
        <w:t xml:space="preserve">支付给乙方</w:t>
      </w:r>
      <w:r>
        <w:rPr>
          <w:rFonts w:hint="eastAsia" w:ascii="宋体" w:hAnsi="宋体" w:eastAsia="宋体" w:cs="宋体"/>
          <w:sz w:val="24"/>
          <w:szCs w:val="24"/>
          <w:highlight w:val="none"/>
        </w:rPr>
        <w:t xml:space="preserve">。</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w:t>
      </w:r>
      <w:r>
        <w:rPr>
          <w:rFonts w:hint="eastAsia" w:ascii="宋体" w:hAnsi="宋体" w:eastAsia="宋体" w:cs="宋体"/>
          <w:sz w:val="24"/>
          <w:szCs w:val="24"/>
          <w:highlight w:val="none"/>
          <w:lang w:eastAsia="zh-CN"/>
        </w:rPr>
        <w:t xml:space="preserve">剩余部分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在乙方</w:t>
      </w:r>
      <w:r>
        <w:rPr>
          <w:rFonts w:hint="eastAsia" w:ascii="宋体" w:hAnsi="宋体" w:eastAsia="宋体" w:cs="宋体"/>
          <w:sz w:val="24"/>
          <w:szCs w:val="24"/>
          <w:highlight w:val="none"/>
        </w:rPr>
        <w:t xml:space="preserve">完成委托抽检任务后，由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根据任务完成情况在</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lang w:eastAsia="zh-CN"/>
        </w:rPr>
        <w:t xml:space="preserve">按实际完成量</w:t>
      </w:r>
      <w:r>
        <w:rPr>
          <w:rFonts w:hint="eastAsia" w:ascii="宋体" w:hAnsi="宋体" w:eastAsia="宋体" w:cs="宋体"/>
          <w:sz w:val="24"/>
          <w:szCs w:val="24"/>
          <w:highlight w:val="none"/>
        </w:rPr>
        <w:t xml:space="preserve">进行结算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自收到发票（发票金额为合同总价的</w:t>
      </w:r>
      <w:r>
        <w:rPr>
          <w:rFonts w:hint="eastAsia" w:ascii="宋体" w:hAnsi="宋体" w:eastAsia="宋体" w:cs="宋体"/>
          <w:sz w:val="24"/>
          <w:szCs w:val="24"/>
          <w:highlight w:val="none"/>
          <w:u w:val="none"/>
          <w:lang w:val="en-US" w:eastAsia="zh-CN"/>
        </w:rPr>
        <w:t xml:space="preserve">50%</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u w:val="single"/>
        </w:rPr>
        <w:t xml:space="preserve">15日</w:t>
      </w:r>
      <w:r>
        <w:rPr>
          <w:rFonts w:hint="eastAsia" w:ascii="宋体" w:hAnsi="宋体" w:eastAsia="宋体" w:cs="宋体"/>
          <w:sz w:val="24"/>
          <w:szCs w:val="24"/>
          <w:highlight w:val="none"/>
        </w:rPr>
        <w:t xml:space="preserve">内，由</w:t>
      </w:r>
      <w:r>
        <w:rPr>
          <w:rFonts w:hint="eastAsia" w:ascii="宋体" w:hAnsi="宋体" w:eastAsia="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eastAsia="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6"/>
        <w:ind w:firstLine="482"/>
        <w:keepLines w:val="0"/>
        <w:keepNext w:val="0"/>
        <w:pageBreakBefore w:val="0"/>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bCs/>
          <w:color w:val="000000"/>
          <w:sz w:val="24"/>
          <w:szCs w:val="24"/>
          <w:highlight w:val="none"/>
        </w:rPr>
        <w:t xml:space="preserve">提交预付款保函的</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eastAsia="宋体" w:cs="宋体"/>
          <w:sz w:val="24"/>
          <w:szCs w:val="24"/>
          <w:highlight w:val="none"/>
          <w:u w:val="single"/>
        </w:rPr>
        <w:t xml:space="preserve">三十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在合同签订生效，买方自收到发票（发票金额为合同总价的</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u w:val="single"/>
        </w:rPr>
        <w:t xml:space="preserve">15日</w:t>
      </w:r>
      <w:r>
        <w:rPr>
          <w:rFonts w:hint="eastAsia" w:ascii="宋体" w:hAnsi="宋体" w:eastAsia="宋体" w:cs="宋体"/>
          <w:sz w:val="24"/>
          <w:szCs w:val="24"/>
          <w:highlight w:val="none"/>
        </w:rPr>
        <w:t xml:space="preserve">内，办理政府采购资金结算手续</w:t>
      </w:r>
      <w:r>
        <w:rPr>
          <w:rFonts w:hint="eastAsia" w:ascii="宋体" w:hAnsi="宋体" w:eastAsia="宋体" w:cs="宋体"/>
          <w:bCs/>
          <w:sz w:val="24"/>
          <w:szCs w:val="24"/>
          <w:highlight w:val="none"/>
        </w:rPr>
        <w:t xml:space="preserve">支付给乙方</w:t>
      </w:r>
      <w:r>
        <w:rPr>
          <w:rFonts w:hint="eastAsia" w:ascii="宋体" w:hAnsi="宋体" w:eastAsia="宋体" w:cs="宋体"/>
          <w:sz w:val="24"/>
          <w:szCs w:val="24"/>
          <w:highlight w:val="none"/>
        </w:rPr>
        <w:t xml:space="preserve">。</w:t>
      </w:r>
      <w:r/>
    </w:p>
    <w:p>
      <w:pPr>
        <w:pStyle w:val="716"/>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w:t>
      </w:r>
      <w:r>
        <w:rPr>
          <w:rFonts w:hint="eastAsia" w:ascii="宋体" w:hAnsi="宋体" w:eastAsia="宋体" w:cs="宋体"/>
          <w:sz w:val="24"/>
          <w:szCs w:val="24"/>
          <w:highlight w:val="none"/>
          <w:lang w:eastAsia="zh-CN"/>
        </w:rPr>
        <w:t xml:space="preserve">剩余部分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在乙方</w:t>
      </w:r>
      <w:r>
        <w:rPr>
          <w:rFonts w:hint="eastAsia" w:ascii="宋体" w:hAnsi="宋体" w:eastAsia="宋体" w:cs="宋体"/>
          <w:sz w:val="24"/>
          <w:szCs w:val="24"/>
          <w:highlight w:val="none"/>
        </w:rPr>
        <w:t xml:space="preserve">完成委托抽检任务后，由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根据任务完成情况在</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lang w:eastAsia="zh-CN"/>
        </w:rPr>
        <w:t xml:space="preserve">按实际完成量</w:t>
      </w:r>
      <w:r>
        <w:rPr>
          <w:rFonts w:hint="eastAsia" w:ascii="宋体" w:hAnsi="宋体" w:eastAsia="宋体" w:cs="宋体"/>
          <w:sz w:val="24"/>
          <w:szCs w:val="24"/>
          <w:highlight w:val="none"/>
        </w:rPr>
        <w:t xml:space="preserve">进行结算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自收到发票（发票金额为合同总价的</w:t>
      </w:r>
      <w:r>
        <w:rPr>
          <w:rFonts w:hint="eastAsia" w:ascii="宋体" w:hAnsi="宋体" w:eastAsia="宋体" w:cs="宋体"/>
          <w:sz w:val="24"/>
          <w:szCs w:val="24"/>
          <w:highlight w:val="none"/>
          <w:u w:val="none"/>
          <w:lang w:val="en-US" w:eastAsia="zh-CN"/>
        </w:rPr>
        <w:t xml:space="preserve">70%</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u w:val="single"/>
        </w:rPr>
        <w:t xml:space="preserve">15日</w:t>
      </w:r>
      <w:r>
        <w:rPr>
          <w:rFonts w:hint="eastAsia" w:ascii="宋体" w:hAnsi="宋体" w:eastAsia="宋体" w:cs="宋体"/>
          <w:sz w:val="24"/>
          <w:szCs w:val="24"/>
          <w:highlight w:val="none"/>
        </w:rPr>
        <w:t xml:space="preserve">内，由</w:t>
      </w:r>
      <w:r>
        <w:rPr>
          <w:rFonts w:hint="eastAsia" w:ascii="宋体" w:hAnsi="宋体" w:eastAsia="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eastAsia="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pStyle w:val="709"/>
        <w:ind w:left="0" w:right="0" w:firstLine="480"/>
        <w:jc w:val="both"/>
        <w:keepLines w:val="0"/>
        <w:keepNext w:val="0"/>
        <w:pageBreakBefore w:val="0"/>
        <w:spacing w:before="0" w:after="0" w:line="52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乙方要求付款应提供以下资料：乙方开具的正式发票。 </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未列明，而是乙方履行本合同必需的费用也包含在合同总价中。</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3、本合同总价还包含乙方提供的伴随服务售后服务费用。</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三、质量要求、技术标准及服务承诺：</w:t>
      </w:r>
      <w:r>
        <w:rPr>
          <w:rFonts w:hint="eastAsia" w:ascii="宋体" w:hAnsi="宋体" w:eastAsia="宋体" w:cs="宋体"/>
          <w:sz w:val="24"/>
          <w:szCs w:val="24"/>
          <w:highlight w:val="none"/>
          <w:u w:val="single"/>
        </w:rPr>
        <w:t xml:space="preserve">具体见</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及乙方</w:t>
      </w:r>
      <w:r>
        <w:rPr>
          <w:rFonts w:hint="eastAsia" w:ascii="宋体" w:hAnsi="宋体" w:eastAsia="宋体" w:cs="宋体"/>
          <w:sz w:val="24"/>
          <w:szCs w:val="24"/>
          <w:highlight w:val="none"/>
          <w:u w:val="single"/>
          <w:lang w:eastAsia="zh-CN"/>
        </w:rPr>
        <w:t xml:space="preserve">投标文件</w:t>
      </w:r>
      <w:r>
        <w:rPr>
          <w:rFonts w:hint="eastAsia" w:ascii="宋体" w:hAnsi="宋体" w:eastAsia="宋体" w:cs="宋体"/>
          <w:sz w:val="24"/>
          <w:szCs w:val="24"/>
          <w:highlight w:val="none"/>
          <w:u w:val="single"/>
        </w:rPr>
        <w:t xml:space="preserve">[项目编号：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rPr>
        <w:t xml:space="preserve">。</w:t>
      </w:r>
      <w:r/>
    </w:p>
    <w:p>
      <w:pPr>
        <w:pStyle w:val="709"/>
        <w:ind w:firstLine="482"/>
        <w:keepLines w:val="0"/>
        <w:keepNext w:val="0"/>
        <w:pageBreakBefore w:val="0"/>
        <w:spacing w:line="52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四、履约保证金：</w:t>
      </w:r>
      <w:r>
        <w:rPr>
          <w:rFonts w:hint="eastAsia" w:ascii="宋体" w:hAnsi="宋体" w:eastAsia="宋体" w:cs="宋体"/>
          <w:b/>
          <w:bCs/>
          <w:sz w:val="24"/>
          <w:szCs w:val="24"/>
          <w:highlight w:val="none"/>
          <w:lang w:eastAsia="zh-CN"/>
        </w:rPr>
        <w:t xml:space="preserve">无</w:t>
      </w:r>
      <w:r/>
    </w:p>
    <w:p>
      <w:pPr>
        <w:pStyle w:val="762"/>
        <w:ind w:firstLine="482"/>
        <w:keepLines w:val="0"/>
        <w:keepNext w:val="0"/>
        <w:pageBreakBefore w:val="0"/>
        <w:spacing w:before="120" w:after="12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五、组成本合同的有关文件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规定的时间向甲方提供服务的有关技术资料。</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3、关于本项目</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或与本次采购活动方式相适应的文件及有关附件是本合同不可分割的组成部分，这些文件包括但不限于：</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；（3）项目组人员表；（4）技术参数、商务条款响应及偏离表；（5）服务承诺；（6）中标（成交）通知书；（7）甲乙双方补充协议；</w:t>
      </w:r>
      <w:r/>
    </w:p>
    <w:p>
      <w:pPr>
        <w:pStyle w:val="762"/>
        <w:ind w:firstLine="482"/>
        <w:keepLines w:val="0"/>
        <w:keepNext w:val="0"/>
        <w:pageBreakBefore w:val="0"/>
        <w:spacing w:before="120" w:after="12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六、交付和验收：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1、乙方应当在合同签订后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天内完成服务事项，</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有约定的，从其约定。</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在交付前，乙方应作出全面检查和对验收文件进行整理，并列出清单，作为甲方初验收和使用的技术条件依据，检验的结果交甲方。</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2、验收标准：按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的要求及乙方</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的承诺，并不低于国家相关标准。</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对于乙方要交付的服务，甲乙双方须在</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 xml:space="preserve">工作日内初验收，甲方对乙方提交的服务依据</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上的技术要求和国家有关质量标准进行现场初步验收，外观、说明书、包装符合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技术要求的，给予签收，初步验收不合格的不予签收。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3、乙方按照</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要求培训甲方的相关人员，乙方在甲方使用前进行调试，调试直到符合技术要求的甲方才做最终验收。</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762"/>
        <w:ind w:firstLine="480"/>
        <w:keepLines w:val="0"/>
        <w:keepNext w:val="0"/>
        <w:pageBreakBefore w:val="0"/>
        <w:spacing w:before="120" w:after="12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5、甲乙双方关于调试和验收的其他约定：</w:t>
      </w:r>
      <w:r>
        <w:rPr>
          <w:rFonts w:hint="eastAsia" w:ascii="宋体" w:hAnsi="宋体" w:eastAsia="宋体" w:cs="宋体"/>
          <w:sz w:val="24"/>
          <w:szCs w:val="24"/>
          <w:highlight w:val="none"/>
          <w:u w:val="single"/>
        </w:rPr>
        <w:t xml:space="preserve">           无</w:t>
      </w:r>
      <w:r>
        <w:rPr>
          <w:rFonts w:hint="eastAsia" w:ascii="宋体" w:hAnsi="宋体" w:eastAsia="宋体" w:cs="宋体"/>
          <w:sz w:val="24"/>
          <w:szCs w:val="24"/>
          <w:highlight w:val="none"/>
        </w:rPr>
        <w:t xml:space="preserve">。</w:t>
      </w:r>
      <w:r/>
    </w:p>
    <w:p>
      <w:pPr>
        <w:pStyle w:val="762"/>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七、质量保证及售后服务：</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规定及</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承诺的技术性能、技术要求、质量标准向甲方提供服务；若无特殊说明，则按国家有关部门最新颁布的标准及规范为准。</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2、乙方应保证其提供的服务是全面和规范的，并完全符合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。如因乙方提供的服务有瑕疵造成甲方损失的，所需费用由乙方承担。</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3、如在使用过程中发生质量问题，乙方在接到甲方通知后在</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小时内到达甲方现场。</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4、免费维保期为30日。免费维保期内，乙方应对所提供服务出现的质量及安全问题负责处理解决并承担一切费用。</w:t>
      </w:r>
      <w:r/>
    </w:p>
    <w:p>
      <w:pPr>
        <w:pStyle w:val="762"/>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八、甲乙双方的权利和义务：</w:t>
      </w:r>
      <w:r/>
    </w:p>
    <w:p>
      <w:pPr>
        <w:pStyle w:val="762"/>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（一）甲方权利</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1、甲方有权要求乙方按合同规定提供服务。</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2、乙方违反合同任何条款，甲方有权提前3天以书面形式通知乙方终止本合同。</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3、甲方在项目结束后，有权要求乙方提供招标文件和合同要求中约定的全部资料。</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4、甲方委托乙方研究形成的报告及相应成果知识产权归甲方所有。</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5、对乙方工作进度、质量进行督查，甲方有权按合同约定要求乙方调整进度。</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（二）甲方义务</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1、甲方必须遵守本合同之规定及相关法律规定。</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2、甲方应尽可能向乙方提供可靠、详细的资料，并保证资料的真实性、准确性。</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3、未经乙方书面同意，甲方不得向任何第三方提供审核项目的信息。</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4、对乙方开展的项目提供必要的协助和指导。</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5、按合同约定进度及时向乙方支付项目费用。</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（三）乙方权利</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1、乙方有权要求甲方遵守本合同规定及其附件。</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2、乙方有权要求甲方按合同约定的时间支付相关费用。</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（四）乙方义务</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1、乙方必须遵守本合同之规定及相关法律规定。</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2、乙方不得拒绝甲方委托乙方研究内容的相关咨询，对甲方的咨询乙方必须给予正式的书面答复，并应具有科学性和适用性。</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3、乙方按照本合同及招标文件和乙方的投标文件为甲方提供服务工作，乙方需要对项目组成员进行调整时，须书面征得甲方同意。</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4、非经甲方书面同意，乙方不得向任何第三方透露项目的任何内容。</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5、乙方不得向任何第三方透露从甲方得到或研究发现的甲方内部信息。</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6、乙方人员在甲方活动时，需听从甲方有关人员安排和引导。</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7、甲方提出收回向乙方提供的有关资料时，乙方应按照甲方要求将有关资料及其复制件返还甲方。</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8、在甲方统筹协调下开展实施方案前期调研和资料收集工作。</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9、乙方按照合同约定进度和质量要求完成项目。</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10、合同规定期限内，乙方完成项目时，提交成果文本文件、电子文件等。</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11、乙方保留收集的客观资料。</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12、乙方完成本协议工作内容所发生的人工、住宿、交通、餐饮等费用由乙方承担。</w:t>
      </w:r>
      <w:r/>
    </w:p>
    <w:p>
      <w:pPr>
        <w:pStyle w:val="709"/>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九、违约责任</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pStyle w:val="709"/>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2、乙方因无力履行合同提出解约，须全额返还甲方已支付的款项，并向甲方支付合同项目总费用100%的违约金。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3、乙方应按照甲方规定的时间提供抽检服务，并将结果交付甲方。如果乙方无正当理由拖延服务期限，甲方有权终止合同，乙方应就未完成部分退还甲方，并支付20%的违约金。</w:t>
      </w:r>
      <w:r/>
    </w:p>
    <w:p>
      <w:pPr>
        <w:pStyle w:val="688"/>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在履行合同过程中，乙方遇到不能按时提供服务的情况，应及时以书面形式将不能按时提供服务的理由及可能延误的时间通知甲方。甲方在收到乙方通知后，应对情况进行分析，决定是否修改合同或终止合同；同时保留索赔的权力。</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未经甲方允许，</w:t>
      </w:r>
      <w:r>
        <w:rPr>
          <w:rFonts w:hint="eastAsia" w:ascii="宋体" w:hAnsi="宋体" w:eastAsia="宋体" w:cs="宋体"/>
          <w:sz w:val="24"/>
          <w:szCs w:val="24"/>
          <w:highlight w:val="none"/>
        </w:rPr>
        <w:t xml:space="preserve">乙方将项目审核任务转包或违法分包的，甲方有权终止合同，并计扣乙方合同价20%的违约金。</w:t>
      </w:r>
      <w:r/>
    </w:p>
    <w:p>
      <w:pPr>
        <w:pStyle w:val="709"/>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十、不可抗力事件处理</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1、在合同有效期内，任何一方因不可抗力事件导致不能履行合同，则合同履行期可延长，其延长期与不可抗力影响期相同。</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2、不可抗力事件发生后，应立即通知对方，并寄送有关权威机构出具的证明。</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3、不可抗力事件延续120天以上，双方应通过友好协商，确定是否继续履行合同。</w:t>
      </w:r>
      <w:r/>
    </w:p>
    <w:p>
      <w:pPr>
        <w:pStyle w:val="709"/>
        <w:ind w:firstLine="482"/>
        <w:keepLines w:val="0"/>
        <w:keepNext w:val="0"/>
        <w:pageBreakBefore w:val="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十一、合同生效及其它约定事项</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1、合同经双方法定代表人或授权代表人签字并加盖单位公章后生效。</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2、招标文件和乙方的投标文件为本合同的不可分割的组成部分，与本合同具有同样效力。</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3、知识产权保证：</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4、产权保证：</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乙方保证所交付的服务和服务所涉及的物品所有权无任何抵押、查封等权利瑕疵。</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5、转包或分包：本合同禁止转包，本合同范围的服务，应由乙方直接提供的，不得转让他人提供。经甲方同意，乙方可以依法采取分包方式履行合同，但是分包方式履行的，乙方应就采购项目向甲方负全责。</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6、本合同附件为本合同组成部分，与本合同具有同等效力。</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7、合同执行中涉及采购资金和采购内容修改或补充的，须经财政部门审批，并签书面补充协议报财政部门备案，方可作为主合同不可分割的一部分。</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8、本合同未注明事项，招标文件中有规定的，按招标文件中的规定处理，没有规定的，按照国家的有关规定处理。</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9、本合同未尽事宜甲乙双方协商解决，协商不一致时，向甲方所在地人民法院起诉。</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10、本合同一式</w:t>
      </w:r>
      <w:r>
        <w:rPr>
          <w:rFonts w:hint="eastAsia" w:ascii="宋体" w:hAnsi="宋体" w:eastAsia="宋体" w:cs="宋体"/>
          <w:sz w:val="24"/>
          <w:szCs w:val="24"/>
          <w:highlight w:val="none"/>
          <w:u w:val="single"/>
        </w:rPr>
        <w:t xml:space="preserve">陆</w:t>
      </w:r>
      <w:r>
        <w:rPr>
          <w:rFonts w:hint="eastAsia" w:ascii="宋体" w:hAnsi="宋体" w:eastAsia="宋体" w:cs="宋体"/>
          <w:sz w:val="24"/>
          <w:szCs w:val="24"/>
          <w:highlight w:val="none"/>
        </w:rPr>
        <w:t xml:space="preserve">份，具有同等法律效力，甲方执</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贰</w:t>
      </w:r>
      <w:r>
        <w:rPr>
          <w:rFonts w:hint="eastAsia" w:ascii="宋体" w:hAnsi="宋体" w:eastAsia="宋体" w:cs="宋体"/>
          <w:sz w:val="24"/>
          <w:szCs w:val="24"/>
          <w:highlight w:val="none"/>
        </w:rPr>
        <w:t xml:space="preserve">份，采购代理机构</w:t>
      </w:r>
      <w:r>
        <w:rPr>
          <w:rFonts w:hint="eastAsia" w:ascii="宋体" w:hAnsi="宋体" w:eastAsia="宋体" w:cs="宋体"/>
          <w:sz w:val="24"/>
          <w:szCs w:val="24"/>
          <w:highlight w:val="none"/>
          <w:u w:val="single"/>
        </w:rPr>
        <w:t xml:space="preserve">壹份</w:t>
      </w:r>
      <w:r>
        <w:rPr>
          <w:rFonts w:hint="eastAsia" w:ascii="宋体" w:hAnsi="宋体" w:eastAsia="宋体" w:cs="宋体"/>
          <w:sz w:val="24"/>
          <w:szCs w:val="24"/>
          <w:highlight w:val="none"/>
        </w:rPr>
        <w:t xml:space="preserve">存档，政府采购管理部门</w:t>
      </w:r>
      <w:r>
        <w:rPr>
          <w:rFonts w:hint="eastAsia" w:ascii="宋体" w:hAnsi="宋体" w:eastAsia="宋体" w:cs="宋体"/>
          <w:sz w:val="24"/>
          <w:szCs w:val="24"/>
          <w:highlight w:val="none"/>
          <w:u w:val="single"/>
        </w:rPr>
        <w:t xml:space="preserve">壹份</w:t>
      </w:r>
      <w:r>
        <w:rPr>
          <w:rFonts w:hint="eastAsia" w:ascii="宋体" w:hAnsi="宋体" w:eastAsia="宋体" w:cs="宋体"/>
          <w:sz w:val="24"/>
          <w:szCs w:val="24"/>
          <w:highlight w:val="none"/>
        </w:rPr>
        <w:t xml:space="preserve">备案。合同自双方签字盖章且乙方提交履约保证金后生效。本合同未尽事宜，由甲乙双方协商解决。</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甲方和乙方由其正式授权代表于上述所写日期和地点签订本合同。</w:t>
      </w:r>
      <w:r/>
    </w:p>
    <w:p>
      <w:pPr>
        <w:pStyle w:val="709"/>
        <w:ind w:firstLine="480"/>
        <w:jc w:val="center"/>
        <w:keepLines w:val="0"/>
        <w:keepNext w:val="0"/>
        <w:pageBreakBefore w:val="0"/>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甲方（签章）：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 ___________________________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乙方（签章）：</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邮编：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p>
    <w:p>
      <w:pPr>
        <w:pStyle w:val="709"/>
        <w:ind w:firstLine="480"/>
        <w:keepLines w:val="0"/>
        <w:keepNext w:val="0"/>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w:t>
      </w:r>
      <w:r/>
    </w:p>
    <w:p>
      <w:pPr>
        <w:pStyle w:val="859"/>
        <w:ind w:firstLine="480"/>
        <w:jc w:val="left"/>
        <w:keepLines w:val="0"/>
        <w:keepNext w:val="0"/>
        <w:pageBreakBefore w:val="0"/>
        <w:spacing w:before="0" w:beforeAutospacing="0" w:after="0" w:afterAutospacing="0" w:line="520" w:lineRule="exact"/>
        <w:shd w:val="clear" w:color="auto" w:fill="ffff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sz w:val="24"/>
          <w:szCs w:val="24"/>
          <w:highlight w:val="none"/>
        </w:rPr>
        <w:t xml:space="preserve">法定代表人或授权代表(签名)： _______________</w:t>
      </w:r>
      <w:r/>
    </w:p>
    <w:p>
      <w:pPr>
        <w:ind w:firstLine="277"/>
        <w:keepLines w:val="0"/>
        <w:keepNext w:val="0"/>
        <w:pageBreakBefore w:val="0"/>
        <w:spacing w:line="520" w:lineRule="exact"/>
        <w:rPr>
          <w:rFonts w:hint="eastAsia" w:ascii="宋体" w:hAnsi="宋体" w:cs="宋体"/>
          <w:sz w:val="28"/>
          <w:szCs w:val="28"/>
          <w:highlight w:val="none"/>
        </w:rPr>
      </w:pPr>
      <w:r>
        <w:rPr>
          <w:rFonts w:hint="eastAsia" w:ascii="宋体" w:hAnsi="宋体" w:cs="宋体"/>
          <w:sz w:val="28"/>
          <w:szCs w:val="28"/>
          <w:highlight w:val="none"/>
        </w:rPr>
      </w:r>
      <w:r/>
    </w:p>
    <w:p>
      <w:pPr>
        <w:rPr>
          <w:rFonts w:hint="eastAsia" w:ascii="宋体" w:hAnsi="宋体" w:eastAsia="宋体" w:cs="宋体"/>
          <w:highlight w:val="none"/>
        </w:rPr>
      </w:pPr>
      <w:r/>
      <w:bookmarkStart w:id="13" w:name="_Toc522790136"/>
      <w:r/>
      <w:bookmarkStart w:id="14" w:name="_Toc523404701"/>
      <w:r>
        <w:rPr>
          <w:rFonts w:hint="eastAsia" w:ascii="宋体" w:hAnsi="宋体" w:eastAsia="宋体" w:cs="宋体"/>
          <w:highlight w:val="none"/>
        </w:rPr>
        <w:br w:type="page" w:clear="all"/>
      </w:r>
      <w:r/>
    </w:p>
    <w:p>
      <w:pPr>
        <w:pStyle w:val="800"/>
        <w:rPr>
          <w:rFonts w:hint="eastAsia" w:ascii="宋体" w:hAnsi="宋体" w:eastAsia="宋体" w:cs="宋体"/>
          <w:highlight w:val="none"/>
        </w:rPr>
      </w:pPr>
      <w:r>
        <w:rPr>
          <w:rFonts w:hint="eastAsia" w:ascii="宋体" w:hAnsi="宋体" w:eastAsia="宋体" w:cs="宋体"/>
          <w:highlight w:val="none"/>
        </w:rPr>
        <w:t xml:space="preserve">第六章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采购需求</w:t>
      </w:r>
      <w:r/>
    </w:p>
    <w:p>
      <w:pPr>
        <w:ind w:firstLine="482"/>
        <w:keepLines w:val="0"/>
        <w:keepNext w:val="0"/>
        <w:pageBreakBefore w:val="0"/>
        <w:spacing w:line="520" w:lineRule="exact"/>
        <w:widowControl w:val="off"/>
        <w:rPr>
          <w:rFonts w:ascii="宋体" w:hAnsi="宋体" w:eastAsia="宋体"/>
          <w:b/>
          <w:bCs/>
          <w:sz w:val="24"/>
          <w:szCs w:val="24"/>
          <w:highlight w:val="none"/>
        </w:rPr>
      </w:pPr>
      <w:r>
        <w:rPr>
          <w:rFonts w:hint="eastAsia" w:ascii="宋体" w:hAnsi="宋体" w:eastAsia="宋体"/>
          <w:b/>
          <w:bCs/>
          <w:sz w:val="24"/>
          <w:szCs w:val="24"/>
          <w:highlight w:val="none"/>
        </w:rPr>
        <w:t xml:space="preserve">一、</w:t>
      </w:r>
      <w:r>
        <w:rPr>
          <w:rFonts w:ascii="宋体" w:hAnsi="宋体" w:eastAsia="宋体"/>
          <w:b/>
          <w:bCs/>
          <w:sz w:val="24"/>
          <w:szCs w:val="24"/>
          <w:highlight w:val="none"/>
        </w:rPr>
        <w:t xml:space="preserve">项目</w:t>
      </w:r>
      <w:r>
        <w:rPr>
          <w:rFonts w:hint="eastAsia" w:ascii="宋体" w:hAnsi="宋体" w:eastAsia="宋体"/>
          <w:b/>
          <w:bCs/>
          <w:sz w:val="24"/>
          <w:szCs w:val="24"/>
          <w:highlight w:val="none"/>
        </w:rPr>
        <w:t xml:space="preserve">概况</w:t>
      </w:r>
      <w:r/>
    </w:p>
    <w:p>
      <w:pPr>
        <w:numPr>
          <w:ilvl w:val="0"/>
          <w:numId w:val="2"/>
        </w:numPr>
        <w:ind w:firstLine="480"/>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项目名称：徐州市市场监督管理局食品安全监督抽检</w:t>
      </w:r>
      <w:r/>
    </w:p>
    <w:p>
      <w:pPr>
        <w:ind w:firstLine="480"/>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2、项目预算：</w:t>
      </w:r>
      <w:r/>
    </w:p>
    <w:p>
      <w:pPr>
        <w:pStyle w:val="716"/>
        <w:ind w:firstLine="480"/>
        <w:jc w:val="left"/>
        <w:keepLines w:val="0"/>
        <w:keepNext w:val="0"/>
        <w:pageBreakBefore w:val="0"/>
        <w:spacing w:line="520" w:lineRule="exact"/>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食品安全监督抽检预算金额50万元人民币，不接受单批次报价超过849元人民币、总任务量低于588批次的投标报价；（报价包含采样费、检测费、买样费、各种税费、交通费、人工、保险、利润、税金、复检合格应支付给复检机构的复检费用及合同包含的所有风险、责任等各项应有的全部费用，采购人不再支付报价以外的任何费用。）</w:t>
      </w:r>
      <w:r/>
    </w:p>
    <w:p>
      <w:pPr>
        <w:pStyle w:val="708"/>
        <w:ind w:firstLine="480"/>
        <w:jc w:val="left"/>
        <w:keepLines w:val="0"/>
        <w:keepNext w:val="0"/>
        <w:pageBreakBefore w:val="0"/>
        <w:spacing w:line="520" w:lineRule="exact"/>
        <w:widowControl w:val="off"/>
        <w:rPr>
          <w:rFonts w:hAnsi="宋体" w:cs="宋体"/>
          <w:b/>
          <w:bCs/>
          <w:sz w:val="24"/>
          <w:szCs w:val="24"/>
          <w:highlight w:val="none"/>
        </w:rPr>
      </w:pPr>
      <w:r>
        <w:rPr>
          <w:rFonts w:hint="eastAsia" w:hAnsi="宋体" w:cs="宋体"/>
          <w:sz w:val="24"/>
          <w:szCs w:val="24"/>
          <w:highlight w:val="none"/>
        </w:rPr>
        <w:t xml:space="preserve">3、项目属性：服务，</w:t>
      </w:r>
      <w:r>
        <w:rPr>
          <w:rFonts w:hint="eastAsia" w:hAnsi="宋体" w:cs="宋体"/>
          <w:b/>
          <w:bCs/>
          <w:sz w:val="24"/>
          <w:szCs w:val="24"/>
          <w:highlight w:val="none"/>
        </w:rPr>
        <w:t xml:space="preserve">本项目是不专门面向中小微企业采购的项目</w:t>
      </w:r>
      <w:r/>
    </w:p>
    <w:p>
      <w:pPr>
        <w:ind w:firstLine="480"/>
        <w:keepLines w:val="0"/>
        <w:keepNext w:val="0"/>
        <w:pageBreakBefore w:val="0"/>
        <w:spacing w:line="52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4、项目地点：徐州市</w:t>
      </w:r>
      <w:r/>
    </w:p>
    <w:p>
      <w:pPr>
        <w:ind w:firstLine="480"/>
        <w:keepLines w:val="0"/>
        <w:keepNext w:val="0"/>
        <w:pageBreakBefore w:val="0"/>
        <w:spacing w:line="52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sz w:val="24"/>
          <w:szCs w:val="24"/>
          <w:highlight w:val="none"/>
        </w:rPr>
        <w:t xml:space="preserve">5、服务期限：</w:t>
      </w:r>
      <w:r>
        <w:rPr>
          <w:rFonts w:hint="eastAsia" w:ascii="宋体" w:hAnsi="宋体" w:eastAsia="宋体" w:cs="宋体"/>
          <w:b/>
          <w:color w:val="000000"/>
          <w:sz w:val="24"/>
          <w:szCs w:val="24"/>
          <w:highlight w:val="none"/>
        </w:rPr>
        <w:t xml:space="preserve">自合同签字之日起至2024年12月31日</w:t>
      </w:r>
      <w:r/>
    </w:p>
    <w:p>
      <w:pPr>
        <w:pStyle w:val="708"/>
        <w:ind w:firstLine="480"/>
        <w:jc w:val="left"/>
        <w:keepLines w:val="0"/>
        <w:keepNext w:val="0"/>
        <w:pageBreakBefore w:val="0"/>
        <w:spacing w:line="520" w:lineRule="exact"/>
        <w:widowControl w:val="off"/>
        <w:rPr>
          <w:rFonts w:hAnsi="宋体" w:cs="宋体"/>
          <w:color w:val="000000"/>
          <w:sz w:val="24"/>
          <w:szCs w:val="24"/>
          <w:highlight w:val="none"/>
        </w:rPr>
      </w:pPr>
      <w:r>
        <w:rPr>
          <w:rFonts w:hint="eastAsia" w:hAnsi="宋体" w:cs="宋体"/>
          <w:sz w:val="24"/>
          <w:szCs w:val="24"/>
          <w:highlight w:val="none"/>
        </w:rPr>
        <w:t xml:space="preserve">6、项目背景：</w:t>
      </w:r>
      <w:r>
        <w:rPr>
          <w:rFonts w:hint="eastAsia" w:hAnsi="宋体" w:cs="宋体"/>
          <w:color w:val="000000"/>
          <w:sz w:val="24"/>
          <w:szCs w:val="24"/>
          <w:highlight w:val="none"/>
        </w:rPr>
        <w:t xml:space="preserve">为确保徐州市食品安全抽检监测工作顺利开展，现向全国范围内进行检验机构招标，承担2024年徐州市食品安全抽检监测任务。</w:t>
      </w:r>
      <w:r/>
    </w:p>
    <w:p>
      <w:pPr>
        <w:pStyle w:val="717"/>
        <w:ind w:left="0" w:firstLine="482"/>
        <w:keepLines w:val="0"/>
        <w:keepNext w:val="0"/>
        <w:pageBreakBefore w:val="0"/>
        <w:spacing w:line="520" w:lineRule="exact"/>
        <w:widowControl w:val="off"/>
        <w:rPr>
          <w:sz w:val="24"/>
          <w:szCs w:val="24"/>
          <w:highlight w:val="none"/>
        </w:rPr>
      </w:pPr>
      <w:r>
        <w:rPr>
          <w:rFonts w:hint="eastAsia"/>
          <w:b/>
          <w:bCs/>
          <w:color w:val="000000"/>
          <w:sz w:val="24"/>
          <w:szCs w:val="24"/>
          <w:highlight w:val="none"/>
        </w:rPr>
        <w:t xml:space="preserve">二、</w:t>
      </w:r>
      <w:r>
        <w:rPr>
          <w:b/>
          <w:bCs/>
          <w:color w:val="000000"/>
          <w:sz w:val="24"/>
          <w:szCs w:val="24"/>
          <w:highlight w:val="none"/>
        </w:rPr>
        <w:t xml:space="preserve">服务范围</w:t>
      </w:r>
      <w:r/>
    </w:p>
    <w:p>
      <w:pPr>
        <w:pStyle w:val="717"/>
        <w:ind w:left="0" w:firstLine="480"/>
        <w:keepLines w:val="0"/>
        <w:keepNext w:val="0"/>
        <w:pageBreakBefore w:val="0"/>
        <w:spacing w:line="520" w:lineRule="exact"/>
        <w:widowControl w:val="off"/>
        <w:rPr>
          <w:color w:val="000000"/>
          <w:sz w:val="24"/>
          <w:szCs w:val="24"/>
          <w:highlight w:val="none"/>
        </w:rPr>
      </w:pPr>
      <w:r>
        <w:rPr>
          <w:rFonts w:hint="eastAsia" w:cs="宋体"/>
          <w:sz w:val="24"/>
          <w:szCs w:val="24"/>
          <w:highlight w:val="none"/>
        </w:rPr>
        <w:t xml:space="preserve">食品安全监督抽检</w:t>
      </w:r>
      <w:r>
        <w:rPr>
          <w:rFonts w:hint="eastAsia"/>
          <w:color w:val="000000"/>
          <w:sz w:val="24"/>
          <w:szCs w:val="24"/>
          <w:highlight w:val="none"/>
        </w:rPr>
        <w:t xml:space="preserve">服务范围</w:t>
      </w:r>
      <w:r>
        <w:rPr>
          <w:color w:val="000000"/>
          <w:sz w:val="24"/>
          <w:szCs w:val="24"/>
          <w:highlight w:val="none"/>
        </w:rPr>
        <w:t xml:space="preserve">：</w:t>
      </w:r>
      <w:r>
        <w:rPr>
          <w:bCs/>
          <w:color w:val="000000"/>
          <w:sz w:val="24"/>
          <w:szCs w:val="24"/>
          <w:highlight w:val="none"/>
        </w:rPr>
        <w:t xml:space="preserve">对徐州市开展</w:t>
      </w:r>
      <w:r>
        <w:rPr>
          <w:rFonts w:hint="eastAsia"/>
          <w:bCs/>
          <w:color w:val="000000"/>
          <w:sz w:val="24"/>
          <w:szCs w:val="24"/>
          <w:highlight w:val="none"/>
        </w:rPr>
        <w:t xml:space="preserve">校园大宗食材、乡镇农村食品</w:t>
      </w:r>
      <w:r>
        <w:rPr>
          <w:rFonts w:hint="eastAsia"/>
          <w:color w:val="000000"/>
          <w:sz w:val="24"/>
          <w:szCs w:val="24"/>
          <w:highlight w:val="none"/>
        </w:rPr>
        <w:t xml:space="preserve">及应急投</w:t>
      </w:r>
      <w:r>
        <w:rPr>
          <w:rFonts w:hint="eastAsia"/>
          <w:bCs/>
          <w:color w:val="000000"/>
          <w:sz w:val="24"/>
          <w:szCs w:val="24"/>
          <w:highlight w:val="none"/>
        </w:rPr>
        <w:t xml:space="preserve">诉等食品安全</w:t>
      </w:r>
      <w:r>
        <w:rPr>
          <w:bCs/>
          <w:color w:val="000000"/>
          <w:sz w:val="24"/>
          <w:szCs w:val="24"/>
          <w:highlight w:val="none"/>
        </w:rPr>
        <w:t xml:space="preserve">监督抽检。</w:t>
      </w:r>
      <w:r/>
    </w:p>
    <w:p>
      <w:pPr>
        <w:pStyle w:val="845"/>
        <w:ind w:left="0" w:firstLine="482"/>
        <w:keepLines w:val="0"/>
        <w:keepNext w:val="0"/>
        <w:pageBreakBefore w:val="0"/>
        <w:spacing w:line="520" w:lineRule="exact"/>
        <w:widowControl w:val="off"/>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各采购包的总任务量，</w:t>
      </w:r>
      <w:r>
        <w:rPr>
          <w:rFonts w:ascii="宋体" w:hAnsi="宋体"/>
          <w:b/>
          <w:bCs/>
          <w:sz w:val="24"/>
          <w:szCs w:val="24"/>
          <w:highlight w:val="none"/>
        </w:rPr>
        <w:t xml:space="preserve">是采购人根据工作计划初步测算的结果，实际履约时</w:t>
      </w:r>
      <w:r>
        <w:rPr>
          <w:rFonts w:hint="eastAsia" w:ascii="宋体" w:hAnsi="宋体"/>
          <w:b/>
          <w:bCs/>
          <w:sz w:val="24"/>
          <w:szCs w:val="24"/>
          <w:highlight w:val="none"/>
        </w:rPr>
        <w:t xml:space="preserve">各监督抽检专项</w:t>
      </w:r>
      <w:r>
        <w:rPr>
          <w:rFonts w:ascii="宋体" w:hAnsi="宋体"/>
          <w:b/>
          <w:bCs/>
          <w:sz w:val="24"/>
          <w:szCs w:val="24"/>
          <w:highlight w:val="none"/>
        </w:rPr>
        <w:t xml:space="preserve">的批次数由采购人根据工作任务动态调整。在执行招标文件规定的计价原则和最高限价的前提下，实际履约过程中当实际结算支付的所有费用总金额达到预算金额时，采购人不再安排抽检任务批次。</w:t>
      </w:r>
      <w:r/>
    </w:p>
    <w:p>
      <w:pPr>
        <w:pStyle w:val="845"/>
        <w:ind w:left="0" w:firstLine="482"/>
        <w:keepLines w:val="0"/>
        <w:keepNext w:val="0"/>
        <w:pageBreakBefore w:val="0"/>
        <w:spacing w:line="520" w:lineRule="exact"/>
        <w:widowControl w:val="off"/>
        <w:rPr>
          <w:rFonts w:ascii="宋体" w:hAnsi="宋体"/>
          <w:b/>
          <w:bCs/>
          <w:sz w:val="24"/>
          <w:szCs w:val="24"/>
          <w:highlight w:val="none"/>
        </w:rPr>
      </w:pPr>
      <w:r>
        <w:rPr>
          <w:rFonts w:hint="eastAsia" w:ascii="宋体" w:hAnsi="宋体"/>
          <w:b/>
          <w:bCs/>
          <w:sz w:val="24"/>
          <w:szCs w:val="24"/>
          <w:highlight w:val="none"/>
        </w:rPr>
        <w:t xml:space="preserve">三、</w:t>
      </w:r>
      <w:r>
        <w:rPr>
          <w:rFonts w:ascii="宋体" w:hAnsi="宋体"/>
          <w:b/>
          <w:bCs/>
          <w:sz w:val="24"/>
          <w:szCs w:val="24"/>
          <w:highlight w:val="none"/>
        </w:rPr>
        <w:t xml:space="preserve">项目要求：</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1、抽检范围及品种</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在抽样品种上，应结合季节供应特点、当地食用习惯合理确定各类食用农产品的抽样比例和批次，不得同一农产品反复抽检，重点抽检当季食用农产品，对不合格较多的食用农产品适当增加抽检频次。</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2、检测项目</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食用农产品检测项目包括必检项目及可选项目，按附表</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t xml:space="preserve">2024</w:t>
      </w:r>
      <w:r>
        <w:rPr>
          <w:rFonts w:ascii="宋体" w:hAnsi="宋体"/>
          <w:sz w:val="24"/>
          <w:szCs w:val="24"/>
          <w:highlight w:val="none"/>
        </w:rPr>
        <w:t xml:space="preserve">年徐州市级食用农产品安全监督抽检品种及项目表》执行。</w:t>
      </w:r>
      <w:r/>
    </w:p>
    <w:p>
      <w:pPr>
        <w:pStyle w:val="845"/>
        <w:numPr>
          <w:ilvl w:val="0"/>
          <w:numId w:val="3"/>
        </w:numPr>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食用农产品其他抽检要求</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食用农产品其他抽检要求按江苏省市场监督管理局《2022年江苏省食品安全抽检</w:t>
      </w:r>
      <w:r>
        <w:rPr>
          <w:rFonts w:hint="eastAsia" w:ascii="宋体" w:hAnsi="宋体"/>
          <w:sz w:val="24"/>
          <w:szCs w:val="24"/>
          <w:highlight w:val="none"/>
        </w:rPr>
        <w:t xml:space="preserve">监</w:t>
      </w:r>
      <w:r>
        <w:rPr>
          <w:rFonts w:ascii="宋体" w:hAnsi="宋体"/>
          <w:sz w:val="24"/>
          <w:szCs w:val="24"/>
          <w:highlight w:val="none"/>
        </w:rPr>
        <w:t xml:space="preserve">测工作计划》（苏市监食检【2022】53号）附件6“2022年食用农产品监督抽检工作要求”执行。</w:t>
      </w:r>
      <w:r/>
    </w:p>
    <w:p>
      <w:pPr>
        <w:pStyle w:val="845"/>
        <w:numPr>
          <w:ilvl w:val="0"/>
          <w:numId w:val="3"/>
        </w:numPr>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食品安全监督抽检品种、项目</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ascii="宋体" w:hAnsi="宋体"/>
          <w:sz w:val="24"/>
          <w:szCs w:val="24"/>
          <w:highlight w:val="none"/>
        </w:rPr>
        <w:t xml:space="preserve">食品细类检验项目按照《国家食品安全监督抽检实施细则》</w:t>
      </w:r>
      <w:r>
        <w:rPr>
          <w:rFonts w:hint="eastAsia" w:ascii="宋体" w:hAnsi="宋体"/>
          <w:sz w:val="24"/>
          <w:szCs w:val="24"/>
          <w:highlight w:val="none"/>
        </w:rPr>
        <w:t xml:space="preserve">2024</w:t>
      </w:r>
      <w:r>
        <w:rPr>
          <w:rFonts w:ascii="宋体" w:hAnsi="宋体"/>
          <w:sz w:val="24"/>
          <w:szCs w:val="24"/>
          <w:highlight w:val="none"/>
        </w:rPr>
        <w:t xml:space="preserve">版为基准，该细则细类检验项目少于8个项目按实际项目检验，8个项目以上按60%项目检验，但不得少于8个项目。</w:t>
      </w:r>
      <w:r/>
    </w:p>
    <w:p>
      <w:pPr>
        <w:pStyle w:val="845"/>
        <w:ind w:left="0" w:firstLine="480"/>
        <w:keepLines w:val="0"/>
        <w:keepNext w:val="0"/>
        <w:pageBreakBefore w:val="0"/>
        <w:spacing w:line="520" w:lineRule="exact"/>
        <w:widowControl w:val="off"/>
        <w:rPr>
          <w:rFonts w:ascii="宋体" w:hAnsi="宋体"/>
          <w:sz w:val="24"/>
          <w:szCs w:val="24"/>
          <w:highlight w:val="none"/>
        </w:rPr>
      </w:pPr>
      <w:r>
        <w:rPr>
          <w:rFonts w:hint="eastAsia" w:ascii="宋体" w:hAnsi="宋体"/>
          <w:sz w:val="24"/>
          <w:szCs w:val="24"/>
          <w:highlight w:val="none"/>
        </w:rPr>
        <w:t xml:space="preserve">5、承检机构在抽检工作开始前将抽检计划、方案（含具体检测项目）报委托方备案。</w:t>
      </w:r>
      <w:r/>
    </w:p>
    <w:p>
      <w:pPr>
        <w:pStyle w:val="716"/>
        <w:ind w:left="0" w:firstLine="482"/>
        <w:keepLines w:val="0"/>
        <w:keepNext w:val="0"/>
        <w:pageBreakBefore w:val="0"/>
        <w:spacing w:line="520" w:lineRule="exact"/>
        <w:widowControl w:val="off"/>
        <w:rPr>
          <w:b/>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工作要求</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1. 承检机构应严格按照《食品安全法》及其《实施条例》，以及《国家食品安全监督抽检实施细则》、</w:t>
      </w:r>
      <w:r>
        <w:rPr>
          <w:rFonts w:hint="eastAsia" w:ascii="宋体" w:hAnsi="宋体"/>
          <w:color w:val="000000"/>
          <w:sz w:val="24"/>
          <w:szCs w:val="24"/>
          <w:highlight w:val="none"/>
        </w:rPr>
        <w:t xml:space="preserve">《食品安全抽样检验工作规范》、《食品安全抽样检验管理办法》、《食用农产品抽样检验和核查处置规定》</w:t>
      </w:r>
      <w:r>
        <w:rPr>
          <w:rFonts w:ascii="宋体" w:hAnsi="宋体"/>
          <w:color w:val="000000"/>
          <w:sz w:val="24"/>
          <w:szCs w:val="24"/>
          <w:highlight w:val="none"/>
        </w:rPr>
        <w:t xml:space="preserve">等相关规定和要求实施抽样检验工作，对检测报告承担法律责任。</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2. 承检机构对抽检信息、数据等负有保密义务，未经委托方授权，不得向除委托方外的任何单位与个人透露情况。</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3. 检验项目由委托方确定，承检机构应按照委托方要求，及时将抽样检验相关资料准确录入委托方指定的信息管理系统。</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4. 承检机构不得将检验任务外包或分包给其他检验机构，一经发现，立即终止承检任务。</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5. 承检机构必须保证抽检过程公平、公正，出现较严重检验事故的，立即终止承检任务。</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6. 承检机构应按照委托方要求，严格遵守抽样工作规范，保证抽样工作有效。样品抽取要由专门人员完成，样品运输要符合样品管理规定，鼓励派专人专车送达。</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7. 承检机构应在规定时间内完成委托方部署的抽样检验工作，依法出具检验报告，汇总样品抽检结果信息，提交抽检工作分析总结报告。</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8．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9. 因违反抽样、检验、信息披露等相关规定的，委托方有权取消其承检任务并追究其经济赔偿责任和法律责任。</w:t>
      </w:r>
      <w:r/>
    </w:p>
    <w:p>
      <w:pPr>
        <w:pStyle w:val="716"/>
        <w:ind w:left="0"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10. 中标承检机构不得拒绝委托方委托的抽检任务，否则视为违约。</w:t>
      </w:r>
      <w:bookmarkStart w:id="15" w:name="_Toc459319303"/>
      <w:r/>
      <w:bookmarkEnd w:id="15"/>
      <w:r/>
      <w:r/>
    </w:p>
    <w:p>
      <w:pPr>
        <w:pStyle w:val="717"/>
        <w:ind w:left="0" w:firstLine="480"/>
        <w:keepLines w:val="0"/>
        <w:keepNext w:val="0"/>
        <w:pageBreakBefore w:val="0"/>
        <w:spacing w:line="520" w:lineRule="exact"/>
        <w:widowControl w:val="off"/>
        <w:rPr>
          <w:color w:val="000000"/>
          <w:sz w:val="24"/>
          <w:szCs w:val="24"/>
          <w:highlight w:val="none"/>
        </w:rPr>
      </w:pPr>
      <w:r>
        <w:rPr>
          <w:rFonts w:hint="eastAsia"/>
          <w:color w:val="000000"/>
          <w:sz w:val="24"/>
          <w:szCs w:val="24"/>
          <w:highlight w:val="none"/>
        </w:rPr>
        <w:t xml:space="preserve">11.承检机构需配备熟练的专业人员组成食品抽检数据核查工作组及核查处置专家库，为委托方提供数据核查及不合格食品生产企业的现场核查等其他配套服务。</w:t>
      </w:r>
      <w:r/>
    </w:p>
    <w:p>
      <w:pPr>
        <w:pStyle w:val="716"/>
        <w:ind w:firstLine="482"/>
        <w:keepLines w:val="0"/>
        <w:keepNext w:val="0"/>
        <w:pageBreakBefore w:val="0"/>
        <w:spacing w:line="52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服务考核</w:t>
      </w:r>
      <w:r/>
    </w:p>
    <w:p>
      <w:pPr>
        <w:pStyle w:val="716"/>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1、食品抽检数据质量考核：徐州市市场监督管理局每月随机抽取承检机构食品抽检数据，按照评分标准，评价数据质量。被国家总局、省局通报数据质量问题的，酌情扣款。</w:t>
      </w:r>
      <w:r/>
    </w:p>
    <w:p>
      <w:pPr>
        <w:pStyle w:val="716"/>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2、抽检问题发现率考核：食品及食用农产品监督抽检问题发现率指市、县级食品及食用农产品监督抽检发现食品安全问题能力。食品及食用农产品监督抽检不合格率=累计食品及食用农产品监督抽检不合格样品数（食品细类单一品种不合格数不超过不合格总数的10%，超出数值不计算）/食品及食用农产品监督抽检样品数。达不到</w:t>
      </w:r>
      <w:r>
        <w:rPr>
          <w:rFonts w:hint="eastAsia" w:ascii="宋体" w:hAnsi="宋体"/>
          <w:color w:val="000000"/>
          <w:sz w:val="24"/>
          <w:szCs w:val="24"/>
          <w:highlight w:val="none"/>
        </w:rPr>
        <w:t xml:space="preserve">江苏省市场监管局要求的指标</w:t>
      </w:r>
      <w:r>
        <w:rPr>
          <w:rFonts w:ascii="宋体" w:hAnsi="宋体"/>
          <w:color w:val="000000"/>
          <w:sz w:val="24"/>
          <w:szCs w:val="24"/>
          <w:highlight w:val="none"/>
        </w:rPr>
        <w:t xml:space="preserve">，酌情扣款。</w:t>
      </w:r>
      <w:r/>
    </w:p>
    <w:p>
      <w:pPr>
        <w:pStyle w:val="716"/>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3、抽检任务推进考核：按照采购方下达的不同任务要求均衡推进抽检，按任务要求完成的时间阶段进行考核。</w:t>
      </w:r>
      <w:r/>
    </w:p>
    <w:p>
      <w:pPr>
        <w:pStyle w:val="717"/>
        <w:ind w:left="0" w:firstLine="480"/>
        <w:keepLines w:val="0"/>
        <w:keepNext w:val="0"/>
        <w:pageBreakBefore w:val="0"/>
        <w:spacing w:line="520" w:lineRule="exact"/>
        <w:widowControl w:val="off"/>
        <w:rPr>
          <w:color w:val="000000"/>
          <w:sz w:val="24"/>
          <w:szCs w:val="24"/>
          <w:highlight w:val="none"/>
        </w:rPr>
      </w:pPr>
      <w:r>
        <w:rPr>
          <w:rFonts w:hint="eastAsia"/>
          <w:color w:val="000000"/>
          <w:sz w:val="24"/>
          <w:szCs w:val="24"/>
          <w:highlight w:val="none"/>
        </w:rPr>
        <w:t xml:space="preserve">4、因抽样、检验过程不规范，影响核查处置工作推进的及初检结论被推翻的，酌情扣款。</w:t>
      </w:r>
      <w:r/>
    </w:p>
    <w:p>
      <w:pPr>
        <w:pStyle w:val="716"/>
        <w:ind w:firstLine="482"/>
        <w:jc w:val="left"/>
        <w:keepLines w:val="0"/>
        <w:keepNext w:val="0"/>
        <w:pageBreakBefore w:val="0"/>
        <w:spacing w:line="52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六</w:t>
      </w:r>
      <w:r>
        <w:rPr>
          <w:rFonts w:ascii="宋体" w:hAnsi="宋体"/>
          <w:b/>
          <w:color w:val="000000"/>
          <w:sz w:val="24"/>
          <w:szCs w:val="24"/>
          <w:highlight w:val="none"/>
        </w:rPr>
        <w:t xml:space="preserve">、其他要求</w:t>
      </w:r>
      <w:r/>
    </w:p>
    <w:p>
      <w:pPr>
        <w:ind w:firstLine="480"/>
        <w:keepLines w:val="0"/>
        <w:keepNext w:val="0"/>
        <w:pageBreakBefore w:val="0"/>
        <w:spacing w:line="520" w:lineRule="exact"/>
        <w:widowControl w:val="off"/>
        <w:rPr>
          <w:rFonts w:ascii="宋体" w:hAnsi="宋体"/>
          <w:color w:val="000000"/>
          <w:sz w:val="24"/>
          <w:szCs w:val="24"/>
          <w:highlight w:val="none"/>
        </w:rPr>
      </w:pPr>
      <w:r>
        <w:rPr>
          <w:rFonts w:ascii="宋体" w:hAnsi="宋体"/>
          <w:color w:val="000000"/>
          <w:sz w:val="24"/>
          <w:szCs w:val="24"/>
          <w:highlight w:val="none"/>
        </w:rPr>
        <w:t xml:space="preserve">本次项目各标段中标人负责对采购人根据上级部署任务和实际工作需要而确定的项目进行委托抽检工作，按实际完成量据实支付。</w:t>
      </w:r>
      <w:r/>
    </w:p>
    <w:p>
      <w:pPr>
        <w:ind w:firstLine="480"/>
        <w:keepLines w:val="0"/>
        <w:keepNext w:val="0"/>
        <w:pageBreakBefore w:val="0"/>
        <w:spacing w:line="520" w:lineRule="exact"/>
        <w:widowControl w:val="off"/>
        <w:rPr>
          <w:rFonts w:hint="default" w:ascii="宋体" w:hAnsi="宋体" w:eastAsia="宋体"/>
          <w:color w:val="000000"/>
          <w:sz w:val="28"/>
          <w:szCs w:val="28"/>
          <w:highlight w:val="none"/>
          <w:lang w:val="en-US" w:eastAsia="zh-CN"/>
        </w:rPr>
      </w:pPr>
      <w:r>
        <w:rPr>
          <w:rFonts w:hint="eastAsia" w:ascii="宋体" w:hAnsi="宋体"/>
          <w:color w:val="000000"/>
          <w:sz w:val="24"/>
          <w:szCs w:val="24"/>
          <w:highlight w:val="none"/>
          <w:lang w:val="en-US" w:eastAsia="zh-CN"/>
        </w:rPr>
        <w:t xml:space="preserve">其他内容详见拟签订的合同文本。</w:t>
      </w:r>
      <w:r/>
    </w:p>
    <w:p>
      <w:pPr>
        <w:ind w:firstLine="560"/>
        <w:keepLines w:val="0"/>
        <w:keepNext w:val="0"/>
        <w:pageBreakBefore w:val="0"/>
        <w:spacing w:line="520" w:lineRule="exact"/>
        <w:widowControl w:val="off"/>
        <w:rPr>
          <w:rFonts w:hint="eastAsia" w:ascii="宋体" w:hAnsi="宋体"/>
          <w:color w:val="000000"/>
          <w:sz w:val="28"/>
          <w:szCs w:val="28"/>
          <w:highlight w:val="none"/>
          <w:lang w:eastAsia="zh-CN"/>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color w:val="000000"/>
          <w:sz w:val="28"/>
          <w:szCs w:val="28"/>
          <w:highlight w:val="none"/>
          <w:lang w:eastAsia="zh-CN"/>
        </w:rPr>
      </w:r>
      <w:r/>
    </w:p>
    <w:p>
      <w:pPr>
        <w:pStyle w:val="800"/>
        <w:jc w:val="center"/>
        <w:rPr>
          <w:rFonts w:hint="eastAsia" w:ascii="宋体" w:hAnsi="宋体" w:eastAsia="宋体" w:cs="宋体"/>
          <w:highlight w:val="none"/>
        </w:rPr>
      </w:pPr>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章  投标文件相关格式</w:t>
      </w:r>
      <w:bookmarkEnd w:id="13"/>
      <w:r/>
      <w:bookmarkEnd w:id="14"/>
      <w:r/>
      <w:r/>
    </w:p>
    <w:p>
      <w:pPr>
        <w:jc w:val="center"/>
        <w:spacing w:line="52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一、投标函</w:t>
      </w:r>
      <w:r/>
    </w:p>
    <w:p>
      <w:pPr>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u w:val="single"/>
          <w:lang w:eastAsia="zh-CN"/>
        </w:rPr>
        <w:t xml:space="preserve">永明项目管理有限公司</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lang w:eastAsia="zh-CN"/>
        </w:rPr>
        <w:t xml:space="preserve">JSZC-320300-YMXM-G2024-0011</w:t>
      </w:r>
      <w:r>
        <w:rPr>
          <w:rFonts w:hint="eastAsia" w:ascii="宋体" w:hAnsi="宋体" w:cs="宋体"/>
          <w:sz w:val="24"/>
          <w:szCs w:val="24"/>
          <w:highlight w:val="none"/>
        </w:rPr>
        <w:t xml:space="preserve">]招标文件，</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（投标人的名称）全权处理本次投标的有关事宜。</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据此函，投标人承诺并同意如下： </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1.投标人唯一投标报价见《开标一览表》。</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2.投标人将按招标文件的规定履行合同责任和义务。</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4.投标有效期为开标之日后90天。</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6.投标人同意在授予合同后，按照有关规定支付公证费(如有)。</w:t>
      </w:r>
      <w:r/>
    </w:p>
    <w:p>
      <w:pPr>
        <w:ind w:right="29"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有权将我单位本项目的《开标一览表》和《分项价格表》予以公示，公示的方式由</w:t>
      </w: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确定。</w:t>
      </w:r>
      <w:r/>
    </w:p>
    <w:p>
      <w:pPr>
        <w:ind w:right="29"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9.与本投标有关的一切正式往来信函请寄：</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地址： </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电话：</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移动电话： </w:t>
      </w:r>
      <w:r/>
    </w:p>
    <w:p>
      <w:pPr>
        <w:ind w:firstLine="112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传真： </w:t>
      </w:r>
      <w:r/>
    </w:p>
    <w:p>
      <w:pPr>
        <w:ind w:firstLine="364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jc w:val="center"/>
        <w:spacing w:line="480" w:lineRule="exact"/>
        <w:rPr>
          <w:rFonts w:hint="eastAsia"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b/>
          <w:bCs/>
          <w:sz w:val="30"/>
          <w:szCs w:val="30"/>
          <w:highlight w:val="none"/>
        </w:rPr>
        <w:t xml:space="preserve">二、开标一览表</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560"/>
        <w:spacing w:line="52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 </w:t>
      </w:r>
      <w:r/>
    </w:p>
    <w:p>
      <w:pPr>
        <w:ind w:firstLine="560"/>
        <w:spacing w:line="52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JSZC-320300-YMXM-G2024-0011</w:t>
      </w:r>
      <w:r/>
    </w:p>
    <w:p>
      <w:pPr>
        <w:ind w:firstLine="56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货币单位：人民币元</w:t>
      </w:r>
      <w:r/>
    </w:p>
    <w:p>
      <w:pPr>
        <w:rPr>
          <w:rFonts w:hint="eastAsia" w:ascii="宋体" w:hAnsi="宋体" w:cs="宋体"/>
          <w:b/>
          <w:sz w:val="24"/>
          <w:szCs w:val="24"/>
          <w:highlight w:val="none"/>
        </w:rPr>
      </w:pPr>
      <w:r>
        <w:rPr>
          <w:rFonts w:hint="eastAsia" w:ascii="宋体" w:hAnsi="宋体" w:cs="宋体"/>
          <w:b/>
          <w:sz w:val="24"/>
          <w:szCs w:val="24"/>
          <w:highlight w:val="none"/>
        </w:rPr>
      </w:r>
      <w:r/>
    </w:p>
    <w:p>
      <w:pPr>
        <w:ind w:firstLine="56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详见苏采云系统中的格式。</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ind w:firstLine="294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39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jc w:val="center"/>
        <w:spacing w:line="480" w:lineRule="exact"/>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三、分项价格表</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  </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JSZC-320300-YMXM-G2024-0011</w:t>
      </w:r>
      <w:r>
        <w:rPr>
          <w:rFonts w:hint="eastAsia" w:ascii="宋体" w:hAnsi="宋体" w:cs="宋体"/>
          <w:sz w:val="24"/>
          <w:szCs w:val="24"/>
          <w:highlight w:val="none"/>
        </w:rPr>
        <w:t xml:space="preserve">   </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货币单位：人民币元</w:t>
      </w:r>
      <w:r/>
    </w:p>
    <w:p>
      <w:pPr>
        <w:ind w:firstLine="266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r>
      <w:r/>
    </w:p>
    <w:tbl>
      <w:tblPr>
        <w:tblStyle w:val="704"/>
        <w:tblpPr w:horzAnchor="page" w:tblpX="1331" w:vertAnchor="text" w:tblpY="97" w:leftFromText="180" w:topFromText="0" w:rightFromText="180" w:bottomFromText="0"/>
        <w:tblW w:w="923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2728"/>
        <w:gridCol w:w="2004"/>
        <w:gridCol w:w="1992"/>
        <w:gridCol w:w="2512"/>
      </w:tblGrid>
      <w:tr>
        <w:trPr>
          <w:trHeight w:val="1168"/>
        </w:trPr>
        <w:tc>
          <w:tcPr>
            <w:tcW w:w="2728"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004"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1992"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12" w:type="dxa"/>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单价（小写）</w:t>
            </w:r>
            <w:r/>
          </w:p>
        </w:tc>
      </w:tr>
      <w:tr>
        <w:trPr>
          <w:trHeight w:val="1547"/>
        </w:trPr>
        <w:tc>
          <w:tcPr>
            <w:tcW w:w="2728" w:type="dxa"/>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徐州市市场监督管理局食品安全监督抽检</w:t>
            </w:r>
            <w:r/>
          </w:p>
        </w:tc>
        <w:tc>
          <w:tcPr>
            <w:tcW w:w="2004" w:type="dxa"/>
            <w:vAlign w:val="center"/>
            <w:textDirection w:val="lrTb"/>
            <w:noWrap w:val="false"/>
          </w:tcPr>
          <w:p>
            <w:pPr>
              <w:jc w:val="center"/>
              <w:spacing w:after="0"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详见招标文件</w:t>
            </w:r>
            <w:r/>
          </w:p>
        </w:tc>
        <w:tc>
          <w:tcPr>
            <w:tcW w:w="1992"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12"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015"/>
        </w:trPr>
        <w:tc>
          <w:tcPr>
            <w:tcW w:w="2728" w:type="dxa"/>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单价（大写）</w:t>
            </w:r>
            <w:r/>
          </w:p>
        </w:tc>
        <w:tc>
          <w:tcPr>
            <w:gridSpan w:val="3"/>
            <w:tcW w:w="6508"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266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6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56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投标人授权代表：（签字或盖章） </w:t>
      </w:r>
      <w:r/>
    </w:p>
    <w:p>
      <w:pPr>
        <w:ind w:firstLine="364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560"/>
        <w:spacing w:line="48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注：1、本</w:t>
      </w:r>
      <w:r>
        <w:rPr>
          <w:rFonts w:hint="eastAsia" w:ascii="宋体" w:hAnsi="宋体" w:cs="宋体"/>
          <w:sz w:val="24"/>
          <w:szCs w:val="24"/>
          <w:highlight w:val="none"/>
          <w:lang w:val="en-US" w:eastAsia="zh-CN"/>
        </w:rPr>
        <w:t xml:space="preserve">项目</w:t>
      </w:r>
      <w:r>
        <w:rPr>
          <w:rFonts w:hint="eastAsia" w:ascii="宋体" w:hAnsi="宋体" w:cs="宋体"/>
          <w:b/>
          <w:bCs w:val="0"/>
          <w:sz w:val="24"/>
          <w:szCs w:val="24"/>
          <w:highlight w:val="none"/>
        </w:rPr>
        <w:t xml:space="preserve">不接受单批次报价超过849元人民币、总任务量低于588批次的投标报价</w:t>
      </w:r>
      <w:r>
        <w:rPr>
          <w:rFonts w:hint="eastAsia" w:ascii="宋体" w:hAnsi="宋体" w:cs="宋体"/>
          <w:sz w:val="24"/>
          <w:szCs w:val="24"/>
          <w:highlight w:val="none"/>
        </w:rPr>
        <w:t xml:space="preserve">，超出此限价的报价无效。</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如果不提供详细分项报价将视为没有实质性响应招标文件。</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投标人对以上数据的真实性负责。</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永明项目管理有限公司</w:t>
      </w:r>
      <w:r>
        <w:rPr>
          <w:rFonts w:hint="eastAsia" w:ascii="宋体" w:hAnsi="宋体" w:cs="宋体"/>
          <w:sz w:val="24"/>
          <w:szCs w:val="24"/>
          <w:highlight w:val="none"/>
        </w:rPr>
        <w:t xml:space="preserve">有权将以上内容进行公示。</w:t>
      </w:r>
      <w:r/>
    </w:p>
    <w:p>
      <w:pPr>
        <w:jc w:val="center"/>
        <w:spacing w:line="480" w:lineRule="exact"/>
        <w:rPr>
          <w:rFonts w:hint="eastAsia" w:ascii="宋体" w:hAnsi="宋体" w:cs="宋体"/>
          <w:sz w:val="24"/>
          <w:highlight w:val="none"/>
        </w:rPr>
      </w:pPr>
      <w:r>
        <w:rPr>
          <w:rFonts w:hint="eastAsia" w:ascii="宋体" w:hAnsi="宋体" w:cs="宋体"/>
          <w:sz w:val="28"/>
          <w:szCs w:val="28"/>
          <w:highlight w:val="none"/>
        </w:rPr>
        <w:br w:type="page" w:clear="all"/>
      </w:r>
      <w:r>
        <w:rPr>
          <w:rFonts w:hint="eastAsia" w:ascii="宋体" w:hAnsi="宋体" w:cs="宋体"/>
          <w:b/>
          <w:bCs/>
          <w:sz w:val="30"/>
          <w:szCs w:val="30"/>
          <w:highlight w:val="none"/>
        </w:rPr>
        <w:t xml:space="preserve">四、偏离表</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徐州市市场监督管理局食品安全监督抽检</w:t>
      </w:r>
      <w:r/>
    </w:p>
    <w:p>
      <w:pPr>
        <w:ind w:firstLine="600"/>
        <w:spacing w:line="480" w:lineRule="exact"/>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JSZC-320300-YMXM-G2024-0011</w:t>
      </w:r>
      <w:r/>
    </w:p>
    <w:p>
      <w:pPr>
        <w:rPr>
          <w:rFonts w:hint="eastAsia" w:ascii="宋体" w:hAnsi="宋体" w:cs="宋体"/>
          <w:sz w:val="24"/>
          <w:szCs w:val="24"/>
          <w:highlight w:val="none"/>
          <w:u w:val="single"/>
        </w:rPr>
      </w:pPr>
      <w:r>
        <w:rPr>
          <w:rFonts w:hint="eastAsia" w:ascii="宋体" w:hAnsi="宋体" w:cs="宋体"/>
          <w:sz w:val="24"/>
          <w:szCs w:val="24"/>
          <w:highlight w:val="none"/>
          <w:u w:val="single"/>
        </w:rPr>
      </w:r>
      <w:r/>
    </w:p>
    <w:tbl>
      <w:tblPr>
        <w:tblStyle w:val="67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sz w:val="24"/>
                <w:szCs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sz w:val="24"/>
                <w:szCs w:val="24"/>
                <w:highlight w:val="none"/>
              </w:rPr>
            </w:pPr>
            <w:r>
              <w:rPr>
                <w:rFonts w:hint="eastAsia" w:ascii="宋体" w:hAnsi="宋体" w:cs="宋体"/>
                <w:caps/>
                <w:sz w:val="24"/>
                <w:szCs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sz w:val="24"/>
                <w:szCs w:val="24"/>
                <w:highlight w:val="none"/>
              </w:rPr>
            </w:pPr>
            <w:r>
              <w:rPr>
                <w:rFonts w:hint="eastAsia" w:ascii="宋体" w:hAnsi="宋体" w:cs="宋体"/>
                <w:sz w:val="24"/>
                <w:szCs w:val="24"/>
                <w:highlight w:val="none"/>
              </w:rPr>
            </w:r>
            <w:r/>
          </w:p>
        </w:tc>
      </w:tr>
    </w:tbl>
    <w:p>
      <w:pPr>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562"/>
        <w:spacing w:line="440" w:lineRule="exact"/>
        <w:rPr>
          <w:rFonts w:hint="eastAsia" w:ascii="宋体" w:hAnsi="宋体" w:cs="宋体"/>
          <w:sz w:val="24"/>
          <w:szCs w:val="24"/>
          <w:highlight w:val="none"/>
        </w:rPr>
      </w:pPr>
      <w:r>
        <w:rPr>
          <w:rFonts w:hint="eastAsia" w:ascii="宋体" w:hAnsi="宋体" w:cs="宋体"/>
          <w:b/>
          <w:sz w:val="24"/>
          <w:szCs w:val="24"/>
          <w:highlight w:val="none"/>
          <w:u w:val="single"/>
        </w:rPr>
        <w:t xml:space="preserve">注</w:t>
      </w:r>
      <w:r>
        <w:rPr>
          <w:rFonts w:hint="eastAsia" w:ascii="宋体" w:hAnsi="宋体" w:cs="宋体"/>
          <w:sz w:val="24"/>
          <w:szCs w:val="24"/>
          <w:highlight w:val="none"/>
          <w:u w:val="single"/>
        </w:rPr>
        <w:t xml:space="preserve">：投标人的投标文件中的内容与招标文件（含招标文件的澄清或者修改的内容）的要求不同时，逐条列在偏离表中，否则将认为投标人接受招标文件的要求。</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39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rPr>
          <w:rFonts w:hint="eastAsia" w:ascii="宋体" w:hAnsi="宋体" w:cs="宋体"/>
          <w:bCs/>
          <w:sz w:val="30"/>
          <w:szCs w:val="30"/>
          <w:highlight w:val="none"/>
        </w:rPr>
      </w:pPr>
      <w:r>
        <w:rPr>
          <w:rFonts w:hint="eastAsia" w:ascii="宋体" w:hAnsi="宋体" w:cs="宋体"/>
          <w:bCs/>
          <w:sz w:val="30"/>
          <w:szCs w:val="30"/>
          <w:highlight w:val="none"/>
        </w:rPr>
        <w:br w:type="page" w:clear="all"/>
      </w:r>
      <w:r/>
    </w:p>
    <w:p>
      <w:pPr>
        <w:jc w:val="center"/>
        <w:spacing w:line="480" w:lineRule="exact"/>
        <w:rPr>
          <w:rFonts w:hint="eastAsia" w:ascii="宋体" w:hAnsi="宋体" w:cs="宋体"/>
          <w:b/>
          <w:bCs w:val="0"/>
          <w:sz w:val="30"/>
          <w:szCs w:val="30"/>
          <w:highlight w:val="none"/>
        </w:rPr>
      </w:pPr>
      <w:r>
        <w:rPr>
          <w:rFonts w:hint="eastAsia" w:ascii="宋体" w:hAnsi="宋体" w:cs="宋体"/>
          <w:b/>
          <w:bCs w:val="0"/>
          <w:sz w:val="30"/>
          <w:szCs w:val="30"/>
          <w:highlight w:val="none"/>
        </w:rPr>
        <w:t xml:space="preserve">五、法定代表人授权书</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法定代表人（负责人）：               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受托人：                   性别：男（女）  </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年龄：  岁                 民族：   族</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职务：</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身份证号：</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兹委托（      ）全权代表我企业（公司）参与（</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）项目（项目编号：</w:t>
      </w:r>
      <w:r>
        <w:rPr>
          <w:rFonts w:hint="eastAsia" w:ascii="宋体" w:hAnsi="宋体" w:cs="宋体"/>
          <w:sz w:val="24"/>
          <w:szCs w:val="24"/>
          <w:highlight w:val="none"/>
          <w:lang w:eastAsia="zh-CN"/>
        </w:rPr>
        <w:t xml:space="preserve">JSZC-320300-YMXM-G2024-0011</w:t>
      </w:r>
      <w:r>
        <w:rPr>
          <w:rFonts w:hint="eastAsia" w:ascii="宋体" w:hAnsi="宋体" w:cs="宋体"/>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委托人（盖章）：               受托人（签字）：</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法定代表人（签字）： </w:t>
      </w:r>
      <w:r/>
    </w:p>
    <w:p>
      <w:pPr>
        <w:ind w:right="600" w:firstLine="61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年   月   日 </w:t>
      </w:r>
      <w:r/>
    </w:p>
    <w:p>
      <w:pPr>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(受托人身份证复印件附后)</w:t>
      </w:r>
      <w:r/>
    </w:p>
    <w:p>
      <w:pPr>
        <w:ind w:firstLine="4470"/>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ind w:firstLine="4470"/>
        <w:rPr>
          <w:rFonts w:hint="eastAsia" w:ascii="宋体" w:hAnsi="宋体" w:cs="宋体"/>
          <w:sz w:val="28"/>
          <w:szCs w:val="28"/>
          <w:highlight w:val="none"/>
        </w:rPr>
      </w:pPr>
      <w:r>
        <w:rPr>
          <w:rFonts w:hint="eastAsia" w:ascii="宋体" w:hAnsi="宋体" w:cs="宋体"/>
          <w:sz w:val="28"/>
          <w:szCs w:val="28"/>
          <w:highlight w:val="none"/>
        </w:rPr>
      </w:r>
      <w:r/>
    </w:p>
    <w:p>
      <w:pPr>
        <w:jc w:val="center"/>
        <w:spacing w:before="100" w:beforeAutospacing="1" w:after="100" w:afterAutospacing="1" w:line="480" w:lineRule="exact"/>
        <w:widowControl/>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六、中小企业声明函</w:t>
      </w:r>
      <w:r/>
    </w:p>
    <w:p>
      <w:pPr>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p>
    <w:p>
      <w:pPr>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项目编号：</w:t>
      </w:r>
      <w:r>
        <w:rPr>
          <w:rFonts w:hint="eastAsia" w:ascii="宋体" w:hAnsi="宋体" w:cs="宋体"/>
          <w:sz w:val="24"/>
          <w:szCs w:val="24"/>
          <w:highlight w:val="none"/>
          <w:u w:val="single"/>
        </w:rPr>
        <w:t xml:space="preserve">                                </w:t>
      </w:r>
      <w:r/>
    </w:p>
    <w:p>
      <w:pPr>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lang w:eastAsia="zh-CN"/>
        </w:rPr>
        <w:t xml:space="preserve">徐州市市场监督管理局食品安全监督抽检</w:t>
      </w:r>
      <w:r>
        <w:rPr>
          <w:rFonts w:hint="eastAsia" w:ascii="宋体" w:hAnsi="宋体" w:cs="宋体"/>
          <w:sz w:val="24"/>
          <w:szCs w:val="24"/>
          <w:highlight w:val="none"/>
        </w:rPr>
        <w:t xml:space="preserve">），属于（</w:t>
      </w:r>
      <w:r>
        <w:rPr>
          <w:rFonts w:hint="eastAsia" w:ascii="宋体" w:hAnsi="宋体" w:cs="宋体"/>
          <w:sz w:val="24"/>
          <w:szCs w:val="24"/>
          <w:highlight w:val="none"/>
          <w:lang w:eastAsia="zh-CN"/>
        </w:rPr>
        <w:t xml:space="preserve">技术服务业</w:t>
      </w:r>
      <w:r>
        <w:rPr>
          <w:rFonts w:hint="eastAsia" w:ascii="宋体" w:hAnsi="宋体" w:cs="宋体"/>
          <w:sz w:val="24"/>
          <w:szCs w:val="24"/>
          <w:highlight w:val="none"/>
        </w:rPr>
        <w:t xml:space="preserve">）行业；承建（承接）企业为（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万元，属于（□中型企业、□小型企业、□微型企业，</w:t>
      </w:r>
      <w:r>
        <w:rPr>
          <w:rFonts w:hint="eastAsia" w:ascii="宋体" w:hAnsi="宋体" w:cs="宋体"/>
          <w:color w:val="c00000"/>
          <w:sz w:val="24"/>
          <w:szCs w:val="24"/>
          <w:highlight w:val="none"/>
        </w:rPr>
        <w:t xml:space="preserve">请勾选！</w:t>
      </w:r>
      <w:r>
        <w:rPr>
          <w:rFonts w:hint="eastAsia" w:ascii="宋体" w:hAnsi="宋体" w:cs="宋体"/>
          <w:sz w:val="24"/>
          <w:szCs w:val="24"/>
          <w:highlight w:val="none"/>
        </w:rPr>
        <w:t xml:space="preserve">)；</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480"/>
        <w:jc w:val="center"/>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企业名称（供应商名称）（电子签章）： </w:t>
      </w:r>
      <w:r/>
    </w:p>
    <w:p>
      <w:pPr>
        <w:ind w:right="480"/>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                               日  期：  年  月  日</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注：本项目采购的服务属于</w:t>
      </w:r>
      <w:r>
        <w:rPr>
          <w:rFonts w:hint="eastAsia" w:ascii="宋体" w:hAnsi="宋体" w:cs="宋体"/>
          <w:sz w:val="24"/>
          <w:szCs w:val="24"/>
          <w:highlight w:val="none"/>
          <w:lang w:eastAsia="zh-CN"/>
        </w:rPr>
        <w:t xml:space="preserve">技术服务业</w:t>
      </w:r>
      <w:r>
        <w:rPr>
          <w:rFonts w:hint="eastAsia" w:ascii="宋体" w:hAnsi="宋体" w:cs="宋体"/>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备注：</w:t>
      </w:r>
      <w:r/>
    </w:p>
    <w:p>
      <w:pPr>
        <w:ind w:firstLine="48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1、从业人员、营业收入、资产总额填报上一年度数据，无上一年度数据的新成立企业可不填报。</w:t>
      </w:r>
      <w:r/>
    </w:p>
    <w:p>
      <w:pPr>
        <w:pStyle w:val="887"/>
        <w:ind w:firstLine="480"/>
        <w:keepLines w:val="0"/>
        <w:keepNext w:val="0"/>
        <w:pageBreakBefore w:val="0"/>
        <w:spacing w:line="520" w:lineRule="exact"/>
        <w:widowControl w:val="off"/>
        <w:rPr>
          <w:rFonts w:hint="eastAsia" w:hAnsi="宋体" w:eastAsia="宋体" w:cs="宋体"/>
          <w:sz w:val="24"/>
          <w:szCs w:val="24"/>
          <w:highlight w:val="none"/>
        </w:rPr>
      </w:pPr>
      <w:r>
        <w:rPr>
          <w:rFonts w:hint="eastAsia" w:hAnsi="宋体" w:eastAsia="宋体" w:cs="宋体"/>
          <w:sz w:val="24"/>
          <w:szCs w:val="24"/>
          <w:highlight w:val="none"/>
        </w:rPr>
        <w:t xml:space="preserve">2、《中小企业声明函》查询渠道用微信搜索“中小企业规模类型自测小程序”。</w:t>
      </w:r>
      <w:r/>
    </w:p>
    <w:p>
      <w:pPr>
        <w:pStyle w:val="887"/>
        <w:ind w:firstLine="480"/>
        <w:keepLines w:val="0"/>
        <w:keepNext w:val="0"/>
        <w:pageBreakBefore w:val="0"/>
        <w:spacing w:line="520" w:lineRule="exact"/>
        <w:widowControl w:val="off"/>
        <w:rPr>
          <w:rFonts w:hint="eastAsia" w:hAnsi="宋体" w:eastAsia="宋体" w:cs="宋体"/>
          <w:sz w:val="24"/>
          <w:szCs w:val="24"/>
          <w:highlight w:val="none"/>
        </w:rPr>
      </w:pPr>
      <w:r>
        <w:rPr>
          <w:rFonts w:hint="eastAsia" w:hAnsi="宋体" w:eastAsia="宋体" w:cs="宋体"/>
          <w:sz w:val="24"/>
          <w:szCs w:val="24"/>
          <w:highlight w:val="none"/>
        </w:rPr>
        <w:t xml:space="preserve">看下列截图:</w:t>
      </w:r>
      <w:r/>
    </w:p>
    <w:p>
      <w:pPr>
        <w:pStyle w:val="856"/>
        <w:ind w:left="0" w:firstLine="0"/>
        <w:jc w:val="center"/>
        <w:rPr>
          <w:rFonts w:hint="eastAsia" w:ascii="宋体" w:hAnsi="宋体" w:cs="宋体"/>
          <w:sz w:val="30"/>
          <w:szCs w:val="30"/>
          <w:highlight w:val="none"/>
        </w:rPr>
      </w:pPr>
      <w:r>
        <w:rPr>
          <w:rFonts w:hint="eastAsia" w:ascii="宋体" w:hAnsi="宋体"/>
          <w:highlight w:val="none"/>
        </w:rPr>
        <mc:AlternateContent>
          <mc:Choice Requires="wpg">
            <w:drawing>
              <wp:inline xmlns:wp="http://schemas.openxmlformats.org/drawingml/2006/wordprocessingDrawing" distT="0" distB="0" distL="0" distR="0">
                <wp:extent cx="1836420" cy="37947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4498" r="0" b="0"/>
                        <a:stretch/>
                      </pic:blipFill>
                      <pic:spPr bwMode="auto">
                        <a:xfrm>
                          <a:off x="0" y="0"/>
                          <a:ext cx="1836419" cy="379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4.6pt;height:298.8pt;mso-wrap-distance-left:0.0pt;mso-wrap-distance-top:0.0pt;mso-wrap-distance-right:0.0pt;mso-wrap-distance-bottom:0.0pt;" stroked="f">
                <v:path textboxrect="0,0,0,0"/>
                <v:imagedata r:id="rId13" o:title=""/>
              </v:shape>
            </w:pict>
          </mc:Fallback>
        </mc:AlternateContent>
      </w:r>
      <w:r/>
    </w:p>
    <w:p>
      <w:pPr>
        <w:pStyle w:val="856"/>
        <w:rPr>
          <w:rFonts w:hint="eastAsia" w:ascii="宋体" w:hAnsi="宋体" w:cs="宋体"/>
          <w:highlight w:val="none"/>
        </w:rPr>
      </w:pPr>
      <w:r>
        <w:rPr>
          <w:rFonts w:hint="eastAsia" w:ascii="宋体" w:hAnsi="宋体" w:cs="宋体"/>
          <w:highlight w:val="none"/>
        </w:rPr>
      </w:r>
      <w:r/>
    </w:p>
    <w:p>
      <w:pPr>
        <w:jc w:val="center"/>
        <w:spacing w:line="480" w:lineRule="exact"/>
        <w:rPr>
          <w:rFonts w:hint="eastAsia" w:ascii="宋体" w:hAnsi="宋体" w:cs="宋体"/>
          <w:b/>
          <w:spacing w:val="6"/>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七、残疾人福利性单位声明函</w:t>
      </w:r>
      <w:r/>
    </w:p>
    <w:p>
      <w:pPr>
        <w:jc w:val="center"/>
        <w:spacing w:line="480" w:lineRule="exact"/>
        <w:rPr>
          <w:rFonts w:ascii="宋体" w:hAnsi="宋体" w:eastAsia="仿宋" w:cs="宋体"/>
          <w:color w:val="000000"/>
          <w:sz w:val="24"/>
          <w:highlight w:val="none"/>
        </w:rPr>
      </w:pPr>
      <w:r>
        <w:rPr>
          <w:rFonts w:ascii="宋体" w:hAnsi="宋体" w:eastAsia="仿宋" w:cs="宋体"/>
          <w:b/>
          <w:bCs/>
          <w:color w:val="000000"/>
          <w:sz w:val="28"/>
          <w:szCs w:val="28"/>
          <w:highlight w:val="none"/>
        </w:rPr>
        <w:t xml:space="preserve">（如供应商不属于残疾人福利性单位不需要提供此声明函）</w:t>
      </w:r>
      <w:r/>
    </w:p>
    <w:p>
      <w:pPr>
        <w:ind w:firstLine="624"/>
        <w:spacing w:line="480" w:lineRule="exact"/>
        <w:rPr>
          <w:rFonts w:hint="eastAsia" w:ascii="宋体" w:hAnsi="宋体" w:eastAsia="仿宋" w:cs="宋体"/>
          <w:color w:val="000000"/>
          <w:sz w:val="24"/>
          <w:highlight w:val="none"/>
        </w:rPr>
      </w:pPr>
      <w:r>
        <w:rPr>
          <w:rFonts w:hint="eastAsia" w:ascii="宋体" w:hAnsi="宋体" w:eastAsia="仿宋" w:cs="宋体"/>
          <w:color w:val="000000"/>
          <w:sz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徐州市市场监督管理局食品安全监督抽检</w:t>
      </w:r>
      <w:r>
        <w:rPr>
          <w:rFonts w:hint="eastAsia" w:ascii="宋体" w:hAnsi="宋体" w:cs="宋体"/>
          <w:spacing w:val="6"/>
          <w:sz w:val="24"/>
          <w:szCs w:val="24"/>
          <w:highlight w:val="none"/>
        </w:rPr>
        <w:t xml:space="preserve"> </w:t>
      </w:r>
      <w:r/>
    </w:p>
    <w:p>
      <w:pPr>
        <w:ind w:firstLine="624"/>
        <w:spacing w:line="480" w:lineRule="exact"/>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JSZC-320300-YMXM-G2024-0011</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z w:val="24"/>
          <w:szCs w:val="24"/>
          <w:highlight w:val="none"/>
        </w:rPr>
        <w:t xml:space="preserve">〔2017〕141</w:t>
      </w:r>
      <w:r>
        <w:rPr>
          <w:rFonts w:hint="eastAsia" w:ascii="宋体" w:hAnsi="宋体" w:cs="宋体"/>
          <w:spacing w:val="6"/>
          <w:sz w:val="24"/>
          <w:szCs w:val="24"/>
          <w:highlight w:val="none"/>
        </w:rPr>
        <w:t xml:space="preserve">号）的规定，本单位为符合条件的残疾人福利性单位，且本单位参加</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单位的</w:t>
      </w:r>
      <w:r>
        <w:rPr>
          <w:rFonts w:hint="eastAsia" w:ascii="宋体" w:hAnsi="宋体" w:cs="宋体"/>
          <w:sz w:val="24"/>
          <w:szCs w:val="24"/>
          <w:highlight w:val="none"/>
        </w:rPr>
        <w:t xml:space="preserve">______</w:t>
      </w:r>
      <w:r>
        <w:rPr>
          <w:rFonts w:hint="eastAsia" w:ascii="宋体" w:hAnsi="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25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45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说明：</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b/>
          <w:bCs/>
          <w:sz w:val="30"/>
          <w:szCs w:val="30"/>
          <w:highlight w:val="none"/>
        </w:rPr>
        <w:t xml:space="preserve">八、投标人参加政府采购活动前3年内在经营活动中没有重大违法记录的书面声明</w:t>
      </w:r>
      <w:r/>
    </w:p>
    <w:p>
      <w:pPr>
        <w:ind w:firstLine="600"/>
        <w:spacing w:line="48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我单位在参加</w:t>
      </w:r>
      <w:r>
        <w:rPr>
          <w:rFonts w:hint="eastAsia" w:ascii="宋体" w:hAnsi="宋体" w:cs="宋体"/>
          <w:sz w:val="24"/>
          <w:szCs w:val="24"/>
          <w:highlight w:val="none"/>
          <w:lang w:eastAsia="zh-CN"/>
        </w:rPr>
        <w:t xml:space="preserve">徐州市市场监督管理局食品安全监督抽检</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JSZC-320300-YMXM-G2024-0011</w:t>
      </w:r>
      <w:r>
        <w:rPr>
          <w:rFonts w:hint="eastAsia" w:ascii="宋体" w:hAnsi="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93"/>
        <w:ind w:firstLine="600"/>
        <w:spacing w:before="0" w:beforeAutospacing="0" w:after="0" w:afterAutospacing="0" w:line="480" w:lineRule="exact"/>
        <w:rPr>
          <w:rFonts w:hint="eastAsia"/>
          <w:sz w:val="24"/>
          <w:szCs w:val="24"/>
          <w:highlight w:val="none"/>
        </w:rPr>
      </w:pPr>
      <w:r>
        <w:rPr>
          <w:rFonts w:hint="eastAsia"/>
          <w:sz w:val="24"/>
          <w:szCs w:val="24"/>
          <w:highlight w:val="none"/>
        </w:rPr>
        <w:t xml:space="preserve">我单位对上述声明的真实性负责。如有虚假，将依法承担相应责任。</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28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（电子签章）</w:t>
      </w:r>
      <w:r/>
    </w:p>
    <w:p>
      <w:pPr>
        <w:ind w:firstLine="60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500"/>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95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ind w:firstLine="600"/>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ind w:firstLine="600"/>
        <w:spacing w:line="480" w:lineRule="exact"/>
        <w:rPr>
          <w:rFonts w:hint="eastAsia" w:ascii="宋体" w:hAnsi="宋体" w:cs="宋体"/>
          <w:bCs/>
          <w:sz w:val="30"/>
          <w:szCs w:val="30"/>
          <w:highlight w:val="none"/>
        </w:rPr>
      </w:pPr>
      <w:r>
        <w:rPr>
          <w:rFonts w:hint="eastAsia" w:ascii="宋体" w:hAnsi="宋体" w:cs="宋体"/>
          <w:bCs/>
          <w:sz w:val="30"/>
          <w:szCs w:val="30"/>
          <w:highlight w:val="none"/>
        </w:rPr>
      </w:r>
      <w:r/>
    </w:p>
    <w:p>
      <w:pPr>
        <w:pStyle w:val="880"/>
        <w:jc w:val="center"/>
        <w:rPr>
          <w:rFonts w:hint="eastAsia" w:ascii="宋体" w:hAnsi="宋体" w:eastAsia="宋体" w:cs="宋体"/>
          <w:b/>
          <w:bCs/>
          <w:color w:val="000000"/>
          <w:sz w:val="30"/>
          <w:szCs w:val="30"/>
          <w:highlight w:val="none"/>
          <w:lang w:val="en-US" w:eastAsia="zh-CN" w:bidi="ar-SA"/>
        </w:rPr>
      </w:pPr>
      <w:r>
        <w:rPr>
          <w:rFonts w:hint="eastAsia" w:ascii="宋体" w:hAnsi="宋体" w:cs="宋体"/>
          <w:b/>
          <w:sz w:val="28"/>
          <w:szCs w:val="28"/>
          <w:highlight w:val="none"/>
        </w:rPr>
        <w:br w:type="page" w:clear="all"/>
      </w:r>
      <w:r>
        <w:rPr>
          <w:rFonts w:hint="eastAsia" w:ascii="宋体" w:hAnsi="宋体" w:eastAsia="宋体" w:cs="宋体"/>
          <w:b/>
          <w:bCs/>
          <w:color w:val="000000"/>
          <w:sz w:val="30"/>
          <w:szCs w:val="30"/>
          <w:highlight w:val="none"/>
          <w:lang w:val="en-US" w:eastAsia="zh-CN" w:bidi="ar-SA"/>
        </w:rPr>
        <w:t xml:space="preserve">九、具备履行合同所必需的设备和专业技术能力的书面声明</w:t>
      </w:r>
      <w:r/>
    </w:p>
    <w:p>
      <w:pPr>
        <w:pStyle w:val="880"/>
        <w:jc w:val="center"/>
        <w:rPr>
          <w:rFonts w:hint="eastAsia"/>
          <w:color w:val="000000"/>
          <w:highlight w:val="none"/>
        </w:rPr>
      </w:pPr>
      <w:r>
        <w:rPr>
          <w:rFonts w:hint="eastAsia" w:ascii="宋体" w:hAnsi="宋体" w:eastAsia="宋体" w:cs="宋体"/>
          <w:b/>
          <w:bCs/>
          <w:color w:val="000000"/>
          <w:sz w:val="30"/>
          <w:szCs w:val="30"/>
          <w:highlight w:val="none"/>
          <w:lang w:val="en-US" w:eastAsia="zh-CN" w:bidi="ar-SA"/>
        </w:rPr>
        <w:t xml:space="preserve">（附证明材料）</w:t>
      </w:r>
      <w:r/>
    </w:p>
    <w:p>
      <w:pPr>
        <w:ind w:firstLine="0"/>
        <w:rPr>
          <w:color w:val="000000"/>
          <w:highlight w:val="none"/>
        </w:rPr>
      </w:pPr>
      <w:r>
        <w:rPr>
          <w:color w:val="000000"/>
          <w:highlight w:val="none"/>
        </w:rPr>
      </w:r>
      <w:r/>
    </w:p>
    <w:p>
      <w:pPr>
        <w:pStyle w:val="725"/>
        <w:ind w:firstLine="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徐州市市场监督管理局食品安全监督抽检</w:t>
      </w:r>
      <w:r/>
    </w:p>
    <w:p>
      <w:pPr>
        <w:ind w:firstLine="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JSZC-320300-YMXM-G2024-0011</w:t>
      </w:r>
      <w:r/>
    </w:p>
    <w:p>
      <w:pPr>
        <w:ind w:firstLine="0"/>
        <w:rPr>
          <w:color w:val="000000"/>
          <w:sz w:val="24"/>
          <w:szCs w:val="24"/>
          <w:highlight w:val="none"/>
        </w:rPr>
      </w:pPr>
      <w:r>
        <w:rPr>
          <w:rFonts w:hint="eastAsia"/>
          <w:color w:val="000000"/>
          <w:sz w:val="24"/>
          <w:szCs w:val="24"/>
          <w:highlight w:val="none"/>
        </w:rPr>
        <w:t xml:space="preserve">                         </w:t>
      </w:r>
      <w:r/>
    </w:p>
    <w:p>
      <w:pPr>
        <w:pStyle w:val="709"/>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投标人郑重声明：投标人具备履行合同（项目名称：</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，项目编号：</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）所必需的设备和专业技术能力</w:t>
      </w:r>
      <w:r>
        <w:rPr>
          <w:rFonts w:hint="eastAsia" w:ascii="宋体" w:hAnsi="宋体"/>
          <w:color w:val="000000"/>
          <w:sz w:val="24"/>
          <w:szCs w:val="24"/>
          <w:highlight w:val="none"/>
        </w:rPr>
        <w:t xml:space="preserve">，具体为：</w:t>
      </w:r>
      <w:r/>
    </w:p>
    <w:p>
      <w:pPr>
        <w:ind w:firstLine="0"/>
        <w:rPr>
          <w:color w:val="000000"/>
          <w:sz w:val="24"/>
          <w:szCs w:val="24"/>
          <w:highlight w:val="none"/>
        </w:rPr>
      </w:pPr>
      <w:r>
        <w:rPr>
          <w:rFonts w:hint="eastAsia"/>
          <w:color w:val="000000"/>
          <w:sz w:val="24"/>
          <w:szCs w:val="24"/>
          <w:highlight w:val="none"/>
        </w:rPr>
        <w:t xml:space="preserve">设备：</w:t>
      </w:r>
      <w:r/>
    </w:p>
    <w:p>
      <w:pPr>
        <w:ind w:firstLine="0"/>
        <w:rPr>
          <w:color w:val="000000"/>
          <w:sz w:val="24"/>
          <w:szCs w:val="24"/>
          <w:highlight w:val="none"/>
        </w:rPr>
      </w:pPr>
      <w:r>
        <w:rPr>
          <w:rFonts w:hint="eastAsia"/>
          <w:color w:val="000000"/>
          <w:sz w:val="24"/>
          <w:szCs w:val="24"/>
          <w:highlight w:val="none"/>
        </w:rPr>
        <w:t xml:space="preserve">1.                           （证明材料原件的扫描件附后）</w:t>
      </w:r>
      <w:r/>
    </w:p>
    <w:p>
      <w:pPr>
        <w:ind w:firstLine="0"/>
        <w:rPr>
          <w:color w:val="000000"/>
          <w:sz w:val="24"/>
          <w:szCs w:val="24"/>
          <w:highlight w:val="none"/>
        </w:rPr>
      </w:pPr>
      <w:r>
        <w:rPr>
          <w:rFonts w:hint="eastAsia"/>
          <w:color w:val="000000"/>
          <w:sz w:val="24"/>
          <w:szCs w:val="24"/>
          <w:highlight w:val="none"/>
        </w:rPr>
        <w:t xml:space="preserve">2.                           （证明材料原件的扫描件附后）</w:t>
      </w:r>
      <w:r/>
    </w:p>
    <w:p>
      <w:pPr>
        <w:ind w:firstLine="0"/>
        <w:rPr>
          <w:color w:val="000000"/>
          <w:sz w:val="24"/>
          <w:szCs w:val="24"/>
          <w:highlight w:val="none"/>
        </w:rPr>
      </w:pPr>
      <w:r>
        <w:rPr>
          <w:rFonts w:hint="eastAsia"/>
          <w:color w:val="000000"/>
          <w:sz w:val="24"/>
          <w:szCs w:val="24"/>
          <w:highlight w:val="none"/>
        </w:rPr>
        <w:t xml:space="preserve">3.                           （证明材料原件的扫描件附后）</w:t>
      </w:r>
      <w:r/>
    </w:p>
    <w:p>
      <w:pPr>
        <w:ind w:firstLine="0"/>
        <w:rPr>
          <w:color w:val="000000"/>
          <w:sz w:val="24"/>
          <w:szCs w:val="24"/>
          <w:highlight w:val="none"/>
        </w:rPr>
      </w:pPr>
      <w:r>
        <w:rPr>
          <w:rFonts w:hint="eastAsia"/>
          <w:color w:val="000000"/>
          <w:sz w:val="24"/>
          <w:szCs w:val="24"/>
          <w:highlight w:val="none"/>
        </w:rPr>
        <w:t xml:space="preserve">…………</w:t>
      </w:r>
      <w:r/>
    </w:p>
    <w:p>
      <w:pPr>
        <w:ind w:firstLine="0"/>
        <w:rPr>
          <w:color w:val="000000"/>
          <w:sz w:val="24"/>
          <w:szCs w:val="24"/>
          <w:highlight w:val="none"/>
        </w:rPr>
      </w:pPr>
      <w:r>
        <w:rPr>
          <w:color w:val="000000"/>
          <w:sz w:val="24"/>
          <w:szCs w:val="24"/>
          <w:highlight w:val="none"/>
        </w:rPr>
      </w:r>
      <w:r/>
    </w:p>
    <w:p>
      <w:pPr>
        <w:ind w:firstLine="0"/>
        <w:rPr>
          <w:color w:val="000000"/>
          <w:sz w:val="24"/>
          <w:szCs w:val="24"/>
          <w:highlight w:val="none"/>
        </w:rPr>
      </w:pPr>
      <w:r>
        <w:rPr>
          <w:rFonts w:hint="eastAsia"/>
          <w:color w:val="000000"/>
          <w:sz w:val="24"/>
          <w:szCs w:val="24"/>
          <w:highlight w:val="none"/>
        </w:rPr>
        <w:t xml:space="preserve">专业技术能力：</w:t>
      </w:r>
      <w:r/>
    </w:p>
    <w:p>
      <w:pPr>
        <w:ind w:firstLine="0"/>
        <w:rPr>
          <w:color w:val="000000"/>
          <w:sz w:val="24"/>
          <w:szCs w:val="24"/>
          <w:highlight w:val="none"/>
        </w:rPr>
      </w:pPr>
      <w:r>
        <w:rPr>
          <w:rFonts w:hint="eastAsia"/>
          <w:color w:val="000000"/>
          <w:sz w:val="24"/>
          <w:szCs w:val="24"/>
          <w:highlight w:val="none"/>
        </w:rPr>
        <w:t xml:space="preserve">1.                           （证明材料彩色的扫描件附后）</w:t>
      </w:r>
      <w:r/>
    </w:p>
    <w:p>
      <w:pPr>
        <w:ind w:firstLine="0"/>
        <w:rPr>
          <w:color w:val="000000"/>
          <w:sz w:val="24"/>
          <w:szCs w:val="24"/>
          <w:highlight w:val="none"/>
        </w:rPr>
      </w:pPr>
      <w:r>
        <w:rPr>
          <w:rFonts w:hint="eastAsia"/>
          <w:color w:val="000000"/>
          <w:sz w:val="24"/>
          <w:szCs w:val="24"/>
          <w:highlight w:val="none"/>
        </w:rPr>
        <w:t xml:space="preserve">2.                           （证明材料彩色的扫描件附后）</w:t>
      </w:r>
      <w:r/>
    </w:p>
    <w:p>
      <w:pPr>
        <w:ind w:firstLine="0"/>
        <w:rPr>
          <w:color w:val="000000"/>
          <w:sz w:val="24"/>
          <w:szCs w:val="24"/>
          <w:highlight w:val="none"/>
        </w:rPr>
      </w:pPr>
      <w:r>
        <w:rPr>
          <w:rFonts w:hint="eastAsia"/>
          <w:color w:val="000000"/>
          <w:sz w:val="24"/>
          <w:szCs w:val="24"/>
          <w:highlight w:val="none"/>
        </w:rPr>
        <w:t xml:space="preserve">3.                           （证明材料彩色的扫描件附后）</w:t>
      </w:r>
      <w:r/>
    </w:p>
    <w:p>
      <w:pPr>
        <w:ind w:firstLine="0"/>
        <w:rPr>
          <w:color w:val="000000"/>
          <w:sz w:val="24"/>
          <w:szCs w:val="24"/>
          <w:highlight w:val="none"/>
        </w:rPr>
      </w:pPr>
      <w:r>
        <w:rPr>
          <w:rFonts w:hint="eastAsia"/>
          <w:color w:val="000000"/>
          <w:sz w:val="24"/>
          <w:szCs w:val="24"/>
          <w:highlight w:val="none"/>
        </w:rPr>
        <w:t xml:space="preserve">…………</w:t>
      </w:r>
      <w:r/>
    </w:p>
    <w:p>
      <w:pPr>
        <w:ind w:firstLine="0"/>
        <w:rPr>
          <w:color w:val="000000"/>
          <w:sz w:val="24"/>
          <w:szCs w:val="24"/>
          <w:highlight w:val="none"/>
        </w:rPr>
      </w:pPr>
      <w:r>
        <w:rPr>
          <w:color w:val="000000"/>
          <w:sz w:val="24"/>
          <w:szCs w:val="24"/>
          <w:highlight w:val="none"/>
        </w:rPr>
      </w:r>
      <w:r/>
    </w:p>
    <w:p>
      <w:pPr>
        <w:ind w:firstLine="0"/>
        <w:rPr>
          <w:color w:val="000000"/>
          <w:sz w:val="24"/>
          <w:szCs w:val="24"/>
          <w:highlight w:val="none"/>
        </w:rPr>
      </w:pPr>
      <w:r>
        <w:rPr>
          <w:rFonts w:hint="eastAsia"/>
          <w:color w:val="000000"/>
          <w:sz w:val="24"/>
          <w:szCs w:val="24"/>
          <w:highlight w:val="none"/>
        </w:rPr>
        <w:t xml:space="preserve">特此声明。</w:t>
      </w:r>
      <w:r/>
    </w:p>
    <w:p>
      <w:pPr>
        <w:ind w:firstLine="0"/>
        <w:rPr>
          <w:color w:val="000000"/>
          <w:sz w:val="24"/>
          <w:szCs w:val="24"/>
          <w:highlight w:val="none"/>
        </w:rPr>
      </w:pPr>
      <w:r>
        <w:rPr>
          <w:rFonts w:hint="eastAsia"/>
          <w:color w:val="000000"/>
          <w:sz w:val="24"/>
          <w:szCs w:val="24"/>
          <w:highlight w:val="none"/>
        </w:rPr>
        <w:t xml:space="preserve">投标人对上述声明的真实性负责。如有虚假，将依法承担相应责任。</w:t>
      </w:r>
      <w:r/>
    </w:p>
    <w:p>
      <w:pPr>
        <w:ind w:firstLine="0"/>
        <w:rPr>
          <w:color w:val="000000"/>
          <w:sz w:val="24"/>
          <w:szCs w:val="24"/>
          <w:highlight w:val="none"/>
        </w:rPr>
      </w:pPr>
      <w:r>
        <w:rPr>
          <w:color w:val="000000"/>
          <w:sz w:val="24"/>
          <w:szCs w:val="24"/>
          <w:highlight w:val="none"/>
        </w:rPr>
      </w:r>
      <w:r/>
    </w:p>
    <w:p>
      <w:pPr>
        <w:pStyle w:val="709"/>
        <w:spacing w:line="380" w:lineRule="exact"/>
        <w:rPr>
          <w:rFonts w:ascii="宋体" w:hAnsi="宋体"/>
          <w:color w:val="000000"/>
          <w:sz w:val="24"/>
          <w:szCs w:val="24"/>
          <w:highlight w:val="none"/>
        </w:rPr>
      </w:pPr>
      <w:r>
        <w:rPr>
          <w:rFonts w:ascii="宋体" w:hAnsi="宋体"/>
          <w:color w:val="000000"/>
          <w:sz w:val="24"/>
          <w:szCs w:val="24"/>
          <w:highlight w:val="none"/>
        </w:rPr>
        <w:t xml:space="preserve">                            </w:t>
      </w:r>
      <w:r/>
    </w:p>
    <w:p>
      <w:pPr>
        <w:ind w:firstLine="0"/>
        <w:rPr>
          <w:color w:val="000000"/>
          <w:sz w:val="24"/>
          <w:szCs w:val="24"/>
          <w:highlight w:val="none"/>
        </w:rPr>
      </w:pPr>
      <w:r>
        <w:rPr>
          <w:color w:val="000000"/>
          <w:sz w:val="24"/>
          <w:szCs w:val="24"/>
          <w:highlight w:val="none"/>
        </w:rPr>
      </w:r>
      <w:r/>
    </w:p>
    <w:p>
      <w:pPr>
        <w:pStyle w:val="709"/>
        <w:spacing w:line="380" w:lineRule="exact"/>
        <w:rPr>
          <w:rFonts w:ascii="宋体" w:hAnsi="宋体"/>
          <w:color w:val="000000"/>
          <w:sz w:val="24"/>
          <w:szCs w:val="24"/>
          <w:highlight w:val="none"/>
        </w:rPr>
      </w:pPr>
      <w:r>
        <w:rPr>
          <w:rFonts w:ascii="宋体" w:hAnsi="宋体"/>
          <w:color w:val="000000"/>
          <w:sz w:val="24"/>
          <w:szCs w:val="24"/>
          <w:highlight w:val="none"/>
        </w:rPr>
        <w:t xml:space="preserve">投标人：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（电子签章）</w:t>
      </w:r>
      <w:r/>
    </w:p>
    <w:p>
      <w:pPr>
        <w:rPr>
          <w:color w:val="000000"/>
          <w:sz w:val="24"/>
          <w:szCs w:val="24"/>
          <w:highlight w:val="none"/>
        </w:rPr>
      </w:pPr>
      <w:r>
        <w:rPr>
          <w:color w:val="000000"/>
          <w:sz w:val="24"/>
          <w:szCs w:val="24"/>
          <w:highlight w:val="none"/>
        </w:rPr>
      </w:r>
      <w:r/>
    </w:p>
    <w:p>
      <w:pPr>
        <w:ind w:firstLine="0"/>
        <w:jc w:val="left"/>
        <w:rPr>
          <w:rFonts w:hint="eastAsia"/>
          <w:color w:val="ff0000"/>
          <w:sz w:val="24"/>
          <w:szCs w:val="24"/>
          <w:highlight w:val="none"/>
        </w:rPr>
      </w:pPr>
      <w:r>
        <w:rPr>
          <w:rFonts w:hint="eastAsia"/>
          <w:color w:val="000000"/>
          <w:sz w:val="24"/>
          <w:szCs w:val="24"/>
          <w:highlight w:val="none"/>
        </w:rPr>
        <w:t xml:space="preserve">日期：   年  月  日</w:t>
      </w:r>
      <w:r/>
    </w:p>
    <w:p>
      <w:pPr>
        <w:jc w:val="center"/>
        <w:rPr>
          <w:rFonts w:hint="eastAsia" w:eastAsia="宋体"/>
          <w:color w:val="ff0000"/>
          <w:sz w:val="24"/>
          <w:szCs w:val="24"/>
          <w:highlight w:val="none"/>
          <w:lang w:eastAsia="zh-CN"/>
        </w:rPr>
      </w:pPr>
      <w:r>
        <w:rPr>
          <w:rFonts w:hint="eastAsia" w:eastAsia="宋体"/>
          <w:color w:val="ff0000"/>
          <w:sz w:val="24"/>
          <w:szCs w:val="24"/>
          <w:highlight w:val="none"/>
          <w:lang w:eastAsia="zh-CN"/>
        </w:rPr>
      </w:r>
      <w:r/>
    </w:p>
    <w:p>
      <w:pPr>
        <w:jc w:val="center"/>
        <w:spacing w:line="480" w:lineRule="exact"/>
        <w:rPr>
          <w:rFonts w:hint="eastAsia" w:ascii="宋体" w:hAnsi="宋体" w:cs="宋体"/>
          <w:b/>
          <w:bCs/>
          <w:sz w:val="30"/>
          <w:szCs w:val="30"/>
          <w:highlight w:val="none"/>
          <w:lang w:val="en-US" w:eastAsia="zh-CN"/>
        </w:rPr>
      </w:pPr>
      <w:r>
        <w:rPr>
          <w:rFonts w:hint="eastAsia" w:ascii="宋体" w:hAnsi="宋体" w:cs="宋体"/>
          <w:b/>
          <w:sz w:val="28"/>
          <w:szCs w:val="28"/>
          <w:highlight w:val="none"/>
        </w:rPr>
        <w:br w:type="page" w:clear="all"/>
      </w:r>
      <w:r>
        <w:rPr>
          <w:rFonts w:hint="eastAsia" w:ascii="宋体" w:hAnsi="宋体" w:cs="宋体"/>
          <w:b/>
          <w:sz w:val="28"/>
          <w:szCs w:val="28"/>
          <w:highlight w:val="none"/>
          <w:lang w:val="en-US" w:eastAsia="zh-CN"/>
        </w:rPr>
        <w:t xml:space="preserve">十</w:t>
      </w:r>
      <w:r>
        <w:rPr>
          <w:rFonts w:hint="eastAsia" w:ascii="宋体" w:hAnsi="宋体" w:cs="宋体"/>
          <w:b/>
          <w:bCs/>
          <w:sz w:val="30"/>
          <w:szCs w:val="30"/>
          <w:highlight w:val="none"/>
          <w:lang w:val="en-US" w:eastAsia="zh-CN"/>
        </w:rPr>
        <w:t xml:space="preserve">、预付款保函支付条款模板</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符合条件一：提交预付款保函的</w:t>
      </w:r>
      <w:r/>
    </w:p>
    <w:p>
      <w:pPr>
        <w:ind w:firstLine="480"/>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（1）合同签订且乙方向甲方出具预付款保函后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617" w:firstLine="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17" w:firstLine="40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符合条件二：不提交预付款保函的</w:t>
      </w:r>
      <w:r/>
    </w:p>
    <w:p>
      <w:pPr>
        <w:ind w:firstLine="480"/>
        <w:keepLines w:val="0"/>
        <w:keepNext w:val="0"/>
        <w:pageBreakBefore w:val="0"/>
        <w:spacing w:line="52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140"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乙方需提交的支付文件：乙方出具的全额正式发票。</w:t>
      </w:r>
      <w:r/>
    </w:p>
    <w:p>
      <w:pPr>
        <w:ind w:left="0" w:firstLine="42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XX（    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p>
    <w:p>
      <w:pPr>
        <w:ind w:left="0" w:firstLine="422"/>
        <w:keepLines w:val="0"/>
        <w:keepNext w:val="0"/>
        <w:pageBreakBefore w:val="0"/>
        <w:spacing w:line="52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注:</w:t>
      </w:r>
      <w:r/>
    </w:p>
    <w:p>
      <w:pPr>
        <w:ind w:left="0" w:firstLine="42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1、付款条件一中，出具预付款保函后支付的合同款应当与保函金额一致。</w:t>
      </w:r>
      <w:r/>
    </w:p>
    <w:p>
      <w:pPr>
        <w:ind w:left="0" w:firstLine="42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2、付款条件二中，预付款比例设定应符合《关于做好政府采购支持企业发展有关事项的通知》(苏财购〔2020〕52号)要求。</w:t>
      </w:r>
      <w:r/>
    </w:p>
    <w:p>
      <w:pPr>
        <w:rPr>
          <w:rFonts w:hint="eastAsia" w:ascii="宋体" w:hAnsi="宋体" w:cs="宋体"/>
          <w:sz w:val="30"/>
          <w:szCs w:val="30"/>
          <w:highlight w:val="none"/>
        </w:rPr>
      </w:pPr>
      <w:r>
        <w:rPr>
          <w:rFonts w:hint="eastAsia" w:ascii="宋体" w:hAnsi="宋体" w:cs="宋体"/>
          <w:sz w:val="30"/>
          <w:szCs w:val="30"/>
          <w:highlight w:val="none"/>
        </w:rPr>
        <w:br w:type="page" w:clear="all"/>
      </w:r>
      <w:r/>
    </w:p>
    <w:p>
      <w:pPr>
        <w:pStyle w:val="680"/>
        <w:jc w:val="center"/>
        <w:rPr>
          <w:rFonts w:hint="eastAsia" w:ascii="宋体" w:hAnsi="宋体" w:cs="宋体"/>
          <w:sz w:val="30"/>
          <w:szCs w:val="30"/>
          <w:highlight w:val="none"/>
        </w:rPr>
      </w:pPr>
      <w:r>
        <w:rPr>
          <w:rFonts w:hint="eastAsia" w:ascii="宋体" w:hAnsi="宋体" w:cs="宋体"/>
          <w:b/>
          <w:bCs/>
          <w:sz w:val="30"/>
          <w:szCs w:val="30"/>
          <w:highlight w:val="none"/>
          <w:lang w:val="en-US" w:eastAsia="zh-CN" w:bidi="ar-SA"/>
        </w:rPr>
        <w:t xml:space="preserve">十一、</w:t>
      </w:r>
      <w:r>
        <w:rPr>
          <w:rFonts w:hint="eastAsia" w:ascii="宋体" w:hAnsi="宋体" w:eastAsia="宋体" w:cs="宋体"/>
          <w:b/>
          <w:bCs/>
          <w:sz w:val="30"/>
          <w:szCs w:val="30"/>
          <w:highlight w:val="none"/>
          <w:lang w:val="en-US" w:eastAsia="zh-CN" w:bidi="ar-SA"/>
        </w:rPr>
        <w:t xml:space="preserve">投标人相关承诺</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725"/>
        <w:ind w:firstLine="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徐州市市场监督管理局食品安全监督抽检</w:t>
      </w:r>
      <w:r/>
    </w:p>
    <w:p>
      <w:pPr>
        <w:ind w:firstLine="0"/>
        <w:rPr>
          <w:color w:val="000000"/>
          <w:sz w:val="24"/>
          <w:szCs w:val="24"/>
          <w:highlight w:val="none"/>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JSZC-320300-YMXM-G2024-0011</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t xml:space="preserve">我单位承诺：</w:t>
      </w:r>
      <w:r/>
    </w:p>
    <w:p>
      <w:pPr>
        <w:pStyle w:val="680"/>
        <w:ind w:firstLine="480"/>
        <w:rPr>
          <w:rFonts w:hint="eastAsia" w:ascii="宋体" w:hAnsi="宋体" w:cs="宋体"/>
          <w:sz w:val="24"/>
          <w:szCs w:val="24"/>
          <w:highlight w:val="none"/>
        </w:rPr>
      </w:pPr>
      <w:r>
        <w:rPr>
          <w:rFonts w:hint="eastAsia" w:ascii="宋体" w:hAnsi="宋体" w:cs="宋体"/>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ind w:firstLine="480"/>
        <w:rPr>
          <w:rFonts w:hint="eastAsia" w:ascii="宋体" w:hAnsi="宋体" w:cs="宋体"/>
          <w:sz w:val="24"/>
          <w:szCs w:val="24"/>
          <w:highlight w:val="none"/>
        </w:rPr>
      </w:pPr>
      <w:r>
        <w:rPr>
          <w:rFonts w:hint="eastAsia" w:ascii="宋体" w:hAnsi="宋体" w:cs="宋体"/>
          <w:sz w:val="24"/>
          <w:szCs w:val="24"/>
          <w:highlight w:val="none"/>
        </w:rPr>
        <w:t xml:space="preserve">我单位对上述承诺负责，并依法承担相应责任。</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投标人：                  （电子签章） </w:t>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jc w:val="center"/>
        <w:rPr>
          <w:rFonts w:hint="eastAsia" w:ascii="宋体" w:hAnsi="宋体" w:eastAsia="宋体" w:cs="宋体"/>
          <w:b/>
          <w:bCs/>
          <w:sz w:val="30"/>
          <w:szCs w:val="30"/>
          <w:highlight w:val="none"/>
          <w:lang w:val="en-US" w:eastAsia="zh-CN" w:bidi="ar-SA"/>
        </w:rPr>
      </w:pPr>
      <w:r>
        <w:rPr>
          <w:rFonts w:hint="eastAsia" w:ascii="宋体" w:hAnsi="宋体" w:cs="宋体"/>
          <w:sz w:val="30"/>
          <w:szCs w:val="30"/>
          <w:highlight w:val="none"/>
        </w:rPr>
        <w:br w:type="page" w:clear="all"/>
      </w:r>
      <w:r>
        <w:rPr>
          <w:rFonts w:hint="eastAsia" w:ascii="宋体" w:hAnsi="宋体" w:cs="宋体"/>
          <w:b/>
          <w:bCs/>
          <w:sz w:val="30"/>
          <w:szCs w:val="30"/>
          <w:highlight w:val="none"/>
          <w:lang w:val="en-US" w:eastAsia="zh-CN" w:bidi="ar-SA"/>
        </w:rPr>
        <w:t xml:space="preserve">十二、</w:t>
      </w:r>
      <w:r>
        <w:rPr>
          <w:rFonts w:hint="eastAsia" w:ascii="宋体" w:hAnsi="宋体" w:eastAsia="宋体" w:cs="宋体"/>
          <w:b/>
          <w:bCs/>
          <w:sz w:val="30"/>
          <w:szCs w:val="30"/>
          <w:highlight w:val="none"/>
          <w:lang w:val="en-US" w:eastAsia="zh-CN" w:bidi="ar-SA"/>
        </w:rPr>
        <w:t xml:space="preserve">投标人书面声明</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725"/>
        <w:ind w:firstLine="0"/>
        <w:rPr>
          <w:rFonts w:hint="eastAsia" w:eastAsia="宋体"/>
          <w:color w:val="000000"/>
          <w:sz w:val="24"/>
          <w:szCs w:val="24"/>
          <w:highlight w:val="none"/>
          <w:lang w:eastAsia="zh-CN"/>
        </w:rPr>
      </w:pPr>
      <w:r>
        <w:rPr>
          <w:rFonts w:hint="eastAsia"/>
          <w:color w:val="000000"/>
          <w:sz w:val="24"/>
          <w:szCs w:val="24"/>
          <w:highlight w:val="none"/>
        </w:rPr>
        <w:t xml:space="preserve">项目名称：</w:t>
      </w:r>
      <w:r>
        <w:rPr>
          <w:rFonts w:hint="eastAsia"/>
          <w:color w:val="000000"/>
          <w:sz w:val="24"/>
          <w:szCs w:val="24"/>
          <w:highlight w:val="none"/>
          <w:lang w:eastAsia="zh-CN"/>
        </w:rPr>
        <w:t xml:space="preserve">徐州市市场监督管理局食品安全监督抽检</w:t>
      </w:r>
      <w:r/>
    </w:p>
    <w:p>
      <w:pPr>
        <w:ind w:firstLine="0"/>
        <w:rPr>
          <w:rFonts w:hint="eastAsia" w:ascii="宋体" w:hAnsi="宋体" w:cs="宋体"/>
          <w:sz w:val="30"/>
          <w:szCs w:val="30"/>
          <w:highlight w:val="none"/>
        </w:rPr>
      </w:pPr>
      <w:r>
        <w:rPr>
          <w:rFonts w:hint="eastAsia"/>
          <w:color w:val="000000"/>
          <w:sz w:val="24"/>
          <w:szCs w:val="24"/>
          <w:highlight w:val="none"/>
        </w:rPr>
        <w:t xml:space="preserve">项目编号：</w:t>
      </w:r>
      <w:r>
        <w:rPr>
          <w:rFonts w:hint="eastAsia"/>
          <w:color w:val="000000"/>
          <w:sz w:val="24"/>
          <w:szCs w:val="24"/>
          <w:highlight w:val="none"/>
          <w:lang w:eastAsia="zh-CN"/>
        </w:rPr>
        <w:t xml:space="preserve">JSZC-320300-YMXM-G2024-0011</w:t>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我单位不是为本采购项目提供整体设计、规范编制或者项目管理、监理、检测等服务的供应商。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特此声明。</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我单位对上述声明的真实性负责。如有虚假，将依法承担相应责任。</w:t>
      </w:r>
      <w:r/>
    </w:p>
    <w:p>
      <w:pPr>
        <w:ind w:firstLine="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投标人：                  （电子签章） </w:t>
      </w:r>
      <w:r/>
    </w:p>
    <w:p>
      <w:pPr>
        <w:pStyle w:val="680"/>
        <w:ind w:left="0" w:firstLine="2940"/>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680"/>
        <w:rPr>
          <w:rFonts w:hint="eastAsia" w:ascii="宋体" w:hAnsi="宋体" w:cs="宋体"/>
          <w:sz w:val="24"/>
          <w:szCs w:val="24"/>
          <w:highlight w:val="none"/>
        </w:rPr>
      </w:pPr>
      <w:r>
        <w:rPr>
          <w:rFonts w:hint="eastAsia" w:ascii="宋体" w:hAnsi="宋体" w:cs="宋体"/>
          <w:sz w:val="24"/>
          <w:szCs w:val="24"/>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r>
      <w:r/>
    </w:p>
    <w:p>
      <w:pPr>
        <w:pStyle w:val="680"/>
        <w:rPr>
          <w:rFonts w:hint="eastAsia" w:ascii="宋体" w:hAnsi="宋体" w:cs="宋体"/>
          <w:sz w:val="30"/>
          <w:szCs w:val="30"/>
          <w:highlight w:val="none"/>
        </w:rPr>
      </w:pPr>
      <w:r>
        <w:rPr>
          <w:rFonts w:hint="eastAsia" w:ascii="宋体" w:hAnsi="宋体" w:cs="宋体"/>
          <w:sz w:val="30"/>
          <w:szCs w:val="30"/>
          <w:highlight w:val="none"/>
        </w:rPr>
        <w:br w:type="page" w:clear="all"/>
      </w:r>
      <w:r/>
    </w:p>
    <w:p>
      <w:pPr>
        <w:rPr>
          <w:rFonts w:hint="eastAsia"/>
          <w:highlight w:val="none"/>
        </w:rPr>
        <w:sectPr>
          <w:headerReference w:type="default" r:id="rId9"/>
          <w:foot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highlight w:val="none"/>
        </w:rPr>
      </w:r>
      <w:r/>
    </w:p>
    <w:p>
      <w:pPr>
        <w:pStyle w:val="709"/>
        <w:numPr>
          <w:ilvl w:val="0"/>
          <w:numId w:val="0"/>
        </w:numPr>
        <w:jc w:val="lef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附件1：附表2</w:t>
      </w:r>
      <w:r/>
    </w:p>
    <w:p>
      <w:pPr>
        <w:ind w:firstLine="1320"/>
        <w:spacing w:after="200" w:line="640" w:lineRule="exact"/>
        <w:rPr>
          <w:rFonts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t xml:space="preserve">2024年徐州市级食用农产品安全监督抽检品种及项目表</w:t>
      </w:r>
      <w:r/>
    </w:p>
    <w:tbl>
      <w:tblPr>
        <w:tblStyle w:val="679"/>
        <w:tblW w:w="14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661"/>
        <w:gridCol w:w="1247"/>
        <w:gridCol w:w="1247"/>
        <w:gridCol w:w="1134"/>
        <w:gridCol w:w="2044"/>
        <w:gridCol w:w="6803"/>
        <w:gridCol w:w="1444"/>
      </w:tblGrid>
      <w:tr>
        <w:trPr>
          <w:cantSplit/>
          <w:jc w:val="center"/>
          <w:tblHeader/>
        </w:trPr>
        <w:tc>
          <w:tcPr>
            <w:tcW w:w="661" w:type="dxa"/>
            <w:vAlign w:val="center"/>
            <w:textDirection w:val="lrTb"/>
            <w:noWrap w:val="false"/>
          </w:tcPr>
          <w:p>
            <w:pPr>
              <w:jc w:val="center"/>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序号</w:t>
            </w:r>
            <w:r/>
          </w:p>
        </w:tc>
        <w:tc>
          <w:tcPr>
            <w:tcW w:w="1247"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食品亚类（二级）</w:t>
            </w:r>
            <w:r/>
          </w:p>
        </w:tc>
        <w:tc>
          <w:tcPr>
            <w:tcW w:w="1247"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食品品种（三级）</w:t>
            </w:r>
            <w:r/>
          </w:p>
        </w:tc>
        <w:tc>
          <w:tcPr>
            <w:tcW w:w="113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食品细类（四级）</w:t>
            </w:r>
            <w:r/>
          </w:p>
        </w:tc>
        <w:tc>
          <w:tcPr>
            <w:tcW w:w="204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必检项目</w:t>
            </w:r>
            <w:r/>
          </w:p>
        </w:tc>
        <w:tc>
          <w:tcPr>
            <w:tcW w:w="6803"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可    选    项    目</w:t>
            </w:r>
            <w:r/>
          </w:p>
        </w:tc>
        <w:tc>
          <w:tcPr>
            <w:tcW w:w="1444"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备注</w:t>
            </w:r>
            <w:r/>
          </w:p>
        </w:tc>
      </w:tr>
      <w:tr>
        <w:trPr>
          <w:cantSplit/>
          <w:jc w:val="center"/>
        </w:trPr>
        <w:tc>
          <w:tcP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1</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畜禽肉及副产品</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畜肉</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猪肉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氯霉素、恩诺沙星</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挥发性盐基氮、呋喃唑酮代谢物、呋喃西林代谢物、五氯酚酸钠（以五氯酚计）、克伦特罗、莱克多巴胺、沙丁胺醇、磺胺类（总量）、甲氧苄啶、氟苯尼考</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牛肉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克伦特罗</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挥发性盐基氮、呋喃唑酮代谢物、呋喃西林代谢物、氯霉素、五氯酚酸钠（以五氯酚计）、莱克多巴胺、沙丁胺醇、恩诺沙星、磺胺类（总量）、甲氧苄啶、</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羊肉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克伦特罗、磺胺类（总量）</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呋喃唑酮代谢物、呋喃西林代谢物、氯霉素、莱克多巴胺、沙丁胺醇、恩诺沙星</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禽肉</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鸡肉</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五氯酚酸钠（以五氯酚计）、恩诺沙星、甲氧苄啶、尼卡巴嗪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呋喃唑酮代谢物、呋喃西林代谢物、呋喃它酮代谢物、氧氟沙星、培氟沙星、诺氟沙星、沙拉沙星、氟苯尼考</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2</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蔬菜</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豆类蔬菜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豇豆</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倍硫磷、噻虫胺、噻虫嗪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啶虫脒、甲胺磷、甲拌磷、甲基异柳磷、乐果、氯氟氰菊酯和高效氯氟氰菊酯、三唑磷、水胺硫磷、氧乐果、乙酰甲胺磷</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2</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蔬菜</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豆芽</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豆芽</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4-氯苯氧乙酸钠（以4-氯苯氧乙酸计）、6-苄基腺嘌呤（6-BA）</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铅（以Pb计）、亚硫酸盐（以SO</w:t>
            </w:r>
            <w:r>
              <w:rPr>
                <w:rFonts w:ascii="宋体" w:hAnsi="宋体"/>
                <w:color w:val="auto"/>
                <w:sz w:val="20"/>
                <w:szCs w:val="20"/>
                <w:highlight w:val="none"/>
                <w:vertAlign w:val="subscript"/>
                <w:lang w:bidi="ar"/>
              </w:rPr>
              <w:t xml:space="preserve">2</w:t>
            </w:r>
            <w:r>
              <w:rPr>
                <w:rFonts w:ascii="宋体" w:hAnsi="宋体"/>
                <w:color w:val="auto"/>
                <w:sz w:val="20"/>
                <w:szCs w:val="20"/>
                <w:highlight w:val="none"/>
                <w:lang w:bidi="ar"/>
              </w:rPr>
              <w:t xml:space="preserve">计）、总汞（以Hg计）</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根茎类和薯芋类蔬菜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姜</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吡虫啉、铅（以Pb计）、噻虫胺、噻虫嗪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敌敌畏、二氧化硫残留量、镉（以Cd计）、氯氟氰菊酯和高效氯氟氰菊酯、氯氰菊酯和高效氯氰菊酯</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山药</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咪鲜胺和咪鲜胺锰盐</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毒死蜱、克百威、氯氟氰菊酯和高效氯氟氰菊酯、铅（以Pb计）、涕灭威</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鳞茎类蔬菜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百合</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镉（以Cd计）</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铅（以Pb计）、总汞（以Hg计）</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葱</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噻虫嗪</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丙环唑、毒死蜱、甲拌磷、甲基异柳磷、氯氟氰菊酯和高效氯氟氰菊酯、水胺硫磷、氧乐果</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韭菜</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毒死蜱、镉（以Cd计）</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敌敌畏、腐霉利、甲胺磷、甲拌磷、甲基异柳磷、克百威、乐果、氯氟氰菊酯和高效氯氟氰菊酯、氯氰菊酯和高效氯氰菊酯、水胺硫磷、氧乐果、乙酰甲胺磷</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茄果类蔬菜</w:t>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辣椒</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啶虫脒、噻虫胺</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倍硫磷、吡虫啉、敌敌畏、毒死蜱、甲氨基阿维菌素苯甲酸盐、甲胺磷、甲拌磷、乐果、联苯菊酯、氯氟氰菊酯和高效氯氟氰菊酯、噻虫嗪、乙酰甲胺磷</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甜椒</w:t>
            </w:r>
            <w:r/>
          </w:p>
        </w:tc>
        <w:tc>
          <w:tcP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噻虫胺</w:t>
            </w:r>
            <w:r/>
          </w:p>
        </w:tc>
        <w:tc>
          <w:tcP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倍硫磷、吡虫啉、吡唑醚菌酯、毒死蜱、克百威、水胺硫磷、氧乐果</w:t>
            </w:r>
            <w:r/>
          </w:p>
        </w:tc>
        <w:tc>
          <w:tcP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2</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蔬菜</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叶菜类蔬菜</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菠菜</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毒死蜱</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腐霉利、镉（以Cd计）、铬（以Cr计）、甲氨基阿维菌素苯甲酸盐、甲拌磷、氯氟氰菊酯和高效氯氟氰菊酯、铅（以Pb计）、氧乐果、乙酰甲胺磷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普通白菜</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啶虫脒、毒死蜱</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吡虫啉、甲氨基阿维菌素苯甲酸盐、甲胺磷、甲基异柳磷、氯氟氰菊酯和高效氯氟氰菊酯、氯氰菊酯和高效氯氰菊酯、水胺硫磷、乙酰甲胺磷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芹菜</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毒死蜱、噻虫胺</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苯醚甲环唑、敌敌畏、甲拌磷、甲基异柳磷、克百威、乐果、氯氟氰菊酯和高效氯氟氰菊酯、噻虫嗪、水胺硫磷、氧乐果、乙酰甲胺磷、氯氰菊酯和高效氯氰菊酯</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3</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水产品</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淡水产品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淡水虾</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镉（以Cd计）、孔雀石绿、氯霉素、磺胺类（总量）、五氯酚酸钠（以五氯酚计）、氧氟沙星、诺氟沙星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淡水鱼</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恩诺沙星、孔雀石绿、地西泮</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挥发性盐基氮、镉（以Cd计）、磺胺类（总量）、甲氧苄啶、五氯酚酸钠（以五氯酚计）、氧氟沙星、诺氟沙星、培氟沙星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海水产品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海水鱼</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挥发性盐基氮、孔雀石绿、氯霉素、磺胺类（总量）、土霉素/金霉素/四环素（组合含量）、甲氧苄啶、五氯酚酸钠（以五氯酚计）、氧氟沙</w:t>
            </w:r>
            <w:r>
              <w:rPr>
                <w:rFonts w:hint="eastAsia" w:ascii="宋体" w:hAnsi="宋体"/>
                <w:color w:val="auto"/>
                <w:sz w:val="20"/>
                <w:szCs w:val="20"/>
                <w:highlight w:val="none"/>
                <w:lang w:bidi="ar"/>
              </w:rPr>
              <w:t xml:space="preserve">星</w:t>
            </w:r>
            <w:r>
              <w:rPr>
                <w:rFonts w:ascii="宋体" w:hAnsi="宋体"/>
                <w:color w:val="auto"/>
                <w:sz w:val="20"/>
                <w:szCs w:val="20"/>
                <w:highlight w:val="none"/>
                <w:lang w:bidi="ar"/>
              </w:rPr>
              <w:t xml:space="preserve">、培氟沙星、诺氟沙星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3</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水产品</w:t>
            </w:r>
            <w:r/>
          </w:p>
        </w:tc>
        <w:tc>
          <w:tcPr>
            <w:tcMar>
              <w:top w:w="85" w:type="dxa"/>
              <w:bottom w:w="85" w:type="dxa"/>
            </w:tcMar>
            <w:tcW w:w="1247"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海水产品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海水虾</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呋喃唑酮代谢物</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孔雀石绿、呋喃它酮代谢物、呋喃妥因代谢物、恩诺沙星、磺胺类（总量）、五氯酚酸钠（以五氯酚计）、诺氟沙星</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其他水产品</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其他水产品（重点品种：牛蛙）</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恩诺沙星</w:t>
            </w:r>
            <w:r>
              <w:rPr>
                <w:rFonts w:ascii="宋体" w:hAnsi="宋体"/>
                <w:color w:val="auto"/>
                <w:sz w:val="20"/>
                <w:szCs w:val="20"/>
                <w:highlight w:val="none"/>
                <w:vertAlign w:val="superscript"/>
                <w:lang w:bidi="ar"/>
              </w:rPr>
              <w:t xml:space="preserve">a</w:t>
            </w:r>
            <w:r>
              <w:rPr>
                <w:rFonts w:ascii="宋体" w:hAnsi="宋体"/>
                <w:color w:val="auto"/>
                <w:sz w:val="20"/>
                <w:szCs w:val="20"/>
                <w:highlight w:val="none"/>
                <w:lang w:bidi="ar"/>
              </w:rPr>
              <w:t xml:space="preserve">、呋喃唑酮代谢物、呋喃西林代谢物</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呋喃妥因代谢物、氟苯尼考</w:t>
            </w:r>
            <w:r>
              <w:rPr>
                <w:rFonts w:ascii="宋体" w:hAnsi="宋体"/>
                <w:color w:val="auto"/>
                <w:sz w:val="20"/>
                <w:szCs w:val="20"/>
                <w:highlight w:val="none"/>
                <w:vertAlign w:val="superscript"/>
                <w:lang w:bidi="ar"/>
              </w:rPr>
              <w:t xml:space="preserve">a</w:t>
            </w:r>
            <w:r>
              <w:rPr>
                <w:rFonts w:ascii="宋体" w:hAnsi="宋体"/>
                <w:color w:val="auto"/>
                <w:sz w:val="20"/>
                <w:szCs w:val="20"/>
                <w:highlight w:val="none"/>
                <w:lang w:bidi="ar"/>
              </w:rPr>
              <w:t xml:space="preserve">、甲硝唑</w:t>
            </w:r>
            <w:r>
              <w:rPr>
                <w:rFonts w:ascii="宋体" w:hAnsi="宋体"/>
                <w:color w:val="auto"/>
                <w:sz w:val="20"/>
                <w:szCs w:val="20"/>
                <w:highlight w:val="none"/>
                <w:vertAlign w:val="superscript"/>
                <w:lang w:bidi="ar"/>
              </w:rPr>
              <w:t xml:space="preserve">a</w:t>
            </w:r>
            <w:r>
              <w:rPr>
                <w:rFonts w:ascii="宋体" w:hAnsi="宋体"/>
                <w:color w:val="auto"/>
                <w:sz w:val="20"/>
                <w:szCs w:val="20"/>
                <w:highlight w:val="none"/>
                <w:lang w:bidi="ar"/>
              </w:rPr>
              <w:t xml:space="preserve">、氧氟沙星、诺氟沙星</w:t>
            </w:r>
            <w:r/>
          </w:p>
        </w:tc>
        <w:tc>
          <w:tcPr>
            <w:tcMar>
              <w:top w:w="85" w:type="dxa"/>
              <w:bottom w:w="85" w:type="dxa"/>
            </w:tcMar>
            <w:tcW w:w="1444" w:type="dxa"/>
            <w:vAlign w:val="center"/>
            <w:textDirection w:val="lrTb"/>
            <w:noWrap w:val="false"/>
          </w:tcPr>
          <w:p>
            <w:pPr>
              <w:widowControl/>
              <w:rPr>
                <w:rFonts w:hint="eastAsia" w:ascii="宋体" w:hAnsi="宋体"/>
                <w:color w:val="auto"/>
                <w:sz w:val="20"/>
                <w:szCs w:val="20"/>
                <w:highlight w:val="none"/>
                <w:lang w:bidi="ar"/>
              </w:rPr>
            </w:pPr>
            <w:r>
              <w:rPr>
                <w:rFonts w:ascii="宋体" w:hAnsi="宋体"/>
                <w:color w:val="auto"/>
                <w:sz w:val="20"/>
                <w:szCs w:val="20"/>
                <w:highlight w:val="none"/>
                <w:lang w:bidi="ar"/>
              </w:rPr>
              <w:t xml:space="preserve">a.仅蛙科、鳖科食品动物检测；</w:t>
            </w:r>
            <w:r/>
          </w:p>
          <w:p>
            <w:pPr>
              <w:widowControl/>
              <w:rPr>
                <w:rFonts w:ascii="宋体" w:hAnsi="宋体"/>
                <w:color w:val="auto"/>
                <w:sz w:val="20"/>
                <w:szCs w:val="20"/>
                <w:highlight w:val="none"/>
              </w:rPr>
            </w:pPr>
            <w:r>
              <w:rPr>
                <w:rFonts w:ascii="宋体" w:hAnsi="宋体"/>
                <w:color w:val="auto"/>
                <w:sz w:val="20"/>
                <w:szCs w:val="20"/>
                <w:highlight w:val="none"/>
                <w:lang w:bidi="ar"/>
              </w:rPr>
              <w:t xml:space="preserve">b.限头足类、腹足类、棘皮类检测。</w:t>
            </w:r>
            <w:r/>
          </w:p>
        </w:tc>
      </w:tr>
      <w:tr>
        <w:trPr>
          <w:cantSplit/>
          <w:jc w:val="center"/>
        </w:trPr>
        <w:tc>
          <w:tcPr>
            <w:tcMar>
              <w:top w:w="85" w:type="dxa"/>
              <w:bottom w:w="85" w:type="dxa"/>
            </w:tcMar>
            <w:tcW w:w="661" w:type="dxa"/>
            <w:vAlign w:val="center"/>
            <w:vMerge w:val="restart"/>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4</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水果类</w:t>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柑橘类水果</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橙</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氯唑磷</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丙溴磷、联苯菊酯、三唑磷、杀扑磷、水胺硫磷、氧乐果、苯醚甲环唑</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柑、橘</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苯醚甲环唑、丙溴磷、联苯菊酯</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氯唑磷、三唑磷、水胺硫磷、氧乐果、氯氟氰菊酯和高效氯氟氰菊酯、杀扑磷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浆果和其他小型水果</w:t>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草莓</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烯酰吗啉</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敌敌畏、多菌灵、克百威、氧乐果、戊菌唑、吡虫啉、乙酰甲胺磷</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猕猴桃</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氯吡脲</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敌敌畏、多菌灵、氧乐果</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85" w:type="dxa"/>
              <w:bottom w:w="85"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桑葚</w:t>
            </w:r>
            <w:r/>
          </w:p>
        </w:tc>
        <w:tc>
          <w:tcPr>
            <w:tcMar>
              <w:top w:w="85" w:type="dxa"/>
              <w:bottom w:w="85"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脱氢乙酸及其钠盐（以脱氢乙酸计）、糖精钠（以糖精计）、甜蜜素（以环己基氨基磺酸计）</w:t>
            </w:r>
            <w:r/>
          </w:p>
        </w:tc>
        <w:tc>
          <w:tcPr>
            <w:tcMar>
              <w:top w:w="85" w:type="dxa"/>
              <w:bottom w:w="85"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苯甲酸及其钠盐（以苯甲酸计）、山梨酸及其钾盐（以山梨酸计）、三氯蔗糖、多菌灵</w:t>
            </w:r>
            <w:r/>
          </w:p>
        </w:tc>
        <w:tc>
          <w:tcPr>
            <w:tcMar>
              <w:top w:w="85" w:type="dxa"/>
              <w:bottom w:w="85"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4</w:t>
            </w:r>
            <w:r/>
          </w:p>
        </w:tc>
        <w:tc>
          <w:tcPr>
            <w:tcMar>
              <w:top w:w="113" w:type="dxa"/>
              <w:bottom w:w="113" w:type="dxa"/>
            </w:tcMar>
            <w:tcW w:w="1247"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水果类</w:t>
            </w:r>
            <w:r/>
          </w:p>
        </w:tc>
        <w:tc>
          <w:tcPr>
            <w:tcMar>
              <w:top w:w="113" w:type="dxa"/>
              <w:bottom w:w="113" w:type="dxa"/>
            </w:tcMa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热带和亚热带水果</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荔枝</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吡唑醚菌酯、氯氟氰菊酯和高效氯氟氰菊酯、除虫脲</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多菌灵、氧乐果、毒死蜱、苯醚甲环唑、氯氰菊酯和高效氯氰菊酯</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芒果</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吡唑醚菌酯、噻虫胺</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苯醚甲环唑、戊唑醇、氧乐果、乙酰甲胺磷、噻虫嗪、噻嗪酮</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香蕉</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吡虫啉、噻虫胺、噻虫嗪</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苯醚甲环唑、甲拌磷、腈苯唑、氟环唑、联苯菊酯、烯唑醇</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杨梅</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脱氢乙酸及其钠盐（以脱氢乙酸计）、糖精钠（以糖精计）、甜蜜素（以环己基氨基磺酸计）</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苯甲酸及其钠盐（以苯甲酸计）、山梨酸及其钾盐（以山梨酸计）、三氯蔗糖、敌敌畏、氧乐果</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仁果类水果</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梨</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苯醚甲环唑、氯氟氰菊酯和高效氯氟氰菊酯</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吡虫啉、敌敌畏、毒死蜱、多菌灵、克百威、氧乐果、水胺硫磷</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5</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鲜蛋</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鲜蛋</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鸡蛋</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甲硝唑、甲氧苄啶、多西环素</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氯霉素、氟苯尼考、恩诺沙星、氧氟沙星、沙拉沙星、磺胺类（总量）</w:t>
            </w:r>
            <w:r/>
          </w:p>
        </w:tc>
        <w:tc>
          <w:tcPr>
            <w:tcMar>
              <w:top w:w="113" w:type="dxa"/>
              <w:bottom w:w="113" w:type="dxa"/>
            </w:tcMar>
            <w:tcW w:w="1444"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r>
      <w:tr>
        <w:trPr>
          <w:cantSplit/>
          <w:jc w:val="center"/>
        </w:trPr>
        <w:tc>
          <w:tcPr>
            <w:tcMar>
              <w:top w:w="113" w:type="dxa"/>
              <w:bottom w:w="113" w:type="dxa"/>
            </w:tcMar>
            <w:tcW w:w="661"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6</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生干坚果与籽类食品</w:t>
            </w:r>
            <w:r/>
          </w:p>
        </w:tc>
        <w:tc>
          <w:tcPr>
            <w:tcMar>
              <w:top w:w="113" w:type="dxa"/>
              <w:bottom w:w="113"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生干坚果与籽类食品</w:t>
            </w:r>
            <w:r/>
          </w:p>
        </w:tc>
        <w:tc>
          <w:tcPr>
            <w:tcMar>
              <w:top w:w="113" w:type="dxa"/>
              <w:bottom w:w="113" w:type="dxa"/>
            </w:tcMar>
            <w:tcW w:w="113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生干籽类</w:t>
            </w:r>
            <w:r/>
          </w:p>
        </w:tc>
        <w:tc>
          <w:tcPr>
            <w:tcMar>
              <w:top w:w="113" w:type="dxa"/>
              <w:bottom w:w="113" w:type="dxa"/>
            </w:tcMar>
            <w:tcW w:w="20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黄曲霉毒素B</w:t>
            </w:r>
            <w:r>
              <w:rPr>
                <w:rFonts w:ascii="宋体" w:hAnsi="宋体"/>
                <w:color w:val="auto"/>
                <w:sz w:val="20"/>
                <w:szCs w:val="20"/>
                <w:highlight w:val="none"/>
                <w:vertAlign w:val="subscript"/>
                <w:lang w:bidi="ar"/>
              </w:rPr>
              <w:t xml:space="preserve">1</w:t>
            </w:r>
            <w:r/>
          </w:p>
        </w:tc>
        <w:tc>
          <w:tcPr>
            <w:tcMar>
              <w:top w:w="113" w:type="dxa"/>
              <w:bottom w:w="113" w:type="dxa"/>
            </w:tcMar>
            <w:tcW w:w="680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酸价（以脂肪计）（KOH）、过氧化值（以脂肪计）、铅（以Pb计）、镉（以Cd计）、噻虫嗪</w:t>
            </w:r>
            <w:r/>
          </w:p>
        </w:tc>
        <w:tc>
          <w:tcPr>
            <w:tcMar>
              <w:top w:w="113" w:type="dxa"/>
              <w:bottom w:w="113" w:type="dxa"/>
            </w:tcMar>
            <w:tcW w:w="1444"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仅花生检测黄曲霉毒素B</w:t>
            </w:r>
            <w:r>
              <w:rPr>
                <w:rFonts w:ascii="宋体" w:hAnsi="宋体"/>
                <w:color w:val="auto"/>
                <w:sz w:val="20"/>
                <w:szCs w:val="20"/>
                <w:highlight w:val="none"/>
                <w:vertAlign w:val="subscript"/>
                <w:lang w:bidi="ar"/>
              </w:rPr>
              <w:t xml:space="preserve">1</w:t>
            </w:r>
            <w:r/>
          </w:p>
        </w:tc>
      </w:tr>
      <w:tr>
        <w:trPr>
          <w:cantSplit/>
          <w:jc w:val="center"/>
        </w:trPr>
        <w:tc>
          <w:tcPr>
            <w:gridSpan w:val="7"/>
            <w:tcW w:w="14580" w:type="dxa"/>
            <w:vAlign w:val="center"/>
            <w:textDirection w:val="lrTb"/>
            <w:noWrap w:val="false"/>
          </w:tcPr>
          <w:p>
            <w:pPr>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注：1.部分项目检测结果说明：恩诺沙星检验结果以恩诺沙星与环丙沙星之和计；孔雀石绿检验结果以孔雀石绿与隐色孔雀石绿之和计，以孔雀石绿表示；磺胺类（总量）包含的具体磺胺药物按国家食品安全监督抽检实施细则（2024年版）中相应食品类别要求检验。</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2.酸价、过氧化值依据GB 19300判定时，样品前处理按该标准附录B规定；脂肪含量低的莲子、板栗类等食品，其酸价、过氧化值不作要求；其中芝麻的酸价不纳入2024年监督抽检。</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3.海水蟹、虾蛄中镉（以Cd计）仅限生产日期在2023年6月30日（含）之后的产品检测。</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4.可选项目选择原则：</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1）金刚烷胺、利巴韦林等药物在相关限量标准发布实施前不得纳入监督抽检；鉴于检测方法等问题，虾、蟹中呋喃西林代谢物不纳入监督抽检。</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2）可选项目应根据当地农业投入品使用情况及既往抽检不合格、当地舆情等情况选择，如在本表可选项目之外确定检测项目时，应注意：农药残留项目在GB 2763-2021、GB 2763.1-2022标准中有该品种最大允许残留限量及相应指定检测方法；兽药项目在GB 31650-2019、GB 31650.1-2022有该动物类别相应组织部位的允许限量，或农业农村部公告250号有禁用要求，且有适用检测方法（检测范围应包含该动物及相应组织部位），符合上述要求的农兽药项目方可纳入监督抽检。</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5.因生干籽类细类中包含除重点品种花生外的其他生干籽类产品，其他水产品中包含除重点品种牛蛙、鱿鱼外的其他水产品，因此“国抽信息系统”不作必检项限制，但各承检机构应按承检区域必检项目要求实施检验，不得漏检漏报。</w:t>
            </w:r>
            <w:r/>
          </w:p>
          <w:p>
            <w:pPr>
              <w:ind w:firstLine="402"/>
              <w:widowControl/>
              <w:rPr>
                <w:rStyle w:val="775"/>
                <w:rFonts w:hint="default"/>
                <w:color w:val="auto"/>
                <w:highlight w:val="none"/>
                <w:vertAlign w:val="baseline"/>
                <w:lang w:bidi="ar"/>
              </w:rPr>
            </w:pPr>
            <w:r>
              <w:rPr>
                <w:rStyle w:val="775"/>
                <w:rFonts w:hint="default"/>
                <w:color w:val="auto"/>
                <w:highlight w:val="none"/>
                <w:vertAlign w:val="baseline"/>
                <w:lang w:bidi="ar"/>
              </w:rPr>
              <w:t xml:space="preserve">6.抽样前，应制定抽样方案，抽取样品量、检验及复检备份所需样品量应根据采用的检测方法标准要求确定。</w:t>
            </w:r>
            <w:r/>
          </w:p>
          <w:p>
            <w:pPr>
              <w:widowControl/>
              <w:rPr>
                <w:rFonts w:ascii="宋体" w:hAnsi="宋体"/>
                <w:color w:val="auto"/>
                <w:sz w:val="20"/>
                <w:szCs w:val="20"/>
                <w:highlight w:val="none"/>
                <w:lang w:bidi="ar"/>
              </w:rPr>
            </w:pPr>
            <w:r>
              <w:rPr>
                <w:rStyle w:val="775"/>
                <w:rFonts w:hint="default"/>
                <w:color w:val="auto"/>
                <w:highlight w:val="none"/>
                <w:vertAlign w:val="baseline"/>
                <w:lang w:bidi="ar"/>
              </w:rPr>
              <w:t xml:space="preserve">7.2024年3月6日（含）起，铅（以Pb计）应采用GB 5009.12-2023检测，镉（以Cd计）应采用GB 5009.15-2023检测，铬（以Cr计）应采用GB 5009.123-2023检测，过氧化值（以脂肪计）应采用GB 5009.227-2023检测，三氯蔗糖应采用GB 5009.298-2023检测，甜蜜素（以环己基氨基磺酸计）限2024年3月6日（含）之后检测。</w:t>
            </w:r>
            <w:r/>
          </w:p>
        </w:tc>
      </w:tr>
    </w:tbl>
    <w:p>
      <w:pPr>
        <w:pStyle w:val="712"/>
        <w:rPr>
          <w:rFonts w:hint="eastAsia" w:ascii="宋体" w:hAnsi="宋体"/>
          <w:b/>
          <w:bCs/>
          <w:color w:val="auto"/>
          <w:sz w:val="24"/>
          <w:highlight w:val="none"/>
        </w:rPr>
      </w:pPr>
      <w:r>
        <w:rPr>
          <w:rFonts w:hint="eastAsia" w:ascii="宋体" w:hAnsi="宋体"/>
          <w:b/>
          <w:bCs/>
          <w:color w:val="auto"/>
          <w:sz w:val="2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jc w:val="center"/>
        <w:spacing w:after="200" w:line="640" w:lineRule="exact"/>
        <w:rPr>
          <w:rFonts w:hint="eastAsia"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r>
      <w:r/>
    </w:p>
    <w:p>
      <w:pPr>
        <w:pStyle w:val="709"/>
        <w:numPr>
          <w:ilvl w:val="0"/>
          <w:numId w:val="0"/>
        </w:numPr>
        <w:jc w:val="lef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附件2</w:t>
      </w:r>
      <w:r/>
    </w:p>
    <w:p>
      <w:pPr>
        <w:jc w:val="center"/>
        <w:spacing w:after="200" w:line="640" w:lineRule="exact"/>
        <w:rPr>
          <w:rFonts w:ascii="方正小标宋_GBK" w:hAnsi="Calibri" w:eastAsia="方正小标宋_GBK"/>
          <w:color w:val="auto"/>
          <w:sz w:val="44"/>
          <w:szCs w:val="44"/>
          <w:highlight w:val="none"/>
        </w:rPr>
      </w:pPr>
      <w:r>
        <w:rPr>
          <w:rFonts w:hint="eastAsia" w:ascii="方正小标宋_GBK" w:hAnsi="Calibri" w:eastAsia="方正小标宋_GBK"/>
          <w:color w:val="auto"/>
          <w:sz w:val="44"/>
          <w:szCs w:val="44"/>
          <w:highlight w:val="none"/>
        </w:rPr>
        <w:t xml:space="preserve">2024年徐州市级食品安全监督抽检品种及项目表</w:t>
      </w:r>
      <w:r/>
    </w:p>
    <w:tbl>
      <w:tblPr>
        <w:tblStyle w:val="679"/>
        <w:tblW w:w="14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57" w:type="dxa"/>
        </w:tblCellMar>
        <w:tblLook w:val="04A0" w:firstRow="1" w:lastRow="0" w:firstColumn="1" w:lastColumn="0" w:noHBand="0" w:noVBand="1"/>
      </w:tblPr>
      <w:tblGrid>
        <w:gridCol w:w="630"/>
        <w:gridCol w:w="1247"/>
        <w:gridCol w:w="1247"/>
        <w:gridCol w:w="1247"/>
        <w:gridCol w:w="1680"/>
        <w:gridCol w:w="675"/>
        <w:gridCol w:w="8213"/>
      </w:tblGrid>
      <w:tr>
        <w:trPr>
          <w:cantSplit/>
          <w:jc w:val="center"/>
          <w:trHeight w:val="312"/>
          <w:tblHeader/>
        </w:trPr>
        <w:tc>
          <w:tcPr>
            <w:tcW w:w="630"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tcW w:w="1247"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食品大类（一级）</w:t>
            </w:r>
            <w:r/>
          </w:p>
        </w:tc>
        <w:tc>
          <w:tcPr>
            <w:tcW w:w="1247"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食品亚类（二级）</w:t>
            </w:r>
            <w:r/>
          </w:p>
        </w:tc>
        <w:tc>
          <w:tcPr>
            <w:tcW w:w="1247"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食品品种（三级）</w:t>
            </w:r>
            <w:r/>
          </w:p>
        </w:tc>
        <w:tc>
          <w:tcPr>
            <w:tcW w:w="1680" w:type="dxa"/>
            <w:vAlign w:val="center"/>
            <w:vMerge w:val="restart"/>
            <w:textDirection w:val="lrTb"/>
            <w:noWrap w:val="false"/>
          </w:tcPr>
          <w:p>
            <w:pPr>
              <w:jc w:val="center"/>
              <w:widowControl/>
              <w:rPr>
                <w:rFonts w:ascii="宋体" w:hAnsi="宋体" w:cs="宋体"/>
                <w:b/>
                <w:bCs/>
                <w:color w:val="auto"/>
                <w:sz w:val="20"/>
                <w:szCs w:val="20"/>
                <w:highlight w:val="none"/>
                <w:lang w:bidi="ar"/>
              </w:rPr>
            </w:pPr>
            <w:r>
              <w:rPr>
                <w:rFonts w:hint="eastAsia" w:ascii="宋体" w:hAnsi="宋体" w:cs="宋体"/>
                <w:b/>
                <w:bCs/>
                <w:color w:val="auto"/>
                <w:sz w:val="20"/>
                <w:szCs w:val="20"/>
                <w:highlight w:val="none"/>
                <w:lang w:bidi="ar"/>
              </w:rPr>
              <w:t xml:space="preserve">食品细类</w:t>
            </w:r>
            <w:r/>
          </w:p>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（四级）</w:t>
            </w:r>
            <w:r/>
          </w:p>
        </w:tc>
        <w:tc>
          <w:tcPr>
            <w:tcW w:w="675"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风险等级</w:t>
            </w:r>
            <w:r/>
          </w:p>
        </w:tc>
        <w:tc>
          <w:tcPr>
            <w:tcW w:w="8213" w:type="dxa"/>
            <w:vAlign w:val="center"/>
            <w:vMerge w:val="restart"/>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抽    检    项    目</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粮食加工品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芘、玉米赤霉烯酮、脱氧雪腐镰刀菌烯醇、赭曲霉毒素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、过氧化苯甲酰、偶氮甲酰胺</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大米</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大米</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大米</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计）、无机砷（以As计）、苯并[a]芘、黄曲霉毒素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、赭曲霉毒素A</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挂面</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挂面</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挂面</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计）、黄曲霉毒素B</w:t>
            </w:r>
            <w:r>
              <w:rPr>
                <w:rStyle w:val="1026"/>
                <w:rFonts w:hint="default"/>
                <w:color w:val="auto"/>
                <w:highlight w:val="none"/>
                <w:lang w:bidi="ar"/>
              </w:rPr>
              <w:t xml:space="preserve">1</w:t>
            </w:r>
            <w:r>
              <w:rPr>
                <w:rFonts w:hint="eastAsia" w:ascii="宋体" w:hAnsi="宋体" w:cs="宋体"/>
                <w:color w:val="auto"/>
                <w:sz w:val="20"/>
                <w:szCs w:val="20"/>
                <w:highlight w:val="none"/>
                <w:lang w:bidi="ar"/>
              </w:rPr>
              <w:t xml:space="preserve">、脱氢乙酸及其钠盐（以脱氢乙酸计）、合成着色剂（柠檬黄、日落黄）</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其他粮食加工品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谷物加工品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谷物加工品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、赭曲霉毒素A</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谷物碾磨加工品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玉米粉（片、渣）</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苯并[a]芘、黄曲霉毒素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、赭曲霉毒素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、玉米赤霉烯酮、脱氧雪腐镰刀菌烯醇</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米粉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计）、镉（以Cd计）、总汞（以Hg计）、无机砷（以As计）、苯并[a]芘</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其他谷物碾磨加工品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计）、铬（以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计）、赭曲霉毒素</w:t>
            </w:r>
            <w:r>
              <w:rPr>
                <w:rFonts w:ascii="宋体" w:hAnsi="宋体"/>
                <w:color w:val="auto"/>
                <w:sz w:val="20"/>
                <w:szCs w:val="20"/>
                <w:highlight w:val="none"/>
                <w:lang w:bidi="ar"/>
              </w:rPr>
              <w:t xml:space="preserve">A</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谷物粉类制成品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生湿面制品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计）、苯甲酸及其钠盐（以苯甲酸计）、山梨酸及其钾盐（以山梨酸计）、脱氢乙酸及其钠盐（以脱氢乙酸计）、二氧化硫残留量、合成着色剂（柠檬黄）</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发酵面制品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糖精钠（以糖精计）、甜蜜素（以环己基氨基磺酸计）、安赛蜜、合成着色剂（柠檬黄、胭脂红）、菌落总数、大肠菌群、沙门氏菌、金黄色葡萄球菌</w:t>
            </w:r>
            <w:r/>
          </w:p>
        </w:tc>
      </w:tr>
      <w:tr>
        <w:trPr>
          <w:cantSplit/>
          <w:jc w:val="center"/>
        </w:trPr>
        <w:tc>
          <w:tcPr>
            <w:tcW w:w="630" w:type="dxa"/>
            <w:vAlign w:val="center"/>
            <w:vMerge w:val="restart"/>
            <w:textDirection w:val="lrTb"/>
            <w:noWrap w:val="false"/>
          </w:tcPr>
          <w:p>
            <w:pPr>
              <w:jc w:val="center"/>
              <w:spacing w:line="280" w:lineRule="exact"/>
              <w:rPr>
                <w:rFonts w:ascii="宋体" w:hAnsi="宋体"/>
                <w:color w:val="auto"/>
                <w:sz w:val="20"/>
                <w:szCs w:val="20"/>
                <w:highlight w:val="none"/>
              </w:rPr>
            </w:pPr>
            <w:r>
              <w:rPr>
                <w:rFonts w:hint="eastAsia" w:ascii="宋体" w:hAnsi="宋体"/>
                <w:color w:val="auto"/>
                <w:sz w:val="20"/>
                <w:szCs w:val="20"/>
                <w:highlight w:val="none"/>
              </w:rPr>
              <w:t xml:space="preserve">1</w:t>
            </w:r>
            <w:r/>
          </w:p>
        </w:tc>
        <w:tc>
          <w:tcPr>
            <w:tcW w:w="1247" w:type="dxa"/>
            <w:vAlign w:val="center"/>
            <w:vMerge w:val="restart"/>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粮食加工品</w:t>
            </w:r>
            <w:r/>
          </w:p>
        </w:tc>
        <w:tc>
          <w:tcPr>
            <w:tcW w:w="1247" w:type="dxa"/>
            <w:vAlign w:val="center"/>
            <w:vMerge w:val="restart"/>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其他粮食加工品</w:t>
            </w:r>
            <w:r/>
          </w:p>
        </w:tc>
        <w:tc>
          <w:tcPr>
            <w:tcW w:w="1247" w:type="dxa"/>
            <w:vAlign w:val="center"/>
            <w:vMerge w:val="restart"/>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谷物粉类制成品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米粉制品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苯甲酸及其钠盐（以苯甲酸计）、山梨酸及其钾盐（以山梨酸计）、脱氢乙酸及其钠盐（以脱氢乙酸计）、二氧化硫残留量、菌落总数、大肠菌群、沙门氏菌、金黄色葡萄球菌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其他谷物粉类制成品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、苯甲酸及其钠盐（以苯甲酸计）、山梨酸及其钾盐（以山梨酸计）、脱氢乙酸及其钠盐（以脱氢乙酸计）、菌落总数、大肠菌群、沙门氏菌、金黄色葡萄球菌</w:t>
            </w:r>
            <w:r/>
          </w:p>
        </w:tc>
      </w:tr>
      <w:tr>
        <w:trPr>
          <w:cantSplit/>
          <w:jc w:val="center"/>
        </w:trPr>
        <w:tc>
          <w:tcPr>
            <w:tcW w:w="630" w:type="dxa"/>
            <w:vAlign w:val="center"/>
            <w:vMerge w:val="restart"/>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2</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食用油、油脂及其制品</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食用植物油</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食用植物油</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花生油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玉米油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芝麻油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芘、溶剂残留量、乙基麦芽酚</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橄榄油、油橄榄果渣油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酸价、过氧化值、铅（以Pb计）、溶剂残留量、特丁基对苯二酚（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菜籽油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）、乙基麦芽酚</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大豆油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食用植物调和油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酸价、过氧化值、铅（以Pb计）、苯并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）、乙基麦芽酚</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油茶籽油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其他食用植物油</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酸值</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酸价、过氧化值、铅（以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芘、溶剂残留量、特丁基对苯二酚（</w:t>
            </w:r>
            <w:r>
              <w:rPr>
                <w:rFonts w:ascii="宋体" w:hAnsi="宋体"/>
                <w:color w:val="auto"/>
                <w:sz w:val="20"/>
                <w:szCs w:val="20"/>
                <w:highlight w:val="none"/>
                <w:lang w:bidi="ar"/>
              </w:rPr>
              <w:t xml:space="preserve">TBHQ</w:t>
            </w:r>
            <w:r>
              <w:rPr>
                <w:rFonts w:hint="eastAsia" w:ascii="宋体" w:hAnsi="宋体" w:cs="宋体"/>
                <w:color w:val="auto"/>
                <w:sz w:val="20"/>
                <w:szCs w:val="20"/>
                <w:highlight w:val="none"/>
                <w:lang w:bidi="ar"/>
              </w:rPr>
              <w:t xml:space="preserve">）</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食用动物</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油脂</w:t>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食用动物</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油脂</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食用动物油脂</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酸价、过氧化值、丙二醛、铅（以Pb计）、苯并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食用油脂</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制品</w:t>
            </w:r>
            <w:r/>
          </w:p>
        </w:tc>
        <w:tc>
          <w:tcPr>
            <w:tcW w:w="1247" w:type="dxa"/>
            <w:vAlign w:val="center"/>
            <w:textDirection w:val="lrTb"/>
            <w:noWrap w:val="false"/>
          </w:tcPr>
          <w:p>
            <w:pPr>
              <w:jc w:val="center"/>
              <w:spacing w:line="280" w:lineRule="exac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食用油脂</w:t>
            </w:r>
            <w:r/>
          </w:p>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制品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食用油脂制品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酸价（以脂肪计）、过氧化值（以脂肪计）、铅（以Pb计）、大肠菌群、霉菌</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3</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酱油</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酱油</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酱油</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食醋</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食醋</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食醋</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酱类</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酿造酱</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黄豆酱、甜面酱等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糖精钠（以糖精计）、三氯蔗糖、甜蜜素（以环己基氨基磺酸计）、安赛蜜、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调味料酒</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调味料酒</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料酒</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氨基酸态氮（以氮计）、苯甲酸及其钠盐（以苯甲酸计）、山梨酸及其钾盐（以山梨酸计）、脱氢乙酸及其钠盐（以脱氢乙酸计）、糖精钠（以糖精计）、甜蜜素（以环己基氨基磺酸计）、三氯蔗糖</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香辛料类</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香辛料类</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香辛料调味油</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酸值、过氧化值、铅（以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辣椒、花椒、辣椒粉、花椒粉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s="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计）、罗丹明</w:t>
            </w:r>
            <w:r>
              <w:rPr>
                <w:rFonts w:ascii="宋体" w:hAnsi="宋体" w:cs="宋体"/>
                <w:color w:val="auto"/>
                <w:sz w:val="20"/>
                <w:szCs w:val="20"/>
                <w:highlight w:val="none"/>
                <w:lang w:bidi="ar"/>
              </w:rPr>
              <w:t xml:space="preserve">B</w:t>
            </w:r>
            <w:r>
              <w:rPr>
                <w:rFonts w:hint="eastAsia" w:ascii="宋体" w:hAnsi="宋体" w:cs="宋体"/>
                <w:color w:val="auto"/>
                <w:sz w:val="20"/>
                <w:szCs w:val="20"/>
                <w:highlight w:val="none"/>
                <w:lang w:bidi="ar"/>
              </w:rPr>
              <w:t xml:space="preserve">、苏丹红Ⅰ、苏丹红Ⅱ、苏丹红Ⅲ、苏丹红Ⅳ、脱氢乙酸及其钠盐（以脱氢乙酸计）、二氧化硫残留量、合成着色剂（柠檬黄、日落黄、胭脂红）、沙门氏菌</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其他香辛料调味品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计）、脱氢乙酸及其钠盐（以脱氢乙酸计）、二氧化硫残留量、甜蜜素（以环己基氨基磺酸计）、合成着色剂（柠檬黄、日落黄、苋菜红、胭脂红、亮蓝）、丙溴磷、氯氰菊酯和高效氯氰菊酯、多菌灵、沙门氏菌</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固体复合调味料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鸡粉、鸡精调味料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谷氨酸钠、呈味核苷酸二钠、铅（以Pb计）、糖精钠（以糖精计）、甜蜜素（以环己基氨基磺酸计）、菌落总数、大肠菌群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其他固体调味料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s="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苏丹红Ⅰ、苏丹红Ⅱ、苏丹红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半固体复合调味料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蛋黄酱、沙拉酱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二氧化钛</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坚果与籽类的泥（酱）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酸值、过氧化值、铅（以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辣椒酱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甜蜜素（以环己基氨基磺酸计）、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火锅底料、麻辣烫底料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罂粟碱、吗啡、可待因、那可丁、苯甲酸及其钠盐（以苯甲酸计）、山梨酸及其钾盐（以山梨酸计）、脱氢乙酸及其钠盐（以脱氢乙酸计）、防腐剂混合使用时各自用量占其最大使用量的比例之和</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其他半固体调味料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铅（以Pb计）、罗丹明</w:t>
            </w:r>
            <w:r>
              <w:rPr>
                <w:rFonts w:ascii="宋体" w:hAnsi="宋体" w:cs="宋体"/>
                <w:color w:val="auto"/>
                <w:sz w:val="20"/>
                <w:szCs w:val="20"/>
                <w:highlight w:val="none"/>
                <w:lang w:bidi="ar"/>
              </w:rPr>
              <w:t xml:space="preserve">B</w:t>
            </w:r>
            <w:r>
              <w:rPr>
                <w:rFonts w:hint="eastAsia" w:ascii="宋体" w:hAnsi="宋体" w:cs="宋体"/>
                <w:color w:val="auto"/>
                <w:sz w:val="20"/>
                <w:szCs w:val="20"/>
                <w:highlight w:val="none"/>
                <w:lang w:bidi="ar"/>
              </w:rPr>
              <w:t xml:space="preserve">、罂粟碱、吗啡、可待因、那可丁、苯甲酸及其钠盐（以苯甲酸计）、山梨酸及其钾盐（以山梨酸计）、脱氢乙酸及其钠盐（以脱氢乙酸计）、防腐剂混合使用时各自用量占其最大使用量的比例之和、甜蜜素（以环己基氨基磺酸计）、安赛蜜</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液体复合调味料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蚝油、虾油、鱼露</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氨基酸态氮、苯甲酸及其钠盐（以苯甲酸计）、山梨酸及其钾盐（以山梨酸计）、脱氢乙酸及其钠盐（以脱氢乙酸计）、防腐剂混合使用时各自用量占其最大使用量的比例之和、菌落总数、大肠菌群</w:t>
            </w:r>
            <w:r/>
          </w:p>
        </w:tc>
      </w:tr>
      <w:tr>
        <w:trPr>
          <w:cantSplit/>
          <w:jc w:val="center"/>
        </w:trPr>
        <w:tc>
          <w:tcPr>
            <w:tcMar>
              <w:top w:w="28" w:type="dxa"/>
              <w:bottom w:w="28" w:type="dxa"/>
            </w:tcMa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p>
        </w:tc>
        <w:tc>
          <w:tcPr>
            <w:tcMar>
              <w:top w:w="28" w:type="dxa"/>
              <w:bottom w:w="28"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调味料</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液体复合调味料</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其他液体调味料</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味精</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味精</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味精</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谷氨酸钠</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食盐</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食用盐</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普通食用盐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计）、碘（以</w:t>
            </w:r>
            <w:r>
              <w:rPr>
                <w:rFonts w:ascii="宋体" w:hAnsi="宋体"/>
                <w:color w:val="auto"/>
                <w:sz w:val="20"/>
                <w:szCs w:val="20"/>
                <w:highlight w:val="none"/>
                <w:lang w:bidi="ar"/>
              </w:rPr>
              <w:t xml:space="preserve">I</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低钠食用盐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氯化钾、钡（以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计）、碘（以</w:t>
            </w:r>
            <w:r>
              <w:rPr>
                <w:rFonts w:ascii="宋体" w:hAnsi="宋体"/>
                <w:color w:val="auto"/>
                <w:sz w:val="20"/>
                <w:szCs w:val="20"/>
                <w:highlight w:val="none"/>
                <w:lang w:bidi="ar"/>
              </w:rPr>
              <w:t xml:space="preserve">I</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风味食用盐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特殊工艺食用盐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氯化钠、钡（以</w:t>
            </w:r>
            <w:r>
              <w:rPr>
                <w:rFonts w:ascii="宋体" w:hAnsi="宋体"/>
                <w:color w:val="auto"/>
                <w:sz w:val="20"/>
                <w:szCs w:val="20"/>
                <w:highlight w:val="none"/>
                <w:lang w:bidi="ar"/>
              </w:rPr>
              <w:t xml:space="preserve">Ba</w:t>
            </w:r>
            <w:r>
              <w:rPr>
                <w:rFonts w:hint="eastAsia" w:ascii="宋体" w:hAnsi="宋体" w:cs="宋体"/>
                <w:color w:val="auto"/>
                <w:sz w:val="20"/>
                <w:szCs w:val="20"/>
                <w:highlight w:val="none"/>
                <w:lang w:bidi="ar"/>
              </w:rPr>
              <w:t xml:space="preserve">计）、碘（以</w:t>
            </w:r>
            <w:r>
              <w:rPr>
                <w:rFonts w:ascii="宋体" w:hAnsi="宋体"/>
                <w:color w:val="auto"/>
                <w:sz w:val="20"/>
                <w:szCs w:val="20"/>
                <w:highlight w:val="none"/>
                <w:lang w:bidi="ar"/>
              </w:rPr>
              <w:t xml:space="preserve">I</w:t>
            </w:r>
            <w:r>
              <w:rPr>
                <w:rFonts w:hint="eastAsia" w:ascii="宋体" w:hAnsi="宋体" w:cs="宋体"/>
                <w:color w:val="auto"/>
                <w:sz w:val="20"/>
                <w:szCs w:val="20"/>
                <w:highlight w:val="none"/>
                <w:lang w:bidi="ar"/>
              </w:rPr>
              <w:t xml:space="preserve">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食品生产加工用盐</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食品生产加工用盐</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计）、亚铁氰化钾</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亚铁氰化钠（以亚铁氰根计）、亚硝酸盐（以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w:t>
            </w:r>
            <w:r/>
          </w:p>
        </w:tc>
      </w:tr>
      <w:tr>
        <w:trPr>
          <w:cantSplit/>
          <w:jc w:val="center"/>
        </w:trPr>
        <w:tc>
          <w:tcPr>
            <w:tcMar>
              <w:top w:w="28" w:type="dxa"/>
              <w:bottom w:w="2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4</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肉制品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预制肉制品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调理肉制品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调理肉制品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（非速冻）</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铅（以Pb计）、苯甲酸及其钠盐（以苯甲酸计）、山梨酸及其钾盐（以山梨酸计）、脱氢乙酸及其钠盐（以脱氢乙酸计）、氯霉素</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腌腊肉制品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腌腊肉制品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过氧化值（以脂肪计）、铅（以Pb计）、总砷（以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计）、亚硝酸盐（以亚硝酸钠计）、苯甲酸及其钠盐（以苯甲酸计）、山梨酸及其钾盐（以山梨酸计）、合成着色剂（胭脂红、诱惑红、苋菜红、酸性红）、氯霉素</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发酵肉制品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发酵肉制品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亚硝酸盐（以亚硝酸钠计）、纳他霉素、氯霉素、大肠菌群、沙门氏菌、金黄色葡萄球菌、单核细胞增生李斯特氏菌、致泻大肠埃希氏菌</w:t>
            </w:r>
            <w:r/>
          </w:p>
        </w:tc>
      </w:tr>
      <w:tr>
        <w:trPr>
          <w:cantSplit/>
          <w:jc w:val="center"/>
        </w:trPr>
        <w:tc>
          <w:tcPr>
            <w:tcMar>
              <w:top w:w="85" w:type="dxa"/>
              <w:bottom w:w="85" w:type="dxa"/>
            </w:tcMar>
            <w:tcW w:w="630" w:type="dxa"/>
            <w:vAlign w:val="center"/>
            <w:vMerge w:val="restart"/>
            <w:textDirection w:val="lrTb"/>
            <w:noWrap w:val="false"/>
          </w:tcPr>
          <w:p>
            <w:pPr>
              <w:jc w:val="center"/>
              <w:rPr>
                <w:rFonts w:ascii="宋体" w:hAnsi="宋体"/>
                <w:color w:val="auto"/>
                <w:sz w:val="20"/>
                <w:szCs w:val="20"/>
                <w:highlight w:val="none"/>
              </w:rPr>
            </w:pPr>
            <w:r>
              <w:rPr>
                <w:rFonts w:hint="eastAsia" w:ascii="宋体" w:hAnsi="宋体"/>
                <w:color w:val="auto"/>
                <w:sz w:val="20"/>
                <w:szCs w:val="20"/>
                <w:highlight w:val="none"/>
              </w:rPr>
              <w:t xml:space="preserve">4</w:t>
            </w:r>
            <w:r/>
          </w:p>
        </w:tc>
        <w:tc>
          <w:tcPr>
            <w:tcMar>
              <w:top w:w="85" w:type="dxa"/>
              <w:bottom w:w="85"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肉制品</w:t>
            </w:r>
            <w:r/>
          </w:p>
        </w:tc>
        <w:tc>
          <w:tcPr>
            <w:tcMar>
              <w:top w:w="85" w:type="dxa"/>
              <w:bottom w:w="85"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酱卤肉制品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酱卤肉制品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s="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s="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计）、铬（以</w:t>
            </w:r>
            <w:r>
              <w:rPr>
                <w:rFonts w:ascii="宋体" w:hAnsi="宋体" w:cs="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计）、总砷（以</w:t>
            </w:r>
            <w:r>
              <w:rPr>
                <w:rFonts w:ascii="宋体" w:hAnsi="宋体" w:cs="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N-二甲基亚硝胺、亚硝酸盐（以亚硝酸钠计）、苯甲酸及其钠盐（以苯甲酸计）、山梨酸及其钾盐（以山梨酸计）、脱氢乙酸及其钠盐（以脱氢乙酸计）、纳他霉素、防腐剂混合使用时各自用量占其最大使用量的比例之和、糖精钠（以糖精计）、合成着色剂（柠檬黄、日落黄、胭脂红）、氯霉素、酸性橙Ⅱ、菌落总数、大肠菌群、沙门氏菌、金黄色葡萄球菌、单核细胞增生李斯特氏菌、致泻大肠埃希氏菌、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油炸肉制品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油炸肉制品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N-二甲基亚硝胺、亚硝酸盐（以亚硝酸钠计）、苯甲酸及其钠盐（以苯甲酸计）、山梨酸及其钾盐（以山梨酸计）、沙门氏菌、金黄色葡萄球菌、单核细胞增生李斯特氏菌、致泻大肠埃希氏菌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熟肉干制品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熟肉干制品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计）、铬（以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N-二甲基亚硝胺、苯甲酸及其钠盐（以苯甲酸计）、山梨酸及其钾盐（以山梨酸计）、脱氢乙酸及其钠盐（以脱氢乙酸计）、防腐剂混合使用时各自用量占其最大使用量的比例之和、合成着色剂（胭脂红）、氯霉素、菌落总数、大肠菌群、沙门氏菌、金黄色葡萄球菌、单核细胞增生李斯特氏菌、致泻大肠埃希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熏烧烤肉制品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熏烧烤肉制品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计）、苯并</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芘、N-二甲基亚硝胺、亚硝酸盐（以亚硝酸钠计）、苯甲酸及其钠盐（以苯甲酸计）、山梨酸及其钾盐（以山梨酸计）、纳他霉素、糖精钠（以糖精计）、合成着色剂（柠檬黄、日落黄、胭脂红）、氯霉素、菌落总数、大肠菌群、沙门氏菌、金黄色葡萄球菌、单核细胞增生李斯特氏菌、致泻大肠埃希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熏煮香肠火腿制品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熏煮香肠火腿制品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亚硝酸盐（以亚硝酸钠计）、苯甲酸及其钠盐（以苯甲酸计）、山梨酸及其钾盐（以山梨酸计）、脱氢乙酸及其钠盐（以脱氢乙酸计）、纳他霉素、防腐剂混合使用时各自用量占其最大使用量的比例之和、合成着色剂（胭脂红、诱惑红）、氯霉素、菌落总数、大肠菌群、沙门氏菌、金黄色葡萄球菌、单核细胞增生李斯特氏菌、致泻大肠埃希氏菌</w:t>
            </w:r>
            <w:r/>
          </w:p>
        </w:tc>
      </w:tr>
      <w:tr>
        <w:trPr>
          <w:cantSplit/>
          <w:jc w:val="center"/>
        </w:trPr>
        <w:tc>
          <w:tcPr>
            <w:tcMar>
              <w:top w:w="45" w:type="dxa"/>
              <w:bottom w:w="4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5</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乳制品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乳制品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液体乳</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巴氏杀菌乳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蛋白质、酸度、三聚氰胺、铅（以Pb计）、丙二醇、沙门氏菌、金黄色葡萄球菌、菌落总数、大肠菌群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灭菌乳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蛋白质、非脂乳固体、酸度、脂肪、三聚氰胺、铅（以Pb计）、丙二醇、商业无菌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高温杀菌乳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蛋白质、酸度、三聚氰胺、沙门氏菌、菌落总数、大肠菌群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脂肪、蛋白质、酸度、乳酸菌数、山梨酸及其钾盐（以山梨酸计）、三聚氰胺、铅（以Pb计）、金黄色葡萄球菌、沙门氏菌、大肠菌群、酵母、霉菌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调制乳</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蛋白质、三聚氰胺、铅（以Pb计）、商业无菌、菌落总数、大肠菌群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乳粉</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全脂乳粉、脱脂乳粉、部分脱脂乳粉、调制乳粉</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蛋白质、脂肪、三聚氰胺、铅（以Pb计）、菌落总数、大肠菌群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乳清粉和乳清蛋白粉（企业原料）</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脱盐乳清粉、非脱盐乳清粉、浓缩乳清蛋白粉、分离乳清蛋白粉</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蛋白质、三聚氰胺</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其他乳制品（浓缩乳制品、奶油、干酪、固态成型产品）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浓缩乳制品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蛋白质、三聚氰胺、商业无菌、菌落总数、大肠菌群</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稀奶油、奶油和无水奶油</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脂肪、酸度、三聚氰胺、沙门氏菌、商业无菌、菌落总数、大肠菌群、霉菌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干酪、再制干酪、干酪制品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三聚氰胺、金黄色葡萄球菌、沙门氏菌、单核细胞增生李斯特氏菌、菌落总数、大肠菌群、霉菌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奶片、奶条等固态成型产品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蛋白质、脱氢乙酸及其钠盐（以脱氢乙酸计）、三聚氰胺、沙门氏菌</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6</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包装饮用水</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饮用天然矿泉水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界限指标、铅（以Pb计）、总砷（以As计）、镉（以Cd计）、总汞（以Hg计）、镍、溴酸盐、硝酸盐（以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3</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2</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计）、大肠菌群、铜绿假单胞菌</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饮用纯净水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电导率、耗氧量（以</w:t>
            </w:r>
            <w:r>
              <w:rPr>
                <w:rFonts w:ascii="宋体" w:hAnsi="宋体"/>
                <w:color w:val="auto"/>
                <w:sz w:val="20"/>
                <w:szCs w:val="20"/>
                <w:highlight w:val="none"/>
                <w:lang w:bidi="ar"/>
              </w:rPr>
              <w:t xml:space="preserve">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计）、铅（以Pb计）、总砷（以As计）、镉（以Cd计）、亚硝酸盐（以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2</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计）、余氯（游离氯）、溴酸盐、三氯甲烷、大肠菌群、铜绿假单胞菌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其他类饮用水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耗氧量（以</w:t>
            </w:r>
            <w:r>
              <w:rPr>
                <w:rFonts w:ascii="宋体" w:hAnsi="宋体"/>
                <w:color w:val="auto"/>
                <w:sz w:val="20"/>
                <w:szCs w:val="20"/>
                <w:highlight w:val="none"/>
                <w:lang w:bidi="ar"/>
              </w:rPr>
              <w:t xml:space="preserve">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计）、铅（以Pb计）、总砷（以As计）、镉（以Cd计）、亚硝酸盐（以</w:t>
            </w:r>
            <w:r>
              <w:rPr>
                <w:rFonts w:ascii="宋体" w:hAnsi="宋体"/>
                <w:color w:val="auto"/>
                <w:sz w:val="20"/>
                <w:szCs w:val="20"/>
                <w:highlight w:val="none"/>
                <w:lang w:bidi="ar"/>
              </w:rPr>
              <w:t xml:space="preserve">NO</w:t>
            </w:r>
            <w:r>
              <w:rPr>
                <w:rStyle w:val="1025"/>
                <w:rFonts w:ascii="宋体" w:hAnsi="宋体"/>
                <w:color w:val="auto"/>
                <w:highlight w:val="none"/>
                <w:lang w:bidi="ar"/>
              </w:rPr>
              <w:t xml:space="preserve">2</w:t>
            </w:r>
            <w:r>
              <w:rPr>
                <w:rStyle w:val="1027"/>
                <w:rFonts w:ascii="宋体" w:hAnsi="宋体"/>
                <w:color w:val="auto"/>
                <w:highlight w:val="none"/>
                <w:lang w:bidi="ar"/>
              </w:rPr>
              <w:t xml:space="preserve">-</w:t>
            </w:r>
            <w:r>
              <w:rPr>
                <w:rFonts w:hint="eastAsia" w:ascii="宋体" w:hAnsi="宋体" w:cs="宋体"/>
                <w:color w:val="auto"/>
                <w:sz w:val="20"/>
                <w:szCs w:val="20"/>
                <w:highlight w:val="none"/>
                <w:lang w:bidi="ar"/>
              </w:rPr>
              <w:t xml:space="preserve">计）、余氯（游离氯）、溴酸盐、三氯甲烷、大肠菌群、铜绿假单胞菌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果蔬汁类及其饮料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果蔬汁类及其饮料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乳酸菌数、三聚氰胺、苯甲酸及其钠盐（以苯甲酸计）、山梨酸及其钾盐（以山梨酸计）、脱氢乙酸及其钠盐（以脱氢乙酸计）、防腐剂混合使用时各自用量占其最大使用量的比例之和、菌落总数、大肠菌群、霉菌、酵母、商业无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碳酸饮料（汽水）</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碳酸饮料（汽水）</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二氧化碳气容量、苯甲酸及其钠盐（以苯甲酸计）、山梨酸及其钾盐（以山梨酸计）、防腐剂混合使用时各自用量占其最大使用量的比例之和、甜蜜素（以环己基氨基磺酸计）、阿斯巴甜、菌落总数、霉菌、酵母</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茶多酚、咖啡因、脱氢乙酸及其钠盐（以脱氢乙酸计）、菌落总数</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固体饮料</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固体饮料</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r/>
          </w:p>
        </w:tc>
      </w:tr>
      <w:tr>
        <w:trPr>
          <w:cantSplit/>
          <w:jc w:val="center"/>
        </w:trPr>
        <w:tc>
          <w:tcPr>
            <w:tcW w:w="630" w:type="dxa"/>
            <w:vAlign w:val="center"/>
            <w:textDirection w:val="lrTb"/>
            <w:noWrap w:val="false"/>
          </w:tcPr>
          <w:p>
            <w:pPr>
              <w:jc w:val="center"/>
              <w:spacing w:line="280" w:lineRule="exact"/>
              <w:rPr>
                <w:rFonts w:ascii="宋体" w:hAnsi="宋体"/>
                <w:color w:val="auto"/>
                <w:sz w:val="20"/>
                <w:szCs w:val="20"/>
                <w:highlight w:val="none"/>
              </w:rPr>
            </w:pPr>
            <w:r>
              <w:rPr>
                <w:rFonts w:hint="eastAsia" w:ascii="宋体" w:hAnsi="宋体"/>
                <w:color w:val="auto"/>
                <w:sz w:val="20"/>
                <w:szCs w:val="20"/>
                <w:highlight w:val="none"/>
              </w:rPr>
              <w:t xml:space="preserve">6</w:t>
            </w:r>
            <w:r/>
          </w:p>
        </w:tc>
        <w:tc>
          <w:tcPr>
            <w:tcW w:w="1247" w:type="dxa"/>
            <w:vAlign w:val="center"/>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textDirection w:val="lrTb"/>
            <w:noWrap w:val="false"/>
          </w:tcPr>
          <w:p>
            <w:pPr>
              <w:jc w:val="cente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饮料</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其他饮料</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其他饮料</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糖精钠（以糖精计）、甜蜜素（以环己基氨基磺酸计）、安赛蜜、合成着色剂（苋菜红、胭脂红、柠檬黄、日落黄、亮蓝）、菌落总数、大肠菌群、霉菌、酵母</w:t>
            </w:r>
            <w:r/>
          </w:p>
        </w:tc>
      </w:tr>
      <w:tr>
        <w:trPr>
          <w:cantSplit/>
          <w:jc w:val="center"/>
        </w:trPr>
        <w:tc>
          <w:tcPr>
            <w:tcW w:w="630" w:type="dxa"/>
            <w:vAlign w:val="center"/>
            <w:vMerge w:val="restart"/>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7</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方便食品</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方便食品</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方便面</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油炸面、非油炸面、方便米粉（米线）、方便粉丝</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水分、酸价（以脂肪计）（KOH）、过氧化值（以脂肪计）、菌落总数、大肠菌群、霉菌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调味面制品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调味面制品</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苯甲酸及其钠盐（以苯甲酸计）、山梨酸及其钾盐（以山梨酸计）、脱氢乙酸及其钠盐（以脱氢乙酸计）、糖精钠（以糖精计）、甜蜜素（以环己基氨基磺酸计）、安赛蜜、三氯蔗糖、合成着色剂（柠檬黄、日落黄）、菌落总数、大肠菌群、霉菌、沙门氏菌、金黄色葡萄球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其他方便食品</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方便粥、方便盒饭、冷面及其他熟制方便食品等</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、苯甲酸及其钠盐（以苯甲酸计）、山梨酸及其钾盐（以山梨酸计）、糖精钠（以糖精计）、菌落总数、大肠菌群、霉菌、沙门氏菌、金黄色葡萄球菌</w:t>
            </w:r>
            <w:r/>
          </w:p>
        </w:tc>
      </w:tr>
      <w:tr>
        <w:trPr>
          <w:cantSplit/>
          <w:jc w:val="center"/>
        </w:trPr>
        <w:tc>
          <w:tcPr>
            <w:tcW w:w="630" w:type="dxa"/>
            <w:vAlign w:val="center"/>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8</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1247"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饼干</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酸价（以脂肪计）（KOH）、过氧化值（以脂肪计）、山梨酸及其钾盐（以山梨酸计）、铝的残留量（干样品，以</w:t>
            </w:r>
            <w:r>
              <w:rPr>
                <w:rFonts w:ascii="宋体" w:hAnsi="宋体"/>
                <w:color w:val="auto"/>
                <w:sz w:val="20"/>
                <w:szCs w:val="20"/>
                <w:highlight w:val="none"/>
                <w:lang w:bidi="ar"/>
              </w:rPr>
              <w:t xml:space="preserve">Al</w:t>
            </w:r>
            <w:r>
              <w:rPr>
                <w:rFonts w:hint="eastAsia" w:ascii="宋体" w:hAnsi="宋体" w:cs="宋体"/>
                <w:color w:val="auto"/>
                <w:sz w:val="20"/>
                <w:szCs w:val="20"/>
                <w:highlight w:val="none"/>
                <w:lang w:bidi="ar"/>
              </w:rPr>
              <w:t xml:space="preserve">计）、脱氢乙酸及其钠盐（以脱氢乙酸计）、甜蜜素（以环己基氨基磺酸计）、糖精钠（以糖精计）、二氧化硫残留量、苯甲酸及其钠盐（以苯甲酸计）、合成着色剂（柠檬黄、日落黄、胭脂红、苋菜红、亮蓝、新红、赤藓红、靛蓝、诱惑红、酸性红、喹啉黄）、菌落总数、大肠菌群、金黄色葡萄球菌、沙门氏菌、霉菌</w:t>
            </w:r>
            <w:r/>
          </w:p>
        </w:tc>
      </w:tr>
      <w:tr>
        <w:trPr>
          <w:cantSplit/>
          <w:jc w:val="center"/>
        </w:trPr>
        <w:tc>
          <w:tcPr>
            <w:tcW w:w="630" w:type="dxa"/>
            <w:vAlign w:val="center"/>
            <w:vMerge w:val="restart"/>
            <w:textDirection w:val="lrTb"/>
            <w:noWrap w:val="false"/>
          </w:tcPr>
          <w:p>
            <w:pPr>
              <w:jc w:val="center"/>
              <w:spacing w:line="28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9</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畜禽水产罐头</w:t>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畜禽肉类罐头</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计）、苯甲酸及其钠盐（以苯甲酸计）、山梨酸及其钾盐（以山梨酸计）、糖精钠（以糖精计）、商业无菌</w:t>
            </w:r>
            <w:r/>
          </w:p>
        </w:tc>
      </w:tr>
      <w:tr>
        <w:trPr>
          <w:cantSplit/>
          <w:jc w:val="center"/>
        </w:trPr>
        <w:tc>
          <w:tcPr>
            <w:tcW w:w="630" w:type="dxa"/>
            <w:vAlign w:val="center"/>
            <w:vMerge w:val="continue"/>
            <w:textDirection w:val="lrTb"/>
            <w:noWrap w:val="false"/>
          </w:tcPr>
          <w:p>
            <w:pPr>
              <w:jc w:val="center"/>
              <w:spacing w:line="28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8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水产动物类罐头</w:t>
            </w:r>
            <w:r/>
          </w:p>
        </w:tc>
        <w:tc>
          <w:tcPr>
            <w:tcW w:w="675" w:type="dxa"/>
            <w:vAlign w:val="center"/>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组胺、铅（以Pb计）、无机砷（以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计）、脱氢乙酸及其钠盐（以脱氢乙酸计）、苯甲酸及其钠盐（以苯甲酸计）、山梨酸及其钾盐（以山梨酸计）、糖精钠（以糖精计）、甜蜜素（以环己基氨基磺酸计）、商业无菌</w:t>
            </w:r>
            <w:r/>
          </w:p>
        </w:tc>
      </w:tr>
      <w:tr>
        <w:trPr>
          <w:cantSplit/>
          <w:jc w:val="center"/>
        </w:trPr>
        <w:tc>
          <w:tcPr>
            <w:tcMar>
              <w:top w:w="85" w:type="dxa"/>
              <w:bottom w:w="85" w:type="dxa"/>
            </w:tcMar>
            <w:tcW w:w="630" w:type="dxa"/>
            <w:vAlign w:val="center"/>
            <w:vMerge w:val="restart"/>
            <w:textDirection w:val="lrTb"/>
            <w:noWrap w:val="false"/>
          </w:tcPr>
          <w:p>
            <w:pPr>
              <w:jc w:val="center"/>
              <w:rPr>
                <w:rFonts w:ascii="宋体" w:hAnsi="宋体"/>
                <w:color w:val="auto"/>
                <w:sz w:val="20"/>
                <w:szCs w:val="20"/>
                <w:highlight w:val="none"/>
              </w:rPr>
            </w:pPr>
            <w:r>
              <w:rPr>
                <w:rFonts w:hint="eastAsia" w:ascii="宋体" w:hAnsi="宋体"/>
                <w:color w:val="auto"/>
                <w:sz w:val="20"/>
                <w:szCs w:val="20"/>
                <w:highlight w:val="none"/>
              </w:rPr>
              <w:t xml:space="preserve">9</w:t>
            </w:r>
            <w:r/>
          </w:p>
        </w:tc>
        <w:tc>
          <w:tcPr>
            <w:tcMar>
              <w:top w:w="85" w:type="dxa"/>
              <w:bottom w:w="85" w:type="dxa"/>
            </w:tcMa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Mar>
              <w:top w:w="85" w:type="dxa"/>
              <w:bottom w:w="85" w:type="dxa"/>
            </w:tcMar>
            <w:tcW w:w="1247" w:type="dxa"/>
            <w:vAlign w:val="center"/>
            <w:vMerge w:val="restart"/>
            <w:textDirection w:val="lrTb"/>
            <w:noWrap w:val="false"/>
          </w:tcPr>
          <w:p>
            <w:pPr>
              <w:jc w:val="center"/>
              <w:spacing w:line="28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罐头</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果蔬罐头</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水果类罐头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蔬菜类罐头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铅（以Pb计）、合成着色剂（柠檬黄、日落黄、亮蓝）、脱氢乙酸及其钠盐（以脱氢乙酸计）、苯甲酸及其钠盐（以苯甲酸计）、山梨酸及其钾盐（以山梨酸计）、乙二胺四乙酸二钠、二氧化硫残留量、商业无菌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食用菌罐头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铅（以Pb计）、脱氢乙酸及其钠盐（以脱氢乙酸计）、苯甲酸及其钠盐（以苯甲酸计）、乙二胺四乙酸二钠、二氧化硫残留量、商业无菌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其他罐头</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其他罐头</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、脱氢乙酸及其钠盐（以脱氢乙酸计）、苯甲酸及其钠盐（以苯甲酸计）、山梨酸及其钾盐（以山梨酸计）、乙二胺四乙酸二钠、商业无菌</w:t>
            </w:r>
            <w:r/>
          </w:p>
        </w:tc>
      </w:tr>
      <w:tr>
        <w:trPr>
          <w:cantSplit/>
          <w:jc w:val="center"/>
        </w:trPr>
        <w:tc>
          <w:tcPr>
            <w:tcMar>
              <w:top w:w="85" w:type="dxa"/>
              <w:bottom w:w="85" w:type="dxa"/>
            </w:tcMa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10</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冷冻饮品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冷冻饮品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冷冻饮品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冰淇淋、雪糕、雪泥、冰棍、食用冰、甜味冰、其他类</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蛋白质、甜蜜素（以环己基氨基磺酸计）、糖精钠（以糖精计）、安赛蜜、三氯蔗糖、菌落总数、大肠菌群、沙门氏菌、单核细胞增生李斯特氏菌</w:t>
            </w:r>
            <w:r/>
          </w:p>
        </w:tc>
      </w:tr>
      <w:tr>
        <w:trPr>
          <w:cantSplit/>
          <w:jc w:val="center"/>
        </w:trPr>
        <w:tc>
          <w:tcPr>
            <w:tcMar>
              <w:top w:w="85" w:type="dxa"/>
              <w:bottom w:w="8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11</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速冻食品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速冻面米食品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速冻面米食品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速冻面米生制品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计）、糖精钠（以糖精计）、甜蜜素（以环己基氨基磺酸计）、合成着色剂（柠檬黄、日落黄、苋菜红、亮蓝）</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速冻面米熟制品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过氧化值（以脂肪计）、黄曲霉毒素B</w:t>
            </w:r>
            <w:r>
              <w:rPr>
                <w:rStyle w:val="1026"/>
                <w:rFonts w:hint="default"/>
                <w:color w:val="auto"/>
                <w:highlight w:val="none"/>
                <w:lang w:bidi="ar"/>
              </w:rPr>
              <w:t xml:space="preserve">1</w:t>
            </w:r>
            <w:r>
              <w:rPr>
                <w:rFonts w:hint="eastAsia" w:ascii="宋体" w:hAnsi="宋体" w:cs="宋体"/>
                <w:color w:val="auto"/>
                <w:sz w:val="20"/>
                <w:szCs w:val="20"/>
                <w:highlight w:val="none"/>
                <w:lang w:bidi="ar"/>
              </w:rPr>
              <w:t xml:space="preserve">、铅（以Pb计）、糖精钠（以糖精计）、甜蜜素（以环己基氨基磺酸计）、合成着色剂（柠檬黄、日落黄、苋菜红、亮蓝）、菌落总数、大肠菌群、沙门氏菌、金黄色葡萄球菌</w:t>
            </w:r>
            <w:r/>
          </w:p>
        </w:tc>
      </w:tr>
      <w:tr>
        <w:trPr>
          <w:cantSplit/>
          <w:jc w:val="center"/>
        </w:trPr>
        <w:tc>
          <w:tcPr>
            <w:tcMar>
              <w:top w:w="45" w:type="dxa"/>
              <w:bottom w:w="4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11</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速冻食品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速冻调制食品</w:t>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速冻调理肉制品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速冻调理肉制品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计）、铬（以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计）、氯霉素、合成着色剂（胭脂红、柠檬黄、日落黄、诱惑红）、亚硝酸盐、菌落总数、大肠菌群、沙门氏菌、金黄色葡萄球菌、单核细胞增生李斯特氏菌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速冻调制水产制品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速冻调制水产制品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挥发性盐基氮、苯甲酸及其钠盐（以苯甲酸计）、山梨酸及其钾盐（以山梨酸计）、菌落总数、大肠菌群、沙门氏菌、副溶血性弧菌、单核细胞增生李斯特氏菌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速冻其他食品</w:t>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速冻谷物食品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速冻谷物食品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速冻蔬菜制品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速冻蔬菜制品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铅（以Pb计）、镉（以Cd计）、糖精钠（以糖精计）</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速冻水果制品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速冻水果制品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计）、菌落总数、大肠菌群、霉菌、沙门氏菌、金黄色葡萄球菌</w:t>
            </w:r>
            <w:r/>
          </w:p>
        </w:tc>
      </w:tr>
      <w:tr>
        <w:trPr>
          <w:cantSplit/>
          <w:jc w:val="center"/>
        </w:trPr>
        <w:tc>
          <w:tcPr>
            <w:tcMar>
              <w:top w:w="45" w:type="dxa"/>
              <w:bottom w:w="4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12</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薯类和膨化食品</w:t>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薯类和膨化食品</w:t>
            </w:r>
            <w:r/>
          </w:p>
        </w:tc>
        <w:tc>
          <w:tcPr>
            <w:tcMar>
              <w:top w:w="45" w:type="dxa"/>
              <w:bottom w:w="4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膨化食品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含油型膨化食品和非含油型膨化食品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水分、酸</w:t>
            </w:r>
            <w:r>
              <w:rPr>
                <w:rFonts w:ascii="宋体" w:hAnsi="宋体"/>
                <w:color w:val="auto"/>
                <w:sz w:val="20"/>
                <w:szCs w:val="20"/>
                <w:highlight w:val="none"/>
                <w:lang w:bidi="ar"/>
              </w:rPr>
              <w:t xml:space="preserve">价（以脂肪计）（KOH）、过氧化值（以脂肪计）、黄曲霉毒素B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、糖精钠（以糖精计）、苯甲酸及其钠盐（以苯甲酸计）、山梨酸及其钾盐（以山梨酸计）、甜蜜素（以环己基氨基磺酸计）、菌落总数、大肠菌群、沙门氏菌、金黄色葡萄球菌</w:t>
            </w:r>
            <w:r/>
          </w:p>
        </w:tc>
      </w:tr>
      <w:tr>
        <w:trPr>
          <w:cantSplit/>
          <w:jc w:val="center"/>
        </w:trPr>
        <w:tc>
          <w:tcPr>
            <w:tcMar>
              <w:top w:w="45" w:type="dxa"/>
              <w:bottom w:w="45"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薯类食品</w:t>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干制薯类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酸价（以脂肪计）（KOH）、过氧化值（以脂肪计）、菌落总数、大肠菌群、铅（以Pb计）、沙门氏菌、金黄色葡萄球菌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冷冻薯类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薯泥（酱）类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计）、苯甲酸及其钠盐（以苯甲酸计）、山梨酸及其钾盐（以山梨酸计）、商业无菌、沙门氏菌、金黄色葡萄球菌</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薯粉类</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w:t>
            </w:r>
            <w:r/>
          </w:p>
        </w:tc>
      </w:tr>
      <w:tr>
        <w:trPr>
          <w:cantSplit/>
          <w:jc w:val="center"/>
        </w:trPr>
        <w:tc>
          <w:tcPr>
            <w:tcMar>
              <w:top w:w="45" w:type="dxa"/>
              <w:bottom w:w="4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45" w:type="dxa"/>
              <w:bottom w:w="4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其他薯类食品</w:t>
            </w:r>
            <w:r/>
          </w:p>
        </w:tc>
        <w:tc>
          <w:tcPr>
            <w:tcMar>
              <w:top w:w="45" w:type="dxa"/>
              <w:bottom w:w="4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45" w:type="dxa"/>
              <w:bottom w:w="4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计）、沙门氏菌、金黄色葡萄球菌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13</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糖果制品</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糖果制品（含巧克力及制品）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糖果</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巧克力及巧克力制品</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巧克力、巧克力制品、代可可脂巧克力及代可可脂巧克力制品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铅（以Pb计）、山梨酸及其钾盐（以山梨酸计）、苯甲酸及其钠盐（以苯甲酸计）、糖精钠（以糖精计）、甜蜜素（以环己基氨基磺酸计）、菌落总数、大肠菌群、霉菌、酵母</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14</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茶叶及相关制品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茶叶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绿茶、红茶、乌龙茶、黄茶、白茶、黑茶、花茶、袋泡茶、紧压茶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计）、草甘膦、吡虫啉、乙酰甲胺磷、联苯菊酯、灭多威、三氯杀螨醇、氰戊菊酯和</w:t>
            </w:r>
            <w:r>
              <w:rPr>
                <w:rFonts w:ascii="宋体" w:hAnsi="宋体"/>
                <w:color w:val="auto"/>
                <w:sz w:val="20"/>
                <w:szCs w:val="20"/>
                <w:highlight w:val="none"/>
                <w:lang w:bidi="ar"/>
              </w:rPr>
              <w:t xml:space="preserve">S-</w:t>
            </w:r>
            <w:r>
              <w:rPr>
                <w:rFonts w:hint="eastAsia" w:ascii="宋体" w:hAnsi="宋体" w:cs="宋体"/>
                <w:color w:val="auto"/>
                <w:sz w:val="20"/>
                <w:szCs w:val="20"/>
                <w:highlight w:val="none"/>
                <w:lang w:bidi="ar"/>
              </w:rPr>
              <w:t xml:space="preserve">氰戊菊酯、甲拌磷、克百威、水胺硫磷、氧乐果、毒死蜱、啶虫脒、多菌灵、茚虫威、合成着色剂（柠檬黄、日落黄）</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含茶制品和代用茶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含茶制品</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速溶茶类、其它含茶制品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计）、菌落总数、大肠菌群、霉菌、霉菌及酵母</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代用茶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代用茶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计）、二氧化硫残留量、啶虫脒、克百威、毒死蜱、吡虫啉、氯氟氰菊酯和高效氯氟氰菊酯、霉菌</w:t>
            </w:r>
            <w:r/>
          </w:p>
        </w:tc>
      </w:tr>
      <w:tr>
        <w:trPr>
          <w:cantSplit/>
          <w:jc w:val="center"/>
        </w:trPr>
        <w:tc>
          <w:tcPr>
            <w:tcMar>
              <w:top w:w="68" w:type="dxa"/>
              <w:bottom w:w="68" w:type="dxa"/>
            </w:tcMa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15</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酒类</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蒸馏酒</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白酒</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白酒、白酒（液态）、白酒（原酒）</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计）、甲醇、氰化物（以</w:t>
            </w:r>
            <w:r>
              <w:rPr>
                <w:rFonts w:ascii="宋体" w:hAnsi="宋体"/>
                <w:color w:val="auto"/>
                <w:sz w:val="20"/>
                <w:szCs w:val="20"/>
                <w:highlight w:val="none"/>
                <w:lang w:bidi="ar"/>
              </w:rPr>
              <w:t xml:space="preserve">HCN</w:t>
            </w:r>
            <w:r>
              <w:rPr>
                <w:rFonts w:hint="eastAsia" w:ascii="宋体" w:hAnsi="宋体" w:cs="宋体"/>
                <w:color w:val="auto"/>
                <w:sz w:val="20"/>
                <w:szCs w:val="20"/>
                <w:highlight w:val="none"/>
                <w:lang w:bidi="ar"/>
              </w:rPr>
              <w:t xml:space="preserve">计）、糖精钠（以糖精计）、甜蜜素（以环己基氨基磺酸计）、三氯蔗糖、安赛蜜</w:t>
            </w:r>
            <w:r/>
          </w:p>
        </w:tc>
      </w:tr>
      <w:tr>
        <w:trPr>
          <w:cantSplit/>
          <w:jc w:val="center"/>
        </w:trPr>
        <w:tc>
          <w:tcPr>
            <w:tcMar>
              <w:top w:w="28" w:type="dxa"/>
              <w:bottom w:w="28" w:type="dxa"/>
            </w:tcMa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15</w:t>
            </w:r>
            <w:r/>
          </w:p>
        </w:tc>
        <w:tc>
          <w:tcPr>
            <w:tcMar>
              <w:top w:w="28" w:type="dxa"/>
              <w:bottom w:w="28"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酒类</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发酵酒</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酒精度、氨基酸态氮、苯甲酸及其钠盐（以苯甲酸计）、山梨酸及其钾盐（以山梨酸计）、糖精钠（以糖精计）、甜蜜素（以环己基氨基磺酸计）</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啤酒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啤酒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酒精度、甲醛</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葡萄酒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葡萄酒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甲醇、苯甲酸及其钠盐（以苯甲酸计）、山梨酸及其钾盐（以山梨酸计）、糖精钠（以糖精计）、二氧化硫残留量、甜蜜素（以环己基氨基磺酸计）、三氯蔗糖、合成着色剂（柠檬黄、日落黄、新红、胭脂红、赤藓红、苋菜红、诱惑红、酸性红、亮蓝）</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酒精度、展青霉素、糖精钠（以糖精计）、甜蜜素（以环己基氨基磺酸计）、安赛蜜、二氧化硫残留量、合成着色剂（酸性红）</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其他酒</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配制酒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以蒸馏酒及食用酒精为酒基的配制酒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酒精度、甲醇、氰化物（以</w:t>
            </w:r>
            <w:r>
              <w:rPr>
                <w:rFonts w:ascii="宋体" w:hAnsi="宋体"/>
                <w:color w:val="auto"/>
                <w:sz w:val="20"/>
                <w:szCs w:val="20"/>
                <w:highlight w:val="none"/>
                <w:lang w:bidi="ar"/>
              </w:rPr>
              <w:t xml:space="preserve">HCN</w:t>
            </w:r>
            <w:r>
              <w:rPr>
                <w:rFonts w:hint="eastAsia" w:ascii="宋体" w:hAnsi="宋体" w:cs="宋体"/>
                <w:color w:val="auto"/>
                <w:sz w:val="20"/>
                <w:szCs w:val="20"/>
                <w:highlight w:val="none"/>
                <w:lang w:bidi="ar"/>
              </w:rPr>
              <w:t xml:space="preserve">计）、甜蜜素（以环己基氨基磺酸计）、安赛蜜</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以发酵酒为酒基的配制酒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酒精度、苯甲酸及其钠盐（以苯甲酸计）、山梨酸及其钾盐（以山梨酸计）、甜蜜素（以环己基氨基磺酸计）、防腐剂混合使用时各自用量占其最大使用量的比例之和、安赛蜜</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其他蒸馏酒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其他蒸馏酒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酒精度、铅（以Pb计）、甲醇、氰化物（以HCN计）、三氯蔗糖</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其他发酵酒</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其他发酵酒</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酒精度、苯甲酸及其钠盐（以苯甲酸计）、山梨酸及其钾盐（以山梨酸计）、糖精钠（以糖精计）、甜蜜素（以环己基氨基磺酸计）、安赛蜜</w:t>
            </w:r>
            <w:r/>
          </w:p>
        </w:tc>
      </w:tr>
      <w:tr>
        <w:trPr>
          <w:cantSplit/>
          <w:jc w:val="center"/>
        </w:trPr>
        <w:tc>
          <w:tcPr>
            <w:tcMar>
              <w:top w:w="28" w:type="dxa"/>
              <w:bottom w:w="2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16</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酱腌菜</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酱腌菜</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计）、亚硝酸盐（以NaNO</w:t>
            </w:r>
            <w:r>
              <w:rPr>
                <w:rStyle w:val="1026"/>
                <w:rFonts w:hint="default"/>
                <w:color w:val="auto"/>
                <w:highlight w:val="none"/>
                <w:lang w:bidi="ar"/>
              </w:rPr>
              <w:t xml:space="preserve">2</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糖精钠（以糖精计）、甜蜜素（以环己基氨基磺酸计）、二氧化硫残留量、防腐剂混合使用时各自用量占其最大使用量的比例之和、安赛蜜、合成着色剂（柠檬黄、日落黄）、大肠菌群</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蔬菜干制品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蔬菜干制品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计）、苯甲酸及其钠盐（以苯甲酸计）、山梨酸及其钾盐（以山梨酸计）、二氧化硫残留量、合成着色剂（柠檬黄、日落黄、胭脂红、苋菜红、亮蓝）</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16</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蔬菜制品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其他蔬菜制品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其他蔬菜制品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食用菌制品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干制食用菌</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计）、甲基汞（以Hg计）、苯甲酸及其钠盐（以苯甲酸计）</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腌渍食用菌</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苯甲酸及其钠盐（以苯甲酸计）、山梨酸及其钾盐（以山梨酸计）、脱氢乙酸及其钠盐（以脱氢乙酸计）、防腐剂混合使用时各自用量占其最大使用量的比例之和</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17</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蜜饯</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蜜饯类、凉果类、果脯类、话化类、果糕类</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防腐剂混合使用时各自用量占其最大使用量的比例之和、糖精钠（以糖精计）、甜蜜素（以环己基氨基磺酸计）、安赛蜜、二氧化硫残留量、合成着色剂（亮蓝、柠檬黄、日落黄、苋菜红、胭脂红）、相同色泽着色剂混合使用时各自用量占其最大使用量的比例之和、乙二胺四乙酸二钠、菌落总数、大肠菌群、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水果干制品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水果干制品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（含干枸杞）</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啶虫脒、吡虫啉、克百威、炔螨特、毒死蜱、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菌落总数、大肠菌群、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果酱</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果酱</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铅（以Pb计）、脱氢乙酸及其钠盐（以脱氢乙酸计）、菌落总数、大肠菌群、霉菌、商业无菌</w:t>
            </w:r>
            <w:r/>
          </w:p>
        </w:tc>
      </w:tr>
      <w:tr>
        <w:trPr>
          <w:cantSplit/>
          <w:jc w:val="center"/>
        </w:trPr>
        <w:tc>
          <w:tcP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18</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炒货食品及坚果制品（烘炒类、油炸类、其他类）</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开心果、杏仁、扁桃仁、松仁、瓜子</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、苯甲酸及其钠盐（以苯甲酸计）、山梨酸及其钾盐（以山梨酸计）、脱氢乙酸及其钠盐（以脱氢乙酸计）、二氧化硫残留量、糖精钠（以糖精计）、甜蜜素（以环己基氨基磺酸计）、安赛蜜、大肠菌群、霉菌</w:t>
            </w:r>
            <w:r/>
          </w:p>
        </w:tc>
      </w:tr>
      <w:tr>
        <w:trPr>
          <w:cantSplit/>
          <w:jc w:val="center"/>
        </w:trPr>
        <w:tc>
          <w:tcPr>
            <w:tcMar>
              <w:top w:w="68" w:type="dxa"/>
              <w:bottom w:w="68" w:type="dxa"/>
            </w:tcMa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18</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w:t>
            </w:r>
            <w:r/>
          </w:p>
        </w:tc>
        <w:tc>
          <w:tcPr>
            <w:tcMar>
              <w:top w:w="68" w:type="dxa"/>
              <w:bottom w:w="68" w:type="dxa"/>
            </w:tcMar>
            <w:tcW w:w="1247"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炒货食品及坚果制品（烘炒类、油炸类、其他类）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其他炒货食品及坚果制品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、苯甲酸及其钠盐（以苯甲酸计）、山梨酸及其钾盐（以山梨酸计）、脱氢乙酸及其钠盐（以脱氢乙酸计）、二氧化硫残留量、糖精钠（以糖精计）、甜蜜素（以环己基氨基磺酸计）、安赛蜜、大肠菌群、霉菌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19</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蛋制品</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再制蛋</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再制蛋</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计）、苯甲酸及其钠盐（以苯甲酸计）、山梨酸及其钾盐（以山梨酸计）、菌落总数、大肠菌群、沙门氏菌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干蛋类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干蛋类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菌落总数、大肠菌群、沙门氏菌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冰蛋类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冰蛋类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菌落总数、大肠菌群、沙门氏菌</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其他类</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其他类</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计）、苯甲酸及其钠盐（以苯甲酸计）、山梨酸及其钾盐（以山梨酸计）、脱氢乙酸及其钠盐（以脱氢乙酸计）、菌落总数、大肠菌群、沙门氏菌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20</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可可及焙烤咖啡产品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焙炒咖啡</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焙炒咖啡</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焙炒咖啡</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咖啡因、铅（以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计）、赭曲霉毒素</w:t>
            </w:r>
            <w:r>
              <w:rPr>
                <w:rFonts w:ascii="宋体" w:hAnsi="宋体"/>
                <w:color w:val="auto"/>
                <w:sz w:val="20"/>
                <w:szCs w:val="20"/>
                <w:highlight w:val="none"/>
                <w:lang w:bidi="ar"/>
              </w:rPr>
              <w:t xml:space="preserve">A</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可可制品</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可可制品</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可可制品</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计）、沙门氏菌</w:t>
            </w:r>
            <w:r/>
          </w:p>
        </w:tc>
      </w:tr>
      <w:tr>
        <w:trPr>
          <w:cantSplit/>
          <w:jc w:val="center"/>
        </w:trPr>
        <w:tc>
          <w:tcPr>
            <w:tcMar>
              <w:top w:w="68" w:type="dxa"/>
              <w:bottom w:w="6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21</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白砂糖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蔗糖分、还原糖分、色值、干燥失重、二氧化硫残留量、螨</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绵白糖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总糖分、还原糖分、色值、干燥失重、二氧化硫残留量、螨</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赤砂糖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总糖分、不溶于水杂质、干燥失重、二氧化硫残留量、螨、合成着色剂（柠檬黄、新红、苋菜红、胭脂红、日落黄、诱惑红、酸性红、喹啉黄、赤藓红）</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红糖</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总糖分、不溶于水杂质、干燥失重、二氧化硫残留量、螨、合成着色剂（柠檬黄、新红、苋菜红、胭脂红、日落黄、诱惑红、酸性红、喹啉黄、赤藓红）</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21</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食糖</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蔗糖分、还原糖分、色值、干燥失重、二氧化硫残留量、螨、合成着色剂（柠檬黄、新红、苋菜红、胭脂红、日落黄、诱惑红、酸性红、喹啉黄、赤藓红）</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冰片糖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总糖分、还原糖分、干燥失重、二氧化硫残留量、螨、合成着色剂（柠檬黄、新红、苋菜红、胭脂红、日落黄、诱惑红、酸性红、喹啉黄、赤藓红）</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方糖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蔗糖分、还原糖分、色值、干燥失重、二氧化硫残留量、螨</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其他糖</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蔗糖分、总糖分、色值、还原糖分、干燥失重、二氧化硫残留量、螨、合成着色剂（柠檬黄、新红、苋菜红、胭脂红、日落黄、诱惑红、酸性红、喹啉黄、赤藓红）</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22</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干制水产品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藻类干制品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预制动物性水产干制品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过氧化值（以脂肪计）、铅（以Pb计）、镉（以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计）、多氯联苯、N-二甲基亚硝胺、苯甲酸及其钠盐（以苯甲酸计）、山梨酸及其钾盐（以山梨酸计）、合成着色剂（柠檬黄、胭脂红、日落黄）</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盐渍水产品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盐渍鱼</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过氧化值（以脂肪计）、组胺、铅（以Pb计）、镉（以Cd计）、多氯联苯、N-二甲基亚硝胺、苯甲酸及其钠盐（以苯甲酸计）、山梨酸及其钾盐（以山梨酸计）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盐渍藻</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其他盐渍水产品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鱼糜制品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预制鱼糜制品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挥发性盐基氮、铅（以Pb计）、多氯联苯、苯甲酸及其钠盐（以苯甲酸计）、山梨酸及其钾盐（以山梨酸计）、脱氢乙酸及其钠盐（以脱氢乙酸计）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熟制动物性水产制品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熟制动物性水产制品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计）、多氯联苯、N-二甲基亚硝胺、苯甲酸及其钠盐（以苯甲酸计）、山梨酸及其钾盐（以山梨酸计）、甜蜜素（以环己基氨基磺酸计）、脱氢乙酸及其钠盐（以脱氢乙酸计）</w:t>
            </w:r>
            <w:r/>
          </w:p>
        </w:tc>
      </w:tr>
      <w:tr>
        <w:trPr>
          <w:cantSplit/>
          <w:jc w:val="center"/>
        </w:trPr>
        <w:tc>
          <w:tcPr>
            <w:tcMar>
              <w:top w:w="85" w:type="dxa"/>
              <w:bottom w:w="8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22</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生食水产品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生食动物性水产品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挥发性盐基氮、铅（以Pb计）、多氯联苯、苯甲酸及其钠盐（以苯甲酸计）、山梨酸及其钾盐（以山梨酸计）、铝的残留量（以即食海蜇中</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计）、菌落总数、大肠菌群、沙门氏菌、副溶血性弧菌、单核细胞增生李斯特氏菌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其他水产制品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其他水产制品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计）、苯甲酸及其钠盐（以苯甲酸计）、山梨酸及其钾盐（以山梨酸计）、脱氢乙酸及其钠盐（以脱氢乙酸计）、合成着色剂（柠檬黄）、防腐剂混合使用时各自用量占其最大使用量的比例之和、菌落总数</w:t>
            </w:r>
            <w:r/>
          </w:p>
        </w:tc>
      </w:tr>
      <w:tr>
        <w:trPr>
          <w:cantSplit/>
          <w:jc w:val="center"/>
        </w:trPr>
        <w:tc>
          <w:tcPr>
            <w:tcMar>
              <w:top w:w="85" w:type="dxa"/>
              <w:bottom w:w="85"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23</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淀粉及淀粉制品</w:t>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淀粉及淀粉制品</w:t>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计）、菌落总数、大肠菌群、霉菌和酵母、二氧化硫残留量、脱氢乙酸及其钠盐（以脱氢乙酸计）、葛根素</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淀粉制品</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粉丝粉条</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计）、苯甲酸及其钠盐（以苯甲酸计）、山梨酸及其钾盐（以山梨酸计）、铝的残留量（干样品，以</w:t>
            </w:r>
            <w:r>
              <w:rPr>
                <w:rFonts w:ascii="宋体" w:hAnsi="宋体"/>
                <w:color w:val="auto"/>
                <w:sz w:val="20"/>
                <w:szCs w:val="20"/>
                <w:highlight w:val="none"/>
                <w:lang w:bidi="ar"/>
              </w:rPr>
              <w:t xml:space="preserve">Al</w:t>
            </w:r>
            <w:r>
              <w:rPr>
                <w:rFonts w:hint="eastAsia" w:ascii="宋体" w:hAnsi="宋体" w:cs="宋体"/>
                <w:color w:val="auto"/>
                <w:sz w:val="20"/>
                <w:szCs w:val="20"/>
                <w:highlight w:val="none"/>
                <w:lang w:bidi="ar"/>
              </w:rPr>
              <w:t xml:space="preserve">计）、二氧化硫残留量、合成着色剂（柠檬黄、新红、苋菜红、靛蓝、胭脂红、日落黄、诱惑红、亮蓝、酸性红、喹啉黄、赤藓红）</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其他淀粉制品</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苯甲酸及其钠盐（以苯甲酸计）、山梨酸及其钾盐（以山梨酸计）、铝的残留量（干样品，以</w:t>
            </w:r>
            <w:r>
              <w:rPr>
                <w:rFonts w:ascii="宋体" w:hAnsi="宋体"/>
                <w:color w:val="auto"/>
                <w:sz w:val="20"/>
                <w:szCs w:val="20"/>
                <w:highlight w:val="none"/>
                <w:lang w:bidi="ar"/>
              </w:rPr>
              <w:t xml:space="preserve">Al</w:t>
            </w:r>
            <w:r>
              <w:rPr>
                <w:rFonts w:hint="eastAsia" w:ascii="宋体" w:hAnsi="宋体" w:cs="宋体"/>
                <w:color w:val="auto"/>
                <w:sz w:val="20"/>
                <w:szCs w:val="20"/>
                <w:highlight w:val="none"/>
                <w:lang w:bidi="ar"/>
              </w:rPr>
              <w:t xml:space="preserve">计）、二氧化硫残留量、合成着色剂（柠檬黄、新红、苋菜红、靛蓝、胭脂红、日落黄、诱惑红、亮蓝、酸性红、喹啉黄、赤藓红）、相同色泽着色剂混合使用时各自用量占其最大使用量的比例之和</w:t>
            </w:r>
            <w:r/>
          </w:p>
        </w:tc>
      </w:tr>
      <w:tr>
        <w:trPr>
          <w:cantSplit/>
          <w:jc w:val="center"/>
        </w:trPr>
        <w:tc>
          <w:tcPr>
            <w:tcMar>
              <w:top w:w="85" w:type="dxa"/>
              <w:bottom w:w="85"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85" w:type="dxa"/>
              <w:bottom w:w="85"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淀粉糖</w:t>
            </w:r>
            <w:r/>
          </w:p>
        </w:tc>
        <w:tc>
          <w:tcPr>
            <w:tcMar>
              <w:top w:w="85" w:type="dxa"/>
              <w:bottom w:w="85"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淀粉糖</w:t>
            </w:r>
            <w:r/>
          </w:p>
        </w:tc>
        <w:tc>
          <w:tcPr>
            <w:tcMar>
              <w:top w:w="85" w:type="dxa"/>
              <w:bottom w:w="85"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Mar>
              <w:top w:w="85" w:type="dxa"/>
              <w:bottom w:w="85"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As计）、葡萄糖含量（以干基计，质量分数）、IMO含量（占干物质，质量分数）、IG2+P+IG3含量（占干物质，质量分数）、果糖（占干基比）、果糖+葡萄糖（占干基比）、5-羟甲基糠醛（以吸光度计）、果糖+葡萄糖含量（以干物质计）、果糖含量（以干物质计）、麦芽糖含量（以干物质计，质量分数）、干物质（固形物）、硫酸灰分</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24</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糕点</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计）、苯甲酸及其钠盐（以苯甲酸计）、山梨酸及其钾盐（以山梨酸计）、糖精钠（以糖精计）、甜蜜素（以环己基氨基磺酸计）、安赛蜜、铝的残留量（干样品，以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丙酸及其钠盐、钙盐（以丙酸计）、脱氢乙酸及其钠盐（以脱氢乙酸计）、纳他霉素、三氯蔗糖、丙二醇、合成着色剂（柠檬黄、日落黄、胭脂红、苋菜红、亮蓝、新红、赤藓红、靛蓝、诱惑红、酸性红、喹啉黄）、防腐剂混合使用时各自用量占其最大使用量的比例之和、菌落总数、大肠菌群、金黄色葡萄球菌、沙门氏菌、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月饼</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月饼</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酸价（以脂肪计）（KOH）、过氧化值（以脂肪计）、糖精钠（以糖精计）、苯甲酸及其钠盐（以苯甲酸计）、山梨酸及其钾盐（以山梨酸计）、铝的残留量（干样品，以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丙酸及其钠盐、钙盐（以丙酸计）、脱氢乙酸及其钠盐（以脱氢乙酸计）、纳他霉素、甜蜜素（以环己基氨基磺酸计）、合成着色剂（柠檬黄、日落黄、胭脂红、苋菜红、亮蓝、新红、赤藓红、靛蓝、诱惑红、酸性红、喹啉黄）、防腐剂混合使用时各自用量占其最大使用量的比例之和、菌落总数、大肠菌群、金黄色葡萄球菌、沙门氏菌、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粽子</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粽子</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粽子</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过氧化值（以脂肪计）、甜蜜素（以环己基氨基磺酸计）、山梨酸及其钾盐（以山梨酸计）、脱氢乙酸及其钠盐（以脱氢乙酸计）、糖精钠（以糖精计）、安赛蜜、菌落总数、大肠菌群、金黄色葡萄球菌、沙门氏菌、霉菌、商业无菌</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25</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发酵性豆制品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腐乳、豆豉、纳豆等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、苯甲酸及其钠盐（以苯甲酸计）、山梨酸及其钾盐（以山梨酸计）、脱氢乙酸及其钠盐（以脱氢乙酸计）、糖精钠（以糖精计）、甜蜜素（以环己基氨基磺酸计）、铝的残留量（干样品，以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计）、大肠菌群</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非发酵性豆制品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腐竹、油皮及其再制品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计）、碱性嫩黄、苯甲酸及其钠盐（以苯甲酸计）、山梨酸及其钾盐（以山梨酸计）、脱氢乙酸及其钠盐（以脱氢乙酸计）、二氧化硫残留量、铝的残留量（干样品，以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计）、合成着色剂（柠檬黄、日落黄）</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25</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豆制品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非发酵性豆制品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豆干、豆腐、豆皮等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计）、合成着色剂（柠檬黄、日落黄）、大肠菌群、金黄色葡萄球菌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其他豆制品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大豆蛋白类制品等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铅（以Pb计）、苯甲酸及其钠盐（以苯甲酸计）、山梨酸及其钾盐（以山梨酸计）、脱氢乙酸及其钠盐（以脱氢乙酸计）、糖精钠（以糖精计）、三氯蔗糖、铝的残留量（干样品，以</w:t>
            </w:r>
            <w:r>
              <w:rPr>
                <w:rFonts w:ascii="宋体" w:hAnsi="宋体"/>
                <w:color w:val="auto"/>
                <w:sz w:val="20"/>
                <w:szCs w:val="20"/>
                <w:highlight w:val="none"/>
                <w:lang w:bidi="ar"/>
              </w:rPr>
              <w:t xml:space="preserve">A1</w:t>
            </w:r>
            <w:r>
              <w:rPr>
                <w:rFonts w:hint="eastAsia" w:ascii="宋体" w:hAnsi="宋体" w:cs="宋体"/>
                <w:color w:val="auto"/>
                <w:sz w:val="20"/>
                <w:szCs w:val="20"/>
                <w:highlight w:val="none"/>
                <w:lang w:bidi="ar"/>
              </w:rPr>
              <w:t xml:space="preserve">计）、大肠菌群</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26</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蜂蜜</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蜂蜜</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果糖和葡萄糖、蔗糖、铅（以Pb计）、山梨酸及其钾盐（以山梨酸计）、氯霉素、呋喃西林代谢物、呋喃唑酮代谢物、甲硝唑、双甲咪、氟胺氰菊酯、诺氟沙星、氧氟沙星、培氟沙星、菌落总数、霉菌计数、嗜渗酵母计数</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蜂王浆（含蜂王浆冻干品）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蜂王浆（含蜂王浆冻干品）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10-</w:t>
            </w:r>
            <w:r>
              <w:rPr>
                <w:rFonts w:hint="eastAsia" w:ascii="宋体" w:hAnsi="宋体" w:cs="宋体"/>
                <w:color w:val="auto"/>
                <w:sz w:val="20"/>
                <w:szCs w:val="20"/>
                <w:highlight w:val="none"/>
                <w:lang w:bidi="ar"/>
              </w:rPr>
              <w:t xml:space="preserve">羟基</w:t>
            </w:r>
            <w:r>
              <w:rPr>
                <w:rFonts w:ascii="宋体" w:hAnsi="宋体"/>
                <w:color w:val="auto"/>
                <w:sz w:val="20"/>
                <w:szCs w:val="20"/>
                <w:highlight w:val="none"/>
                <w:lang w:bidi="ar"/>
              </w:rPr>
              <w:t xml:space="preserve">-2-</w:t>
            </w:r>
            <w:r>
              <w:rPr>
                <w:rFonts w:hint="eastAsia" w:ascii="宋体" w:hAnsi="宋体" w:cs="宋体"/>
                <w:color w:val="auto"/>
                <w:sz w:val="20"/>
                <w:szCs w:val="20"/>
                <w:highlight w:val="none"/>
                <w:lang w:bidi="ar"/>
              </w:rPr>
              <w:t xml:space="preserve">癸烯酸、酸度、呋喃西林代谢物</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蜂花粉</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蜂花粉</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计）、菌落总数、大肠菌群、霉菌</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蜂产品制品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蜂产品制品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山梨酸及其钾盐（以山梨酸计）、菌落总数、合成着色剂（柠檬黄、日落黄）</w:t>
            </w:r>
            <w:r/>
          </w:p>
        </w:tc>
      </w:tr>
      <w:tr>
        <w:trPr>
          <w:cantSplit/>
          <w:jc w:val="center"/>
        </w:trPr>
        <w:tc>
          <w:tcPr>
            <w:tcW w:w="63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27</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保健食品</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氨基酸、10-羟基-2-癸烯酸、蛋白质、二十二碳六烯酸、二十碳五烯酸、泛酸、钙、还原糖、肌醇、赖氨酸、绿原酸、铁、维生素A、维生素B</w:t>
            </w:r>
            <w:r>
              <w:rPr>
                <w:rStyle w:val="1026"/>
                <w:rFonts w:hint="default"/>
                <w:color w:val="auto"/>
                <w:highlight w:val="none"/>
                <w:lang w:bidi="ar"/>
              </w:rPr>
              <w:t xml:space="preserve">1</w:t>
            </w:r>
            <w:r>
              <w:rPr>
                <w:rFonts w:hint="eastAsia" w:ascii="宋体" w:hAnsi="宋体" w:cs="宋体"/>
                <w:color w:val="auto"/>
                <w:sz w:val="20"/>
                <w:szCs w:val="20"/>
                <w:highlight w:val="none"/>
                <w:lang w:bidi="ar"/>
              </w:rPr>
              <w:t xml:space="preserve">、维生素B</w:t>
            </w:r>
            <w:r>
              <w:rPr>
                <w:rStyle w:val="1026"/>
                <w:rFonts w:hint="default"/>
                <w:color w:val="auto"/>
                <w:highlight w:val="none"/>
                <w:lang w:bidi="ar"/>
              </w:rPr>
              <w:t xml:space="preserve">12</w:t>
            </w:r>
            <w:r>
              <w:rPr>
                <w:rFonts w:hint="eastAsia" w:ascii="宋体" w:hAnsi="宋体" w:cs="宋体"/>
                <w:color w:val="auto"/>
                <w:sz w:val="20"/>
                <w:szCs w:val="20"/>
                <w:highlight w:val="none"/>
                <w:lang w:bidi="ar"/>
              </w:rPr>
              <w:t xml:space="preserve">、维生素B</w:t>
            </w:r>
            <w:r>
              <w:rPr>
                <w:rStyle w:val="1026"/>
                <w:rFonts w:hint="default"/>
                <w:color w:val="auto"/>
                <w:highlight w:val="none"/>
                <w:lang w:bidi="ar"/>
              </w:rPr>
              <w:t xml:space="preserve">2</w:t>
            </w:r>
            <w:r>
              <w:rPr>
                <w:rFonts w:hint="eastAsia" w:ascii="宋体" w:hAnsi="宋体" w:cs="宋体"/>
                <w:color w:val="auto"/>
                <w:sz w:val="20"/>
                <w:szCs w:val="20"/>
                <w:highlight w:val="none"/>
                <w:lang w:bidi="ar"/>
              </w:rPr>
              <w:t xml:space="preserve">、维生素B</w:t>
            </w:r>
            <w:r>
              <w:rPr>
                <w:rStyle w:val="1026"/>
                <w:rFonts w:hint="default"/>
                <w:color w:val="auto"/>
                <w:highlight w:val="none"/>
                <w:lang w:bidi="ar"/>
              </w:rPr>
              <w:t xml:space="preserve">6</w:t>
            </w:r>
            <w:r>
              <w:rPr>
                <w:rFonts w:hint="eastAsia" w:ascii="宋体" w:hAnsi="宋体" w:cs="宋体"/>
                <w:color w:val="auto"/>
                <w:sz w:val="20"/>
                <w:szCs w:val="20"/>
                <w:highlight w:val="none"/>
                <w:lang w:bidi="ar"/>
              </w:rPr>
              <w:t xml:space="preserve">、维生素C、维生素D、维生素D</w:t>
            </w:r>
            <w:r>
              <w:rPr>
                <w:rStyle w:val="1026"/>
                <w:rFonts w:hint="default"/>
                <w:color w:val="auto"/>
                <w:highlight w:val="none"/>
                <w:lang w:bidi="ar"/>
              </w:rPr>
              <w:t xml:space="preserve">3</w:t>
            </w:r>
            <w:r>
              <w:rPr>
                <w:rFonts w:hint="eastAsia" w:ascii="宋体" w:hAnsi="宋体" w:cs="宋体"/>
                <w:color w:val="auto"/>
                <w:sz w:val="20"/>
                <w:szCs w:val="20"/>
                <w:highlight w:val="none"/>
                <w:lang w:bidi="ar"/>
              </w:rPr>
              <w:t xml:space="preserve">、维生素E、硒、锌、烟酸、烟酰胺、叶酸、免疫球蛋白IgG、总黄酮、总皂苷、总蔥醌、吡啶甲酸铬、水分、可溶性固形物、酸价、过氧化值、崩解时限、灰分、铅（Pb）、总砷（As）、总汞（Hg）、硬胶囊壳中的铬、菌落总数、大肠菌群、霉菌和酵母、金黄色葡萄球菌、沙门氏菌</w:t>
            </w:r>
            <w:r/>
          </w:p>
        </w:tc>
      </w:tr>
      <w:tr>
        <w:trPr>
          <w:cantSplit/>
          <w:jc w:val="center"/>
        </w:trPr>
        <w:tc>
          <w:tcPr>
            <w:tcMar>
              <w:top w:w="28" w:type="dxa"/>
              <w:bottom w:w="28" w:type="dxa"/>
            </w:tcMa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28</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特殊膳食食品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婴幼儿辅助食品</w:t>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婴幼儿谷类辅助食品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婴幼儿谷物辅助食品、婴幼儿高蛋白谷物辅助食品、婴幼儿生制类谷物辅助食品、婴幼儿饼干或其他婴幼儿谷物辅助食品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能量、蛋白质、脂肪、亚油酸、月桂酸占总脂肪的比值、肉豆蔻酸占总脂肪的比值、维生素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、钙、铁、锌、钠、维生素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、生物素、磷、碘、钾、水分、不溶性膳食纤维、脲酶活性定性测定、铅（以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计）、无机砷（以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计）、锡（以</w:t>
            </w:r>
            <w:r>
              <w:rPr>
                <w:rFonts w:ascii="宋体" w:hAnsi="宋体"/>
                <w:color w:val="auto"/>
                <w:sz w:val="20"/>
                <w:szCs w:val="20"/>
                <w:highlight w:val="none"/>
                <w:lang w:bidi="ar"/>
              </w:rPr>
              <w:t xml:space="preserve">Sn</w:t>
            </w:r>
            <w:r>
              <w:rPr>
                <w:rFonts w:hint="eastAsia" w:ascii="宋体" w:hAnsi="宋体" w:cs="宋体"/>
                <w:color w:val="auto"/>
                <w:sz w:val="20"/>
                <w:szCs w:val="20"/>
                <w:highlight w:val="none"/>
                <w:lang w:bidi="ar"/>
              </w:rPr>
              <w:t xml:space="preserve">计）、镉（以</w:t>
            </w:r>
            <w:r>
              <w:rPr>
                <w:rFonts w:ascii="宋体" w:hAnsi="宋体"/>
                <w:color w:val="auto"/>
                <w:sz w:val="20"/>
                <w:szCs w:val="20"/>
                <w:highlight w:val="none"/>
                <w:lang w:bidi="ar"/>
              </w:rPr>
              <w:t xml:space="preserve">Cd</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计）、菌落总数、大肠菌群、沙门氏菌、二十二碳六烯酸、花生四烯酸、金黄色葡萄球菌</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婴幼儿罐装辅助食品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泥（糊）状罐装食品、颗粒状罐装食品、汁类罐装食品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蛋白质、脂肪、总钠、铅（以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计）、无机砷（以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计）、总汞（以</w:t>
            </w:r>
            <w:r>
              <w:rPr>
                <w:rFonts w:ascii="宋体" w:hAnsi="宋体"/>
                <w:color w:val="auto"/>
                <w:sz w:val="20"/>
                <w:szCs w:val="20"/>
                <w:highlight w:val="none"/>
                <w:lang w:bidi="ar"/>
              </w:rPr>
              <w:t xml:space="preserve">Hg</w:t>
            </w:r>
            <w:r>
              <w:rPr>
                <w:rFonts w:hint="eastAsia" w:ascii="宋体" w:hAnsi="宋体" w:cs="宋体"/>
                <w:color w:val="auto"/>
                <w:sz w:val="20"/>
                <w:szCs w:val="20"/>
                <w:highlight w:val="none"/>
                <w:lang w:bidi="ar"/>
              </w:rPr>
              <w:t xml:space="preserve">计）、锡（以</w:t>
            </w:r>
            <w:r>
              <w:rPr>
                <w:rFonts w:ascii="宋体" w:hAnsi="宋体"/>
                <w:color w:val="auto"/>
                <w:sz w:val="20"/>
                <w:szCs w:val="20"/>
                <w:highlight w:val="none"/>
                <w:lang w:bidi="ar"/>
              </w:rPr>
              <w:t xml:space="preserve">Sn</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计）、商业无菌、霉菌</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营养补充品</w:t>
            </w:r>
            <w:r/>
          </w:p>
        </w:tc>
        <w:tc>
          <w:tcPr>
            <w:tcMar>
              <w:top w:w="28" w:type="dxa"/>
              <w:bottom w:w="2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营养补充品</w:t>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辅食营养素补充食品、辅食营养素补充片、辅食营养素撒剂</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蛋白质、钙、铁、锌、维生素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、烟酸（烟酰胺）、维生素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、叶酸、维生素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、泛酸、胆碱、生物素、维生素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、二十二碳六烯酸、脲酶活性定性、铅（以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计）、菌落总数、大肠菌群、沙门氏菌、金黄色葡萄球菌</w:t>
            </w:r>
            <w:r/>
          </w:p>
        </w:tc>
      </w:tr>
      <w:tr>
        <w:trPr>
          <w:cantSplit/>
          <w:jc w:val="center"/>
        </w:trPr>
        <w:tc>
          <w:tcPr>
            <w:tcMar>
              <w:top w:w="28" w:type="dxa"/>
              <w:bottom w:w="2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孕妇及乳母营养补充食品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铁、维生素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、叶酸、维生素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、钙、镁、锌、硒、维生素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、烟酸（烟酰胺）、泛酸、胆碱、生物素、维生素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、二十二碳六烯酸、脲酶活性定性、铅（以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、大肠菌群、沙门氏菌、金黄色葡萄球菌</w:t>
            </w:r>
            <w:r/>
          </w:p>
        </w:tc>
      </w:tr>
      <w:tr>
        <w:trPr>
          <w:cantSplit/>
          <w:jc w:val="center"/>
        </w:trPr>
        <w:tc>
          <w:tcPr>
            <w:tcMar>
              <w:top w:w="28" w:type="dxa"/>
              <w:bottom w:w="2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28" w:type="dxa"/>
              <w:bottom w:w="2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运动营养食品</w:t>
            </w:r>
            <w:r/>
          </w:p>
        </w:tc>
        <w:tc>
          <w:tcPr>
            <w:tcMar>
              <w:top w:w="28" w:type="dxa"/>
              <w:bottom w:w="2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28" w:type="dxa"/>
              <w:bottom w:w="2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咖啡因、肌酸、肽类、维生素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、叶酸、烟酸、生物素、泛酸、钙、钠、钾、镁、铁、锌、硒、铜、碘、锰、磷、钼、铬、左旋肉碱、牛磺酸、铅（以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计）、总砷（以</w:t>
            </w:r>
            <w:r>
              <w:rPr>
                <w:rFonts w:ascii="宋体" w:hAnsi="宋体"/>
                <w:color w:val="auto"/>
                <w:sz w:val="20"/>
                <w:szCs w:val="20"/>
                <w:highlight w:val="none"/>
                <w:lang w:bidi="ar"/>
              </w:rPr>
              <w:t xml:space="preserve">As</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、沙门氏菌、金黄色葡萄球菌</w:t>
            </w:r>
            <w:r/>
          </w:p>
        </w:tc>
      </w:tr>
      <w:tr>
        <w:trPr>
          <w:cantSplit/>
          <w:jc w:val="center"/>
        </w:trPr>
        <w:tc>
          <w:tcPr>
            <w:tcW w:w="630" w:type="dxa"/>
            <w:vAlign w:val="center"/>
            <w:vMerge w:val="restart"/>
            <w:textDirection w:val="lrTb"/>
            <w:noWrap w:val="false"/>
          </w:tcPr>
          <w:p>
            <w:pPr>
              <w:jc w:val="cente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29</w:t>
            </w:r>
            <w:r/>
          </w:p>
        </w:tc>
        <w:tc>
          <w:tcPr>
            <w:tcW w:w="1247" w:type="dxa"/>
            <w:vAlign w:val="center"/>
            <w:vMerge w:val="restart"/>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特殊医学用途配方食品</w:t>
            </w:r>
            <w:r/>
          </w:p>
        </w:tc>
        <w:tc>
          <w:tcPr>
            <w:tcW w:w="1247" w:type="dxa"/>
            <w:vAlign w:val="center"/>
            <w:vMerge w:val="restart"/>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特殊医学用途配方食品</w:t>
            </w:r>
            <w:r/>
          </w:p>
        </w:tc>
        <w:tc>
          <w:tcPr>
            <w:tcW w:w="1247"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特殊医学用途婴儿配方食品</w:t>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特殊医学用途婴儿配方食品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蛋白质、脂肪、亚油酸、α-亚麻酸、亚油酸与α-亚麻酸比值、终产品脂肪中月桂酸和肉豆蔻酸（十四烷酸）总量占总脂肪酸的比值、芥酸与总脂肪酸比值、反式脂肪酸与总脂肪酸比值、碳水化合物、维生素A、维生素D、维生素E、维生素K</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6</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12</w:t>
            </w:r>
            <w:r>
              <w:rPr>
                <w:rFonts w:ascii="宋体" w:hAnsi="宋体"/>
                <w:color w:val="auto"/>
                <w:sz w:val="20"/>
                <w:szCs w:val="20"/>
                <w:highlight w:val="none"/>
                <w:lang w:bidi="ar"/>
              </w:rPr>
              <w:t xml:space="preserve">、烟酸（烟酰胺）、叶酸、泛酸、维生素C、生物素、钠、钾、铜、镁、铁、锌、锰、钙、磷、钙磷比值、碘、氯、硒、铬、钼、胆碱、肌醇、牛磺酸、左旋肉碱、二十二碳六烯酸与总脂肪酸比、二十碳四烯酸与总脂肪酸比、二十二碳六烯酸（22:6n-3）与二十碳四烯酸（20:4n-6）的比、长链不饱和脂肪酸中二十碳五烯酸（20:5n-3）的量与二十二碳六烯酸的量的比、二十二碳六烯酸、二十碳四烯酸、水分、灰分、杂质度、脲酶活性定性测定、核苷酸、叶黄素、铅（以Pb计）、锡（以Sn计）、黄曲霉毒素M</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、黄曲霉毒素B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、硝酸盐（以NaNO</w:t>
            </w:r>
            <w:r>
              <w:rPr>
                <w:rStyle w:val="1025"/>
                <w:rFonts w:ascii="宋体" w:hAnsi="宋体"/>
                <w:color w:val="auto"/>
                <w:highlight w:val="none"/>
                <w:lang w:bidi="ar"/>
              </w:rPr>
              <w:t xml:space="preserve">3</w:t>
            </w:r>
            <w:r>
              <w:rPr>
                <w:rFonts w:ascii="宋体" w:hAnsi="宋体"/>
                <w:color w:val="auto"/>
                <w:sz w:val="20"/>
                <w:szCs w:val="20"/>
                <w:highlight w:val="none"/>
                <w:lang w:bidi="ar"/>
              </w:rPr>
              <w:t xml:space="preserve">计）、亚硝酸盐（以NaNO</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计）、三聚氰胺、菌落总数、大肠菌群、沙门氏菌、金黄色葡萄球菌、克罗诺杆菌属（阪崎肠杆菌）、商业无菌、果聚糖</w:t>
            </w:r>
            <w:r/>
          </w:p>
        </w:tc>
      </w:tr>
      <w:tr>
        <w:trPr>
          <w:cantSplit/>
          <w:jc w:val="center"/>
        </w:trPr>
        <w:tc>
          <w:tcPr>
            <w:tcW w:w="630" w:type="dxa"/>
            <w:vAlign w:val="center"/>
            <w:vMerge w:val="continue"/>
            <w:textDirection w:val="lrTb"/>
            <w:noWrap w:val="false"/>
          </w:tcPr>
          <w:p>
            <w:pPr>
              <w:jc w:val="center"/>
              <w:spacing w:line="29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restart"/>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特殊医学用途配方食品</w:t>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全营养配方食品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蛋白质、亚油酸供能比、α-亚麻酸供能比、维生素A、维生素D、维生素E、维生素K</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6</w:t>
            </w:r>
            <w:r>
              <w:rPr>
                <w:rFonts w:ascii="宋体" w:hAnsi="宋体"/>
                <w:color w:val="auto"/>
                <w:sz w:val="20"/>
                <w:szCs w:val="20"/>
                <w:highlight w:val="none"/>
                <w:lang w:bidi="ar"/>
              </w:rPr>
              <w:t xml:space="preserve">、维生素B</w:t>
            </w:r>
            <w:r>
              <w:rPr>
                <w:rStyle w:val="1025"/>
                <w:rFonts w:ascii="宋体" w:hAnsi="宋体"/>
                <w:color w:val="auto"/>
                <w:highlight w:val="none"/>
                <w:lang w:bidi="ar"/>
              </w:rPr>
              <w:t xml:space="preserve">12</w:t>
            </w:r>
            <w:r>
              <w:rPr>
                <w:rFonts w:ascii="宋体" w:hAnsi="宋体"/>
                <w:color w:val="auto"/>
                <w:sz w:val="20"/>
                <w:szCs w:val="20"/>
                <w:highlight w:val="none"/>
                <w:lang w:bidi="ar"/>
              </w:rPr>
              <w:t xml:space="preserve">、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、黄曲霉毒素B</w:t>
            </w:r>
            <w:r>
              <w:rPr>
                <w:rStyle w:val="1025"/>
                <w:rFonts w:ascii="宋体" w:hAnsi="宋体"/>
                <w:color w:val="auto"/>
                <w:highlight w:val="none"/>
                <w:lang w:bidi="ar"/>
              </w:rPr>
              <w:t xml:space="preserve">1</w:t>
            </w:r>
            <w:r>
              <w:rPr>
                <w:rFonts w:ascii="宋体" w:hAnsi="宋体"/>
                <w:color w:val="auto"/>
                <w:sz w:val="20"/>
                <w:szCs w:val="20"/>
                <w:highlight w:val="none"/>
                <w:lang w:bidi="ar"/>
              </w:rPr>
              <w:t xml:space="preserve">、硝酸盐（以NaNO</w:t>
            </w:r>
            <w:r>
              <w:rPr>
                <w:rStyle w:val="1025"/>
                <w:rFonts w:ascii="宋体" w:hAnsi="宋体"/>
                <w:color w:val="auto"/>
                <w:highlight w:val="none"/>
                <w:lang w:bidi="ar"/>
              </w:rPr>
              <w:t xml:space="preserve">3</w:t>
            </w:r>
            <w:r>
              <w:rPr>
                <w:rFonts w:ascii="宋体" w:hAnsi="宋体"/>
                <w:color w:val="auto"/>
                <w:sz w:val="20"/>
                <w:szCs w:val="20"/>
                <w:highlight w:val="none"/>
                <w:lang w:bidi="ar"/>
              </w:rPr>
              <w:t xml:space="preserve">计）、亚硝酸盐（以NaNO</w:t>
            </w:r>
            <w:r>
              <w:rPr>
                <w:rStyle w:val="1025"/>
                <w:rFonts w:ascii="宋体" w:hAnsi="宋体"/>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计）、三聚氰胺、菌落总数、大肠菌群、沙门氏菌、金黄色葡萄球菌、商业无菌</w:t>
            </w:r>
            <w:r/>
          </w:p>
        </w:tc>
      </w:tr>
      <w:tr>
        <w:trPr>
          <w:cantSplit/>
          <w:jc w:val="center"/>
        </w:trPr>
        <w:tc>
          <w:tcPr>
            <w:tcW w:w="630" w:type="dxa"/>
            <w:vAlign w:val="center"/>
            <w:vMerge w:val="continue"/>
            <w:textDirection w:val="lrTb"/>
            <w:noWrap w:val="false"/>
          </w:tcPr>
          <w:p>
            <w:pPr>
              <w:jc w:val="center"/>
              <w:spacing w:line="290" w:lineRule="exact"/>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非全营养配方食品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铅（以Pb计）、锡（以Sn计）、黄曲霉毒素M</w:t>
            </w:r>
            <w:r>
              <w:rPr>
                <w:rStyle w:val="1026"/>
                <w:rFonts w:hint="default"/>
                <w:color w:val="auto"/>
                <w:highlight w:val="none"/>
                <w:lang w:bidi="ar"/>
              </w:rPr>
              <w:t xml:space="preserve">1</w:t>
            </w:r>
            <w:r>
              <w:rPr>
                <w:rFonts w:ascii="宋体" w:hAnsi="宋体"/>
                <w:color w:val="auto"/>
                <w:sz w:val="20"/>
                <w:szCs w:val="20"/>
                <w:highlight w:val="none"/>
                <w:lang w:bidi="ar"/>
              </w:rPr>
              <w:t xml:space="preserve">、黄曲霉毒素B</w:t>
            </w:r>
            <w:r>
              <w:rPr>
                <w:rStyle w:val="1026"/>
                <w:rFonts w:hint="default"/>
                <w:color w:val="auto"/>
                <w:highlight w:val="none"/>
                <w:lang w:bidi="ar"/>
              </w:rPr>
              <w:t xml:space="preserve">1</w:t>
            </w:r>
            <w:r>
              <w:rPr>
                <w:rFonts w:ascii="宋体" w:hAnsi="宋体"/>
                <w:color w:val="auto"/>
                <w:sz w:val="20"/>
                <w:szCs w:val="20"/>
                <w:highlight w:val="none"/>
                <w:lang w:bidi="ar"/>
              </w:rPr>
              <w:t xml:space="preserve">、硝酸盐（以NaNO</w:t>
            </w:r>
            <w:r>
              <w:rPr>
                <w:rStyle w:val="1026"/>
                <w:rFonts w:hint="default"/>
                <w:color w:val="auto"/>
                <w:highlight w:val="none"/>
                <w:lang w:bidi="ar"/>
              </w:rPr>
              <w:t xml:space="preserve">3</w:t>
            </w:r>
            <w:r>
              <w:rPr>
                <w:rFonts w:ascii="宋体" w:hAnsi="宋体"/>
                <w:color w:val="auto"/>
                <w:sz w:val="20"/>
                <w:szCs w:val="20"/>
                <w:highlight w:val="none"/>
                <w:lang w:bidi="ar"/>
              </w:rPr>
              <w:t xml:space="preserve">计）、亚硝酸盐（以NaNO</w:t>
            </w:r>
            <w:r>
              <w:rPr>
                <w:rStyle w:val="1026"/>
                <w:rFonts w:hint="default"/>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计）、三聚氰胺、菌落总数、大肠菌群、沙门氏菌、金黄色葡萄球菌、商业无菌、企业标准/注册的产品技术要求中规定的质量指标</w:t>
            </w:r>
            <w:r/>
          </w:p>
        </w:tc>
      </w:tr>
      <w:tr>
        <w:trPr>
          <w:cantSplit/>
          <w:jc w:val="center"/>
        </w:trPr>
        <w:tc>
          <w:tcPr>
            <w:tcW w:w="630" w:type="dxa"/>
            <w:vAlign w:val="center"/>
            <w:vMerge w:val="continue"/>
            <w:textDirection w:val="lrTb"/>
            <w:noWrap w:val="false"/>
          </w:tcPr>
          <w:p>
            <w:pPr>
              <w:jc w:val="center"/>
              <w:spacing w:line="290" w:lineRule="exact"/>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spacing w:line="29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spacing w:line="290" w:lineRule="exact"/>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特定全营养配方食品</w:t>
            </w:r>
            <w:r/>
          </w:p>
        </w:tc>
        <w:tc>
          <w:tcPr>
            <w:tcW w:w="675" w:type="dxa"/>
            <w:vAlign w:val="center"/>
            <w:textDirection w:val="lrTb"/>
            <w:noWrap w:val="false"/>
          </w:tcPr>
          <w:p>
            <w:pPr>
              <w:jc w:val="center"/>
              <w:spacing w:line="290" w:lineRule="exac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spacing w:line="290" w:lineRule="exact"/>
              <w:widowControl/>
              <w:rPr>
                <w:rFonts w:ascii="宋体" w:hAnsi="宋体"/>
                <w:color w:val="auto"/>
                <w:sz w:val="20"/>
                <w:szCs w:val="20"/>
                <w:highlight w:val="none"/>
              </w:rPr>
            </w:pPr>
            <w:r>
              <w:rPr>
                <w:rFonts w:ascii="宋体" w:hAnsi="宋体"/>
                <w:color w:val="auto"/>
                <w:sz w:val="20"/>
                <w:szCs w:val="20"/>
                <w:highlight w:val="none"/>
                <w:lang w:bidi="ar"/>
              </w:rPr>
              <w:t xml:space="preserve">铅（以Pb计）、锡（以Sn计）、黄曲霉毒素M</w:t>
            </w:r>
            <w:r>
              <w:rPr>
                <w:rStyle w:val="1026"/>
                <w:rFonts w:hint="default"/>
                <w:color w:val="auto"/>
                <w:highlight w:val="none"/>
                <w:lang w:bidi="ar"/>
              </w:rPr>
              <w:t xml:space="preserve">1</w:t>
            </w:r>
            <w:r>
              <w:rPr>
                <w:rFonts w:ascii="宋体" w:hAnsi="宋体"/>
                <w:color w:val="auto"/>
                <w:sz w:val="20"/>
                <w:szCs w:val="20"/>
                <w:highlight w:val="none"/>
                <w:lang w:bidi="ar"/>
              </w:rPr>
              <w:t xml:space="preserve">、黄曲霉毒素B</w:t>
            </w:r>
            <w:r>
              <w:rPr>
                <w:rStyle w:val="1026"/>
                <w:rFonts w:hint="default"/>
                <w:color w:val="auto"/>
                <w:highlight w:val="none"/>
                <w:lang w:bidi="ar"/>
              </w:rPr>
              <w:t xml:space="preserve">1</w:t>
            </w:r>
            <w:r>
              <w:rPr>
                <w:rFonts w:ascii="宋体" w:hAnsi="宋体"/>
                <w:color w:val="auto"/>
                <w:sz w:val="20"/>
                <w:szCs w:val="20"/>
                <w:highlight w:val="none"/>
                <w:lang w:bidi="ar"/>
              </w:rPr>
              <w:t xml:space="preserve">、硝酸盐（以NaNO</w:t>
            </w:r>
            <w:r>
              <w:rPr>
                <w:rStyle w:val="1026"/>
                <w:rFonts w:hint="default"/>
                <w:color w:val="auto"/>
                <w:highlight w:val="none"/>
                <w:lang w:bidi="ar"/>
              </w:rPr>
              <w:t xml:space="preserve">3</w:t>
            </w:r>
            <w:r>
              <w:rPr>
                <w:rFonts w:ascii="宋体" w:hAnsi="宋体"/>
                <w:color w:val="auto"/>
                <w:sz w:val="20"/>
                <w:szCs w:val="20"/>
                <w:highlight w:val="none"/>
                <w:lang w:bidi="ar"/>
              </w:rPr>
              <w:t xml:space="preserve">计）、亚硝酸盐（以NaNO</w:t>
            </w:r>
            <w:r>
              <w:rPr>
                <w:rStyle w:val="1026"/>
                <w:rFonts w:hint="default"/>
                <w:color w:val="auto"/>
                <w:highlight w:val="none"/>
                <w:lang w:bidi="ar"/>
              </w:rPr>
              <w:t xml:space="preserve">2</w:t>
            </w:r>
            <w:r>
              <w:rPr>
                <w:rFonts w:ascii="宋体" w:hAnsi="宋体"/>
                <w:color w:val="auto"/>
                <w:sz w:val="20"/>
                <w:szCs w:val="20"/>
                <w:highlight w:val="none"/>
                <w:lang w:bidi="ar"/>
              </w:rPr>
              <w:t xml:space="preserve">计）、三聚氰胺、菌落总数、大肠菌群、沙门氏菌、金黄色葡萄球菌、商业无菌、企业标准/注册的产品技术要求中规定的质量指标</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lang w:bidi="ar"/>
              </w:rPr>
            </w:pPr>
            <w:r>
              <w:rPr>
                <w:rFonts w:hint="eastAsia" w:ascii="宋体" w:hAnsi="宋体"/>
                <w:color w:val="auto"/>
                <w:sz w:val="20"/>
                <w:szCs w:val="20"/>
                <w:highlight w:val="none"/>
                <w:lang w:bidi="ar"/>
              </w:rPr>
              <w:t xml:space="preserve">30</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婴幼儿配方食品（湿法工艺、干法工艺、干湿法混合工艺）</w:t>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婴儿配方食品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乳基婴儿配方食品、豆基婴儿配方食品</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lang w:bidi="ar"/>
              </w:rPr>
            </w:pPr>
            <w:r>
              <w:rPr>
                <w:rFonts w:hint="eastAsia" w:ascii="宋体" w:hAnsi="宋体" w:cs="宋体"/>
                <w:color w:val="auto"/>
                <w:sz w:val="20"/>
                <w:szCs w:val="20"/>
                <w:highlight w:val="none"/>
                <w:lang w:bidi="ar"/>
              </w:rPr>
              <w:t xml:space="preserve">蛋白质、脂肪、碳水化合物、乳糖占碳水化合物总量、亚油酸、</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亚麻酸、亚油酸与</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亚麻酸比值、终产品脂肪中月桂酸和肉豆蔻酸（十四烷酸）总量占总脂肪酸的比值、芥酸与总脂肪酸比值、反式脂肪酸与总脂肪酸比值、维生素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、烟酸（烟酰胺）、叶酸、泛酸、维生素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、生物素、钠、钾、铜、镁、铁、锌、锰、钙、磷、钙磷比值、碘、氯、硒、胆碱、肌醇、牛磺酸、左旋肉碱、二十二碳六烯酸（DHA）、二十二碳六烯酸（</w:t>
            </w:r>
            <w:r>
              <w:rPr>
                <w:rFonts w:ascii="宋体" w:hAnsi="宋体"/>
                <w:color w:val="auto"/>
                <w:sz w:val="20"/>
                <w:szCs w:val="20"/>
                <w:highlight w:val="none"/>
                <w:lang w:bidi="ar"/>
              </w:rPr>
              <w:t xml:space="preserve">22:6</w:t>
            </w:r>
            <w:r>
              <w:rPr>
                <w:rFonts w:hint="eastAsia" w:ascii="宋体" w:hAnsi="宋体" w:cs="宋体"/>
                <w:color w:val="auto"/>
                <w:sz w:val="20"/>
                <w:szCs w:val="20"/>
                <w:highlight w:val="none"/>
                <w:lang w:bidi="ar"/>
              </w:rPr>
              <w:t xml:space="preserve">n-3）与总脂肪酸比、二十碳四烯酸（AA/ARA）、二十碳四烯酸与总脂肪酸比、二十二碳六烯酸（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）与二十碳四烯酸（</w:t>
            </w:r>
            <w:r>
              <w:rPr>
                <w:rFonts w:ascii="宋体" w:hAnsi="宋体"/>
                <w:color w:val="auto"/>
                <w:sz w:val="20"/>
                <w:szCs w:val="20"/>
                <w:highlight w:val="none"/>
                <w:lang w:bidi="ar"/>
              </w:rPr>
              <w:t xml:space="preserve">20:4n-6</w:t>
            </w:r>
            <w:r>
              <w:rPr>
                <w:rFonts w:hint="eastAsia" w:ascii="宋体" w:hAnsi="宋体" w:cs="宋体"/>
                <w:color w:val="auto"/>
                <w:sz w:val="20"/>
                <w:szCs w:val="20"/>
                <w:highlight w:val="none"/>
                <w:lang w:bidi="ar"/>
              </w:rPr>
              <w:t xml:space="preserve">）的比、二十碳五烯酸（</w:t>
            </w:r>
            <w:r>
              <w:rPr>
                <w:rFonts w:ascii="宋体" w:hAnsi="宋体"/>
                <w:color w:val="auto"/>
                <w:sz w:val="20"/>
                <w:szCs w:val="20"/>
                <w:highlight w:val="none"/>
                <w:lang w:bidi="ar"/>
              </w:rPr>
              <w:t xml:space="preserve">20:5n-3</w:t>
            </w:r>
            <w:r>
              <w:rPr>
                <w:rFonts w:hint="eastAsia" w:ascii="宋体" w:hAnsi="宋体" w:cs="宋体"/>
                <w:color w:val="auto"/>
                <w:sz w:val="20"/>
                <w:szCs w:val="20"/>
                <w:highlight w:val="none"/>
                <w:lang w:bidi="ar"/>
              </w:rPr>
              <w:t xml:space="preserve">）的量与二十二碳六烯酸（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）的量的比、果聚糖、水分、灰分、杂质度、叶黄素、核苷酸、脲酶活性定性测定、铅（以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或黄曲霉毒</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计）、三聚氰胺、香兰素、乙基香兰素、菌落总数、大肠菌群、金黄色葡萄球菌、沙门氏菌、阪崎肠杆菌</w:t>
            </w:r>
            <w:r>
              <w:rPr>
                <w:rFonts w:ascii="宋体" w:hAnsi="宋体"/>
                <w:color w:val="auto"/>
                <w:sz w:val="20"/>
                <w:szCs w:val="20"/>
                <w:highlight w:val="none"/>
                <w:lang w:bidi="ar"/>
              </w:rPr>
              <w:t xml:space="preserve">/</w:t>
            </w:r>
            <w:r>
              <w:rPr>
                <w:rFonts w:hint="eastAsia" w:ascii="宋体" w:hAnsi="宋体" w:cs="宋体"/>
                <w:color w:val="auto"/>
                <w:sz w:val="20"/>
                <w:szCs w:val="20"/>
                <w:highlight w:val="none"/>
                <w:lang w:bidi="ar"/>
              </w:rPr>
              <w:t xml:space="preserve">克罗诺杆菌属（阪崎肠杆菌）、锡、果糖、蔗糖</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c>
          <w:tcPr>
            <w:tcW w:w="1247" w:type="dxa"/>
            <w:vAlign w:val="center"/>
            <w:vMerge w:val="continue"/>
            <w:textDirection w:val="lrTb"/>
            <w:noWrap w:val="false"/>
          </w:tcPr>
          <w:p>
            <w:pPr>
              <w:jc w:val="center"/>
              <w:rPr>
                <w:rFonts w:ascii="宋体" w:hAnsi="宋体" w:cs="宋体"/>
                <w:color w:val="auto"/>
                <w:sz w:val="20"/>
                <w:szCs w:val="20"/>
                <w:highlight w:val="none"/>
                <w:lang w:bidi="ar"/>
              </w:rPr>
            </w:pPr>
            <w:r>
              <w:rPr>
                <w:rFonts w:ascii="宋体" w:hAnsi="宋体" w:cs="宋体"/>
                <w:color w:val="auto"/>
                <w:sz w:val="20"/>
                <w:szCs w:val="20"/>
                <w:highlight w:val="none"/>
                <w:lang w:bidi="ar"/>
              </w:rPr>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较大婴儿配方食品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乳基较大婴儿配方食品、豆基较大婴儿配方食品</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lang w:bidi="ar"/>
              </w:rPr>
            </w:pPr>
            <w:r>
              <w:rPr>
                <w:rFonts w:hint="eastAsia" w:ascii="宋体" w:hAnsi="宋体" w:cs="宋体"/>
                <w:color w:val="auto"/>
                <w:sz w:val="20"/>
                <w:szCs w:val="20"/>
                <w:highlight w:val="none"/>
                <w:lang w:bidi="ar"/>
              </w:rPr>
              <w:t xml:space="preserve">蛋白质、脂肪、亚油酸、</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亚麻酸、亚油酸与</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亚麻酸比值、终产品脂肪中月桂酸和肉豆蔻酸（十四烷酸）总量占总脂肪酸的比值、反式脂肪酸与总脂肪酸比值、芥酸与总脂肪酸比值、碳水化合物、乳糖占碳水化合物总量、维生素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、烟酸（烟酰胺）、叶酸、泛酸、维生素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、生物素、钠、钾、铜、镁、铁、锌、钙、磷、钙磷比值、碘、氯、锰、硒、胆碱、肌醇、牛磺酸、左旋肉碱、二十二碳六烯酸（DHA）、二十二碳六烯酸（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）与总脂肪酸比、二十碳四烯酸（AA/ARA）、二十碳四烯酸与总脂肪酸比、二十二碳六烯酸（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）与二十碳四烯酸（</w:t>
            </w:r>
            <w:r>
              <w:rPr>
                <w:rFonts w:ascii="宋体" w:hAnsi="宋体"/>
                <w:color w:val="auto"/>
                <w:sz w:val="20"/>
                <w:szCs w:val="20"/>
                <w:highlight w:val="none"/>
                <w:lang w:bidi="ar"/>
              </w:rPr>
              <w:t xml:space="preserve">20:4n-6</w:t>
            </w:r>
            <w:r>
              <w:rPr>
                <w:rFonts w:hint="eastAsia" w:ascii="宋体" w:hAnsi="宋体" w:cs="宋体"/>
                <w:color w:val="auto"/>
                <w:sz w:val="20"/>
                <w:szCs w:val="20"/>
                <w:highlight w:val="none"/>
                <w:lang w:bidi="ar"/>
              </w:rPr>
              <w:t xml:space="preserve">）的比、二十碳五烯酸（</w:t>
            </w:r>
            <w:r>
              <w:rPr>
                <w:rFonts w:ascii="宋体" w:hAnsi="宋体"/>
                <w:color w:val="auto"/>
                <w:sz w:val="20"/>
                <w:szCs w:val="20"/>
                <w:highlight w:val="none"/>
                <w:lang w:bidi="ar"/>
              </w:rPr>
              <w:t xml:space="preserve">20:5n-3</w:t>
            </w:r>
            <w:r>
              <w:rPr>
                <w:rFonts w:hint="eastAsia" w:ascii="宋体" w:hAnsi="宋体" w:cs="宋体"/>
                <w:color w:val="auto"/>
                <w:sz w:val="20"/>
                <w:szCs w:val="20"/>
                <w:highlight w:val="none"/>
                <w:lang w:bidi="ar"/>
              </w:rPr>
              <w:t xml:space="preserve">）的量与二十二碳六烯酸（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）的量的比、水分、灰分、杂质度、叶黄素、核苷酸、果聚糖、三聚氰胺、铅（以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计）、脲酶活性定性测定、黄曲霉毒素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或黄曲霉毒素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、菌落总数、大肠菌群、沙门氏菌、金黄色葡萄球菌、锡、果糖、蔗糖</w:t>
            </w:r>
            <w:r/>
          </w:p>
        </w:tc>
      </w:tr>
      <w:tr>
        <w:trPr>
          <w:cantSplit/>
          <w:jc w:val="center"/>
        </w:trPr>
        <w:tc>
          <w:tcPr>
            <w:tcW w:w="630" w:type="dxa"/>
            <w:vAlign w:val="center"/>
            <w:textDirection w:val="lrTb"/>
            <w:noWrap w:val="false"/>
          </w:tcPr>
          <w:p>
            <w:pPr>
              <w:jc w:val="center"/>
              <w:widowControl/>
              <w:rPr>
                <w:rFonts w:ascii="宋体" w:hAnsi="宋体"/>
                <w:color w:val="auto"/>
                <w:sz w:val="20"/>
                <w:szCs w:val="20"/>
                <w:highlight w:val="none"/>
                <w:lang w:bidi="ar"/>
              </w:rPr>
            </w:pPr>
            <w:r>
              <w:rPr>
                <w:rFonts w:hint="eastAsia" w:ascii="宋体" w:hAnsi="宋体"/>
                <w:color w:val="auto"/>
                <w:sz w:val="20"/>
                <w:szCs w:val="20"/>
                <w:highlight w:val="none"/>
                <w:lang w:bidi="ar"/>
              </w:rPr>
              <w:t xml:space="preserve">30</w:t>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w:t>
            </w:r>
            <w:r/>
          </w:p>
        </w:tc>
        <w:tc>
          <w:tcPr>
            <w:tcW w:w="1247" w:type="dxa"/>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婴幼儿配方食品（湿法工艺、干法工艺、干湿法混合工艺）</w:t>
            </w:r>
            <w:r/>
          </w:p>
        </w:tc>
        <w:tc>
          <w:tcP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幼儿配方食品</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幼儿配方食品</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lang w:bidi="ar"/>
              </w:rPr>
            </w:pPr>
            <w:r>
              <w:rPr>
                <w:rFonts w:hint="eastAsia" w:ascii="宋体" w:hAnsi="宋体" w:cs="宋体"/>
                <w:color w:val="auto"/>
                <w:sz w:val="20"/>
                <w:szCs w:val="20"/>
                <w:highlight w:val="none"/>
                <w:lang w:bidi="ar"/>
              </w:rPr>
              <w:t xml:space="preserve">蛋白质、脂肪、亚油酸、</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亚麻酸、亚油酸与</w:t>
            </w:r>
            <w:r>
              <w:rPr>
                <w:rFonts w:ascii="宋体" w:hAnsi="宋体"/>
                <w:color w:val="auto"/>
                <w:sz w:val="20"/>
                <w:szCs w:val="20"/>
                <w:highlight w:val="none"/>
                <w:lang w:bidi="ar"/>
              </w:rPr>
              <w:t xml:space="preserve">α-</w:t>
            </w:r>
            <w:r>
              <w:rPr>
                <w:rFonts w:hint="eastAsia" w:ascii="宋体" w:hAnsi="宋体" w:cs="宋体"/>
                <w:color w:val="auto"/>
                <w:sz w:val="20"/>
                <w:szCs w:val="20"/>
                <w:highlight w:val="none"/>
                <w:lang w:bidi="ar"/>
              </w:rPr>
              <w:t xml:space="preserve">亚麻酸比值、乳糖占碳水化合物总量、反式脂肪酸与总脂肪酸比值、碳水化合物、维生素</w:t>
            </w:r>
            <w:r>
              <w:rPr>
                <w:rFonts w:ascii="宋体" w:hAnsi="宋体"/>
                <w:color w:val="auto"/>
                <w:sz w:val="20"/>
                <w:szCs w:val="20"/>
                <w:highlight w:val="none"/>
                <w:lang w:bidi="ar"/>
              </w:rPr>
              <w:t xml:space="preserve">A</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D</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E</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K</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6</w:t>
            </w:r>
            <w:r>
              <w:rPr>
                <w:rFonts w:hint="eastAsia" w:ascii="宋体" w:hAnsi="宋体" w:cs="宋体"/>
                <w:color w:val="auto"/>
                <w:sz w:val="20"/>
                <w:szCs w:val="20"/>
                <w:highlight w:val="none"/>
                <w:lang w:bidi="ar"/>
              </w:rPr>
              <w:t xml:space="preserve">、维生素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12</w:t>
            </w:r>
            <w:r>
              <w:rPr>
                <w:rFonts w:hint="eastAsia" w:ascii="宋体" w:hAnsi="宋体" w:cs="宋体"/>
                <w:color w:val="auto"/>
                <w:sz w:val="20"/>
                <w:szCs w:val="20"/>
                <w:highlight w:val="none"/>
                <w:lang w:bidi="ar"/>
              </w:rPr>
              <w:t xml:space="preserve">、烟酸（烟酰胺）、叶酸、泛酸、维生素</w:t>
            </w:r>
            <w:r>
              <w:rPr>
                <w:rFonts w:ascii="宋体" w:hAnsi="宋体"/>
                <w:color w:val="auto"/>
                <w:sz w:val="20"/>
                <w:szCs w:val="20"/>
                <w:highlight w:val="none"/>
                <w:lang w:bidi="ar"/>
              </w:rPr>
              <w:t xml:space="preserve">C</w:t>
            </w:r>
            <w:r>
              <w:rPr>
                <w:rFonts w:hint="eastAsia" w:ascii="宋体" w:hAnsi="宋体" w:cs="宋体"/>
                <w:color w:val="auto"/>
                <w:sz w:val="20"/>
                <w:szCs w:val="20"/>
                <w:highlight w:val="none"/>
                <w:lang w:bidi="ar"/>
              </w:rPr>
              <w:t xml:space="preserve">、生物素、钠、钾、铜、镁、铁、锌、钙、磷、钙磷比值、碘、氯、锰、硒、胆碱、肌醇、牛磺酸、左旋肉碱、二十二碳六烯酸（DHA）、二十二碳六烯酸（</w:t>
            </w:r>
            <w:r>
              <w:rPr>
                <w:rFonts w:ascii="宋体" w:hAnsi="宋体"/>
                <w:color w:val="auto"/>
                <w:sz w:val="20"/>
                <w:szCs w:val="20"/>
                <w:highlight w:val="none"/>
                <w:lang w:bidi="ar"/>
              </w:rPr>
              <w:t xml:space="preserve">22:6n-3</w:t>
            </w:r>
            <w:r>
              <w:rPr>
                <w:rFonts w:hint="eastAsia" w:ascii="宋体" w:hAnsi="宋体" w:cs="宋体"/>
                <w:color w:val="auto"/>
                <w:sz w:val="20"/>
                <w:szCs w:val="20"/>
                <w:highlight w:val="none"/>
                <w:lang w:bidi="ar"/>
              </w:rPr>
              <w:t xml:space="preserve">）与总脂肪酸比、二十碳四烯酸（AA/ARA）、二十碳四烯酸与总脂肪酸比、水分、灰分、杂质度、叶黄素、核苷酸、果聚糖、三聚氰胺、铅（以</w:t>
            </w:r>
            <w:r>
              <w:rPr>
                <w:rFonts w:ascii="宋体" w:hAnsi="宋体"/>
                <w:color w:val="auto"/>
                <w:sz w:val="20"/>
                <w:szCs w:val="20"/>
                <w:highlight w:val="none"/>
                <w:lang w:bidi="ar"/>
              </w:rPr>
              <w:t xml:space="preserve">Pb</w:t>
            </w:r>
            <w:r>
              <w:rPr>
                <w:rFonts w:hint="eastAsia" w:ascii="宋体" w:hAnsi="宋体" w:cs="宋体"/>
                <w:color w:val="auto"/>
                <w:sz w:val="20"/>
                <w:szCs w:val="20"/>
                <w:highlight w:val="none"/>
                <w:lang w:bidi="ar"/>
              </w:rPr>
              <w:t xml:space="preserve">计）、硝酸盐（以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3</w:t>
            </w:r>
            <w:r>
              <w:rPr>
                <w:rFonts w:hint="eastAsia" w:ascii="宋体" w:hAnsi="宋体" w:cs="宋体"/>
                <w:color w:val="auto"/>
                <w:sz w:val="20"/>
                <w:szCs w:val="20"/>
                <w:highlight w:val="none"/>
                <w:lang w:bidi="ar"/>
              </w:rPr>
              <w:t xml:space="preserve">计）、亚硝酸盐（以</w:t>
            </w:r>
            <w:r>
              <w:rPr>
                <w:rFonts w:ascii="宋体" w:hAnsi="宋体"/>
                <w:color w:val="auto"/>
                <w:sz w:val="20"/>
                <w:szCs w:val="20"/>
                <w:highlight w:val="none"/>
                <w:lang w:bidi="ar"/>
              </w:rPr>
              <w:t xml:space="preserve">NaNO</w:t>
            </w:r>
            <w:r>
              <w:rPr>
                <w:rStyle w:val="1025"/>
                <w:rFonts w:ascii="宋体" w:hAnsi="宋体"/>
                <w:color w:val="auto"/>
                <w:highlight w:val="none"/>
                <w:lang w:bidi="ar"/>
              </w:rPr>
              <w:t xml:space="preserve">2</w:t>
            </w:r>
            <w:r>
              <w:rPr>
                <w:rFonts w:hint="eastAsia" w:ascii="宋体" w:hAnsi="宋体" w:cs="宋体"/>
                <w:color w:val="auto"/>
                <w:sz w:val="20"/>
                <w:szCs w:val="20"/>
                <w:highlight w:val="none"/>
                <w:lang w:bidi="ar"/>
              </w:rPr>
              <w:t xml:space="preserve">计）、脲酶活性定性测定、黄曲霉毒素</w:t>
            </w:r>
            <w:r>
              <w:rPr>
                <w:rFonts w:ascii="宋体" w:hAnsi="宋体"/>
                <w:color w:val="auto"/>
                <w:sz w:val="20"/>
                <w:szCs w:val="20"/>
                <w:highlight w:val="none"/>
                <w:lang w:bidi="ar"/>
              </w:rPr>
              <w:t xml:space="preserve">B</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或黄曲霉毒素</w:t>
            </w:r>
            <w:r>
              <w:rPr>
                <w:rFonts w:ascii="宋体" w:hAnsi="宋体"/>
                <w:color w:val="auto"/>
                <w:sz w:val="20"/>
                <w:szCs w:val="20"/>
                <w:highlight w:val="none"/>
                <w:lang w:bidi="ar"/>
              </w:rPr>
              <w:t xml:space="preserve">M</w:t>
            </w:r>
            <w:r>
              <w:rPr>
                <w:rStyle w:val="1025"/>
                <w:rFonts w:ascii="宋体" w:hAnsi="宋体"/>
                <w:color w:val="auto"/>
                <w:highlight w:val="none"/>
                <w:lang w:bidi="ar"/>
              </w:rPr>
              <w:t xml:space="preserve">1</w:t>
            </w:r>
            <w:r>
              <w:rPr>
                <w:rFonts w:hint="eastAsia" w:ascii="宋体" w:hAnsi="宋体" w:cs="宋体"/>
                <w:color w:val="auto"/>
                <w:sz w:val="20"/>
                <w:szCs w:val="20"/>
                <w:highlight w:val="none"/>
                <w:lang w:bidi="ar"/>
              </w:rPr>
              <w:t xml:space="preserve">、菌落总数、大肠菌群、沙门氏菌、金黄色葡萄球菌、锡</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1</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餐饮食品</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米面及其制品（自制）</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小麦粉制品（自制）</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馒头花卷</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苯甲酸及其钠盐（以苯甲酸计）、山梨酸及其钾盐（以山梨酸计）、糖精钠（以糖精计）、脱氢乙酸及其钠盐（以脱氢乙酸计）、甜蜜素（以环己基氨基磺酸计）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包子（自制）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苯甲酸及其钠盐（以苯甲酸计）、山梨酸及其钾盐（以山梨酸计）、糖精钠（以糖精计）、脱氢乙酸及其钠盐（以脱氢乙酸计）、甜蜜素（以环己基氨基磺酸计）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油饼油条</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铝的残留量（干样品，以Al计）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其他生制面</w:t>
            </w:r>
            <w:r/>
          </w:p>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制品（自制）</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bCs/>
                <w:color w:val="auto"/>
                <w:sz w:val="20"/>
                <w:szCs w:val="20"/>
                <w:highlight w:val="none"/>
                <w:lang w:bidi="ar"/>
              </w:rPr>
              <w:t xml:space="preserve">苯甲酸及其钠盐（以苯甲酸计）、山梨酸及其钾盐（以山梨酸计）、脱氢乙酸及其钠盐（以脱氢乙酸计）、二氧化硫残留量</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 xml:space="preserve">大米制品（自制）</w:t>
            </w:r>
            <w:r/>
          </w:p>
        </w:tc>
        <w:tc>
          <w:tcP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其他米类制品</w:t>
            </w:r>
            <w:r/>
          </w:p>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bCs/>
                <w:color w:val="auto"/>
                <w:sz w:val="20"/>
                <w:szCs w:val="20"/>
                <w:highlight w:val="none"/>
                <w:lang w:bidi="ar"/>
              </w:rPr>
              <w:t xml:space="preserve">苯甲酸及其钠盐（以苯甲酸计）、山梨酸及其钾盐（以山梨酸计）、脱氢乙酸及其钠盐（以脱氢乙酸计）</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肉制品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熟肉制品（自制）</w:t>
            </w:r>
            <w:r/>
          </w:p>
        </w:tc>
        <w:tc>
          <w:tcP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肉冻皮冻</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铬（以Cr计）</w:t>
            </w:r>
            <w:r/>
          </w:p>
        </w:tc>
      </w:tr>
      <w:tr>
        <w:trPr>
          <w:cantSplit/>
          <w:jc w:val="center"/>
        </w:trPr>
        <w:tc>
          <w:tcPr>
            <w:tcMar>
              <w:top w:w="68" w:type="dxa"/>
              <w:bottom w:w="68" w:type="dxa"/>
            </w:tcMar>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1</w:t>
            </w:r>
            <w:r/>
          </w:p>
        </w:tc>
        <w:tc>
          <w:tcPr>
            <w:tcMar>
              <w:top w:w="68" w:type="dxa"/>
              <w:bottom w:w="68" w:type="dxa"/>
            </w:tcMa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餐饮食品</w:t>
            </w:r>
            <w:r/>
          </w:p>
        </w:tc>
        <w:tc>
          <w:tcPr>
            <w:tcMar>
              <w:top w:w="68" w:type="dxa"/>
              <w:bottom w:w="68" w:type="dxa"/>
            </w:tcMar>
            <w:tcW w:w="1247" w:type="dxa"/>
            <w:vAlign w:val="center"/>
            <w:vMerge w:val="restart"/>
            <w:textDirection w:val="lrTb"/>
            <w:noWrap w:val="false"/>
          </w:tcPr>
          <w:p>
            <w:pPr>
              <w:jc w:val="center"/>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肉制品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熟肉制品（自制）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熏烧烤肉类</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N-二甲基亚硝胺、苯并[α]芘、铅（以Pb计）</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酱卤肉制品</w:t>
            </w:r>
            <w:r/>
          </w:p>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lang w:bidi="ar"/>
              </w:rPr>
            </w:pPr>
            <w:r>
              <w:rPr>
                <w:rFonts w:ascii="宋体" w:hAnsi="宋体"/>
                <w:color w:val="auto"/>
                <w:sz w:val="20"/>
                <w:szCs w:val="20"/>
                <w:highlight w:val="none"/>
                <w:lang w:bidi="ar"/>
              </w:rPr>
              <w:t xml:space="preserve">/</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lang w:bidi="ar"/>
              </w:rPr>
            </w:pPr>
            <w:r>
              <w:rPr>
                <w:rFonts w:ascii="宋体" w:hAnsi="宋体"/>
                <w:bCs/>
                <w:color w:val="auto"/>
                <w:sz w:val="20"/>
                <w:szCs w:val="20"/>
                <w:highlight w:val="none"/>
                <w:lang w:bidi="ar"/>
              </w:rPr>
              <w:t xml:space="preserve">纳他霉素、苯甲酸及其钠盐（以苯甲酸计）、山梨酸及其钾盐（以山梨酸计）、糖精钠（以糖精计）、脱氢乙酸及其钠盐（以脱氢乙酸计）、防腐剂混合使用时各自用量占其最大使用量的比例之和、胭脂红、氯霉素</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调味料</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调味料</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火锅麻辣烫底料（自制）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罂粟碱、吗啡、可待因、那可丁</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水产制品（自制）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预制水产制品（自制）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生食动物性水产品（自制）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铝的残留量（以即食海蜇中Al计）</w:t>
            </w:r>
            <w:r/>
          </w:p>
        </w:tc>
      </w:tr>
      <w:tr>
        <w:trPr>
          <w:cantSplit/>
          <w:jc w:val="center"/>
        </w:trPr>
        <w:tc>
          <w:tcPr>
            <w:tcMar>
              <w:top w:w="68" w:type="dxa"/>
              <w:bottom w:w="6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坚果及籽类食品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坚果及籽类食品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花生制品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（自制）</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黄曲霉毒素B</w:t>
            </w:r>
            <w:r>
              <w:rPr>
                <w:rStyle w:val="1026"/>
                <w:rFonts w:hint="default"/>
                <w:color w:val="auto"/>
                <w:highlight w:val="none"/>
                <w:lang w:bidi="ar"/>
              </w:rPr>
              <w:t xml:space="preserve">1</w:t>
            </w:r>
            <w:r>
              <w:rPr>
                <w:rFonts w:ascii="宋体" w:hAnsi="宋体"/>
                <w:color w:val="auto"/>
                <w:sz w:val="20"/>
                <w:szCs w:val="20"/>
                <w:highlight w:val="none"/>
                <w:lang w:bidi="ar"/>
              </w:rPr>
              <w:t xml:space="preserve">、苯甲酸及其钠盐（以苯甲酸计）、山梨酸及其钾盐（以山梨酸计）、脱氢乙酸及其钠盐（以脱氢乙酸计）</w:t>
            </w:r>
            <w:r/>
          </w:p>
        </w:tc>
      </w:tr>
      <w:tr>
        <w:trPr>
          <w:cantSplit/>
          <w:jc w:val="center"/>
        </w:trPr>
        <w:tc>
          <w:tcPr>
            <w:tcMar>
              <w:top w:w="68" w:type="dxa"/>
              <w:bottom w:w="6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餐饮具</w:t>
            </w:r>
            <w:r/>
          </w:p>
        </w:tc>
        <w:tc>
          <w:tcPr>
            <w:tcMar>
              <w:top w:w="68" w:type="dxa"/>
              <w:bottom w:w="68" w:type="dxa"/>
            </w:tcMa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复用餐饮具</w:t>
            </w:r>
            <w:r/>
          </w:p>
        </w:tc>
        <w:tc>
          <w:tcPr>
            <w:tcMar>
              <w:top w:w="68" w:type="dxa"/>
              <w:bottom w:w="68" w:type="dxa"/>
            </w:tcMar>
            <w:tcW w:w="16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复用餐饮具（餐馆自行消毒）</w:t>
            </w:r>
            <w:r/>
          </w:p>
        </w:tc>
        <w:tc>
          <w:tcPr>
            <w:tcMar>
              <w:top w:w="68" w:type="dxa"/>
              <w:bottom w:w="68" w:type="dxa"/>
            </w:tcMar>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高</w:t>
            </w:r>
            <w:r/>
          </w:p>
        </w:tc>
        <w:tc>
          <w:tcPr>
            <w:tcMar>
              <w:top w:w="68" w:type="dxa"/>
              <w:bottom w:w="68" w:type="dxa"/>
            </w:tcMar>
            <w:tcW w:w="8213"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阴离子合成洗涤剂（以十二烷基苯磺酸钠计）、大肠菌群</w:t>
            </w:r>
            <w:r/>
          </w:p>
        </w:tc>
      </w:tr>
      <w:tr>
        <w:trPr>
          <w:cantSplit/>
          <w:jc w:val="center"/>
        </w:trPr>
        <w:tc>
          <w:tcPr>
            <w:tcMar>
              <w:top w:w="68" w:type="dxa"/>
              <w:bottom w:w="68" w:type="dxa"/>
            </w:tcMa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复用餐饮具（集中清洗消毒服务单位消毒）</w:t>
            </w:r>
            <w:r/>
          </w:p>
        </w:tc>
        <w:tc>
          <w:tcPr>
            <w:tcMar>
              <w:top w:w="68" w:type="dxa"/>
              <w:bottom w:w="68" w:type="dxa"/>
            </w:tcMa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阴离子合成洗涤剂（以十二烷基苯磺酸钠计）、大肠菌群</w:t>
            </w:r>
            <w:r/>
          </w:p>
        </w:tc>
      </w:tr>
      <w:tr>
        <w:trPr>
          <w:cantSplit/>
          <w:jc w:val="center"/>
        </w:trPr>
        <w:tc>
          <w:tcPr>
            <w:tcMar>
              <w:top w:w="68" w:type="dxa"/>
              <w:bottom w:w="68" w:type="dxa"/>
            </w:tcMa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Mar>
              <w:top w:w="68" w:type="dxa"/>
              <w:bottom w:w="68" w:type="dxa"/>
            </w:tcMa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Mar>
              <w:top w:w="68" w:type="dxa"/>
              <w:bottom w:w="68"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焙烤食品（自制）</w:t>
            </w:r>
            <w:r/>
          </w:p>
        </w:tc>
        <w:tc>
          <w:tcPr>
            <w:tcMar>
              <w:top w:w="68" w:type="dxa"/>
              <w:bottom w:w="68" w:type="dxa"/>
            </w:tcMa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焙烤食品（自制）</w:t>
            </w:r>
            <w:r/>
          </w:p>
        </w:tc>
        <w:tc>
          <w:tcPr>
            <w:tcMar>
              <w:top w:w="68" w:type="dxa"/>
              <w:bottom w:w="68" w:type="dxa"/>
            </w:tcMa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糕点（自制）</w:t>
            </w:r>
            <w:r/>
          </w:p>
        </w:tc>
        <w:tc>
          <w:tcPr>
            <w:tcMar>
              <w:top w:w="68" w:type="dxa"/>
              <w:bottom w:w="68" w:type="dxa"/>
            </w:tcMa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Mar>
              <w:top w:w="68" w:type="dxa"/>
              <w:bottom w:w="68" w:type="dxa"/>
            </w:tcMa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cantSplit/>
          <w:jc w:val="center"/>
        </w:trPr>
        <w:tc>
          <w:tcPr>
            <w:tcW w:w="630" w:type="dxa"/>
            <w:vAlign w:val="center"/>
            <w:vMerge w:val="restart"/>
            <w:textDirection w:val="lrTb"/>
            <w:noWrap w:val="false"/>
          </w:tcPr>
          <w:p>
            <w:pPr>
              <w:jc w:val="center"/>
              <w:rPr>
                <w:rFonts w:ascii="宋体" w:hAnsi="宋体"/>
                <w:color w:val="auto"/>
                <w:sz w:val="20"/>
                <w:szCs w:val="20"/>
                <w:highlight w:val="none"/>
              </w:rPr>
            </w:pPr>
            <w:r>
              <w:rPr>
                <w:rFonts w:hint="eastAsia" w:ascii="宋体" w:hAnsi="宋体"/>
                <w:color w:val="auto"/>
                <w:sz w:val="20"/>
                <w:szCs w:val="20"/>
                <w:highlight w:val="none"/>
              </w:rPr>
              <w:t xml:space="preserve">31</w:t>
            </w:r>
            <w:r/>
          </w:p>
        </w:tc>
        <w:tc>
          <w:tcPr>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餐饮食品</w:t>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食用油、油脂及其制品</w:t>
            </w:r>
            <w:r/>
          </w:p>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（自制）</w:t>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食用油、油脂及其制品</w:t>
            </w:r>
            <w:r/>
          </w:p>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（自制）</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煎炸过程用油</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极性组分、酸价（以脂肪计）（KOH）</w:t>
            </w:r>
            <w:r/>
          </w:p>
        </w:tc>
      </w:tr>
      <w:tr>
        <w:trPr>
          <w:cantSplit/>
          <w:jc w:val="center"/>
        </w:trPr>
        <w:tc>
          <w:tcPr>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淀粉制品（自制）</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粉丝粉条（自制）</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粉丝粉条（自制）</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铝的残留量（干样品，以Al计）</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蔬菜制品</w:t>
            </w:r>
            <w:r/>
          </w:p>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（自制）</w:t>
            </w:r>
            <w:r/>
          </w:p>
        </w:tc>
        <w:tc>
          <w:tcPr>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蔬菜制品</w:t>
            </w:r>
            <w:r/>
          </w:p>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（自制）</w:t>
            </w:r>
            <w:r/>
          </w:p>
        </w:tc>
        <w:tc>
          <w:tcPr>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酱腌菜（自制）</w:t>
            </w:r>
            <w:r/>
          </w:p>
        </w:tc>
        <w:tc>
          <w:tcPr>
            <w:tcW w:w="675"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铅（以Pb计）、苯甲酸及其钠盐（以苯甲酸计）、山梨酸及其钾盐（以山梨酸计）、糖精钠（以糖精计）、脱氢乙酸及其钠盐（以脱氢乙酸计）、甜蜜素（以环己基氨基磺酸计）、阿斯巴甜、防腐剂混合使用时各自用量占其最大使用量的比例之和、二氧化硫残留量</w:t>
            </w:r>
            <w:r/>
          </w:p>
        </w:tc>
      </w:tr>
      <w:tr>
        <w:trPr>
          <w:cantSplit/>
          <w:jc w:val="center"/>
        </w:trPr>
        <w:tc>
          <w:tcPr>
            <w:tcW w:w="630"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2</w:t>
            </w:r>
            <w:r/>
          </w:p>
        </w:tc>
        <w:tc>
          <w:tcPr>
            <w:tcW w:w="1247"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食品添加剂</w:t>
            </w:r>
            <w:r/>
          </w:p>
        </w:tc>
        <w:tc>
          <w:tcPr>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食品添加剂</w:t>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复配食品添加剂</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复配食品添加剂</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铅（Pb）、砷（以As计）、致病性微生物</w:t>
            </w:r>
            <w:r/>
          </w:p>
        </w:tc>
      </w:tr>
      <w:tr>
        <w:trPr>
          <w:cantSplit/>
          <w:jc w:val="center"/>
        </w:trPr>
        <w:tc>
          <w:tcPr>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食品用香精</w:t>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食品用香精</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砷（以As计）含量/无机砷含量、菌落总数</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单一食品添加剂</w:t>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明胶</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铬（Cr）、铅（Pb）、总砷（As）、二氧化硫、过氧化物</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山梨酸钾</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山梨酸钾（以C</w:t>
            </w:r>
            <w:r>
              <w:rPr>
                <w:rStyle w:val="1026"/>
                <w:rFonts w:hint="default"/>
                <w:color w:val="auto"/>
                <w:highlight w:val="none"/>
                <w:lang w:bidi="ar"/>
              </w:rPr>
              <w:t xml:space="preserve">6</w:t>
            </w:r>
            <w:r>
              <w:rPr>
                <w:rFonts w:ascii="宋体" w:hAnsi="宋体"/>
                <w:color w:val="auto"/>
                <w:sz w:val="20"/>
                <w:szCs w:val="20"/>
                <w:highlight w:val="none"/>
                <w:lang w:bidi="ar"/>
              </w:rPr>
              <w:t xml:space="preserve">H</w:t>
            </w:r>
            <w:r>
              <w:rPr>
                <w:rStyle w:val="1026"/>
                <w:rFonts w:hint="default"/>
                <w:color w:val="auto"/>
                <w:highlight w:val="none"/>
                <w:lang w:bidi="ar"/>
              </w:rPr>
              <w:t xml:space="preserve">7</w:t>
            </w:r>
            <w:r>
              <w:rPr>
                <w:rFonts w:ascii="宋体" w:hAnsi="宋体"/>
                <w:color w:val="auto"/>
                <w:sz w:val="20"/>
                <w:szCs w:val="20"/>
                <w:highlight w:val="none"/>
                <w:lang w:bidi="ar"/>
              </w:rPr>
              <w:t xml:space="preserve">KO</w:t>
            </w:r>
            <w:r>
              <w:rPr>
                <w:rStyle w:val="1026"/>
                <w:rFonts w:hint="default"/>
                <w:color w:val="auto"/>
                <w:highlight w:val="none"/>
                <w:lang w:bidi="ar"/>
              </w:rPr>
              <w:t xml:space="preserve">2</w:t>
            </w:r>
            <w:r>
              <w:rPr>
                <w:rFonts w:ascii="宋体" w:hAnsi="宋体"/>
                <w:color w:val="auto"/>
                <w:sz w:val="20"/>
                <w:szCs w:val="20"/>
                <w:highlight w:val="none"/>
                <w:lang w:bidi="ar"/>
              </w:rPr>
              <w:t xml:space="preserve">计）（以干基计）、干燥减量、氯化物（以Cl计）、硫酸盐（以SO</w:t>
            </w:r>
            <w:r>
              <w:rPr>
                <w:rStyle w:val="1026"/>
                <w:rFonts w:hint="default"/>
                <w:color w:val="auto"/>
                <w:highlight w:val="none"/>
                <w:lang w:bidi="ar"/>
              </w:rPr>
              <w:t xml:space="preserve">4</w:t>
            </w:r>
            <w:r>
              <w:rPr>
                <w:rFonts w:ascii="宋体" w:hAnsi="宋体"/>
                <w:color w:val="auto"/>
                <w:sz w:val="20"/>
                <w:szCs w:val="20"/>
                <w:highlight w:val="none"/>
                <w:lang w:bidi="ar"/>
              </w:rPr>
              <w:t xml:space="preserve">计）、醛（以HCHO计）、重金属（以Pb计）、砷（As）、铅（Pb）、澄清度、游离碱</w:t>
            </w:r>
            <w:r/>
          </w:p>
        </w:tc>
      </w:tr>
      <w:tr>
        <w:trPr>
          <w:cantSplit/>
          <w:jc w:val="center"/>
        </w:trPr>
        <w:tc>
          <w:tcPr>
            <w:shd w:val="clear" w:color="auto" w:fill="auto"/>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糖精钠</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糖精钠含量、干燥失重、总砷（以</w:t>
            </w:r>
            <w:r>
              <w:rPr>
                <w:rStyle w:val="1028"/>
                <w:rFonts w:ascii="宋体" w:hAnsi="宋体" w:eastAsia="宋体"/>
                <w:color w:val="auto"/>
                <w:highlight w:val="none"/>
                <w:lang w:bidi="ar"/>
              </w:rPr>
              <w:t xml:space="preserve">As</w:t>
            </w:r>
            <w:r>
              <w:rPr>
                <w:rFonts w:ascii="宋体" w:hAnsi="宋体"/>
                <w:color w:val="auto"/>
                <w:sz w:val="20"/>
                <w:szCs w:val="20"/>
                <w:highlight w:val="none"/>
                <w:lang w:bidi="ar"/>
              </w:rPr>
              <w:t xml:space="preserve">计）、铅（</w:t>
            </w:r>
            <w:r>
              <w:rPr>
                <w:rStyle w:val="1028"/>
                <w:rFonts w:ascii="宋体" w:hAnsi="宋体" w:eastAsia="宋体"/>
                <w:color w:val="auto"/>
                <w:highlight w:val="none"/>
                <w:lang w:bidi="ar"/>
              </w:rPr>
              <w:t xml:space="preserve">Pb</w:t>
            </w:r>
            <w:r>
              <w:rPr>
                <w:rFonts w:ascii="宋体" w:hAnsi="宋体"/>
                <w:color w:val="auto"/>
                <w:sz w:val="20"/>
                <w:szCs w:val="20"/>
                <w:highlight w:val="none"/>
                <w:lang w:bidi="ar"/>
              </w:rPr>
              <w:t xml:space="preserve">）、酸度和碱度、苯甲酸盐和水杨酸盐</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环己基氨基磺酸钠（又名甜蜜素）</w:t>
            </w:r>
            <w:r/>
          </w:p>
        </w:tc>
        <w:tc>
          <w:tcPr>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环己基氨基磺酸钠含量（以干基计）、硫酸盐（以SO</w:t>
            </w:r>
            <w:r>
              <w:rPr>
                <w:rStyle w:val="1026"/>
                <w:rFonts w:hint="default"/>
                <w:color w:val="auto"/>
                <w:highlight w:val="none"/>
                <w:lang w:bidi="ar"/>
              </w:rPr>
              <w:t xml:space="preserve">4</w:t>
            </w:r>
            <w:r>
              <w:rPr>
                <w:rFonts w:ascii="宋体" w:hAnsi="宋体"/>
                <w:color w:val="auto"/>
                <w:sz w:val="20"/>
                <w:szCs w:val="20"/>
                <w:highlight w:val="none"/>
                <w:lang w:bidi="ar"/>
              </w:rPr>
              <w:t xml:space="preserve">计）、pH（100g/L水溶液）、干燥减量、氨基磺酸、环己胺、双环己胺、吸光值（100g/L溶液）、透明度（以100g/L溶液的透光率表示）、重金属（以Pb计）、砷（As）</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赤藓糖醇</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赤藓糖醇（以C</w:t>
            </w:r>
            <w:r>
              <w:rPr>
                <w:rStyle w:val="1026"/>
                <w:rFonts w:hint="default"/>
                <w:color w:val="auto"/>
                <w:highlight w:val="none"/>
                <w:lang w:bidi="ar"/>
              </w:rPr>
              <w:t xml:space="preserve">4</w:t>
            </w:r>
            <w:r>
              <w:rPr>
                <w:rFonts w:ascii="宋体" w:hAnsi="宋体"/>
                <w:color w:val="auto"/>
                <w:sz w:val="20"/>
                <w:szCs w:val="20"/>
                <w:highlight w:val="none"/>
                <w:lang w:bidi="ar"/>
              </w:rPr>
              <w:t xml:space="preserve">H</w:t>
            </w:r>
            <w:r>
              <w:rPr>
                <w:rStyle w:val="1026"/>
                <w:rFonts w:hint="default"/>
                <w:color w:val="auto"/>
                <w:highlight w:val="none"/>
                <w:lang w:bidi="ar"/>
              </w:rPr>
              <w:t xml:space="preserve">10</w:t>
            </w:r>
            <w:r>
              <w:rPr>
                <w:rFonts w:ascii="宋体" w:hAnsi="宋体"/>
                <w:color w:val="auto"/>
                <w:sz w:val="20"/>
                <w:szCs w:val="20"/>
                <w:highlight w:val="none"/>
                <w:lang w:bidi="ar"/>
              </w:rPr>
              <w:t xml:space="preserve">O</w:t>
            </w:r>
            <w:r>
              <w:rPr>
                <w:rStyle w:val="1026"/>
                <w:rFonts w:hint="default"/>
                <w:color w:val="auto"/>
                <w:highlight w:val="none"/>
                <w:lang w:bidi="ar"/>
              </w:rPr>
              <w:t xml:space="preserve">4</w:t>
            </w:r>
            <w:r>
              <w:rPr>
                <w:rFonts w:ascii="宋体" w:hAnsi="宋体"/>
                <w:color w:val="auto"/>
                <w:sz w:val="20"/>
                <w:szCs w:val="20"/>
                <w:highlight w:val="none"/>
                <w:lang w:bidi="ar"/>
              </w:rPr>
              <w:t xml:space="preserve">计，以干基计）、干燥减量、灼烧残渣、还原糖（以葡萄糖计）、核糖醇和丙三醇（以干基计）、铅（Pb）</w:t>
            </w:r>
            <w:r/>
          </w:p>
        </w:tc>
      </w:tr>
      <w:tr>
        <w:trPr>
          <w:cantSplit/>
          <w:jc w:val="center"/>
        </w:trPr>
        <w:tc>
          <w:tcPr>
            <w:shd w:val="clear" w:color="auto" w:fill="auto"/>
            <w:tcW w:w="630"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3</w:t>
            </w:r>
            <w:r>
              <w:rPr>
                <w:rFonts w:hint="eastAsia" w:ascii="宋体" w:hAnsi="宋体"/>
                <w:color w:val="auto"/>
                <w:sz w:val="20"/>
                <w:szCs w:val="20"/>
                <w:highlight w:val="none"/>
                <w:lang w:bidi="ar"/>
              </w:rPr>
              <w:t xml:space="preserve">2</w:t>
            </w:r>
            <w:r/>
          </w:p>
        </w:tc>
        <w:tc>
          <w:tcPr>
            <w:shd w:val="clear" w:color="auto" w:fill="auto"/>
            <w:tcW w:w="1247" w:type="dxa"/>
            <w:vAlign w:val="center"/>
            <w:vMerge w:val="restart"/>
            <w:textDirection w:val="lrTb"/>
            <w:noWrap w:val="false"/>
          </w:tcPr>
          <w:p>
            <w:pPr>
              <w:jc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食品添加剂</w:t>
            </w:r>
            <w:r/>
          </w:p>
        </w:tc>
        <w:tc>
          <w:tcPr>
            <w:shd w:val="clear" w:color="auto" w:fill="auto"/>
            <w:tcW w:w="1247" w:type="dxa"/>
            <w:vAlign w:val="center"/>
            <w:vMerge w:val="restart"/>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lang w:bidi="ar"/>
              </w:rPr>
              <w:t xml:space="preserve">食品添加剂</w:t>
            </w:r>
            <w:r/>
          </w:p>
        </w:tc>
        <w:tc>
          <w:tcPr>
            <w:shd w:val="clear" w:color="auto" w:fill="auto"/>
            <w:tcW w:w="1247" w:type="dxa"/>
            <w:vAlign w:val="center"/>
            <w:vMerge w:val="restart"/>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单一食品添加剂</w:t>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碳酸钠</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shd w:val="clear" w:color="auto" w:fill="ffffff"/>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总碱量（以Na</w:t>
            </w:r>
            <w:r>
              <w:rPr>
                <w:rStyle w:val="1026"/>
                <w:rFonts w:hint="default"/>
                <w:color w:val="auto"/>
                <w:highlight w:val="none"/>
                <w:lang w:bidi="ar"/>
              </w:rPr>
              <w:t xml:space="preserve">2</w:t>
            </w:r>
            <w:r>
              <w:rPr>
                <w:rFonts w:ascii="宋体" w:hAnsi="宋体"/>
                <w:color w:val="auto"/>
                <w:sz w:val="20"/>
                <w:szCs w:val="20"/>
                <w:highlight w:val="none"/>
                <w:lang w:bidi="ar"/>
              </w:rPr>
              <w:t xml:space="preserve">CO</w:t>
            </w:r>
            <w:r>
              <w:rPr>
                <w:rStyle w:val="1026"/>
                <w:rFonts w:hint="default"/>
                <w:color w:val="auto"/>
                <w:highlight w:val="none"/>
                <w:lang w:bidi="ar"/>
              </w:rPr>
              <w:t xml:space="preserve">3</w:t>
            </w:r>
            <w:r>
              <w:rPr>
                <w:rFonts w:ascii="宋体" w:hAnsi="宋体"/>
                <w:color w:val="auto"/>
                <w:sz w:val="20"/>
                <w:szCs w:val="20"/>
                <w:highlight w:val="none"/>
                <w:lang w:bidi="ar"/>
              </w:rPr>
              <w:t xml:space="preserve">计）（以干基计）、总碱量（以Na</w:t>
            </w:r>
            <w:r>
              <w:rPr>
                <w:rStyle w:val="1026"/>
                <w:rFonts w:hint="default"/>
                <w:color w:val="auto"/>
                <w:highlight w:val="none"/>
                <w:lang w:bidi="ar"/>
              </w:rPr>
              <w:t xml:space="preserve">2</w:t>
            </w:r>
            <w:r>
              <w:rPr>
                <w:rFonts w:ascii="宋体" w:hAnsi="宋体"/>
                <w:color w:val="auto"/>
                <w:sz w:val="20"/>
                <w:szCs w:val="20"/>
                <w:highlight w:val="none"/>
                <w:lang w:bidi="ar"/>
              </w:rPr>
              <w:t xml:space="preserve">CO</w:t>
            </w:r>
            <w:r>
              <w:rPr>
                <w:rStyle w:val="1026"/>
                <w:rFonts w:hint="default"/>
                <w:color w:val="auto"/>
                <w:highlight w:val="none"/>
                <w:lang w:bidi="ar"/>
              </w:rPr>
              <w:t xml:space="preserve">3</w:t>
            </w:r>
            <w:r>
              <w:rPr>
                <w:rFonts w:ascii="宋体" w:hAnsi="宋体"/>
                <w:color w:val="auto"/>
                <w:sz w:val="20"/>
                <w:szCs w:val="20"/>
                <w:highlight w:val="none"/>
                <w:lang w:bidi="ar"/>
              </w:rPr>
              <w:t xml:space="preserve">计）（以湿基计）、水不溶物（以干基计）、氯化物（以NaCl计）（以干基计）、铁（Fe）（以干基计）、铅（Pb）（以干基计）、砷（As）（以干基计）</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碳酸氢钠</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shd w:val="clear" w:color="auto" w:fill="ffffff"/>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总碱量（以NaHCO</w:t>
            </w:r>
            <w:r>
              <w:rPr>
                <w:rStyle w:val="1026"/>
                <w:rFonts w:hint="default"/>
                <w:color w:val="auto"/>
                <w:highlight w:val="none"/>
                <w:lang w:bidi="ar"/>
              </w:rPr>
              <w:t xml:space="preserve">3</w:t>
            </w:r>
            <w:r>
              <w:rPr>
                <w:rFonts w:ascii="宋体" w:hAnsi="宋体"/>
                <w:color w:val="auto"/>
                <w:sz w:val="20"/>
                <w:szCs w:val="20"/>
                <w:highlight w:val="none"/>
                <w:lang w:bidi="ar"/>
              </w:rPr>
              <w:t xml:space="preserve">计）、干燥减量、pH（10g/L水溶液）、铵盐、澄清度、氯化物（以Cl计）、白度、砷（As）、重金属（以Pb计）</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ffffff"/>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氢氧化钠</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shd w:val="clear" w:color="auto" w:fill="ffffff"/>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总碱量（以NaOH计）、碳酸钠（Na</w:t>
            </w:r>
            <w:r>
              <w:rPr>
                <w:rStyle w:val="1026"/>
                <w:rFonts w:hint="default"/>
                <w:color w:val="auto"/>
                <w:highlight w:val="none"/>
                <w:lang w:bidi="ar"/>
              </w:rPr>
              <w:t xml:space="preserve">2</w:t>
            </w:r>
            <w:r>
              <w:rPr>
                <w:rFonts w:ascii="宋体" w:hAnsi="宋体"/>
                <w:color w:val="auto"/>
                <w:sz w:val="20"/>
                <w:szCs w:val="20"/>
                <w:highlight w:val="none"/>
                <w:lang w:bidi="ar"/>
              </w:rPr>
              <w:t xml:space="preserve">CO</w:t>
            </w:r>
            <w:r>
              <w:rPr>
                <w:rStyle w:val="1026"/>
                <w:rFonts w:hint="default"/>
                <w:color w:val="auto"/>
                <w:highlight w:val="none"/>
                <w:lang w:bidi="ar"/>
              </w:rPr>
              <w:t xml:space="preserve">3</w:t>
            </w:r>
            <w:r>
              <w:rPr>
                <w:rFonts w:ascii="宋体" w:hAnsi="宋体"/>
                <w:color w:val="auto"/>
                <w:sz w:val="20"/>
                <w:szCs w:val="20"/>
                <w:highlight w:val="none"/>
                <w:lang w:bidi="ar"/>
              </w:rPr>
              <w:t xml:space="preserve">）、砷（As）、重金属（以Pb计）、不溶物及有机杂质</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三氯蔗糖</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三氯蔗糖（以干基计）、比旋光度</w:t>
            </w:r>
            <w:r>
              <w:rPr>
                <w:rStyle w:val="1029"/>
                <w:rFonts w:ascii="宋体" w:hAnsi="宋体"/>
                <w:color w:val="auto"/>
                <w:highlight w:val="none"/>
                <w:lang w:bidi="ar"/>
              </w:rPr>
              <w:t xml:space="preserve">ɑ</w:t>
            </w:r>
            <w:r>
              <w:rPr>
                <w:rFonts w:ascii="宋体" w:hAnsi="宋体"/>
                <w:color w:val="auto"/>
                <w:sz w:val="20"/>
                <w:szCs w:val="20"/>
                <w:highlight w:val="none"/>
                <w:lang w:bidi="ar"/>
              </w:rPr>
              <w:t xml:space="preserve">m（20</w:t>
            </w:r>
            <w:r>
              <w:rPr>
                <w:rFonts w:hint="eastAsia" w:ascii="宋体" w:hAnsi="宋体" w:cs="宋体"/>
                <w:color w:val="auto"/>
                <w:sz w:val="20"/>
                <w:szCs w:val="20"/>
                <w:highlight w:val="none"/>
                <w:lang w:bidi="ar"/>
              </w:rPr>
              <w:t xml:space="preserve">℃</w:t>
            </w:r>
            <w:r>
              <w:rPr>
                <w:rFonts w:ascii="宋体" w:hAnsi="宋体"/>
                <w:color w:val="auto"/>
                <w:sz w:val="20"/>
                <w:szCs w:val="20"/>
                <w:highlight w:val="none"/>
                <w:lang w:bidi="ar"/>
              </w:rPr>
              <w:t xml:space="preserve">，D）、水分、灼烧残渣、水解产物、相关物质、甲醇、铅（Pb）</w:t>
            </w:r>
            <w:r/>
          </w:p>
        </w:tc>
      </w:tr>
      <w:tr>
        <w:trPr>
          <w:cantSplit/>
          <w:jc w:val="center"/>
        </w:trPr>
        <w:tc>
          <w:tcPr>
            <w:shd w:val="clear" w:color="auto" w:fill="auto"/>
            <w:tcW w:w="630"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胶基</w:t>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胶基</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铅（Pb）、总砷（以As计）</w:t>
            </w:r>
            <w:r/>
          </w:p>
        </w:tc>
      </w:tr>
      <w:tr>
        <w:trPr>
          <w:cantSplit/>
          <w:jc w:val="center"/>
        </w:trPr>
        <w:tc>
          <w:tcPr>
            <w:shd w:val="clear" w:color="auto" w:fill="auto"/>
            <w:tcW w:w="630"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W w:w="1247" w:type="dxa"/>
            <w:vAlign w:val="center"/>
            <w:vMerge w:val="continue"/>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食品工业用酶制剂</w:t>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食品工业用酶制剂</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rPr>
            </w:pPr>
            <w:r>
              <w:rPr>
                <w:rFonts w:ascii="宋体" w:hAnsi="宋体"/>
                <w:color w:val="auto"/>
                <w:sz w:val="20"/>
                <w:szCs w:val="20"/>
                <w:highlight w:val="none"/>
                <w:lang w:bidi="ar"/>
              </w:rPr>
              <w:t xml:space="preserve">一般</w:t>
            </w:r>
            <w:r/>
          </w:p>
        </w:tc>
        <w:tc>
          <w:tcPr>
            <w:tcW w:w="8213" w:type="dxa"/>
            <w:vAlign w:val="center"/>
            <w:textDirection w:val="lrTb"/>
            <w:noWrap w:val="false"/>
          </w:tcPr>
          <w:p>
            <w:pPr>
              <w:widowControl/>
              <w:rPr>
                <w:rFonts w:ascii="宋体" w:hAnsi="宋体"/>
                <w:color w:val="auto"/>
                <w:sz w:val="20"/>
                <w:szCs w:val="20"/>
                <w:highlight w:val="none"/>
              </w:rPr>
            </w:pPr>
            <w:r>
              <w:rPr>
                <w:rFonts w:ascii="宋体" w:hAnsi="宋体"/>
                <w:color w:val="auto"/>
                <w:sz w:val="20"/>
                <w:szCs w:val="20"/>
                <w:highlight w:val="none"/>
                <w:lang w:bidi="ar"/>
              </w:rPr>
              <w:t xml:space="preserve">铅（Pb）、总砷（以As计）、菌落总数、大肠菌群、大肠埃希氏菌、沙门氏菌、抗菌活性</w:t>
            </w:r>
            <w:r/>
          </w:p>
        </w:tc>
      </w:tr>
      <w:tr>
        <w:trPr>
          <w:cantSplit/>
          <w:jc w:val="center"/>
        </w:trPr>
        <w:tc>
          <w:tcPr>
            <w:shd w:val="clear" w:color="auto" w:fill="auto"/>
            <w:tcW w:w="630" w:type="dxa"/>
            <w:vAlign w:val="center"/>
            <w:textDirection w:val="lrTb"/>
            <w:noWrap w:val="false"/>
          </w:tcPr>
          <w:p>
            <w:pPr>
              <w:jc w:val="center"/>
              <w:rPr>
                <w:rFonts w:ascii="宋体" w:hAnsi="宋体"/>
                <w:color w:val="auto"/>
                <w:sz w:val="20"/>
                <w:szCs w:val="20"/>
                <w:highlight w:val="none"/>
              </w:rPr>
            </w:pPr>
            <w:r>
              <w:rPr>
                <w:rFonts w:ascii="宋体" w:hAnsi="宋体"/>
                <w:color w:val="auto"/>
                <w:sz w:val="20"/>
                <w:szCs w:val="20"/>
                <w:highlight w:val="none"/>
              </w:rPr>
              <w:t xml:space="preserve">3</w:t>
            </w:r>
            <w:r>
              <w:rPr>
                <w:rFonts w:hint="eastAsia" w:ascii="宋体" w:hAnsi="宋体"/>
                <w:color w:val="auto"/>
                <w:sz w:val="20"/>
                <w:szCs w:val="20"/>
                <w:highlight w:val="none"/>
              </w:rPr>
              <w:t xml:space="preserve">3</w:t>
            </w:r>
            <w:r/>
          </w:p>
        </w:tc>
        <w:tc>
          <w:tcPr>
            <w:shd w:val="clear" w:color="auto" w:fill="auto"/>
            <w:tcW w:w="1247" w:type="dxa"/>
            <w:vAlign w:val="center"/>
            <w:textDirection w:val="lrTb"/>
            <w:noWrap w:val="false"/>
          </w:tcPr>
          <w:p>
            <w:pPr>
              <w:jc w:val="center"/>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其他食品</w:t>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其他食品</w:t>
            </w:r>
            <w:r/>
          </w:p>
        </w:tc>
        <w:tc>
          <w:tcPr>
            <w:shd w:val="clear" w:color="auto" w:fill="auto"/>
            <w:tcW w:w="1247"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其他食品</w:t>
            </w:r>
            <w:r/>
          </w:p>
        </w:tc>
        <w:tc>
          <w:tcPr>
            <w:shd w:val="clear" w:color="auto" w:fill="auto"/>
            <w:tcW w:w="1680"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藜蒿</w:t>
            </w:r>
            <w:r/>
          </w:p>
        </w:tc>
        <w:tc>
          <w:tcPr>
            <w:shd w:val="clear" w:color="auto" w:fill="ffffff"/>
            <w:tcW w:w="675" w:type="dxa"/>
            <w:vAlign w:val="center"/>
            <w:textDirection w:val="lrTb"/>
            <w:noWrap w:val="false"/>
          </w:tcPr>
          <w:p>
            <w:pPr>
              <w:jc w:val="center"/>
              <w:widowControl/>
              <w:rPr>
                <w:rFonts w:ascii="宋体" w:hAnsi="宋体"/>
                <w:color w:val="auto"/>
                <w:sz w:val="20"/>
                <w:szCs w:val="20"/>
                <w:highlight w:val="none"/>
                <w:lang w:bidi="ar"/>
              </w:rPr>
            </w:pPr>
            <w:r>
              <w:rPr>
                <w:rFonts w:ascii="宋体" w:hAnsi="宋体"/>
                <w:color w:val="auto"/>
                <w:sz w:val="20"/>
                <w:szCs w:val="20"/>
                <w:highlight w:val="none"/>
                <w:lang w:bidi="ar"/>
              </w:rPr>
              <w:t xml:space="preserve">较高</w:t>
            </w:r>
            <w:r/>
          </w:p>
        </w:tc>
        <w:tc>
          <w:tcPr>
            <w:tcW w:w="8213" w:type="dxa"/>
            <w:vAlign w:val="center"/>
            <w:textDirection w:val="lrTb"/>
            <w:noWrap w:val="false"/>
          </w:tcPr>
          <w:p>
            <w:pPr>
              <w:widowControl/>
              <w:rPr>
                <w:rFonts w:ascii="宋体" w:hAnsi="宋体"/>
                <w:color w:val="auto"/>
                <w:sz w:val="20"/>
                <w:szCs w:val="20"/>
                <w:highlight w:val="none"/>
                <w:lang w:bidi="ar"/>
              </w:rPr>
            </w:pPr>
            <w:r>
              <w:rPr>
                <w:rFonts w:ascii="宋体" w:hAnsi="宋体"/>
                <w:color w:val="auto"/>
                <w:sz w:val="20"/>
                <w:szCs w:val="20"/>
                <w:highlight w:val="none"/>
                <w:lang w:bidi="ar"/>
              </w:rPr>
              <w:t xml:space="preserve">铅（以Pb计）、镉（以Cd计）、总汞（以Hg计）、总砷（以As计）、铬</w:t>
            </w:r>
            <w:r>
              <w:rPr>
                <w:rFonts w:hint="eastAsia" w:ascii="宋体" w:hAnsi="宋体" w:cs="宋体"/>
                <w:color w:val="auto"/>
                <w:sz w:val="20"/>
                <w:szCs w:val="20"/>
                <w:highlight w:val="none"/>
                <w:lang w:bidi="ar"/>
              </w:rPr>
              <w:t xml:space="preserve">（以</w:t>
            </w:r>
            <w:r>
              <w:rPr>
                <w:rFonts w:ascii="宋体" w:hAnsi="宋体"/>
                <w:color w:val="auto"/>
                <w:sz w:val="20"/>
                <w:szCs w:val="20"/>
                <w:highlight w:val="none"/>
                <w:lang w:bidi="ar"/>
              </w:rPr>
              <w:t xml:space="preserve">Cr</w:t>
            </w:r>
            <w:r>
              <w:rPr>
                <w:rFonts w:hint="eastAsia" w:ascii="宋体" w:hAnsi="宋体" w:cs="宋体"/>
                <w:color w:val="auto"/>
                <w:sz w:val="20"/>
                <w:szCs w:val="20"/>
                <w:highlight w:val="none"/>
                <w:lang w:bidi="ar"/>
              </w:rPr>
              <w:t xml:space="preserve">计）</w:t>
            </w:r>
            <w:r/>
          </w:p>
        </w:tc>
      </w:tr>
    </w:tbl>
    <w:p>
      <w:pPr>
        <w:pStyle w:val="709"/>
        <w:rPr>
          <w:color w:val="auto"/>
          <w:highlight w:val="none"/>
        </w:rPr>
        <w:sectPr>
          <w:footnotePr/>
          <w:endnotePr/>
          <w:type w:val="nextPage"/>
          <w:pgSz w:w="16838" w:h="11906" w:orient="landscape"/>
          <w:pgMar w:top="1474" w:right="1985" w:bottom="1588" w:left="2098" w:header="851" w:footer="992" w:gutter="0"/>
          <w:cols w:num="1" w:sep="0" w:space="720" w:equalWidth="1"/>
          <w:docGrid w:linePitch="360"/>
        </w:sectPr>
      </w:pPr>
      <w:r>
        <w:rPr>
          <w:color w:val="auto"/>
          <w:highlight w:val="none"/>
        </w:rPr>
      </w:r>
      <w:r/>
    </w:p>
    <w:p>
      <w:pPr>
        <w:pStyle w:val="685"/>
        <w:ind w:left="0" w:firstLine="0"/>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附件3：附件6</w:t>
      </w:r>
      <w:r/>
    </w:p>
    <w:p>
      <w:pPr>
        <w:ind w:firstLine="0"/>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9"/>
      </w:pPr>
      <w:r/>
      <w:bookmarkStart w:id="16" w:name="bookmark16"/>
      <w:r/>
      <w:bookmarkStart w:id="17" w:name="bookmark15"/>
      <w:r/>
      <w:bookmarkStart w:id="18" w:name="bookmark14"/>
      <w:r>
        <w:rPr>
          <w:rFonts w:hint="eastAsia" w:ascii="宋体" w:hAnsi="宋体" w:eastAsia="宋体" w:cs="宋体"/>
          <w:b/>
          <w:bCs/>
          <w:color w:val="auto"/>
          <w:sz w:val="24"/>
          <w:szCs w:val="24"/>
          <w:highlight w:val="none"/>
        </w:rPr>
        <w:t xml:space="preserve">食用农产品监督抽检工作要求</w:t>
      </w:r>
      <w:bookmarkEnd w:id="16"/>
      <w:r/>
      <w:bookmarkEnd w:id="17"/>
      <w:r/>
      <w:bookmarkEnd w:id="18"/>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为规范食用农产品监督抽检工作，落实检管结合、溯源信息 填报、均衡抽检等工作要求，提升食用农产品监督抽检工作质量, 现就有关事项明确如下：</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一、监管人员陪同抽样</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食用农产品抽样可由任务下达市场监管部门自行抽样或委 托承检机构抽样。委托抽样的，应由被抽样单位所在地辖区市场 监管部门2名监管人员、抽样机构2名抽样人员共同抽样；抽样 前，承检机构应与相关市场监管部门联系，明确拟抽样场所及日 期，属地市场监管部门应及时协调并安排监管人员陪同抽样。</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抽样人员选定样品后，监管人员应对被抽样单位和个人依法 经营、索证索票等进行现场检查，发现违反有关法律法规的行为 应记录和取证并依法处罚。对符合抽检要求的，抽样人员和现场 监管人员应共同在抽样单上签字，并在国家食品安全抽样检验信 息系统（以下简称“国抽信息系统”）中输入抽样人员和监管人员姓名。</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19" w:name="bookmark17"/>
      <w:r>
        <w:rPr>
          <w:rFonts w:hint="eastAsia" w:ascii="宋体" w:hAnsi="宋体" w:eastAsia="宋体" w:cs="宋体"/>
          <w:color w:val="auto"/>
          <w:sz w:val="24"/>
          <w:szCs w:val="24"/>
          <w:highlight w:val="none"/>
        </w:rPr>
        <w:t xml:space="preserve">二</w:t>
      </w:r>
      <w:bookmarkEnd w:id="19"/>
      <w:r>
        <w:rPr>
          <w:rFonts w:hint="eastAsia" w:ascii="宋体" w:hAnsi="宋体" w:eastAsia="宋体" w:cs="宋体"/>
          <w:color w:val="auto"/>
          <w:sz w:val="24"/>
          <w:szCs w:val="24"/>
          <w:highlight w:val="none"/>
        </w:rPr>
        <w:t xml:space="preserve">、食用农产品溯源信息填报</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食用农产品抽样应填写产地溯源信息，主要包括以下内容：</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0" w:name="bookmark18"/>
      <w:r>
        <w:rPr>
          <w:rFonts w:hint="eastAsia" w:ascii="宋体" w:hAnsi="宋体" w:eastAsia="宋体" w:cs="宋体"/>
          <w:color w:val="auto"/>
          <w:sz w:val="24"/>
          <w:szCs w:val="24"/>
          <w:highlight w:val="none"/>
        </w:rPr>
        <w:t xml:space="preserve">（</w:t>
      </w:r>
      <w:bookmarkEnd w:id="20"/>
      <w:r>
        <w:rPr>
          <w:rFonts w:hint="eastAsia" w:ascii="宋体" w:hAnsi="宋体" w:eastAsia="宋体" w:cs="宋体"/>
          <w:color w:val="auto"/>
          <w:sz w:val="24"/>
          <w:szCs w:val="24"/>
          <w:highlight w:val="none"/>
        </w:rPr>
        <w:t xml:space="preserve">一）食用农产品抽样溯源信息，包括抽检样品的供应商名称、地址、电话或生产者名称、地址等。主要从样品标签，被抽样单位提供样品的动物检疫合格证明、肉品品质检验合格证、动物产品检疫验讫二维码、承诺达标合格证、入境货物检验检疫证明、进货票据等凭证获取。</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1" w:name="bookmark19"/>
      <w:r>
        <w:rPr>
          <w:rFonts w:hint="eastAsia" w:ascii="宋体" w:hAnsi="宋体" w:eastAsia="宋体" w:cs="宋体"/>
          <w:color w:val="auto"/>
          <w:sz w:val="24"/>
          <w:szCs w:val="24"/>
          <w:highlight w:val="none"/>
        </w:rPr>
        <w:t xml:space="preserve">（</w:t>
      </w:r>
      <w:bookmarkEnd w:id="21"/>
      <w:r>
        <w:rPr>
          <w:rFonts w:hint="eastAsia" w:ascii="宋体" w:hAnsi="宋体" w:eastAsia="宋体" w:cs="宋体"/>
          <w:color w:val="auto"/>
          <w:sz w:val="24"/>
          <w:szCs w:val="24"/>
          <w:highlight w:val="none"/>
        </w:rPr>
        <w:t xml:space="preserve">二）抽样人员应严格按现场提供或确认的信息填写抽样单, 有关溯源信息凭证应拍照并上传国抽信息系统。当溯源信息仅 有生产者、供应商名称或证照编号（统一社会信用代码或注册号） 时，可通过“国家企业信用公示系统”等平台查询缺失信息，并按实际情形备注说明。溯源信息不全时，被抽样单位至少要提供供应商姓名和联系电话。</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2" w:name="bookmark20"/>
      <w:r>
        <w:rPr>
          <w:rFonts w:hint="eastAsia" w:ascii="宋体" w:hAnsi="宋体" w:eastAsia="宋体" w:cs="宋体"/>
          <w:color w:val="auto"/>
          <w:sz w:val="24"/>
          <w:szCs w:val="24"/>
          <w:highlight w:val="none"/>
        </w:rPr>
        <w:t xml:space="preserve">（</w:t>
      </w:r>
      <w:bookmarkEnd w:id="22"/>
      <w:r>
        <w:rPr>
          <w:rFonts w:hint="eastAsia" w:ascii="宋体" w:hAnsi="宋体" w:eastAsia="宋体" w:cs="宋体"/>
          <w:color w:val="auto"/>
          <w:sz w:val="24"/>
          <w:szCs w:val="24"/>
          <w:highlight w:val="none"/>
        </w:rPr>
        <w:t xml:space="preserve">三）案件稽查、事故调查、应急处置或在抽样现场发现有明显问题的食用农产品，可不受抽样数量、抽样地点、被抽样单位是否具备合法资质、销售产品是否提供溯源信息等限制；对需要开展不合格食用农产品跟踪抽检的，抽样单备注栏填写“此样品为跟踪抽检”。</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3" w:name="bookmark21"/>
      <w:r>
        <w:rPr>
          <w:rFonts w:hint="eastAsia" w:ascii="宋体" w:hAnsi="宋体" w:eastAsia="宋体" w:cs="宋体"/>
          <w:color w:val="auto"/>
          <w:sz w:val="24"/>
          <w:szCs w:val="24"/>
          <w:highlight w:val="none"/>
        </w:rPr>
        <w:t xml:space="preserve">三</w:t>
      </w:r>
      <w:bookmarkEnd w:id="23"/>
      <w:r>
        <w:rPr>
          <w:rFonts w:hint="eastAsia" w:ascii="宋体" w:hAnsi="宋体" w:eastAsia="宋体" w:cs="宋体"/>
          <w:color w:val="auto"/>
          <w:sz w:val="24"/>
          <w:szCs w:val="24"/>
          <w:highlight w:val="none"/>
        </w:rPr>
        <w:t xml:space="preserve">、必检和自选品种及检验项目</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依据《食用农产品“治违禁 控药残 促提升”三年行动方案》及近三年全国食用农产品抽检监测情况，确定《2022年食用农产品必检品种、项目表》（见附件4）。地方各级市场监管部门开展食用农产品监督抽检应包括上表中所列品种及必检项目，同时结合监管实际选择不少于两个可选项目。市、县级市场监管部门可选项目应由省级市场监管部门食品抽检处室审核同意。</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在抽样品种上，应结合季节供应特点、当地食用习惯合理确 定。应合理确定各类食用农产品的抽检比例和批次，杜绝对同一 食用农产品反复抽检。在自选检验项目上,应根据当地既往抽检 情况、食品安全标准要求、舆情信息、农兽药使用情况等进行确定。</w:t>
      </w:r>
      <w:r/>
    </w:p>
    <w:p>
      <w:pPr>
        <w:ind w:firstLine="544"/>
        <w:keepLines w:val="0"/>
        <w:keepNext w:val="0"/>
        <w:pageBreakBefore w:val="0"/>
        <w:spacing w:line="400" w:lineRule="exact"/>
        <w:widowControl/>
        <w:rPr>
          <w:rFonts w:hint="eastAsia" w:ascii="宋体" w:hAnsi="宋体" w:eastAsia="宋体" w:cs="宋体"/>
          <w:color w:val="auto"/>
          <w:sz w:val="24"/>
          <w:szCs w:val="24"/>
          <w:highlight w:val="none"/>
        </w:rPr>
        <w:outlineLvl w:val="9"/>
      </w:pPr>
      <w:r/>
      <w:bookmarkStart w:id="24" w:name="bookmark22"/>
      <w:r>
        <w:rPr>
          <w:rFonts w:hint="eastAsia" w:ascii="宋体" w:hAnsi="宋体" w:eastAsia="宋体" w:cs="宋体"/>
          <w:color w:val="auto"/>
          <w:sz w:val="24"/>
          <w:szCs w:val="24"/>
          <w:highlight w:val="none"/>
        </w:rPr>
        <w:t xml:space="preserve">四</w:t>
      </w:r>
      <w:bookmarkEnd w:id="24"/>
      <w:r>
        <w:rPr>
          <w:rFonts w:hint="eastAsia" w:ascii="宋体" w:hAnsi="宋体" w:eastAsia="宋体" w:cs="宋体"/>
          <w:color w:val="auto"/>
          <w:sz w:val="24"/>
          <w:szCs w:val="24"/>
          <w:highlight w:val="none"/>
        </w:rPr>
        <w:t xml:space="preserve">、推进均衡抽检</w:t>
      </w:r>
      <w:r/>
    </w:p>
    <w:p>
      <w:pPr>
        <w:ind w:firstLine="480"/>
        <w:keepLines w:val="0"/>
        <w:keepNext w:val="0"/>
        <w:pageBreakBefore w:val="0"/>
        <w:spacing w:line="400" w:lineRule="exact"/>
        <w:widowControl/>
        <w:rPr>
          <w:rFonts w:hint="eastAsia" w:ascii="宋体" w:hAnsi="宋体" w:cs="宋体"/>
          <w:color w:val="auto"/>
          <w:sz w:val="30"/>
          <w:szCs w:val="30"/>
          <w:highlight w:val="none"/>
        </w:rPr>
        <w:outlineLvl w:val="9"/>
      </w:pPr>
      <w:r>
        <w:rPr>
          <w:rFonts w:hint="eastAsia" w:ascii="宋体" w:hAnsi="宋体" w:eastAsia="宋体" w:cs="宋体"/>
          <w:color w:val="auto"/>
          <w:sz w:val="24"/>
          <w:szCs w:val="24"/>
          <w:highlight w:val="none"/>
        </w:rPr>
        <w:t xml:space="preserve">各级市场监管部门应根据本行政区域食用农产品生产销售 的季节特点安排监督抽检任务，应重点抽取当季食用农产品，对 不合格较多的食用农产品适当增加抽检频次。对食用农产品集 中交易市场的经营者尽可能抽检全覆盖</w:t>
      </w:r>
      <w:r>
        <w:rPr>
          <w:rFonts w:hint="eastAsia" w:ascii="宋体" w:hAnsi="宋体" w:eastAsia="宋体" w:cs="宋体"/>
          <w:color w:val="auto"/>
          <w:sz w:val="24"/>
          <w:szCs w:val="24"/>
          <w:highlight w:val="none"/>
          <w:lang w:eastAsia="zh-CN"/>
        </w:rPr>
        <w:t xml:space="preserve">。</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MingLiU-ExtB">
    <w:panose1 w:val="02020500000000000000"/>
  </w:font>
  <w:font w:name="Calibri Light">
    <w:panose1 w:val="020F0302020204030204"/>
  </w:font>
  <w:font w:name="Symbol">
    <w:panose1 w:val="05050102010706020507"/>
  </w:font>
  <w:font w:name="新宋体">
    <w:panose1 w:val="02010609030101010101"/>
  </w:font>
  <w:font w:name="Cambria">
    <w:panose1 w:val="0204050305040603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等线 Light">
    <w:panose1 w:val="02010600030101010101"/>
  </w:font>
  <w:font w:name="楷体_GB2312">
    <w:panose1 w:val="02010609060101010101"/>
  </w:font>
  <w:font w:name="Microsoft YaHei UI">
    <w:panose1 w:val="020B0503020204020204"/>
  </w:font>
  <w:font w:name="Arial">
    <w:panose1 w:val="020B0604020202020204"/>
  </w:font>
  <w:font w:name="宋体">
    <w:panose1 w:val="02010600030101010101"/>
  </w:font>
  <w:font w:name="方正小标宋_GBK">
    <w:panose1 w:val="020B0503020202020204"/>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62</w: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8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1"/>
    <w:basedOn w:val="668"/>
    <w:next w:val="668"/>
    <w:uiPriority w:val="39"/>
    <w:unhideWhenUsed/>
    <w:qFormat/>
    <w:pPr>
      <w:ind w:left="0" w:right="0" w:firstLine="0"/>
      <w:spacing w:after="57"/>
    </w:p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rPr>
  </w:style>
  <w:style w:type="paragraph" w:styleId="683">
    <w:name w:val="Body Text"/>
    <w:basedOn w:val="668"/>
    <w:uiPriority w:val="0"/>
    <w:qFormat/>
    <w:rPr>
      <w:rFonts w:ascii="楷体_GB2312" w:hAnsi="Arial" w:eastAsia="楷体_GB2312"/>
      <w:sz w:val="28"/>
      <w:szCs w:val="28"/>
    </w:rPr>
  </w:style>
  <w:style w:type="paragraph" w:styleId="684">
    <w:name w:val="Body Text Indent"/>
    <w:basedOn w:val="668"/>
    <w:uiPriority w:val="0"/>
    <w:qFormat/>
    <w:pPr>
      <w:ind w:left="420"/>
      <w:spacing w:after="120"/>
    </w:pPr>
  </w:style>
  <w:style w:type="paragraph" w:styleId="685">
    <w:name w:val="Block Text"/>
    <w:basedOn w:val="668"/>
    <w:uiPriority w:val="6"/>
    <w:qFormat/>
    <w:pPr>
      <w:ind w:left="256" w:right="6" w:firstLine="624"/>
    </w:pPr>
    <w:rPr>
      <w:rFonts w:eastAsia="仿宋"/>
      <w:sz w:val="28"/>
      <w:szCs w:val="20"/>
    </w:rPr>
  </w:style>
  <w:style w:type="paragraph" w:styleId="686">
    <w:name w:val="toc 5"/>
    <w:basedOn w:val="668"/>
    <w:next w:val="668"/>
    <w:uiPriority w:val="39"/>
    <w:unhideWhenUsed/>
    <w:qFormat/>
    <w:pPr>
      <w:ind w:left="1134" w:right="0" w:firstLine="0"/>
      <w:spacing w:after="57"/>
    </w:pPr>
  </w:style>
  <w:style w:type="paragraph" w:styleId="687">
    <w:name w:val="toc 3"/>
    <w:basedOn w:val="668"/>
    <w:next w:val="668"/>
    <w:uiPriority w:val="39"/>
    <w:unhideWhenUsed/>
    <w:qFormat/>
    <w:pPr>
      <w:ind w:left="567" w:right="0" w:firstLine="0"/>
      <w:spacing w:after="57"/>
    </w:pPr>
  </w:style>
  <w:style w:type="paragraph" w:styleId="688">
    <w:name w:val="Plain Text"/>
    <w:basedOn w:val="668"/>
    <w:uiPriority w:val="0"/>
    <w:qFormat/>
    <w:rPr>
      <w:rFonts w:ascii="宋体" w:hAnsi="Courier New" w:eastAsia="楷体_GB2312"/>
      <w:sz w:val="26"/>
    </w:rPr>
  </w:style>
  <w:style w:type="paragraph" w:styleId="689">
    <w:name w:val="toc 8"/>
    <w:basedOn w:val="668"/>
    <w:next w:val="668"/>
    <w:uiPriority w:val="39"/>
    <w:unhideWhenUsed/>
    <w:qFormat/>
    <w:pPr>
      <w:ind w:left="1984" w:right="0" w:firstLine="0"/>
      <w:spacing w:after="57"/>
    </w:pPr>
  </w:style>
  <w:style w:type="paragraph" w:styleId="690">
    <w:name w:val="endnote text"/>
    <w:basedOn w:val="668"/>
    <w:uiPriority w:val="99"/>
    <w:semiHidden/>
    <w:unhideWhenUsed/>
    <w:qFormat/>
    <w:pPr>
      <w:spacing w:after="0" w:line="240" w:lineRule="auto"/>
    </w:pPr>
    <w:rPr>
      <w:sz w:val="20"/>
    </w:rPr>
  </w:style>
  <w:style w:type="paragraph" w:styleId="691">
    <w:name w:val="Footer"/>
    <w:basedOn w:val="668"/>
    <w:uiPriority w:val="99"/>
    <w:unhideWhenUsed/>
    <w:qFormat/>
    <w:pPr>
      <w:spacing w:after="0" w:line="240" w:lineRule="auto"/>
      <w:tabs>
        <w:tab w:val="center" w:pos="7143" w:leader="none"/>
        <w:tab w:val="right" w:pos="14287" w:leader="none"/>
      </w:tabs>
    </w:pPr>
  </w:style>
  <w:style w:type="paragraph" w:styleId="692">
    <w:name w:val="Header"/>
    <w:basedOn w:val="668"/>
    <w:uiPriority w:val="99"/>
    <w:unhideWhenUsed/>
    <w:qFormat/>
    <w:pPr>
      <w:spacing w:after="0" w:line="240" w:lineRule="auto"/>
      <w:tabs>
        <w:tab w:val="center" w:pos="7143" w:leader="none"/>
        <w:tab w:val="right" w:pos="14287" w:leader="none"/>
      </w:tabs>
    </w:pPr>
  </w:style>
  <w:style w:type="paragraph" w:styleId="693">
    <w:name w:val="toc 4"/>
    <w:basedOn w:val="668"/>
    <w:next w:val="668"/>
    <w:uiPriority w:val="39"/>
    <w:unhideWhenUsed/>
    <w:qFormat/>
    <w:pPr>
      <w:ind w:left="850" w:right="0" w:firstLine="0"/>
      <w:spacing w:after="57"/>
    </w:pPr>
  </w:style>
  <w:style w:type="paragraph" w:styleId="694">
    <w:name w:val="Subtitle"/>
    <w:basedOn w:val="668"/>
    <w:next w:val="668"/>
    <w:uiPriority w:val="11"/>
    <w:qFormat/>
    <w:pPr>
      <w:spacing w:before="200" w:after="200"/>
    </w:pPr>
    <w:rPr>
      <w:sz w:val="24"/>
      <w:szCs w:val="24"/>
    </w:rPr>
  </w:style>
  <w:style w:type="paragraph" w:styleId="695">
    <w:name w:val="footnote text"/>
    <w:basedOn w:val="668"/>
    <w:uiPriority w:val="99"/>
    <w:semiHidden/>
    <w:unhideWhenUsed/>
    <w:qFormat/>
    <w:pPr>
      <w:spacing w:after="40" w:line="240" w:lineRule="auto"/>
    </w:pPr>
    <w:rPr>
      <w:sz w:val="18"/>
    </w:rPr>
  </w:style>
  <w:style w:type="paragraph" w:styleId="696">
    <w:name w:val="toc 6"/>
    <w:basedOn w:val="668"/>
    <w:next w:val="668"/>
    <w:uiPriority w:val="39"/>
    <w:unhideWhenUsed/>
    <w:qFormat/>
    <w:pPr>
      <w:ind w:left="1417" w:right="0" w:firstLine="0"/>
      <w:spacing w:after="57"/>
    </w:pPr>
  </w:style>
  <w:style w:type="paragraph" w:styleId="697">
    <w:name w:val="table of figures"/>
    <w:basedOn w:val="668"/>
    <w:next w:val="668"/>
    <w:uiPriority w:val="99"/>
    <w:unhideWhenUsed/>
    <w:qFormat/>
    <w:pPr>
      <w:spacing w:after="0" w:afterAutospacing="0"/>
    </w:pPr>
  </w:style>
  <w:style w:type="paragraph" w:styleId="698">
    <w:name w:val="toc 2"/>
    <w:basedOn w:val="668"/>
    <w:next w:val="668"/>
    <w:uiPriority w:val="39"/>
    <w:unhideWhenUsed/>
    <w:qFormat/>
    <w:pPr>
      <w:ind w:left="283" w:right="0" w:firstLine="0"/>
      <w:spacing w:after="57"/>
    </w:pPr>
  </w:style>
  <w:style w:type="paragraph" w:styleId="699">
    <w:name w:val="toc 9"/>
    <w:basedOn w:val="668"/>
    <w:next w:val="668"/>
    <w:uiPriority w:val="39"/>
    <w:unhideWhenUsed/>
    <w:qFormat/>
    <w:pPr>
      <w:ind w:left="2268" w:right="0" w:firstLine="0"/>
      <w:spacing w:after="57"/>
    </w:pPr>
  </w:style>
  <w:style w:type="paragraph" w:styleId="700">
    <w:name w:val="Normal (Web)"/>
    <w:basedOn w:val="668"/>
    <w:uiPriority w:val="99"/>
    <w:semiHidden/>
    <w:unhideWhenUsed/>
    <w:qFormat/>
    <w:pPr>
      <w:ind w:left="0" w:right="0"/>
      <w:jc w:val="left"/>
      <w:spacing w:before="0" w:beforeAutospacing="1" w:after="0" w:afterAutospacing="1"/>
    </w:pPr>
    <w:rPr>
      <w:sz w:val="24"/>
      <w:lang w:val="en-US" w:eastAsia="zh-CN" w:bidi="ar"/>
    </w:rPr>
  </w:style>
  <w:style w:type="paragraph" w:styleId="701">
    <w:name w:val="Title"/>
    <w:basedOn w:val="668"/>
    <w:next w:val="668"/>
    <w:uiPriority w:val="10"/>
    <w:qFormat/>
    <w:pPr>
      <w:contextualSpacing/>
      <w:spacing w:before="300" w:after="200"/>
    </w:pPr>
    <w:rPr>
      <w:sz w:val="48"/>
      <w:szCs w:val="48"/>
    </w:rPr>
  </w:style>
  <w:style w:type="paragraph" w:styleId="702">
    <w:name w:val="Body Text First Indent"/>
    <w:basedOn w:val="683"/>
    <w:next w:val="668"/>
    <w:uiPriority w:val="0"/>
    <w:qFormat/>
    <w:pPr>
      <w:ind w:firstLine="200"/>
      <w:spacing w:line="360" w:lineRule="auto"/>
    </w:pPr>
    <w:rPr>
      <w:rFonts w:ascii="仿宋_GB2312" w:eastAsia="仿宋_GB2312"/>
      <w:sz w:val="30"/>
      <w:szCs w:val="30"/>
    </w:rPr>
  </w:style>
  <w:style w:type="paragraph" w:styleId="703">
    <w:name w:val="Body Text First Indent 2"/>
    <w:basedOn w:val="684"/>
    <w:uiPriority w:val="0"/>
    <w:qFormat/>
    <w:pPr>
      <w:ind w:firstLine="420"/>
    </w:p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basedOn w:val="678"/>
    <w:uiPriority w:val="99"/>
    <w:unhideWhenUsed/>
    <w:qFormat/>
    <w:rPr>
      <w:color w:val="0000ff" w:themeColor="hyperlink"/>
      <w:u w:val="single"/>
    </w:rPr>
  </w:style>
  <w:style w:type="character" w:styleId="707">
    <w:name w:val="footnote reference"/>
    <w:uiPriority w:val="99"/>
    <w:unhideWhenUsed/>
    <w:qFormat/>
    <w:rPr>
      <w:vertAlign w:val="superscript"/>
    </w:rPr>
  </w:style>
  <w:style w:type="paragraph" w:styleId="708" w:customStyle="1">
    <w:name w:val="正文1"/>
    <w:basedOn w:val="709"/>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09" w:customStyle="1">
    <w:name w:val="正文111"/>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目录 111"/>
    <w:basedOn w:val="668"/>
    <w:next w:val="709"/>
    <w:uiPriority w:val="39"/>
    <w:unhideWhenUsed/>
    <w:qFormat/>
    <w:pPr>
      <w:jc w:val="left"/>
      <w:spacing w:after="100" w:line="259" w:lineRule="auto"/>
      <w:widowControl/>
    </w:pPr>
    <w:rPr>
      <w:rFonts w:ascii="Calibri" w:hAnsi="Calibri"/>
      <w:sz w:val="22"/>
      <w:szCs w:val="22"/>
    </w:rPr>
  </w:style>
  <w:style w:type="paragraph" w:styleId="711" w:customStyle="1">
    <w:name w:val="索引 41"/>
    <w:basedOn w:val="668"/>
    <w:next w:val="708"/>
    <w:uiPriority w:val="99"/>
    <w:unhideWhenUsed/>
    <w:qFormat/>
    <w:pPr>
      <w:ind w:left="600"/>
    </w:pPr>
    <w:rPr>
      <w:rFonts w:ascii="Calibri" w:hAnsi="Calibri"/>
      <w:szCs w:val="22"/>
    </w:rPr>
  </w:style>
  <w:style w:type="paragraph" w:styleId="712" w:customStyle="1">
    <w:name w:val="正文文本1"/>
    <w:basedOn w:val="708"/>
    <w:next w:val="713"/>
    <w:link w:val="824"/>
    <w:uiPriority w:val="0"/>
    <w:qFormat/>
    <w:pPr>
      <w:spacing w:after="120"/>
    </w:pPr>
    <w:rPr>
      <w:rFonts w:ascii="Calibri" w:hAnsi="Calibri"/>
    </w:r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6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basedOn w:val="716"/>
    <w:next w:val="668"/>
    <w:uiPriority w:val="0"/>
    <w:qFormat/>
    <w:pPr>
      <w:ind w:firstLine="200"/>
      <w:widowControl/>
    </w:pPr>
    <w:rPr>
      <w:rFonts w:hint="eastAsia" w:ascii="宋体"/>
      <w:szCs w:val="20"/>
    </w:rPr>
  </w:style>
  <w:style w:type="paragraph" w:styleId="716" w:customStyle="1">
    <w:name w:val="正文1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正文首行缩进 21"/>
    <w:basedOn w:val="718"/>
    <w:next w:val="720"/>
    <w:link w:val="836"/>
    <w:uiPriority w:val="0"/>
    <w:qFormat/>
    <w:pPr>
      <w:ind w:firstLine="420"/>
    </w:pPr>
    <w:rPr>
      <w:rFonts w:ascii="Times New Roman" w:hAnsi="Times New Roman"/>
    </w:rPr>
  </w:style>
  <w:style w:type="paragraph" w:styleId="718" w:customStyle="1">
    <w:name w:val="正文文本缩进1"/>
    <w:basedOn w:val="668"/>
    <w:next w:val="719"/>
    <w:link w:val="786"/>
    <w:uiPriority w:val="99"/>
    <w:qFormat/>
    <w:pPr>
      <w:ind w:left="420"/>
      <w:spacing w:after="120"/>
    </w:pPr>
    <w:rPr>
      <w:rFonts w:ascii="Calibri" w:hAnsi="Calibri"/>
    </w:rPr>
  </w:style>
  <w:style w:type="paragraph" w:styleId="719" w:customStyle="1">
    <w:name w:val="寄信人地址1"/>
    <w:basedOn w:val="668"/>
    <w:uiPriority w:val="0"/>
    <w:qFormat/>
    <w:rPr>
      <w:rFonts w:ascii="Arial" w:hAnsi="Arial"/>
    </w:rPr>
  </w:style>
  <w:style w:type="paragraph" w:styleId="720" w:customStyle="1">
    <w:name w:val="正文12"/>
    <w:next w:val="721"/>
    <w:uiPriority w:val="0"/>
    <w:qFormat/>
    <w:pPr>
      <w:jc w:val="both"/>
      <w:widowControl w:val="off"/>
    </w:pPr>
    <w:rPr>
      <w:rFonts w:hint="default" w:ascii="Arial" w:hAnsi="Arial" w:eastAsia="Arial" w:cs="Arial"/>
      <w:b/>
      <w:bCs/>
      <w:sz w:val="22"/>
      <w:szCs w:val="22"/>
      <w:lang w:val="en-US" w:eastAsia="zh-CN" w:bidi="ar-SA"/>
    </w:rPr>
  </w:style>
  <w:style w:type="paragraph" w:styleId="721" w:customStyle="1">
    <w:name w:val="文本块11"/>
    <w:basedOn w:val="720"/>
    <w:uiPriority w:val="6"/>
    <w:unhideWhenUsed/>
    <w:qFormat/>
    <w:pPr>
      <w:ind w:left="1440" w:right="1440"/>
      <w:spacing w:after="120"/>
    </w:pPr>
  </w:style>
  <w:style w:type="paragraph" w:styleId="722" w:customStyle="1">
    <w:name w:val="正文文本缩进11"/>
    <w:basedOn w:val="709"/>
    <w:next w:val="723"/>
    <w:uiPriority w:val="0"/>
    <w:qFormat/>
    <w:pPr>
      <w:ind w:firstLine="425"/>
      <w:spacing w:line="360" w:lineRule="auto"/>
    </w:pPr>
  </w:style>
  <w:style w:type="paragraph" w:styleId="723" w:customStyle="1">
    <w:name w:val="寄信人地址11"/>
    <w:basedOn w:val="716"/>
    <w:uiPriority w:val="0"/>
    <w:qFormat/>
    <w:rPr>
      <w:rFonts w:ascii="Arial" w:hAnsi="Arial"/>
    </w:rPr>
  </w:style>
  <w:style w:type="paragraph" w:styleId="724" w:customStyle="1">
    <w:name w:val="正文首行缩进11"/>
    <w:basedOn w:val="725"/>
    <w:next w:val="726"/>
    <w:uiPriority w:val="0"/>
    <w:qFormat/>
    <w:pPr>
      <w:ind w:firstLine="420"/>
    </w:pPr>
    <w:rPr>
      <w:rFonts w:ascii="仿宋_GB2312" w:hAnsi="Times New Roman" w:eastAsia="仿宋_GB2312"/>
      <w:sz w:val="30"/>
      <w:szCs w:val="30"/>
    </w:rPr>
  </w:style>
  <w:style w:type="paragraph" w:styleId="725" w:customStyle="1">
    <w:name w:val="正文文本11"/>
    <w:basedOn w:val="668"/>
    <w:next w:val="716"/>
    <w:uiPriority w:val="0"/>
    <w:qFormat/>
    <w:pPr>
      <w:spacing w:after="120"/>
    </w:pPr>
  </w:style>
  <w:style w:type="paragraph" w:styleId="726" w:customStyle="1">
    <w:name w:val="正文首行缩进 211"/>
    <w:basedOn w:val="722"/>
    <w:uiPriority w:val="0"/>
    <w:qFormat/>
    <w:pPr>
      <w:ind w:firstLine="420"/>
    </w:pPr>
  </w:style>
  <w:style w:type="paragraph" w:styleId="727" w:customStyle="1">
    <w:name w:val="标题 112"/>
    <w:basedOn w:val="668"/>
    <w:next w:val="668"/>
    <w:link w:val="738"/>
    <w:uiPriority w:val="9"/>
    <w:qFormat/>
    <w:pPr>
      <w:keepLines/>
      <w:keepNext/>
      <w:spacing w:before="480" w:after="200"/>
      <w:outlineLvl w:val="0"/>
    </w:pPr>
    <w:rPr>
      <w:rFonts w:ascii="Arial" w:hAnsi="Arial" w:eastAsia="Arial" w:cs="Arial"/>
      <w:sz w:val="40"/>
      <w:szCs w:val="40"/>
    </w:rPr>
  </w:style>
  <w:style w:type="paragraph" w:styleId="728" w:customStyle="1">
    <w:name w:val="标题 2111"/>
    <w:basedOn w:val="668"/>
    <w:next w:val="729"/>
    <w:link w:val="787"/>
    <w:uiPriority w:val="9"/>
    <w:unhideWhenUsed/>
    <w:qFormat/>
    <w:pPr>
      <w:keepLines/>
      <w:keepNext/>
      <w:spacing w:before="360" w:after="200"/>
      <w:outlineLvl w:val="1"/>
    </w:pPr>
    <w:rPr>
      <w:rFonts w:ascii="Arial" w:hAnsi="Arial" w:eastAsia="Arial" w:cs="Arial"/>
      <w:sz w:val="34"/>
    </w:rPr>
  </w:style>
  <w:style w:type="paragraph" w:styleId="729" w:customStyle="1">
    <w:name w:val="标题 311"/>
    <w:basedOn w:val="668"/>
    <w:next w:val="668"/>
    <w:link w:val="802"/>
    <w:uiPriority w:val="9"/>
    <w:unhideWhenUsed/>
    <w:qFormat/>
    <w:pPr>
      <w:keepLines/>
      <w:keepNext/>
      <w:spacing w:before="320" w:after="200"/>
      <w:outlineLvl w:val="2"/>
    </w:pPr>
    <w:rPr>
      <w:rFonts w:ascii="Arial" w:hAnsi="Arial" w:eastAsia="Arial" w:cs="Arial"/>
      <w:sz w:val="30"/>
      <w:szCs w:val="30"/>
    </w:rPr>
  </w:style>
  <w:style w:type="paragraph" w:styleId="730" w:customStyle="1">
    <w:name w:val="标题 411"/>
    <w:basedOn w:val="668"/>
    <w:next w:val="668"/>
    <w:link w:val="745"/>
    <w:uiPriority w:val="9"/>
    <w:unhideWhenUsed/>
    <w:qFormat/>
    <w:pPr>
      <w:keepLines/>
      <w:keepNext/>
      <w:spacing w:before="320" w:after="200"/>
      <w:outlineLvl w:val="3"/>
    </w:pPr>
    <w:rPr>
      <w:rFonts w:ascii="Arial" w:hAnsi="Arial" w:eastAsia="Arial" w:cs="Arial"/>
      <w:b/>
      <w:bCs/>
      <w:sz w:val="26"/>
      <w:szCs w:val="26"/>
    </w:rPr>
  </w:style>
  <w:style w:type="paragraph" w:styleId="731" w:customStyle="1">
    <w:name w:val="标题 511"/>
    <w:basedOn w:val="668"/>
    <w:next w:val="668"/>
    <w:link w:val="810"/>
    <w:uiPriority w:val="9"/>
    <w:unhideWhenUsed/>
    <w:qFormat/>
    <w:pPr>
      <w:keepLines/>
      <w:keepNext/>
      <w:spacing w:before="320" w:after="200"/>
      <w:outlineLvl w:val="4"/>
    </w:pPr>
    <w:rPr>
      <w:rFonts w:ascii="Arial" w:hAnsi="Arial" w:eastAsia="Arial" w:cs="Arial"/>
      <w:b/>
      <w:bCs/>
      <w:sz w:val="24"/>
      <w:szCs w:val="24"/>
    </w:rPr>
  </w:style>
  <w:style w:type="paragraph" w:styleId="732" w:customStyle="1">
    <w:name w:val="标题 61"/>
    <w:basedOn w:val="668"/>
    <w:next w:val="668"/>
    <w:link w:val="820"/>
    <w:uiPriority w:val="9"/>
    <w:unhideWhenUsed/>
    <w:qFormat/>
    <w:pPr>
      <w:keepLines/>
      <w:keepNext/>
      <w:spacing w:before="320" w:after="200"/>
      <w:outlineLvl w:val="5"/>
    </w:pPr>
    <w:rPr>
      <w:rFonts w:ascii="Arial" w:hAnsi="Arial" w:eastAsia="Arial" w:cs="Arial"/>
      <w:b/>
      <w:bCs/>
      <w:sz w:val="22"/>
      <w:szCs w:val="22"/>
    </w:rPr>
  </w:style>
  <w:style w:type="paragraph" w:styleId="733" w:customStyle="1">
    <w:name w:val="标题 711"/>
    <w:basedOn w:val="668"/>
    <w:next w:val="668"/>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4" w:customStyle="1">
    <w:name w:val="标题 81"/>
    <w:basedOn w:val="668"/>
    <w:next w:val="668"/>
    <w:link w:val="814"/>
    <w:uiPriority w:val="9"/>
    <w:unhideWhenUsed/>
    <w:qFormat/>
    <w:pPr>
      <w:keepLines/>
      <w:keepNext/>
      <w:spacing w:before="320" w:after="200"/>
      <w:outlineLvl w:val="7"/>
    </w:pPr>
    <w:rPr>
      <w:rFonts w:ascii="Arial" w:hAnsi="Arial" w:eastAsia="Arial" w:cs="Arial"/>
      <w:i/>
      <w:iCs/>
      <w:sz w:val="22"/>
      <w:szCs w:val="22"/>
    </w:rPr>
  </w:style>
  <w:style w:type="paragraph" w:styleId="735" w:customStyle="1">
    <w:name w:val="标题 91"/>
    <w:basedOn w:val="668"/>
    <w:next w:val="668"/>
    <w:link w:val="752"/>
    <w:uiPriority w:val="9"/>
    <w:unhideWhenUsed/>
    <w:qFormat/>
    <w:pPr>
      <w:keepLines/>
      <w:keepNext/>
      <w:spacing w:before="320" w:after="200"/>
      <w:outlineLvl w:val="8"/>
    </w:pPr>
    <w:rPr>
      <w:rFonts w:ascii="Arial" w:hAnsi="Arial" w:eastAsia="Arial" w:cs="Arial"/>
      <w:i/>
      <w:iCs/>
      <w:sz w:val="21"/>
      <w:szCs w:val="21"/>
    </w:rPr>
  </w:style>
  <w:style w:type="character" w:styleId="736" w:customStyle="1">
    <w:name w:val="默认段落字体11"/>
    <w:link w:val="668"/>
    <w:uiPriority w:val="1"/>
    <w:unhideWhenUsed/>
    <w:qFormat/>
  </w:style>
  <w:style w:type="table" w:styleId="737" w:customStyle="1">
    <w:name w:val="普通表格11"/>
    <w:uiPriority w:val="99"/>
    <w:unhideWhenUsed/>
    <w:qFormat/>
    <w:tblPr/>
  </w:style>
  <w:style w:type="character" w:styleId="738" w:customStyle="1">
    <w:name w:val="Heading 1 Char"/>
    <w:link w:val="727"/>
    <w:uiPriority w:val="9"/>
    <w:qFormat/>
    <w:rPr>
      <w:rFonts w:ascii="Arial" w:hAnsi="Arial" w:eastAsia="Arial" w:cs="Arial"/>
      <w:sz w:val="40"/>
      <w:szCs w:val="40"/>
    </w:rPr>
  </w:style>
  <w:style w:type="character" w:styleId="739" w:customStyle="1">
    <w:name w:val="标题 2 字符"/>
    <w:link w:val="668"/>
    <w:uiPriority w:val="0"/>
    <w:semiHidden/>
    <w:qFormat/>
    <w:rPr>
      <w:rFonts w:ascii="等线 Light" w:hAnsi="等线 Light" w:eastAsia="等线 Light" w:cs="Times New Roman"/>
      <w:b/>
      <w:bCs/>
      <w:sz w:val="32"/>
      <w:szCs w:val="32"/>
    </w:rPr>
  </w:style>
  <w:style w:type="character" w:styleId="740" w:customStyle="1">
    <w:name w:val="apple-converted-space"/>
    <w:link w:val="668"/>
    <w:uiPriority w:val="0"/>
    <w:qFormat/>
  </w:style>
  <w:style w:type="character" w:styleId="741" w:customStyle="1">
    <w:name w:val="Quote Char"/>
    <w:link w:val="742"/>
    <w:uiPriority w:val="29"/>
    <w:qFormat/>
    <w:rPr>
      <w:i/>
    </w:rPr>
  </w:style>
  <w:style w:type="paragraph" w:styleId="742">
    <w:name w:val="Quote"/>
    <w:basedOn w:val="668"/>
    <w:next w:val="668"/>
    <w:link w:val="741"/>
    <w:uiPriority w:val="29"/>
    <w:qFormat/>
    <w:pPr>
      <w:ind w:left="720" w:right="720"/>
    </w:pPr>
    <w:rPr>
      <w:i/>
    </w:rPr>
  </w:style>
  <w:style w:type="character" w:styleId="743" w:customStyle="1">
    <w:name w:val="批注文字 字符"/>
    <w:link w:val="744"/>
    <w:uiPriority w:val="0"/>
    <w:qFormat/>
    <w:rPr>
      <w:sz w:val="21"/>
      <w:szCs w:val="24"/>
    </w:rPr>
  </w:style>
  <w:style w:type="paragraph" w:styleId="744" w:customStyle="1">
    <w:name w:val="批注文字1"/>
    <w:basedOn w:val="668"/>
    <w:link w:val="743"/>
    <w:uiPriority w:val="0"/>
    <w:qFormat/>
    <w:pPr>
      <w:jc w:val="left"/>
    </w:pPr>
  </w:style>
  <w:style w:type="character" w:styleId="745" w:customStyle="1">
    <w:name w:val="Heading 4 Char"/>
    <w:link w:val="730"/>
    <w:uiPriority w:val="9"/>
    <w:qFormat/>
    <w:rPr>
      <w:rFonts w:ascii="Arial" w:hAnsi="Arial" w:eastAsia="Arial" w:cs="Arial"/>
      <w:b/>
      <w:bCs/>
      <w:sz w:val="26"/>
      <w:szCs w:val="26"/>
    </w:rPr>
  </w:style>
  <w:style w:type="character" w:styleId="746" w:customStyle="1">
    <w:name w:val="标题 5 字符"/>
    <w:link w:val="747"/>
    <w:uiPriority w:val="0"/>
    <w:semiHidden/>
    <w:qFormat/>
    <w:rPr>
      <w:b/>
      <w:bCs/>
      <w:sz w:val="28"/>
      <w:szCs w:val="28"/>
    </w:rPr>
  </w:style>
  <w:style w:type="paragraph" w:styleId="747" w:customStyle="1">
    <w:name w:val="标题 51"/>
    <w:basedOn w:val="668"/>
    <w:next w:val="668"/>
    <w:link w:val="746"/>
    <w:uiPriority w:val="0"/>
    <w:qFormat/>
    <w:pPr>
      <w:keepLines/>
      <w:keepNext/>
      <w:spacing w:before="280" w:after="290" w:line="376" w:lineRule="auto"/>
      <w:outlineLvl w:val="4"/>
    </w:pPr>
    <w:rPr>
      <w:b/>
      <w:bCs/>
      <w:sz w:val="28"/>
      <w:szCs w:val="28"/>
    </w:rPr>
  </w:style>
  <w:style w:type="character" w:styleId="748" w:customStyle="1">
    <w:name w:val="标题 7 字符"/>
    <w:link w:val="749"/>
    <w:uiPriority w:val="9"/>
    <w:semiHidden/>
    <w:qFormat/>
    <w:rPr>
      <w:rFonts w:ascii="Calibri" w:hAnsi="Calibri"/>
      <w:b/>
      <w:bCs/>
      <w:sz w:val="24"/>
      <w:szCs w:val="24"/>
    </w:rPr>
  </w:style>
  <w:style w:type="paragraph" w:styleId="749" w:customStyle="1">
    <w:name w:val="标题 71"/>
    <w:basedOn w:val="668"/>
    <w:next w:val="668"/>
    <w:link w:val="748"/>
    <w:uiPriority w:val="9"/>
    <w:qFormat/>
    <w:pPr>
      <w:keepLines/>
      <w:keepNext/>
      <w:spacing w:before="240" w:after="64" w:line="320" w:lineRule="auto"/>
      <w:outlineLvl w:val="6"/>
    </w:pPr>
    <w:rPr>
      <w:rFonts w:ascii="Calibri" w:hAnsi="Calibri"/>
      <w:b/>
      <w:bCs/>
      <w:sz w:val="24"/>
    </w:rPr>
  </w:style>
  <w:style w:type="character" w:styleId="750" w:customStyle="1">
    <w:name w:val="正文文本首行缩进 字符1"/>
    <w:link w:val="751"/>
    <w:uiPriority w:val="0"/>
    <w:qFormat/>
    <w:rPr>
      <w:rFonts w:ascii="仿宋_GB2312" w:hAnsi="Times New Roman" w:eastAsia="仿宋_GB2312"/>
      <w:sz w:val="30"/>
      <w:szCs w:val="30"/>
    </w:rPr>
  </w:style>
  <w:style w:type="paragraph" w:styleId="751" w:customStyle="1">
    <w:name w:val="正文首行缩进1"/>
    <w:basedOn w:val="712"/>
    <w:link w:val="750"/>
    <w:uiPriority w:val="0"/>
    <w:qFormat/>
    <w:pPr>
      <w:ind w:firstLine="420"/>
    </w:pPr>
    <w:rPr>
      <w:rFonts w:ascii="仿宋_GB2312" w:hAnsi="Times New Roman" w:eastAsia="仿宋_GB2312"/>
      <w:sz w:val="30"/>
      <w:szCs w:val="30"/>
    </w:rPr>
  </w:style>
  <w:style w:type="character" w:styleId="752" w:customStyle="1">
    <w:name w:val="Heading 9 Char"/>
    <w:link w:val="735"/>
    <w:uiPriority w:val="9"/>
    <w:qFormat/>
    <w:rPr>
      <w:rFonts w:ascii="Arial" w:hAnsi="Arial" w:eastAsia="Arial" w:cs="Arial"/>
      <w:i/>
      <w:iCs/>
      <w:sz w:val="21"/>
      <w:szCs w:val="21"/>
    </w:rPr>
  </w:style>
  <w:style w:type="character" w:styleId="753" w:customStyle="1">
    <w:name w:val="页脚 字符"/>
    <w:link w:val="754"/>
    <w:uiPriority w:val="99"/>
    <w:qFormat/>
    <w:rPr>
      <w:sz w:val="18"/>
      <w:szCs w:val="18"/>
    </w:rPr>
  </w:style>
  <w:style w:type="paragraph" w:styleId="754" w:customStyle="1">
    <w:name w:val="页脚1"/>
    <w:basedOn w:val="668"/>
    <w:link w:val="753"/>
    <w:uiPriority w:val="0"/>
    <w:qFormat/>
    <w:pPr>
      <w:jc w:val="left"/>
      <w:tabs>
        <w:tab w:val="center" w:pos="4153" w:leader="none"/>
        <w:tab w:val="right" w:pos="8306" w:leader="none"/>
      </w:tabs>
    </w:pPr>
    <w:rPr>
      <w:sz w:val="18"/>
      <w:szCs w:val="18"/>
    </w:rPr>
  </w:style>
  <w:style w:type="character" w:styleId="755" w:customStyle="1">
    <w:name w:val="正文缩进 字符"/>
    <w:link w:val="756"/>
    <w:uiPriority w:val="0"/>
    <w:qFormat/>
    <w:rPr>
      <w:sz w:val="21"/>
      <w:szCs w:val="24"/>
      <w:lang w:bidi="ar-SA"/>
    </w:rPr>
  </w:style>
  <w:style w:type="paragraph" w:styleId="756" w:customStyle="1">
    <w:name w:val="正文缩进1"/>
    <w:basedOn w:val="668"/>
    <w:link w:val="755"/>
    <w:uiPriority w:val="0"/>
    <w:qFormat/>
    <w:pPr>
      <w:ind w:firstLine="420"/>
    </w:pPr>
  </w:style>
  <w:style w:type="character" w:styleId="757" w:customStyle="1">
    <w:name w:val="超链接11"/>
    <w:link w:val="668"/>
    <w:uiPriority w:val="99"/>
    <w:unhideWhenUsed/>
    <w:qFormat/>
    <w:rPr>
      <w:color w:val="0000ff"/>
      <w:u w:val="single"/>
    </w:rPr>
  </w:style>
  <w:style w:type="character" w:styleId="758" w:customStyle="1">
    <w:name w:val="标题 4 Char"/>
    <w:link w:val="668"/>
    <w:uiPriority w:val="9"/>
    <w:semiHidden/>
    <w:qFormat/>
    <w:rPr>
      <w:rFonts w:ascii="Cambria" w:hAnsi="Cambria" w:eastAsia="宋体" w:cs="Times New Roman"/>
      <w:b/>
      <w:bCs/>
      <w:sz w:val="28"/>
      <w:szCs w:val="28"/>
    </w:rPr>
  </w:style>
  <w:style w:type="character" w:styleId="759" w:customStyle="1">
    <w:name w:val="要点1"/>
    <w:link w:val="668"/>
    <w:uiPriority w:val="0"/>
    <w:qFormat/>
    <w:rPr>
      <w:b/>
      <w:bCs/>
    </w:rPr>
  </w:style>
  <w:style w:type="character" w:styleId="760" w:customStyle="1">
    <w:name w:val="fontstyle01"/>
    <w:link w:val="668"/>
    <w:uiPriority w:val="0"/>
    <w:qFormat/>
    <w:rPr>
      <w:rFonts w:ascii="MicrosoftYaHeiLight" w:hAnsi="MicrosoftYaHeiLight"/>
      <w:color w:val="000000"/>
      <w:sz w:val="22"/>
      <w:szCs w:val="22"/>
    </w:rPr>
  </w:style>
  <w:style w:type="character" w:styleId="761" w:customStyle="1">
    <w:name w:val="纯文本 字符"/>
    <w:link w:val="762"/>
    <w:uiPriority w:val="0"/>
    <w:qFormat/>
    <w:rPr>
      <w:rFonts w:ascii="宋体" w:hAnsi="Courier New"/>
      <w:sz w:val="21"/>
    </w:rPr>
  </w:style>
  <w:style w:type="paragraph" w:styleId="762" w:customStyle="1">
    <w:name w:val="纯文本1"/>
    <w:basedOn w:val="709"/>
    <w:link w:val="761"/>
    <w:uiPriority w:val="0"/>
    <w:qFormat/>
    <w:rPr>
      <w:rFonts w:ascii="宋体" w:hAnsi="Courier New"/>
      <w:szCs w:val="20"/>
    </w:rPr>
  </w:style>
  <w:style w:type="character" w:styleId="763" w:customStyle="1">
    <w:name w:val="批注主题 字符"/>
    <w:link w:val="764"/>
    <w:uiPriority w:val="0"/>
    <w:qFormat/>
    <w:rPr>
      <w:b/>
      <w:bCs/>
      <w:sz w:val="21"/>
      <w:szCs w:val="24"/>
    </w:rPr>
  </w:style>
  <w:style w:type="paragraph" w:styleId="764" w:customStyle="1">
    <w:name w:val="批注主题1"/>
    <w:basedOn w:val="744"/>
    <w:next w:val="744"/>
    <w:link w:val="763"/>
    <w:uiPriority w:val="0"/>
    <w:qFormat/>
    <w:rPr>
      <w:b/>
      <w:bCs/>
    </w:rPr>
  </w:style>
  <w:style w:type="character" w:styleId="765" w:customStyle="1">
    <w:name w:val="批注文字 Char1"/>
    <w:link w:val="668"/>
    <w:uiPriority w:val="0"/>
    <w:qFormat/>
    <w:rPr>
      <w:sz w:val="21"/>
      <w:szCs w:val="24"/>
    </w:rPr>
  </w:style>
  <w:style w:type="character" w:styleId="766" w:customStyle="1">
    <w:name w:val="页眉 字符"/>
    <w:link w:val="767"/>
    <w:uiPriority w:val="0"/>
    <w:qFormat/>
    <w:rPr>
      <w:sz w:val="18"/>
      <w:szCs w:val="18"/>
    </w:rPr>
  </w:style>
  <w:style w:type="paragraph" w:styleId="767" w:customStyle="1">
    <w:name w:val="页眉1"/>
    <w:basedOn w:val="668"/>
    <w:link w:val="766"/>
    <w:uiPriority w:val="0"/>
    <w:qFormat/>
    <w:pPr>
      <w:jc w:val="center"/>
      <w:tabs>
        <w:tab w:val="center" w:pos="4153" w:leader="none"/>
        <w:tab w:val="right" w:pos="8306" w:leader="none"/>
      </w:tabs>
      <w:pBdr>
        <w:bottom w:val="single" w:color="000000" w:sz="6" w:space="1"/>
      </w:pBdr>
    </w:pPr>
    <w:rPr>
      <w:sz w:val="18"/>
      <w:szCs w:val="18"/>
    </w:rPr>
  </w:style>
  <w:style w:type="character" w:styleId="768" w:customStyle="1">
    <w:name w:val="标题 2 Char"/>
    <w:link w:val="668"/>
    <w:uiPriority w:val="0"/>
    <w:qFormat/>
    <w:rPr>
      <w:rFonts w:ascii="Cambria" w:hAnsi="Cambria" w:eastAsia="宋体" w:cs="Times New Roman"/>
      <w:b/>
      <w:bCs/>
      <w:sz w:val="32"/>
      <w:szCs w:val="32"/>
    </w:rPr>
  </w:style>
  <w:style w:type="character" w:styleId="769" w:customStyle="1">
    <w:name w:val="Heading 7 Char"/>
    <w:link w:val="733"/>
    <w:uiPriority w:val="9"/>
    <w:qFormat/>
    <w:rPr>
      <w:rFonts w:ascii="Arial" w:hAnsi="Arial" w:eastAsia="Arial" w:cs="Arial"/>
      <w:b/>
      <w:bCs/>
      <w:i/>
      <w:iCs/>
      <w:sz w:val="22"/>
      <w:szCs w:val="22"/>
    </w:rPr>
  </w:style>
  <w:style w:type="character" w:styleId="770" w:customStyle="1">
    <w:name w:val="正文文本首行缩进 字符"/>
    <w:link w:val="668"/>
    <w:uiPriority w:val="0"/>
    <w:qFormat/>
  </w:style>
  <w:style w:type="character" w:styleId="771" w:customStyle="1">
    <w:name w:val="纯文本 Char1"/>
    <w:link w:val="668"/>
    <w:uiPriority w:val="0"/>
    <w:qFormat/>
    <w:rPr>
      <w:rFonts w:ascii="宋体" w:hAnsi="Courier New" w:eastAsia="宋体" w:cs="Times New Roman"/>
      <w:szCs w:val="20"/>
    </w:rPr>
  </w:style>
  <w:style w:type="character" w:styleId="772" w:customStyle="1">
    <w:name w:val="标题 4 字符1"/>
    <w:link w:val="773"/>
    <w:uiPriority w:val="9"/>
    <w:semiHidden/>
    <w:qFormat/>
    <w:rPr>
      <w:rFonts w:ascii="Cambria" w:hAnsi="Cambria"/>
      <w:b/>
      <w:bCs/>
      <w:sz w:val="28"/>
      <w:szCs w:val="28"/>
    </w:rPr>
  </w:style>
  <w:style w:type="paragraph" w:styleId="773" w:customStyle="1">
    <w:name w:val="标题 41"/>
    <w:basedOn w:val="716"/>
    <w:next w:val="716"/>
    <w:link w:val="772"/>
    <w:uiPriority w:val="9"/>
    <w:qFormat/>
    <w:pPr>
      <w:keepLines/>
      <w:keepNext/>
      <w:spacing w:before="280" w:after="290" w:line="376" w:lineRule="auto"/>
      <w:outlineLvl w:val="3"/>
    </w:pPr>
    <w:rPr>
      <w:rFonts w:ascii="Cambria" w:hAnsi="Cambria"/>
      <w:b/>
      <w:bCs/>
      <w:sz w:val="28"/>
      <w:szCs w:val="28"/>
    </w:rPr>
  </w:style>
  <w:style w:type="paragraph" w:styleId="774" w:customStyle="1">
    <w:name w:val="正文112"/>
    <w:next w:val="77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5" w:customStyle="1">
    <w:name w:val="font41"/>
    <w:basedOn w:val="678"/>
    <w:link w:val="668"/>
    <w:uiPriority w:val="0"/>
    <w:qFormat/>
    <w:rPr>
      <w:rFonts w:ascii="Symbol" w:hAnsi="Symbol" w:cs="Symbol"/>
      <w:color w:val="000000"/>
      <w:sz w:val="20"/>
      <w:szCs w:val="20"/>
      <w:u w:val="none"/>
    </w:rPr>
  </w:style>
  <w:style w:type="character" w:styleId="776" w:customStyle="1">
    <w:name w:val="批注主题 Char"/>
    <w:link w:val="668"/>
    <w:uiPriority w:val="0"/>
    <w:qFormat/>
    <w:rPr>
      <w:rFonts w:ascii="Times New Roman" w:hAnsi="Times New Roman"/>
      <w:b/>
      <w:bCs/>
      <w:sz w:val="21"/>
    </w:rPr>
  </w:style>
  <w:style w:type="character" w:styleId="777" w:customStyle="1">
    <w:name w:val="Header Char"/>
    <w:link w:val="778"/>
    <w:uiPriority w:val="99"/>
    <w:qFormat/>
  </w:style>
  <w:style w:type="paragraph" w:styleId="778" w:customStyle="1">
    <w:name w:val="页眉11"/>
    <w:basedOn w:val="668"/>
    <w:link w:val="777"/>
    <w:uiPriority w:val="99"/>
    <w:unhideWhenUsed/>
    <w:qFormat/>
    <w:pPr>
      <w:spacing w:after="0" w:line="240" w:lineRule="auto"/>
      <w:tabs>
        <w:tab w:val="center" w:pos="7143" w:leader="none"/>
        <w:tab w:val="right" w:pos="14287" w:leader="none"/>
      </w:tabs>
    </w:pPr>
  </w:style>
  <w:style w:type="character" w:styleId="779" w:customStyle="1">
    <w:name w:val="正文文本 Char"/>
    <w:link w:val="668"/>
    <w:uiPriority w:val="0"/>
    <w:qFormat/>
    <w:rPr>
      <w:sz w:val="21"/>
      <w:szCs w:val="24"/>
    </w:rPr>
  </w:style>
  <w:style w:type="character" w:styleId="780" w:customStyle="1">
    <w:name w:val="标题 3 字符"/>
    <w:link w:val="781"/>
    <w:uiPriority w:val="0"/>
    <w:semiHidden/>
    <w:qFormat/>
    <w:rPr>
      <w:b/>
      <w:bCs/>
      <w:sz w:val="32"/>
      <w:szCs w:val="32"/>
    </w:rPr>
  </w:style>
  <w:style w:type="paragraph" w:styleId="781" w:customStyle="1">
    <w:name w:val="标题 31"/>
    <w:basedOn w:val="668"/>
    <w:next w:val="668"/>
    <w:link w:val="780"/>
    <w:uiPriority w:val="9"/>
    <w:qFormat/>
    <w:pPr>
      <w:keepLines/>
      <w:keepNext/>
      <w:spacing w:before="260" w:after="260" w:line="416" w:lineRule="auto"/>
      <w:outlineLvl w:val="2"/>
    </w:pPr>
    <w:rPr>
      <w:b/>
      <w:bCs/>
      <w:sz w:val="32"/>
      <w:szCs w:val="32"/>
    </w:rPr>
  </w:style>
  <w:style w:type="character" w:styleId="782" w:customStyle="1">
    <w:name w:val="文档结构图 字符"/>
    <w:link w:val="668"/>
    <w:uiPriority w:val="0"/>
    <w:qFormat/>
    <w:rPr>
      <w:rFonts w:ascii="Microsoft YaHei UI" w:eastAsia="Microsoft YaHei UI"/>
      <w:sz w:val="18"/>
      <w:szCs w:val="18"/>
    </w:rPr>
  </w:style>
  <w:style w:type="character" w:styleId="783" w:customStyle="1">
    <w:name w:val="页码1"/>
    <w:link w:val="668"/>
    <w:uiPriority w:val="0"/>
    <w:qFormat/>
  </w:style>
  <w:style w:type="character" w:styleId="784" w:customStyle="1">
    <w:name w:val="Endnote Text Char"/>
    <w:link w:val="785"/>
    <w:uiPriority w:val="99"/>
    <w:qFormat/>
    <w:rPr>
      <w:sz w:val="20"/>
    </w:rPr>
  </w:style>
  <w:style w:type="paragraph" w:styleId="785" w:customStyle="1">
    <w:name w:val="尾注文本1"/>
    <w:basedOn w:val="668"/>
    <w:link w:val="784"/>
    <w:uiPriority w:val="99"/>
    <w:unhideWhenUsed/>
    <w:qFormat/>
    <w:pPr>
      <w:spacing w:after="0" w:line="240" w:lineRule="auto"/>
    </w:pPr>
    <w:rPr>
      <w:sz w:val="20"/>
    </w:rPr>
  </w:style>
  <w:style w:type="character" w:styleId="786" w:customStyle="1">
    <w:name w:val="正文文本缩进 字符"/>
    <w:link w:val="718"/>
    <w:uiPriority w:val="99"/>
    <w:qFormat/>
    <w:rPr>
      <w:rFonts w:ascii="Calibri" w:hAnsi="Calibri"/>
      <w:sz w:val="21"/>
      <w:szCs w:val="24"/>
    </w:rPr>
  </w:style>
  <w:style w:type="character" w:styleId="787" w:customStyle="1">
    <w:name w:val="Heading 2 Char"/>
    <w:link w:val="728"/>
    <w:uiPriority w:val="9"/>
    <w:qFormat/>
    <w:rPr>
      <w:rFonts w:ascii="Arial" w:hAnsi="Arial" w:eastAsia="Arial" w:cs="Arial"/>
      <w:sz w:val="34"/>
    </w:rPr>
  </w:style>
  <w:style w:type="character" w:styleId="788" w:customStyle="1">
    <w:name w:val="标书正文 Char1"/>
    <w:link w:val="789"/>
    <w:uiPriority w:val="0"/>
    <w:qFormat/>
    <w:rPr>
      <w:color w:val="000000"/>
      <w:sz w:val="22"/>
      <w:szCs w:val="28"/>
      <w:lang w:eastAsia="en-US"/>
    </w:rPr>
  </w:style>
  <w:style w:type="paragraph" w:styleId="789" w:customStyle="1">
    <w:name w:val="标书正文"/>
    <w:basedOn w:val="668"/>
    <w:link w:val="78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790" w:customStyle="1">
    <w:name w:val="强调1"/>
    <w:link w:val="668"/>
    <w:uiPriority w:val="0"/>
    <w:qFormat/>
    <w:rPr>
      <w:i/>
    </w:rPr>
  </w:style>
  <w:style w:type="character" w:styleId="791" w:customStyle="1">
    <w:name w:val="尾注引用1"/>
    <w:link w:val="668"/>
    <w:uiPriority w:val="99"/>
    <w:unhideWhenUsed/>
    <w:qFormat/>
    <w:rPr>
      <w:vertAlign w:val="superscript"/>
    </w:rPr>
  </w:style>
  <w:style w:type="character" w:styleId="792" w:customStyle="1">
    <w:name w:val="默认段落字体1"/>
    <w:link w:val="668"/>
    <w:uiPriority w:val="0"/>
    <w:semiHidden/>
    <w:qFormat/>
  </w:style>
  <w:style w:type="character" w:styleId="793" w:customStyle="1">
    <w:name w:val="页脚 Char"/>
    <w:link w:val="668"/>
    <w:uiPriority w:val="0"/>
    <w:qFormat/>
    <w:rPr>
      <w:sz w:val="18"/>
      <w:szCs w:val="18"/>
    </w:rPr>
  </w:style>
  <w:style w:type="character" w:styleId="794" w:customStyle="1">
    <w:name w:val="批注文字 Char"/>
    <w:link w:val="668"/>
    <w:uiPriority w:val="0"/>
    <w:qFormat/>
    <w:rPr>
      <w:rFonts w:ascii="Times New Roman" w:hAnsi="Times New Roman"/>
      <w:sz w:val="21"/>
    </w:rPr>
  </w:style>
  <w:style w:type="character" w:styleId="795" w:customStyle="1">
    <w:name w:val="标题 4 字符"/>
    <w:link w:val="668"/>
    <w:uiPriority w:val="0"/>
    <w:semiHidden/>
    <w:qFormat/>
    <w:rPr>
      <w:rFonts w:ascii="等线 Light" w:hAnsi="等线 Light" w:eastAsia="等线 Light" w:cs="Times New Roman"/>
      <w:b/>
      <w:bCs/>
      <w:sz w:val="28"/>
      <w:szCs w:val="28"/>
    </w:rPr>
  </w:style>
  <w:style w:type="character" w:styleId="796" w:customStyle="1">
    <w:name w:val="超链接1"/>
    <w:link w:val="668"/>
    <w:uiPriority w:val="0"/>
    <w:unhideWhenUsed/>
    <w:qFormat/>
    <w:rPr>
      <w:color w:val="0000ff"/>
      <w:u w:val="single"/>
    </w:rPr>
  </w:style>
  <w:style w:type="character" w:styleId="797" w:customStyle="1">
    <w:name w:val="正文首行缩进 2 字符"/>
    <w:link w:val="798"/>
    <w:uiPriority w:val="99"/>
    <w:qFormat/>
    <w:rPr>
      <w:sz w:val="21"/>
      <w:szCs w:val="24"/>
    </w:rPr>
  </w:style>
  <w:style w:type="paragraph" w:styleId="798" w:customStyle="1">
    <w:name w:val="_Style 63"/>
    <w:basedOn w:val="718"/>
    <w:next w:val="668"/>
    <w:link w:val="797"/>
    <w:uiPriority w:val="99"/>
    <w:unhideWhenUsed/>
    <w:qFormat/>
    <w:pPr>
      <w:ind w:firstLine="420"/>
    </w:pPr>
    <w:rPr>
      <w:rFonts w:ascii="Times New Roman" w:hAnsi="Times New Roman"/>
    </w:rPr>
  </w:style>
  <w:style w:type="character" w:styleId="799" w:customStyle="1">
    <w:name w:val="标题 1 字符"/>
    <w:link w:val="800"/>
    <w:uiPriority w:val="0"/>
    <w:qFormat/>
    <w:rPr>
      <w:rFonts w:eastAsia="新宋体"/>
      <w:b/>
      <w:bCs/>
      <w:sz w:val="30"/>
      <w:szCs w:val="44"/>
    </w:rPr>
  </w:style>
  <w:style w:type="paragraph" w:styleId="800" w:customStyle="1">
    <w:name w:val="标题 111"/>
    <w:basedOn w:val="668"/>
    <w:next w:val="668"/>
    <w:link w:val="799"/>
    <w:uiPriority w:val="9"/>
    <w:qFormat/>
    <w:pPr>
      <w:jc w:val="center"/>
      <w:keepLines/>
      <w:keepNext/>
      <w:spacing w:line="578" w:lineRule="auto"/>
      <w:outlineLvl w:val="0"/>
    </w:pPr>
    <w:rPr>
      <w:rFonts w:eastAsia="新宋体"/>
      <w:b/>
      <w:bCs/>
      <w:sz w:val="30"/>
      <w:szCs w:val="44"/>
    </w:rPr>
  </w:style>
  <w:style w:type="character" w:styleId="801" w:customStyle="1">
    <w:name w:val="纯文本 Char"/>
    <w:link w:val="668"/>
    <w:uiPriority w:val="0"/>
    <w:qFormat/>
    <w:rPr>
      <w:rFonts w:ascii="宋体" w:hAnsi="Courier New" w:eastAsia="宋体" w:cs="Courier New"/>
      <w:szCs w:val="21"/>
    </w:rPr>
  </w:style>
  <w:style w:type="character" w:styleId="802" w:customStyle="1">
    <w:name w:val="Heading 3 Char"/>
    <w:link w:val="729"/>
    <w:uiPriority w:val="9"/>
    <w:qFormat/>
    <w:rPr>
      <w:rFonts w:ascii="Arial" w:hAnsi="Arial" w:eastAsia="Arial" w:cs="Arial"/>
      <w:sz w:val="30"/>
      <w:szCs w:val="30"/>
    </w:rPr>
  </w:style>
  <w:style w:type="character" w:styleId="803" w:customStyle="1">
    <w:name w:val="Intense Quote Char"/>
    <w:link w:val="804"/>
    <w:uiPriority w:val="30"/>
    <w:qFormat/>
    <w:rPr>
      <w:i/>
    </w:rPr>
  </w:style>
  <w:style w:type="paragraph" w:styleId="804">
    <w:name w:val="Intense Quote"/>
    <w:basedOn w:val="668"/>
    <w:next w:val="66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脚注引用1"/>
    <w:link w:val="668"/>
    <w:uiPriority w:val="99"/>
    <w:unhideWhenUsed/>
    <w:qFormat/>
    <w:rPr>
      <w:vertAlign w:val="superscript"/>
    </w:rPr>
  </w:style>
  <w:style w:type="character" w:styleId="806" w:customStyle="1">
    <w:name w:val="标题 3 Char"/>
    <w:link w:val="668"/>
    <w:uiPriority w:val="9"/>
    <w:qFormat/>
    <w:rPr>
      <w:rFonts w:ascii="Arial" w:hAnsi="Arial" w:eastAsia="宋体" w:cs="Times New Roman"/>
      <w:b/>
      <w:sz w:val="32"/>
      <w:szCs w:val="20"/>
    </w:rPr>
  </w:style>
  <w:style w:type="character" w:styleId="807" w:customStyle="1">
    <w:name w:val="Caption Char"/>
    <w:link w:val="668"/>
    <w:uiPriority w:val="99"/>
    <w:qFormat/>
  </w:style>
  <w:style w:type="character" w:styleId="808" w:customStyle="1">
    <w:name w:val="页眉 Char"/>
    <w:link w:val="668"/>
    <w:uiPriority w:val="0"/>
    <w:qFormat/>
    <w:rPr>
      <w:sz w:val="18"/>
      <w:szCs w:val="18"/>
    </w:rPr>
  </w:style>
  <w:style w:type="character" w:styleId="809" w:customStyle="1">
    <w:name w:val="文档结构图 Char"/>
    <w:link w:val="668"/>
    <w:uiPriority w:val="99"/>
    <w:semiHidden/>
    <w:qFormat/>
    <w:rPr>
      <w:rFonts w:ascii="宋体"/>
      <w:sz w:val="18"/>
      <w:szCs w:val="18"/>
    </w:rPr>
  </w:style>
  <w:style w:type="character" w:styleId="810" w:customStyle="1">
    <w:name w:val="Heading 5 Char"/>
    <w:link w:val="731"/>
    <w:uiPriority w:val="9"/>
    <w:qFormat/>
    <w:rPr>
      <w:rFonts w:ascii="Arial" w:hAnsi="Arial" w:eastAsia="Arial" w:cs="Arial"/>
      <w:b/>
      <w:bCs/>
      <w:sz w:val="24"/>
      <w:szCs w:val="24"/>
    </w:rPr>
  </w:style>
  <w:style w:type="character" w:styleId="811" w:customStyle="1">
    <w:name w:val="Footer Char"/>
    <w:link w:val="812"/>
    <w:uiPriority w:val="99"/>
    <w:qFormat/>
  </w:style>
  <w:style w:type="paragraph" w:styleId="812" w:customStyle="1">
    <w:name w:val="页脚11"/>
    <w:basedOn w:val="668"/>
    <w:link w:val="811"/>
    <w:uiPriority w:val="99"/>
    <w:unhideWhenUsed/>
    <w:qFormat/>
    <w:pPr>
      <w:spacing w:after="0" w:line="240" w:lineRule="auto"/>
      <w:tabs>
        <w:tab w:val="center" w:pos="7143" w:leader="none"/>
        <w:tab w:val="right" w:pos="14287" w:leader="none"/>
      </w:tabs>
    </w:pPr>
  </w:style>
  <w:style w:type="character" w:styleId="813" w:customStyle="1">
    <w:name w:val="批注引用1"/>
    <w:link w:val="668"/>
    <w:uiPriority w:val="99"/>
    <w:qFormat/>
    <w:rPr>
      <w:sz w:val="21"/>
      <w:szCs w:val="21"/>
    </w:rPr>
  </w:style>
  <w:style w:type="character" w:styleId="814" w:customStyle="1">
    <w:name w:val="Heading 8 Char"/>
    <w:link w:val="734"/>
    <w:uiPriority w:val="9"/>
    <w:qFormat/>
    <w:rPr>
      <w:rFonts w:ascii="Arial" w:hAnsi="Arial" w:eastAsia="Arial" w:cs="Arial"/>
      <w:i/>
      <w:iCs/>
      <w:sz w:val="22"/>
      <w:szCs w:val="22"/>
    </w:rPr>
  </w:style>
  <w:style w:type="character" w:styleId="815" w:customStyle="1">
    <w:name w:val="NormalCharacter1"/>
    <w:link w:val="668"/>
    <w:uiPriority w:val="0"/>
    <w:semiHidden/>
    <w:qFormat/>
    <w:rPr>
      <w:sz w:val="28"/>
      <w:lang w:val="en-US" w:eastAsia="zh-CN" w:bidi="ar-SA"/>
    </w:rPr>
  </w:style>
  <w:style w:type="character" w:styleId="816" w:customStyle="1">
    <w:name w:val="正文文本缩进 2 字符"/>
    <w:link w:val="817"/>
    <w:uiPriority w:val="0"/>
    <w:qFormat/>
    <w:rPr>
      <w:rFonts w:ascii="仿宋_GB2312" w:eastAsia="仿宋_GB2312"/>
      <w:sz w:val="24"/>
      <w:szCs w:val="24"/>
      <w:lang w:bidi="ar-SA"/>
    </w:rPr>
  </w:style>
  <w:style w:type="paragraph" w:styleId="817" w:customStyle="1">
    <w:name w:val="正文文本缩进 21"/>
    <w:basedOn w:val="668"/>
    <w:link w:val="816"/>
    <w:uiPriority w:val="0"/>
    <w:qFormat/>
    <w:pPr>
      <w:ind w:firstLine="475"/>
      <w:spacing w:line="10" w:lineRule="atLeast"/>
    </w:pPr>
    <w:rPr>
      <w:rFonts w:ascii="仿宋_GB2312" w:eastAsia="仿宋_GB2312"/>
      <w:sz w:val="24"/>
    </w:rPr>
  </w:style>
  <w:style w:type="character" w:styleId="818" w:customStyle="1">
    <w:name w:val="Title Char"/>
    <w:link w:val="819"/>
    <w:uiPriority w:val="10"/>
    <w:qFormat/>
    <w:rPr>
      <w:sz w:val="48"/>
      <w:szCs w:val="48"/>
    </w:rPr>
  </w:style>
  <w:style w:type="paragraph" w:styleId="819" w:customStyle="1">
    <w:name w:val="标题11"/>
    <w:basedOn w:val="668"/>
    <w:next w:val="668"/>
    <w:link w:val="818"/>
    <w:uiPriority w:val="10"/>
    <w:qFormat/>
    <w:pPr>
      <w:contextualSpacing/>
      <w:spacing w:before="300" w:after="200"/>
    </w:pPr>
    <w:rPr>
      <w:sz w:val="48"/>
      <w:szCs w:val="48"/>
    </w:rPr>
  </w:style>
  <w:style w:type="character" w:styleId="820" w:customStyle="1">
    <w:name w:val="Heading 6 Char"/>
    <w:link w:val="732"/>
    <w:uiPriority w:val="9"/>
    <w:qFormat/>
    <w:rPr>
      <w:rFonts w:ascii="Arial" w:hAnsi="Arial" w:eastAsia="Arial" w:cs="Arial"/>
      <w:b/>
      <w:bCs/>
      <w:sz w:val="22"/>
      <w:szCs w:val="22"/>
    </w:rPr>
  </w:style>
  <w:style w:type="character" w:styleId="821" w:customStyle="1">
    <w:name w:val="日期 Char"/>
    <w:link w:val="668"/>
    <w:uiPriority w:val="99"/>
    <w:semiHidden/>
    <w:qFormat/>
  </w:style>
  <w:style w:type="character" w:styleId="822" w:customStyle="1">
    <w:name w:val="批注框文本 Char"/>
    <w:link w:val="668"/>
    <w:uiPriority w:val="0"/>
    <w:qFormat/>
    <w:rPr>
      <w:sz w:val="18"/>
      <w:szCs w:val="18"/>
    </w:rPr>
  </w:style>
  <w:style w:type="character" w:styleId="823" w:customStyle="1">
    <w:name w:val="标题 1 Char"/>
    <w:link w:val="668"/>
    <w:uiPriority w:val="9"/>
    <w:qFormat/>
    <w:rPr>
      <w:b/>
      <w:bCs/>
      <w:sz w:val="44"/>
      <w:szCs w:val="44"/>
    </w:rPr>
  </w:style>
  <w:style w:type="character" w:styleId="824" w:customStyle="1">
    <w:name w:val="正文文本 字符"/>
    <w:link w:val="712"/>
    <w:uiPriority w:val="1"/>
    <w:qFormat/>
    <w:rPr>
      <w:rFonts w:ascii="Calibri" w:hAnsi="Calibri"/>
      <w:sz w:val="21"/>
      <w:szCs w:val="24"/>
    </w:rPr>
  </w:style>
  <w:style w:type="character" w:styleId="825" w:customStyle="1">
    <w:name w:val="Footnote Text Char"/>
    <w:link w:val="826"/>
    <w:uiPriority w:val="99"/>
    <w:qFormat/>
    <w:rPr>
      <w:sz w:val="18"/>
    </w:rPr>
  </w:style>
  <w:style w:type="paragraph" w:styleId="826" w:customStyle="1">
    <w:name w:val="脚注文本111"/>
    <w:basedOn w:val="668"/>
    <w:link w:val="825"/>
    <w:uiPriority w:val="99"/>
    <w:unhideWhenUsed/>
    <w:qFormat/>
    <w:pPr>
      <w:spacing w:after="40" w:line="240" w:lineRule="auto"/>
    </w:pPr>
    <w:rPr>
      <w:sz w:val="18"/>
    </w:rPr>
  </w:style>
  <w:style w:type="character" w:styleId="827" w:customStyle="1">
    <w:name w:val="标题 2 字符1"/>
    <w:link w:val="828"/>
    <w:uiPriority w:val="9"/>
    <w:qFormat/>
    <w:rPr>
      <w:rFonts w:ascii="Cambria" w:hAnsi="Cambria"/>
      <w:b/>
      <w:bCs/>
      <w:sz w:val="32"/>
      <w:szCs w:val="32"/>
    </w:rPr>
  </w:style>
  <w:style w:type="paragraph" w:styleId="828" w:customStyle="1">
    <w:name w:val="标题 21"/>
    <w:basedOn w:val="668"/>
    <w:next w:val="668"/>
    <w:link w:val="827"/>
    <w:uiPriority w:val="0"/>
    <w:qFormat/>
    <w:pPr>
      <w:keepLines/>
      <w:keepNext/>
      <w:spacing w:before="260" w:after="260" w:line="416" w:lineRule="auto"/>
      <w:outlineLvl w:val="1"/>
    </w:pPr>
    <w:rPr>
      <w:rFonts w:ascii="Cambria" w:hAnsi="Cambria"/>
      <w:b/>
      <w:bCs/>
      <w:sz w:val="32"/>
      <w:szCs w:val="32"/>
    </w:rPr>
  </w:style>
  <w:style w:type="character" w:styleId="829" w:customStyle="1">
    <w:name w:val="日期 字符"/>
    <w:link w:val="830"/>
    <w:uiPriority w:val="99"/>
    <w:qFormat/>
    <w:rPr>
      <w:rFonts w:eastAsia="仿宋_GB2312"/>
      <w:sz w:val="28"/>
    </w:rPr>
  </w:style>
  <w:style w:type="paragraph" w:styleId="830" w:customStyle="1">
    <w:name w:val="日期1"/>
    <w:basedOn w:val="668"/>
    <w:next w:val="668"/>
    <w:link w:val="829"/>
    <w:uiPriority w:val="99"/>
    <w:qFormat/>
    <w:rPr>
      <w:rFonts w:eastAsia="仿宋_GB2312"/>
      <w:sz w:val="28"/>
      <w:szCs w:val="20"/>
    </w:rPr>
  </w:style>
  <w:style w:type="character" w:styleId="831" w:customStyle="1">
    <w:name w:val="font01"/>
    <w:link w:val="668"/>
    <w:uiPriority w:val="0"/>
    <w:qFormat/>
    <w:rPr>
      <w:rFonts w:hint="eastAsia" w:ascii="仿宋" w:hAnsi="仿宋" w:eastAsia="仿宋" w:cs="仿宋"/>
      <w:color w:val="000000"/>
      <w:sz w:val="20"/>
      <w:szCs w:val="20"/>
      <w:u w:val="none"/>
    </w:rPr>
  </w:style>
  <w:style w:type="character" w:styleId="832" w:customStyle="1">
    <w:name w:val="批注框文本 字符"/>
    <w:link w:val="833"/>
    <w:uiPriority w:val="0"/>
    <w:qFormat/>
    <w:rPr>
      <w:sz w:val="18"/>
      <w:szCs w:val="18"/>
    </w:rPr>
  </w:style>
  <w:style w:type="paragraph" w:styleId="833" w:customStyle="1">
    <w:name w:val="批注框文本1"/>
    <w:basedOn w:val="668"/>
    <w:link w:val="832"/>
    <w:uiPriority w:val="0"/>
    <w:qFormat/>
    <w:rPr>
      <w:sz w:val="18"/>
      <w:szCs w:val="18"/>
    </w:rPr>
  </w:style>
  <w:style w:type="character" w:styleId="834" w:customStyle="1">
    <w:name w:val="文档结构图 字符1"/>
    <w:link w:val="835"/>
    <w:uiPriority w:val="99"/>
    <w:qFormat/>
    <w:rPr>
      <w:rFonts w:ascii="宋体" w:hAnsi="Calibri"/>
      <w:sz w:val="18"/>
      <w:szCs w:val="18"/>
    </w:rPr>
  </w:style>
  <w:style w:type="paragraph" w:styleId="835" w:customStyle="1">
    <w:name w:val="文档结构图1"/>
    <w:basedOn w:val="668"/>
    <w:link w:val="834"/>
    <w:uiPriority w:val="99"/>
    <w:unhideWhenUsed/>
    <w:qFormat/>
    <w:rPr>
      <w:rFonts w:ascii="宋体" w:hAnsi="Calibri"/>
      <w:sz w:val="18"/>
      <w:szCs w:val="18"/>
    </w:rPr>
  </w:style>
  <w:style w:type="character" w:styleId="836" w:customStyle="1">
    <w:name w:val="正文文本首行缩进 2 字符"/>
    <w:link w:val="717"/>
    <w:uiPriority w:val="0"/>
    <w:qFormat/>
  </w:style>
  <w:style w:type="character" w:styleId="837" w:customStyle="1">
    <w:name w:val="Subtitle Char"/>
    <w:link w:val="838"/>
    <w:uiPriority w:val="11"/>
    <w:qFormat/>
    <w:rPr>
      <w:sz w:val="24"/>
      <w:szCs w:val="24"/>
    </w:rPr>
  </w:style>
  <w:style w:type="paragraph" w:styleId="838" w:customStyle="1">
    <w:name w:val="副标题1"/>
    <w:basedOn w:val="668"/>
    <w:next w:val="668"/>
    <w:link w:val="837"/>
    <w:uiPriority w:val="11"/>
    <w:qFormat/>
    <w:pPr>
      <w:spacing w:before="200" w:after="200"/>
    </w:pPr>
    <w:rPr>
      <w:sz w:val="24"/>
      <w:szCs w:val="24"/>
    </w:rPr>
  </w:style>
  <w:style w:type="paragraph" w:styleId="839" w:customStyle="1">
    <w:name w:val="目录 41"/>
    <w:basedOn w:val="668"/>
    <w:next w:val="668"/>
    <w:uiPriority w:val="39"/>
    <w:unhideWhenUsed/>
    <w:qFormat/>
    <w:pPr>
      <w:ind w:left="850" w:right="0" w:firstLine="0"/>
      <w:spacing w:after="57"/>
    </w:pPr>
  </w:style>
  <w:style w:type="paragraph" w:styleId="840" w:customStyle="1">
    <w:name w:val="UserStyle_1"/>
    <w:basedOn w:val="668"/>
    <w:uiPriority w:val="0"/>
    <w:qFormat/>
    <w:pPr>
      <w:ind w:left="-6" w:hanging="99"/>
      <w:jc w:val="left"/>
    </w:pPr>
    <w:rPr>
      <w:rFonts w:ascii="宋体"/>
      <w:b/>
    </w:rPr>
  </w:style>
  <w:style w:type="paragraph" w:styleId="841" w:customStyle="1">
    <w:name w:val="_Style 101"/>
    <w:basedOn w:val="668"/>
    <w:next w:val="668"/>
    <w:uiPriority w:val="39"/>
    <w:unhideWhenUsed/>
    <w:qFormat/>
    <w:pPr>
      <w:ind w:left="420"/>
    </w:pPr>
    <w:rPr>
      <w:rFonts w:ascii="Calibri" w:hAnsi="Calibri"/>
      <w:szCs w:val="22"/>
    </w:rPr>
  </w:style>
  <w:style w:type="paragraph" w:styleId="842" w:customStyle="1">
    <w:name w:val="Table Paragraph"/>
    <w:basedOn w:val="668"/>
    <w:uiPriority w:val="1"/>
    <w:qFormat/>
    <w:pPr>
      <w:ind w:left="108"/>
    </w:pPr>
  </w:style>
  <w:style w:type="paragraph" w:styleId="843" w:customStyle="1">
    <w:name w:val="索引 51"/>
    <w:basedOn w:val="708"/>
    <w:next w:val="708"/>
    <w:uiPriority w:val="0"/>
    <w:qFormat/>
    <w:pPr>
      <w:ind w:left="798"/>
      <w:jc w:val="left"/>
    </w:pPr>
    <w:rPr>
      <w:rFonts w:ascii="Calibri" w:hAnsi="Calibri"/>
    </w:rPr>
  </w:style>
  <w:style w:type="paragraph" w:styleId="844" w:customStyle="1">
    <w:name w:val="目录 61"/>
    <w:basedOn w:val="668"/>
    <w:next w:val="668"/>
    <w:uiPriority w:val="39"/>
    <w:unhideWhenUsed/>
    <w:qFormat/>
    <w:pPr>
      <w:ind w:left="1417" w:right="0" w:firstLine="0"/>
      <w:spacing w:after="57"/>
    </w:pPr>
  </w:style>
  <w:style w:type="paragraph" w:styleId="845">
    <w:name w:val="List Paragraph"/>
    <w:basedOn w:val="716"/>
    <w:uiPriority w:val="34"/>
    <w:qFormat/>
    <w:pPr>
      <w:contextualSpacing/>
      <w:ind w:left="720"/>
    </w:pPr>
  </w:style>
  <w:style w:type="paragraph" w:styleId="846" w:customStyle="1">
    <w:name w:val="投标文件正文"/>
    <w:basedOn w:val="668"/>
    <w:uiPriority w:val="0"/>
    <w:qFormat/>
    <w:pPr>
      <w:ind w:firstLine="200"/>
      <w:spacing w:before="40" w:after="40" w:line="400" w:lineRule="exact"/>
    </w:pPr>
    <w:rPr>
      <w:sz w:val="24"/>
    </w:rPr>
  </w:style>
  <w:style w:type="paragraph" w:styleId="847" w:customStyle="1">
    <w:name w:val="题注1"/>
    <w:basedOn w:val="668"/>
    <w:next w:val="668"/>
    <w:uiPriority w:val="35"/>
    <w:unhideWhenUsed/>
    <w:qFormat/>
    <w:pPr>
      <w:spacing w:line="276" w:lineRule="auto"/>
    </w:pPr>
    <w:rPr>
      <w:b/>
      <w:bCs/>
      <w:color w:val="4f81bd"/>
      <w:sz w:val="18"/>
      <w:szCs w:val="18"/>
    </w:rPr>
  </w:style>
  <w:style w:type="paragraph" w:styleId="848" w:customStyle="1">
    <w:name w:val="Heading21"/>
    <w:basedOn w:val="668"/>
    <w:next w:val="668"/>
    <w:uiPriority w:val="0"/>
    <w:qFormat/>
    <w:pPr>
      <w:jc w:val="left"/>
      <w:keepLines/>
      <w:keepNext/>
      <w:spacing w:before="260" w:after="260" w:line="416" w:lineRule="auto"/>
    </w:pPr>
    <w:rPr>
      <w:rFonts w:ascii="Calibri Light" w:hAnsi="Calibri Light"/>
      <w:b/>
      <w:bCs/>
      <w:sz w:val="24"/>
      <w:szCs w:val="32"/>
    </w:rPr>
  </w:style>
  <w:style w:type="paragraph" w:styleId="849" w:customStyle="1">
    <w:name w:val="纯文本11"/>
    <w:basedOn w:val="668"/>
    <w:uiPriority w:val="0"/>
    <w:qFormat/>
    <w:rPr>
      <w:rFonts w:ascii="宋体" w:hAnsi="Courier New" w:cs="Courier New"/>
      <w:szCs w:val="21"/>
    </w:rPr>
  </w:style>
  <w:style w:type="paragraph" w:styleId="85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851" w:customStyle="1">
    <w:name w:val="正文首行缩进2"/>
    <w:basedOn w:val="852"/>
    <w:next w:val="853"/>
    <w:uiPriority w:val="0"/>
    <w:qFormat/>
    <w:pPr>
      <w:ind w:firstLine="420"/>
      <w:spacing w:after="0"/>
    </w:pPr>
    <w:rPr>
      <w:sz w:val="28"/>
      <w:szCs w:val="28"/>
    </w:rPr>
  </w:style>
  <w:style w:type="paragraph" w:styleId="852" w:customStyle="1">
    <w:name w:val="正文文本2"/>
    <w:basedOn w:val="668"/>
    <w:next w:val="713"/>
    <w:uiPriority w:val="0"/>
    <w:qFormat/>
    <w:pPr>
      <w:spacing w:after="120"/>
    </w:pPr>
  </w:style>
  <w:style w:type="paragraph" w:styleId="853" w:customStyle="1">
    <w:name w:val="正文首行缩进 22"/>
    <w:basedOn w:val="854"/>
    <w:next w:val="668"/>
    <w:uiPriority w:val="99"/>
    <w:unhideWhenUsed/>
    <w:qFormat/>
    <w:pPr>
      <w:ind w:firstLine="420"/>
    </w:pPr>
  </w:style>
  <w:style w:type="paragraph" w:styleId="854" w:customStyle="1">
    <w:name w:val="正文文本缩进2"/>
    <w:basedOn w:val="668"/>
    <w:next w:val="723"/>
    <w:uiPriority w:val="0"/>
    <w:qFormat/>
    <w:pPr>
      <w:ind w:firstLine="280"/>
    </w:pPr>
    <w:rPr>
      <w:rFonts w:ascii="宋体" w:hAnsi="宋体"/>
      <w:sz w:val="28"/>
      <w:szCs w:val="24"/>
    </w:rPr>
  </w:style>
  <w:style w:type="paragraph" w:styleId="855" w:customStyle="1">
    <w:name w:val="索引 11"/>
    <w:basedOn w:val="668"/>
    <w:next w:val="668"/>
    <w:uiPriority w:val="0"/>
    <w:qFormat/>
    <w:pPr>
      <w:jc w:val="center"/>
      <w:tabs>
        <w:tab w:val="left" w:pos="560" w:leader="none"/>
      </w:tabs>
    </w:pPr>
    <w:rPr>
      <w:rFonts w:ascii="宋体" w:hAnsi="宋体"/>
    </w:rPr>
  </w:style>
  <w:style w:type="paragraph" w:styleId="856" w:customStyle="1">
    <w:name w:val="索引 511"/>
    <w:basedOn w:val="668"/>
    <w:next w:val="668"/>
    <w:uiPriority w:val="0"/>
    <w:qFormat/>
    <w:pPr>
      <w:ind w:left="798"/>
      <w:jc w:val="left"/>
    </w:pPr>
    <w:rPr>
      <w:rFonts w:ascii="Calibri" w:hAnsi="Calibri"/>
    </w:rPr>
  </w:style>
  <w:style w:type="paragraph" w:styleId="857" w:customStyle="1">
    <w:name w:val="目录 1112"/>
    <w:basedOn w:val="668"/>
    <w:next w:val="668"/>
    <w:uiPriority w:val="39"/>
    <w:unhideWhenUsed/>
    <w:qFormat/>
    <w:pPr>
      <w:ind w:left="0" w:right="0" w:firstLine="0"/>
      <w:spacing w:after="57"/>
    </w:pPr>
  </w:style>
  <w:style w:type="paragraph" w:styleId="858" w:customStyle="1">
    <w:name w:val="目录 81"/>
    <w:basedOn w:val="668"/>
    <w:next w:val="668"/>
    <w:uiPriority w:val="39"/>
    <w:unhideWhenUsed/>
    <w:qFormat/>
    <w:pPr>
      <w:ind w:left="1984" w:right="0" w:firstLine="0"/>
      <w:spacing w:after="57"/>
    </w:pPr>
  </w:style>
  <w:style w:type="paragraph" w:styleId="859" w:customStyle="1">
    <w:name w:val="普通(网站)11"/>
    <w:basedOn w:val="66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0" w:customStyle="1">
    <w:name w:val="文本块12"/>
    <w:basedOn w:val="668"/>
    <w:uiPriority w:val="0"/>
    <w:unhideWhenUsed/>
    <w:qFormat/>
    <w:pPr>
      <w:ind w:left="420" w:right="33"/>
    </w:pPr>
    <w:rPr>
      <w:sz w:val="24"/>
    </w:rPr>
  </w:style>
  <w:style w:type="paragraph" w:styleId="861" w:customStyle="1">
    <w:name w:val="目录 11"/>
    <w:basedOn w:val="668"/>
    <w:next w:val="668"/>
    <w:uiPriority w:val="39"/>
    <w:qFormat/>
  </w:style>
  <w:style w:type="paragraph" w:styleId="862" w:customStyle="1">
    <w:name w:val="目录 51"/>
    <w:basedOn w:val="668"/>
    <w:next w:val="668"/>
    <w:uiPriority w:val="39"/>
    <w:unhideWhenUsed/>
    <w:qFormat/>
    <w:pPr>
      <w:ind w:left="1134" w:right="0" w:firstLine="0"/>
      <w:spacing w:after="57"/>
    </w:pPr>
  </w:style>
  <w:style w:type="paragraph" w:styleId="863" w:customStyle="1">
    <w:name w:val="标题1"/>
    <w:basedOn w:val="668"/>
    <w:next w:val="668"/>
    <w:uiPriority w:val="10"/>
    <w:qFormat/>
    <w:pPr>
      <w:contextualSpacing/>
      <w:spacing w:before="300" w:after="200"/>
    </w:pPr>
    <w:rPr>
      <w:sz w:val="48"/>
      <w:szCs w:val="48"/>
    </w:rPr>
  </w:style>
  <w:style w:type="paragraph" w:styleId="864" w:customStyle="1">
    <w:name w:val="索引标题1"/>
    <w:basedOn w:val="668"/>
    <w:next w:val="855"/>
    <w:uiPriority w:val="0"/>
    <w:qFormat/>
    <w:pPr>
      <w:tabs>
        <w:tab w:val="left" w:pos="560" w:leader="none"/>
      </w:tabs>
    </w:pPr>
    <w:rPr>
      <w:rFonts w:ascii="Arial" w:hAnsi="Arial" w:cs="Arial"/>
      <w:b/>
      <w:bCs/>
    </w:rPr>
  </w:style>
  <w:style w:type="paragraph" w:styleId="865" w:customStyle="1">
    <w:name w:val="TOC 标题"/>
    <w:basedOn w:val="800"/>
    <w:next w:val="668"/>
    <w:uiPriority w:val="39"/>
    <w:qFormat/>
    <w:pPr>
      <w:jc w:val="left"/>
      <w:spacing w:before="480" w:line="276" w:lineRule="auto"/>
      <w:widowControl/>
      <w:outlineLvl w:val="9"/>
    </w:pPr>
    <w:rPr>
      <w:rFonts w:ascii="Cambria" w:hAnsi="Cambria" w:eastAsia="宋体"/>
      <w:color w:val="365f91"/>
      <w:sz w:val="28"/>
      <w:szCs w:val="28"/>
    </w:rPr>
  </w:style>
  <w:style w:type="paragraph" w:styleId="866" w:customStyle="1">
    <w:name w:val="图表目录1"/>
    <w:basedOn w:val="668"/>
    <w:next w:val="668"/>
    <w:uiPriority w:val="99"/>
    <w:unhideWhenUsed/>
    <w:qFormat/>
    <w:pPr>
      <w:spacing w:after="0" w:afterAutospacing="0"/>
    </w:pPr>
  </w:style>
  <w:style w:type="paragraph" w:styleId="867" w:customStyle="1">
    <w:name w:val="列出段落1"/>
    <w:basedOn w:val="668"/>
    <w:uiPriority w:val="0"/>
    <w:qFormat/>
    <w:pPr>
      <w:ind w:firstLine="420"/>
    </w:pPr>
    <w:rPr>
      <w:rFonts w:ascii="Calibri" w:hAnsi="Calibri"/>
    </w:rPr>
  </w:style>
  <w:style w:type="paragraph" w:styleId="868" w:customStyle="1">
    <w:name w:val="目录 91"/>
    <w:basedOn w:val="668"/>
    <w:next w:val="668"/>
    <w:uiPriority w:val="39"/>
    <w:unhideWhenUsed/>
    <w:qFormat/>
    <w:pPr>
      <w:ind w:left="2268" w:right="0" w:firstLine="0"/>
      <w:spacing w:after="57"/>
    </w:pPr>
  </w:style>
  <w:style w:type="paragraph" w:styleId="869" w:customStyle="1">
    <w:name w:val="NormalIndent1"/>
    <w:basedOn w:val="668"/>
    <w:uiPriority w:val="0"/>
    <w:qFormat/>
    <w:pPr>
      <w:ind w:firstLine="420"/>
    </w:pPr>
    <w:rPr>
      <w:szCs w:val="20"/>
    </w:rPr>
  </w:style>
  <w:style w:type="paragraph" w:styleId="870" w:customStyle="1">
    <w:name w:val="目录 71"/>
    <w:basedOn w:val="668"/>
    <w:next w:val="668"/>
    <w:uiPriority w:val="39"/>
    <w:unhideWhenUsed/>
    <w:qFormat/>
    <w:pPr>
      <w:ind w:left="1701" w:right="0" w:firstLine="0"/>
      <w:spacing w:after="57"/>
    </w:pPr>
  </w:style>
  <w:style w:type="paragraph" w:styleId="871" w:customStyle="1">
    <w:name w:val="目录 21"/>
    <w:basedOn w:val="668"/>
    <w:next w:val="668"/>
    <w:uiPriority w:val="39"/>
    <w:unhideWhenUsed/>
    <w:qFormat/>
    <w:pPr>
      <w:ind w:left="283" w:right="0" w:firstLine="0"/>
      <w:spacing w:after="57"/>
    </w:pPr>
  </w:style>
  <w:style w:type="paragraph" w:styleId="872" w:customStyle="1">
    <w:name w:val="纯文本2"/>
    <w:basedOn w:val="668"/>
    <w:uiPriority w:val="0"/>
    <w:qFormat/>
    <w:rPr>
      <w:rFonts w:ascii="宋体" w:hAnsi="Courier New"/>
    </w:rPr>
  </w:style>
  <w:style w:type="paragraph" w:styleId="873" w:customStyle="1">
    <w:name w:val="目录 1111"/>
    <w:basedOn w:val="668"/>
    <w:next w:val="668"/>
    <w:uiPriority w:val="39"/>
    <w:unhideWhenUsed/>
    <w:qFormat/>
    <w:pPr>
      <w:jc w:val="left"/>
      <w:spacing w:after="100" w:line="259" w:lineRule="auto"/>
      <w:widowControl/>
    </w:pPr>
    <w:rPr>
      <w:rFonts w:ascii="Calibri" w:hAnsi="Calibri" w:eastAsia="宋体"/>
      <w:sz w:val="22"/>
      <w:szCs w:val="22"/>
    </w:rPr>
  </w:style>
  <w:style w:type="paragraph" w:styleId="874" w:customStyle="1">
    <w:name w:val="正文文本缩进 22"/>
    <w:basedOn w:val="668"/>
    <w:uiPriority w:val="0"/>
    <w:qFormat/>
    <w:pPr>
      <w:ind w:firstLine="640"/>
      <w:jc w:val="left"/>
      <w:spacing w:line="590" w:lineRule="exact"/>
    </w:pPr>
    <w:rPr>
      <w:rFonts w:ascii="仿宋_GB2312" w:hAnsi="宋体" w:eastAsia="仿宋_GB2312" w:cs="Times New Roman"/>
      <w:sz w:val="32"/>
      <w:szCs w:val="28"/>
    </w:rPr>
  </w:style>
  <w:style w:type="paragraph" w:styleId="875" w:customStyle="1">
    <w:name w:val="one-p"/>
    <w:basedOn w:val="668"/>
    <w:uiPriority w:val="0"/>
    <w:qFormat/>
    <w:pPr>
      <w:jc w:val="left"/>
      <w:spacing w:before="100" w:beforeAutospacing="1" w:after="100" w:afterAutospacing="1"/>
      <w:widowControl/>
    </w:pPr>
    <w:rPr>
      <w:rFonts w:ascii="宋体" w:hAnsi="宋体" w:cs="宋体"/>
      <w:sz w:val="24"/>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paragraph" w:styleId="877" w:customStyle="1">
    <w:name w:val="目录 31"/>
    <w:basedOn w:val="668"/>
    <w:next w:val="668"/>
    <w:uiPriority w:val="39"/>
    <w:unhideWhenUsed/>
    <w:qFormat/>
    <w:pPr>
      <w:ind w:left="567" w:right="0" w:firstLine="0"/>
      <w:spacing w:after="57"/>
    </w:pPr>
  </w:style>
  <w:style w:type="paragraph" w:styleId="878" w:customStyle="1">
    <w:name w:val="正文缩进11"/>
    <w:basedOn w:val="668"/>
    <w:next w:val="668"/>
    <w:uiPriority w:val="99"/>
    <w:qFormat/>
    <w:pPr>
      <w:ind w:firstLine="480"/>
      <w:keepNext/>
      <w:spacing w:line="480" w:lineRule="exact"/>
    </w:pPr>
    <w:rPr>
      <w:rFonts w:ascii="宋体" w:hAnsi="宋体" w:eastAsia="等线"/>
      <w:bCs/>
      <w:color w:val="000000"/>
      <w:sz w:val="24"/>
      <w:lang w:val="zh-CN"/>
    </w:rPr>
  </w:style>
  <w:style w:type="paragraph" w:styleId="87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80" w:customStyle="1">
    <w:name w:val="标题 211"/>
    <w:basedOn w:val="668"/>
    <w:next w:val="668"/>
    <w:uiPriority w:val="9"/>
    <w:unhideWhenUsed/>
    <w:qFormat/>
    <w:pPr>
      <w:keepLines/>
      <w:keepNext/>
      <w:spacing w:before="360" w:after="200"/>
      <w:outlineLvl w:val="1"/>
    </w:pPr>
    <w:rPr>
      <w:rFonts w:ascii="Arial" w:hAnsi="Arial" w:eastAsia="Arial" w:cs="Arial"/>
      <w:sz w:val="34"/>
    </w:rPr>
  </w:style>
  <w:style w:type="paragraph" w:styleId="881" w:customStyle="1">
    <w:name w:val="Other|1"/>
    <w:basedOn w:val="668"/>
    <w:uiPriority w:val="0"/>
    <w:qFormat/>
    <w:pPr>
      <w:ind w:firstLine="400"/>
      <w:spacing w:line="418" w:lineRule="auto"/>
    </w:pPr>
    <w:rPr>
      <w:rFonts w:ascii="宋体" w:hAnsi="宋体" w:cs="宋体"/>
      <w:sz w:val="30"/>
      <w:szCs w:val="30"/>
      <w:lang w:val="zh-TW" w:eastAsia="zh-TW" w:bidi="zh-TW"/>
    </w:rPr>
  </w:style>
  <w:style w:type="paragraph" w:styleId="882" w:customStyle="1">
    <w:name w:val="脚注文本1"/>
    <w:basedOn w:val="708"/>
    <w:next w:val="843"/>
    <w:uiPriority w:val="0"/>
    <w:qFormat/>
    <w:pPr>
      <w:jc w:val="left"/>
    </w:pPr>
    <w:rPr>
      <w:rFonts w:ascii="宋体" w:eastAsia="Times New Roman"/>
      <w:sz w:val="18"/>
      <w:szCs w:val="18"/>
    </w:rPr>
  </w:style>
  <w:style w:type="paragraph" w:styleId="883" w:customStyle="1">
    <w:name w:val="样式"/>
    <w:uiPriority w:val="0"/>
    <w:qFormat/>
    <w:pPr>
      <w:widowControl w:val="off"/>
    </w:pPr>
    <w:rPr>
      <w:rFonts w:hint="default" w:ascii="宋体" w:hAnsi="宋体" w:eastAsia="宋体" w:cs="宋体"/>
      <w:sz w:val="24"/>
      <w:szCs w:val="24"/>
      <w:lang w:val="en-US" w:eastAsia="zh-CN" w:bidi="ar-SA"/>
    </w:rPr>
  </w:style>
  <w:style w:type="paragraph" w:styleId="884" w:customStyle="1">
    <w:name w:val="BodyTextIndent1"/>
    <w:basedOn w:val="668"/>
    <w:uiPriority w:val="0"/>
    <w:qFormat/>
    <w:pPr>
      <w:ind w:left="420"/>
      <w:spacing w:after="120"/>
    </w:pPr>
    <w:rPr>
      <w:sz w:val="28"/>
      <w:szCs w:val="20"/>
    </w:rPr>
  </w:style>
  <w:style w:type="paragraph" w:styleId="885" w:customStyle="1">
    <w:name w:val="标题 11"/>
    <w:basedOn w:val="708"/>
    <w:next w:val="708"/>
    <w:uiPriority w:val="0"/>
    <w:qFormat/>
    <w:pPr>
      <w:jc w:val="center"/>
      <w:keepLines/>
      <w:keepNext/>
      <w:spacing w:line="578" w:lineRule="auto"/>
      <w:outlineLvl w:val="0"/>
    </w:pPr>
    <w:rPr>
      <w:rFonts w:eastAsia="新宋体"/>
      <w:b/>
      <w:bCs/>
      <w:sz w:val="30"/>
      <w:szCs w:val="44"/>
    </w:rPr>
  </w:style>
  <w:style w:type="paragraph" w:styleId="886" w:customStyle="1">
    <w:name w:val="文本块1"/>
    <w:basedOn w:val="668"/>
    <w:uiPriority w:val="0"/>
    <w:qFormat/>
    <w:pPr>
      <w:ind w:left="420" w:right="33"/>
      <w:jc w:val="left"/>
    </w:pPr>
    <w:rPr>
      <w:sz w:val="24"/>
      <w:szCs w:val="20"/>
    </w:rPr>
  </w:style>
  <w:style w:type="paragraph" w:styleId="887" w:customStyle="1">
    <w:name w:val="脚注文本11"/>
    <w:basedOn w:val="668"/>
    <w:next w:val="856"/>
    <w:uiPriority w:val="0"/>
    <w:qFormat/>
    <w:pPr>
      <w:jc w:val="left"/>
    </w:pPr>
    <w:rPr>
      <w:rFonts w:ascii="宋体" w:eastAsia="Times New Roman"/>
      <w:sz w:val="18"/>
      <w:szCs w:val="18"/>
    </w:rPr>
  </w:style>
  <w:style w:type="paragraph" w:styleId="888" w:customStyle="1">
    <w:name w:val="179"/>
    <w:basedOn w:val="668"/>
    <w:uiPriority w:val="0"/>
    <w:qFormat/>
    <w:pPr>
      <w:ind w:firstLine="420"/>
      <w:jc w:val="left"/>
      <w:widowControl/>
    </w:pPr>
    <w:rPr>
      <w:rFonts w:ascii="宋体" w:hAnsi="宋体"/>
      <w:sz w:val="24"/>
    </w:rPr>
  </w:style>
  <w:style w:type="paragraph" w:styleId="889" w:customStyle="1">
    <w:name w:val="p0"/>
    <w:basedOn w:val="668"/>
    <w:uiPriority w:val="0"/>
    <w:qFormat/>
    <w:pPr>
      <w:widowControl/>
    </w:pPr>
    <w:rPr>
      <w:szCs w:val="21"/>
    </w:rPr>
  </w:style>
  <w:style w:type="paragraph" w:styleId="890" w:customStyle="1">
    <w:name w:val="列表段落"/>
    <w:basedOn w:val="668"/>
    <w:uiPriority w:val="99"/>
    <w:qFormat/>
    <w:pPr>
      <w:ind w:firstLine="420"/>
    </w:pPr>
  </w:style>
  <w:style w:type="paragraph" w:styleId="891" w:customStyle="1">
    <w:name w:val="_Style 15"/>
    <w:basedOn w:val="668"/>
    <w:next w:val="890"/>
    <w:uiPriority w:val="34"/>
    <w:qFormat/>
    <w:pPr>
      <w:ind w:firstLine="420"/>
    </w:pPr>
    <w:rPr>
      <w:rFonts w:ascii="Calibri" w:hAnsi="Calibri"/>
      <w:szCs w:val="22"/>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普通(网站)1"/>
    <w:basedOn w:val="668"/>
    <w:uiPriority w:val="99"/>
    <w:qFormat/>
    <w:pPr>
      <w:jc w:val="left"/>
      <w:spacing w:before="100" w:beforeAutospacing="1" w:after="100" w:afterAutospacing="1"/>
      <w:widowControl/>
    </w:pPr>
    <w:rPr>
      <w:rFonts w:ascii="宋体" w:hAnsi="宋体" w:cs="宋体"/>
      <w:sz w:val="24"/>
    </w:rPr>
  </w:style>
  <w:style w:type="paragraph" w:styleId="894" w:customStyle="1">
    <w:name w:val="首行缩进"/>
    <w:basedOn w:val="668"/>
    <w:uiPriority w:val="0"/>
    <w:qFormat/>
    <w:pPr>
      <w:ind w:firstLine="480"/>
    </w:pPr>
    <w:rPr>
      <w:szCs w:val="20"/>
      <w:lang w:val="zh-CN"/>
    </w:rPr>
  </w:style>
  <w:style w:type="table" w:styleId="895" w:customStyle="1">
    <w:name w:val="网格型12"/>
    <w:uiPriority w:val="59"/>
    <w:qFormat/>
    <w:pPr>
      <w:spacing w:after="0" w:line="240" w:lineRule="auto"/>
    </w:pPr>
    <w:tblPr/>
  </w:style>
  <w:style w:type="table" w:styleId="896" w:customStyle="1">
    <w:name w:val="List Table 1 Light"/>
    <w:uiPriority w:val="99"/>
    <w:qFormat/>
    <w:pPr>
      <w:spacing w:after="0" w:line="240" w:lineRule="auto"/>
    </w:pPr>
    <w:tblPr/>
  </w:style>
  <w:style w:type="table" w:styleId="897" w:customStyle="1">
    <w:name w:val="Grid Table 1 Light - Accent 5"/>
    <w:uiPriority w:val="99"/>
    <w:qFormat/>
    <w:pPr>
      <w:spacing w:after="0" w:line="240" w:lineRule="auto"/>
    </w:pPr>
    <w:tblPr/>
  </w:style>
  <w:style w:type="table" w:styleId="898" w:customStyle="1">
    <w:name w:val="Grid Table 6 Colorful - Accent 2"/>
    <w:uiPriority w:val="99"/>
    <w:qFormat/>
    <w:pPr>
      <w:spacing w:after="0" w:line="240" w:lineRule="auto"/>
    </w:pPr>
    <w:tblPr/>
  </w:style>
  <w:style w:type="table" w:styleId="899" w:customStyle="1">
    <w:name w:val="Bordered - Accent 6"/>
    <w:uiPriority w:val="99"/>
    <w:qFormat/>
    <w:pPr>
      <w:spacing w:after="0" w:line="240" w:lineRule="auto"/>
    </w:pPr>
    <w:tblPr/>
  </w:style>
  <w:style w:type="table" w:styleId="900" w:customStyle="1">
    <w:name w:val="Grid Table 2 - Accent 1"/>
    <w:uiPriority w:val="99"/>
    <w:qFormat/>
    <w:pPr>
      <w:spacing w:after="0" w:line="240" w:lineRule="auto"/>
    </w:pPr>
    <w:tblPr/>
  </w:style>
  <w:style w:type="table" w:styleId="901" w:customStyle="1">
    <w:name w:val="Grid Table 1 Light"/>
    <w:uiPriority w:val="99"/>
    <w:qFormat/>
    <w:pPr>
      <w:spacing w:after="0" w:line="240" w:lineRule="auto"/>
    </w:pPr>
    <w:tblPr/>
  </w:style>
  <w:style w:type="table" w:styleId="902" w:customStyle="1">
    <w:name w:val="Grid Table 2 - Accent 3"/>
    <w:uiPriority w:val="99"/>
    <w:qFormat/>
    <w:pPr>
      <w:spacing w:after="0" w:line="240" w:lineRule="auto"/>
    </w:pPr>
    <w:tblPr/>
  </w:style>
  <w:style w:type="table" w:styleId="903" w:customStyle="1">
    <w:name w:val="Bordered &amp; Lined - Accent 5"/>
    <w:uiPriority w:val="99"/>
    <w:qFormat/>
    <w:pPr>
      <w:spacing w:after="0" w:line="240" w:lineRule="auto"/>
    </w:pPr>
    <w:rPr>
      <w:color w:val="404040"/>
    </w:rPr>
    <w:tblPr/>
  </w:style>
  <w:style w:type="table" w:styleId="904" w:customStyle="1">
    <w:name w:val="Bordered - Accent 5"/>
    <w:uiPriority w:val="99"/>
    <w:qFormat/>
    <w:pPr>
      <w:spacing w:after="0" w:line="240" w:lineRule="auto"/>
    </w:pPr>
    <w:tblPr/>
  </w:style>
  <w:style w:type="table" w:styleId="905" w:customStyle="1">
    <w:name w:val="List Table 7 Colorful"/>
    <w:uiPriority w:val="99"/>
    <w:qFormat/>
    <w:pPr>
      <w:spacing w:after="0" w:line="240" w:lineRule="auto"/>
    </w:pPr>
    <w:tblPr/>
  </w:style>
  <w:style w:type="table" w:styleId="906" w:customStyle="1">
    <w:name w:val="Grid Table 1 Light - Accent 3"/>
    <w:uiPriority w:val="99"/>
    <w:qFormat/>
    <w:pPr>
      <w:spacing w:after="0" w:line="240" w:lineRule="auto"/>
    </w:pPr>
    <w:tblPr/>
  </w:style>
  <w:style w:type="table" w:styleId="907" w:customStyle="1">
    <w:name w:val="Lined - Accent 6"/>
    <w:uiPriority w:val="99"/>
    <w:qFormat/>
    <w:pPr>
      <w:spacing w:after="0" w:line="240" w:lineRule="auto"/>
    </w:pPr>
    <w:rPr>
      <w:color w:val="404040"/>
    </w:rPr>
    <w:tblPr/>
  </w:style>
  <w:style w:type="table" w:styleId="908" w:customStyle="1">
    <w:name w:val="List Table 6 Colorful - Accent 5"/>
    <w:uiPriority w:val="99"/>
    <w:qFormat/>
    <w:pPr>
      <w:spacing w:after="0" w:line="240" w:lineRule="auto"/>
    </w:pPr>
    <w:tblPr/>
  </w:style>
  <w:style w:type="table" w:styleId="909" w:customStyle="1">
    <w:name w:val="Grid Table 7 Colorful - Accent 1"/>
    <w:uiPriority w:val="99"/>
    <w:qFormat/>
    <w:pPr>
      <w:spacing w:after="0" w:line="240" w:lineRule="auto"/>
    </w:pPr>
    <w:tblPr/>
  </w:style>
  <w:style w:type="table" w:styleId="910" w:customStyle="1">
    <w:name w:val="Grid Table 5 Dark - Accent 2"/>
    <w:uiPriority w:val="99"/>
    <w:qFormat/>
    <w:pPr>
      <w:spacing w:after="0" w:line="240" w:lineRule="auto"/>
    </w:pPr>
    <w:tblPr/>
  </w:style>
  <w:style w:type="table" w:styleId="911" w:customStyle="1">
    <w:name w:val="List Table 3 - Accent 5"/>
    <w:uiPriority w:val="99"/>
    <w:qFormat/>
    <w:pPr>
      <w:spacing w:after="0" w:line="240" w:lineRule="auto"/>
    </w:pPr>
    <w:tblPr/>
  </w:style>
  <w:style w:type="table" w:styleId="912" w:customStyle="1">
    <w:name w:val="List Table 6 Colorful - Accent 4"/>
    <w:uiPriority w:val="99"/>
    <w:qFormat/>
    <w:pPr>
      <w:spacing w:after="0" w:line="240" w:lineRule="auto"/>
    </w:pPr>
    <w:tblPr/>
  </w:style>
  <w:style w:type="table" w:styleId="913" w:customStyle="1">
    <w:name w:val="List Table 4 - Accent 1"/>
    <w:uiPriority w:val="99"/>
    <w:qFormat/>
    <w:pPr>
      <w:spacing w:after="0" w:line="240" w:lineRule="auto"/>
    </w:pPr>
    <w:tblPr/>
  </w:style>
  <w:style w:type="table" w:styleId="914" w:customStyle="1">
    <w:name w:val="List Table 1 Light - Accent 1"/>
    <w:uiPriority w:val="99"/>
    <w:qFormat/>
    <w:pPr>
      <w:spacing w:after="0" w:line="240" w:lineRule="auto"/>
    </w:pPr>
    <w:tblPr/>
  </w:style>
  <w:style w:type="table" w:styleId="915" w:customStyle="1">
    <w:name w:val="Grid Table 7 Colorful - Accent 2"/>
    <w:uiPriority w:val="99"/>
    <w:qFormat/>
    <w:pPr>
      <w:spacing w:after="0" w:line="240" w:lineRule="auto"/>
    </w:pPr>
    <w:tblPr/>
  </w:style>
  <w:style w:type="table" w:styleId="916" w:customStyle="1">
    <w:name w:val="List Table 3 - Accent 6"/>
    <w:uiPriority w:val="99"/>
    <w:qFormat/>
    <w:pPr>
      <w:spacing w:after="0" w:line="240" w:lineRule="auto"/>
    </w:pPr>
    <w:tblPr/>
  </w:style>
  <w:style w:type="table" w:styleId="917" w:customStyle="1">
    <w:name w:val="Lined - Accent 5"/>
    <w:uiPriority w:val="99"/>
    <w:qFormat/>
    <w:pPr>
      <w:spacing w:after="0" w:line="240" w:lineRule="auto"/>
    </w:pPr>
    <w:rPr>
      <w:color w:val="404040"/>
    </w:rPr>
    <w:tblPr/>
  </w:style>
  <w:style w:type="table" w:styleId="918" w:customStyle="1">
    <w:name w:val="List Table 5 Dark - Accent 6"/>
    <w:uiPriority w:val="99"/>
    <w:qFormat/>
    <w:pPr>
      <w:spacing w:after="0" w:line="240" w:lineRule="auto"/>
    </w:pPr>
    <w:tblPr/>
  </w:style>
  <w:style w:type="table" w:styleId="919" w:customStyle="1">
    <w:name w:val="List Table 4 - Accent 6"/>
    <w:uiPriority w:val="99"/>
    <w:qFormat/>
    <w:pPr>
      <w:spacing w:after="0" w:line="240" w:lineRule="auto"/>
    </w:pPr>
    <w:tblPr/>
  </w:style>
  <w:style w:type="table" w:styleId="920" w:customStyle="1">
    <w:name w:val="List Table 2 - Accent 1"/>
    <w:uiPriority w:val="99"/>
    <w:qFormat/>
    <w:pPr>
      <w:spacing w:after="0" w:line="240" w:lineRule="auto"/>
    </w:pPr>
    <w:tblPr/>
  </w:style>
  <w:style w:type="table" w:styleId="921" w:customStyle="1">
    <w:name w:val="Bordered &amp; Lined - Accent 1"/>
    <w:uiPriority w:val="99"/>
    <w:qFormat/>
    <w:pPr>
      <w:spacing w:after="0" w:line="240" w:lineRule="auto"/>
    </w:pPr>
    <w:rPr>
      <w:color w:val="404040"/>
    </w:rPr>
    <w:tblPr/>
  </w:style>
  <w:style w:type="table" w:styleId="922" w:customStyle="1">
    <w:name w:val="List Table 5 Dark - Accent 2"/>
    <w:uiPriority w:val="99"/>
    <w:qFormat/>
    <w:pPr>
      <w:spacing w:after="0" w:line="240" w:lineRule="auto"/>
    </w:pPr>
    <w:tblPr/>
  </w:style>
  <w:style w:type="table" w:styleId="923" w:customStyle="1">
    <w:name w:val="Bordered &amp; Lined - Accent 2"/>
    <w:uiPriority w:val="99"/>
    <w:qFormat/>
    <w:pPr>
      <w:spacing w:after="0" w:line="240" w:lineRule="auto"/>
    </w:pPr>
    <w:rPr>
      <w:color w:val="404040"/>
    </w:rPr>
    <w:tblPr/>
  </w:style>
  <w:style w:type="table" w:styleId="924" w:customStyle="1">
    <w:name w:val="List Table 7 Colorful - Accent 1"/>
    <w:uiPriority w:val="99"/>
    <w:qFormat/>
    <w:pPr>
      <w:spacing w:after="0" w:line="240" w:lineRule="auto"/>
    </w:pPr>
    <w:tblPr/>
  </w:style>
  <w:style w:type="table" w:styleId="925" w:customStyle="1">
    <w:name w:val="Plain Table 1"/>
    <w:uiPriority w:val="59"/>
    <w:qFormat/>
    <w:pPr>
      <w:spacing w:after="0" w:line="240" w:lineRule="auto"/>
    </w:pPr>
    <w:tblPr/>
  </w:style>
  <w:style w:type="table" w:styleId="926" w:customStyle="1">
    <w:name w:val="Plain Table 4"/>
    <w:uiPriority w:val="99"/>
    <w:qFormat/>
    <w:pPr>
      <w:spacing w:after="0" w:line="240" w:lineRule="auto"/>
    </w:pPr>
    <w:tblPr/>
  </w:style>
  <w:style w:type="table" w:styleId="927" w:customStyle="1">
    <w:name w:val="Grid Table 2"/>
    <w:uiPriority w:val="99"/>
    <w:qFormat/>
    <w:pPr>
      <w:spacing w:after="0" w:line="240" w:lineRule="auto"/>
    </w:pPr>
    <w:tblPr/>
  </w:style>
  <w:style w:type="table" w:styleId="928" w:customStyle="1">
    <w:name w:val="Grid Table 4 - Accent 2"/>
    <w:uiPriority w:val="59"/>
    <w:qFormat/>
    <w:pPr>
      <w:spacing w:after="0" w:line="240" w:lineRule="auto"/>
    </w:pPr>
    <w:tblPr/>
  </w:style>
  <w:style w:type="table" w:styleId="929" w:customStyle="1">
    <w:name w:val="Grid Table 6 Colorful - Accent 4"/>
    <w:uiPriority w:val="99"/>
    <w:qFormat/>
    <w:pPr>
      <w:spacing w:after="0" w:line="240" w:lineRule="auto"/>
    </w:pPr>
    <w:tblPr/>
  </w:style>
  <w:style w:type="table" w:styleId="930" w:customStyle="1">
    <w:name w:val="Lined - Accent"/>
    <w:uiPriority w:val="99"/>
    <w:qFormat/>
    <w:pPr>
      <w:spacing w:after="0" w:line="240" w:lineRule="auto"/>
    </w:pPr>
    <w:rPr>
      <w:color w:val="404040"/>
    </w:rPr>
    <w:tblPr/>
  </w:style>
  <w:style w:type="table" w:styleId="931" w:customStyle="1">
    <w:name w:val="List Table 5 Dark - Accent 3"/>
    <w:uiPriority w:val="99"/>
    <w:qFormat/>
    <w:pPr>
      <w:spacing w:after="0" w:line="240" w:lineRule="auto"/>
    </w:pPr>
    <w:tblPr/>
  </w:style>
  <w:style w:type="table" w:styleId="932" w:customStyle="1">
    <w:name w:val="网格型11"/>
    <w:basedOn w:val="933"/>
    <w:uiPriority w:val="99"/>
    <w:qFormat/>
    <w:pPr>
      <w:jc w:val="both"/>
      <w:widowControl w:val="off"/>
    </w:pPr>
    <w:tblPr/>
  </w:style>
  <w:style w:type="table" w:styleId="933" w:customStyle="1">
    <w:name w:val="普通表格1"/>
    <w:uiPriority w:val="0"/>
    <w:semiHidden/>
    <w:qFormat/>
    <w:tblPr/>
  </w:style>
  <w:style w:type="table" w:styleId="934" w:customStyle="1">
    <w:name w:val="List Table 6 Colorful - Accent 6"/>
    <w:uiPriority w:val="99"/>
    <w:qFormat/>
    <w:pPr>
      <w:spacing w:after="0" w:line="240" w:lineRule="auto"/>
    </w:pPr>
    <w:tblPr/>
  </w:style>
  <w:style w:type="table" w:styleId="935" w:customStyle="1">
    <w:name w:val="Grid Table 7 Colorful"/>
    <w:uiPriority w:val="99"/>
    <w:qFormat/>
    <w:pPr>
      <w:spacing w:after="0" w:line="240" w:lineRule="auto"/>
    </w:pPr>
    <w:tblPr/>
  </w:style>
  <w:style w:type="table" w:styleId="936" w:customStyle="1">
    <w:name w:val="List Table 4 - Accent 2"/>
    <w:uiPriority w:val="99"/>
    <w:qFormat/>
    <w:pPr>
      <w:spacing w:after="0" w:line="240" w:lineRule="auto"/>
    </w:pPr>
    <w:tblPr/>
  </w:style>
  <w:style w:type="table" w:styleId="937" w:customStyle="1">
    <w:name w:val="List Table 6 Colorful - Accent 1"/>
    <w:uiPriority w:val="99"/>
    <w:qFormat/>
    <w:pPr>
      <w:spacing w:after="0" w:line="240" w:lineRule="auto"/>
    </w:pPr>
    <w:tblPr/>
  </w:style>
  <w:style w:type="table" w:styleId="938" w:customStyle="1">
    <w:name w:val="List Table 1 Light - Accent 6"/>
    <w:uiPriority w:val="99"/>
    <w:qFormat/>
    <w:pPr>
      <w:spacing w:after="0" w:line="240" w:lineRule="auto"/>
    </w:pPr>
    <w:tblPr/>
  </w:style>
  <w:style w:type="table" w:styleId="939" w:customStyle="1">
    <w:name w:val="Plain Table 2"/>
    <w:uiPriority w:val="59"/>
    <w:qFormat/>
    <w:pPr>
      <w:spacing w:after="0" w:line="240" w:lineRule="auto"/>
    </w:pPr>
    <w:tblPr/>
  </w:style>
  <w:style w:type="table" w:styleId="940" w:customStyle="1">
    <w:name w:val="List Table 3 - Accent 4"/>
    <w:uiPriority w:val="99"/>
    <w:qFormat/>
    <w:pPr>
      <w:spacing w:after="0" w:line="240" w:lineRule="auto"/>
    </w:pPr>
    <w:tblPr/>
  </w:style>
  <w:style w:type="table" w:styleId="941" w:customStyle="1">
    <w:name w:val="Plain Table 5"/>
    <w:uiPriority w:val="99"/>
    <w:qFormat/>
    <w:pPr>
      <w:spacing w:after="0" w:line="240" w:lineRule="auto"/>
    </w:pPr>
    <w:tblPr/>
  </w:style>
  <w:style w:type="table" w:styleId="942" w:customStyle="1">
    <w:name w:val="Bordered - Accent 1"/>
    <w:uiPriority w:val="99"/>
    <w:qFormat/>
    <w:pPr>
      <w:spacing w:after="0" w:line="240" w:lineRule="auto"/>
    </w:pPr>
    <w:tblPr/>
  </w:style>
  <w:style w:type="table" w:styleId="943" w:customStyle="1">
    <w:name w:val="List Table 1 Light - Accent 2"/>
    <w:uiPriority w:val="99"/>
    <w:qFormat/>
    <w:pPr>
      <w:spacing w:after="0" w:line="240" w:lineRule="auto"/>
    </w:pPr>
    <w:tblPr/>
  </w:style>
  <w:style w:type="table" w:styleId="944" w:customStyle="1">
    <w:name w:val="Bordered - Accent 2"/>
    <w:uiPriority w:val="99"/>
    <w:qFormat/>
    <w:pPr>
      <w:spacing w:after="0" w:line="240" w:lineRule="auto"/>
    </w:pPr>
    <w:tblPr/>
  </w:style>
  <w:style w:type="table" w:styleId="945" w:customStyle="1">
    <w:name w:val="Grid Table 1 Light - Accent 2"/>
    <w:uiPriority w:val="99"/>
    <w:qFormat/>
    <w:pPr>
      <w:spacing w:after="0" w:line="240" w:lineRule="auto"/>
    </w:pPr>
    <w:tblPr/>
  </w:style>
  <w:style w:type="table" w:styleId="946" w:customStyle="1">
    <w:name w:val="List Table 2 - Accent 4"/>
    <w:uiPriority w:val="99"/>
    <w:qFormat/>
    <w:pPr>
      <w:spacing w:after="0" w:line="240" w:lineRule="auto"/>
    </w:pPr>
    <w:tblPr/>
  </w:style>
  <w:style w:type="table" w:styleId="947" w:customStyle="1">
    <w:name w:val="Grid Table 6 Colorful - Accent 5"/>
    <w:uiPriority w:val="99"/>
    <w:qFormat/>
    <w:pPr>
      <w:spacing w:after="0" w:line="240" w:lineRule="auto"/>
    </w:pPr>
    <w:tblPr/>
  </w:style>
  <w:style w:type="table" w:styleId="948" w:customStyle="1">
    <w:name w:val="Grid Table 3 - Accent 1"/>
    <w:uiPriority w:val="99"/>
    <w:qFormat/>
    <w:pPr>
      <w:spacing w:after="0" w:line="240" w:lineRule="auto"/>
    </w:pPr>
    <w:tblPr/>
  </w:style>
  <w:style w:type="table" w:styleId="949" w:customStyle="1">
    <w:name w:val="Plain Table 3"/>
    <w:uiPriority w:val="99"/>
    <w:qFormat/>
    <w:pPr>
      <w:spacing w:after="0" w:line="240" w:lineRule="auto"/>
    </w:pPr>
    <w:tblPr/>
  </w:style>
  <w:style w:type="table" w:styleId="950" w:customStyle="1">
    <w:name w:val="Grid Table 4 - Accent 1"/>
    <w:uiPriority w:val="59"/>
    <w:qFormat/>
    <w:pPr>
      <w:spacing w:after="0" w:line="240" w:lineRule="auto"/>
    </w:pPr>
    <w:tblPr/>
  </w:style>
  <w:style w:type="table" w:styleId="951" w:customStyle="1">
    <w:name w:val="List Table 1 Light - Accent 5"/>
    <w:uiPriority w:val="99"/>
    <w:qFormat/>
    <w:pPr>
      <w:spacing w:after="0" w:line="240" w:lineRule="auto"/>
    </w:pPr>
    <w:tblPr/>
  </w:style>
  <w:style w:type="table" w:styleId="952" w:customStyle="1">
    <w:name w:val="Grid Table 3 - Accent 5"/>
    <w:uiPriority w:val="99"/>
    <w:qFormat/>
    <w:pPr>
      <w:spacing w:after="0" w:line="240" w:lineRule="auto"/>
    </w:pPr>
    <w:tblPr/>
  </w:style>
  <w:style w:type="table" w:styleId="953" w:customStyle="1">
    <w:name w:val="Grid Table 1 Light - Accent 1"/>
    <w:uiPriority w:val="99"/>
    <w:qFormat/>
    <w:pPr>
      <w:spacing w:after="0" w:line="240" w:lineRule="auto"/>
    </w:pPr>
    <w:tblPr/>
  </w:style>
  <w:style w:type="table" w:styleId="954" w:customStyle="1">
    <w:name w:val="Grid Table 5 Dark"/>
    <w:uiPriority w:val="99"/>
    <w:qFormat/>
    <w:pPr>
      <w:spacing w:after="0" w:line="240" w:lineRule="auto"/>
    </w:pPr>
    <w:tblPr/>
  </w:style>
  <w:style w:type="table" w:styleId="955" w:customStyle="1">
    <w:name w:val="List Table 2 - Accent 2"/>
    <w:uiPriority w:val="99"/>
    <w:qFormat/>
    <w:pPr>
      <w:spacing w:after="0" w:line="240" w:lineRule="auto"/>
    </w:pPr>
    <w:tblPr/>
  </w:style>
  <w:style w:type="table" w:styleId="956" w:customStyle="1">
    <w:name w:val="Lined - Accent 1"/>
    <w:uiPriority w:val="99"/>
    <w:qFormat/>
    <w:pPr>
      <w:spacing w:after="0" w:line="240" w:lineRule="auto"/>
    </w:pPr>
    <w:rPr>
      <w:color w:val="404040"/>
    </w:rPr>
    <w:tblPr/>
  </w:style>
  <w:style w:type="table" w:styleId="957" w:customStyle="1">
    <w:name w:val="Grid Table 1 Light - Accent 4"/>
    <w:uiPriority w:val="99"/>
    <w:qFormat/>
    <w:pPr>
      <w:spacing w:after="0" w:line="240" w:lineRule="auto"/>
    </w:pPr>
    <w:tblPr/>
  </w:style>
  <w:style w:type="table" w:styleId="958" w:customStyle="1">
    <w:name w:val="Grid Table 6 Colorful - Accent 1"/>
    <w:uiPriority w:val="99"/>
    <w:qFormat/>
    <w:pPr>
      <w:spacing w:after="0" w:line="240" w:lineRule="auto"/>
    </w:pPr>
    <w:tblPr/>
  </w:style>
  <w:style w:type="table" w:styleId="959" w:customStyle="1">
    <w:name w:val="List Table 1 Light - Accent 3"/>
    <w:uiPriority w:val="99"/>
    <w:qFormat/>
    <w:pPr>
      <w:spacing w:after="0" w:line="240" w:lineRule="auto"/>
    </w:pPr>
    <w:tblPr/>
  </w:style>
  <w:style w:type="table" w:styleId="960" w:customStyle="1">
    <w:name w:val="Grid Table 3 - Accent 6"/>
    <w:uiPriority w:val="99"/>
    <w:qFormat/>
    <w:pPr>
      <w:spacing w:after="0" w:line="240" w:lineRule="auto"/>
    </w:pPr>
    <w:tblPr/>
  </w:style>
  <w:style w:type="table" w:styleId="961" w:customStyle="1">
    <w:name w:val="Grid Table 7 Colorful - Accent 3"/>
    <w:uiPriority w:val="99"/>
    <w:qFormat/>
    <w:pPr>
      <w:spacing w:after="0" w:line="240" w:lineRule="auto"/>
    </w:pPr>
    <w:tblPr/>
  </w:style>
  <w:style w:type="table" w:styleId="962" w:customStyle="1">
    <w:name w:val="Grid Table 2 - Accent 5"/>
    <w:uiPriority w:val="99"/>
    <w:qFormat/>
    <w:pPr>
      <w:spacing w:after="0" w:line="240" w:lineRule="auto"/>
    </w:pPr>
    <w:tblPr/>
  </w:style>
  <w:style w:type="table" w:styleId="963" w:customStyle="1">
    <w:name w:val="Bordered &amp; Lined - Accent 3"/>
    <w:uiPriority w:val="99"/>
    <w:qFormat/>
    <w:pPr>
      <w:spacing w:after="0" w:line="240" w:lineRule="auto"/>
    </w:pPr>
    <w:rPr>
      <w:color w:val="404040"/>
    </w:rPr>
    <w:tblPr/>
  </w:style>
  <w:style w:type="table" w:styleId="964" w:customStyle="1">
    <w:name w:val="List Table 5 Dark - Accent 5"/>
    <w:uiPriority w:val="99"/>
    <w:qFormat/>
    <w:pPr>
      <w:spacing w:after="0" w:line="240" w:lineRule="auto"/>
    </w:pPr>
    <w:tblPr/>
  </w:style>
  <w:style w:type="table" w:styleId="965" w:customStyle="1">
    <w:name w:val="Bordered"/>
    <w:uiPriority w:val="99"/>
    <w:qFormat/>
    <w:pPr>
      <w:spacing w:after="0" w:line="240" w:lineRule="auto"/>
    </w:pPr>
    <w:tblPr/>
  </w:style>
  <w:style w:type="table" w:styleId="966" w:customStyle="1">
    <w:name w:val="Bordered &amp; Lined - Accent"/>
    <w:uiPriority w:val="99"/>
    <w:qFormat/>
    <w:pPr>
      <w:spacing w:after="0" w:line="240" w:lineRule="auto"/>
    </w:pPr>
    <w:rPr>
      <w:color w:val="404040"/>
    </w:rPr>
    <w:tblPr/>
  </w:style>
  <w:style w:type="table" w:styleId="967" w:customStyle="1">
    <w:name w:val="Grid Table 2 - Accent 2"/>
    <w:uiPriority w:val="99"/>
    <w:qFormat/>
    <w:pPr>
      <w:spacing w:after="0" w:line="240" w:lineRule="auto"/>
    </w:pPr>
    <w:tblPr/>
  </w:style>
  <w:style w:type="table" w:styleId="968" w:customStyle="1">
    <w:name w:val="Grid Table 4 - Accent 5"/>
    <w:uiPriority w:val="59"/>
    <w:qFormat/>
    <w:pPr>
      <w:spacing w:after="0" w:line="240" w:lineRule="auto"/>
    </w:pPr>
    <w:tblPr/>
  </w:style>
  <w:style w:type="table" w:styleId="969" w:customStyle="1">
    <w:name w:val="Grid Table 2 - Accent 4"/>
    <w:uiPriority w:val="99"/>
    <w:qFormat/>
    <w:pPr>
      <w:spacing w:after="0" w:line="240" w:lineRule="auto"/>
    </w:pPr>
    <w:tblPr/>
  </w:style>
  <w:style w:type="table" w:styleId="970" w:customStyle="1">
    <w:name w:val="Grid Table 3"/>
    <w:uiPriority w:val="99"/>
    <w:qFormat/>
    <w:pPr>
      <w:spacing w:after="0" w:line="240" w:lineRule="auto"/>
    </w:pPr>
    <w:tblPr/>
  </w:style>
  <w:style w:type="table" w:styleId="971" w:customStyle="1">
    <w:name w:val="Bordered - Accent 4"/>
    <w:uiPriority w:val="99"/>
    <w:qFormat/>
    <w:pPr>
      <w:spacing w:after="0" w:line="240" w:lineRule="auto"/>
    </w:pPr>
    <w:tblPr/>
  </w:style>
  <w:style w:type="table" w:styleId="972" w:customStyle="1">
    <w:name w:val="Bordered &amp; Lined - Accent 4"/>
    <w:uiPriority w:val="99"/>
    <w:qFormat/>
    <w:pPr>
      <w:spacing w:after="0" w:line="240" w:lineRule="auto"/>
    </w:pPr>
    <w:rPr>
      <w:color w:val="404040"/>
    </w:rPr>
    <w:tblPr/>
  </w:style>
  <w:style w:type="table" w:styleId="973" w:customStyle="1">
    <w:name w:val="Table Normal"/>
    <w:uiPriority w:val="2"/>
    <w:unhideWhenUsed/>
    <w:qFormat/>
    <w:tblPr/>
  </w:style>
  <w:style w:type="table" w:styleId="974" w:customStyle="1">
    <w:name w:val="Grid Table 2 - Accent 6"/>
    <w:uiPriority w:val="99"/>
    <w:qFormat/>
    <w:pPr>
      <w:spacing w:after="0" w:line="240" w:lineRule="auto"/>
    </w:pPr>
    <w:tblPr/>
  </w:style>
  <w:style w:type="table" w:styleId="975" w:customStyle="1">
    <w:name w:val="List Table 2 - Accent 6"/>
    <w:uiPriority w:val="99"/>
    <w:qFormat/>
    <w:pPr>
      <w:spacing w:after="0" w:line="240" w:lineRule="auto"/>
    </w:pPr>
    <w:tblPr/>
  </w:style>
  <w:style w:type="table" w:styleId="976" w:customStyle="1">
    <w:name w:val="List Table 6 Colorful - Accent 2"/>
    <w:uiPriority w:val="99"/>
    <w:qFormat/>
    <w:pPr>
      <w:spacing w:after="0" w:line="240" w:lineRule="auto"/>
    </w:pPr>
    <w:tblPr/>
  </w:style>
  <w:style w:type="table" w:styleId="977" w:customStyle="1">
    <w:name w:val="List Table 2 - Accent 3"/>
    <w:uiPriority w:val="99"/>
    <w:qFormat/>
    <w:pPr>
      <w:spacing w:after="0" w:line="240" w:lineRule="auto"/>
    </w:pPr>
    <w:tblPr/>
  </w:style>
  <w:style w:type="table" w:styleId="978" w:customStyle="1">
    <w:name w:val="Grid Table 5 Dark- Accent 1"/>
    <w:uiPriority w:val="99"/>
    <w:qFormat/>
    <w:pPr>
      <w:spacing w:after="0" w:line="240" w:lineRule="auto"/>
    </w:pPr>
    <w:tblPr/>
  </w:style>
  <w:style w:type="table" w:styleId="979" w:customStyle="1">
    <w:name w:val="Grid Table 5 Dark - Accent 5"/>
    <w:uiPriority w:val="99"/>
    <w:qFormat/>
    <w:pPr>
      <w:spacing w:after="0" w:line="240" w:lineRule="auto"/>
    </w:pPr>
    <w:tblPr/>
  </w:style>
  <w:style w:type="table" w:styleId="980" w:customStyle="1">
    <w:name w:val="List Table 7 Colorful - Accent 6"/>
    <w:uiPriority w:val="99"/>
    <w:qFormat/>
    <w:pPr>
      <w:spacing w:after="0" w:line="240" w:lineRule="auto"/>
    </w:pPr>
    <w:tblPr/>
  </w:style>
  <w:style w:type="table" w:styleId="981" w:customStyle="1">
    <w:name w:val="Grid Table 4 - Accent 3"/>
    <w:uiPriority w:val="59"/>
    <w:qFormat/>
    <w:pPr>
      <w:spacing w:after="0" w:line="240" w:lineRule="auto"/>
    </w:pPr>
    <w:tblPr/>
  </w:style>
  <w:style w:type="table" w:styleId="982" w:customStyle="1">
    <w:name w:val="List Table 7 Colorful - Accent 2"/>
    <w:uiPriority w:val="99"/>
    <w:qFormat/>
    <w:pPr>
      <w:spacing w:after="0" w:line="240" w:lineRule="auto"/>
    </w:pPr>
    <w:tblPr/>
  </w:style>
  <w:style w:type="table" w:styleId="983" w:customStyle="1">
    <w:name w:val="List Table 7 Colorful - Accent 5"/>
    <w:uiPriority w:val="99"/>
    <w:qFormat/>
    <w:pPr>
      <w:spacing w:after="0" w:line="240" w:lineRule="auto"/>
    </w:pPr>
    <w:tblPr/>
  </w:style>
  <w:style w:type="table" w:styleId="984" w:customStyle="1">
    <w:name w:val="List Table 5 Dark - Accent 1"/>
    <w:uiPriority w:val="99"/>
    <w:qFormat/>
    <w:pPr>
      <w:spacing w:after="0" w:line="240" w:lineRule="auto"/>
    </w:pPr>
    <w:tblPr/>
  </w:style>
  <w:style w:type="table" w:styleId="985" w:customStyle="1">
    <w:name w:val="Lined - Accent 2"/>
    <w:uiPriority w:val="99"/>
    <w:qFormat/>
    <w:pPr>
      <w:spacing w:after="0" w:line="240" w:lineRule="auto"/>
    </w:pPr>
    <w:rPr>
      <w:color w:val="404040"/>
    </w:rPr>
    <w:tblPr/>
  </w:style>
  <w:style w:type="table" w:styleId="986" w:customStyle="1">
    <w:name w:val="网格型1"/>
    <w:basedOn w:val="933"/>
    <w:uiPriority w:val="59"/>
    <w:qFormat/>
    <w:pPr>
      <w:jc w:val="both"/>
      <w:widowControl w:val="off"/>
    </w:pPr>
    <w:tblPr/>
  </w:style>
  <w:style w:type="table" w:styleId="987" w:customStyle="1">
    <w:name w:val="List Table 4"/>
    <w:uiPriority w:val="99"/>
    <w:qFormat/>
    <w:pPr>
      <w:spacing w:after="0" w:line="240" w:lineRule="auto"/>
    </w:pPr>
    <w:tblPr/>
  </w:style>
  <w:style w:type="table" w:styleId="988" w:customStyle="1">
    <w:name w:val="List Table 1 Light - Accent 4"/>
    <w:uiPriority w:val="99"/>
    <w:qFormat/>
    <w:pPr>
      <w:spacing w:after="0" w:line="240" w:lineRule="auto"/>
    </w:pPr>
    <w:tblPr/>
  </w:style>
  <w:style w:type="table" w:styleId="989" w:customStyle="1">
    <w:name w:val="Table Grid Light"/>
    <w:uiPriority w:val="59"/>
    <w:qFormat/>
    <w:pPr>
      <w:spacing w:after="0" w:line="240" w:lineRule="auto"/>
    </w:pPr>
    <w:tblPr/>
  </w:style>
  <w:style w:type="table" w:styleId="990" w:customStyle="1">
    <w:name w:val="Grid Table 4 - Accent 6"/>
    <w:uiPriority w:val="59"/>
    <w:qFormat/>
    <w:pPr>
      <w:spacing w:after="0" w:line="240" w:lineRule="auto"/>
    </w:pPr>
    <w:tblPr/>
  </w:style>
  <w:style w:type="table" w:styleId="991" w:customStyle="1">
    <w:name w:val="List Table 3 - Accent 1"/>
    <w:uiPriority w:val="99"/>
    <w:qFormat/>
    <w:pPr>
      <w:spacing w:after="0" w:line="240" w:lineRule="auto"/>
    </w:pPr>
    <w:tblPr/>
  </w:style>
  <w:style w:type="table" w:styleId="992" w:customStyle="1">
    <w:name w:val="Grid Table 6 Colorful"/>
    <w:uiPriority w:val="99"/>
    <w:qFormat/>
    <w:pPr>
      <w:spacing w:after="0" w:line="240" w:lineRule="auto"/>
    </w:pPr>
    <w:tblPr/>
  </w:style>
  <w:style w:type="table" w:styleId="993" w:customStyle="1">
    <w:name w:val="Bordered &amp; Lined - Accent 6"/>
    <w:uiPriority w:val="99"/>
    <w:qFormat/>
    <w:pPr>
      <w:spacing w:after="0" w:line="240" w:lineRule="auto"/>
    </w:pPr>
    <w:rPr>
      <w:color w:val="404040"/>
    </w:rPr>
    <w:tblPr/>
  </w:style>
  <w:style w:type="table" w:styleId="994" w:customStyle="1">
    <w:name w:val="List Table 2"/>
    <w:uiPriority w:val="99"/>
    <w:qFormat/>
    <w:pPr>
      <w:spacing w:after="0" w:line="240" w:lineRule="auto"/>
    </w:pPr>
    <w:tblPr/>
  </w:style>
  <w:style w:type="table" w:styleId="995" w:customStyle="1">
    <w:name w:val="List Table 3"/>
    <w:uiPriority w:val="99"/>
    <w:qFormat/>
    <w:pPr>
      <w:spacing w:after="0" w:line="240" w:lineRule="auto"/>
    </w:pPr>
    <w:tblPr/>
  </w:style>
  <w:style w:type="table" w:styleId="996" w:customStyle="1">
    <w:name w:val="Grid Table 6 Colorful - Accent 3"/>
    <w:uiPriority w:val="99"/>
    <w:qFormat/>
    <w:pPr>
      <w:spacing w:after="0" w:line="240" w:lineRule="auto"/>
    </w:pPr>
    <w:tblPr/>
  </w:style>
  <w:style w:type="table" w:styleId="997" w:customStyle="1">
    <w:name w:val="Grid Table 3 - Accent 2"/>
    <w:uiPriority w:val="99"/>
    <w:qFormat/>
    <w:pPr>
      <w:spacing w:after="0" w:line="240" w:lineRule="auto"/>
    </w:pPr>
    <w:tblPr/>
  </w:style>
  <w:style w:type="table" w:styleId="998" w:customStyle="1">
    <w:name w:val="List Table 7 Colorful - Accent 4"/>
    <w:uiPriority w:val="99"/>
    <w:qFormat/>
    <w:pPr>
      <w:spacing w:after="0" w:line="240" w:lineRule="auto"/>
    </w:pPr>
    <w:tblPr/>
  </w:style>
  <w:style w:type="table" w:styleId="999" w:customStyle="1">
    <w:name w:val="List Table 5 Dark"/>
    <w:uiPriority w:val="99"/>
    <w:qFormat/>
    <w:pPr>
      <w:spacing w:after="0" w:line="240" w:lineRule="auto"/>
    </w:pPr>
    <w:tblPr/>
  </w:style>
  <w:style w:type="table" w:styleId="1000" w:customStyle="1">
    <w:name w:val="List Table 4 - Accent 4"/>
    <w:uiPriority w:val="99"/>
    <w:qFormat/>
    <w:pPr>
      <w:spacing w:after="0" w:line="240" w:lineRule="auto"/>
    </w:pPr>
    <w:tblPr/>
  </w:style>
  <w:style w:type="table" w:styleId="1001" w:customStyle="1">
    <w:name w:val="List Table 4 - Accent 5"/>
    <w:uiPriority w:val="99"/>
    <w:qFormat/>
    <w:pPr>
      <w:spacing w:after="0" w:line="240" w:lineRule="auto"/>
    </w:pPr>
    <w:tblPr/>
  </w:style>
  <w:style w:type="table" w:styleId="1002" w:customStyle="1">
    <w:name w:val="Grid Table 1 Light - Accent 6"/>
    <w:uiPriority w:val="99"/>
    <w:qFormat/>
    <w:pPr>
      <w:spacing w:after="0" w:line="240" w:lineRule="auto"/>
    </w:pPr>
    <w:tblPr/>
  </w:style>
  <w:style w:type="table" w:styleId="1003" w:customStyle="1">
    <w:name w:val="Grid Table 3 - Accent 4"/>
    <w:uiPriority w:val="99"/>
    <w:qFormat/>
    <w:pPr>
      <w:spacing w:after="0" w:line="240" w:lineRule="auto"/>
    </w:pPr>
    <w:tblPr/>
  </w:style>
  <w:style w:type="table" w:styleId="1004" w:customStyle="1">
    <w:name w:val="Grid Table 3 - Accent 3"/>
    <w:uiPriority w:val="99"/>
    <w:qFormat/>
    <w:pPr>
      <w:spacing w:after="0" w:line="240" w:lineRule="auto"/>
    </w:pPr>
    <w:tblPr/>
  </w:style>
  <w:style w:type="table" w:styleId="1005" w:customStyle="1">
    <w:name w:val="Grid Table 6 Colorful - Accent 6"/>
    <w:uiPriority w:val="99"/>
    <w:qFormat/>
    <w:pPr>
      <w:spacing w:after="0" w:line="240" w:lineRule="auto"/>
    </w:pPr>
    <w:tblPr/>
  </w:style>
  <w:style w:type="table" w:styleId="1006" w:customStyle="1">
    <w:name w:val="List Table 6 Colorful"/>
    <w:uiPriority w:val="99"/>
    <w:qFormat/>
    <w:pPr>
      <w:spacing w:after="0" w:line="240" w:lineRule="auto"/>
    </w:pPr>
    <w:tblPr/>
  </w:style>
  <w:style w:type="table" w:styleId="1007" w:customStyle="1">
    <w:name w:val="List Table 4 - Accent 3"/>
    <w:uiPriority w:val="99"/>
    <w:qFormat/>
    <w:pPr>
      <w:spacing w:after="0" w:line="240" w:lineRule="auto"/>
    </w:pPr>
    <w:tblPr/>
  </w:style>
  <w:style w:type="table" w:styleId="1008" w:customStyle="1">
    <w:name w:val="List Table 7 Colorful - Accent 3"/>
    <w:uiPriority w:val="99"/>
    <w:qFormat/>
    <w:pPr>
      <w:spacing w:after="0" w:line="240" w:lineRule="auto"/>
    </w:pPr>
    <w:tblPr/>
  </w:style>
  <w:style w:type="table" w:styleId="1009" w:customStyle="1">
    <w:name w:val="List Table 5 Dark - Accent 4"/>
    <w:uiPriority w:val="99"/>
    <w:qFormat/>
    <w:pPr>
      <w:spacing w:after="0" w:line="240" w:lineRule="auto"/>
    </w:pPr>
    <w:tblPr/>
  </w:style>
  <w:style w:type="table" w:styleId="1010" w:customStyle="1">
    <w:name w:val="Grid Table 5 Dark - Accent 3"/>
    <w:uiPriority w:val="99"/>
    <w:qFormat/>
    <w:pPr>
      <w:spacing w:after="0" w:line="240" w:lineRule="auto"/>
    </w:pPr>
    <w:tblPr/>
  </w:style>
  <w:style w:type="table" w:styleId="1011" w:customStyle="1">
    <w:name w:val="List Table 6 Colorful - Accent 3"/>
    <w:uiPriority w:val="99"/>
    <w:qFormat/>
    <w:pPr>
      <w:spacing w:after="0" w:line="240" w:lineRule="auto"/>
    </w:pPr>
    <w:tblPr/>
  </w:style>
  <w:style w:type="table" w:styleId="1012" w:customStyle="1">
    <w:name w:val="List Table 3 - Accent 3"/>
    <w:uiPriority w:val="99"/>
    <w:qFormat/>
    <w:pPr>
      <w:spacing w:after="0" w:line="240" w:lineRule="auto"/>
    </w:pPr>
    <w:tblPr/>
  </w:style>
  <w:style w:type="table" w:styleId="1013" w:customStyle="1">
    <w:name w:val="List Table 3 - Accent 2"/>
    <w:uiPriority w:val="99"/>
    <w:qFormat/>
    <w:pPr>
      <w:spacing w:after="0" w:line="240" w:lineRule="auto"/>
    </w:pPr>
    <w:tblPr/>
  </w:style>
  <w:style w:type="table" w:styleId="1014" w:customStyle="1">
    <w:name w:val="Grid Table 4"/>
    <w:uiPriority w:val="59"/>
    <w:qFormat/>
    <w:pPr>
      <w:spacing w:after="0" w:line="240" w:lineRule="auto"/>
    </w:pPr>
    <w:tblPr/>
  </w:style>
  <w:style w:type="table" w:styleId="1015" w:customStyle="1">
    <w:name w:val="Grid Table 7 Colorful - Accent 6"/>
    <w:uiPriority w:val="99"/>
    <w:qFormat/>
    <w:pPr>
      <w:spacing w:after="0" w:line="240" w:lineRule="auto"/>
    </w:pPr>
    <w:tblPr/>
  </w:style>
  <w:style w:type="table" w:styleId="1016" w:customStyle="1">
    <w:name w:val="Grid Table 5 Dark- Accent 4"/>
    <w:uiPriority w:val="99"/>
    <w:qFormat/>
    <w:pPr>
      <w:spacing w:after="0" w:line="240" w:lineRule="auto"/>
    </w:pPr>
    <w:tblPr/>
  </w:style>
  <w:style w:type="table" w:styleId="1017" w:customStyle="1">
    <w:name w:val="Bordered - Accent 3"/>
    <w:uiPriority w:val="99"/>
    <w:qFormat/>
    <w:pPr>
      <w:spacing w:after="0" w:line="240" w:lineRule="auto"/>
    </w:pPr>
    <w:tblPr/>
  </w:style>
  <w:style w:type="table" w:styleId="1018" w:customStyle="1">
    <w:name w:val="Grid Table 5 Dark - Accent 6"/>
    <w:uiPriority w:val="99"/>
    <w:qFormat/>
    <w:pPr>
      <w:spacing w:after="0" w:line="240" w:lineRule="auto"/>
    </w:pPr>
    <w:tblPr/>
  </w:style>
  <w:style w:type="table" w:styleId="1019" w:customStyle="1">
    <w:name w:val="Lined - Accent 4"/>
    <w:uiPriority w:val="99"/>
    <w:qFormat/>
    <w:pPr>
      <w:spacing w:after="0" w:line="240" w:lineRule="auto"/>
    </w:pPr>
    <w:rPr>
      <w:color w:val="404040"/>
    </w:rPr>
    <w:tblPr/>
  </w:style>
  <w:style w:type="table" w:styleId="1020" w:customStyle="1">
    <w:name w:val="Grid Table 7 Colorful - Accent 4"/>
    <w:uiPriority w:val="99"/>
    <w:qFormat/>
    <w:pPr>
      <w:spacing w:after="0" w:line="240" w:lineRule="auto"/>
    </w:pPr>
    <w:tblPr/>
  </w:style>
  <w:style w:type="table" w:styleId="1021" w:customStyle="1">
    <w:name w:val="List Table 2 - Accent 5"/>
    <w:uiPriority w:val="99"/>
    <w:qFormat/>
    <w:pPr>
      <w:spacing w:after="0" w:line="240" w:lineRule="auto"/>
    </w:pPr>
    <w:tblPr/>
  </w:style>
  <w:style w:type="table" w:styleId="1022" w:customStyle="1">
    <w:name w:val="Grid Table 7 Colorful - Accent 5"/>
    <w:uiPriority w:val="99"/>
    <w:qFormat/>
    <w:pPr>
      <w:spacing w:after="0" w:line="240" w:lineRule="auto"/>
    </w:pPr>
    <w:tblPr/>
  </w:style>
  <w:style w:type="table" w:styleId="1023" w:customStyle="1">
    <w:name w:val="Lined - Accent 3"/>
    <w:uiPriority w:val="99"/>
    <w:qFormat/>
    <w:pPr>
      <w:spacing w:after="0" w:line="240" w:lineRule="auto"/>
    </w:pPr>
    <w:rPr>
      <w:color w:val="404040"/>
    </w:rPr>
    <w:tblPr/>
  </w:style>
  <w:style w:type="table" w:styleId="1024" w:customStyle="1">
    <w:name w:val="Grid Table 4 - Accent 4"/>
    <w:uiPriority w:val="59"/>
    <w:qFormat/>
    <w:pPr>
      <w:spacing w:after="0" w:line="240" w:lineRule="auto"/>
    </w:pPr>
    <w:tblPr/>
  </w:style>
  <w:style w:type="character" w:styleId="1025" w:customStyle="1">
    <w:name w:val="font101"/>
    <w:uiPriority w:val="0"/>
    <w:qFormat/>
    <w:rPr>
      <w:rFonts w:hint="default" w:ascii="Times New Roman" w:hAnsi="Times New Roman" w:cs="Times New Roman"/>
      <w:color w:val="000000"/>
      <w:sz w:val="20"/>
      <w:szCs w:val="20"/>
      <w:u w:val="none"/>
      <w:vertAlign w:val="subscript"/>
    </w:rPr>
  </w:style>
  <w:style w:type="character" w:styleId="1026" w:customStyle="1">
    <w:name w:val="font112"/>
    <w:uiPriority w:val="0"/>
    <w:qFormat/>
    <w:rPr>
      <w:rFonts w:hint="eastAsia" w:ascii="宋体" w:hAnsi="宋体" w:eastAsia="宋体" w:cs="宋体"/>
      <w:color w:val="000000"/>
      <w:sz w:val="20"/>
      <w:szCs w:val="20"/>
      <w:u w:val="none"/>
      <w:vertAlign w:val="subscript"/>
    </w:rPr>
  </w:style>
  <w:style w:type="character" w:styleId="1027" w:customStyle="1">
    <w:name w:val="font141"/>
    <w:uiPriority w:val="0"/>
    <w:qFormat/>
    <w:rPr>
      <w:rFonts w:hint="default" w:ascii="Times New Roman" w:hAnsi="Times New Roman" w:cs="Times New Roman"/>
      <w:color w:val="000000"/>
      <w:sz w:val="20"/>
      <w:szCs w:val="20"/>
      <w:u w:val="none"/>
      <w:vertAlign w:val="superscript"/>
    </w:rPr>
  </w:style>
  <w:style w:type="character" w:styleId="1028" w:customStyle="1">
    <w:name w:val="font171"/>
    <w:uiPriority w:val="0"/>
    <w:qFormat/>
    <w:rPr>
      <w:rFonts w:ascii="MingLiU-ExtB" w:hAnsi="MingLiU-ExtB" w:eastAsia="MingLiU-ExtB" w:cs="MingLiU-ExtB"/>
      <w:color w:val="000000"/>
      <w:sz w:val="20"/>
      <w:szCs w:val="20"/>
      <w:u w:val="none"/>
    </w:rPr>
  </w:style>
  <w:style w:type="character" w:styleId="1029" w:customStyle="1">
    <w:name w:val="font181"/>
    <w:uiPriority w:val="0"/>
    <w:qFormat/>
    <w:rPr>
      <w:rFonts w:ascii="Arial" w:hAnsi="Arial" w:cs="Arial"/>
      <w:color w:val="000000"/>
      <w:sz w:val="20"/>
      <w:szCs w:val="20"/>
      <w:u w:val="none"/>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永明</cp:lastModifiedBy>
  <cp:revision>12</cp:revision>
  <dcterms:created xsi:type="dcterms:W3CDTF">2022-04-14T10:51:00Z</dcterms:created>
  <dcterms:modified xsi:type="dcterms:W3CDTF">2024-10-22T03:58:16Z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83EBD2CA6F9C401BB2754CCE65592D6D_12</vt:lpwstr>
  </property>
</Properties>
</file>