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DE431">
      <w:pPr>
        <w:jc w:val="center"/>
        <w:rPr>
          <w:rFonts w:hint="eastAsia" w:ascii="仿宋_GB2312" w:hAnsi="仿宋_GB2312" w:eastAsia="仿宋_GB2312" w:cs="Times New Roman"/>
          <w:b/>
          <w:bCs/>
          <w:sz w:val="32"/>
          <w:szCs w:val="32"/>
        </w:rPr>
      </w:pPr>
      <w:r>
        <w:rPr>
          <w:rFonts w:hint="eastAsia" w:ascii="仿宋_GB2312" w:hAnsi="仿宋_GB2312" w:eastAsia="仿宋_GB2312" w:cs="仿宋_GB2312"/>
          <w:b/>
          <w:bCs/>
          <w:sz w:val="32"/>
          <w:szCs w:val="32"/>
        </w:rPr>
        <w:t>工管中心2025年各水利工程建筑物维修</w:t>
      </w:r>
    </w:p>
    <w:p w14:paraId="4A282BFD">
      <w:pPr>
        <w:jc w:val="center"/>
        <w:rPr>
          <w:rFonts w:hint="eastAsia" w:ascii="仿宋_GB2312" w:hAnsi="仿宋_GB2312" w:eastAsia="仿宋_GB2312" w:cs="Times New Roman"/>
          <w:b/>
          <w:bCs/>
          <w:sz w:val="32"/>
          <w:szCs w:val="32"/>
        </w:rPr>
      </w:pPr>
      <w:r>
        <w:rPr>
          <w:rFonts w:hint="eastAsia" w:ascii="仿宋_GB2312" w:hAnsi="仿宋_GB2312" w:eastAsia="仿宋_GB2312" w:cs="仿宋_GB2312"/>
          <w:b/>
          <w:bCs/>
          <w:sz w:val="32"/>
          <w:szCs w:val="32"/>
        </w:rPr>
        <w:t>工程量清单编制说明</w:t>
      </w:r>
    </w:p>
    <w:p w14:paraId="28897ADD">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一、工程概况</w:t>
      </w:r>
    </w:p>
    <w:p w14:paraId="1A7AB9F9">
      <w:pPr>
        <w:spacing w:line="400" w:lineRule="exact"/>
        <w:ind w:firstLine="600" w:firstLineChars="25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本工程为工管中心2025年各水利工程建筑物维修,</w:t>
      </w:r>
      <w:r>
        <w:rPr>
          <w:rFonts w:hint="eastAsia" w:ascii="仿宋_GB2312" w:eastAsia="仿宋_GB2312"/>
          <w:sz w:val="24"/>
          <w:szCs w:val="24"/>
        </w:rPr>
        <w:t xml:space="preserve"> 维修范围包括：</w:t>
      </w:r>
      <w:r>
        <w:rPr>
          <w:rFonts w:hint="eastAsia" w:ascii="仿宋_GB2312" w:eastAsia="仿宋_GB2312"/>
          <w:sz w:val="24"/>
          <w:szCs w:val="24"/>
        </w:rPr>
        <w:fldChar w:fldCharType="begin"/>
      </w:r>
      <w:r>
        <w:rPr>
          <w:rFonts w:hint="eastAsia" w:ascii="仿宋_GB2312" w:eastAsia="仿宋_GB2312"/>
          <w:sz w:val="24"/>
          <w:szCs w:val="24"/>
        </w:rPr>
        <w:instrText xml:space="preserve"> = 1 \* GB3 </w:instrText>
      </w:r>
      <w:r>
        <w:rPr>
          <w:rFonts w:hint="eastAsia" w:ascii="仿宋_GB2312" w:eastAsia="仿宋_GB2312"/>
          <w:sz w:val="24"/>
          <w:szCs w:val="24"/>
        </w:rPr>
        <w:fldChar w:fldCharType="separate"/>
      </w:r>
      <w:r>
        <w:rPr>
          <w:rFonts w:hint="eastAsia" w:ascii="仿宋_GB2312" w:eastAsia="仿宋_GB2312"/>
          <w:sz w:val="24"/>
          <w:szCs w:val="24"/>
        </w:rPr>
        <w:t>①</w:t>
      </w:r>
      <w:r>
        <w:rPr>
          <w:rFonts w:hint="eastAsia" w:ascii="仿宋_GB2312" w:eastAsia="仿宋_GB2312"/>
          <w:sz w:val="24"/>
          <w:szCs w:val="24"/>
        </w:rPr>
        <w:fldChar w:fldCharType="end"/>
      </w:r>
      <w:r>
        <w:rPr>
          <w:rFonts w:hint="eastAsia" w:ascii="仿宋_GB2312" w:hAnsi="仿宋_GB2312" w:eastAsia="仿宋_GB2312" w:cs="仿宋_GB2312"/>
          <w:sz w:val="24"/>
          <w:szCs w:val="24"/>
        </w:rPr>
        <w:t>汛后维修工程（江尖闸墩顶面防水处理、储备中心一楼卫生间改造、抢险队仓库屋面翻新、北塘联圩新西、高桥厨房修缮、西直湖港南枢纽管理房维修(卫生间)、西直湖港小杨巷增补围栏、西直湖港屋面上人孔盖板更换、蠡湖所骂蠡港建筑物修缮、西直湖港闸站枢纽电动葫芦遮雨棚、利民桥大门门头换柱）；</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2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②</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“贝碧嘉”台风受损修缮工程；</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3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③</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标识标牌。</w:t>
      </w:r>
    </w:p>
    <w:p w14:paraId="2430FF45">
      <w:pPr>
        <w:adjustRightInd w:val="0"/>
        <w:snapToGrid w:val="0"/>
        <w:spacing w:line="400" w:lineRule="exact"/>
        <w:jc w:val="left"/>
        <w:outlineLvl w:val="0"/>
        <w:rPr>
          <w:rFonts w:hint="eastAsia" w:ascii="仿宋_GB2312" w:hAnsi="仿宋_GB2312" w:eastAsia="仿宋_GB2312" w:cs="Times New Roman"/>
          <w:sz w:val="24"/>
          <w:szCs w:val="24"/>
        </w:rPr>
      </w:pPr>
      <w:r>
        <w:rPr>
          <w:rFonts w:hint="eastAsia" w:ascii="仿宋_GB2312" w:hAnsi="仿宋_GB2312" w:eastAsia="仿宋_GB2312" w:cs="仿宋_GB2312"/>
          <w:b/>
          <w:bCs/>
          <w:sz w:val="24"/>
          <w:szCs w:val="24"/>
        </w:rPr>
        <w:t>二、工程招标范围</w:t>
      </w:r>
    </w:p>
    <w:p w14:paraId="15DEA3F3">
      <w:pPr>
        <w:autoSpaceDE w:val="0"/>
        <w:autoSpaceDN w:val="0"/>
        <w:adjustRightInd w:val="0"/>
        <w:snapToGrid w:val="0"/>
        <w:spacing w:line="400" w:lineRule="exact"/>
        <w:ind w:left="-19" w:leftChars="-9" w:firstLine="480" w:firstLineChars="200"/>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本工程招标范围为设计图纸范围内的工管中心2025年各水利工程建筑物维修。</w:t>
      </w:r>
    </w:p>
    <w:p w14:paraId="4706DDAC">
      <w:pPr>
        <w:spacing w:line="400" w:lineRule="exact"/>
        <w:ind w:firstLine="482" w:firstLineChars="200"/>
        <w:rPr>
          <w:rFonts w:hint="eastAsia" w:ascii="仿宋_GB2312" w:hAnsi="仿宋_GB2312" w:eastAsia="仿宋_GB2312" w:cs="Times New Roman"/>
          <w:sz w:val="24"/>
          <w:szCs w:val="24"/>
        </w:rPr>
      </w:pPr>
      <w:r>
        <w:rPr>
          <w:rFonts w:hint="eastAsia" w:ascii="仿宋_GB2312" w:hAnsi="仿宋_GB2312" w:eastAsia="仿宋_GB2312" w:cs="仿宋_GB2312"/>
          <w:b/>
          <w:bCs/>
          <w:sz w:val="24"/>
          <w:szCs w:val="24"/>
        </w:rPr>
        <w:t>三、工程量清单编制依据</w:t>
      </w:r>
    </w:p>
    <w:p w14:paraId="2AEC4782">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1、国家相关法律、法规。</w:t>
      </w:r>
    </w:p>
    <w:p w14:paraId="75A5C6DF">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2、建设单位提供的本工程相关建设要求及施工图设计图纸。</w:t>
      </w:r>
    </w:p>
    <w:p w14:paraId="491844DE">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3、《建设工程工程量清单计价规范》GB50500-2013、《</w:t>
      </w:r>
      <w:r>
        <w:rPr>
          <w:rFonts w:hint="eastAsia" w:ascii="仿宋_GB2312" w:hAnsi="宋体" w:eastAsia="仿宋_GB2312"/>
          <w:sz w:val="24"/>
          <w:szCs w:val="24"/>
        </w:rPr>
        <w:t>房屋</w:t>
      </w:r>
      <w:r>
        <w:rPr>
          <w:rFonts w:hint="eastAsia" w:ascii="仿宋_GB2312" w:hAnsi="宋体" w:eastAsia="仿宋_GB2312"/>
          <w:sz w:val="24"/>
        </w:rPr>
        <w:t>建筑与装饰工程工程量</w:t>
      </w:r>
      <w:r>
        <w:rPr>
          <w:rFonts w:hint="eastAsia" w:ascii="仿宋_GB2312" w:hAnsi="宋体" w:eastAsia="仿宋_GB2312"/>
          <w:sz w:val="24"/>
          <w:szCs w:val="24"/>
        </w:rPr>
        <w:t>计算</w:t>
      </w:r>
      <w:r>
        <w:rPr>
          <w:rFonts w:hint="eastAsia" w:ascii="仿宋_GB2312" w:hAnsi="宋体" w:eastAsia="仿宋_GB2312"/>
          <w:sz w:val="24"/>
        </w:rPr>
        <w:t>规范</w:t>
      </w:r>
      <w:r>
        <w:rPr>
          <w:rFonts w:hint="eastAsia" w:ascii="仿宋_GB2312" w:hAnsi="仿宋_GB2312" w:eastAsia="仿宋_GB2312" w:cs="仿宋_GB2312"/>
          <w:sz w:val="24"/>
          <w:szCs w:val="24"/>
        </w:rPr>
        <w:t>》(GB50854-2013)</w:t>
      </w:r>
      <w:r>
        <w:rPr>
          <w:rFonts w:hint="eastAsia" w:ascii="仿宋_GB2312" w:hAnsi="仿宋_GB2312" w:eastAsia="仿宋_GB2312" w:cs="仿宋_GB2312"/>
          <w:sz w:val="24"/>
        </w:rPr>
        <w:t>、</w:t>
      </w:r>
      <w:r>
        <w:rPr>
          <w:rFonts w:hint="eastAsia" w:ascii="仿宋_GB2312" w:hAnsi="仿宋_GB2312" w:eastAsia="仿宋_GB2312" w:cs="仿宋_GB2312"/>
          <w:sz w:val="24"/>
          <w:szCs w:val="24"/>
        </w:rPr>
        <w:t>《市政工程工程量计算规范》(GB50857-2013)。</w:t>
      </w:r>
    </w:p>
    <w:p w14:paraId="743DC2DE">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4、苏建价【2014】448号《省住房城乡建设厅关于《建设工程工程量清单计价规范》（GB50500-2013）及其9本工程量计算规范的贯彻意见》。</w:t>
      </w:r>
    </w:p>
    <w:p w14:paraId="19100184">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5、江苏省住房和城乡建设厅颁发的《江苏省房屋修缮工程计价表》(2009年)、《江苏省建筑与装饰工程计价定额》(2014年)。</w:t>
      </w:r>
    </w:p>
    <w:p w14:paraId="1EBF9646">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6、《江苏省建设工程费用定额》（2014）及其营改增后补充条款及苏建价【2016】154号文。</w:t>
      </w:r>
    </w:p>
    <w:p w14:paraId="51F32E80">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7、苏建价〔2016〕154号文《省住房城乡建设厅关于建筑业实施营改增后江苏省建设工程计价依据调整的通知》及</w:t>
      </w:r>
      <w:bookmarkStart w:id="0" w:name="_Hlk15382256"/>
      <w:r>
        <w:rPr>
          <w:rFonts w:hint="eastAsia" w:ascii="仿宋_GB2312" w:hAnsi="仿宋_GB2312" w:eastAsia="仿宋_GB2312" w:cs="仿宋_GB2312"/>
          <w:sz w:val="24"/>
          <w:szCs w:val="24"/>
        </w:rPr>
        <w:t>苏建函价【2018】298号、苏建函价【2019】178号</w:t>
      </w:r>
      <w:bookmarkEnd w:id="0"/>
      <w:bookmarkStart w:id="1" w:name="_Hlk15382276"/>
      <w:r>
        <w:rPr>
          <w:rFonts w:hint="eastAsia" w:ascii="仿宋_GB2312" w:hAnsi="仿宋_GB2312" w:eastAsia="仿宋_GB2312" w:cs="仿宋_GB2312"/>
          <w:sz w:val="24"/>
          <w:szCs w:val="24"/>
        </w:rPr>
        <w:t>增值税计价政策调整的通知</w:t>
      </w:r>
      <w:bookmarkEnd w:id="1"/>
      <w:r>
        <w:rPr>
          <w:rFonts w:hint="eastAsia" w:ascii="仿宋_GB2312" w:hAnsi="仿宋_GB2312" w:eastAsia="仿宋_GB2312" w:cs="仿宋_GB2312"/>
          <w:sz w:val="24"/>
          <w:szCs w:val="24"/>
        </w:rPr>
        <w:t>。</w:t>
      </w:r>
    </w:p>
    <w:p w14:paraId="28F4BC37">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8、江苏省住房和城乡建设厅公告[2018]第24号《省住房城乡建设厅关于调整建设工程按质论价等费用计取方法的公告》。</w:t>
      </w:r>
    </w:p>
    <w:p w14:paraId="56923A24">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9、《江苏省住房城乡建设厅关于建筑工人实名制费用计取方法的公告》(2019)第19号。</w:t>
      </w:r>
    </w:p>
    <w:p w14:paraId="3C37BEEE">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10、无锡市建设局有关文件。</w:t>
      </w:r>
    </w:p>
    <w:p w14:paraId="664AA61B">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11、本工程招标文件。</w:t>
      </w:r>
    </w:p>
    <w:p w14:paraId="11680F0F">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四、</w:t>
      </w:r>
      <w:r>
        <w:rPr>
          <w:rFonts w:hint="eastAsia" w:ascii="仿宋_GB2312" w:hAnsi="仿宋_GB2312" w:eastAsia="仿宋_GB2312" w:cs="仿宋_GB2312"/>
          <w:b/>
          <w:bCs/>
          <w:kern w:val="0"/>
          <w:sz w:val="24"/>
          <w:szCs w:val="24"/>
        </w:rPr>
        <w:t>工程质量、材料、施工等特殊要求：</w:t>
      </w:r>
    </w:p>
    <w:p w14:paraId="0BF82BD5">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1、工程质量要求和具体施工做法详见招标文件、图纸及行业和国家发布的现行有效规范。</w:t>
      </w:r>
    </w:p>
    <w:p w14:paraId="62F13088">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2、混凝土要求：</w:t>
      </w:r>
      <w:r>
        <w:rPr>
          <w:rFonts w:hint="eastAsia" w:ascii="仿宋_GB2312" w:hAnsi="仿宋_GB2312" w:eastAsia="仿宋_GB2312" w:cs="仿宋_GB2312"/>
          <w:kern w:val="0"/>
          <w:sz w:val="24"/>
          <w:szCs w:val="24"/>
        </w:rPr>
        <w:t>为确保工程质量及环境保护要求，工程必须使用商品砼，所选择的商品砼厂家需报请监理人和发包人（招标人）认可，但并不能免除承包人（投标人）的责任和义务。</w:t>
      </w:r>
      <w:r>
        <w:rPr>
          <w:rFonts w:hint="eastAsia" w:ascii="仿宋_GB2312" w:hAnsi="仿宋_GB2312" w:eastAsia="仿宋_GB2312" w:cs="仿宋_GB2312"/>
          <w:sz w:val="24"/>
          <w:szCs w:val="24"/>
        </w:rPr>
        <w:t>由于设计要求及施工的需要，本工程如有混凝土需掺加外加剂的或模板的，投标单位应充分考虑该项费用并将其计入相应报价中。</w:t>
      </w:r>
    </w:p>
    <w:p w14:paraId="596C0DAD">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五、暂列金额：</w:t>
      </w:r>
    </w:p>
    <w:p w14:paraId="0759833A">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sz w:val="24"/>
          <w:szCs w:val="24"/>
        </w:rPr>
        <w:t xml:space="preserve">    本项目设暂列金额</w:t>
      </w:r>
      <w:r>
        <w:rPr>
          <w:rFonts w:hint="eastAsia" w:ascii="仿宋_GB2312" w:hAnsi="仿宋_GB2312" w:eastAsia="仿宋_GB2312" w:cs="仿宋_GB2312"/>
          <w:sz w:val="24"/>
          <w:szCs w:val="24"/>
          <w:u w:val="single"/>
        </w:rPr>
        <w:t>3</w:t>
      </w:r>
      <w:r>
        <w:rPr>
          <w:rFonts w:hint="eastAsia" w:ascii="仿宋_GB2312" w:hAnsi="仿宋_GB2312" w:eastAsia="仿宋_GB2312" w:cs="仿宋_GB2312"/>
          <w:sz w:val="24"/>
          <w:szCs w:val="24"/>
          <w:u w:val="single"/>
          <w:lang w:val="en-US" w:eastAsia="zh-CN"/>
        </w:rPr>
        <w:t>5</w:t>
      </w:r>
      <w:r>
        <w:rPr>
          <w:rFonts w:hint="eastAsia" w:ascii="仿宋_GB2312" w:hAnsi="仿宋_GB2312" w:eastAsia="仿宋_GB2312" w:cs="仿宋_GB2312"/>
          <w:sz w:val="24"/>
          <w:szCs w:val="24"/>
          <w:u w:val="single"/>
        </w:rPr>
        <w:t>000</w:t>
      </w:r>
      <w:r>
        <w:rPr>
          <w:rFonts w:hint="eastAsia" w:ascii="仿宋_GB2312" w:hAnsi="仿宋_GB2312" w:eastAsia="仿宋_GB2312" w:cs="仿宋_GB2312"/>
          <w:sz w:val="24"/>
          <w:szCs w:val="24"/>
        </w:rPr>
        <w:t>元。</w:t>
      </w:r>
    </w:p>
    <w:p w14:paraId="29FF45B3">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六、专业工程暂估价：</w:t>
      </w:r>
    </w:p>
    <w:p w14:paraId="4282C451">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本项目无专业工程暂估价。</w:t>
      </w:r>
    </w:p>
    <w:p w14:paraId="152C73BD">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七、关于工程量清单编制说明</w:t>
      </w:r>
    </w:p>
    <w:p w14:paraId="4FE69D57">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1、《建设工程工程量清单计价规范》（2013）中列举了各清单项目编码应有的工作内容，如无特殊说明，该工作内容即为工程量清单的工作内容，所有的工作内容所需费用均应包括在投标报价的综合单价内。</w:t>
      </w:r>
    </w:p>
    <w:p w14:paraId="7270C263">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2、工程量清单应与投标须知、合同条件、合同协议条款、招标范围和图纸一起使用。</w:t>
      </w:r>
    </w:p>
    <w:p w14:paraId="7F8F393B">
      <w:pPr>
        <w:adjustRightInd w:val="0"/>
        <w:snapToGrid w:val="0"/>
        <w:spacing w:line="400" w:lineRule="exact"/>
        <w:ind w:firstLine="480" w:firstLineChars="200"/>
        <w:jc w:val="left"/>
        <w:rPr>
          <w:rFonts w:hint="eastAsia" w:ascii="仿宋_GB2312" w:hAnsi="仿宋_GB2312" w:eastAsia="仿宋_GB2312" w:cs="Times New Roman"/>
          <w:b/>
          <w:bCs/>
          <w:sz w:val="24"/>
          <w:szCs w:val="24"/>
        </w:rPr>
      </w:pPr>
      <w:r>
        <w:rPr>
          <w:rFonts w:hint="eastAsia" w:ascii="仿宋_GB2312" w:hAnsi="仿宋_GB2312" w:eastAsia="仿宋_GB2312" w:cs="仿宋_GB2312"/>
          <w:sz w:val="24"/>
          <w:szCs w:val="24"/>
        </w:rPr>
        <w:t>3、投标单位在取得工程量清单后应按照招标文件的要求自主进行报价，报价时充分考虑各类风险因素，特别是项目特征中描述为按项包干使用的费用。</w:t>
      </w:r>
    </w:p>
    <w:p w14:paraId="4016380D">
      <w:pPr>
        <w:adjustRightInd w:val="0"/>
        <w:snapToGrid w:val="0"/>
        <w:spacing w:line="44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八、不可竞争费</w:t>
      </w:r>
    </w:p>
    <w:tbl>
      <w:tblPr>
        <w:tblStyle w:val="5"/>
        <w:tblW w:w="8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570"/>
        <w:gridCol w:w="4316"/>
        <w:gridCol w:w="1265"/>
      </w:tblGrid>
      <w:tr w14:paraId="3E7E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508" w:type="dxa"/>
            <w:gridSpan w:val="2"/>
            <w:vAlign w:val="center"/>
          </w:tcPr>
          <w:p w14:paraId="74AE9F52">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费用名称</w:t>
            </w:r>
          </w:p>
        </w:tc>
        <w:tc>
          <w:tcPr>
            <w:tcW w:w="4316" w:type="dxa"/>
            <w:vAlign w:val="center"/>
          </w:tcPr>
          <w:p w14:paraId="191745C4">
            <w:pPr>
              <w:jc w:val="center"/>
              <w:rPr>
                <w:rFonts w:hint="eastAsia" w:ascii="仿宋_GB2312" w:hAnsi="仿宋_GB2312" w:eastAsia="仿宋_GB2312" w:cs="Times New Roman"/>
                <w:sz w:val="24"/>
                <w:szCs w:val="24"/>
              </w:rPr>
            </w:pPr>
            <w:r>
              <w:rPr>
                <w:rFonts w:hint="eastAsia" w:ascii="仿宋_GB2312" w:hAnsi="仿宋_GB2312" w:eastAsia="仿宋_GB2312" w:cs="仿宋_GB2312"/>
              </w:rPr>
              <w:t>计算基础</w:t>
            </w:r>
          </w:p>
        </w:tc>
        <w:tc>
          <w:tcPr>
            <w:tcW w:w="1265" w:type="dxa"/>
            <w:vAlign w:val="center"/>
          </w:tcPr>
          <w:p w14:paraId="18C1719F">
            <w:pPr>
              <w:jc w:val="center"/>
              <w:rPr>
                <w:rFonts w:hint="eastAsia" w:ascii="仿宋_GB2312" w:hAnsi="仿宋_GB2312" w:eastAsia="仿宋_GB2312" w:cs="仿宋_GB2312"/>
                <w:sz w:val="24"/>
                <w:szCs w:val="24"/>
              </w:rPr>
            </w:pPr>
            <w:r>
              <w:rPr>
                <w:rFonts w:hint="eastAsia" w:ascii="仿宋_GB2312" w:hAnsi="仿宋_GB2312" w:eastAsia="仿宋_GB2312" w:cs="Times New Roman"/>
                <w:sz w:val="24"/>
                <w:szCs w:val="24"/>
              </w:rPr>
              <w:t>修缮   工程</w:t>
            </w:r>
          </w:p>
        </w:tc>
      </w:tr>
      <w:tr w14:paraId="21AE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38" w:type="dxa"/>
            <w:vMerge w:val="restart"/>
            <w:vAlign w:val="center"/>
          </w:tcPr>
          <w:p w14:paraId="2E99491E">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现场安全文明施工措施费</w:t>
            </w:r>
          </w:p>
        </w:tc>
        <w:tc>
          <w:tcPr>
            <w:tcW w:w="1570" w:type="dxa"/>
            <w:vAlign w:val="center"/>
          </w:tcPr>
          <w:p w14:paraId="2BA08019">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基本费</w:t>
            </w:r>
          </w:p>
        </w:tc>
        <w:tc>
          <w:tcPr>
            <w:tcW w:w="4316" w:type="dxa"/>
            <w:vAlign w:val="center"/>
          </w:tcPr>
          <w:p w14:paraId="04067F8E">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17A2683C">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+单价措施项目费-除税工程设备费</w:t>
            </w:r>
          </w:p>
        </w:tc>
        <w:tc>
          <w:tcPr>
            <w:tcW w:w="1265" w:type="dxa"/>
            <w:vAlign w:val="center"/>
          </w:tcPr>
          <w:p w14:paraId="03C15FC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0.5</w:t>
            </w:r>
            <w:r>
              <w:rPr>
                <w:rFonts w:hint="eastAsia" w:ascii="仿宋_GB2312" w:hAnsi="仿宋_GB2312" w:eastAsia="仿宋_GB2312" w:cs="仿宋_GB2312"/>
                <w:sz w:val="24"/>
                <w:szCs w:val="24"/>
              </w:rPr>
              <w:t>%</w:t>
            </w:r>
          </w:p>
        </w:tc>
      </w:tr>
      <w:tr w14:paraId="5034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38" w:type="dxa"/>
            <w:vMerge w:val="continue"/>
            <w:vAlign w:val="center"/>
          </w:tcPr>
          <w:p w14:paraId="24C3C628">
            <w:pPr>
              <w:jc w:val="center"/>
              <w:rPr>
                <w:rFonts w:hint="eastAsia" w:ascii="仿宋_GB2312" w:hAnsi="仿宋_GB2312" w:eastAsia="仿宋_GB2312" w:cs="Times New Roman"/>
                <w:sz w:val="24"/>
                <w:szCs w:val="24"/>
              </w:rPr>
            </w:pPr>
          </w:p>
        </w:tc>
        <w:tc>
          <w:tcPr>
            <w:tcW w:w="1570" w:type="dxa"/>
            <w:vAlign w:val="center"/>
          </w:tcPr>
          <w:p w14:paraId="6A0E38C5">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标化增加费</w:t>
            </w:r>
          </w:p>
        </w:tc>
        <w:tc>
          <w:tcPr>
            <w:tcW w:w="4316" w:type="dxa"/>
            <w:vAlign w:val="center"/>
          </w:tcPr>
          <w:p w14:paraId="62797061">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57A7DC48">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+单价措施项目费-除税工程设备费</w:t>
            </w:r>
          </w:p>
        </w:tc>
        <w:tc>
          <w:tcPr>
            <w:tcW w:w="1265" w:type="dxa"/>
            <w:vAlign w:val="center"/>
          </w:tcPr>
          <w:p w14:paraId="7B9BE68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2310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38" w:type="dxa"/>
            <w:vMerge w:val="continue"/>
            <w:vAlign w:val="center"/>
          </w:tcPr>
          <w:p w14:paraId="466CDA4F">
            <w:pPr>
              <w:jc w:val="center"/>
              <w:rPr>
                <w:rFonts w:hint="eastAsia" w:ascii="仿宋_GB2312" w:hAnsi="仿宋_GB2312" w:eastAsia="仿宋_GB2312" w:cs="Times New Roman"/>
                <w:sz w:val="24"/>
                <w:szCs w:val="24"/>
              </w:rPr>
            </w:pPr>
          </w:p>
        </w:tc>
        <w:tc>
          <w:tcPr>
            <w:tcW w:w="1570" w:type="dxa"/>
            <w:vAlign w:val="center"/>
          </w:tcPr>
          <w:p w14:paraId="3D938835">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扬尘污染防治增加费</w:t>
            </w:r>
          </w:p>
        </w:tc>
        <w:tc>
          <w:tcPr>
            <w:tcW w:w="4316" w:type="dxa"/>
            <w:vAlign w:val="center"/>
          </w:tcPr>
          <w:p w14:paraId="70B83407">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3BCEFE3B">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+单价措施项目费-除税工程设备费</w:t>
            </w:r>
          </w:p>
        </w:tc>
        <w:tc>
          <w:tcPr>
            <w:tcW w:w="1265" w:type="dxa"/>
            <w:vAlign w:val="center"/>
          </w:tcPr>
          <w:p w14:paraId="3CB538A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bookmarkStart w:id="2" w:name="_GoBack"/>
            <w:bookmarkEnd w:id="2"/>
            <w:r>
              <w:rPr>
                <w:rFonts w:hint="eastAsia" w:ascii="仿宋_GB2312" w:hAnsi="仿宋_GB2312" w:eastAsia="仿宋_GB2312" w:cs="仿宋_GB2312"/>
                <w:sz w:val="24"/>
                <w:szCs w:val="24"/>
              </w:rPr>
              <w:t>%</w:t>
            </w:r>
          </w:p>
        </w:tc>
      </w:tr>
      <w:tr w14:paraId="7C63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38" w:type="dxa"/>
            <w:vMerge w:val="restart"/>
            <w:vAlign w:val="center"/>
          </w:tcPr>
          <w:p w14:paraId="32C06BAA">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规费</w:t>
            </w:r>
          </w:p>
        </w:tc>
        <w:tc>
          <w:tcPr>
            <w:tcW w:w="1570" w:type="dxa"/>
            <w:vAlign w:val="center"/>
          </w:tcPr>
          <w:p w14:paraId="7EF8A89A">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社会保险费</w:t>
            </w:r>
          </w:p>
        </w:tc>
        <w:tc>
          <w:tcPr>
            <w:tcW w:w="4316" w:type="dxa"/>
            <w:vAlign w:val="center"/>
          </w:tcPr>
          <w:p w14:paraId="1FCBEF20">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分部分项工程费+措施项目费+其他项目费-除税工程设备费</w:t>
            </w:r>
          </w:p>
        </w:tc>
        <w:tc>
          <w:tcPr>
            <w:tcW w:w="1265" w:type="dxa"/>
            <w:vAlign w:val="center"/>
          </w:tcPr>
          <w:p w14:paraId="7DEC228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r>
      <w:tr w14:paraId="6C6B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38" w:type="dxa"/>
            <w:vMerge w:val="continue"/>
            <w:vAlign w:val="center"/>
          </w:tcPr>
          <w:p w14:paraId="6620DB7A">
            <w:pPr>
              <w:jc w:val="center"/>
              <w:rPr>
                <w:rFonts w:hint="eastAsia" w:ascii="仿宋_GB2312" w:hAnsi="仿宋_GB2312" w:eastAsia="仿宋_GB2312" w:cs="Times New Roman"/>
                <w:sz w:val="24"/>
                <w:szCs w:val="24"/>
              </w:rPr>
            </w:pPr>
          </w:p>
        </w:tc>
        <w:tc>
          <w:tcPr>
            <w:tcW w:w="1570" w:type="dxa"/>
            <w:vAlign w:val="center"/>
          </w:tcPr>
          <w:p w14:paraId="58A252F2">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住房公积金</w:t>
            </w:r>
          </w:p>
        </w:tc>
        <w:tc>
          <w:tcPr>
            <w:tcW w:w="4316" w:type="dxa"/>
            <w:vAlign w:val="center"/>
          </w:tcPr>
          <w:p w14:paraId="0596CAE7">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分部分项工程费+措施项目费+其他项目费-除税工程设备费</w:t>
            </w:r>
          </w:p>
        </w:tc>
        <w:tc>
          <w:tcPr>
            <w:tcW w:w="1265" w:type="dxa"/>
            <w:vAlign w:val="center"/>
          </w:tcPr>
          <w:p w14:paraId="7831BE9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0.67%</w:t>
            </w:r>
          </w:p>
        </w:tc>
      </w:tr>
      <w:tr w14:paraId="088B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8" w:type="dxa"/>
            <w:vMerge w:val="continue"/>
            <w:vAlign w:val="center"/>
          </w:tcPr>
          <w:p w14:paraId="1121C64E">
            <w:pPr>
              <w:jc w:val="center"/>
              <w:rPr>
                <w:rFonts w:hint="eastAsia" w:ascii="仿宋_GB2312" w:hAnsi="仿宋_GB2312" w:eastAsia="仿宋_GB2312" w:cs="Times New Roman"/>
                <w:sz w:val="24"/>
                <w:szCs w:val="24"/>
              </w:rPr>
            </w:pPr>
          </w:p>
        </w:tc>
        <w:tc>
          <w:tcPr>
            <w:tcW w:w="1570" w:type="dxa"/>
            <w:vAlign w:val="center"/>
          </w:tcPr>
          <w:p w14:paraId="08B9194C">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环境保护税</w:t>
            </w:r>
          </w:p>
        </w:tc>
        <w:tc>
          <w:tcPr>
            <w:tcW w:w="4316" w:type="dxa"/>
            <w:vAlign w:val="center"/>
          </w:tcPr>
          <w:p w14:paraId="1361F06C">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分部分项工程费+措施项目费+其他项目费-除税工程设备费</w:t>
            </w:r>
          </w:p>
        </w:tc>
        <w:tc>
          <w:tcPr>
            <w:tcW w:w="1265" w:type="dxa"/>
            <w:vAlign w:val="center"/>
          </w:tcPr>
          <w:p w14:paraId="4AACF56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73BC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08" w:type="dxa"/>
            <w:gridSpan w:val="2"/>
            <w:vAlign w:val="center"/>
          </w:tcPr>
          <w:p w14:paraId="53C3794A">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税金</w:t>
            </w:r>
          </w:p>
        </w:tc>
        <w:tc>
          <w:tcPr>
            <w:tcW w:w="4316" w:type="dxa"/>
            <w:vAlign w:val="center"/>
          </w:tcPr>
          <w:p w14:paraId="18D8375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分部分项工程费+措施项目费+其他项目费+规费-除税甲供材料和甲供设备费/1.01</w:t>
            </w:r>
          </w:p>
        </w:tc>
        <w:tc>
          <w:tcPr>
            <w:tcW w:w="1265" w:type="dxa"/>
            <w:vAlign w:val="center"/>
          </w:tcPr>
          <w:p w14:paraId="3BFCE0E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r>
    </w:tbl>
    <w:p w14:paraId="3790276F">
      <w:pPr>
        <w:spacing w:line="440" w:lineRule="exact"/>
        <w:jc w:val="left"/>
        <w:rPr>
          <w:rFonts w:hint="eastAsia" w:ascii="仿宋_GB2312" w:hAnsi="仿宋_GB2312" w:eastAsia="仿宋_GB2312" w:cs="Times New Roman"/>
          <w:sz w:val="24"/>
          <w:szCs w:val="24"/>
        </w:rPr>
      </w:pPr>
    </w:p>
    <w:p w14:paraId="0BFC768A">
      <w:pPr>
        <w:pStyle w:val="11"/>
        <w:wordWrap w:val="0"/>
        <w:spacing w:line="440" w:lineRule="exact"/>
        <w:ind w:left="420" w:firstLine="0" w:firstLineChars="0"/>
        <w:jc w:val="right"/>
        <w:rPr>
          <w:rFonts w:hint="eastAsia" w:ascii="仿宋_GB2312" w:hAnsi="仿宋_GB2312" w:eastAsia="仿宋_GB2312" w:cs="Times New Roman"/>
          <w:sz w:val="24"/>
          <w:szCs w:val="24"/>
        </w:rPr>
      </w:pPr>
    </w:p>
    <w:sectPr>
      <w:pgSz w:w="11906" w:h="16838"/>
      <w:pgMar w:top="1418" w:right="113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liMTNmNTVmNDlmMzAwMmJlZWYwZGZkZGEzNGJlNWQifQ=="/>
  </w:docVars>
  <w:rsids>
    <w:rsidRoot w:val="00032649"/>
    <w:rsid w:val="000027C6"/>
    <w:rsid w:val="000136B6"/>
    <w:rsid w:val="00032649"/>
    <w:rsid w:val="00035181"/>
    <w:rsid w:val="000502CD"/>
    <w:rsid w:val="00053489"/>
    <w:rsid w:val="00054977"/>
    <w:rsid w:val="00054B92"/>
    <w:rsid w:val="00060FEF"/>
    <w:rsid w:val="000619EF"/>
    <w:rsid w:val="00072767"/>
    <w:rsid w:val="0009317E"/>
    <w:rsid w:val="000A2F5F"/>
    <w:rsid w:val="000B0C51"/>
    <w:rsid w:val="000C36AD"/>
    <w:rsid w:val="000D0152"/>
    <w:rsid w:val="000D3210"/>
    <w:rsid w:val="000D4ED0"/>
    <w:rsid w:val="000D51DC"/>
    <w:rsid w:val="000E0273"/>
    <w:rsid w:val="000E4EB6"/>
    <w:rsid w:val="000F4AA3"/>
    <w:rsid w:val="0013185C"/>
    <w:rsid w:val="001319B7"/>
    <w:rsid w:val="00131FC4"/>
    <w:rsid w:val="00142CCE"/>
    <w:rsid w:val="00163AB1"/>
    <w:rsid w:val="00165875"/>
    <w:rsid w:val="00167E6D"/>
    <w:rsid w:val="0017098F"/>
    <w:rsid w:val="001759DA"/>
    <w:rsid w:val="00176385"/>
    <w:rsid w:val="001903DA"/>
    <w:rsid w:val="001907BF"/>
    <w:rsid w:val="001B5B6F"/>
    <w:rsid w:val="001C1E64"/>
    <w:rsid w:val="001C252D"/>
    <w:rsid w:val="001C5DC5"/>
    <w:rsid w:val="001D3D1F"/>
    <w:rsid w:val="001D4BEF"/>
    <w:rsid w:val="001E1020"/>
    <w:rsid w:val="001F72EB"/>
    <w:rsid w:val="00200014"/>
    <w:rsid w:val="002068E3"/>
    <w:rsid w:val="002068F7"/>
    <w:rsid w:val="002073AF"/>
    <w:rsid w:val="002126E0"/>
    <w:rsid w:val="00215D12"/>
    <w:rsid w:val="00232827"/>
    <w:rsid w:val="002368A1"/>
    <w:rsid w:val="00237E3B"/>
    <w:rsid w:val="0024229A"/>
    <w:rsid w:val="00253C00"/>
    <w:rsid w:val="002804EB"/>
    <w:rsid w:val="00296C3F"/>
    <w:rsid w:val="002B7A42"/>
    <w:rsid w:val="002C1A9C"/>
    <w:rsid w:val="002C75FF"/>
    <w:rsid w:val="002E0D1F"/>
    <w:rsid w:val="002E64CC"/>
    <w:rsid w:val="0030375C"/>
    <w:rsid w:val="0031648A"/>
    <w:rsid w:val="003168DA"/>
    <w:rsid w:val="003170A4"/>
    <w:rsid w:val="00331B55"/>
    <w:rsid w:val="00331BB1"/>
    <w:rsid w:val="00333987"/>
    <w:rsid w:val="00335280"/>
    <w:rsid w:val="003429DF"/>
    <w:rsid w:val="00350838"/>
    <w:rsid w:val="00354C1E"/>
    <w:rsid w:val="00364FAB"/>
    <w:rsid w:val="00382474"/>
    <w:rsid w:val="00383AA1"/>
    <w:rsid w:val="003A59C6"/>
    <w:rsid w:val="003A788F"/>
    <w:rsid w:val="003B1268"/>
    <w:rsid w:val="003B384C"/>
    <w:rsid w:val="003B614D"/>
    <w:rsid w:val="003B63B2"/>
    <w:rsid w:val="003C0A3C"/>
    <w:rsid w:val="003D5B3D"/>
    <w:rsid w:val="003E6623"/>
    <w:rsid w:val="003E7EA2"/>
    <w:rsid w:val="00404AAF"/>
    <w:rsid w:val="00406852"/>
    <w:rsid w:val="00412DEC"/>
    <w:rsid w:val="00413ABB"/>
    <w:rsid w:val="004230DF"/>
    <w:rsid w:val="004248A5"/>
    <w:rsid w:val="00425D25"/>
    <w:rsid w:val="00437974"/>
    <w:rsid w:val="004419D8"/>
    <w:rsid w:val="004513C8"/>
    <w:rsid w:val="004546FD"/>
    <w:rsid w:val="00456341"/>
    <w:rsid w:val="00456FF1"/>
    <w:rsid w:val="0046333B"/>
    <w:rsid w:val="004A3650"/>
    <w:rsid w:val="004B4E12"/>
    <w:rsid w:val="004C0E51"/>
    <w:rsid w:val="004D4941"/>
    <w:rsid w:val="004E0C47"/>
    <w:rsid w:val="004F4DEC"/>
    <w:rsid w:val="00541CED"/>
    <w:rsid w:val="0054550B"/>
    <w:rsid w:val="00550B39"/>
    <w:rsid w:val="00556445"/>
    <w:rsid w:val="00565263"/>
    <w:rsid w:val="00565E62"/>
    <w:rsid w:val="00571230"/>
    <w:rsid w:val="00585040"/>
    <w:rsid w:val="005855C1"/>
    <w:rsid w:val="005A27B1"/>
    <w:rsid w:val="005A39C4"/>
    <w:rsid w:val="005B2B0A"/>
    <w:rsid w:val="005C3F73"/>
    <w:rsid w:val="005D5183"/>
    <w:rsid w:val="005E03AB"/>
    <w:rsid w:val="00603EB0"/>
    <w:rsid w:val="00605BBF"/>
    <w:rsid w:val="00607CF4"/>
    <w:rsid w:val="0063128B"/>
    <w:rsid w:val="006367EC"/>
    <w:rsid w:val="00646355"/>
    <w:rsid w:val="00665035"/>
    <w:rsid w:val="006978FA"/>
    <w:rsid w:val="006A47C9"/>
    <w:rsid w:val="006C134E"/>
    <w:rsid w:val="006C3FA1"/>
    <w:rsid w:val="006C5F4E"/>
    <w:rsid w:val="006D2175"/>
    <w:rsid w:val="006D2A8B"/>
    <w:rsid w:val="006D4EB3"/>
    <w:rsid w:val="006E6B4B"/>
    <w:rsid w:val="006F23E1"/>
    <w:rsid w:val="006F2CB3"/>
    <w:rsid w:val="007202E3"/>
    <w:rsid w:val="007217B3"/>
    <w:rsid w:val="007362AB"/>
    <w:rsid w:val="007438F7"/>
    <w:rsid w:val="00747941"/>
    <w:rsid w:val="00754AFE"/>
    <w:rsid w:val="007769A8"/>
    <w:rsid w:val="00783CEF"/>
    <w:rsid w:val="00783CFF"/>
    <w:rsid w:val="00790A04"/>
    <w:rsid w:val="007958B5"/>
    <w:rsid w:val="007B2F77"/>
    <w:rsid w:val="007B4F85"/>
    <w:rsid w:val="007C64D6"/>
    <w:rsid w:val="007C65A4"/>
    <w:rsid w:val="007D138E"/>
    <w:rsid w:val="00807B3F"/>
    <w:rsid w:val="00814AE9"/>
    <w:rsid w:val="00815551"/>
    <w:rsid w:val="00854179"/>
    <w:rsid w:val="00855C40"/>
    <w:rsid w:val="008612C1"/>
    <w:rsid w:val="00865F84"/>
    <w:rsid w:val="008705F6"/>
    <w:rsid w:val="00873609"/>
    <w:rsid w:val="00873F0C"/>
    <w:rsid w:val="00881F73"/>
    <w:rsid w:val="0088259C"/>
    <w:rsid w:val="00883431"/>
    <w:rsid w:val="00897D70"/>
    <w:rsid w:val="008B1C01"/>
    <w:rsid w:val="008E1A4C"/>
    <w:rsid w:val="008F621B"/>
    <w:rsid w:val="008F65E9"/>
    <w:rsid w:val="00914286"/>
    <w:rsid w:val="009147D1"/>
    <w:rsid w:val="00917183"/>
    <w:rsid w:val="0093254D"/>
    <w:rsid w:val="0093469D"/>
    <w:rsid w:val="00936F7A"/>
    <w:rsid w:val="0094743B"/>
    <w:rsid w:val="00967905"/>
    <w:rsid w:val="00967A15"/>
    <w:rsid w:val="00970240"/>
    <w:rsid w:val="0099593F"/>
    <w:rsid w:val="009A584F"/>
    <w:rsid w:val="009B4C76"/>
    <w:rsid w:val="009C7829"/>
    <w:rsid w:val="009D07C0"/>
    <w:rsid w:val="00A051F5"/>
    <w:rsid w:val="00A13B2E"/>
    <w:rsid w:val="00A273D5"/>
    <w:rsid w:val="00A2751A"/>
    <w:rsid w:val="00A3084E"/>
    <w:rsid w:val="00A32FC4"/>
    <w:rsid w:val="00A37EF4"/>
    <w:rsid w:val="00A6701B"/>
    <w:rsid w:val="00A722E6"/>
    <w:rsid w:val="00A77A7C"/>
    <w:rsid w:val="00A9504E"/>
    <w:rsid w:val="00AB30AB"/>
    <w:rsid w:val="00AB40F7"/>
    <w:rsid w:val="00AC5BF8"/>
    <w:rsid w:val="00AC6028"/>
    <w:rsid w:val="00AD2C19"/>
    <w:rsid w:val="00AE4EC5"/>
    <w:rsid w:val="00AF3DA0"/>
    <w:rsid w:val="00B16E4E"/>
    <w:rsid w:val="00B222CF"/>
    <w:rsid w:val="00B3785F"/>
    <w:rsid w:val="00B44EBD"/>
    <w:rsid w:val="00B467D9"/>
    <w:rsid w:val="00B55E49"/>
    <w:rsid w:val="00B76645"/>
    <w:rsid w:val="00B77D23"/>
    <w:rsid w:val="00B912A3"/>
    <w:rsid w:val="00B96E12"/>
    <w:rsid w:val="00BC455A"/>
    <w:rsid w:val="00BD3478"/>
    <w:rsid w:val="00BE11E9"/>
    <w:rsid w:val="00BE6CF2"/>
    <w:rsid w:val="00C06963"/>
    <w:rsid w:val="00C07678"/>
    <w:rsid w:val="00C11770"/>
    <w:rsid w:val="00C15B51"/>
    <w:rsid w:val="00C33E87"/>
    <w:rsid w:val="00C36EF5"/>
    <w:rsid w:val="00C4087F"/>
    <w:rsid w:val="00C455D9"/>
    <w:rsid w:val="00C45B10"/>
    <w:rsid w:val="00C538DF"/>
    <w:rsid w:val="00C56A4A"/>
    <w:rsid w:val="00C75190"/>
    <w:rsid w:val="00C76127"/>
    <w:rsid w:val="00C8190A"/>
    <w:rsid w:val="00CA3B10"/>
    <w:rsid w:val="00CA59C5"/>
    <w:rsid w:val="00CA61CC"/>
    <w:rsid w:val="00CB7B06"/>
    <w:rsid w:val="00CC5F06"/>
    <w:rsid w:val="00CC68B5"/>
    <w:rsid w:val="00CD284B"/>
    <w:rsid w:val="00CD52A2"/>
    <w:rsid w:val="00CF633C"/>
    <w:rsid w:val="00D003C5"/>
    <w:rsid w:val="00D10FE4"/>
    <w:rsid w:val="00D249DE"/>
    <w:rsid w:val="00D364A1"/>
    <w:rsid w:val="00D42829"/>
    <w:rsid w:val="00D43A91"/>
    <w:rsid w:val="00D4577B"/>
    <w:rsid w:val="00D46AEB"/>
    <w:rsid w:val="00D47EA1"/>
    <w:rsid w:val="00D51917"/>
    <w:rsid w:val="00D56EBC"/>
    <w:rsid w:val="00D615C6"/>
    <w:rsid w:val="00D653E3"/>
    <w:rsid w:val="00D741E4"/>
    <w:rsid w:val="00D76738"/>
    <w:rsid w:val="00D771A2"/>
    <w:rsid w:val="00D867AE"/>
    <w:rsid w:val="00D90854"/>
    <w:rsid w:val="00DB20A1"/>
    <w:rsid w:val="00DB54EF"/>
    <w:rsid w:val="00DC3F6E"/>
    <w:rsid w:val="00DE7E4C"/>
    <w:rsid w:val="00DF068D"/>
    <w:rsid w:val="00E127E5"/>
    <w:rsid w:val="00E1713C"/>
    <w:rsid w:val="00E20E42"/>
    <w:rsid w:val="00E32994"/>
    <w:rsid w:val="00E64BA3"/>
    <w:rsid w:val="00E64DD4"/>
    <w:rsid w:val="00E73E0A"/>
    <w:rsid w:val="00E84B55"/>
    <w:rsid w:val="00EC3383"/>
    <w:rsid w:val="00EE425F"/>
    <w:rsid w:val="00EF47DD"/>
    <w:rsid w:val="00EF7653"/>
    <w:rsid w:val="00F05DA4"/>
    <w:rsid w:val="00F205C2"/>
    <w:rsid w:val="00F22D9B"/>
    <w:rsid w:val="00F44709"/>
    <w:rsid w:val="00F469C3"/>
    <w:rsid w:val="00F620C8"/>
    <w:rsid w:val="00F64271"/>
    <w:rsid w:val="00F7024E"/>
    <w:rsid w:val="00F7168B"/>
    <w:rsid w:val="00F91D7C"/>
    <w:rsid w:val="00F939E9"/>
    <w:rsid w:val="00FA39C6"/>
    <w:rsid w:val="00FC3536"/>
    <w:rsid w:val="00FC361F"/>
    <w:rsid w:val="00FC5082"/>
    <w:rsid w:val="00FC64CD"/>
    <w:rsid w:val="00FE0FE2"/>
    <w:rsid w:val="00FE782A"/>
    <w:rsid w:val="016F6A85"/>
    <w:rsid w:val="031D68A5"/>
    <w:rsid w:val="0644736D"/>
    <w:rsid w:val="064E1442"/>
    <w:rsid w:val="08E72549"/>
    <w:rsid w:val="0B5D2899"/>
    <w:rsid w:val="104F612C"/>
    <w:rsid w:val="146A5D4F"/>
    <w:rsid w:val="19623988"/>
    <w:rsid w:val="199E7A7E"/>
    <w:rsid w:val="1A507406"/>
    <w:rsid w:val="1EE2613A"/>
    <w:rsid w:val="25043A4C"/>
    <w:rsid w:val="27104C22"/>
    <w:rsid w:val="298E778D"/>
    <w:rsid w:val="2E99061E"/>
    <w:rsid w:val="317F749C"/>
    <w:rsid w:val="339C6C14"/>
    <w:rsid w:val="34B83FA7"/>
    <w:rsid w:val="34F211E2"/>
    <w:rsid w:val="360A2DAA"/>
    <w:rsid w:val="36752032"/>
    <w:rsid w:val="3D68382E"/>
    <w:rsid w:val="3FEB70BA"/>
    <w:rsid w:val="41A73BF7"/>
    <w:rsid w:val="48F406D2"/>
    <w:rsid w:val="4DAD0130"/>
    <w:rsid w:val="51B14B87"/>
    <w:rsid w:val="55EB5C26"/>
    <w:rsid w:val="571B5611"/>
    <w:rsid w:val="59685CA3"/>
    <w:rsid w:val="5BDC6290"/>
    <w:rsid w:val="5CEE58D7"/>
    <w:rsid w:val="63B034C2"/>
    <w:rsid w:val="63D63856"/>
    <w:rsid w:val="65711CFD"/>
    <w:rsid w:val="661B56FC"/>
    <w:rsid w:val="666E10C9"/>
    <w:rsid w:val="68070B75"/>
    <w:rsid w:val="69582CDA"/>
    <w:rsid w:val="6B9711BA"/>
    <w:rsid w:val="6CB75A73"/>
    <w:rsid w:val="6EB0583C"/>
    <w:rsid w:val="72AF6F6F"/>
    <w:rsid w:val="72C0510A"/>
    <w:rsid w:val="7409558C"/>
    <w:rsid w:val="76F65353"/>
    <w:rsid w:val="780F1BFE"/>
    <w:rsid w:val="78B2253F"/>
    <w:rsid w:val="7F123C55"/>
    <w:rsid w:val="7FF723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semiHidden/>
    <w:qFormat/>
    <w:uiPriority w:val="99"/>
    <w:rPr>
      <w:rFonts w:ascii="宋体" w:cs="宋体"/>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文档结构图 Char"/>
    <w:link w:val="2"/>
    <w:semiHidden/>
    <w:qFormat/>
    <w:locked/>
    <w:uiPriority w:val="99"/>
    <w:rPr>
      <w:rFonts w:ascii="宋体" w:eastAsia="宋体" w:cs="宋体"/>
      <w:sz w:val="18"/>
      <w:szCs w:val="18"/>
    </w:rPr>
  </w:style>
  <w:style w:type="character" w:customStyle="1" w:styleId="9">
    <w:name w:val="页脚 Char"/>
    <w:link w:val="3"/>
    <w:qFormat/>
    <w:locked/>
    <w:uiPriority w:val="99"/>
    <w:rPr>
      <w:sz w:val="18"/>
      <w:szCs w:val="18"/>
    </w:rPr>
  </w:style>
  <w:style w:type="character" w:customStyle="1" w:styleId="10">
    <w:name w:val="页眉 Char"/>
    <w:link w:val="4"/>
    <w:qFormat/>
    <w:locked/>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pany>
  <Pages>2</Pages>
  <Words>1410</Words>
  <Characters>1545</Characters>
  <Lines>11</Lines>
  <Paragraphs>3</Paragraphs>
  <TotalTime>27</TotalTime>
  <ScaleCrop>false</ScaleCrop>
  <LinksUpToDate>false</LinksUpToDate>
  <CharactersWithSpaces>1553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2020-03-25T11:10:00Z</dcterms:created>
  <dc:creator>YAO</dc:creator>
  <cp:lastModifiedBy>Six_Azz</cp:lastModifiedBy>
  <cp:lastPrinted>2020-03-27T01:09:00Z</cp:lastPrinted>
  <dcterms:modified xsi:type="dcterms:W3CDTF">2025-11-14T03:57:34Z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B44F9316BCC34C07AA72DB9408595320_12</vt:lpwstr>
  </property>
  <property fmtid="{D5CDD505-2E9C-101B-9397-08002B2CF9AE}" pid="4" name="KSOTemplateDocerSaveRecord">
    <vt:lpwstr>eyJoZGlkIjoiM2I5Y2ZkYTk1ODE2MDk1MDU0MGRmNzVkMTJmZGU5NjMiLCJ1c2VySWQiOiI1NzQ3OTEyOTUifQ==</vt:lpwstr>
  </property>
</Properties>
</file>