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rPr>
          <w:rFonts w:ascii="黑体" w:hAnsi="Times New Roman" w:eastAsia="黑体"/>
          <w:color w:val="000000"/>
          <w:szCs w:val="44"/>
        </w:rPr>
      </w:pPr>
      <w:r>
        <w:rPr>
          <w:rFonts w:hint="eastAsia" w:ascii="黑体" w:hAnsi="Times New Roman" w:eastAsia="黑体"/>
          <w:color w:val="000000"/>
          <w:szCs w:val="44"/>
        </w:rPr>
        <w:t>项目需求</w:t>
      </w:r>
    </w:p>
    <w:p>
      <w:pPr>
        <w:snapToGrid w:val="0"/>
        <w:spacing w:line="360" w:lineRule="auto"/>
        <w:ind w:firstLine="480" w:firstLineChars="200"/>
        <w:rPr>
          <w:rFonts w:ascii="宋体" w:hAnsi="宋体" w:cs="宋体"/>
          <w:sz w:val="24"/>
        </w:rPr>
      </w:pPr>
      <w:r>
        <w:rPr>
          <w:rFonts w:hint="eastAsia" w:ascii="宋体" w:hAnsi="宋体" w:cs="宋体"/>
          <w:sz w:val="24"/>
        </w:rPr>
        <w:t>一、建设内容</w:t>
      </w:r>
    </w:p>
    <w:p>
      <w:pPr>
        <w:snapToGrid w:val="0"/>
        <w:spacing w:line="360" w:lineRule="auto"/>
        <w:ind w:firstLine="480" w:firstLineChars="200"/>
        <w:rPr>
          <w:rFonts w:ascii="宋体" w:hAnsi="宋体" w:cs="宋体"/>
          <w:sz w:val="24"/>
        </w:rPr>
      </w:pPr>
      <w:r>
        <w:rPr>
          <w:rFonts w:hint="eastAsia" w:ascii="宋体" w:hAnsi="宋体" w:cs="宋体"/>
          <w:sz w:val="24"/>
        </w:rPr>
        <w:t>随着信息技术发展日新月异，信息经济已逐渐成为经济发展的新动力和增长点。作为重要信息资源之一的档案，面临着广泛应用计算机技术、通信技术、网络技术以及多媒体网络环境的巨大冲击，面对这种机遇和挑战，如何使档案信息快速地向数字化以及信息化方向发展，构建一套高速、及时、准确、系统的数字化档案管理信息系统，最终实现档案信息资源的有效利用和共享，促进档案事业的跨越式发展，成为当前档案管理的关键问题。</w:t>
      </w:r>
    </w:p>
    <w:p>
      <w:pPr>
        <w:snapToGrid w:val="0"/>
        <w:spacing w:line="360" w:lineRule="auto"/>
        <w:rPr>
          <w:rFonts w:ascii="宋体" w:hAnsi="宋体" w:cs="宋体"/>
          <w:sz w:val="24"/>
          <w:highlight w:val="none"/>
        </w:rPr>
      </w:pPr>
      <w:r>
        <w:rPr>
          <w:rFonts w:hint="eastAsia" w:ascii="宋体" w:hAnsi="宋体" w:cs="宋体"/>
          <w:sz w:val="24"/>
        </w:rPr>
        <w:t>由于盐都分局档案管理系统在硬件与软件上过于老旧，已无法在原有系统中继续升级改造，且满足不了日常档案查询及利用。本项目主要针对盐都分局未入库以及存在老旧（激扬）档案管理系统中的档案资料进行整理、扫描及历史数据转换，实现与盐城市自然资源和规划</w:t>
      </w:r>
      <w:r>
        <w:rPr>
          <w:rFonts w:hint="eastAsia" w:ascii="宋体" w:hAnsi="宋体" w:cs="宋体"/>
          <w:sz w:val="24"/>
          <w:highlight w:val="none"/>
        </w:rPr>
        <w:t>局档案管理信息系统数据对接，方便随时查询及利用档案。</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本项目主要建设内容包含以下</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（1）激扬系统2008年之前的约38500本卷宗扫描件，需从激扬系统中导出、破解、转换，进行分类重构。</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（2）对2009-2015年约10700本卷宗已录入有案卷档案进行扫描。</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（3）对2016-2020年约1200本卷宗已录入有案卷号的，且有扫描件的档案进行质检核对。</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（4）对2023年12月31日前形成的、应归档的、各科室其他所有业务档案进行整理与扫描。</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（5）对综合档案进行整理和扫描工作。</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（6）对约22000盒（16500档案盒及5500档案袋）规划档案进行整理和扫描。</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7）数字化成果建库，将数字化成果全部挂接进入档案管理系统，提供在线查询利用，设置访问及使用权限，记录查询痕迹，采用在线、离线相结合的方式实现数据传输和备份。离线数据，一式两套，一套封存保管、一套提供利用。</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（8）数字化成果统一汇交市局，由市局统一存储管理。</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（9）具体内容请参考附件项目技术流程</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具体明细如下:</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对盐都分局未入库以及存在老旧档案管理系统中的档案资料进行整理、扫描及历史数据转换，实现与盐城市自然资源和规划局档案管理信息系统数据对接，方便随时查询及利用档案。具体包括一、规划档案整理与扫描：22000盒约850000页及60000张大图；二、国土档案整理与扫描：约16750卷1675000页；三、文书档案整理与扫描：6600卷约66000页；四、与盐城市自然资源和规划局档案管理信息系统数据对接：档案转码处理及分类重构与入库挂接；五、各科室业务档案整理与扫描：约5100卷，约25万页；六、材料费：预计需要档案专用无酸档案盒15000个，档案专用牛皮纸30000份，A4白纸30000张。</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部分规划档案已扫描且达到使用标准的，从相应工作量中扣除。</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二、项目成果</w:t>
      </w:r>
    </w:p>
    <w:tbl>
      <w:tblPr>
        <w:tblStyle w:val="7"/>
        <w:tblpPr w:leftFromText="180" w:rightFromText="180" w:vertAnchor="text" w:horzAnchor="page" w:tblpXSpec="center" w:tblpY="294"/>
        <w:tblOverlap w:val="never"/>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600"/>
        <w:gridCol w:w="1573"/>
        <w:gridCol w:w="1008"/>
        <w:gridCol w:w="3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4" w:type="dxa"/>
            <w:vAlign w:val="center"/>
          </w:tcPr>
          <w:p>
            <w:pPr>
              <w:jc w:val="center"/>
              <w:rPr>
                <w:rFonts w:ascii="宋体" w:hAnsi="宋体" w:cs="宋体"/>
                <w:sz w:val="24"/>
                <w:highlight w:val="none"/>
              </w:rPr>
            </w:pPr>
            <w:r>
              <w:rPr>
                <w:rFonts w:hint="eastAsia" w:ascii="宋体" w:hAnsi="宋体" w:cs="宋体"/>
                <w:sz w:val="24"/>
                <w:highlight w:val="none"/>
              </w:rPr>
              <w:t>序号</w:t>
            </w:r>
          </w:p>
        </w:tc>
        <w:tc>
          <w:tcPr>
            <w:tcW w:w="1600" w:type="dxa"/>
            <w:vAlign w:val="center"/>
          </w:tcPr>
          <w:p>
            <w:pPr>
              <w:jc w:val="center"/>
              <w:rPr>
                <w:rFonts w:ascii="宋体" w:hAnsi="宋体" w:cs="宋体"/>
                <w:sz w:val="24"/>
                <w:highlight w:val="none"/>
              </w:rPr>
            </w:pPr>
            <w:r>
              <w:rPr>
                <w:rFonts w:hint="eastAsia" w:ascii="宋体" w:hAnsi="宋体" w:cs="宋体"/>
                <w:sz w:val="24"/>
                <w:highlight w:val="none"/>
              </w:rPr>
              <w:t>名称</w:t>
            </w:r>
          </w:p>
        </w:tc>
        <w:tc>
          <w:tcPr>
            <w:tcW w:w="1573" w:type="dxa"/>
            <w:vAlign w:val="center"/>
          </w:tcPr>
          <w:p>
            <w:pPr>
              <w:jc w:val="center"/>
              <w:rPr>
                <w:rFonts w:ascii="宋体" w:hAnsi="宋体" w:cs="宋体"/>
                <w:sz w:val="24"/>
                <w:highlight w:val="none"/>
              </w:rPr>
            </w:pPr>
            <w:r>
              <w:rPr>
                <w:rFonts w:hint="eastAsia" w:ascii="宋体" w:hAnsi="宋体" w:cs="宋体"/>
                <w:sz w:val="24"/>
                <w:highlight w:val="none"/>
              </w:rPr>
              <w:t>数量</w:t>
            </w:r>
          </w:p>
        </w:tc>
        <w:tc>
          <w:tcPr>
            <w:tcW w:w="1008" w:type="dxa"/>
            <w:vAlign w:val="center"/>
          </w:tcPr>
          <w:p>
            <w:pPr>
              <w:jc w:val="center"/>
              <w:rPr>
                <w:rFonts w:ascii="宋体" w:hAnsi="宋体" w:cs="宋体"/>
                <w:sz w:val="24"/>
                <w:highlight w:val="none"/>
              </w:rPr>
            </w:pPr>
            <w:r>
              <w:rPr>
                <w:rFonts w:hint="eastAsia" w:ascii="宋体" w:hAnsi="宋体" w:cs="宋体"/>
                <w:sz w:val="24"/>
                <w:highlight w:val="none"/>
              </w:rPr>
              <w:t>页数</w:t>
            </w:r>
          </w:p>
        </w:tc>
        <w:tc>
          <w:tcPr>
            <w:tcW w:w="3519" w:type="dxa"/>
            <w:vAlign w:val="center"/>
          </w:tcPr>
          <w:p>
            <w:pPr>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4" w:type="dxa"/>
            <w:vMerge w:val="restart"/>
            <w:vAlign w:val="center"/>
          </w:tcPr>
          <w:p>
            <w:pPr>
              <w:jc w:val="center"/>
              <w:rPr>
                <w:rFonts w:ascii="宋体" w:hAnsi="宋体" w:cs="宋体"/>
                <w:sz w:val="22"/>
                <w:szCs w:val="22"/>
                <w:highlight w:val="none"/>
              </w:rPr>
            </w:pPr>
            <w:r>
              <w:rPr>
                <w:rFonts w:hint="eastAsia" w:ascii="宋体" w:hAnsi="宋体" w:cs="宋体"/>
                <w:sz w:val="22"/>
                <w:szCs w:val="22"/>
                <w:highlight w:val="none"/>
              </w:rPr>
              <w:t>1</w:t>
            </w: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2023年12月31日前的规划档案整理与扫描</w:t>
            </w:r>
          </w:p>
        </w:tc>
        <w:tc>
          <w:tcPr>
            <w:tcW w:w="1573" w:type="dxa"/>
            <w:vAlign w:val="center"/>
          </w:tcPr>
          <w:p>
            <w:pPr>
              <w:jc w:val="center"/>
              <w:rPr>
                <w:rFonts w:ascii="宋体" w:hAnsi="宋体" w:cs="宋体"/>
                <w:sz w:val="22"/>
                <w:szCs w:val="22"/>
                <w:highlight w:val="none"/>
              </w:rPr>
            </w:pPr>
            <w:r>
              <w:rPr>
                <w:rFonts w:hint="eastAsia" w:ascii="宋体" w:hAnsi="宋体" w:cs="宋体"/>
                <w:sz w:val="22"/>
                <w:szCs w:val="22"/>
                <w:highlight w:val="none"/>
              </w:rPr>
              <w:t>22000盒</w:t>
            </w:r>
          </w:p>
        </w:tc>
        <w:tc>
          <w:tcPr>
            <w:tcW w:w="1008" w:type="dxa"/>
            <w:vAlign w:val="center"/>
          </w:tcPr>
          <w:p>
            <w:pPr>
              <w:jc w:val="center"/>
              <w:rPr>
                <w:rFonts w:ascii="宋体" w:hAnsi="宋体" w:cs="宋体"/>
                <w:sz w:val="22"/>
                <w:szCs w:val="22"/>
                <w:highlight w:val="none"/>
              </w:rPr>
            </w:pPr>
            <w:r>
              <w:rPr>
                <w:rFonts w:hint="eastAsia" w:ascii="宋体" w:hAnsi="宋体" w:cs="宋体"/>
                <w:sz w:val="22"/>
                <w:szCs w:val="22"/>
                <w:highlight w:val="none"/>
              </w:rPr>
              <w:t>850000</w:t>
            </w:r>
          </w:p>
        </w:tc>
        <w:tc>
          <w:tcPr>
            <w:tcW w:w="3519" w:type="dxa"/>
          </w:tcPr>
          <w:p>
            <w:pPr>
              <w:rPr>
                <w:rFonts w:ascii="宋体" w:hAnsi="宋体" w:cs="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4" w:type="dxa"/>
            <w:vMerge w:val="continue"/>
            <w:vAlign w:val="center"/>
          </w:tcPr>
          <w:p>
            <w:pPr>
              <w:jc w:val="center"/>
              <w:rPr>
                <w:rFonts w:ascii="宋体" w:hAnsi="宋体" w:cs="宋体"/>
                <w:sz w:val="22"/>
                <w:szCs w:val="22"/>
                <w:highlight w:val="none"/>
              </w:rPr>
            </w:pP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2023年12月31日前的</w:t>
            </w:r>
            <w:r>
              <w:rPr>
                <w:rFonts w:hint="eastAsia" w:ascii="宋体" w:hAnsi="宋体" w:eastAsia="宋体" w:cs="宋体"/>
                <w:sz w:val="22"/>
                <w:szCs w:val="22"/>
                <w:highlight w:val="none"/>
              </w:rPr>
              <w:t>规划大图整理与扫描</w:t>
            </w:r>
          </w:p>
        </w:tc>
        <w:tc>
          <w:tcPr>
            <w:tcW w:w="1573" w:type="dxa"/>
            <w:vAlign w:val="center"/>
          </w:tcPr>
          <w:p>
            <w:pPr>
              <w:jc w:val="center"/>
              <w:rPr>
                <w:rFonts w:ascii="宋体" w:hAnsi="宋体" w:cs="宋体"/>
                <w:sz w:val="22"/>
                <w:szCs w:val="22"/>
                <w:highlight w:val="none"/>
              </w:rPr>
            </w:pPr>
            <w:r>
              <w:rPr>
                <w:rFonts w:hint="eastAsia" w:ascii="宋体" w:hAnsi="宋体" w:cs="宋体"/>
                <w:sz w:val="22"/>
                <w:szCs w:val="22"/>
                <w:highlight w:val="none"/>
              </w:rPr>
              <w:t>60000张</w:t>
            </w:r>
          </w:p>
        </w:tc>
        <w:tc>
          <w:tcPr>
            <w:tcW w:w="1008" w:type="dxa"/>
            <w:vAlign w:val="center"/>
          </w:tcPr>
          <w:p>
            <w:pPr>
              <w:jc w:val="center"/>
              <w:rPr>
                <w:rFonts w:ascii="宋体" w:hAnsi="宋体" w:cs="宋体"/>
                <w:sz w:val="22"/>
                <w:szCs w:val="22"/>
                <w:highlight w:val="none"/>
              </w:rPr>
            </w:pPr>
          </w:p>
        </w:tc>
        <w:tc>
          <w:tcPr>
            <w:tcW w:w="3519" w:type="dxa"/>
          </w:tcPr>
          <w:p>
            <w:pPr>
              <w:rPr>
                <w:rFonts w:ascii="宋体" w:hAnsi="宋体" w:cs="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4" w:type="dxa"/>
            <w:vAlign w:val="center"/>
          </w:tcPr>
          <w:p>
            <w:pPr>
              <w:jc w:val="center"/>
              <w:rPr>
                <w:rFonts w:ascii="宋体" w:hAnsi="宋体" w:cs="宋体"/>
                <w:sz w:val="22"/>
                <w:szCs w:val="22"/>
                <w:highlight w:val="none"/>
              </w:rPr>
            </w:pPr>
            <w:r>
              <w:rPr>
                <w:rFonts w:hint="eastAsia" w:ascii="宋体" w:hAnsi="宋体" w:cs="宋体"/>
                <w:sz w:val="22"/>
                <w:szCs w:val="22"/>
                <w:highlight w:val="none"/>
              </w:rPr>
              <w:t>2</w:t>
            </w: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2023年12月31日前的国土档案整理与扫描</w:t>
            </w:r>
          </w:p>
        </w:tc>
        <w:tc>
          <w:tcPr>
            <w:tcW w:w="1573" w:type="dxa"/>
            <w:vAlign w:val="center"/>
          </w:tcPr>
          <w:p>
            <w:pPr>
              <w:jc w:val="center"/>
              <w:rPr>
                <w:rFonts w:ascii="宋体" w:hAnsi="宋体" w:cs="宋体"/>
                <w:sz w:val="22"/>
                <w:szCs w:val="22"/>
                <w:highlight w:val="none"/>
              </w:rPr>
            </w:pPr>
            <w:r>
              <w:rPr>
                <w:rFonts w:hint="eastAsia" w:ascii="宋体" w:hAnsi="宋体" w:cs="宋体"/>
                <w:sz w:val="22"/>
                <w:szCs w:val="22"/>
                <w:highlight w:val="none"/>
              </w:rPr>
              <w:t>16750卷</w:t>
            </w:r>
          </w:p>
        </w:tc>
        <w:tc>
          <w:tcPr>
            <w:tcW w:w="1008" w:type="dxa"/>
            <w:vAlign w:val="center"/>
          </w:tcPr>
          <w:p>
            <w:pPr>
              <w:jc w:val="center"/>
              <w:rPr>
                <w:rFonts w:ascii="宋体" w:hAnsi="宋体" w:cs="宋体"/>
                <w:sz w:val="22"/>
                <w:szCs w:val="22"/>
                <w:highlight w:val="none"/>
              </w:rPr>
            </w:pPr>
            <w:r>
              <w:rPr>
                <w:rFonts w:hint="eastAsia" w:ascii="宋体" w:hAnsi="宋体" w:cs="宋体"/>
                <w:sz w:val="22"/>
                <w:szCs w:val="22"/>
                <w:highlight w:val="none"/>
              </w:rPr>
              <w:t>1675000</w:t>
            </w:r>
          </w:p>
        </w:tc>
        <w:tc>
          <w:tcPr>
            <w:tcW w:w="3519" w:type="dxa"/>
          </w:tcPr>
          <w:p>
            <w:pPr>
              <w:rPr>
                <w:rFonts w:ascii="宋体" w:hAnsi="宋体" w:cs="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4" w:type="dxa"/>
            <w:vAlign w:val="center"/>
          </w:tcPr>
          <w:p>
            <w:pPr>
              <w:jc w:val="center"/>
              <w:rPr>
                <w:rFonts w:ascii="宋体" w:hAnsi="宋体" w:cs="宋体"/>
                <w:sz w:val="22"/>
                <w:szCs w:val="22"/>
                <w:highlight w:val="none"/>
              </w:rPr>
            </w:pPr>
            <w:r>
              <w:rPr>
                <w:rFonts w:hint="eastAsia" w:ascii="宋体" w:hAnsi="宋体" w:cs="宋体"/>
                <w:sz w:val="22"/>
                <w:szCs w:val="22"/>
                <w:highlight w:val="none"/>
              </w:rPr>
              <w:t>3</w:t>
            </w: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2023年12月31日前的文书档案整理与扫描</w:t>
            </w:r>
          </w:p>
        </w:tc>
        <w:tc>
          <w:tcPr>
            <w:tcW w:w="1573" w:type="dxa"/>
            <w:vAlign w:val="center"/>
          </w:tcPr>
          <w:p>
            <w:pPr>
              <w:jc w:val="center"/>
              <w:rPr>
                <w:rFonts w:ascii="宋体" w:hAnsi="宋体" w:cs="宋体"/>
                <w:sz w:val="22"/>
                <w:szCs w:val="22"/>
                <w:highlight w:val="none"/>
              </w:rPr>
            </w:pPr>
            <w:r>
              <w:rPr>
                <w:rFonts w:hint="eastAsia" w:ascii="宋体" w:hAnsi="宋体" w:cs="宋体"/>
                <w:sz w:val="22"/>
                <w:szCs w:val="22"/>
                <w:highlight w:val="none"/>
              </w:rPr>
              <w:t>6600卷</w:t>
            </w:r>
          </w:p>
        </w:tc>
        <w:tc>
          <w:tcPr>
            <w:tcW w:w="1008" w:type="dxa"/>
            <w:vAlign w:val="center"/>
          </w:tcPr>
          <w:p>
            <w:pPr>
              <w:jc w:val="center"/>
              <w:rPr>
                <w:rFonts w:ascii="宋体" w:hAnsi="宋体" w:cs="宋体"/>
                <w:sz w:val="22"/>
                <w:szCs w:val="22"/>
                <w:highlight w:val="none"/>
              </w:rPr>
            </w:pPr>
            <w:r>
              <w:rPr>
                <w:rFonts w:hint="eastAsia" w:ascii="宋体" w:hAnsi="宋体" w:cs="宋体"/>
                <w:sz w:val="22"/>
                <w:szCs w:val="22"/>
                <w:highlight w:val="none"/>
              </w:rPr>
              <w:t>66000</w:t>
            </w:r>
          </w:p>
        </w:tc>
        <w:tc>
          <w:tcPr>
            <w:tcW w:w="3519" w:type="dxa"/>
          </w:tcPr>
          <w:p>
            <w:pPr>
              <w:rPr>
                <w:rFonts w:ascii="宋体" w:hAnsi="宋体" w:cs="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4" w:type="dxa"/>
            <w:vAlign w:val="center"/>
          </w:tcPr>
          <w:p>
            <w:pPr>
              <w:jc w:val="center"/>
              <w:rPr>
                <w:rFonts w:ascii="宋体" w:hAnsi="宋体" w:cs="宋体"/>
                <w:sz w:val="22"/>
                <w:szCs w:val="22"/>
                <w:highlight w:val="none"/>
              </w:rPr>
            </w:pPr>
            <w:r>
              <w:rPr>
                <w:rFonts w:hint="eastAsia" w:ascii="宋体" w:hAnsi="宋体" w:cs="宋体"/>
                <w:sz w:val="22"/>
                <w:szCs w:val="22"/>
                <w:highlight w:val="none"/>
              </w:rPr>
              <w:t>4</w:t>
            </w: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档案转码处理及分类重构与入库挂接</w:t>
            </w:r>
          </w:p>
        </w:tc>
        <w:tc>
          <w:tcPr>
            <w:tcW w:w="1573" w:type="dxa"/>
            <w:vAlign w:val="center"/>
          </w:tcPr>
          <w:p>
            <w:pPr>
              <w:jc w:val="center"/>
              <w:rPr>
                <w:rFonts w:hint="eastAsia" w:ascii="宋体" w:hAnsi="宋体" w:cs="宋体"/>
                <w:sz w:val="22"/>
                <w:szCs w:val="22"/>
                <w:highlight w:val="none"/>
              </w:rPr>
            </w:pPr>
            <w:r>
              <w:rPr>
                <w:rFonts w:hint="eastAsia" w:ascii="宋体" w:hAnsi="宋体" w:cs="宋体"/>
                <w:sz w:val="22"/>
                <w:szCs w:val="22"/>
                <w:highlight w:val="none"/>
              </w:rPr>
              <w:t>38500卷</w:t>
            </w:r>
          </w:p>
        </w:tc>
        <w:tc>
          <w:tcPr>
            <w:tcW w:w="1008" w:type="dxa"/>
            <w:vAlign w:val="center"/>
          </w:tcPr>
          <w:p>
            <w:pPr>
              <w:jc w:val="center"/>
              <w:rPr>
                <w:rFonts w:ascii="宋体" w:hAnsi="宋体" w:cs="宋体"/>
                <w:sz w:val="22"/>
                <w:szCs w:val="22"/>
                <w:highlight w:val="none"/>
              </w:rPr>
            </w:pPr>
          </w:p>
        </w:tc>
        <w:tc>
          <w:tcPr>
            <w:tcW w:w="3519" w:type="dxa"/>
          </w:tcPr>
          <w:p>
            <w:pPr>
              <w:rPr>
                <w:rFonts w:hint="eastAsia" w:ascii="宋体" w:hAnsi="宋体" w:cs="宋体"/>
                <w:sz w:val="22"/>
                <w:szCs w:val="22"/>
                <w:highlight w:val="none"/>
              </w:rPr>
            </w:pPr>
            <w:r>
              <w:rPr>
                <w:rFonts w:hint="eastAsia" w:ascii="宋体" w:hAnsi="宋体" w:cs="宋体"/>
                <w:sz w:val="22"/>
                <w:szCs w:val="22"/>
                <w:highlight w:val="none"/>
              </w:rPr>
              <w:t>1.需求分析：明确转换的目标和要求，了解激扬历史档案数据的特点和格式，对现有历史档案系统的数据进行评估，包括数据量、数据结构、数据质量等。</w:t>
            </w:r>
          </w:p>
          <w:p>
            <w:pPr>
              <w:rPr>
                <w:rFonts w:hint="eastAsia" w:ascii="宋体" w:hAnsi="宋体" w:cs="宋体"/>
                <w:sz w:val="22"/>
                <w:szCs w:val="22"/>
                <w:highlight w:val="none"/>
              </w:rPr>
            </w:pPr>
            <w:r>
              <w:rPr>
                <w:rFonts w:hint="eastAsia" w:ascii="宋体" w:hAnsi="宋体" w:cs="宋体"/>
                <w:sz w:val="22"/>
                <w:szCs w:val="22"/>
                <w:highlight w:val="none"/>
              </w:rPr>
              <w:t>2.编写转换工具：根据数据特点和需求，研发合适的转换工具或技术。</w:t>
            </w:r>
          </w:p>
          <w:p>
            <w:pPr>
              <w:rPr>
                <w:rFonts w:hint="eastAsia" w:ascii="宋体" w:hAnsi="宋体" w:cs="宋体"/>
                <w:sz w:val="22"/>
                <w:szCs w:val="22"/>
                <w:highlight w:val="none"/>
              </w:rPr>
            </w:pPr>
            <w:r>
              <w:rPr>
                <w:rFonts w:hint="eastAsia" w:ascii="宋体" w:hAnsi="宋体" w:cs="宋体"/>
                <w:sz w:val="22"/>
                <w:szCs w:val="22"/>
                <w:highlight w:val="none"/>
              </w:rPr>
              <w:t>3.制定转换策略：确定数据转换的流程和方法，包括数据提取、转换、清洗、验证等。</w:t>
            </w:r>
          </w:p>
          <w:p>
            <w:pPr>
              <w:rPr>
                <w:rFonts w:hint="eastAsia" w:ascii="宋体" w:hAnsi="宋体" w:cs="宋体"/>
                <w:sz w:val="22"/>
                <w:szCs w:val="22"/>
                <w:highlight w:val="none"/>
              </w:rPr>
            </w:pPr>
            <w:r>
              <w:rPr>
                <w:rFonts w:hint="eastAsia" w:ascii="宋体" w:hAnsi="宋体" w:cs="宋体"/>
                <w:sz w:val="22"/>
                <w:szCs w:val="22"/>
                <w:highlight w:val="none"/>
              </w:rPr>
              <w:t>4.建立映射关系：建立源数据和目标数据之间的映射关系，确保数据的准确性和一致性，按照制定的策略进行数据转换。</w:t>
            </w:r>
          </w:p>
          <w:p>
            <w:pPr>
              <w:rPr>
                <w:rFonts w:hint="eastAsia" w:ascii="宋体" w:hAnsi="宋体" w:cs="宋体"/>
                <w:sz w:val="22"/>
                <w:szCs w:val="22"/>
                <w:highlight w:val="none"/>
              </w:rPr>
            </w:pPr>
            <w:r>
              <w:rPr>
                <w:rFonts w:hint="eastAsia" w:ascii="宋体" w:hAnsi="宋体" w:cs="宋体"/>
                <w:sz w:val="22"/>
                <w:szCs w:val="22"/>
                <w:highlight w:val="none"/>
              </w:rPr>
              <w:t>5.数据验证：对转换后的数据进行验证，确保数据的质量和完整性。</w:t>
            </w:r>
          </w:p>
          <w:p>
            <w:pPr>
              <w:rPr>
                <w:rFonts w:hint="eastAsia" w:ascii="宋体" w:hAnsi="宋体" w:cs="宋体"/>
                <w:sz w:val="22"/>
                <w:szCs w:val="22"/>
                <w:highlight w:val="none"/>
              </w:rPr>
            </w:pPr>
            <w:r>
              <w:rPr>
                <w:rFonts w:hint="eastAsia" w:ascii="宋体" w:hAnsi="宋体" w:cs="宋体"/>
                <w:sz w:val="22"/>
                <w:szCs w:val="22"/>
                <w:highlight w:val="none"/>
              </w:rPr>
              <w:t>6.数据清洗：清理转换过程中可能出现的错误或异常数据。</w:t>
            </w:r>
          </w:p>
          <w:p>
            <w:pPr>
              <w:rPr>
                <w:rFonts w:ascii="宋体" w:hAnsi="宋体" w:cs="宋体"/>
                <w:sz w:val="22"/>
                <w:szCs w:val="22"/>
                <w:highlight w:val="none"/>
              </w:rPr>
            </w:pPr>
            <w:r>
              <w:rPr>
                <w:rFonts w:hint="eastAsia" w:ascii="宋体" w:hAnsi="宋体" w:cs="宋体"/>
                <w:sz w:val="22"/>
                <w:szCs w:val="22"/>
                <w:highlight w:val="none"/>
              </w:rPr>
              <w:t>7.数据集成：将转换后的数据集成到市局档案系统中。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4" w:type="dxa"/>
            <w:vAlign w:val="center"/>
          </w:tcPr>
          <w:p>
            <w:pPr>
              <w:jc w:val="center"/>
              <w:rPr>
                <w:rFonts w:ascii="宋体" w:hAnsi="宋体" w:cs="宋体"/>
                <w:sz w:val="22"/>
                <w:szCs w:val="22"/>
                <w:highlight w:val="none"/>
              </w:rPr>
            </w:pPr>
            <w:r>
              <w:rPr>
                <w:rFonts w:hint="eastAsia" w:ascii="宋体" w:hAnsi="宋体" w:cs="宋体"/>
                <w:sz w:val="22"/>
                <w:szCs w:val="22"/>
                <w:highlight w:val="none"/>
              </w:rPr>
              <w:t>5</w:t>
            </w: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2023年12月31日前所有业务档案整理与扫描</w:t>
            </w:r>
          </w:p>
        </w:tc>
        <w:tc>
          <w:tcPr>
            <w:tcW w:w="1573" w:type="dxa"/>
            <w:vAlign w:val="center"/>
          </w:tcPr>
          <w:p>
            <w:pPr>
              <w:jc w:val="center"/>
              <w:rPr>
                <w:rFonts w:ascii="宋体" w:hAnsi="宋体" w:cs="宋体"/>
                <w:sz w:val="22"/>
                <w:szCs w:val="22"/>
                <w:highlight w:val="none"/>
              </w:rPr>
            </w:pPr>
            <w:r>
              <w:rPr>
                <w:rFonts w:hint="eastAsia" w:ascii="宋体" w:hAnsi="宋体" w:cs="宋体"/>
                <w:sz w:val="22"/>
                <w:szCs w:val="22"/>
                <w:highlight w:val="none"/>
              </w:rPr>
              <w:t>5100卷</w:t>
            </w:r>
          </w:p>
        </w:tc>
        <w:tc>
          <w:tcPr>
            <w:tcW w:w="1008" w:type="dxa"/>
            <w:vAlign w:val="center"/>
          </w:tcPr>
          <w:p>
            <w:pPr>
              <w:jc w:val="center"/>
              <w:rPr>
                <w:rFonts w:ascii="宋体" w:hAnsi="宋体" w:cs="宋体"/>
                <w:sz w:val="22"/>
                <w:szCs w:val="22"/>
                <w:highlight w:val="none"/>
              </w:rPr>
            </w:pPr>
            <w:r>
              <w:rPr>
                <w:rFonts w:hint="eastAsia" w:ascii="宋体" w:hAnsi="宋体" w:cs="宋体"/>
                <w:sz w:val="22"/>
                <w:szCs w:val="22"/>
                <w:highlight w:val="none"/>
              </w:rPr>
              <w:t>250000</w:t>
            </w:r>
          </w:p>
        </w:tc>
        <w:tc>
          <w:tcPr>
            <w:tcW w:w="3519" w:type="dxa"/>
          </w:tcPr>
          <w:p>
            <w:pPr>
              <w:rPr>
                <w:rFonts w:ascii="宋体" w:hAnsi="宋体" w:cs="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4" w:type="dxa"/>
            <w:vAlign w:val="center"/>
          </w:tcPr>
          <w:p>
            <w:pPr>
              <w:jc w:val="center"/>
              <w:rPr>
                <w:rFonts w:ascii="宋体" w:hAnsi="宋体" w:cs="宋体"/>
                <w:sz w:val="22"/>
                <w:szCs w:val="22"/>
                <w:highlight w:val="none"/>
              </w:rPr>
            </w:pPr>
            <w:r>
              <w:rPr>
                <w:rFonts w:hint="eastAsia" w:ascii="宋体" w:hAnsi="宋体" w:cs="宋体"/>
                <w:sz w:val="22"/>
                <w:szCs w:val="22"/>
                <w:highlight w:val="none"/>
              </w:rPr>
              <w:t>6</w:t>
            </w: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材料费</w:t>
            </w:r>
          </w:p>
        </w:tc>
        <w:tc>
          <w:tcPr>
            <w:tcW w:w="1573" w:type="dxa"/>
            <w:vAlign w:val="center"/>
          </w:tcPr>
          <w:p>
            <w:pPr>
              <w:jc w:val="center"/>
              <w:rPr>
                <w:rFonts w:ascii="宋体" w:hAnsi="宋体" w:cs="宋体"/>
                <w:sz w:val="22"/>
                <w:szCs w:val="22"/>
                <w:highlight w:val="none"/>
              </w:rPr>
            </w:pPr>
          </w:p>
        </w:tc>
        <w:tc>
          <w:tcPr>
            <w:tcW w:w="1008" w:type="dxa"/>
            <w:vAlign w:val="center"/>
          </w:tcPr>
          <w:p>
            <w:pPr>
              <w:jc w:val="center"/>
              <w:rPr>
                <w:rFonts w:ascii="宋体" w:hAnsi="宋体" w:cs="宋体"/>
                <w:sz w:val="22"/>
                <w:szCs w:val="22"/>
                <w:highlight w:val="none"/>
              </w:rPr>
            </w:pPr>
          </w:p>
        </w:tc>
        <w:tc>
          <w:tcPr>
            <w:tcW w:w="3519" w:type="dxa"/>
          </w:tcPr>
          <w:p>
            <w:pPr>
              <w:rPr>
                <w:rFonts w:hint="default" w:ascii="宋体" w:hAnsi="宋体" w:eastAsia="宋体" w:cs="宋体"/>
                <w:sz w:val="22"/>
                <w:szCs w:val="22"/>
                <w:highlight w:val="none"/>
                <w:lang w:val="en-US" w:eastAsia="zh-CN"/>
              </w:rPr>
            </w:pPr>
            <w:r>
              <w:rPr>
                <w:rFonts w:hint="eastAsia" w:ascii="宋体" w:hAnsi="宋体" w:cs="宋体"/>
                <w:sz w:val="22"/>
                <w:szCs w:val="22"/>
                <w:highlight w:val="none"/>
              </w:rPr>
              <w:t>预计需要档案专用无酸档案盒15000个，档案专用牛皮纸30000份，A4白纸30000张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824" w:type="dxa"/>
            <w:vMerge w:val="restart"/>
            <w:vAlign w:val="center"/>
          </w:tcPr>
          <w:p>
            <w:pPr>
              <w:jc w:val="center"/>
              <w:rPr>
                <w:rFonts w:ascii="宋体" w:hAnsi="宋体" w:cs="宋体"/>
                <w:sz w:val="22"/>
                <w:szCs w:val="22"/>
                <w:highlight w:val="none"/>
              </w:rPr>
            </w:pPr>
            <w:r>
              <w:rPr>
                <w:rFonts w:hint="eastAsia" w:ascii="宋体" w:hAnsi="宋体" w:cs="宋体"/>
                <w:sz w:val="22"/>
                <w:szCs w:val="22"/>
                <w:highlight w:val="none"/>
              </w:rPr>
              <w:t>7</w:t>
            </w:r>
          </w:p>
        </w:tc>
        <w:tc>
          <w:tcPr>
            <w:tcW w:w="1600" w:type="dxa"/>
            <w:vMerge w:val="restart"/>
            <w:vAlign w:val="center"/>
          </w:tcPr>
          <w:p>
            <w:pPr>
              <w:jc w:val="center"/>
              <w:rPr>
                <w:rFonts w:ascii="宋体" w:hAnsi="宋体" w:cs="宋体"/>
                <w:sz w:val="22"/>
                <w:szCs w:val="22"/>
                <w:highlight w:val="none"/>
              </w:rPr>
            </w:pPr>
            <w:r>
              <w:rPr>
                <w:rFonts w:hint="eastAsia" w:ascii="宋体" w:hAnsi="宋体" w:cs="宋体"/>
                <w:sz w:val="22"/>
                <w:szCs w:val="22"/>
                <w:highlight w:val="none"/>
              </w:rPr>
              <w:t>资源运行监测系统</w:t>
            </w:r>
          </w:p>
        </w:tc>
        <w:tc>
          <w:tcPr>
            <w:tcW w:w="1573" w:type="dxa"/>
            <w:vMerge w:val="restart"/>
            <w:vAlign w:val="center"/>
          </w:tcPr>
          <w:p>
            <w:pPr>
              <w:jc w:val="center"/>
              <w:rPr>
                <w:rFonts w:ascii="宋体" w:hAnsi="宋体" w:cs="宋体"/>
                <w:sz w:val="22"/>
                <w:szCs w:val="22"/>
                <w:highlight w:val="none"/>
              </w:rPr>
            </w:pPr>
          </w:p>
        </w:tc>
        <w:tc>
          <w:tcPr>
            <w:tcW w:w="1008" w:type="dxa"/>
            <w:vMerge w:val="restart"/>
            <w:vAlign w:val="center"/>
          </w:tcPr>
          <w:p>
            <w:pPr>
              <w:jc w:val="center"/>
              <w:rPr>
                <w:rFonts w:ascii="宋体" w:hAnsi="宋体" w:cs="宋体"/>
                <w:sz w:val="22"/>
                <w:szCs w:val="22"/>
                <w:highlight w:val="none"/>
              </w:rPr>
            </w:pPr>
          </w:p>
        </w:tc>
        <w:tc>
          <w:tcPr>
            <w:tcW w:w="3519" w:type="dxa"/>
          </w:tcPr>
          <w:p>
            <w:pPr>
              <w:rPr>
                <w:rFonts w:hint="eastAsia" w:ascii="宋体" w:hAnsi="宋体" w:cs="宋体"/>
                <w:sz w:val="22"/>
                <w:szCs w:val="22"/>
                <w:highlight w:val="none"/>
                <w:lang w:eastAsia="zh-CN"/>
              </w:rPr>
            </w:pPr>
            <w:r>
              <w:rPr>
                <w:rFonts w:hint="eastAsia" w:ascii="宋体" w:hAnsi="宋体" w:cs="宋体"/>
                <w:sz w:val="22"/>
                <w:szCs w:val="22"/>
                <w:highlight w:val="none"/>
              </w:rPr>
              <w:t>（1）IaaS 层监测目标（服务器、存储设备和网络设备等硬件设备监测)</w:t>
            </w:r>
            <w:r>
              <w:rPr>
                <w:rFonts w:hint="eastAsia" w:ascii="宋体" w:hAnsi="宋体" w:cs="宋体"/>
                <w:sz w:val="22"/>
                <w:szCs w:val="22"/>
                <w:highlight w:val="none"/>
                <w:lang w:eastAsia="zh-CN"/>
              </w:rPr>
              <w:t>、</w:t>
            </w:r>
            <w:r>
              <w:rPr>
                <w:rFonts w:hint="eastAsia" w:ascii="宋体" w:hAnsi="宋体" w:cs="宋体"/>
                <w:sz w:val="22"/>
                <w:szCs w:val="22"/>
                <w:highlight w:val="none"/>
              </w:rPr>
              <w:t>Paas 层监测（操作系统运行状态监测）</w:t>
            </w:r>
          </w:p>
          <w:p>
            <w:pPr>
              <w:rPr>
                <w:rFonts w:hint="eastAsia" w:ascii="宋体" w:hAnsi="宋体" w:cs="宋体"/>
                <w:sz w:val="22"/>
                <w:szCs w:val="22"/>
                <w:highlight w:val="none"/>
              </w:rPr>
            </w:pPr>
            <w:r>
              <w:rPr>
                <w:rFonts w:hint="eastAsia" w:ascii="宋体" w:hAnsi="宋体" w:cs="宋体"/>
                <w:sz w:val="22"/>
                <w:szCs w:val="22"/>
                <w:highlight w:val="none"/>
              </w:rPr>
              <w:t>将应用相关虚机(含 Paas 平台、应用相关独立部署的主机)纳入监控，关键指标涉及 CPU 使用率、内存使用率、磁盘 I0 读写、主机上的网络流量等；</w:t>
            </w:r>
          </w:p>
          <w:p>
            <w:pPr>
              <w:rPr>
                <w:rFonts w:hint="eastAsia" w:ascii="宋体" w:hAnsi="宋体" w:eastAsia="宋体" w:cs="宋体"/>
                <w:color w:val="000000"/>
                <w:sz w:val="18"/>
                <w:szCs w:val="18"/>
                <w:highlight w:val="none"/>
                <w:lang w:eastAsia="zh-CN" w:bidi="ar"/>
              </w:rPr>
            </w:pPr>
            <w:r>
              <w:rPr>
                <w:rFonts w:hint="eastAsia" w:ascii="宋体" w:hAnsi="宋体" w:cs="宋体"/>
                <w:sz w:val="22"/>
                <w:szCs w:val="22"/>
                <w:highlight w:val="none"/>
              </w:rPr>
              <w:t>根据具体应用部署架构，选本软件待监控的组件及采购人使用的其他组件等进行监控(如:Nginx Mysql，Redis 等软件使用的组件)</w:t>
            </w:r>
            <w:r>
              <w:rPr>
                <w:rFonts w:hint="eastAsia" w:ascii="宋体" w:hAnsi="宋体" w:cs="宋体"/>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 w:hRule="atLeast"/>
        </w:trPr>
        <w:tc>
          <w:tcPr>
            <w:tcW w:w="824" w:type="dxa"/>
            <w:vMerge w:val="continue"/>
            <w:vAlign w:val="center"/>
          </w:tcPr>
          <w:p>
            <w:pPr>
              <w:rPr>
                <w:sz w:val="20"/>
                <w:szCs w:val="22"/>
                <w:highlight w:val="none"/>
              </w:rPr>
            </w:pPr>
          </w:p>
        </w:tc>
        <w:tc>
          <w:tcPr>
            <w:tcW w:w="1600" w:type="dxa"/>
            <w:vMerge w:val="continue"/>
            <w:vAlign w:val="center"/>
          </w:tcPr>
          <w:p>
            <w:pPr>
              <w:rPr>
                <w:sz w:val="20"/>
                <w:szCs w:val="22"/>
                <w:highlight w:val="none"/>
              </w:rPr>
            </w:pPr>
          </w:p>
        </w:tc>
        <w:tc>
          <w:tcPr>
            <w:tcW w:w="1573" w:type="dxa"/>
            <w:vMerge w:val="continue"/>
            <w:vAlign w:val="center"/>
          </w:tcPr>
          <w:p>
            <w:pPr>
              <w:rPr>
                <w:sz w:val="20"/>
                <w:szCs w:val="22"/>
                <w:highlight w:val="none"/>
              </w:rPr>
            </w:pPr>
          </w:p>
        </w:tc>
        <w:tc>
          <w:tcPr>
            <w:tcW w:w="1008" w:type="dxa"/>
            <w:vMerge w:val="continue"/>
            <w:vAlign w:val="center"/>
          </w:tcPr>
          <w:p>
            <w:pPr>
              <w:rPr>
                <w:sz w:val="20"/>
                <w:szCs w:val="22"/>
                <w:highlight w:val="none"/>
              </w:rPr>
            </w:pPr>
          </w:p>
        </w:tc>
        <w:tc>
          <w:tcPr>
            <w:tcW w:w="3519" w:type="dxa"/>
          </w:tcPr>
          <w:p>
            <w:pPr>
              <w:rPr>
                <w:rFonts w:hint="eastAsia" w:ascii="宋体" w:hAnsi="宋体" w:cs="宋体"/>
                <w:sz w:val="22"/>
                <w:szCs w:val="22"/>
                <w:highlight w:val="none"/>
              </w:rPr>
            </w:pPr>
            <w:r>
              <w:rPr>
                <w:rFonts w:hint="eastAsia" w:ascii="宋体" w:hAnsi="宋体" w:cs="宋体"/>
                <w:sz w:val="22"/>
                <w:szCs w:val="22"/>
                <w:highlight w:val="none"/>
              </w:rPr>
              <w:t>（2）Saas 层监测（软件运行状态监测）</w:t>
            </w:r>
          </w:p>
          <w:p>
            <w:pPr>
              <w:rPr>
                <w:rFonts w:hint="eastAsia" w:ascii="宋体" w:hAnsi="宋体" w:cs="宋体"/>
                <w:sz w:val="22"/>
                <w:szCs w:val="22"/>
                <w:highlight w:val="none"/>
              </w:rPr>
            </w:pPr>
            <w:r>
              <w:rPr>
                <w:rFonts w:hint="eastAsia" w:ascii="宋体" w:hAnsi="宋体" w:cs="宋体"/>
                <w:sz w:val="22"/>
                <w:szCs w:val="22"/>
                <w:highlight w:val="none"/>
              </w:rPr>
              <w:t>接入层日志分析监控，通过日志分析可监控访问流量，系统响应情况；</w:t>
            </w:r>
          </w:p>
          <w:p>
            <w:pPr>
              <w:rPr>
                <w:rFonts w:ascii="宋体" w:hAnsi="宋体" w:cs="宋体"/>
                <w:sz w:val="22"/>
                <w:szCs w:val="22"/>
                <w:highlight w:val="none"/>
              </w:rPr>
            </w:pPr>
            <w:r>
              <w:rPr>
                <w:rFonts w:hint="eastAsia" w:ascii="宋体" w:hAnsi="宋体" w:cs="宋体"/>
                <w:sz w:val="22"/>
                <w:szCs w:val="22"/>
                <w:highlight w:val="none"/>
              </w:rPr>
              <w:t>HTTP 接口探测，对关键业务接口进行探测，监控服务端可用性；基于接入层日志及应用执行日志监控总体响应时长，监控性能劣化；基于接入层接口访问情况，监控各个业务的调用量、成功率、 平均响应时长。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824" w:type="dxa"/>
            <w:vMerge w:val="continue"/>
            <w:vAlign w:val="center"/>
          </w:tcPr>
          <w:p>
            <w:pPr>
              <w:rPr>
                <w:rFonts w:ascii="宋体" w:hAnsi="宋体" w:cs="宋体"/>
                <w:color w:val="000000"/>
                <w:sz w:val="16"/>
                <w:szCs w:val="16"/>
                <w:highlight w:val="none"/>
                <w:lang w:bidi="ar"/>
              </w:rPr>
            </w:pPr>
          </w:p>
        </w:tc>
        <w:tc>
          <w:tcPr>
            <w:tcW w:w="1600" w:type="dxa"/>
            <w:vMerge w:val="continue"/>
            <w:vAlign w:val="center"/>
          </w:tcPr>
          <w:p>
            <w:pPr>
              <w:rPr>
                <w:rFonts w:ascii="宋体" w:hAnsi="宋体" w:cs="宋体"/>
                <w:color w:val="000000"/>
                <w:sz w:val="16"/>
                <w:szCs w:val="16"/>
                <w:highlight w:val="none"/>
                <w:lang w:bidi="ar"/>
              </w:rPr>
            </w:pPr>
          </w:p>
        </w:tc>
        <w:tc>
          <w:tcPr>
            <w:tcW w:w="1573" w:type="dxa"/>
            <w:vMerge w:val="continue"/>
            <w:vAlign w:val="center"/>
          </w:tcPr>
          <w:p>
            <w:pPr>
              <w:rPr>
                <w:rFonts w:ascii="宋体" w:hAnsi="宋体" w:cs="宋体"/>
                <w:color w:val="000000"/>
                <w:sz w:val="16"/>
                <w:szCs w:val="16"/>
                <w:highlight w:val="none"/>
                <w:lang w:bidi="ar"/>
              </w:rPr>
            </w:pPr>
          </w:p>
        </w:tc>
        <w:tc>
          <w:tcPr>
            <w:tcW w:w="1008" w:type="dxa"/>
            <w:vMerge w:val="continue"/>
            <w:vAlign w:val="center"/>
          </w:tcPr>
          <w:p>
            <w:pPr>
              <w:rPr>
                <w:rFonts w:ascii="宋体" w:hAnsi="宋体" w:cs="宋体"/>
                <w:color w:val="000000"/>
                <w:sz w:val="16"/>
                <w:szCs w:val="16"/>
                <w:highlight w:val="none"/>
                <w:lang w:bidi="ar"/>
              </w:rPr>
            </w:pPr>
          </w:p>
        </w:tc>
        <w:tc>
          <w:tcPr>
            <w:tcW w:w="3519" w:type="dxa"/>
          </w:tcPr>
          <w:p>
            <w:pPr>
              <w:rPr>
                <w:rFonts w:hint="eastAsia" w:ascii="宋体" w:hAnsi="宋体" w:cs="宋体"/>
                <w:sz w:val="22"/>
                <w:szCs w:val="22"/>
                <w:highlight w:val="none"/>
              </w:rPr>
            </w:pPr>
            <w:r>
              <w:rPr>
                <w:rFonts w:hint="eastAsia" w:ascii="宋体" w:hAnsi="宋体" w:cs="宋体"/>
                <w:sz w:val="22"/>
                <w:szCs w:val="22"/>
                <w:highlight w:val="none"/>
              </w:rPr>
              <w:t>（3）告警统一发送</w:t>
            </w:r>
          </w:p>
          <w:p>
            <w:pPr>
              <w:rPr>
                <w:rFonts w:ascii="宋体" w:hAnsi="宋体" w:cs="宋体"/>
                <w:sz w:val="22"/>
                <w:szCs w:val="22"/>
                <w:highlight w:val="none"/>
              </w:rPr>
            </w:pPr>
            <w:r>
              <w:rPr>
                <w:rFonts w:hint="eastAsia" w:ascii="宋体" w:hAnsi="宋体" w:cs="宋体"/>
                <w:sz w:val="22"/>
                <w:szCs w:val="22"/>
                <w:highlight w:val="none"/>
              </w:rPr>
              <w:t>各层级告警统一汇聚在监控平台，网络层，IaaS，Paas 层告警以系统为维度发送</w:t>
            </w:r>
            <w:r>
              <w:rPr>
                <w:rFonts w:hint="eastAsia" w:ascii="宋体" w:hAnsi="宋体" w:cs="宋体"/>
                <w:sz w:val="22"/>
                <w:szCs w:val="22"/>
                <w:highlight w:val="none"/>
                <w:lang w:eastAsia="zh-CN"/>
              </w:rPr>
              <w:t>；</w:t>
            </w:r>
            <w:r>
              <w:rPr>
                <w:rFonts w:hint="eastAsia" w:ascii="宋体" w:hAnsi="宋体" w:cs="宋体"/>
                <w:sz w:val="22"/>
                <w:szCs w:val="22"/>
                <w:highlight w:val="none"/>
              </w:rPr>
              <w:t>可根据客户需求定制告警规则与告警模板；可灵活配置告警接收人、接收组</w:t>
            </w:r>
            <w:r>
              <w:rPr>
                <w:rFonts w:hint="eastAsia" w:ascii="宋体" w:hAnsi="宋体" w:cs="宋体"/>
                <w:sz w:val="22"/>
                <w:szCs w:val="22"/>
                <w:highlight w:val="none"/>
                <w:lang w:eastAsia="zh-CN"/>
              </w:rPr>
              <w:t>；</w:t>
            </w:r>
            <w:r>
              <w:rPr>
                <w:rFonts w:hint="eastAsia" w:ascii="宋体" w:hAnsi="宋体" w:cs="宋体"/>
                <w:sz w:val="22"/>
                <w:szCs w:val="22"/>
                <w:highlight w:val="none"/>
              </w:rPr>
              <w:t xml:space="preserve">支持短信、邮件、企业微信、钉钉、飞书、综告等多维度告警发送；支持调度策略配置，自定义告警触发周期。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trPr>
        <w:tc>
          <w:tcPr>
            <w:tcW w:w="824" w:type="dxa"/>
            <w:vAlign w:val="center"/>
          </w:tcPr>
          <w:p>
            <w:pPr>
              <w:jc w:val="center"/>
              <w:rPr>
                <w:rFonts w:ascii="宋体" w:hAnsi="宋体" w:cs="宋体"/>
                <w:sz w:val="22"/>
                <w:szCs w:val="22"/>
                <w:highlight w:val="none"/>
              </w:rPr>
            </w:pPr>
            <w:r>
              <w:rPr>
                <w:rFonts w:hint="eastAsia" w:ascii="宋体" w:hAnsi="宋体" w:cs="宋体"/>
                <w:sz w:val="22"/>
                <w:szCs w:val="22"/>
                <w:highlight w:val="none"/>
              </w:rPr>
              <w:t>8</w:t>
            </w:r>
          </w:p>
        </w:tc>
        <w:tc>
          <w:tcPr>
            <w:tcW w:w="1600" w:type="dxa"/>
            <w:vAlign w:val="center"/>
          </w:tcPr>
          <w:p>
            <w:pPr>
              <w:jc w:val="center"/>
              <w:rPr>
                <w:rFonts w:ascii="宋体" w:hAnsi="宋体" w:cs="宋体"/>
                <w:sz w:val="22"/>
                <w:szCs w:val="22"/>
                <w:highlight w:val="none"/>
              </w:rPr>
            </w:pPr>
            <w:r>
              <w:rPr>
                <w:rFonts w:hint="eastAsia" w:ascii="宋体" w:hAnsi="宋体" w:cs="宋体"/>
                <w:sz w:val="22"/>
                <w:szCs w:val="22"/>
                <w:highlight w:val="none"/>
              </w:rPr>
              <w:t>数字化成果建库及查询使用</w:t>
            </w:r>
          </w:p>
        </w:tc>
        <w:tc>
          <w:tcPr>
            <w:tcW w:w="1573" w:type="dxa"/>
            <w:vAlign w:val="center"/>
          </w:tcPr>
          <w:p>
            <w:pPr>
              <w:rPr>
                <w:rFonts w:ascii="宋体" w:hAnsi="宋体" w:cs="宋体"/>
                <w:color w:val="000000"/>
                <w:sz w:val="16"/>
                <w:szCs w:val="16"/>
                <w:highlight w:val="none"/>
                <w:lang w:bidi="ar"/>
              </w:rPr>
            </w:pPr>
          </w:p>
        </w:tc>
        <w:tc>
          <w:tcPr>
            <w:tcW w:w="1008" w:type="dxa"/>
            <w:vAlign w:val="center"/>
          </w:tcPr>
          <w:p>
            <w:pPr>
              <w:rPr>
                <w:rFonts w:ascii="宋体" w:hAnsi="宋体" w:cs="宋体"/>
                <w:color w:val="000000"/>
                <w:sz w:val="16"/>
                <w:szCs w:val="16"/>
                <w:highlight w:val="none"/>
                <w:lang w:bidi="ar"/>
              </w:rPr>
            </w:pPr>
          </w:p>
        </w:tc>
        <w:tc>
          <w:tcPr>
            <w:tcW w:w="3519" w:type="dxa"/>
          </w:tcPr>
          <w:p>
            <w:pPr>
              <w:rPr>
                <w:rFonts w:ascii="宋体" w:hAnsi="宋体" w:cs="宋体"/>
                <w:sz w:val="22"/>
                <w:szCs w:val="22"/>
                <w:highlight w:val="none"/>
              </w:rPr>
            </w:pPr>
            <w:r>
              <w:rPr>
                <w:rFonts w:hint="eastAsia" w:ascii="宋体" w:hAnsi="宋体" w:cs="宋体"/>
                <w:sz w:val="22"/>
                <w:szCs w:val="22"/>
                <w:highlight w:val="none"/>
              </w:rPr>
              <w:t>数字化成果全部挂接进入盐城市自然资源和规划局档案管理系统，形成数据化成果数据库。满足档案系统在线查询利用，设置访问及使用权限，记录查询痕迹。</w:t>
            </w:r>
          </w:p>
        </w:tc>
      </w:tr>
    </w:tbl>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注：上述卷/盒数、页数及大图张数等均为招标暂估量，具体工程量以实际为准。</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cs="宋体"/>
          <w:sz w:val="24"/>
          <w:highlight w:val="none"/>
        </w:rPr>
      </w:pPr>
      <w:r>
        <w:rPr>
          <w:rFonts w:hint="eastAsia" w:ascii="宋体" w:hAnsi="宋体" w:cs="宋体"/>
          <w:sz w:val="24"/>
          <w:highlight w:val="none"/>
        </w:rPr>
        <w:t>（一）文字成果：项目验收报告及验收意见。</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cs="宋体"/>
          <w:sz w:val="24"/>
          <w:highlight w:val="none"/>
        </w:rPr>
      </w:pPr>
      <w:r>
        <w:rPr>
          <w:rFonts w:hint="eastAsia" w:ascii="宋体" w:hAnsi="宋体" w:cs="宋体"/>
          <w:sz w:val="24"/>
          <w:highlight w:val="none"/>
        </w:rPr>
        <w:t>（二）数字化成果建库，将数字化成果全部挂接进入</w:t>
      </w:r>
      <w:r>
        <w:rPr>
          <w:rFonts w:hint="eastAsia" w:ascii="宋体" w:hAnsi="宋体"/>
          <w:sz w:val="24"/>
          <w:highlight w:val="none"/>
        </w:rPr>
        <w:t>盐城市自然资源和规划档案管理系统</w:t>
      </w:r>
      <w:r>
        <w:rPr>
          <w:rFonts w:hint="eastAsia" w:ascii="宋体" w:hAnsi="宋体" w:cs="宋体"/>
          <w:sz w:val="24"/>
          <w:highlight w:val="none"/>
        </w:rPr>
        <w:t>。离线数据，一式两套，一套封存保管、一套提供利用。</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ascii="宋体" w:hAnsi="宋体" w:cs="宋体"/>
          <w:sz w:val="24"/>
          <w:highlight w:val="none"/>
        </w:rPr>
      </w:pPr>
      <w:r>
        <w:rPr>
          <w:rFonts w:hint="eastAsia" w:ascii="宋体" w:hAnsi="宋体" w:cs="宋体"/>
          <w:sz w:val="24"/>
          <w:highlight w:val="none"/>
        </w:rPr>
        <w:t>三、工期要求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cs="宋体"/>
          <w:sz w:val="24"/>
          <w:highlight w:val="none"/>
        </w:rPr>
      </w:pPr>
      <w:r>
        <w:rPr>
          <w:rFonts w:hint="eastAsia" w:ascii="宋体" w:hAnsi="宋体" w:cs="宋体"/>
          <w:sz w:val="24"/>
          <w:highlight w:val="none"/>
        </w:rPr>
        <w:t>工期:合同签订后12个月内完成项目全部工作。</w:t>
      </w:r>
    </w:p>
    <w:p>
      <w:pPr>
        <w:rPr>
          <w:rFonts w:hint="eastAsia" w:ascii="宋体" w:hAnsi="宋体" w:cs="宋体"/>
          <w:sz w:val="24"/>
          <w:highlight w:val="none"/>
        </w:rPr>
      </w:pPr>
      <w:r>
        <w:rPr>
          <w:rFonts w:hint="eastAsia" w:ascii="宋体" w:hAnsi="宋体" w:cs="宋体"/>
          <w:sz w:val="24"/>
          <w:highlight w:val="none"/>
        </w:rPr>
        <w:br w:type="page"/>
      </w:r>
    </w:p>
    <w:p>
      <w:pPr>
        <w:widowControl/>
        <w:spacing w:line="500" w:lineRule="exact"/>
      </w:pPr>
      <w:r>
        <w:rPr>
          <w:rFonts w:hint="eastAsia"/>
        </w:rPr>
        <w:t>附件:</w:t>
      </w:r>
    </w:p>
    <w:p>
      <w:pPr>
        <w:jc w:val="center"/>
        <w:rPr>
          <w:rFonts w:ascii="宋体" w:hAnsi="宋体" w:cs="宋体"/>
          <w:sz w:val="28"/>
          <w:szCs w:val="28"/>
        </w:rPr>
      </w:pPr>
      <w:r>
        <w:rPr>
          <w:rFonts w:hint="eastAsia" w:ascii="宋体" w:hAnsi="宋体" w:cs="宋体"/>
          <w:sz w:val="28"/>
          <w:szCs w:val="28"/>
        </w:rPr>
        <w:t>盐城市自然资源和规划局盐都分局自然资源和规划档案数字化项目档案扫描技术流程</w:t>
      </w:r>
    </w:p>
    <w:p>
      <w:pPr>
        <w:pStyle w:val="2"/>
        <w:spacing w:before="156" w:after="156"/>
        <w:jc w:val="both"/>
        <w:rPr>
          <w:rFonts w:ascii="宋体" w:hAnsi="宋体" w:eastAsia="宋体" w:cs="宋体"/>
          <w:sz w:val="24"/>
          <w:szCs w:val="24"/>
        </w:rPr>
      </w:pPr>
      <w:bookmarkStart w:id="0" w:name="_Toc24544507"/>
      <w:bookmarkStart w:id="1" w:name="_Toc82681600"/>
      <w:bookmarkStart w:id="2" w:name="_Toc82681422"/>
      <w:r>
        <w:rPr>
          <w:rFonts w:hint="eastAsia" w:ascii="宋体" w:hAnsi="宋体" w:eastAsia="宋体" w:cs="宋体"/>
          <w:sz w:val="24"/>
          <w:szCs w:val="24"/>
        </w:rPr>
        <w:t>1项目技术流程</w:t>
      </w:r>
      <w:bookmarkEnd w:id="0"/>
      <w:bookmarkEnd w:id="1"/>
      <w:bookmarkEnd w:id="2"/>
    </w:p>
    <w:p>
      <w:pPr>
        <w:ind w:firstLine="420"/>
        <w:rPr>
          <w:szCs w:val="21"/>
        </w:rPr>
      </w:pPr>
      <w:r>
        <w:rPr>
          <w:rFonts w:hint="eastAsia"/>
          <w:szCs w:val="21"/>
        </w:rPr>
        <w:drawing>
          <wp:inline distT="0" distB="0" distL="0" distR="0">
            <wp:extent cx="4800600" cy="2715260"/>
            <wp:effectExtent l="0" t="0" r="0" b="2794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pPr>
        <w:spacing w:before="143" w:beforeLines="50" w:after="143" w:afterLines="50"/>
        <w:jc w:val="center"/>
        <w:rPr>
          <w:rFonts w:ascii="黑体" w:hAnsi="黑体" w:eastAsia="黑体"/>
          <w:color w:val="333333"/>
        </w:rPr>
      </w:pPr>
      <w:r>
        <w:rPr>
          <w:rFonts w:ascii="黑体" w:hAnsi="黑体" w:eastAsia="黑体"/>
          <w:color w:val="333333"/>
        </w:rPr>
        <w:t>图</w:t>
      </w:r>
      <w:r>
        <w:rPr>
          <w:rFonts w:hint="eastAsia" w:ascii="黑体" w:hAnsi="黑体" w:eastAsia="黑体"/>
          <w:color w:val="333333"/>
        </w:rPr>
        <w:t>1</w:t>
      </w:r>
      <w:r>
        <w:rPr>
          <w:rFonts w:ascii="黑体" w:hAnsi="黑体" w:eastAsia="黑体"/>
          <w:color w:val="333333"/>
        </w:rPr>
        <w:t>-1技术流程</w:t>
      </w:r>
    </w:p>
    <w:p>
      <w:pPr>
        <w:pStyle w:val="2"/>
        <w:spacing w:before="156" w:after="156"/>
        <w:jc w:val="both"/>
        <w:rPr>
          <w:rFonts w:ascii="宋体" w:hAnsi="宋体" w:eastAsia="宋体" w:cs="宋体"/>
          <w:sz w:val="24"/>
          <w:szCs w:val="24"/>
        </w:rPr>
      </w:pPr>
      <w:bookmarkStart w:id="3" w:name="_Toc24544508"/>
      <w:bookmarkStart w:id="4" w:name="_Toc82681423"/>
      <w:bookmarkStart w:id="5" w:name="_Toc82681601"/>
      <w:r>
        <w:rPr>
          <w:rFonts w:hint="eastAsia" w:ascii="宋体" w:hAnsi="宋体" w:eastAsia="宋体" w:cs="宋体"/>
          <w:sz w:val="24"/>
          <w:szCs w:val="24"/>
        </w:rPr>
        <w:t>1.1资料收集与整理</w:t>
      </w:r>
      <w:bookmarkEnd w:id="3"/>
      <w:bookmarkEnd w:id="4"/>
      <w:bookmarkEnd w:id="5"/>
    </w:p>
    <w:p>
      <w:pPr>
        <w:spacing w:line="360" w:lineRule="auto"/>
        <w:jc w:val="left"/>
        <w:rPr>
          <w:rFonts w:ascii="宋体" w:hAnsi="宋体" w:cs="宋体"/>
          <w:sz w:val="24"/>
        </w:rPr>
      </w:pPr>
      <w:r>
        <w:rPr>
          <w:rFonts w:hint="eastAsia"/>
        </w:rPr>
        <w:t xml:space="preserve">    </w:t>
      </w:r>
      <w:r>
        <w:rPr>
          <w:rFonts w:hint="eastAsia" w:ascii="宋体" w:hAnsi="宋体" w:cs="宋体"/>
          <w:sz w:val="24"/>
        </w:rPr>
        <w:t>此次整理的档案类型较多，包含国土、历史规划业务档案及文书档案，且年份久远，档案资料凌乱，尤其占量较大的规划档案、工程项目文件及相应图纸因历史遗留问题，需要重新按照项目进行资料收集及梳理。</w:t>
      </w:r>
    </w:p>
    <w:p>
      <w:pPr>
        <w:spacing w:line="360" w:lineRule="auto"/>
        <w:jc w:val="left"/>
        <w:rPr>
          <w:rFonts w:ascii="宋体" w:hAnsi="宋体" w:cs="宋体"/>
          <w:sz w:val="24"/>
        </w:rPr>
      </w:pPr>
      <w:r>
        <w:rPr>
          <w:rFonts w:hint="eastAsia" w:ascii="宋体" w:hAnsi="宋体" w:cs="宋体"/>
          <w:sz w:val="24"/>
        </w:rPr>
        <w:t xml:space="preserve">    文书档案资料收集与整理主要参照《江苏省归档文件整理规则》实施细则（2016）进行作业。</w:t>
      </w:r>
    </w:p>
    <w:p>
      <w:pPr>
        <w:spacing w:line="360" w:lineRule="auto"/>
        <w:jc w:val="left"/>
        <w:rPr>
          <w:rFonts w:ascii="宋体" w:hAnsi="宋体" w:cs="宋体"/>
          <w:sz w:val="24"/>
        </w:rPr>
      </w:pPr>
      <w:r>
        <w:rPr>
          <w:rFonts w:hint="eastAsia" w:ascii="宋体" w:hAnsi="宋体" w:cs="宋体"/>
          <w:sz w:val="24"/>
        </w:rPr>
        <w:t xml:space="preserve">    国土业务档案参照已入库档案进行资料收集与整理。规划业务档案参照《科学技术档案案卷构成的一般要求》进行资料收集与整理。</w:t>
      </w:r>
    </w:p>
    <w:p>
      <w:pPr>
        <w:pStyle w:val="2"/>
        <w:spacing w:before="156" w:after="156"/>
        <w:jc w:val="both"/>
        <w:rPr>
          <w:rFonts w:ascii="宋体" w:hAnsi="宋体" w:eastAsia="宋体" w:cs="宋体"/>
          <w:sz w:val="24"/>
          <w:szCs w:val="24"/>
        </w:rPr>
      </w:pPr>
      <w:bookmarkStart w:id="6" w:name="_Toc24544509"/>
      <w:bookmarkStart w:id="7" w:name="_Toc82681602"/>
      <w:bookmarkStart w:id="8" w:name="_Toc82681424"/>
      <w:r>
        <w:rPr>
          <w:rFonts w:hint="eastAsia" w:ascii="宋体" w:hAnsi="宋体" w:eastAsia="宋体" w:cs="宋体"/>
          <w:sz w:val="24"/>
          <w:szCs w:val="24"/>
        </w:rPr>
        <w:t>1.2资料归档与排序</w:t>
      </w:r>
      <w:bookmarkEnd w:id="6"/>
      <w:bookmarkEnd w:id="7"/>
      <w:bookmarkEnd w:id="8"/>
    </w:p>
    <w:p>
      <w:pPr>
        <w:spacing w:line="360" w:lineRule="auto"/>
        <w:ind w:firstLine="482"/>
        <w:jc w:val="left"/>
        <w:rPr>
          <w:sz w:val="24"/>
        </w:rPr>
      </w:pPr>
      <w:r>
        <w:rPr>
          <w:rFonts w:hint="eastAsia"/>
          <w:sz w:val="24"/>
        </w:rPr>
        <w:t>文书档案归档参照《江苏省〈归档文件整理规则〉实施细则》进行归档、排序及分类，具体如下图：</w:t>
      </w:r>
    </w:p>
    <w:p>
      <w:pPr>
        <w:snapToGrid w:val="0"/>
        <w:ind w:firstLine="480"/>
        <w:jc w:val="left"/>
        <w:rPr>
          <w:sz w:val="24"/>
        </w:rPr>
      </w:pPr>
      <w:r>
        <w:rPr>
          <w:rFonts w:hint="eastAsia"/>
          <w:sz w:val="24"/>
        </w:rPr>
        <w:drawing>
          <wp:inline distT="0" distB="0" distL="114300" distR="114300">
            <wp:extent cx="5768340" cy="1554480"/>
            <wp:effectExtent l="0" t="0" r="7620" b="0"/>
            <wp:docPr id="18" name="图片 18" descr="171168218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1682189205"/>
                    <pic:cNvPicPr>
                      <a:picLocks noChangeAspect="1"/>
                    </pic:cNvPicPr>
                  </pic:nvPicPr>
                  <pic:blipFill>
                    <a:blip r:embed="rId8"/>
                    <a:stretch>
                      <a:fillRect/>
                    </a:stretch>
                  </pic:blipFill>
                  <pic:spPr>
                    <a:xfrm>
                      <a:off x="0" y="0"/>
                      <a:ext cx="5768340" cy="1554480"/>
                    </a:xfrm>
                    <a:prstGeom prst="rect">
                      <a:avLst/>
                    </a:prstGeom>
                  </pic:spPr>
                </pic:pic>
              </a:graphicData>
            </a:graphic>
          </wp:inline>
        </w:drawing>
      </w:r>
    </w:p>
    <w:p>
      <w:pPr>
        <w:spacing w:line="360" w:lineRule="auto"/>
        <w:ind w:firstLine="480" w:firstLineChars="200"/>
        <w:jc w:val="left"/>
        <w:rPr>
          <w:sz w:val="24"/>
        </w:rPr>
      </w:pPr>
      <w:r>
        <w:rPr>
          <w:rFonts w:hint="eastAsia"/>
          <w:sz w:val="24"/>
        </w:rPr>
        <w:t>规划业务档案归档与排序参照《科学技术档案案卷构成的一般要求》进行整理，以项目立卷，包含项目设计条件红线图、选址意见书、用地规划许可证、审批方案、工程规划许可证、图纸、竣工资料进行排序。</w:t>
      </w:r>
    </w:p>
    <w:p>
      <w:pPr>
        <w:spacing w:line="360" w:lineRule="auto"/>
        <w:ind w:firstLine="480" w:firstLineChars="200"/>
        <w:jc w:val="left"/>
        <w:rPr>
          <w:sz w:val="24"/>
        </w:rPr>
      </w:pPr>
      <w:r>
        <w:rPr>
          <w:rFonts w:hint="eastAsia"/>
          <w:sz w:val="24"/>
        </w:rPr>
        <w:t>若在整理过程中发现有缺失资料，向局方反映具体缺失资料，由局方进行补充，若因时间久远无法进行补充的，就以现有材料归档，无法整合出完整项目的材料独立成卷，按年度排序给大流水号。</w:t>
      </w:r>
    </w:p>
    <w:p>
      <w:pPr>
        <w:spacing w:line="360" w:lineRule="auto"/>
        <w:ind w:firstLine="480" w:firstLineChars="200"/>
        <w:jc w:val="left"/>
        <w:rPr>
          <w:sz w:val="24"/>
        </w:rPr>
      </w:pPr>
      <w:r>
        <w:rPr>
          <w:rFonts w:hint="eastAsia"/>
          <w:sz w:val="24"/>
        </w:rPr>
        <w:t>国土业务档案参照已入库档案进行归档和排序。</w:t>
      </w:r>
    </w:p>
    <w:p>
      <w:pPr>
        <w:pStyle w:val="2"/>
        <w:spacing w:before="156" w:after="156"/>
        <w:jc w:val="both"/>
        <w:rPr>
          <w:rFonts w:ascii="宋体" w:hAnsi="宋体" w:eastAsia="宋体" w:cs="宋体"/>
          <w:sz w:val="24"/>
          <w:szCs w:val="24"/>
        </w:rPr>
      </w:pPr>
      <w:bookmarkStart w:id="9" w:name="_Toc24544510"/>
      <w:bookmarkStart w:id="10" w:name="_Toc82681603"/>
      <w:bookmarkStart w:id="11" w:name="_Toc82681425"/>
      <w:r>
        <w:rPr>
          <w:rFonts w:hint="eastAsia" w:ascii="宋体" w:hAnsi="宋体" w:eastAsia="宋体" w:cs="宋体"/>
          <w:sz w:val="24"/>
          <w:szCs w:val="24"/>
        </w:rPr>
        <w:t>1.3</w:t>
      </w:r>
      <w:bookmarkEnd w:id="9"/>
      <w:bookmarkStart w:id="12" w:name="_Toc24544511"/>
      <w:r>
        <w:rPr>
          <w:rFonts w:hint="eastAsia" w:ascii="宋体" w:hAnsi="宋体" w:eastAsia="宋体" w:cs="宋体"/>
          <w:sz w:val="24"/>
          <w:szCs w:val="24"/>
        </w:rPr>
        <w:t>编写档号及页码</w:t>
      </w:r>
      <w:bookmarkEnd w:id="10"/>
      <w:bookmarkEnd w:id="11"/>
    </w:p>
    <w:p>
      <w:pPr>
        <w:spacing w:line="360" w:lineRule="auto"/>
        <w:ind w:firstLine="480" w:firstLineChars="200"/>
        <w:jc w:val="left"/>
        <w:rPr>
          <w:sz w:val="24"/>
        </w:rPr>
      </w:pPr>
      <w:r>
        <w:rPr>
          <w:rFonts w:hint="eastAsia"/>
          <w:sz w:val="24"/>
        </w:rPr>
        <w:t>纸质归档文件应当编制页码。页码应当逐页编制，宜用铅笔分别标注在文件有图文页面的正面右上角或背面左上角的空白位置。</w:t>
      </w:r>
    </w:p>
    <w:bookmarkEnd w:id="12"/>
    <w:p>
      <w:pPr>
        <w:pStyle w:val="2"/>
        <w:spacing w:before="156" w:after="156"/>
        <w:jc w:val="both"/>
        <w:rPr>
          <w:rFonts w:ascii="宋体" w:hAnsi="宋体" w:eastAsia="宋体" w:cs="宋体"/>
          <w:sz w:val="24"/>
          <w:szCs w:val="24"/>
        </w:rPr>
      </w:pPr>
      <w:bookmarkStart w:id="13" w:name="_Toc82681426"/>
      <w:bookmarkStart w:id="14" w:name="_Toc82681604"/>
      <w:r>
        <w:rPr>
          <w:rFonts w:hint="eastAsia" w:ascii="宋体" w:hAnsi="宋体" w:eastAsia="宋体" w:cs="宋体"/>
          <w:sz w:val="24"/>
          <w:szCs w:val="24"/>
        </w:rPr>
        <w:t>1.4大图整理及折叠</w:t>
      </w:r>
      <w:bookmarkEnd w:id="13"/>
      <w:bookmarkEnd w:id="14"/>
    </w:p>
    <w:p>
      <w:pPr>
        <w:spacing w:line="360" w:lineRule="auto"/>
        <w:ind w:firstLine="480" w:firstLineChars="200"/>
        <w:jc w:val="left"/>
      </w:pPr>
      <w:r>
        <w:rPr>
          <w:rFonts w:hint="eastAsia"/>
          <w:sz w:val="24"/>
        </w:rPr>
        <w:t>参照《科学技术档案案卷构成的一般要求》规划档案整理需按系统、成套性特点进行案卷或卷内文件排列。卷内文件一般应文字材料在前，图样在后的方法进行整理归档。大图的折叠方法为扇形，左侧留空余位置进行装订，折叠完毕的图纸正面右上角位置盖归档章，归档章内容包含档号及序号。</w:t>
      </w:r>
    </w:p>
    <w:p>
      <w:pPr>
        <w:pStyle w:val="4"/>
        <w:ind w:firstLine="480"/>
        <w:jc w:val="center"/>
      </w:pPr>
      <w:r>
        <w:drawing>
          <wp:inline distT="0" distB="0" distL="0" distR="0">
            <wp:extent cx="2880995" cy="3832860"/>
            <wp:effectExtent l="0" t="0" r="14605" b="7620"/>
            <wp:docPr id="27" name="图片 1" descr="C:\Users\ADMINI~1\AppData\Local\Temp\WeChat Files\7d58c2f8542f0bc22cd3e7175713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1\AppData\Local\Temp\WeChat Files\7d58c2f8542f0bc22cd3e7175713e2f.png"/>
                    <pic:cNvPicPr>
                      <a:picLocks noChangeAspect="1" noChangeArrowheads="1"/>
                    </pic:cNvPicPr>
                  </pic:nvPicPr>
                  <pic:blipFill>
                    <a:blip r:embed="rId9"/>
                    <a:srcRect l="2266" t="2897" r="4362" b="1466"/>
                    <a:stretch>
                      <a:fillRect/>
                    </a:stretch>
                  </pic:blipFill>
                  <pic:spPr>
                    <a:xfrm>
                      <a:off x="0" y="0"/>
                      <a:ext cx="2880995" cy="3832860"/>
                    </a:xfrm>
                    <a:prstGeom prst="rect">
                      <a:avLst/>
                    </a:prstGeom>
                    <a:noFill/>
                    <a:ln w="9525">
                      <a:noFill/>
                      <a:miter lim="800000"/>
                      <a:headEnd/>
                      <a:tailEnd/>
                    </a:ln>
                  </pic:spPr>
                </pic:pic>
              </a:graphicData>
            </a:graphic>
          </wp:inline>
        </w:drawing>
      </w:r>
    </w:p>
    <w:p>
      <w:pPr>
        <w:jc w:val="center"/>
      </w:pPr>
      <w:r>
        <w:rPr>
          <w:rFonts w:ascii="黑体" w:hAnsi="黑体" w:eastAsia="黑体"/>
          <w:color w:val="333333"/>
        </w:rPr>
        <w:t>图</w:t>
      </w:r>
      <w:r>
        <w:rPr>
          <w:rFonts w:hint="eastAsia" w:ascii="黑体" w:hAnsi="黑体" w:eastAsia="黑体"/>
          <w:color w:val="333333"/>
        </w:rPr>
        <w:t>1</w:t>
      </w:r>
      <w:r>
        <w:rPr>
          <w:rFonts w:ascii="黑体" w:hAnsi="黑体" w:eastAsia="黑体"/>
          <w:color w:val="333333"/>
        </w:rPr>
        <w:t>-</w:t>
      </w:r>
      <w:r>
        <w:rPr>
          <w:rFonts w:hint="eastAsia" w:ascii="黑体" w:hAnsi="黑体" w:eastAsia="黑体"/>
          <w:color w:val="333333"/>
        </w:rPr>
        <w:t>2</w:t>
      </w:r>
      <w:r>
        <w:rPr>
          <w:rFonts w:ascii="黑体" w:hAnsi="黑体" w:eastAsia="黑体"/>
          <w:color w:val="333333"/>
        </w:rPr>
        <w:t>技术流程</w:t>
      </w:r>
    </w:p>
    <w:p>
      <w:pPr>
        <w:pStyle w:val="2"/>
        <w:spacing w:before="156" w:after="156"/>
        <w:jc w:val="both"/>
        <w:rPr>
          <w:rFonts w:ascii="宋体" w:hAnsi="宋体" w:eastAsia="宋体" w:cs="宋体"/>
          <w:sz w:val="24"/>
          <w:szCs w:val="24"/>
        </w:rPr>
      </w:pPr>
      <w:bookmarkStart w:id="15" w:name="_Toc82681427"/>
      <w:bookmarkStart w:id="16" w:name="_Toc82681605"/>
      <w:r>
        <w:rPr>
          <w:rFonts w:hint="eastAsia" w:ascii="宋体" w:hAnsi="宋体" w:eastAsia="宋体" w:cs="宋体"/>
          <w:sz w:val="24"/>
          <w:szCs w:val="24"/>
        </w:rPr>
        <w:t>1.5制作封皮及目录</w:t>
      </w:r>
      <w:bookmarkEnd w:id="15"/>
      <w:bookmarkEnd w:id="16"/>
    </w:p>
    <w:p>
      <w:pPr>
        <w:ind w:firstLine="480"/>
        <w:rPr>
          <w:sz w:val="24"/>
        </w:rPr>
      </w:pPr>
      <w:r>
        <w:rPr>
          <w:rFonts w:hint="eastAsia"/>
          <w:sz w:val="24"/>
        </w:rPr>
        <w:t>国土业务档案封皮及目录按照已入库的档案要求进行制作，封皮内容包含土地使用者、土地座落、供地方式、批准文号、起止年月、保管期限、件数、页数、目录号、案卷号。卷内目录内容包含文号、责任者、题名、日期、页号、备注。具体如下图所示：</w:t>
      </w:r>
    </w:p>
    <w:p>
      <w:pPr>
        <w:ind w:firstLine="480"/>
      </w:pPr>
    </w:p>
    <w:p>
      <w:pPr>
        <w:ind w:firstLine="480"/>
      </w:pPr>
    </w:p>
    <w:p>
      <w:pPr>
        <w:ind w:firstLine="480"/>
      </w:pPr>
      <w:r>
        <w:rPr>
          <w:rFonts w:hint="eastAsia"/>
        </w:rPr>
        <w:drawing>
          <wp:inline distT="0" distB="0" distL="114300" distR="114300">
            <wp:extent cx="2575560" cy="3649980"/>
            <wp:effectExtent l="0" t="0" r="0" b="7620"/>
            <wp:docPr id="21" name="图片 21" descr="2ce2326e064a292c8e524ae7d16b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ce2326e064a292c8e524ae7d16b918"/>
                    <pic:cNvPicPr>
                      <a:picLocks noChangeAspect="1"/>
                    </pic:cNvPicPr>
                  </pic:nvPicPr>
                  <pic:blipFill>
                    <a:blip r:embed="rId10"/>
                    <a:stretch>
                      <a:fillRect/>
                    </a:stretch>
                  </pic:blipFill>
                  <pic:spPr>
                    <a:xfrm>
                      <a:off x="0" y="0"/>
                      <a:ext cx="2575560" cy="3649980"/>
                    </a:xfrm>
                    <a:prstGeom prst="rect">
                      <a:avLst/>
                    </a:prstGeom>
                  </pic:spPr>
                </pic:pic>
              </a:graphicData>
            </a:graphic>
          </wp:inline>
        </w:drawing>
      </w:r>
      <w:r>
        <w:rPr>
          <w:rFonts w:hint="eastAsia"/>
        </w:rPr>
        <w:drawing>
          <wp:inline distT="0" distB="0" distL="114300" distR="114300">
            <wp:extent cx="2320290" cy="3761105"/>
            <wp:effectExtent l="0" t="0" r="11430" b="3175"/>
            <wp:docPr id="5" name="图片 5" descr="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51"/>
                    <pic:cNvPicPr>
                      <a:picLocks noChangeAspect="1"/>
                    </pic:cNvPicPr>
                  </pic:nvPicPr>
                  <pic:blipFill>
                    <a:blip r:embed="rId11"/>
                    <a:stretch>
                      <a:fillRect/>
                    </a:stretch>
                  </pic:blipFill>
                  <pic:spPr>
                    <a:xfrm>
                      <a:off x="0" y="0"/>
                      <a:ext cx="2320290" cy="3760747"/>
                    </a:xfrm>
                    <a:prstGeom prst="rect">
                      <a:avLst/>
                    </a:prstGeom>
                  </pic:spPr>
                </pic:pic>
              </a:graphicData>
            </a:graphic>
          </wp:inline>
        </w:drawing>
      </w:r>
    </w:p>
    <w:p>
      <w:pPr>
        <w:spacing w:before="143" w:beforeLines="50" w:after="143" w:afterLines="50"/>
        <w:jc w:val="center"/>
        <w:rPr>
          <w:rFonts w:ascii="黑体" w:hAnsi="黑体" w:eastAsia="黑体"/>
          <w:color w:val="333333"/>
        </w:rPr>
      </w:pPr>
      <w:r>
        <w:rPr>
          <w:rFonts w:ascii="黑体" w:hAnsi="黑体" w:eastAsia="黑体"/>
          <w:color w:val="333333"/>
        </w:rPr>
        <w:t>图</w:t>
      </w:r>
      <w:r>
        <w:rPr>
          <w:rFonts w:hint="eastAsia" w:ascii="黑体" w:hAnsi="黑体" w:eastAsia="黑体"/>
          <w:color w:val="333333"/>
        </w:rPr>
        <w:t>1</w:t>
      </w:r>
      <w:r>
        <w:rPr>
          <w:rFonts w:ascii="黑体" w:hAnsi="黑体" w:eastAsia="黑体"/>
          <w:color w:val="333333"/>
        </w:rPr>
        <w:t>-</w:t>
      </w:r>
      <w:r>
        <w:rPr>
          <w:rFonts w:hint="eastAsia" w:ascii="黑体" w:hAnsi="黑体" w:eastAsia="黑体"/>
          <w:color w:val="333333"/>
        </w:rPr>
        <w:t>3国土业务档案封皮及目录</w:t>
      </w:r>
    </w:p>
    <w:p>
      <w:pPr>
        <w:ind w:firstLine="480"/>
        <w:rPr>
          <w:rFonts w:ascii="宋体" w:hAnsi="宋体" w:cs="宋体"/>
          <w:sz w:val="24"/>
        </w:rPr>
      </w:pPr>
      <w:r>
        <w:rPr>
          <w:rFonts w:hint="eastAsia" w:ascii="宋体" w:hAnsi="宋体" w:cs="宋体"/>
          <w:sz w:val="24"/>
        </w:rPr>
        <w:t>规划档案的封皮及目录参照《科学技术档案案卷构成的一般要求》中附录A“案卷编目式样”，封皮内容包含档号、题名、立卷单位、起止日期、保管期限、密级。卷内目录主要内容包含档号、文件编号、责任者、文件题目、日期、页数、备注。具体如下图所示：</w:t>
      </w:r>
    </w:p>
    <w:p>
      <w:pPr>
        <w:ind w:firstLine="480"/>
      </w:pPr>
    </w:p>
    <w:p>
      <w:pPr>
        <w:ind w:firstLine="480"/>
      </w:pPr>
      <w:r>
        <w:rPr>
          <w:rFonts w:hint="eastAsia"/>
        </w:rPr>
        <w:drawing>
          <wp:inline distT="0" distB="0" distL="114300" distR="114300">
            <wp:extent cx="2446020" cy="3268980"/>
            <wp:effectExtent l="0" t="0" r="7620" b="7620"/>
            <wp:docPr id="22" name="图片 22" descr="0cb030901f2dd4f36e8e21760807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cb030901f2dd4f36e8e217608071d5"/>
                    <pic:cNvPicPr>
                      <a:picLocks noChangeAspect="1"/>
                    </pic:cNvPicPr>
                  </pic:nvPicPr>
                  <pic:blipFill>
                    <a:blip r:embed="rId12"/>
                    <a:stretch>
                      <a:fillRect/>
                    </a:stretch>
                  </pic:blipFill>
                  <pic:spPr>
                    <a:xfrm>
                      <a:off x="0" y="0"/>
                      <a:ext cx="2446020" cy="3268980"/>
                    </a:xfrm>
                    <a:prstGeom prst="rect">
                      <a:avLst/>
                    </a:prstGeom>
                  </pic:spPr>
                </pic:pic>
              </a:graphicData>
            </a:graphic>
          </wp:inline>
        </w:drawing>
      </w:r>
      <w:r>
        <w:rPr>
          <w:rFonts w:hint="eastAsia"/>
        </w:rPr>
        <w:drawing>
          <wp:inline distT="0" distB="0" distL="114300" distR="114300">
            <wp:extent cx="2426970" cy="3492500"/>
            <wp:effectExtent l="0" t="0" r="11430" b="12700"/>
            <wp:docPr id="10" name="图片 10"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_00001"/>
                    <pic:cNvPicPr>
                      <a:picLocks noChangeAspect="1"/>
                    </pic:cNvPicPr>
                  </pic:nvPicPr>
                  <pic:blipFill>
                    <a:blip r:embed="rId13"/>
                    <a:srcRect l="971" t="532" r="2073" b="783"/>
                    <a:stretch>
                      <a:fillRect/>
                    </a:stretch>
                  </pic:blipFill>
                  <pic:spPr>
                    <a:xfrm>
                      <a:off x="0" y="0"/>
                      <a:ext cx="2426970" cy="3492500"/>
                    </a:xfrm>
                    <a:prstGeom prst="rect">
                      <a:avLst/>
                    </a:prstGeom>
                  </pic:spPr>
                </pic:pic>
              </a:graphicData>
            </a:graphic>
          </wp:inline>
        </w:drawing>
      </w:r>
    </w:p>
    <w:p>
      <w:pPr>
        <w:spacing w:before="143" w:beforeLines="50" w:after="143" w:afterLines="50"/>
        <w:jc w:val="center"/>
        <w:rPr>
          <w:rFonts w:ascii="黑体" w:hAnsi="黑体" w:eastAsia="黑体"/>
          <w:color w:val="333333"/>
        </w:rPr>
      </w:pPr>
      <w:r>
        <w:rPr>
          <w:rFonts w:ascii="黑体" w:hAnsi="黑体" w:eastAsia="黑体"/>
          <w:color w:val="333333"/>
        </w:rPr>
        <w:t>图</w:t>
      </w:r>
      <w:r>
        <w:rPr>
          <w:rFonts w:hint="eastAsia" w:ascii="黑体" w:hAnsi="黑体" w:eastAsia="黑体"/>
          <w:color w:val="333333"/>
        </w:rPr>
        <w:t>1</w:t>
      </w:r>
      <w:r>
        <w:rPr>
          <w:rFonts w:ascii="黑体" w:hAnsi="黑体" w:eastAsia="黑体"/>
          <w:color w:val="333333"/>
        </w:rPr>
        <w:t>-</w:t>
      </w:r>
      <w:r>
        <w:rPr>
          <w:rFonts w:hint="eastAsia" w:ascii="黑体" w:hAnsi="黑体" w:eastAsia="黑体"/>
          <w:color w:val="333333"/>
        </w:rPr>
        <w:t>4规划业务档案封皮及目录</w:t>
      </w:r>
    </w:p>
    <w:p>
      <w:pPr>
        <w:ind w:firstLine="480"/>
      </w:pPr>
    </w:p>
    <w:p>
      <w:pPr>
        <w:pStyle w:val="2"/>
        <w:spacing w:before="156" w:after="156"/>
        <w:jc w:val="both"/>
        <w:rPr>
          <w:rFonts w:ascii="宋体" w:hAnsi="宋体" w:eastAsia="宋体" w:cs="宋体"/>
          <w:sz w:val="24"/>
          <w:szCs w:val="24"/>
        </w:rPr>
      </w:pPr>
      <w:bookmarkStart w:id="17" w:name="_Toc82681606"/>
      <w:bookmarkStart w:id="18" w:name="_Toc82681428"/>
      <w:r>
        <w:rPr>
          <w:rFonts w:hint="eastAsia" w:ascii="宋体" w:hAnsi="宋体" w:eastAsia="宋体" w:cs="宋体"/>
          <w:sz w:val="24"/>
          <w:szCs w:val="24"/>
        </w:rPr>
        <w:t>1.6拆卷</w:t>
      </w:r>
      <w:bookmarkEnd w:id="17"/>
      <w:bookmarkEnd w:id="18"/>
    </w:p>
    <w:p>
      <w:pPr>
        <w:ind w:firstLine="480"/>
        <w:jc w:val="left"/>
        <w:rPr>
          <w:rFonts w:ascii="宋体" w:hAnsi="宋体" w:cs="宋体"/>
        </w:rPr>
      </w:pPr>
      <w:r>
        <w:rPr>
          <w:rFonts w:ascii="宋体" w:hAnsi="宋体" w:cs="宋体"/>
          <w:sz w:val="24"/>
        </w:rPr>
        <w:t>在不影响扫描工作进行的</w:t>
      </w:r>
      <w:r>
        <w:rPr>
          <w:rFonts w:hint="eastAsia" w:ascii="宋体" w:hAnsi="宋体" w:cs="宋体"/>
          <w:sz w:val="24"/>
        </w:rPr>
        <w:t>情况下</w:t>
      </w:r>
      <w:r>
        <w:rPr>
          <w:rFonts w:ascii="宋体" w:hAnsi="宋体" w:cs="宋体"/>
          <w:sz w:val="24"/>
        </w:rPr>
        <w:t>，应拆除</w:t>
      </w:r>
      <w:r>
        <w:rPr>
          <w:rFonts w:hint="eastAsia" w:ascii="宋体" w:hAnsi="宋体" w:cs="宋体"/>
          <w:sz w:val="24"/>
        </w:rPr>
        <w:t>档案</w:t>
      </w:r>
      <w:r>
        <w:rPr>
          <w:rFonts w:ascii="宋体" w:hAnsi="宋体" w:cs="宋体"/>
          <w:sz w:val="24"/>
        </w:rPr>
        <w:t>装订物。拆除装订物时应</w:t>
      </w:r>
      <w:r>
        <w:rPr>
          <w:rFonts w:hint="eastAsia" w:ascii="宋体" w:hAnsi="宋体" w:cs="宋体"/>
          <w:sz w:val="24"/>
        </w:rPr>
        <w:t>特别</w:t>
      </w:r>
      <w:r>
        <w:rPr>
          <w:rFonts w:ascii="宋体" w:hAnsi="宋体" w:cs="宋体"/>
          <w:sz w:val="24"/>
        </w:rPr>
        <w:t>注意保护档案不受损害。</w:t>
      </w:r>
    </w:p>
    <w:p>
      <w:pPr>
        <w:pStyle w:val="2"/>
        <w:spacing w:before="156" w:after="156"/>
        <w:jc w:val="both"/>
        <w:rPr>
          <w:rFonts w:ascii="宋体" w:hAnsi="宋体" w:eastAsia="宋体" w:cs="宋体"/>
          <w:sz w:val="24"/>
          <w:szCs w:val="24"/>
        </w:rPr>
      </w:pPr>
      <w:bookmarkStart w:id="19" w:name="_Toc82681429"/>
      <w:bookmarkStart w:id="20" w:name="_Toc82681607"/>
      <w:r>
        <w:rPr>
          <w:rFonts w:hint="eastAsia" w:ascii="宋体" w:hAnsi="宋体" w:eastAsia="宋体" w:cs="宋体"/>
          <w:sz w:val="24"/>
          <w:szCs w:val="24"/>
        </w:rPr>
        <w:t>1.7扫描</w:t>
      </w:r>
      <w:bookmarkEnd w:id="19"/>
      <w:bookmarkEnd w:id="20"/>
    </w:p>
    <w:p>
      <w:pPr>
        <w:widowControl/>
        <w:snapToGrid w:val="0"/>
        <w:spacing w:line="360" w:lineRule="auto"/>
        <w:ind w:firstLine="480"/>
        <w:jc w:val="left"/>
        <w:rPr>
          <w:sz w:val="24"/>
        </w:rPr>
      </w:pPr>
      <w:r>
        <w:rPr>
          <w:rFonts w:hint="eastAsia"/>
          <w:sz w:val="24"/>
        </w:rPr>
        <w:t>对整理、归档、拆卷完毕的档案方可进行扫描作业。</w:t>
      </w:r>
    </w:p>
    <w:p>
      <w:pPr>
        <w:pStyle w:val="3"/>
        <w:spacing w:before="156" w:after="156"/>
        <w:rPr>
          <w:rFonts w:ascii="宋体" w:hAnsi="宋体" w:cs="宋体"/>
          <w:sz w:val="24"/>
          <w:szCs w:val="24"/>
        </w:rPr>
      </w:pPr>
      <w:bookmarkStart w:id="21" w:name="_Toc82681608"/>
      <w:bookmarkStart w:id="22" w:name="_Toc82681430"/>
      <w:r>
        <w:rPr>
          <w:rFonts w:hint="eastAsia" w:ascii="宋体" w:hAnsi="宋体" w:cs="宋体"/>
          <w:sz w:val="24"/>
          <w:szCs w:val="24"/>
        </w:rPr>
        <w:t>1.7.1扫描方式</w:t>
      </w:r>
      <w:bookmarkEnd w:id="21"/>
      <w:bookmarkEnd w:id="22"/>
    </w:p>
    <w:p>
      <w:pPr>
        <w:widowControl/>
        <w:snapToGrid w:val="0"/>
        <w:spacing w:line="360" w:lineRule="auto"/>
        <w:ind w:firstLine="480"/>
        <w:jc w:val="left"/>
        <w:rPr>
          <w:sz w:val="24"/>
        </w:rPr>
      </w:pPr>
      <w:r>
        <w:rPr>
          <w:sz w:val="24"/>
        </w:rPr>
        <w:t>根据档案幅面的大小选择相应规格的扫描仪进行扫描。大幅面档案可采用大</w:t>
      </w:r>
      <w:r>
        <w:rPr>
          <w:rFonts w:hint="eastAsia"/>
          <w:sz w:val="24"/>
        </w:rPr>
        <w:t>型</w:t>
      </w:r>
      <w:r>
        <w:rPr>
          <w:sz w:val="24"/>
        </w:rPr>
        <w:t>幅面</w:t>
      </w:r>
      <w:r>
        <w:rPr>
          <w:rFonts w:hint="eastAsia"/>
          <w:sz w:val="24"/>
        </w:rPr>
        <w:t>扫描仪进行扫</w:t>
      </w:r>
      <w:r>
        <w:rPr>
          <w:sz w:val="24"/>
        </w:rPr>
        <w:t>描，也可以采用小幅面扫描后的图像拼接方式处理。</w:t>
      </w:r>
    </w:p>
    <w:p>
      <w:pPr>
        <w:widowControl/>
        <w:snapToGrid w:val="0"/>
        <w:spacing w:line="360" w:lineRule="auto"/>
        <w:ind w:firstLine="480"/>
        <w:jc w:val="left"/>
        <w:rPr>
          <w:sz w:val="24"/>
        </w:rPr>
      </w:pPr>
      <w:r>
        <w:rPr>
          <w:sz w:val="24"/>
        </w:rPr>
        <w:t>纸张状况较差，以及过薄、过软或超厚的档案，应采用平板扫描方式；纸张状况好的档案可采用高速扫描方式以提高工作效率。</w:t>
      </w:r>
    </w:p>
    <w:p>
      <w:pPr>
        <w:pStyle w:val="3"/>
        <w:spacing w:before="156" w:after="156"/>
        <w:rPr>
          <w:rFonts w:ascii="宋体" w:hAnsi="宋体" w:cs="宋体"/>
          <w:sz w:val="24"/>
          <w:szCs w:val="24"/>
        </w:rPr>
      </w:pPr>
      <w:bookmarkStart w:id="23" w:name="_Toc82681609"/>
      <w:bookmarkStart w:id="24" w:name="_Toc82681431"/>
      <w:r>
        <w:rPr>
          <w:rFonts w:hint="eastAsia" w:ascii="宋体" w:hAnsi="宋体" w:cs="宋体"/>
          <w:sz w:val="24"/>
          <w:szCs w:val="24"/>
        </w:rPr>
        <w:t>1.7.2扫描色彩模式</w:t>
      </w:r>
      <w:bookmarkEnd w:id="23"/>
      <w:bookmarkEnd w:id="24"/>
    </w:p>
    <w:p>
      <w:pPr>
        <w:widowControl/>
        <w:snapToGrid w:val="0"/>
        <w:spacing w:line="360" w:lineRule="auto"/>
        <w:ind w:firstLine="480"/>
        <w:jc w:val="left"/>
        <w:rPr>
          <w:sz w:val="24"/>
        </w:rPr>
      </w:pPr>
      <w:r>
        <w:rPr>
          <w:sz w:val="24"/>
        </w:rPr>
        <w:t>纸质档案中有红头、印章或有彩色照片(插图)的页面必须采用彩色模式。字迹不清晰或有黑白照片(插图)的页面必须采用灰度模式扫描。</w:t>
      </w:r>
    </w:p>
    <w:p>
      <w:pPr>
        <w:pStyle w:val="3"/>
        <w:spacing w:before="156" w:after="156"/>
        <w:rPr>
          <w:rFonts w:ascii="宋体" w:hAnsi="宋体" w:cs="宋体"/>
          <w:sz w:val="24"/>
          <w:szCs w:val="24"/>
        </w:rPr>
      </w:pPr>
      <w:bookmarkStart w:id="25" w:name="_Toc82681432"/>
      <w:bookmarkStart w:id="26" w:name="_Toc82681610"/>
      <w:r>
        <w:rPr>
          <w:rFonts w:hint="eastAsia" w:ascii="宋体" w:hAnsi="宋体" w:cs="宋体"/>
          <w:sz w:val="24"/>
          <w:szCs w:val="24"/>
        </w:rPr>
        <w:t>1.7.3扫描分辨率及存储格式</w:t>
      </w:r>
      <w:bookmarkEnd w:id="25"/>
      <w:bookmarkEnd w:id="26"/>
    </w:p>
    <w:p>
      <w:pPr>
        <w:widowControl/>
        <w:snapToGrid w:val="0"/>
        <w:spacing w:line="360" w:lineRule="auto"/>
        <w:ind w:firstLine="480"/>
        <w:jc w:val="left"/>
        <w:rPr>
          <w:sz w:val="24"/>
        </w:rPr>
      </w:pPr>
      <w:r>
        <w:rPr>
          <w:sz w:val="24"/>
        </w:rPr>
        <w:t>纸质档案采用黑白二值、灰度、彩色模式进行扫描时，其分辨率≥300DPI，其中彩色模式颜色为24Bit 真彩色。特殊情况下，如文字偏小、密集、清晰度较差等，可适当提高分辨率。</w:t>
      </w:r>
    </w:p>
    <w:p>
      <w:pPr>
        <w:widowControl/>
        <w:snapToGrid w:val="0"/>
        <w:spacing w:line="360" w:lineRule="auto"/>
        <w:ind w:firstLine="480"/>
        <w:jc w:val="left"/>
        <w:rPr>
          <w:sz w:val="24"/>
        </w:rPr>
      </w:pPr>
      <w:r>
        <w:rPr>
          <w:sz w:val="24"/>
        </w:rPr>
        <w:t>形成电子文件的最终存储格式PDF格式，</w:t>
      </w:r>
      <w:r>
        <w:rPr>
          <w:rFonts w:hint="eastAsia"/>
          <w:sz w:val="24"/>
        </w:rPr>
        <w:t>JPG格式也需做备份。</w:t>
      </w:r>
    </w:p>
    <w:p>
      <w:pPr>
        <w:pStyle w:val="3"/>
        <w:spacing w:before="156" w:after="156"/>
        <w:rPr>
          <w:rFonts w:ascii="宋体" w:hAnsi="宋体" w:cs="宋体"/>
          <w:sz w:val="24"/>
          <w:szCs w:val="24"/>
        </w:rPr>
      </w:pPr>
      <w:bookmarkStart w:id="27" w:name="_Toc82681433"/>
      <w:bookmarkStart w:id="28" w:name="_Toc82681611"/>
      <w:r>
        <w:rPr>
          <w:rFonts w:hint="eastAsia" w:ascii="宋体" w:hAnsi="宋体" w:cs="宋体"/>
          <w:sz w:val="24"/>
          <w:szCs w:val="24"/>
        </w:rPr>
        <w:t>1.7.4扫描件命名</w:t>
      </w:r>
      <w:bookmarkEnd w:id="27"/>
      <w:bookmarkEnd w:id="28"/>
    </w:p>
    <w:p>
      <w:pPr>
        <w:widowControl/>
        <w:snapToGrid w:val="0"/>
        <w:spacing w:line="360" w:lineRule="auto"/>
        <w:ind w:firstLine="480"/>
        <w:jc w:val="left"/>
        <w:rPr>
          <w:sz w:val="24"/>
        </w:rPr>
      </w:pPr>
      <w:r>
        <w:rPr>
          <w:rFonts w:hint="eastAsia"/>
          <w:sz w:val="24"/>
        </w:rPr>
        <w:t>档案扫描的命名根据不同档案类型进行命名，</w:t>
      </w:r>
      <w:r>
        <w:rPr>
          <w:sz w:val="24"/>
        </w:rPr>
        <w:t>文件名称以该文件的档号命名，</w:t>
      </w:r>
      <w:r>
        <w:rPr>
          <w:rFonts w:hint="eastAsia"/>
          <w:sz w:val="24"/>
        </w:rPr>
        <w:t>且必须保持唯一性，</w:t>
      </w:r>
      <w:r>
        <w:rPr>
          <w:sz w:val="24"/>
        </w:rPr>
        <w:t>以方便同后续的基础数据库挂接。</w:t>
      </w:r>
      <w:r>
        <w:rPr>
          <w:rFonts w:hint="eastAsia"/>
          <w:sz w:val="24"/>
        </w:rPr>
        <w:t>具体如下图：</w:t>
      </w:r>
    </w:p>
    <w:tbl>
      <w:tblPr>
        <w:tblStyle w:val="7"/>
        <w:tblW w:w="88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6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8" w:type="dxa"/>
            <w:vAlign w:val="center"/>
          </w:tcPr>
          <w:p>
            <w:pPr>
              <w:widowControl/>
              <w:snapToGrid w:val="0"/>
              <w:spacing w:line="360" w:lineRule="auto"/>
              <w:ind w:firstLine="480"/>
              <w:jc w:val="center"/>
              <w:rPr>
                <w:sz w:val="24"/>
              </w:rPr>
            </w:pPr>
            <w:r>
              <w:rPr>
                <w:rFonts w:hint="eastAsia"/>
                <w:sz w:val="24"/>
              </w:rPr>
              <w:t>档案类型</w:t>
            </w:r>
          </w:p>
        </w:tc>
        <w:tc>
          <w:tcPr>
            <w:tcW w:w="6704" w:type="dxa"/>
            <w:vAlign w:val="center"/>
          </w:tcPr>
          <w:p>
            <w:pPr>
              <w:widowControl/>
              <w:snapToGrid w:val="0"/>
              <w:spacing w:line="360" w:lineRule="auto"/>
              <w:ind w:firstLine="480"/>
              <w:jc w:val="center"/>
              <w:rPr>
                <w:sz w:val="24"/>
              </w:rPr>
            </w:pPr>
            <w:r>
              <w:rPr>
                <w:rFonts w:hint="eastAsia"/>
                <w:sz w:val="24"/>
              </w:rPr>
              <w:t>命名格式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8" w:type="dxa"/>
            <w:vAlign w:val="center"/>
          </w:tcPr>
          <w:p>
            <w:pPr>
              <w:widowControl/>
              <w:snapToGrid w:val="0"/>
              <w:spacing w:line="360" w:lineRule="auto"/>
              <w:ind w:firstLine="480"/>
              <w:jc w:val="center"/>
              <w:rPr>
                <w:sz w:val="24"/>
              </w:rPr>
            </w:pPr>
            <w:r>
              <w:rPr>
                <w:rFonts w:hint="eastAsia"/>
                <w:sz w:val="24"/>
              </w:rPr>
              <w:t>国土业务档案</w:t>
            </w:r>
          </w:p>
        </w:tc>
        <w:tc>
          <w:tcPr>
            <w:tcW w:w="6704" w:type="dxa"/>
            <w:vAlign w:val="center"/>
          </w:tcPr>
          <w:p>
            <w:pPr>
              <w:widowControl/>
              <w:snapToGrid w:val="0"/>
              <w:spacing w:line="360" w:lineRule="auto"/>
              <w:ind w:firstLine="480"/>
              <w:jc w:val="center"/>
              <w:rPr>
                <w:sz w:val="24"/>
              </w:rPr>
            </w:pPr>
            <w:r>
              <w:rPr>
                <w:rFonts w:hint="eastAsia"/>
                <w:sz w:val="24"/>
              </w:rPr>
              <w:t>全宗号-目录号-分类号-案卷号-件号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8" w:type="dxa"/>
            <w:vAlign w:val="center"/>
          </w:tcPr>
          <w:p>
            <w:pPr>
              <w:widowControl/>
              <w:snapToGrid w:val="0"/>
              <w:spacing w:line="360" w:lineRule="auto"/>
              <w:ind w:firstLine="480"/>
              <w:jc w:val="center"/>
              <w:rPr>
                <w:sz w:val="24"/>
              </w:rPr>
            </w:pPr>
            <w:r>
              <w:rPr>
                <w:rFonts w:hint="eastAsia"/>
                <w:sz w:val="24"/>
              </w:rPr>
              <w:t>文书档案</w:t>
            </w:r>
          </w:p>
        </w:tc>
        <w:tc>
          <w:tcPr>
            <w:tcW w:w="6704" w:type="dxa"/>
            <w:vAlign w:val="center"/>
          </w:tcPr>
          <w:p>
            <w:pPr>
              <w:widowControl/>
              <w:snapToGrid w:val="0"/>
              <w:spacing w:line="360" w:lineRule="auto"/>
              <w:ind w:firstLine="480"/>
              <w:jc w:val="center"/>
              <w:rPr>
                <w:sz w:val="24"/>
              </w:rPr>
            </w:pPr>
            <w:r>
              <w:rPr>
                <w:rFonts w:hint="eastAsia"/>
                <w:sz w:val="24"/>
              </w:rPr>
              <w:t>全宗号-门类代码年度-保管期限-问题机构-案卷号-件号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8" w:type="dxa"/>
            <w:vAlign w:val="center"/>
          </w:tcPr>
          <w:p>
            <w:pPr>
              <w:widowControl/>
              <w:snapToGrid w:val="0"/>
              <w:spacing w:line="360" w:lineRule="auto"/>
              <w:ind w:firstLine="480"/>
              <w:jc w:val="center"/>
              <w:rPr>
                <w:sz w:val="24"/>
              </w:rPr>
            </w:pPr>
            <w:r>
              <w:rPr>
                <w:rFonts w:hint="eastAsia"/>
                <w:sz w:val="24"/>
              </w:rPr>
              <w:t>规划业务档案</w:t>
            </w:r>
          </w:p>
        </w:tc>
        <w:tc>
          <w:tcPr>
            <w:tcW w:w="6704" w:type="dxa"/>
            <w:vAlign w:val="center"/>
          </w:tcPr>
          <w:p>
            <w:pPr>
              <w:widowControl/>
              <w:snapToGrid w:val="0"/>
              <w:spacing w:line="360" w:lineRule="auto"/>
              <w:ind w:firstLine="480"/>
              <w:jc w:val="center"/>
              <w:rPr>
                <w:sz w:val="24"/>
              </w:rPr>
            </w:pPr>
            <w:r>
              <w:rPr>
                <w:rFonts w:hint="eastAsia"/>
                <w:sz w:val="24"/>
              </w:rPr>
              <w:t>全宗号.JJ.项目代号.案卷号.件号</w:t>
            </w:r>
          </w:p>
        </w:tc>
      </w:tr>
    </w:tbl>
    <w:p>
      <w:pPr>
        <w:pStyle w:val="2"/>
        <w:spacing w:before="156" w:after="156"/>
        <w:jc w:val="both"/>
        <w:rPr>
          <w:rFonts w:ascii="宋体" w:hAnsi="宋体" w:eastAsia="宋体" w:cs="宋体"/>
          <w:sz w:val="24"/>
          <w:szCs w:val="24"/>
        </w:rPr>
      </w:pPr>
      <w:bookmarkStart w:id="29" w:name="_Toc82681612"/>
      <w:bookmarkStart w:id="30" w:name="_Toc82681434"/>
      <w:r>
        <w:rPr>
          <w:rFonts w:hint="eastAsia" w:ascii="宋体" w:hAnsi="宋体" w:eastAsia="宋体" w:cs="宋体"/>
          <w:sz w:val="24"/>
          <w:szCs w:val="24"/>
        </w:rPr>
        <w:t>1.9图像优化</w:t>
      </w:r>
      <w:bookmarkEnd w:id="29"/>
      <w:bookmarkEnd w:id="30"/>
    </w:p>
    <w:p>
      <w:pPr>
        <w:pStyle w:val="3"/>
        <w:spacing w:before="156" w:after="156"/>
        <w:rPr>
          <w:rFonts w:ascii="宋体" w:hAnsi="宋体" w:cs="宋体"/>
          <w:sz w:val="24"/>
          <w:szCs w:val="24"/>
        </w:rPr>
      </w:pPr>
      <w:bookmarkStart w:id="31" w:name="_Toc82681435"/>
      <w:bookmarkStart w:id="32" w:name="_Toc82681613"/>
      <w:r>
        <w:rPr>
          <w:rFonts w:hint="eastAsia" w:ascii="宋体" w:hAnsi="宋体" w:cs="宋体"/>
          <w:sz w:val="24"/>
          <w:szCs w:val="24"/>
        </w:rPr>
        <w:t>1.9.1图像数据质量检验</w:t>
      </w:r>
      <w:bookmarkEnd w:id="31"/>
      <w:bookmarkEnd w:id="32"/>
    </w:p>
    <w:p>
      <w:pPr>
        <w:ind w:firstLine="480"/>
        <w:jc w:val="left"/>
      </w:pPr>
      <w:r>
        <w:rPr>
          <w:sz w:val="24"/>
        </w:rPr>
        <w:t>对图像偏斜度、清晰度、失真度等进行检查。发现不符合图像质量要求时，应重新进行图像的处理。发现文件漏扫时，应及时补扫并正确插入图像。发现扫描图像的排列顺序与档案原件不一致时，应及时进行调整。</w:t>
      </w:r>
    </w:p>
    <w:p>
      <w:pPr>
        <w:pStyle w:val="3"/>
        <w:spacing w:before="156" w:after="156"/>
        <w:rPr>
          <w:rFonts w:ascii="宋体" w:hAnsi="宋体" w:cs="宋体"/>
          <w:sz w:val="24"/>
          <w:szCs w:val="24"/>
        </w:rPr>
      </w:pPr>
      <w:bookmarkStart w:id="33" w:name="_Toc82681436"/>
      <w:bookmarkStart w:id="34" w:name="_Toc82681614"/>
      <w:r>
        <w:rPr>
          <w:rFonts w:hint="eastAsia" w:ascii="宋体" w:hAnsi="宋体" w:cs="宋体"/>
          <w:sz w:val="24"/>
          <w:szCs w:val="24"/>
        </w:rPr>
        <w:t>1.9.2纠偏</w:t>
      </w:r>
      <w:bookmarkEnd w:id="33"/>
      <w:bookmarkEnd w:id="34"/>
    </w:p>
    <w:p>
      <w:pPr>
        <w:ind w:firstLine="480"/>
        <w:jc w:val="left"/>
      </w:pPr>
      <w:r>
        <w:rPr>
          <w:sz w:val="24"/>
        </w:rPr>
        <w:t>对扫描过程中出现的偏斜图像进行整体纠正，保证数字图像偏斜不超过页面内半个文字，偏斜角度小于1度。</w:t>
      </w:r>
    </w:p>
    <w:p>
      <w:pPr>
        <w:pStyle w:val="3"/>
        <w:spacing w:before="156" w:after="156"/>
        <w:rPr>
          <w:rFonts w:ascii="宋体" w:hAnsi="宋体" w:cs="宋体"/>
          <w:sz w:val="24"/>
          <w:szCs w:val="24"/>
        </w:rPr>
      </w:pPr>
      <w:bookmarkStart w:id="35" w:name="_Toc82681437"/>
      <w:bookmarkStart w:id="36" w:name="_Toc82681615"/>
      <w:r>
        <w:rPr>
          <w:rFonts w:hint="eastAsia" w:ascii="宋体" w:hAnsi="宋体" w:cs="宋体"/>
          <w:sz w:val="24"/>
          <w:szCs w:val="24"/>
        </w:rPr>
        <w:t>1.9.3去污</w:t>
      </w:r>
      <w:bookmarkEnd w:id="35"/>
      <w:bookmarkEnd w:id="36"/>
    </w:p>
    <w:p>
      <w:pPr>
        <w:widowControl/>
        <w:snapToGrid w:val="0"/>
        <w:spacing w:line="360" w:lineRule="auto"/>
        <w:ind w:firstLine="480"/>
        <w:jc w:val="left"/>
        <w:rPr>
          <w:sz w:val="24"/>
        </w:rPr>
      </w:pPr>
      <w:r>
        <w:rPr>
          <w:sz w:val="24"/>
        </w:rPr>
        <w:t>去除数字图像中影响可懂度的杂质。档案数字化图像的去污，应遵循在不影响可懂度的前提下展现原貌的原则。</w:t>
      </w:r>
    </w:p>
    <w:p>
      <w:pPr>
        <w:pStyle w:val="3"/>
        <w:spacing w:before="156" w:after="156"/>
        <w:rPr>
          <w:rFonts w:ascii="宋体" w:hAnsi="宋体" w:cs="宋体"/>
          <w:sz w:val="24"/>
          <w:szCs w:val="24"/>
        </w:rPr>
      </w:pPr>
      <w:bookmarkStart w:id="37" w:name="_Toc82681616"/>
      <w:bookmarkStart w:id="38" w:name="_Toc82681438"/>
      <w:r>
        <w:rPr>
          <w:rFonts w:hint="eastAsia" w:ascii="宋体" w:hAnsi="宋体" w:cs="宋体"/>
          <w:sz w:val="24"/>
          <w:szCs w:val="24"/>
        </w:rPr>
        <w:t>1.9.4图像拼接</w:t>
      </w:r>
      <w:bookmarkEnd w:id="37"/>
      <w:bookmarkEnd w:id="38"/>
    </w:p>
    <w:p>
      <w:pPr>
        <w:widowControl/>
        <w:snapToGrid w:val="0"/>
        <w:spacing w:line="360" w:lineRule="auto"/>
        <w:ind w:firstLine="480"/>
        <w:jc w:val="left"/>
        <w:rPr>
          <w:sz w:val="24"/>
        </w:rPr>
      </w:pPr>
      <w:r>
        <w:rPr>
          <w:sz w:val="24"/>
        </w:rPr>
        <w:t>对</w:t>
      </w:r>
      <w:r>
        <w:rPr>
          <w:rFonts w:hint="eastAsia"/>
          <w:sz w:val="24"/>
        </w:rPr>
        <w:t>于特</w:t>
      </w:r>
      <w:r>
        <w:rPr>
          <w:sz w:val="24"/>
        </w:rPr>
        <w:t>大幅面档案进行分区扫描形成的多幅图像，应进行拼接处理，合并为一个完整的图像，以保证档案数字化图像的整体性。</w:t>
      </w:r>
    </w:p>
    <w:p>
      <w:pPr>
        <w:pStyle w:val="2"/>
        <w:spacing w:before="156" w:after="156"/>
        <w:jc w:val="both"/>
        <w:rPr>
          <w:rFonts w:ascii="宋体" w:hAnsi="宋体" w:eastAsia="宋体" w:cs="宋体"/>
          <w:sz w:val="24"/>
          <w:szCs w:val="24"/>
        </w:rPr>
      </w:pPr>
      <w:bookmarkStart w:id="39" w:name="_Toc82681617"/>
      <w:bookmarkStart w:id="40" w:name="_Toc82681439"/>
      <w:r>
        <w:rPr>
          <w:rFonts w:hint="eastAsia" w:ascii="宋体" w:hAnsi="宋体" w:eastAsia="宋体" w:cs="宋体"/>
          <w:sz w:val="24"/>
          <w:szCs w:val="24"/>
        </w:rPr>
        <w:t>1.10档案目录著录</w:t>
      </w:r>
      <w:bookmarkEnd w:id="39"/>
      <w:bookmarkEnd w:id="40"/>
    </w:p>
    <w:p>
      <w:pPr>
        <w:numPr>
          <w:ilvl w:val="0"/>
          <w:numId w:val="1"/>
        </w:numPr>
        <w:ind w:firstLine="480"/>
        <w:jc w:val="left"/>
        <w:rPr>
          <w:sz w:val="24"/>
        </w:rPr>
      </w:pPr>
      <w:r>
        <w:rPr>
          <w:rFonts w:hint="eastAsia"/>
          <w:sz w:val="24"/>
        </w:rPr>
        <w:t>国土业务档案目录按照国土局档案管理的要求进行录制，同时要满足管理信息系统中的档案信息检索要求。分为案卷级目录和文件级目录，基本信息有：序号、目录号、案卷号、档号、文件级档号、起页码、止页码、文号、日期、责任者、题名、土地使用者、土地坐落、供地方式、批准文号、土地用途、起日期、止日期、年度、件数、页数、保管期限等。</w:t>
      </w:r>
    </w:p>
    <w:p>
      <w:pPr>
        <w:jc w:val="center"/>
        <w:rPr>
          <w:color w:val="FF0000"/>
        </w:rPr>
      </w:pPr>
      <w:r>
        <w:drawing>
          <wp:inline distT="0" distB="0" distL="114300" distR="114300">
            <wp:extent cx="5266690" cy="2117090"/>
            <wp:effectExtent l="0" t="0" r="6350" b="12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4"/>
                    <a:stretch>
                      <a:fillRect/>
                    </a:stretch>
                  </pic:blipFill>
                  <pic:spPr>
                    <a:xfrm>
                      <a:off x="0" y="0"/>
                      <a:ext cx="5266690" cy="2117090"/>
                    </a:xfrm>
                    <a:prstGeom prst="rect">
                      <a:avLst/>
                    </a:prstGeom>
                    <a:noFill/>
                    <a:ln>
                      <a:noFill/>
                    </a:ln>
                  </pic:spPr>
                </pic:pic>
              </a:graphicData>
            </a:graphic>
          </wp:inline>
        </w:drawing>
      </w:r>
    </w:p>
    <w:p>
      <w:pPr>
        <w:ind w:firstLine="480"/>
        <w:jc w:val="center"/>
        <w:rPr>
          <w:rFonts w:ascii="黑体" w:hAnsi="黑体" w:eastAsia="黑体"/>
        </w:rPr>
      </w:pPr>
      <w:r>
        <w:rPr>
          <w:rFonts w:hint="eastAsia" w:ascii="黑体" w:hAnsi="黑体" w:eastAsia="黑体"/>
        </w:rPr>
        <w:t>图1-5国土业务档案案卷级目录录入</w:t>
      </w:r>
    </w:p>
    <w:p>
      <w:pPr>
        <w:jc w:val="center"/>
        <w:rPr>
          <w:color w:val="FF0000"/>
        </w:rPr>
      </w:pPr>
      <w:r>
        <w:drawing>
          <wp:inline distT="0" distB="0" distL="114300" distR="114300">
            <wp:extent cx="5269230" cy="2129790"/>
            <wp:effectExtent l="0" t="0" r="3810" b="381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5"/>
                    <a:stretch>
                      <a:fillRect/>
                    </a:stretch>
                  </pic:blipFill>
                  <pic:spPr>
                    <a:xfrm>
                      <a:off x="0" y="0"/>
                      <a:ext cx="5269230" cy="2129790"/>
                    </a:xfrm>
                    <a:prstGeom prst="rect">
                      <a:avLst/>
                    </a:prstGeom>
                    <a:noFill/>
                    <a:ln>
                      <a:noFill/>
                    </a:ln>
                  </pic:spPr>
                </pic:pic>
              </a:graphicData>
            </a:graphic>
          </wp:inline>
        </w:drawing>
      </w:r>
    </w:p>
    <w:p>
      <w:pPr>
        <w:ind w:firstLine="480"/>
        <w:jc w:val="center"/>
        <w:rPr>
          <w:rFonts w:ascii="黑体" w:hAnsi="黑体" w:eastAsia="黑体"/>
        </w:rPr>
      </w:pPr>
      <w:r>
        <w:rPr>
          <w:rFonts w:hint="eastAsia" w:ascii="黑体" w:hAnsi="黑体" w:eastAsia="黑体"/>
        </w:rPr>
        <w:t xml:space="preserve">图1-6 </w:t>
      </w:r>
      <w:r>
        <w:rPr>
          <w:rFonts w:hint="eastAsia" w:ascii="宋体" w:hAnsi="宋体" w:cs="宋体"/>
        </w:rPr>
        <w:t>国土业务档案文件级目录录入</w:t>
      </w:r>
    </w:p>
    <w:p>
      <w:pPr>
        <w:widowControl/>
        <w:snapToGrid w:val="0"/>
        <w:spacing w:line="360" w:lineRule="auto"/>
        <w:ind w:firstLine="480"/>
        <w:jc w:val="left"/>
        <w:rPr>
          <w:sz w:val="24"/>
        </w:rPr>
      </w:pPr>
      <w:r>
        <w:rPr>
          <w:rFonts w:hint="eastAsia"/>
          <w:sz w:val="24"/>
        </w:rPr>
        <w:t>（2）国土规划业务档案按照国土局档案管理的要求进行定制，同时要满足管理信息系统中的档案信息检索需要。分为案卷级目录和文件级目录，基本信息有：档号、案卷号、文件级档号、件号、文号、责任者、日期、起页数、止页数、全宗号、题名、编号、建设单位、项目名称、建设位置、用地性质、用地面积、项目批准文号、起日期、止日期、件数、页数、备注。</w:t>
      </w:r>
    </w:p>
    <w:p>
      <w:pPr>
        <w:jc w:val="center"/>
      </w:pPr>
      <w:r>
        <w:drawing>
          <wp:inline distT="0" distB="0" distL="114300" distR="114300">
            <wp:extent cx="5271135" cy="2969895"/>
            <wp:effectExtent l="0" t="0" r="1905" b="190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6"/>
                    <a:stretch>
                      <a:fillRect/>
                    </a:stretch>
                  </pic:blipFill>
                  <pic:spPr>
                    <a:xfrm>
                      <a:off x="0" y="0"/>
                      <a:ext cx="5271135" cy="2969895"/>
                    </a:xfrm>
                    <a:prstGeom prst="rect">
                      <a:avLst/>
                    </a:prstGeom>
                    <a:noFill/>
                    <a:ln>
                      <a:noFill/>
                    </a:ln>
                  </pic:spPr>
                </pic:pic>
              </a:graphicData>
            </a:graphic>
          </wp:inline>
        </w:drawing>
      </w:r>
    </w:p>
    <w:p>
      <w:pPr>
        <w:ind w:firstLine="480"/>
        <w:jc w:val="center"/>
        <w:rPr>
          <w:rFonts w:ascii="宋体" w:hAnsi="宋体" w:cs="宋体"/>
        </w:rPr>
      </w:pPr>
      <w:r>
        <w:rPr>
          <w:rFonts w:hint="eastAsia" w:ascii="宋体" w:hAnsi="宋体" w:cs="宋体"/>
        </w:rPr>
        <w:t>图1-7国土规划档案案卷级目录录入</w:t>
      </w:r>
    </w:p>
    <w:p>
      <w:pPr>
        <w:jc w:val="center"/>
      </w:pPr>
      <w:r>
        <w:drawing>
          <wp:inline distT="0" distB="0" distL="114300" distR="114300">
            <wp:extent cx="5271135" cy="2851785"/>
            <wp:effectExtent l="0" t="0" r="1905" b="1333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7"/>
                    <a:stretch>
                      <a:fillRect/>
                    </a:stretch>
                  </pic:blipFill>
                  <pic:spPr>
                    <a:xfrm>
                      <a:off x="0" y="0"/>
                      <a:ext cx="5271135" cy="2851785"/>
                    </a:xfrm>
                    <a:prstGeom prst="rect">
                      <a:avLst/>
                    </a:prstGeom>
                    <a:noFill/>
                    <a:ln>
                      <a:noFill/>
                    </a:ln>
                  </pic:spPr>
                </pic:pic>
              </a:graphicData>
            </a:graphic>
          </wp:inline>
        </w:drawing>
      </w:r>
    </w:p>
    <w:p>
      <w:pPr>
        <w:ind w:firstLine="480"/>
        <w:jc w:val="center"/>
        <w:rPr>
          <w:rFonts w:ascii="黑体" w:hAnsi="黑体" w:eastAsia="黑体"/>
        </w:rPr>
      </w:pPr>
      <w:r>
        <w:rPr>
          <w:rFonts w:hint="eastAsia" w:ascii="黑体" w:hAnsi="黑体" w:eastAsia="黑体"/>
        </w:rPr>
        <w:t>图1-8国土规划档案文件级目录录入</w:t>
      </w:r>
    </w:p>
    <w:p>
      <w:r>
        <w:rPr>
          <w:rFonts w:hint="eastAsia"/>
        </w:rPr>
        <w:t xml:space="preserve">    </w:t>
      </w:r>
      <w:r>
        <w:rPr>
          <w:rFonts w:hint="eastAsia"/>
          <w:sz w:val="24"/>
        </w:rPr>
        <w:t>（3）文书档案著录字段信息主要包括全宗号、门类代码、年度、保管期限、案卷号、档号、文号、责任者、题名、页数、页号、日期、备注。</w:t>
      </w:r>
    </w:p>
    <w:p>
      <w:pPr>
        <w:jc w:val="center"/>
      </w:pPr>
      <w:r>
        <w:drawing>
          <wp:inline distT="0" distB="0" distL="114300" distR="114300">
            <wp:extent cx="5266690" cy="2309495"/>
            <wp:effectExtent l="0" t="0" r="6350" b="698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8"/>
                    <a:stretch>
                      <a:fillRect/>
                    </a:stretch>
                  </pic:blipFill>
                  <pic:spPr>
                    <a:xfrm>
                      <a:off x="0" y="0"/>
                      <a:ext cx="5266690" cy="2309495"/>
                    </a:xfrm>
                    <a:prstGeom prst="rect">
                      <a:avLst/>
                    </a:prstGeom>
                    <a:noFill/>
                    <a:ln>
                      <a:noFill/>
                    </a:ln>
                  </pic:spPr>
                </pic:pic>
              </a:graphicData>
            </a:graphic>
          </wp:inline>
        </w:drawing>
      </w:r>
    </w:p>
    <w:p>
      <w:pPr>
        <w:ind w:firstLine="480"/>
        <w:jc w:val="center"/>
        <w:rPr>
          <w:rFonts w:ascii="黑体" w:hAnsi="黑体" w:eastAsia="黑体"/>
        </w:rPr>
      </w:pPr>
      <w:r>
        <w:rPr>
          <w:rFonts w:hint="eastAsia" w:ascii="黑体" w:hAnsi="黑体" w:eastAsia="黑体"/>
        </w:rPr>
        <w:t>图1-9 文书档案文件级目录录入</w:t>
      </w:r>
    </w:p>
    <w:p>
      <w:pPr>
        <w:pStyle w:val="2"/>
        <w:spacing w:before="156" w:after="156"/>
        <w:jc w:val="both"/>
        <w:rPr>
          <w:rFonts w:ascii="宋体" w:hAnsi="宋体" w:eastAsia="宋体" w:cs="宋体"/>
          <w:sz w:val="24"/>
          <w:szCs w:val="24"/>
        </w:rPr>
      </w:pPr>
      <w:bookmarkStart w:id="41" w:name="_Toc82681618"/>
      <w:bookmarkStart w:id="42" w:name="_Toc82681440"/>
      <w:bookmarkStart w:id="43" w:name="_Toc24544522"/>
      <w:r>
        <w:rPr>
          <w:rFonts w:hint="eastAsia" w:ascii="宋体" w:hAnsi="宋体" w:eastAsia="宋体" w:cs="宋体"/>
          <w:sz w:val="24"/>
          <w:szCs w:val="24"/>
        </w:rPr>
        <w:t>1.11质量检查</w:t>
      </w:r>
      <w:bookmarkEnd w:id="41"/>
      <w:bookmarkEnd w:id="42"/>
      <w:bookmarkEnd w:id="43"/>
    </w:p>
    <w:p>
      <w:pPr>
        <w:widowControl/>
        <w:snapToGrid w:val="0"/>
        <w:spacing w:line="360" w:lineRule="auto"/>
        <w:ind w:firstLine="480"/>
        <w:jc w:val="left"/>
        <w:rPr>
          <w:sz w:val="24"/>
        </w:rPr>
      </w:pPr>
      <w:r>
        <w:rPr>
          <w:rFonts w:hint="eastAsia"/>
          <w:sz w:val="24"/>
        </w:rPr>
        <w:t>（</w:t>
      </w:r>
      <w:r>
        <w:rPr>
          <w:sz w:val="24"/>
        </w:rPr>
        <w:t>1</w:t>
      </w:r>
      <w:r>
        <w:rPr>
          <w:rFonts w:hint="eastAsia"/>
          <w:sz w:val="24"/>
        </w:rPr>
        <w:t>）案卷质量检查</w:t>
      </w:r>
    </w:p>
    <w:p>
      <w:pPr>
        <w:widowControl/>
        <w:snapToGrid w:val="0"/>
        <w:spacing w:line="360" w:lineRule="auto"/>
        <w:ind w:firstLine="480"/>
        <w:jc w:val="left"/>
        <w:rPr>
          <w:sz w:val="24"/>
        </w:rPr>
      </w:pPr>
      <w:r>
        <w:rPr>
          <w:rFonts w:hint="eastAsia"/>
          <w:sz w:val="24"/>
        </w:rPr>
        <w:t>检查所有档案的案卷材料是否齐全、完整，卷内文件排列顺序是否有条理，文件号码编写是否正确，卷内文件目录填写是否正确，案卷装订是否完整、美观等。</w:t>
      </w:r>
    </w:p>
    <w:p>
      <w:pPr>
        <w:widowControl/>
        <w:snapToGrid w:val="0"/>
        <w:spacing w:line="360" w:lineRule="auto"/>
        <w:ind w:firstLine="480"/>
        <w:jc w:val="left"/>
        <w:rPr>
          <w:sz w:val="24"/>
        </w:rPr>
      </w:pPr>
      <w:r>
        <w:rPr>
          <w:rFonts w:hint="eastAsia"/>
          <w:sz w:val="24"/>
        </w:rPr>
        <w:t>（</w:t>
      </w:r>
      <w:r>
        <w:rPr>
          <w:sz w:val="24"/>
        </w:rPr>
        <w:t>2</w:t>
      </w:r>
      <w:r>
        <w:rPr>
          <w:rFonts w:hint="eastAsia"/>
          <w:sz w:val="24"/>
        </w:rPr>
        <w:t>）扫描质量检查</w:t>
      </w:r>
    </w:p>
    <w:p>
      <w:pPr>
        <w:widowControl/>
        <w:snapToGrid w:val="0"/>
        <w:spacing w:line="360" w:lineRule="auto"/>
        <w:ind w:firstLine="480"/>
        <w:jc w:val="left"/>
        <w:rPr>
          <w:sz w:val="24"/>
        </w:rPr>
      </w:pPr>
      <w:r>
        <w:rPr>
          <w:rFonts w:hint="eastAsia"/>
          <w:sz w:val="24"/>
        </w:rPr>
        <w:t>检查所有扫描图像的偏斜度、清晰度、亮度是否符合要求，图像的分辨率是否满足要求，图像文件是否完整等。</w:t>
      </w:r>
    </w:p>
    <w:p>
      <w:pPr>
        <w:widowControl/>
        <w:snapToGrid w:val="0"/>
        <w:spacing w:line="360" w:lineRule="auto"/>
        <w:ind w:firstLine="480"/>
        <w:jc w:val="left"/>
        <w:rPr>
          <w:sz w:val="24"/>
        </w:rPr>
      </w:pPr>
      <w:r>
        <w:rPr>
          <w:rFonts w:hint="eastAsia"/>
          <w:sz w:val="24"/>
        </w:rPr>
        <w:t>（</w:t>
      </w:r>
      <w:r>
        <w:rPr>
          <w:sz w:val="24"/>
        </w:rPr>
        <w:t>3</w:t>
      </w:r>
      <w:r>
        <w:rPr>
          <w:rFonts w:hint="eastAsia"/>
          <w:sz w:val="24"/>
        </w:rPr>
        <w:t>）著录质量检查</w:t>
      </w:r>
    </w:p>
    <w:p>
      <w:pPr>
        <w:widowControl/>
        <w:snapToGrid w:val="0"/>
        <w:spacing w:line="360" w:lineRule="auto"/>
        <w:ind w:firstLine="480"/>
        <w:jc w:val="left"/>
        <w:rPr>
          <w:sz w:val="24"/>
        </w:rPr>
      </w:pPr>
      <w:r>
        <w:rPr>
          <w:rFonts w:hint="eastAsia"/>
          <w:sz w:val="24"/>
        </w:rPr>
        <w:t>检查著录的目录信息是否满足档案管理软件要求，与纸质档案材料的信息是否一致等。</w:t>
      </w:r>
    </w:p>
    <w:p>
      <w:pPr>
        <w:widowControl/>
        <w:snapToGrid w:val="0"/>
        <w:spacing w:line="360" w:lineRule="auto"/>
        <w:ind w:firstLine="480"/>
        <w:jc w:val="left"/>
        <w:rPr>
          <w:sz w:val="24"/>
        </w:rPr>
      </w:pPr>
      <w:r>
        <w:rPr>
          <w:rFonts w:hint="eastAsia"/>
          <w:sz w:val="24"/>
        </w:rPr>
        <w:t>（</w:t>
      </w:r>
      <w:r>
        <w:rPr>
          <w:sz w:val="24"/>
        </w:rPr>
        <w:t>4</w:t>
      </w:r>
      <w:r>
        <w:rPr>
          <w:rFonts w:hint="eastAsia"/>
          <w:sz w:val="24"/>
        </w:rPr>
        <w:t>）挂接质量检查</w:t>
      </w:r>
    </w:p>
    <w:p>
      <w:pPr>
        <w:widowControl/>
        <w:snapToGrid w:val="0"/>
        <w:spacing w:line="360" w:lineRule="auto"/>
        <w:ind w:firstLine="480"/>
        <w:jc w:val="left"/>
        <w:rPr>
          <w:sz w:val="24"/>
        </w:rPr>
      </w:pPr>
      <w:r>
        <w:rPr>
          <w:rFonts w:hint="eastAsia"/>
          <w:sz w:val="24"/>
        </w:rPr>
        <w:t>检查档案系统中的目录数据是否与挂接的图像数据相对应，挂接的图像数据是否齐全、完整等。</w:t>
      </w:r>
    </w:p>
    <w:p>
      <w:pPr>
        <w:pStyle w:val="2"/>
        <w:spacing w:before="156" w:after="156"/>
        <w:jc w:val="both"/>
        <w:rPr>
          <w:rFonts w:ascii="宋体" w:hAnsi="宋体" w:eastAsia="宋体" w:cs="宋体"/>
          <w:sz w:val="24"/>
          <w:szCs w:val="24"/>
        </w:rPr>
      </w:pPr>
      <w:bookmarkStart w:id="44" w:name="_Toc82681619"/>
      <w:bookmarkStart w:id="45" w:name="_Toc82681441"/>
      <w:r>
        <w:rPr>
          <w:rFonts w:hint="eastAsia" w:ascii="宋体" w:hAnsi="宋体" w:eastAsia="宋体" w:cs="宋体"/>
          <w:sz w:val="24"/>
          <w:szCs w:val="24"/>
        </w:rPr>
        <w:t>1.12装订、装盒、上架</w:t>
      </w:r>
      <w:bookmarkEnd w:id="44"/>
      <w:bookmarkEnd w:id="45"/>
    </w:p>
    <w:p>
      <w:pPr>
        <w:widowControl/>
        <w:snapToGrid w:val="0"/>
        <w:spacing w:line="360" w:lineRule="auto"/>
        <w:ind w:firstLine="480"/>
        <w:jc w:val="left"/>
        <w:rPr>
          <w:sz w:val="24"/>
        </w:rPr>
      </w:pPr>
      <w:r>
        <w:rPr>
          <w:rFonts w:hint="eastAsia"/>
          <w:sz w:val="24"/>
        </w:rPr>
        <w:t>扫描工作完成后，拆除过装订物的档案按保管要求重新装订。恢复装订时，注意保持档案的排列顺序不变，做到安全、准确、无遗漏。</w:t>
      </w:r>
    </w:p>
    <w:p>
      <w:pPr>
        <w:widowControl/>
        <w:snapToGrid w:val="0"/>
        <w:spacing w:line="360" w:lineRule="auto"/>
        <w:ind w:firstLine="480"/>
        <w:jc w:val="left"/>
        <w:rPr>
          <w:sz w:val="24"/>
        </w:rPr>
      </w:pPr>
      <w:r>
        <w:rPr>
          <w:rFonts w:hint="eastAsia"/>
          <w:sz w:val="24"/>
        </w:rPr>
        <w:t>装订不能损害档案原件。装订时按原有顺序装订，案卷不掉页、左边和底边整齐，保持拆卷前的原貌；装订后由甲方负责检查，不符合要求的退回重新装订，要求一次性完成装订。</w:t>
      </w:r>
    </w:p>
    <w:p>
      <w:pPr>
        <w:widowControl/>
        <w:snapToGrid w:val="0"/>
        <w:spacing w:line="360" w:lineRule="auto"/>
        <w:ind w:firstLine="480"/>
        <w:jc w:val="left"/>
      </w:pPr>
      <w:r>
        <w:rPr>
          <w:rFonts w:hint="eastAsia"/>
          <w:sz w:val="24"/>
        </w:rPr>
        <w:t>根据档案类型进行装盒，并对盒脊内容进行填写或盖章。装盒完毕按要求对档案进行上架。</w:t>
      </w:r>
    </w:p>
    <w:p>
      <w:pPr>
        <w:pStyle w:val="2"/>
        <w:spacing w:before="156" w:after="156"/>
        <w:jc w:val="both"/>
        <w:rPr>
          <w:rFonts w:ascii="宋体" w:hAnsi="宋体" w:eastAsia="宋体" w:cs="宋体"/>
          <w:sz w:val="24"/>
          <w:szCs w:val="24"/>
        </w:rPr>
      </w:pPr>
      <w:bookmarkStart w:id="46" w:name="_Toc82681442"/>
      <w:bookmarkStart w:id="47" w:name="_Toc82681620"/>
      <w:r>
        <w:rPr>
          <w:rFonts w:hint="eastAsia" w:ascii="宋体" w:hAnsi="宋体" w:eastAsia="宋体" w:cs="宋体"/>
          <w:sz w:val="24"/>
          <w:szCs w:val="24"/>
        </w:rPr>
        <w:t>1.13挂接</w:t>
      </w:r>
      <w:bookmarkEnd w:id="46"/>
      <w:bookmarkEnd w:id="47"/>
    </w:p>
    <w:p>
      <w:pPr>
        <w:widowControl/>
        <w:snapToGrid w:val="0"/>
        <w:spacing w:line="360" w:lineRule="auto"/>
        <w:ind w:firstLine="480"/>
        <w:jc w:val="left"/>
        <w:rPr>
          <w:sz w:val="24"/>
        </w:rPr>
      </w:pPr>
      <w:r>
        <w:rPr>
          <w:sz w:val="24"/>
        </w:rPr>
        <w:t>档案数字化过程中形成的目录数据库与图像数据库，通过质检环节确认为“合格”后，</w:t>
      </w:r>
      <w:r>
        <w:rPr>
          <w:rFonts w:hint="eastAsia"/>
          <w:sz w:val="24"/>
        </w:rPr>
        <w:t>在档案管理系统内导入所有著录目录，再进行批量原文挂接</w:t>
      </w:r>
      <w:r>
        <w:rPr>
          <w:sz w:val="24"/>
        </w:rPr>
        <w:t>。</w:t>
      </w:r>
    </w:p>
    <w:p>
      <w:bookmarkStart w:id="48" w:name="_GoBack"/>
      <w:bookmarkEnd w:id="4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181DD8"/>
    <w:multiLevelType w:val="singleLevel"/>
    <w:tmpl w:val="B7181DD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C4170C"/>
    <w:rsid w:val="011A1018"/>
    <w:rsid w:val="049A4A55"/>
    <w:rsid w:val="05953344"/>
    <w:rsid w:val="06941644"/>
    <w:rsid w:val="08C94D7E"/>
    <w:rsid w:val="09931B9B"/>
    <w:rsid w:val="09CB1B50"/>
    <w:rsid w:val="0C67651F"/>
    <w:rsid w:val="0C7769B1"/>
    <w:rsid w:val="0CD27DD0"/>
    <w:rsid w:val="0D327D47"/>
    <w:rsid w:val="0E0C4D72"/>
    <w:rsid w:val="102F5B58"/>
    <w:rsid w:val="10F35CAD"/>
    <w:rsid w:val="116E430A"/>
    <w:rsid w:val="13A54A35"/>
    <w:rsid w:val="150E01FB"/>
    <w:rsid w:val="15AC6972"/>
    <w:rsid w:val="165F26BA"/>
    <w:rsid w:val="1763084B"/>
    <w:rsid w:val="179211F9"/>
    <w:rsid w:val="17B83439"/>
    <w:rsid w:val="18246CDC"/>
    <w:rsid w:val="18DF315B"/>
    <w:rsid w:val="197B2572"/>
    <w:rsid w:val="19A3323D"/>
    <w:rsid w:val="1AE73298"/>
    <w:rsid w:val="1D8F5F82"/>
    <w:rsid w:val="1EE87B74"/>
    <w:rsid w:val="1F086E67"/>
    <w:rsid w:val="21543D43"/>
    <w:rsid w:val="23880757"/>
    <w:rsid w:val="24136F1C"/>
    <w:rsid w:val="24563730"/>
    <w:rsid w:val="24683673"/>
    <w:rsid w:val="24714C23"/>
    <w:rsid w:val="29EE078E"/>
    <w:rsid w:val="2A270231"/>
    <w:rsid w:val="2B2848DF"/>
    <w:rsid w:val="2B8E2E1C"/>
    <w:rsid w:val="2BDD46CA"/>
    <w:rsid w:val="2C5E0CCA"/>
    <w:rsid w:val="2C974F75"/>
    <w:rsid w:val="2E9D36FF"/>
    <w:rsid w:val="2F246FC1"/>
    <w:rsid w:val="338A5B68"/>
    <w:rsid w:val="345E6A96"/>
    <w:rsid w:val="35404AF0"/>
    <w:rsid w:val="3601350C"/>
    <w:rsid w:val="375A675F"/>
    <w:rsid w:val="38E857D3"/>
    <w:rsid w:val="3940268E"/>
    <w:rsid w:val="39713978"/>
    <w:rsid w:val="3ADB3720"/>
    <w:rsid w:val="3B4F5CDD"/>
    <w:rsid w:val="3B965C4B"/>
    <w:rsid w:val="3CEF6079"/>
    <w:rsid w:val="3D3A4C7A"/>
    <w:rsid w:val="3E285AEE"/>
    <w:rsid w:val="3E784772"/>
    <w:rsid w:val="3F4852D7"/>
    <w:rsid w:val="439F465E"/>
    <w:rsid w:val="46793AC5"/>
    <w:rsid w:val="470B0552"/>
    <w:rsid w:val="476244DE"/>
    <w:rsid w:val="48264416"/>
    <w:rsid w:val="485B5011"/>
    <w:rsid w:val="48A928A8"/>
    <w:rsid w:val="4C5F4B3F"/>
    <w:rsid w:val="4C6D4D09"/>
    <w:rsid w:val="4D186A5C"/>
    <w:rsid w:val="4E795F24"/>
    <w:rsid w:val="4F6C5EBB"/>
    <w:rsid w:val="4F7C3834"/>
    <w:rsid w:val="4F813FD6"/>
    <w:rsid w:val="500B1988"/>
    <w:rsid w:val="504D7188"/>
    <w:rsid w:val="50C54751"/>
    <w:rsid w:val="516B3592"/>
    <w:rsid w:val="53A66055"/>
    <w:rsid w:val="541D7D54"/>
    <w:rsid w:val="55C4170C"/>
    <w:rsid w:val="56F825E2"/>
    <w:rsid w:val="57BC2C74"/>
    <w:rsid w:val="57F802BF"/>
    <w:rsid w:val="591154B1"/>
    <w:rsid w:val="593D25B4"/>
    <w:rsid w:val="59A36D3B"/>
    <w:rsid w:val="5AA33C0B"/>
    <w:rsid w:val="5ABF3440"/>
    <w:rsid w:val="5B122706"/>
    <w:rsid w:val="5B6D0E4E"/>
    <w:rsid w:val="5C085911"/>
    <w:rsid w:val="5DFA501B"/>
    <w:rsid w:val="5F4A3AE3"/>
    <w:rsid w:val="603D06B9"/>
    <w:rsid w:val="60631F3F"/>
    <w:rsid w:val="610210B7"/>
    <w:rsid w:val="637241D1"/>
    <w:rsid w:val="65CF46B4"/>
    <w:rsid w:val="661D700A"/>
    <w:rsid w:val="67063AA0"/>
    <w:rsid w:val="67513D1B"/>
    <w:rsid w:val="67F41E21"/>
    <w:rsid w:val="6A533966"/>
    <w:rsid w:val="6BC319BE"/>
    <w:rsid w:val="6E304BA5"/>
    <w:rsid w:val="6EAF1A09"/>
    <w:rsid w:val="6FDF2955"/>
    <w:rsid w:val="716150FD"/>
    <w:rsid w:val="726928A9"/>
    <w:rsid w:val="72701969"/>
    <w:rsid w:val="7425575C"/>
    <w:rsid w:val="757B7232"/>
    <w:rsid w:val="75ED71B3"/>
    <w:rsid w:val="76E74341"/>
    <w:rsid w:val="77544DE7"/>
    <w:rsid w:val="788614BC"/>
    <w:rsid w:val="78BD6DA8"/>
    <w:rsid w:val="7922580C"/>
    <w:rsid w:val="798A64F0"/>
    <w:rsid w:val="7A2907CF"/>
    <w:rsid w:val="7A912A29"/>
    <w:rsid w:val="7B291870"/>
    <w:rsid w:val="7B975A12"/>
    <w:rsid w:val="7C4B1D34"/>
    <w:rsid w:val="7F4B0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3">
    <w:name w:val="heading 3"/>
    <w:basedOn w:val="1"/>
    <w:next w:val="1"/>
    <w:qFormat/>
    <w:uiPriority w:val="0"/>
    <w:pPr>
      <w:keepNext/>
      <w:keepLines/>
      <w:spacing w:before="260" w:after="260" w:line="416" w:lineRule="auto"/>
      <w:outlineLvl w:val="2"/>
    </w:pPr>
    <w:rPr>
      <w:b/>
      <w:sz w:val="32"/>
      <w:szCs w:val="20"/>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4">
    <w:name w:val="Date"/>
    <w:basedOn w:val="1"/>
    <w:next w:val="1"/>
    <w:qFormat/>
    <w:uiPriority w:val="0"/>
    <w:rPr>
      <w:sz w:val="24"/>
      <w:szCs w:val="20"/>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diagramColors" Target="diagrams/colors1.xml"/><Relationship Id="rId6" Type="http://schemas.openxmlformats.org/officeDocument/2006/relationships/diagramQuickStyle" Target="diagrams/quickStyle1.xml"/><Relationship Id="rId5" Type="http://schemas.openxmlformats.org/officeDocument/2006/relationships/diagramLayout" Target="diagrams/layout1.xml"/><Relationship Id="rId4" Type="http://schemas.openxmlformats.org/officeDocument/2006/relationships/diagramData" Target="diagrams/data1.xml"/><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3EB335B-E938-4FE2-AEA1-EA996BDAA4DD}" type="doc">
      <dgm:prSet loTypeId="urn:microsoft.com/office/officeart/2005/8/layout/bProcess4#1" loCatId="process" qsTypeId="urn:microsoft.com/office/officeart/2005/8/quickstyle/simple1#1" qsCatId="simple" csTypeId="urn:microsoft.com/office/officeart/2005/8/colors/accent1_2#1" csCatId="accent1" phldr="1"/>
      <dgm:spPr/>
      <dgm:t>
        <a:bodyPr/>
        <a:p>
          <a:endParaRPr lang="zh-CN" altLang="en-US"/>
        </a:p>
      </dgm:t>
    </dgm:pt>
    <dgm:pt modelId="{D21CC051-B5F2-44C5-A3C9-2D7E3A3C3C5C}">
      <dgm:prSet phldrT="[文本]"/>
      <dgm:spPr/>
      <dgm:t>
        <a:bodyPr/>
        <a:p>
          <a:r>
            <a:rPr lang="zh-CN" altLang="en-US"/>
            <a:t>资料收集与整理</a:t>
          </a:r>
        </a:p>
      </dgm:t>
    </dgm:pt>
    <dgm:pt modelId="{E80B9093-9BFD-43BF-96FC-3E5271CB3F4E}" cxnId="{DF7A4758-2700-40AC-B81F-90BEE101B1CC}" type="parTrans">
      <dgm:prSet/>
      <dgm:spPr/>
      <dgm:t>
        <a:bodyPr/>
        <a:p>
          <a:endParaRPr lang="zh-CN" altLang="en-US"/>
        </a:p>
      </dgm:t>
    </dgm:pt>
    <dgm:pt modelId="{63E8A627-3F46-4FE4-A63D-3F5489628AC8}" cxnId="{DF7A4758-2700-40AC-B81F-90BEE101B1CC}" type="sibTrans">
      <dgm:prSet/>
      <dgm:spPr/>
      <dgm:t>
        <a:bodyPr/>
        <a:p>
          <a:endParaRPr lang="zh-CN" altLang="en-US"/>
        </a:p>
      </dgm:t>
    </dgm:pt>
    <dgm:pt modelId="{91580B2D-BED8-4B48-88AB-C29B2FB308BB}">
      <dgm:prSet phldrT="[文本]"/>
      <dgm:spPr/>
      <dgm:t>
        <a:bodyPr/>
        <a:p>
          <a:r>
            <a:rPr lang="zh-CN" altLang="en-US"/>
            <a:t>资料归档与排序</a:t>
          </a:r>
        </a:p>
      </dgm:t>
    </dgm:pt>
    <dgm:pt modelId="{D5EDC9C5-FFC5-4CA5-9EA1-CE3F28F9E083}" cxnId="{A5A06A33-9DA3-4D5D-BFA5-B1DB655E7DE5}" type="parTrans">
      <dgm:prSet/>
      <dgm:spPr/>
      <dgm:t>
        <a:bodyPr/>
        <a:p>
          <a:endParaRPr lang="zh-CN" altLang="en-US"/>
        </a:p>
      </dgm:t>
    </dgm:pt>
    <dgm:pt modelId="{B659D9BB-BDCB-439D-85DE-88EBCB098C6B}" cxnId="{A5A06A33-9DA3-4D5D-BFA5-B1DB655E7DE5}" type="sibTrans">
      <dgm:prSet/>
      <dgm:spPr/>
      <dgm:t>
        <a:bodyPr/>
        <a:p>
          <a:endParaRPr lang="zh-CN" altLang="en-US"/>
        </a:p>
      </dgm:t>
    </dgm:pt>
    <dgm:pt modelId="{80C70157-3BEB-4087-B43A-2F24257D274F}">
      <dgm:prSet phldrT="[文本]"/>
      <dgm:spPr/>
      <dgm:t>
        <a:bodyPr/>
        <a:p>
          <a:r>
            <a:rPr lang="zh-CN" altLang="en-US"/>
            <a:t>编写档号及页码</a:t>
          </a:r>
        </a:p>
      </dgm:t>
    </dgm:pt>
    <dgm:pt modelId="{916FFFA7-F34D-41C0-8953-78CCFD9AFDFC}" cxnId="{B55CC57D-195F-4323-BE92-EF23B657DA4E}" type="parTrans">
      <dgm:prSet/>
      <dgm:spPr/>
      <dgm:t>
        <a:bodyPr/>
        <a:p>
          <a:endParaRPr lang="zh-CN" altLang="en-US"/>
        </a:p>
      </dgm:t>
    </dgm:pt>
    <dgm:pt modelId="{4B3129CB-60B3-4194-8EDD-9A641343BFB5}" cxnId="{B55CC57D-195F-4323-BE92-EF23B657DA4E}" type="sibTrans">
      <dgm:prSet/>
      <dgm:spPr/>
      <dgm:t>
        <a:bodyPr/>
        <a:p>
          <a:endParaRPr lang="zh-CN" altLang="en-US"/>
        </a:p>
      </dgm:t>
    </dgm:pt>
    <dgm:pt modelId="{ACF65E87-635C-442A-B480-5DDCF175DDC7}">
      <dgm:prSet phldrT="[文本]"/>
      <dgm:spPr/>
      <dgm:t>
        <a:bodyPr/>
        <a:p>
          <a:r>
            <a:rPr lang="zh-CN" altLang="en-US"/>
            <a:t>大图的整理及折叠</a:t>
          </a:r>
        </a:p>
      </dgm:t>
    </dgm:pt>
    <dgm:pt modelId="{FC7C131A-9E68-417E-AB51-C2CEA86E97A6}" cxnId="{0F2717D9-4420-495F-A634-89BF2CFDFD67}" type="parTrans">
      <dgm:prSet/>
      <dgm:spPr/>
      <dgm:t>
        <a:bodyPr/>
        <a:p>
          <a:endParaRPr lang="zh-CN" altLang="en-US"/>
        </a:p>
      </dgm:t>
    </dgm:pt>
    <dgm:pt modelId="{5229C205-474D-4CBD-8470-0589ADDC844C}" cxnId="{0F2717D9-4420-495F-A634-89BF2CFDFD67}" type="sibTrans">
      <dgm:prSet/>
      <dgm:spPr/>
      <dgm:t>
        <a:bodyPr/>
        <a:p>
          <a:endParaRPr lang="zh-CN" altLang="en-US"/>
        </a:p>
      </dgm:t>
    </dgm:pt>
    <dgm:pt modelId="{AC15209F-8811-41AD-A2B7-199A6C13FF9C}">
      <dgm:prSet phldrT="[文本]"/>
      <dgm:spPr/>
      <dgm:t>
        <a:bodyPr/>
        <a:p>
          <a:r>
            <a:rPr lang="zh-CN" b="1"/>
            <a:t>制作封皮及目录</a:t>
          </a:r>
          <a:endParaRPr lang="zh-CN" altLang="en-US"/>
        </a:p>
      </dgm:t>
    </dgm:pt>
    <dgm:pt modelId="{FA97B473-A5EB-4D73-95CC-CEC96C763DED}" cxnId="{283D9571-CCC5-4E3E-BF8E-B7C1C35D8FC1}" type="parTrans">
      <dgm:prSet/>
      <dgm:spPr/>
      <dgm:t>
        <a:bodyPr/>
        <a:p>
          <a:endParaRPr lang="zh-CN" altLang="en-US"/>
        </a:p>
      </dgm:t>
    </dgm:pt>
    <dgm:pt modelId="{06D8F6C2-D8B0-4411-91CF-FADECE7F83CE}" cxnId="{283D9571-CCC5-4E3E-BF8E-B7C1C35D8FC1}" type="sibTrans">
      <dgm:prSet/>
      <dgm:spPr/>
      <dgm:t>
        <a:bodyPr/>
        <a:p>
          <a:endParaRPr lang="zh-CN" altLang="en-US"/>
        </a:p>
      </dgm:t>
    </dgm:pt>
    <dgm:pt modelId="{5D1C20B5-2466-4C88-A438-67880FE9ABBE}">
      <dgm:prSet phldrT="[文本]"/>
      <dgm:spPr/>
      <dgm:t>
        <a:bodyPr/>
        <a:p>
          <a:r>
            <a:rPr lang="zh-CN" altLang="en-US"/>
            <a:t>拆卷</a:t>
          </a:r>
        </a:p>
      </dgm:t>
    </dgm:pt>
    <dgm:pt modelId="{E57A38A1-C4C2-44AB-8A3C-70ADB70F408C}" cxnId="{69E9826A-CB87-412C-8529-10210D95571C}" type="parTrans">
      <dgm:prSet/>
      <dgm:spPr/>
      <dgm:t>
        <a:bodyPr/>
        <a:p>
          <a:endParaRPr lang="zh-CN" altLang="en-US"/>
        </a:p>
      </dgm:t>
    </dgm:pt>
    <dgm:pt modelId="{E4DE8AFA-EA07-4670-9B89-B457CE7AA510}" cxnId="{69E9826A-CB87-412C-8529-10210D95571C}" type="sibTrans">
      <dgm:prSet/>
      <dgm:spPr/>
      <dgm:t>
        <a:bodyPr/>
        <a:p>
          <a:endParaRPr lang="zh-CN" altLang="en-US"/>
        </a:p>
      </dgm:t>
    </dgm:pt>
    <dgm:pt modelId="{33DF738A-33C2-446A-A5D0-7810E2679C43}">
      <dgm:prSet phldrT="[文本]"/>
      <dgm:spPr/>
      <dgm:t>
        <a:bodyPr/>
        <a:p>
          <a:r>
            <a:rPr lang="zh-CN" altLang="en-US"/>
            <a:t>扫描</a:t>
          </a:r>
        </a:p>
      </dgm:t>
    </dgm:pt>
    <dgm:pt modelId="{DAC15337-8292-4E3E-89D1-FE8B3C42663B}" cxnId="{DDBC200C-9338-4776-A1C4-76943087838F}" type="parTrans">
      <dgm:prSet/>
      <dgm:spPr/>
      <dgm:t>
        <a:bodyPr/>
        <a:p>
          <a:endParaRPr lang="zh-CN" altLang="en-US"/>
        </a:p>
      </dgm:t>
    </dgm:pt>
    <dgm:pt modelId="{A7142570-A6F3-4B80-ADF7-83AC2E70A95D}" cxnId="{DDBC200C-9338-4776-A1C4-76943087838F}" type="sibTrans">
      <dgm:prSet/>
      <dgm:spPr/>
      <dgm:t>
        <a:bodyPr/>
        <a:p>
          <a:endParaRPr lang="zh-CN" altLang="en-US"/>
        </a:p>
      </dgm:t>
    </dgm:pt>
    <dgm:pt modelId="{B2822FEC-1B2A-4455-89FD-3DDCD0EA1BD2}">
      <dgm:prSet phldrT="[文本]"/>
      <dgm:spPr/>
      <dgm:t>
        <a:bodyPr/>
        <a:p>
          <a:r>
            <a:rPr lang="zh-CN" altLang="en-US"/>
            <a:t>图像优化</a:t>
          </a:r>
        </a:p>
      </dgm:t>
    </dgm:pt>
    <dgm:pt modelId="{BA8EC2BE-6F10-4FEA-A6BE-00CE4F6CECCE}" cxnId="{1ECD7333-A862-4F03-9B0B-3A8126237EFD}" type="parTrans">
      <dgm:prSet/>
      <dgm:spPr/>
      <dgm:t>
        <a:bodyPr/>
        <a:p>
          <a:endParaRPr lang="zh-CN" altLang="en-US"/>
        </a:p>
      </dgm:t>
    </dgm:pt>
    <dgm:pt modelId="{36BEA292-09C3-45E6-8587-F8ADC74096D2}" cxnId="{1ECD7333-A862-4F03-9B0B-3A8126237EFD}" type="sibTrans">
      <dgm:prSet/>
      <dgm:spPr/>
      <dgm:t>
        <a:bodyPr/>
        <a:p>
          <a:endParaRPr lang="zh-CN" altLang="en-US"/>
        </a:p>
      </dgm:t>
    </dgm:pt>
    <dgm:pt modelId="{658A4B72-102E-4222-A17A-4F0EB892F37D}">
      <dgm:prSet phldrT="[文本]"/>
      <dgm:spPr/>
      <dgm:t>
        <a:bodyPr/>
        <a:p>
          <a:r>
            <a:rPr lang="zh-CN" altLang="en-US"/>
            <a:t>档案目录著录</a:t>
          </a:r>
        </a:p>
      </dgm:t>
    </dgm:pt>
    <dgm:pt modelId="{3EFBE433-021F-47D6-A9DB-5EC3E506DE2A}" cxnId="{8E67FEF6-D215-4992-9790-0D4B2E622478}" type="parTrans">
      <dgm:prSet/>
      <dgm:spPr/>
      <dgm:t>
        <a:bodyPr/>
        <a:p>
          <a:endParaRPr lang="zh-CN" altLang="en-US"/>
        </a:p>
      </dgm:t>
    </dgm:pt>
    <dgm:pt modelId="{CA6CF63C-EA05-419A-BC70-B826B9B36519}" cxnId="{8E67FEF6-D215-4992-9790-0D4B2E622478}" type="sibTrans">
      <dgm:prSet/>
      <dgm:spPr/>
      <dgm:t>
        <a:bodyPr/>
        <a:p>
          <a:endParaRPr lang="zh-CN" altLang="en-US"/>
        </a:p>
      </dgm:t>
    </dgm:pt>
    <dgm:pt modelId="{CE5F6F28-EBED-48A2-8C1C-BE031D5EC91D}">
      <dgm:prSet phldrT="[文本]"/>
      <dgm:spPr/>
      <dgm:t>
        <a:bodyPr/>
        <a:p>
          <a:r>
            <a:rPr lang="zh-CN" altLang="en-US"/>
            <a:t>挂接</a:t>
          </a:r>
        </a:p>
      </dgm:t>
    </dgm:pt>
    <dgm:pt modelId="{17A172A9-8480-47A5-BE96-E6B2F136A669}" cxnId="{B5FC58AD-A8F4-4F61-BB55-40CBB0286331}" type="parTrans">
      <dgm:prSet/>
      <dgm:spPr/>
      <dgm:t>
        <a:bodyPr/>
        <a:p>
          <a:endParaRPr lang="zh-CN" altLang="en-US"/>
        </a:p>
      </dgm:t>
    </dgm:pt>
    <dgm:pt modelId="{B525660C-08B1-4B98-B1F4-9740912FE6F8}" cxnId="{B5FC58AD-A8F4-4F61-BB55-40CBB0286331}" type="sibTrans">
      <dgm:prSet/>
      <dgm:spPr/>
      <dgm:t>
        <a:bodyPr/>
        <a:p>
          <a:endParaRPr lang="zh-CN" altLang="en-US"/>
        </a:p>
      </dgm:t>
    </dgm:pt>
    <dgm:pt modelId="{9678C2F0-6910-4A5A-B8A5-9E416B4ED2FF}">
      <dgm:prSet phldrT="[文本]"/>
      <dgm:spPr/>
      <dgm:t>
        <a:bodyPr/>
        <a:p>
          <a:r>
            <a:rPr lang="zh-CN" altLang="en-US"/>
            <a:t>装订、装盒及上架</a:t>
          </a:r>
        </a:p>
      </dgm:t>
    </dgm:pt>
    <dgm:pt modelId="{8036FE53-6D60-4E88-B29B-ED11B7EAE09A}" cxnId="{2CCE08D5-04F2-4A1A-8824-74032DDA2C7C}" type="sibTrans">
      <dgm:prSet/>
      <dgm:spPr/>
      <dgm:t>
        <a:bodyPr/>
        <a:p>
          <a:endParaRPr lang="zh-CN" altLang="en-US"/>
        </a:p>
      </dgm:t>
    </dgm:pt>
    <dgm:pt modelId="{2D8D507E-4870-497D-881B-E0D4C567E55C}" cxnId="{2CCE08D5-04F2-4A1A-8824-74032DDA2C7C}" type="parTrans">
      <dgm:prSet/>
      <dgm:spPr/>
      <dgm:t>
        <a:bodyPr/>
        <a:p>
          <a:endParaRPr lang="zh-CN" altLang="en-US"/>
        </a:p>
      </dgm:t>
    </dgm:pt>
    <dgm:pt modelId="{B8198435-6DE0-4469-BCE9-B489B439CD50}">
      <dgm:prSet phldrT="[文本]"/>
      <dgm:spPr/>
      <dgm:t>
        <a:bodyPr/>
        <a:p>
          <a:r>
            <a:rPr lang="zh-CN" altLang="en-US"/>
            <a:t>质量检查</a:t>
          </a:r>
        </a:p>
      </dgm:t>
    </dgm:pt>
    <dgm:pt modelId="{81CAAED2-D1B4-47F4-9F3B-69983FC8CA54}" cxnId="{0528C979-3DAA-4130-BD6C-BD571BE74E81}" type="sibTrans">
      <dgm:prSet/>
      <dgm:spPr/>
      <dgm:t>
        <a:bodyPr/>
        <a:p>
          <a:endParaRPr lang="zh-CN" altLang="en-US"/>
        </a:p>
      </dgm:t>
    </dgm:pt>
    <dgm:pt modelId="{2B174877-53ED-444C-93D2-FC0FC446991E}" cxnId="{0528C979-3DAA-4130-BD6C-BD571BE74E81}" type="parTrans">
      <dgm:prSet/>
      <dgm:spPr/>
      <dgm:t>
        <a:bodyPr/>
        <a:p>
          <a:endParaRPr lang="zh-CN" altLang="en-US"/>
        </a:p>
      </dgm:t>
    </dgm:pt>
    <dgm:pt modelId="{F2581C4A-DE4E-48E1-8CA3-C30DAF5ACEE0}" type="pres">
      <dgm:prSet presAssocID="{33EB335B-E938-4FE2-AEA1-EA996BDAA4DD}" presName="Name0" presStyleCnt="0">
        <dgm:presLayoutVars>
          <dgm:dir/>
          <dgm:resizeHandles/>
        </dgm:presLayoutVars>
      </dgm:prSet>
      <dgm:spPr/>
    </dgm:pt>
    <dgm:pt modelId="{8760A9DC-1A50-4D26-906A-FB433F94BCEA}" type="pres">
      <dgm:prSet presAssocID="{D21CC051-B5F2-44C5-A3C9-2D7E3A3C3C5C}" presName="compNode" presStyleCnt="0"/>
      <dgm:spPr/>
    </dgm:pt>
    <dgm:pt modelId="{BC8D9E04-275C-4301-8358-3D5FEF2CB3AB}" type="pres">
      <dgm:prSet presAssocID="{D21CC051-B5F2-44C5-A3C9-2D7E3A3C3C5C}" presName="dummyConnPt" presStyleCnt="0"/>
      <dgm:spPr/>
    </dgm:pt>
    <dgm:pt modelId="{EC64ECFE-16C4-452E-84C8-BD53D7C4A065}" type="pres">
      <dgm:prSet presAssocID="{D21CC051-B5F2-44C5-A3C9-2D7E3A3C3C5C}" presName="node" presStyleLbl="node1" presStyleIdx="0" presStyleCnt="12">
        <dgm:presLayoutVars>
          <dgm:bulletEnabled val="1"/>
        </dgm:presLayoutVars>
      </dgm:prSet>
      <dgm:spPr/>
    </dgm:pt>
    <dgm:pt modelId="{586ED892-1209-45E8-90A0-34AAE18B7051}" type="pres">
      <dgm:prSet presAssocID="{63E8A627-3F46-4FE4-A63D-3F5489628AC8}" presName="sibTrans" presStyleLbl="bgSibTrans2D1" presStyleIdx="0" presStyleCnt="11"/>
      <dgm:spPr/>
    </dgm:pt>
    <dgm:pt modelId="{9A0A3CF3-D504-4FFB-8EB3-87B26536BFDF}" type="pres">
      <dgm:prSet presAssocID="{91580B2D-BED8-4B48-88AB-C29B2FB308BB}" presName="compNode" presStyleCnt="0"/>
      <dgm:spPr/>
    </dgm:pt>
    <dgm:pt modelId="{0546A935-AF2B-4E60-B1F6-ABFE3FE07A36}" type="pres">
      <dgm:prSet presAssocID="{91580B2D-BED8-4B48-88AB-C29B2FB308BB}" presName="dummyConnPt" presStyleCnt="0"/>
      <dgm:spPr/>
    </dgm:pt>
    <dgm:pt modelId="{8E03B24D-15CA-40D3-8CCF-C3FDDEBF3181}" type="pres">
      <dgm:prSet presAssocID="{91580B2D-BED8-4B48-88AB-C29B2FB308BB}" presName="node" presStyleLbl="node1" presStyleIdx="1" presStyleCnt="12">
        <dgm:presLayoutVars>
          <dgm:bulletEnabled val="1"/>
        </dgm:presLayoutVars>
      </dgm:prSet>
      <dgm:spPr/>
    </dgm:pt>
    <dgm:pt modelId="{01C3EA81-7E05-420B-959A-DAF8D22B0460}" type="pres">
      <dgm:prSet presAssocID="{B659D9BB-BDCB-439D-85DE-88EBCB098C6B}" presName="sibTrans" presStyleLbl="bgSibTrans2D1" presStyleIdx="1" presStyleCnt="11"/>
      <dgm:spPr/>
    </dgm:pt>
    <dgm:pt modelId="{099A5837-9CB9-4836-8893-F8A0E6BA63A2}" type="pres">
      <dgm:prSet presAssocID="{80C70157-3BEB-4087-B43A-2F24257D274F}" presName="compNode" presStyleCnt="0"/>
      <dgm:spPr/>
    </dgm:pt>
    <dgm:pt modelId="{D45DF0A0-E5A0-4A69-ACA3-FECDA2F743BA}" type="pres">
      <dgm:prSet presAssocID="{80C70157-3BEB-4087-B43A-2F24257D274F}" presName="dummyConnPt" presStyleCnt="0"/>
      <dgm:spPr/>
    </dgm:pt>
    <dgm:pt modelId="{69E72C99-35F4-44B4-A30E-A85720CC20A1}" type="pres">
      <dgm:prSet presAssocID="{80C70157-3BEB-4087-B43A-2F24257D274F}" presName="node" presStyleLbl="node1" presStyleIdx="2" presStyleCnt="12">
        <dgm:presLayoutVars>
          <dgm:bulletEnabled val="1"/>
        </dgm:presLayoutVars>
      </dgm:prSet>
      <dgm:spPr/>
    </dgm:pt>
    <dgm:pt modelId="{A48E03E1-B6AA-4FC6-93B3-3189E886B168}" type="pres">
      <dgm:prSet presAssocID="{4B3129CB-60B3-4194-8EDD-9A641343BFB5}" presName="sibTrans" presStyleLbl="bgSibTrans2D1" presStyleIdx="2" presStyleCnt="11"/>
      <dgm:spPr/>
    </dgm:pt>
    <dgm:pt modelId="{03FD961D-3C50-411C-97AA-C838BE5A4AFA}" type="pres">
      <dgm:prSet presAssocID="{ACF65E87-635C-442A-B480-5DDCF175DDC7}" presName="compNode" presStyleCnt="0"/>
      <dgm:spPr/>
    </dgm:pt>
    <dgm:pt modelId="{2B403CF6-4193-4B04-A801-87151AA9DF9E}" type="pres">
      <dgm:prSet presAssocID="{ACF65E87-635C-442A-B480-5DDCF175DDC7}" presName="dummyConnPt" presStyleCnt="0"/>
      <dgm:spPr/>
    </dgm:pt>
    <dgm:pt modelId="{35519037-1883-408F-B348-60D79869E06A}" type="pres">
      <dgm:prSet presAssocID="{ACF65E87-635C-442A-B480-5DDCF175DDC7}" presName="node" presStyleLbl="node1" presStyleIdx="3" presStyleCnt="12">
        <dgm:presLayoutVars>
          <dgm:bulletEnabled val="1"/>
        </dgm:presLayoutVars>
      </dgm:prSet>
      <dgm:spPr/>
    </dgm:pt>
    <dgm:pt modelId="{33F281C8-1D0C-414F-B544-636FFF418A1C}" type="pres">
      <dgm:prSet presAssocID="{5229C205-474D-4CBD-8470-0589ADDC844C}" presName="sibTrans" presStyleLbl="bgSibTrans2D1" presStyleIdx="3" presStyleCnt="11"/>
      <dgm:spPr/>
    </dgm:pt>
    <dgm:pt modelId="{AE469677-DF81-4662-98AA-E9875417A5E9}" type="pres">
      <dgm:prSet presAssocID="{AC15209F-8811-41AD-A2B7-199A6C13FF9C}" presName="compNode" presStyleCnt="0"/>
      <dgm:spPr/>
    </dgm:pt>
    <dgm:pt modelId="{1CB4395B-9653-480C-B1C3-EB4B9A097CC0}" type="pres">
      <dgm:prSet presAssocID="{AC15209F-8811-41AD-A2B7-199A6C13FF9C}" presName="dummyConnPt" presStyleCnt="0"/>
      <dgm:spPr/>
    </dgm:pt>
    <dgm:pt modelId="{004B718A-F0FA-4479-837D-093908D83F23}" type="pres">
      <dgm:prSet presAssocID="{AC15209F-8811-41AD-A2B7-199A6C13FF9C}" presName="node" presStyleLbl="node1" presStyleIdx="4" presStyleCnt="12">
        <dgm:presLayoutVars>
          <dgm:bulletEnabled val="1"/>
        </dgm:presLayoutVars>
      </dgm:prSet>
      <dgm:spPr/>
    </dgm:pt>
    <dgm:pt modelId="{EDF24DBF-4D85-49A0-ADE9-0B4FB8FBDB3F}" type="pres">
      <dgm:prSet presAssocID="{06D8F6C2-D8B0-4411-91CF-FADECE7F83CE}" presName="sibTrans" presStyleLbl="bgSibTrans2D1" presStyleIdx="4" presStyleCnt="11"/>
      <dgm:spPr/>
    </dgm:pt>
    <dgm:pt modelId="{34C3DF01-2069-4619-999B-9758A9D70164}" type="pres">
      <dgm:prSet presAssocID="{5D1C20B5-2466-4C88-A438-67880FE9ABBE}" presName="compNode" presStyleCnt="0"/>
      <dgm:spPr/>
    </dgm:pt>
    <dgm:pt modelId="{6BD53E87-C252-4B02-90BC-FFFB838F2086}" type="pres">
      <dgm:prSet presAssocID="{5D1C20B5-2466-4C88-A438-67880FE9ABBE}" presName="dummyConnPt" presStyleCnt="0"/>
      <dgm:spPr/>
    </dgm:pt>
    <dgm:pt modelId="{77873D7C-F2B5-4FBF-9105-3E6DD8B93906}" type="pres">
      <dgm:prSet presAssocID="{5D1C20B5-2466-4C88-A438-67880FE9ABBE}" presName="node" presStyleLbl="node1" presStyleIdx="5" presStyleCnt="12" custLinFactNeighborX="1478" custLinFactNeighborY="821">
        <dgm:presLayoutVars>
          <dgm:bulletEnabled val="1"/>
        </dgm:presLayoutVars>
      </dgm:prSet>
      <dgm:spPr/>
    </dgm:pt>
    <dgm:pt modelId="{917DE057-0309-4E75-AB55-FAB41745672D}" type="pres">
      <dgm:prSet presAssocID="{E4DE8AFA-EA07-4670-9B89-B457CE7AA510}" presName="sibTrans" presStyleLbl="bgSibTrans2D1" presStyleIdx="5" presStyleCnt="11"/>
      <dgm:spPr/>
    </dgm:pt>
    <dgm:pt modelId="{97C22F09-66FE-4EB2-9294-E1F37D33A5D3}" type="pres">
      <dgm:prSet presAssocID="{33DF738A-33C2-446A-A5D0-7810E2679C43}" presName="compNode" presStyleCnt="0"/>
      <dgm:spPr/>
    </dgm:pt>
    <dgm:pt modelId="{662E8EA6-40D4-4DF3-B10D-1E4F59DA6F22}" type="pres">
      <dgm:prSet presAssocID="{33DF738A-33C2-446A-A5D0-7810E2679C43}" presName="dummyConnPt" presStyleCnt="0"/>
      <dgm:spPr/>
    </dgm:pt>
    <dgm:pt modelId="{05828FCF-3A27-4580-A96C-42598D297D07}" type="pres">
      <dgm:prSet presAssocID="{33DF738A-33C2-446A-A5D0-7810E2679C43}" presName="node" presStyleLbl="node1" presStyleIdx="6" presStyleCnt="12">
        <dgm:presLayoutVars>
          <dgm:bulletEnabled val="1"/>
        </dgm:presLayoutVars>
      </dgm:prSet>
      <dgm:spPr/>
    </dgm:pt>
    <dgm:pt modelId="{E75E5083-6113-4816-8A75-D82851B49DBA}" type="pres">
      <dgm:prSet presAssocID="{A7142570-A6F3-4B80-ADF7-83AC2E70A95D}" presName="sibTrans" presStyleLbl="bgSibTrans2D1" presStyleIdx="6" presStyleCnt="11"/>
      <dgm:spPr/>
    </dgm:pt>
    <dgm:pt modelId="{71707DCB-FD65-4EB0-9903-D41174CF5EBA}" type="pres">
      <dgm:prSet presAssocID="{B2822FEC-1B2A-4455-89FD-3DDCD0EA1BD2}" presName="compNode" presStyleCnt="0"/>
      <dgm:spPr/>
    </dgm:pt>
    <dgm:pt modelId="{1961A7F6-FE41-4BAE-8565-D6D6F59FC230}" type="pres">
      <dgm:prSet presAssocID="{B2822FEC-1B2A-4455-89FD-3DDCD0EA1BD2}" presName="dummyConnPt" presStyleCnt="0"/>
      <dgm:spPr/>
    </dgm:pt>
    <dgm:pt modelId="{02D47DB8-8175-4FFB-8EA2-DEAF90D1483A}" type="pres">
      <dgm:prSet presAssocID="{B2822FEC-1B2A-4455-89FD-3DDCD0EA1BD2}" presName="node" presStyleLbl="node1" presStyleIdx="7" presStyleCnt="12">
        <dgm:presLayoutVars>
          <dgm:bulletEnabled val="1"/>
        </dgm:presLayoutVars>
      </dgm:prSet>
      <dgm:spPr/>
    </dgm:pt>
    <dgm:pt modelId="{FCE586A2-A062-4662-B189-96C2AA5D8E99}" type="pres">
      <dgm:prSet presAssocID="{36BEA292-09C3-45E6-8587-F8ADC74096D2}" presName="sibTrans" presStyleLbl="bgSibTrans2D1" presStyleIdx="7" presStyleCnt="11"/>
      <dgm:spPr/>
    </dgm:pt>
    <dgm:pt modelId="{68336A53-859C-4E95-8DF1-35DC02CF48F4}" type="pres">
      <dgm:prSet presAssocID="{658A4B72-102E-4222-A17A-4F0EB892F37D}" presName="compNode" presStyleCnt="0"/>
      <dgm:spPr/>
    </dgm:pt>
    <dgm:pt modelId="{6BBB5254-0A56-4D18-BC87-9ABF3D505B80}" type="pres">
      <dgm:prSet presAssocID="{658A4B72-102E-4222-A17A-4F0EB892F37D}" presName="dummyConnPt" presStyleCnt="0"/>
      <dgm:spPr/>
    </dgm:pt>
    <dgm:pt modelId="{F0656B72-E64F-422B-AAAA-C04E2924119B}" type="pres">
      <dgm:prSet presAssocID="{658A4B72-102E-4222-A17A-4F0EB892F37D}" presName="node" presStyleLbl="node1" presStyleIdx="8" presStyleCnt="12">
        <dgm:presLayoutVars>
          <dgm:bulletEnabled val="1"/>
        </dgm:presLayoutVars>
      </dgm:prSet>
      <dgm:spPr/>
    </dgm:pt>
    <dgm:pt modelId="{2A031930-0974-4F65-954B-44EBBECC0DAE}" type="pres">
      <dgm:prSet presAssocID="{CA6CF63C-EA05-419A-BC70-B826B9B36519}" presName="sibTrans" presStyleLbl="bgSibTrans2D1" presStyleIdx="8" presStyleCnt="11"/>
      <dgm:spPr/>
    </dgm:pt>
    <dgm:pt modelId="{14D7C8EC-F194-46DE-9671-56A9D361E0D6}" type="pres">
      <dgm:prSet presAssocID="{B8198435-6DE0-4469-BCE9-B489B439CD50}" presName="compNode" presStyleCnt="0"/>
      <dgm:spPr/>
    </dgm:pt>
    <dgm:pt modelId="{8A323A54-A41A-47E4-9CAD-591B679C9F59}" type="pres">
      <dgm:prSet presAssocID="{B8198435-6DE0-4469-BCE9-B489B439CD50}" presName="dummyConnPt" presStyleCnt="0"/>
      <dgm:spPr/>
    </dgm:pt>
    <dgm:pt modelId="{AFB4D210-8013-4FC4-9B7D-55E5A646E736}" type="pres">
      <dgm:prSet presAssocID="{B8198435-6DE0-4469-BCE9-B489B439CD50}" presName="node" presStyleLbl="node1" presStyleIdx="9" presStyleCnt="12">
        <dgm:presLayoutVars>
          <dgm:bulletEnabled val="1"/>
        </dgm:presLayoutVars>
      </dgm:prSet>
      <dgm:spPr/>
    </dgm:pt>
    <dgm:pt modelId="{82A73B24-0B5F-40E9-A274-3783C167E353}" type="pres">
      <dgm:prSet presAssocID="{81CAAED2-D1B4-47F4-9F3B-69983FC8CA54}" presName="sibTrans" presStyleLbl="bgSibTrans2D1" presStyleIdx="9" presStyleCnt="11"/>
      <dgm:spPr/>
    </dgm:pt>
    <dgm:pt modelId="{AAE2540C-F9DB-4E05-BB97-5C623DA9AABC}" type="pres">
      <dgm:prSet presAssocID="{9678C2F0-6910-4A5A-B8A5-9E416B4ED2FF}" presName="compNode" presStyleCnt="0"/>
      <dgm:spPr/>
    </dgm:pt>
    <dgm:pt modelId="{07FD65B0-1DDC-401D-940E-BCAC2D64B1BF}" type="pres">
      <dgm:prSet presAssocID="{9678C2F0-6910-4A5A-B8A5-9E416B4ED2FF}" presName="dummyConnPt" presStyleCnt="0"/>
      <dgm:spPr/>
    </dgm:pt>
    <dgm:pt modelId="{1D322184-0C54-4CD3-B9D8-A7C300EAC00B}" type="pres">
      <dgm:prSet presAssocID="{9678C2F0-6910-4A5A-B8A5-9E416B4ED2FF}" presName="node" presStyleLbl="node1" presStyleIdx="10" presStyleCnt="12">
        <dgm:presLayoutVars>
          <dgm:bulletEnabled val="1"/>
        </dgm:presLayoutVars>
      </dgm:prSet>
      <dgm:spPr/>
    </dgm:pt>
    <dgm:pt modelId="{5057CE94-A490-4353-8EF9-8B1F14CC2EB7}" type="pres">
      <dgm:prSet presAssocID="{8036FE53-6D60-4E88-B29B-ED11B7EAE09A}" presName="sibTrans" presStyleLbl="bgSibTrans2D1" presStyleIdx="10" presStyleCnt="11"/>
      <dgm:spPr/>
    </dgm:pt>
    <dgm:pt modelId="{325ABF7D-290A-45AD-A3A4-0714B61B020F}" type="pres">
      <dgm:prSet presAssocID="{CE5F6F28-EBED-48A2-8C1C-BE031D5EC91D}" presName="compNode" presStyleCnt="0"/>
      <dgm:spPr/>
    </dgm:pt>
    <dgm:pt modelId="{0A57732B-5275-4866-8C15-29D982B02B6F}" type="pres">
      <dgm:prSet presAssocID="{CE5F6F28-EBED-48A2-8C1C-BE031D5EC91D}" presName="dummyConnPt" presStyleCnt="0"/>
      <dgm:spPr/>
    </dgm:pt>
    <dgm:pt modelId="{499F0043-EB9A-4CDD-9207-7B6830F22CF4}" type="pres">
      <dgm:prSet presAssocID="{CE5F6F28-EBED-48A2-8C1C-BE031D5EC91D}" presName="node" presStyleLbl="node1" presStyleIdx="11" presStyleCnt="12">
        <dgm:presLayoutVars>
          <dgm:bulletEnabled val="1"/>
        </dgm:presLayoutVars>
      </dgm:prSet>
      <dgm:spPr/>
    </dgm:pt>
  </dgm:ptLst>
  <dgm:cxnLst>
    <dgm:cxn modelId="{DDBC200C-9338-4776-A1C4-76943087838F}" srcId="{33EB335B-E938-4FE2-AEA1-EA996BDAA4DD}" destId="{33DF738A-33C2-446A-A5D0-7810E2679C43}" srcOrd="6" destOrd="0" parTransId="{DAC15337-8292-4E3E-89D1-FE8B3C42663B}" sibTransId="{A7142570-A6F3-4B80-ADF7-83AC2E70A95D}"/>
    <dgm:cxn modelId="{0B382230-2CE0-416B-967E-E891483F433A}" type="presOf" srcId="{CA6CF63C-EA05-419A-BC70-B826B9B36519}" destId="{2A031930-0974-4F65-954B-44EBBECC0DAE}" srcOrd="0" destOrd="0" presId="urn:microsoft.com/office/officeart/2005/8/layout/bProcess4#1"/>
    <dgm:cxn modelId="{A5A06A33-9DA3-4D5D-BFA5-B1DB655E7DE5}" srcId="{33EB335B-E938-4FE2-AEA1-EA996BDAA4DD}" destId="{91580B2D-BED8-4B48-88AB-C29B2FB308BB}" srcOrd="1" destOrd="0" parTransId="{D5EDC9C5-FFC5-4CA5-9EA1-CE3F28F9E083}" sibTransId="{B659D9BB-BDCB-439D-85DE-88EBCB098C6B}"/>
    <dgm:cxn modelId="{1ECD7333-A862-4F03-9B0B-3A8126237EFD}" srcId="{33EB335B-E938-4FE2-AEA1-EA996BDAA4DD}" destId="{B2822FEC-1B2A-4455-89FD-3DDCD0EA1BD2}" srcOrd="7" destOrd="0" parTransId="{BA8EC2BE-6F10-4FEA-A6BE-00CE4F6CECCE}" sibTransId="{36BEA292-09C3-45E6-8587-F8ADC74096D2}"/>
    <dgm:cxn modelId="{A8E5443A-C270-4B4C-B0A2-523903D78807}" type="presOf" srcId="{658A4B72-102E-4222-A17A-4F0EB892F37D}" destId="{F0656B72-E64F-422B-AAAA-C04E2924119B}" srcOrd="0" destOrd="0" presId="urn:microsoft.com/office/officeart/2005/8/layout/bProcess4#1"/>
    <dgm:cxn modelId="{284BBE5E-8CB8-44F8-90CC-CFE736913206}" type="presOf" srcId="{5D1C20B5-2466-4C88-A438-67880FE9ABBE}" destId="{77873D7C-F2B5-4FBF-9105-3E6DD8B93906}" srcOrd="0" destOrd="0" presId="urn:microsoft.com/office/officeart/2005/8/layout/bProcess4#1"/>
    <dgm:cxn modelId="{0F7FB861-0731-4958-A59C-8EB807ADDFB8}" type="presOf" srcId="{ACF65E87-635C-442A-B480-5DDCF175DDC7}" destId="{35519037-1883-408F-B348-60D79869E06A}" srcOrd="0" destOrd="0" presId="urn:microsoft.com/office/officeart/2005/8/layout/bProcess4#1"/>
    <dgm:cxn modelId="{DDD92E62-2C39-405F-A696-94515899B603}" type="presOf" srcId="{AC15209F-8811-41AD-A2B7-199A6C13FF9C}" destId="{004B718A-F0FA-4479-837D-093908D83F23}" srcOrd="0" destOrd="0" presId="urn:microsoft.com/office/officeart/2005/8/layout/bProcess4#1"/>
    <dgm:cxn modelId="{DF3B2843-5DA6-4C84-84B8-D29E8D3A8D8B}" type="presOf" srcId="{A7142570-A6F3-4B80-ADF7-83AC2E70A95D}" destId="{E75E5083-6113-4816-8A75-D82851B49DBA}" srcOrd="0" destOrd="0" presId="urn:microsoft.com/office/officeart/2005/8/layout/bProcess4#1"/>
    <dgm:cxn modelId="{257B6066-BFBD-4015-9239-18788B4B687A}" type="presOf" srcId="{06D8F6C2-D8B0-4411-91CF-FADECE7F83CE}" destId="{EDF24DBF-4D85-49A0-ADE9-0B4FB8FBDB3F}" srcOrd="0" destOrd="0" presId="urn:microsoft.com/office/officeart/2005/8/layout/bProcess4#1"/>
    <dgm:cxn modelId="{69E9826A-CB87-412C-8529-10210D95571C}" srcId="{33EB335B-E938-4FE2-AEA1-EA996BDAA4DD}" destId="{5D1C20B5-2466-4C88-A438-67880FE9ABBE}" srcOrd="5" destOrd="0" parTransId="{E57A38A1-C4C2-44AB-8A3C-70ADB70F408C}" sibTransId="{E4DE8AFA-EA07-4670-9B89-B457CE7AA510}"/>
    <dgm:cxn modelId="{CE84B850-2164-44A9-93AB-73C0559E3324}" type="presOf" srcId="{CE5F6F28-EBED-48A2-8C1C-BE031D5EC91D}" destId="{499F0043-EB9A-4CDD-9207-7B6830F22CF4}" srcOrd="0" destOrd="0" presId="urn:microsoft.com/office/officeart/2005/8/layout/bProcess4#1"/>
    <dgm:cxn modelId="{283D9571-CCC5-4E3E-BF8E-B7C1C35D8FC1}" srcId="{33EB335B-E938-4FE2-AEA1-EA996BDAA4DD}" destId="{AC15209F-8811-41AD-A2B7-199A6C13FF9C}" srcOrd="4" destOrd="0" parTransId="{FA97B473-A5EB-4D73-95CC-CEC96C763DED}" sibTransId="{06D8F6C2-D8B0-4411-91CF-FADECE7F83CE}"/>
    <dgm:cxn modelId="{7084A877-CBAD-4F3D-BEE9-1F88B1B4F5FA}" type="presOf" srcId="{5229C205-474D-4CBD-8470-0589ADDC844C}" destId="{33F281C8-1D0C-414F-B544-636FFF418A1C}" srcOrd="0" destOrd="0" presId="urn:microsoft.com/office/officeart/2005/8/layout/bProcess4#1"/>
    <dgm:cxn modelId="{DF7A4758-2700-40AC-B81F-90BEE101B1CC}" srcId="{33EB335B-E938-4FE2-AEA1-EA996BDAA4DD}" destId="{D21CC051-B5F2-44C5-A3C9-2D7E3A3C3C5C}" srcOrd="0" destOrd="0" parTransId="{E80B9093-9BFD-43BF-96FC-3E5271CB3F4E}" sibTransId="{63E8A627-3F46-4FE4-A63D-3F5489628AC8}"/>
    <dgm:cxn modelId="{0528C979-3DAA-4130-BD6C-BD571BE74E81}" srcId="{33EB335B-E938-4FE2-AEA1-EA996BDAA4DD}" destId="{B8198435-6DE0-4469-BCE9-B489B439CD50}" srcOrd="9" destOrd="0" parTransId="{2B174877-53ED-444C-93D2-FC0FC446991E}" sibTransId="{81CAAED2-D1B4-47F4-9F3B-69983FC8CA54}"/>
    <dgm:cxn modelId="{B55CC57D-195F-4323-BE92-EF23B657DA4E}" srcId="{33EB335B-E938-4FE2-AEA1-EA996BDAA4DD}" destId="{80C70157-3BEB-4087-B43A-2F24257D274F}" srcOrd="2" destOrd="0" parTransId="{916FFFA7-F34D-41C0-8953-78CCFD9AFDFC}" sibTransId="{4B3129CB-60B3-4194-8EDD-9A641343BFB5}"/>
    <dgm:cxn modelId="{82157C83-8526-4656-9A4E-2657448C778F}" type="presOf" srcId="{63E8A627-3F46-4FE4-A63D-3F5489628AC8}" destId="{586ED892-1209-45E8-90A0-34AAE18B7051}" srcOrd="0" destOrd="0" presId="urn:microsoft.com/office/officeart/2005/8/layout/bProcess4#1"/>
    <dgm:cxn modelId="{BB436B85-71BE-4A9F-8B49-BEDEFF6F2C7A}" type="presOf" srcId="{8036FE53-6D60-4E88-B29B-ED11B7EAE09A}" destId="{5057CE94-A490-4353-8EF9-8B1F14CC2EB7}" srcOrd="0" destOrd="0" presId="urn:microsoft.com/office/officeart/2005/8/layout/bProcess4#1"/>
    <dgm:cxn modelId="{702A1F94-45F7-4273-8770-52327F7E4744}" type="presOf" srcId="{9678C2F0-6910-4A5A-B8A5-9E416B4ED2FF}" destId="{1D322184-0C54-4CD3-B9D8-A7C300EAC00B}" srcOrd="0" destOrd="0" presId="urn:microsoft.com/office/officeart/2005/8/layout/bProcess4#1"/>
    <dgm:cxn modelId="{624473AA-E69C-4333-89CF-BAAA3A0DF3CB}" type="presOf" srcId="{36BEA292-09C3-45E6-8587-F8ADC74096D2}" destId="{FCE586A2-A062-4662-B189-96C2AA5D8E99}" srcOrd="0" destOrd="0" presId="urn:microsoft.com/office/officeart/2005/8/layout/bProcess4#1"/>
    <dgm:cxn modelId="{FDF723AB-8D2A-4120-82A2-EC88FF8AA36C}" type="presOf" srcId="{B2822FEC-1B2A-4455-89FD-3DDCD0EA1BD2}" destId="{02D47DB8-8175-4FFB-8EA2-DEAF90D1483A}" srcOrd="0" destOrd="0" presId="urn:microsoft.com/office/officeart/2005/8/layout/bProcess4#1"/>
    <dgm:cxn modelId="{B5FC58AD-A8F4-4F61-BB55-40CBB0286331}" srcId="{33EB335B-E938-4FE2-AEA1-EA996BDAA4DD}" destId="{CE5F6F28-EBED-48A2-8C1C-BE031D5EC91D}" srcOrd="11" destOrd="0" parTransId="{17A172A9-8480-47A5-BE96-E6B2F136A669}" sibTransId="{B525660C-08B1-4B98-B1F4-9740912FE6F8}"/>
    <dgm:cxn modelId="{DE7195AD-80C3-4FAA-AA67-076E56823411}" type="presOf" srcId="{33EB335B-E938-4FE2-AEA1-EA996BDAA4DD}" destId="{F2581C4A-DE4E-48E1-8CA3-C30DAF5ACEE0}" srcOrd="0" destOrd="0" presId="urn:microsoft.com/office/officeart/2005/8/layout/bProcess4#1"/>
    <dgm:cxn modelId="{B88FCAB6-8011-4757-B1F4-AC512AD67473}" type="presOf" srcId="{B8198435-6DE0-4469-BCE9-B489B439CD50}" destId="{AFB4D210-8013-4FC4-9B7D-55E5A646E736}" srcOrd="0" destOrd="0" presId="urn:microsoft.com/office/officeart/2005/8/layout/bProcess4#1"/>
    <dgm:cxn modelId="{846CE3CB-5B1B-448A-B586-A4534CBBEB80}" type="presOf" srcId="{E4DE8AFA-EA07-4670-9B89-B457CE7AA510}" destId="{917DE057-0309-4E75-AB55-FAB41745672D}" srcOrd="0" destOrd="0" presId="urn:microsoft.com/office/officeart/2005/8/layout/bProcess4#1"/>
    <dgm:cxn modelId="{89C9EFCB-57A8-4562-B63E-C8A3C514B695}" type="presOf" srcId="{81CAAED2-D1B4-47F4-9F3B-69983FC8CA54}" destId="{82A73B24-0B5F-40E9-A274-3783C167E353}" srcOrd="0" destOrd="0" presId="urn:microsoft.com/office/officeart/2005/8/layout/bProcess4#1"/>
    <dgm:cxn modelId="{2CCE08D5-04F2-4A1A-8824-74032DDA2C7C}" srcId="{33EB335B-E938-4FE2-AEA1-EA996BDAA4DD}" destId="{9678C2F0-6910-4A5A-B8A5-9E416B4ED2FF}" srcOrd="10" destOrd="0" parTransId="{2D8D507E-4870-497D-881B-E0D4C567E55C}" sibTransId="{8036FE53-6D60-4E88-B29B-ED11B7EAE09A}"/>
    <dgm:cxn modelId="{0F2717D9-4420-495F-A634-89BF2CFDFD67}" srcId="{33EB335B-E938-4FE2-AEA1-EA996BDAA4DD}" destId="{ACF65E87-635C-442A-B480-5DDCF175DDC7}" srcOrd="3" destOrd="0" parTransId="{FC7C131A-9E68-417E-AB51-C2CEA86E97A6}" sibTransId="{5229C205-474D-4CBD-8470-0589ADDC844C}"/>
    <dgm:cxn modelId="{892E93DD-5B47-4626-BBEB-CCBEA8111D31}" type="presOf" srcId="{80C70157-3BEB-4087-B43A-2F24257D274F}" destId="{69E72C99-35F4-44B4-A30E-A85720CC20A1}" srcOrd="0" destOrd="0" presId="urn:microsoft.com/office/officeart/2005/8/layout/bProcess4#1"/>
    <dgm:cxn modelId="{ABE9B1E9-34F4-4F99-A53D-B1804AAB3C1C}" type="presOf" srcId="{33DF738A-33C2-446A-A5D0-7810E2679C43}" destId="{05828FCF-3A27-4580-A96C-42598D297D07}" srcOrd="0" destOrd="0" presId="urn:microsoft.com/office/officeart/2005/8/layout/bProcess4#1"/>
    <dgm:cxn modelId="{ABE192ED-0F4A-4541-A6FF-0D9F7EC116B5}" type="presOf" srcId="{D21CC051-B5F2-44C5-A3C9-2D7E3A3C3C5C}" destId="{EC64ECFE-16C4-452E-84C8-BD53D7C4A065}" srcOrd="0" destOrd="0" presId="urn:microsoft.com/office/officeart/2005/8/layout/bProcess4#1"/>
    <dgm:cxn modelId="{8B7920F1-1AE2-41E5-953C-5B745EE6E6EA}" type="presOf" srcId="{B659D9BB-BDCB-439D-85DE-88EBCB098C6B}" destId="{01C3EA81-7E05-420B-959A-DAF8D22B0460}" srcOrd="0" destOrd="0" presId="urn:microsoft.com/office/officeart/2005/8/layout/bProcess4#1"/>
    <dgm:cxn modelId="{1C38BAF2-6FEE-478F-9C61-AEF9C5DAE6BE}" type="presOf" srcId="{91580B2D-BED8-4B48-88AB-C29B2FB308BB}" destId="{8E03B24D-15CA-40D3-8CCF-C3FDDEBF3181}" srcOrd="0" destOrd="0" presId="urn:microsoft.com/office/officeart/2005/8/layout/bProcess4#1"/>
    <dgm:cxn modelId="{8E67FEF6-D215-4992-9790-0D4B2E622478}" srcId="{33EB335B-E938-4FE2-AEA1-EA996BDAA4DD}" destId="{658A4B72-102E-4222-A17A-4F0EB892F37D}" srcOrd="8" destOrd="0" parTransId="{3EFBE433-021F-47D6-A9DB-5EC3E506DE2A}" sibTransId="{CA6CF63C-EA05-419A-BC70-B826B9B36519}"/>
    <dgm:cxn modelId="{195151FF-CDA0-491B-90CF-093897729B0A}" type="presOf" srcId="{4B3129CB-60B3-4194-8EDD-9A641343BFB5}" destId="{A48E03E1-B6AA-4FC6-93B3-3189E886B168}" srcOrd="0" destOrd="0" presId="urn:microsoft.com/office/officeart/2005/8/layout/bProcess4#1"/>
    <dgm:cxn modelId="{85D0DA34-731D-41B1-8C5D-36BDD8B93AF0}" type="presParOf" srcId="{F2581C4A-DE4E-48E1-8CA3-C30DAF5ACEE0}" destId="{8760A9DC-1A50-4D26-906A-FB433F94BCEA}" srcOrd="0" destOrd="0" presId="urn:microsoft.com/office/officeart/2005/8/layout/bProcess4#1"/>
    <dgm:cxn modelId="{706BB983-9513-43AB-AB21-29973738714B}" type="presParOf" srcId="{8760A9DC-1A50-4D26-906A-FB433F94BCEA}" destId="{BC8D9E04-275C-4301-8358-3D5FEF2CB3AB}" srcOrd="0" destOrd="0" presId="urn:microsoft.com/office/officeart/2005/8/layout/bProcess4#1"/>
    <dgm:cxn modelId="{44E32B4A-5E48-4584-AE21-B7CBE6382E99}" type="presParOf" srcId="{8760A9DC-1A50-4D26-906A-FB433F94BCEA}" destId="{EC64ECFE-16C4-452E-84C8-BD53D7C4A065}" srcOrd="1" destOrd="0" presId="urn:microsoft.com/office/officeart/2005/8/layout/bProcess4#1"/>
    <dgm:cxn modelId="{70DBE591-A523-485A-9223-D15BEBEE0FC6}" type="presParOf" srcId="{F2581C4A-DE4E-48E1-8CA3-C30DAF5ACEE0}" destId="{586ED892-1209-45E8-90A0-34AAE18B7051}" srcOrd="1" destOrd="0" presId="urn:microsoft.com/office/officeart/2005/8/layout/bProcess4#1"/>
    <dgm:cxn modelId="{C0A9C2E8-9453-45D3-A2A3-6E81B59E0F43}" type="presParOf" srcId="{F2581C4A-DE4E-48E1-8CA3-C30DAF5ACEE0}" destId="{9A0A3CF3-D504-4FFB-8EB3-87B26536BFDF}" srcOrd="2" destOrd="0" presId="urn:microsoft.com/office/officeart/2005/8/layout/bProcess4#1"/>
    <dgm:cxn modelId="{7F62F024-66B2-43C0-886F-873C2B7C2FD8}" type="presParOf" srcId="{9A0A3CF3-D504-4FFB-8EB3-87B26536BFDF}" destId="{0546A935-AF2B-4E60-B1F6-ABFE3FE07A36}" srcOrd="0" destOrd="0" presId="urn:microsoft.com/office/officeart/2005/8/layout/bProcess4#1"/>
    <dgm:cxn modelId="{34DD87DE-6F34-4D0D-8E46-DB131736ACE9}" type="presParOf" srcId="{9A0A3CF3-D504-4FFB-8EB3-87B26536BFDF}" destId="{8E03B24D-15CA-40D3-8CCF-C3FDDEBF3181}" srcOrd="1" destOrd="0" presId="urn:microsoft.com/office/officeart/2005/8/layout/bProcess4#1"/>
    <dgm:cxn modelId="{D336156F-CCC1-41CE-A565-C133F704325E}" type="presParOf" srcId="{F2581C4A-DE4E-48E1-8CA3-C30DAF5ACEE0}" destId="{01C3EA81-7E05-420B-959A-DAF8D22B0460}" srcOrd="3" destOrd="0" presId="urn:microsoft.com/office/officeart/2005/8/layout/bProcess4#1"/>
    <dgm:cxn modelId="{57B87330-2AFD-49A4-8E8C-4602703050F9}" type="presParOf" srcId="{F2581C4A-DE4E-48E1-8CA3-C30DAF5ACEE0}" destId="{099A5837-9CB9-4836-8893-F8A0E6BA63A2}" srcOrd="4" destOrd="0" presId="urn:microsoft.com/office/officeart/2005/8/layout/bProcess4#1"/>
    <dgm:cxn modelId="{0EE9A62B-B883-4E8B-902E-8FBAAA58246E}" type="presParOf" srcId="{099A5837-9CB9-4836-8893-F8A0E6BA63A2}" destId="{D45DF0A0-E5A0-4A69-ACA3-FECDA2F743BA}" srcOrd="0" destOrd="0" presId="urn:microsoft.com/office/officeart/2005/8/layout/bProcess4#1"/>
    <dgm:cxn modelId="{B7243C43-9CC2-4592-A368-008BB43C08F6}" type="presParOf" srcId="{099A5837-9CB9-4836-8893-F8A0E6BA63A2}" destId="{69E72C99-35F4-44B4-A30E-A85720CC20A1}" srcOrd="1" destOrd="0" presId="urn:microsoft.com/office/officeart/2005/8/layout/bProcess4#1"/>
    <dgm:cxn modelId="{A512A1E9-748F-4F52-924A-1FBB00ABF2AD}" type="presParOf" srcId="{F2581C4A-DE4E-48E1-8CA3-C30DAF5ACEE0}" destId="{A48E03E1-B6AA-4FC6-93B3-3189E886B168}" srcOrd="5" destOrd="0" presId="urn:microsoft.com/office/officeart/2005/8/layout/bProcess4#1"/>
    <dgm:cxn modelId="{ED15CE30-0C62-4516-8342-0152B09D19E7}" type="presParOf" srcId="{F2581C4A-DE4E-48E1-8CA3-C30DAF5ACEE0}" destId="{03FD961D-3C50-411C-97AA-C838BE5A4AFA}" srcOrd="6" destOrd="0" presId="urn:microsoft.com/office/officeart/2005/8/layout/bProcess4#1"/>
    <dgm:cxn modelId="{F81C7057-6F7A-46BE-916D-719F42876F66}" type="presParOf" srcId="{03FD961D-3C50-411C-97AA-C838BE5A4AFA}" destId="{2B403CF6-4193-4B04-A801-87151AA9DF9E}" srcOrd="0" destOrd="0" presId="urn:microsoft.com/office/officeart/2005/8/layout/bProcess4#1"/>
    <dgm:cxn modelId="{E23AE218-7426-478D-96CA-FDBEA2F6504A}" type="presParOf" srcId="{03FD961D-3C50-411C-97AA-C838BE5A4AFA}" destId="{35519037-1883-408F-B348-60D79869E06A}" srcOrd="1" destOrd="0" presId="urn:microsoft.com/office/officeart/2005/8/layout/bProcess4#1"/>
    <dgm:cxn modelId="{192531C4-7E6D-487E-9107-FE9A4D5B9D2F}" type="presParOf" srcId="{F2581C4A-DE4E-48E1-8CA3-C30DAF5ACEE0}" destId="{33F281C8-1D0C-414F-B544-636FFF418A1C}" srcOrd="7" destOrd="0" presId="urn:microsoft.com/office/officeart/2005/8/layout/bProcess4#1"/>
    <dgm:cxn modelId="{EE3FB12B-130E-49AD-A435-3D2E6EA8072C}" type="presParOf" srcId="{F2581C4A-DE4E-48E1-8CA3-C30DAF5ACEE0}" destId="{AE469677-DF81-4662-98AA-E9875417A5E9}" srcOrd="8" destOrd="0" presId="urn:microsoft.com/office/officeart/2005/8/layout/bProcess4#1"/>
    <dgm:cxn modelId="{30BC3E5E-0517-4459-BC92-3FE21C17D18B}" type="presParOf" srcId="{AE469677-DF81-4662-98AA-E9875417A5E9}" destId="{1CB4395B-9653-480C-B1C3-EB4B9A097CC0}" srcOrd="0" destOrd="0" presId="urn:microsoft.com/office/officeart/2005/8/layout/bProcess4#1"/>
    <dgm:cxn modelId="{72C739F9-2B8D-4701-AE5C-4907C7803627}" type="presParOf" srcId="{AE469677-DF81-4662-98AA-E9875417A5E9}" destId="{004B718A-F0FA-4479-837D-093908D83F23}" srcOrd="1" destOrd="0" presId="urn:microsoft.com/office/officeart/2005/8/layout/bProcess4#1"/>
    <dgm:cxn modelId="{24A8549C-E22D-4FC7-983E-B0FC2C8B7C1E}" type="presParOf" srcId="{F2581C4A-DE4E-48E1-8CA3-C30DAF5ACEE0}" destId="{EDF24DBF-4D85-49A0-ADE9-0B4FB8FBDB3F}" srcOrd="9" destOrd="0" presId="urn:microsoft.com/office/officeart/2005/8/layout/bProcess4#1"/>
    <dgm:cxn modelId="{58B4D755-6E54-420D-85FA-5326C0B5315A}" type="presParOf" srcId="{F2581C4A-DE4E-48E1-8CA3-C30DAF5ACEE0}" destId="{34C3DF01-2069-4619-999B-9758A9D70164}" srcOrd="10" destOrd="0" presId="urn:microsoft.com/office/officeart/2005/8/layout/bProcess4#1"/>
    <dgm:cxn modelId="{886FA45C-F2B4-4DE6-9B2D-948102DCAC25}" type="presParOf" srcId="{34C3DF01-2069-4619-999B-9758A9D70164}" destId="{6BD53E87-C252-4B02-90BC-FFFB838F2086}" srcOrd="0" destOrd="0" presId="urn:microsoft.com/office/officeart/2005/8/layout/bProcess4#1"/>
    <dgm:cxn modelId="{93766DCB-6B96-4AAA-9BBD-C7A64E17718D}" type="presParOf" srcId="{34C3DF01-2069-4619-999B-9758A9D70164}" destId="{77873D7C-F2B5-4FBF-9105-3E6DD8B93906}" srcOrd="1" destOrd="0" presId="urn:microsoft.com/office/officeart/2005/8/layout/bProcess4#1"/>
    <dgm:cxn modelId="{FF02291F-A8DE-45B1-A428-3290AE23750C}" type="presParOf" srcId="{F2581C4A-DE4E-48E1-8CA3-C30DAF5ACEE0}" destId="{917DE057-0309-4E75-AB55-FAB41745672D}" srcOrd="11" destOrd="0" presId="urn:microsoft.com/office/officeart/2005/8/layout/bProcess4#1"/>
    <dgm:cxn modelId="{DF14E73C-31B3-4A1D-9F50-61A13A790DF2}" type="presParOf" srcId="{F2581C4A-DE4E-48E1-8CA3-C30DAF5ACEE0}" destId="{97C22F09-66FE-4EB2-9294-E1F37D33A5D3}" srcOrd="12" destOrd="0" presId="urn:microsoft.com/office/officeart/2005/8/layout/bProcess4#1"/>
    <dgm:cxn modelId="{7FEC949A-3FB0-4366-B169-FB83B5C26D28}" type="presParOf" srcId="{97C22F09-66FE-4EB2-9294-E1F37D33A5D3}" destId="{662E8EA6-40D4-4DF3-B10D-1E4F59DA6F22}" srcOrd="0" destOrd="0" presId="urn:microsoft.com/office/officeart/2005/8/layout/bProcess4#1"/>
    <dgm:cxn modelId="{57B08864-DD13-42BB-AEF0-A12C7027141C}" type="presParOf" srcId="{97C22F09-66FE-4EB2-9294-E1F37D33A5D3}" destId="{05828FCF-3A27-4580-A96C-42598D297D07}" srcOrd="1" destOrd="0" presId="urn:microsoft.com/office/officeart/2005/8/layout/bProcess4#1"/>
    <dgm:cxn modelId="{8B66FD74-5ACE-49BE-9C05-A0034847C0F0}" type="presParOf" srcId="{F2581C4A-DE4E-48E1-8CA3-C30DAF5ACEE0}" destId="{E75E5083-6113-4816-8A75-D82851B49DBA}" srcOrd="13" destOrd="0" presId="urn:microsoft.com/office/officeart/2005/8/layout/bProcess4#1"/>
    <dgm:cxn modelId="{2F70012B-C0C1-47CE-ABF6-F3F08207D864}" type="presParOf" srcId="{F2581C4A-DE4E-48E1-8CA3-C30DAF5ACEE0}" destId="{71707DCB-FD65-4EB0-9903-D41174CF5EBA}" srcOrd="14" destOrd="0" presId="urn:microsoft.com/office/officeart/2005/8/layout/bProcess4#1"/>
    <dgm:cxn modelId="{E63E62B2-DBBF-48B8-A92E-7429783BC394}" type="presParOf" srcId="{71707DCB-FD65-4EB0-9903-D41174CF5EBA}" destId="{1961A7F6-FE41-4BAE-8565-D6D6F59FC230}" srcOrd="0" destOrd="0" presId="urn:microsoft.com/office/officeart/2005/8/layout/bProcess4#1"/>
    <dgm:cxn modelId="{7854A39B-CCF9-4A46-94E0-7F868DED3DF5}" type="presParOf" srcId="{71707DCB-FD65-4EB0-9903-D41174CF5EBA}" destId="{02D47DB8-8175-4FFB-8EA2-DEAF90D1483A}" srcOrd="1" destOrd="0" presId="urn:microsoft.com/office/officeart/2005/8/layout/bProcess4#1"/>
    <dgm:cxn modelId="{3E9ED0B0-391F-44CE-925D-03F496378F61}" type="presParOf" srcId="{F2581C4A-DE4E-48E1-8CA3-C30DAF5ACEE0}" destId="{FCE586A2-A062-4662-B189-96C2AA5D8E99}" srcOrd="15" destOrd="0" presId="urn:microsoft.com/office/officeart/2005/8/layout/bProcess4#1"/>
    <dgm:cxn modelId="{93BC82F1-48FF-485F-8C5C-3C8A02E8C254}" type="presParOf" srcId="{F2581C4A-DE4E-48E1-8CA3-C30DAF5ACEE0}" destId="{68336A53-859C-4E95-8DF1-35DC02CF48F4}" srcOrd="16" destOrd="0" presId="urn:microsoft.com/office/officeart/2005/8/layout/bProcess4#1"/>
    <dgm:cxn modelId="{538BA081-20C6-4A73-8B53-33859AA4D714}" type="presParOf" srcId="{68336A53-859C-4E95-8DF1-35DC02CF48F4}" destId="{6BBB5254-0A56-4D18-BC87-9ABF3D505B80}" srcOrd="0" destOrd="0" presId="urn:microsoft.com/office/officeart/2005/8/layout/bProcess4#1"/>
    <dgm:cxn modelId="{FA99C88C-541C-4F93-A9DE-3FAB301683BC}" type="presParOf" srcId="{68336A53-859C-4E95-8DF1-35DC02CF48F4}" destId="{F0656B72-E64F-422B-AAAA-C04E2924119B}" srcOrd="1" destOrd="0" presId="urn:microsoft.com/office/officeart/2005/8/layout/bProcess4#1"/>
    <dgm:cxn modelId="{1B45C0C3-E06F-4DE2-A331-917B2773526D}" type="presParOf" srcId="{F2581C4A-DE4E-48E1-8CA3-C30DAF5ACEE0}" destId="{2A031930-0974-4F65-954B-44EBBECC0DAE}" srcOrd="17" destOrd="0" presId="urn:microsoft.com/office/officeart/2005/8/layout/bProcess4#1"/>
    <dgm:cxn modelId="{66B816AD-B2D5-43CD-A277-CB873F5E6657}" type="presParOf" srcId="{F2581C4A-DE4E-48E1-8CA3-C30DAF5ACEE0}" destId="{14D7C8EC-F194-46DE-9671-56A9D361E0D6}" srcOrd="18" destOrd="0" presId="urn:microsoft.com/office/officeart/2005/8/layout/bProcess4#1"/>
    <dgm:cxn modelId="{835DB8FE-9CE1-448B-B601-7A993D20091A}" type="presParOf" srcId="{14D7C8EC-F194-46DE-9671-56A9D361E0D6}" destId="{8A323A54-A41A-47E4-9CAD-591B679C9F59}" srcOrd="0" destOrd="0" presId="urn:microsoft.com/office/officeart/2005/8/layout/bProcess4#1"/>
    <dgm:cxn modelId="{6764D15E-1E31-423A-A916-2AFEDF5DD17D}" type="presParOf" srcId="{14D7C8EC-F194-46DE-9671-56A9D361E0D6}" destId="{AFB4D210-8013-4FC4-9B7D-55E5A646E736}" srcOrd="1" destOrd="0" presId="urn:microsoft.com/office/officeart/2005/8/layout/bProcess4#1"/>
    <dgm:cxn modelId="{6797A5E5-5100-4A22-A0FA-58C78E30A6E5}" type="presParOf" srcId="{F2581C4A-DE4E-48E1-8CA3-C30DAF5ACEE0}" destId="{82A73B24-0B5F-40E9-A274-3783C167E353}" srcOrd="19" destOrd="0" presId="urn:microsoft.com/office/officeart/2005/8/layout/bProcess4#1"/>
    <dgm:cxn modelId="{BC796F8D-F693-414A-A1F1-084224DEFCC8}" type="presParOf" srcId="{F2581C4A-DE4E-48E1-8CA3-C30DAF5ACEE0}" destId="{AAE2540C-F9DB-4E05-BB97-5C623DA9AABC}" srcOrd="20" destOrd="0" presId="urn:microsoft.com/office/officeart/2005/8/layout/bProcess4#1"/>
    <dgm:cxn modelId="{36BC206D-8FF2-4005-9551-BC13A83BDE22}" type="presParOf" srcId="{AAE2540C-F9DB-4E05-BB97-5C623DA9AABC}" destId="{07FD65B0-1DDC-401D-940E-BCAC2D64B1BF}" srcOrd="0" destOrd="0" presId="urn:microsoft.com/office/officeart/2005/8/layout/bProcess4#1"/>
    <dgm:cxn modelId="{4B60EB94-25F9-493E-BD64-8E7922EB4FF2}" type="presParOf" srcId="{AAE2540C-F9DB-4E05-BB97-5C623DA9AABC}" destId="{1D322184-0C54-4CD3-B9D8-A7C300EAC00B}" srcOrd="1" destOrd="0" presId="urn:microsoft.com/office/officeart/2005/8/layout/bProcess4#1"/>
    <dgm:cxn modelId="{ACB2C5B9-B40F-4E50-8CE8-8BFA981E5961}" type="presParOf" srcId="{F2581C4A-DE4E-48E1-8CA3-C30DAF5ACEE0}" destId="{5057CE94-A490-4353-8EF9-8B1F14CC2EB7}" srcOrd="21" destOrd="0" presId="urn:microsoft.com/office/officeart/2005/8/layout/bProcess4#1"/>
    <dgm:cxn modelId="{D56C38BB-268A-4A4C-93C1-79AE1472476B}" type="presParOf" srcId="{F2581C4A-DE4E-48E1-8CA3-C30DAF5ACEE0}" destId="{325ABF7D-290A-45AD-A3A4-0714B61B020F}" srcOrd="22" destOrd="0" presId="urn:microsoft.com/office/officeart/2005/8/layout/bProcess4#1"/>
    <dgm:cxn modelId="{C4076E64-0EFE-40E9-9833-53E29889DE5A}" type="presParOf" srcId="{325ABF7D-290A-45AD-A3A4-0714B61B020F}" destId="{0A57732B-5275-4866-8C15-29D982B02B6F}" srcOrd="0" destOrd="0" presId="urn:microsoft.com/office/officeart/2005/8/layout/bProcess4#1"/>
    <dgm:cxn modelId="{2FD7AA3A-6808-465C-9447-7A8B74178223}" type="presParOf" srcId="{325ABF7D-290A-45AD-A3A4-0714B61B020F}" destId="{499F0043-EB9A-4CDD-9207-7B6830F22CF4}" srcOrd="1" destOrd="0" presId="urn:microsoft.com/office/officeart/2005/8/layout/bProcess4#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4800600" cy="2715260"/>
        <a:chOff x="0" y="0"/>
        <a:chExt cx="4800600" cy="2715260"/>
      </a:xfrm>
    </dsp:grpSpPr>
    <dsp:sp modelId="{586ED892-1209-45E8-90A0-34AAE18B7051}">
      <dsp:nvSpPr>
        <dsp:cNvPr id="4" name="矩形 3"/>
        <dsp:cNvSpPr/>
      </dsp:nvSpPr>
      <dsp:spPr bwMode="white">
        <a:xfrm rot="5399999">
          <a:off x="490091" y="441962"/>
          <a:ext cx="750542"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99999">
        <a:off x="490091" y="441962"/>
        <a:ext cx="750542" cy="142908"/>
      </dsp:txXfrm>
    </dsp:sp>
    <dsp:sp modelId="{EC64ECFE-16C4-452E-84C8-BD53D7C4A065}">
      <dsp:nvSpPr>
        <dsp:cNvPr id="3" name="圆角矩形 2"/>
        <dsp:cNvSpPr/>
      </dsp:nvSpPr>
      <dsp:spPr bwMode="white">
        <a:xfrm>
          <a:off x="656817" y="0"/>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资料收集与整理</a:t>
          </a:r>
        </a:p>
      </dsp:txBody>
      <dsp:txXfrm>
        <a:off x="656817" y="0"/>
        <a:ext cx="952723" cy="571634"/>
      </dsp:txXfrm>
    </dsp:sp>
    <dsp:sp modelId="{01C3EA81-7E05-420B-959A-DAF8D22B0460}">
      <dsp:nvSpPr>
        <dsp:cNvPr id="6" name="矩形 5"/>
        <dsp:cNvSpPr/>
      </dsp:nvSpPr>
      <dsp:spPr bwMode="white">
        <a:xfrm rot="5399999">
          <a:off x="490091" y="1156504"/>
          <a:ext cx="750542"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99999">
        <a:off x="490091" y="1156504"/>
        <a:ext cx="750542" cy="142908"/>
      </dsp:txXfrm>
    </dsp:sp>
    <dsp:sp modelId="{8E03B24D-15CA-40D3-8CCF-C3FDDEBF3181}">
      <dsp:nvSpPr>
        <dsp:cNvPr id="5" name="圆角矩形 4"/>
        <dsp:cNvSpPr/>
      </dsp:nvSpPr>
      <dsp:spPr bwMode="white">
        <a:xfrm>
          <a:off x="656817" y="714542"/>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资料归档与排序</a:t>
          </a:r>
        </a:p>
      </dsp:txBody>
      <dsp:txXfrm>
        <a:off x="656817" y="714542"/>
        <a:ext cx="952723" cy="571634"/>
      </dsp:txXfrm>
    </dsp:sp>
    <dsp:sp modelId="{A48E03E1-B6AA-4FC6-93B3-3189E886B168}">
      <dsp:nvSpPr>
        <dsp:cNvPr id="8" name="矩形 7"/>
        <dsp:cNvSpPr/>
      </dsp:nvSpPr>
      <dsp:spPr bwMode="white">
        <a:xfrm rot="5399999">
          <a:off x="490091" y="1871046"/>
          <a:ext cx="750542"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99999">
        <a:off x="490091" y="1871046"/>
        <a:ext cx="750542" cy="142908"/>
      </dsp:txXfrm>
    </dsp:sp>
    <dsp:sp modelId="{69E72C99-35F4-44B4-A30E-A85720CC20A1}">
      <dsp:nvSpPr>
        <dsp:cNvPr id="7" name="圆角矩形 6"/>
        <dsp:cNvSpPr/>
      </dsp:nvSpPr>
      <dsp:spPr bwMode="white">
        <a:xfrm>
          <a:off x="656817" y="1429084"/>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编写档号及页码</a:t>
          </a:r>
        </a:p>
      </dsp:txBody>
      <dsp:txXfrm>
        <a:off x="656817" y="1429084"/>
        <a:ext cx="952723" cy="571634"/>
      </dsp:txXfrm>
    </dsp:sp>
    <dsp:sp modelId="{33F281C8-1D0C-414F-B544-636FFF418A1C}">
      <dsp:nvSpPr>
        <dsp:cNvPr id="10" name="矩形 9"/>
        <dsp:cNvSpPr/>
      </dsp:nvSpPr>
      <dsp:spPr bwMode="white">
        <a:xfrm rot="97643">
          <a:off x="865106" y="2228317"/>
          <a:ext cx="1267633"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97643">
        <a:off x="865106" y="2228317"/>
        <a:ext cx="1267633" cy="142908"/>
      </dsp:txXfrm>
    </dsp:sp>
    <dsp:sp modelId="{35519037-1883-408F-B348-60D79869E06A}">
      <dsp:nvSpPr>
        <dsp:cNvPr id="9" name="圆角矩形 8"/>
        <dsp:cNvSpPr/>
      </dsp:nvSpPr>
      <dsp:spPr bwMode="white">
        <a:xfrm>
          <a:off x="656817" y="2143626"/>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大图的整理及折叠</a:t>
          </a:r>
        </a:p>
      </dsp:txBody>
      <dsp:txXfrm>
        <a:off x="656817" y="2143626"/>
        <a:ext cx="952723" cy="571634"/>
      </dsp:txXfrm>
    </dsp:sp>
    <dsp:sp modelId="{EDF24DBF-4D85-49A0-ADE9-0B4FB8FBDB3F}">
      <dsp:nvSpPr>
        <dsp:cNvPr id="12" name="矩形 11"/>
        <dsp:cNvSpPr/>
      </dsp:nvSpPr>
      <dsp:spPr bwMode="white">
        <a:xfrm rot="-5328172">
          <a:off x="1802526" y="1873392"/>
          <a:ext cx="673996"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28172">
        <a:off x="1802526" y="1873392"/>
        <a:ext cx="673996" cy="142908"/>
      </dsp:txXfrm>
    </dsp:sp>
    <dsp:sp modelId="{004B718A-F0FA-4479-837D-093908D83F23}">
      <dsp:nvSpPr>
        <dsp:cNvPr id="11" name="圆角矩形 10"/>
        <dsp:cNvSpPr/>
      </dsp:nvSpPr>
      <dsp:spPr bwMode="white">
        <a:xfrm>
          <a:off x="1923939" y="2143626"/>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b="1"/>
            <a:t>制作封皮及目录</a:t>
          </a:r>
          <a:endParaRPr lang="zh-CN" altLang="en-US"/>
        </a:p>
      </dsp:txBody>
      <dsp:txXfrm>
        <a:off x="1923939" y="2143626"/>
        <a:ext cx="952723" cy="571634"/>
      </dsp:txXfrm>
    </dsp:sp>
    <dsp:sp modelId="{917DE057-0309-4E75-AB55-FAB41745672D}">
      <dsp:nvSpPr>
        <dsp:cNvPr id="14" name="矩形 13"/>
        <dsp:cNvSpPr/>
      </dsp:nvSpPr>
      <dsp:spPr bwMode="white">
        <a:xfrm rot="16129159">
          <a:off x="1797834" y="1158850"/>
          <a:ext cx="683380"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16129159">
        <a:off x="1797834" y="1158850"/>
        <a:ext cx="683380" cy="142908"/>
      </dsp:txXfrm>
    </dsp:sp>
    <dsp:sp modelId="{77873D7C-F2B5-4FBF-9105-3E6DD8B93906}">
      <dsp:nvSpPr>
        <dsp:cNvPr id="13" name="圆角矩形 12"/>
        <dsp:cNvSpPr/>
      </dsp:nvSpPr>
      <dsp:spPr bwMode="white">
        <a:xfrm>
          <a:off x="1938020" y="1433777"/>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拆卷</a:t>
          </a:r>
        </a:p>
      </dsp:txBody>
      <dsp:txXfrm>
        <a:off x="1938020" y="1433777"/>
        <a:ext cx="952723" cy="571634"/>
      </dsp:txXfrm>
    </dsp:sp>
    <dsp:sp modelId="{E75E5083-6113-4816-8A75-D82851B49DBA}">
      <dsp:nvSpPr>
        <dsp:cNvPr id="16" name="矩形 15"/>
        <dsp:cNvSpPr/>
      </dsp:nvSpPr>
      <dsp:spPr bwMode="white">
        <a:xfrm rot="-5399999">
          <a:off x="1793212" y="441962"/>
          <a:ext cx="678542"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99999">
        <a:off x="1793212" y="441962"/>
        <a:ext cx="678542" cy="142908"/>
      </dsp:txXfrm>
    </dsp:sp>
    <dsp:sp modelId="{05828FCF-3A27-4580-A96C-42598D297D07}">
      <dsp:nvSpPr>
        <dsp:cNvPr id="15" name="圆角矩形 14"/>
        <dsp:cNvSpPr/>
      </dsp:nvSpPr>
      <dsp:spPr bwMode="white">
        <a:xfrm>
          <a:off x="1923939" y="714542"/>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扫描</a:t>
          </a:r>
        </a:p>
      </dsp:txBody>
      <dsp:txXfrm>
        <a:off x="1923939" y="714542"/>
        <a:ext cx="952723" cy="571634"/>
      </dsp:txXfrm>
    </dsp:sp>
    <dsp:sp modelId="{FCE586A2-A062-4662-B189-96C2AA5D8E99}">
      <dsp:nvSpPr>
        <dsp:cNvPr id="18" name="矩形 17"/>
        <dsp:cNvSpPr/>
      </dsp:nvSpPr>
      <dsp:spPr bwMode="white">
        <a:xfrm rot="97643">
          <a:off x="2132228" y="84691"/>
          <a:ext cx="1267633"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97643">
        <a:off x="2132228" y="84691"/>
        <a:ext cx="1267633" cy="142908"/>
      </dsp:txXfrm>
    </dsp:sp>
    <dsp:sp modelId="{02D47DB8-8175-4FFB-8EA2-DEAF90D1483A}">
      <dsp:nvSpPr>
        <dsp:cNvPr id="17" name="圆角矩形 16"/>
        <dsp:cNvSpPr/>
      </dsp:nvSpPr>
      <dsp:spPr bwMode="white">
        <a:xfrm>
          <a:off x="1923939" y="0"/>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图像优化</a:t>
          </a:r>
        </a:p>
      </dsp:txBody>
      <dsp:txXfrm>
        <a:off x="1923939" y="0"/>
        <a:ext cx="952723" cy="571634"/>
      </dsp:txXfrm>
    </dsp:sp>
    <dsp:sp modelId="{2A031930-0974-4F65-954B-44EBBECC0DAE}">
      <dsp:nvSpPr>
        <dsp:cNvPr id="20" name="矩形 19"/>
        <dsp:cNvSpPr/>
      </dsp:nvSpPr>
      <dsp:spPr bwMode="white">
        <a:xfrm rot="5399999">
          <a:off x="3024333" y="441962"/>
          <a:ext cx="750542"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99999">
        <a:off x="3024333" y="441962"/>
        <a:ext cx="750542" cy="142908"/>
      </dsp:txXfrm>
    </dsp:sp>
    <dsp:sp modelId="{F0656B72-E64F-422B-AAAA-C04E2924119B}">
      <dsp:nvSpPr>
        <dsp:cNvPr id="19" name="圆角矩形 18"/>
        <dsp:cNvSpPr/>
      </dsp:nvSpPr>
      <dsp:spPr bwMode="white">
        <a:xfrm>
          <a:off x="3191060" y="0"/>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档案目录著录</a:t>
          </a:r>
        </a:p>
      </dsp:txBody>
      <dsp:txXfrm>
        <a:off x="3191060" y="0"/>
        <a:ext cx="952723" cy="571634"/>
      </dsp:txXfrm>
    </dsp:sp>
    <dsp:sp modelId="{82A73B24-0B5F-40E9-A274-3783C167E353}">
      <dsp:nvSpPr>
        <dsp:cNvPr id="22" name="矩形 21"/>
        <dsp:cNvSpPr/>
      </dsp:nvSpPr>
      <dsp:spPr bwMode="white">
        <a:xfrm rot="5399999">
          <a:off x="3024333" y="1156504"/>
          <a:ext cx="750542"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99999">
        <a:off x="3024333" y="1156504"/>
        <a:ext cx="750542" cy="142908"/>
      </dsp:txXfrm>
    </dsp:sp>
    <dsp:sp modelId="{AFB4D210-8013-4FC4-9B7D-55E5A646E736}">
      <dsp:nvSpPr>
        <dsp:cNvPr id="21" name="圆角矩形 20"/>
        <dsp:cNvSpPr/>
      </dsp:nvSpPr>
      <dsp:spPr bwMode="white">
        <a:xfrm>
          <a:off x="3191060" y="714542"/>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质量检查</a:t>
          </a:r>
        </a:p>
      </dsp:txBody>
      <dsp:txXfrm>
        <a:off x="3191060" y="714542"/>
        <a:ext cx="952723" cy="571634"/>
      </dsp:txXfrm>
    </dsp:sp>
    <dsp:sp modelId="{5057CE94-A490-4353-8EF9-8B1F14CC2EB7}">
      <dsp:nvSpPr>
        <dsp:cNvPr id="24" name="矩形 23"/>
        <dsp:cNvSpPr/>
      </dsp:nvSpPr>
      <dsp:spPr bwMode="white">
        <a:xfrm rot="5399999">
          <a:off x="3024333" y="1871046"/>
          <a:ext cx="750542" cy="142908"/>
        </a:xfrm>
        <a:prstGeom prst="rect">
          <a:avLst/>
        </a:prstGeom>
      </dsp:spPr>
      <dsp:style>
        <a:lnRef idx="0">
          <a:schemeClr val="accent1">
            <a:tint val="60000"/>
          </a:schemeClr>
        </a:lnRef>
        <a:fillRef idx="1">
          <a:schemeClr val="accent1">
            <a:tint val="60000"/>
          </a:schemeClr>
        </a:fillRef>
        <a:effectRef idx="0">
          <a:scrgbClr r="0" g="0" b="0"/>
        </a:effectRef>
        <a:fontRef idx="minor">
          <a:schemeClr val="lt1"/>
        </a:fontRef>
      </dsp:style>
      <dsp:txXfrm rot="5399999">
        <a:off x="3024333" y="1871046"/>
        <a:ext cx="750542" cy="142908"/>
      </dsp:txXfrm>
    </dsp:sp>
    <dsp:sp modelId="{1D322184-0C54-4CD3-B9D8-A7C300EAC00B}">
      <dsp:nvSpPr>
        <dsp:cNvPr id="23" name="圆角矩形 22"/>
        <dsp:cNvSpPr/>
      </dsp:nvSpPr>
      <dsp:spPr bwMode="white">
        <a:xfrm>
          <a:off x="3191060" y="1429084"/>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装订、装盒及上架</a:t>
          </a:r>
        </a:p>
      </dsp:txBody>
      <dsp:txXfrm>
        <a:off x="3191060" y="1429084"/>
        <a:ext cx="952723" cy="571634"/>
      </dsp:txXfrm>
    </dsp:sp>
    <dsp:sp modelId="{499F0043-EB9A-4CDD-9207-7B6830F22CF4}">
      <dsp:nvSpPr>
        <dsp:cNvPr id="25" name="圆角矩形 24"/>
        <dsp:cNvSpPr/>
      </dsp:nvSpPr>
      <dsp:spPr bwMode="white">
        <a:xfrm>
          <a:off x="3191060" y="2143626"/>
          <a:ext cx="952723" cy="571634"/>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53340" tIns="53340" rIns="53340" bIns="53340"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挂接</a:t>
          </a:r>
        </a:p>
      </dsp:txBody>
      <dsp:txXfrm>
        <a:off x="3191060" y="2143626"/>
        <a:ext cx="952723" cy="57163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1">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bkpt" val="bal"/>
          <dgm:param type="contDir" val="revDir"/>
          <dgm:param type="grDir" val="tL"/>
          <dgm:param type="flowDir" val="col"/>
        </dgm:alg>
      </dgm:if>
      <dgm:else name="Name3">
        <dgm:alg type="snake">
          <dgm:param type="bkpt" val="bal"/>
          <dgm:param type="contDir" val="revDir"/>
          <dgm:param type="grDir" val="tR"/>
          <dgm:param type="flowDir" val="co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Sty" val="noArr"/>
                <dgm:param type="endSty" val="noArr"/>
                <dgm:param type="begPts" val="auto auto tCtr"/>
                <dgm:param type="endPts" val="auto auto bCtr"/>
              </dgm:alg>
            </dgm:if>
            <dgm:else name="Name9">
              <dgm:alg type="conn">
                <dgm:param type="srcNode" val="dummyConnPt"/>
                <dgm:param type="dstNode" val="dummyConnPt"/>
                <dgm:param type="begSty" val="noArr"/>
                <dgm:param type="endSty" val="noArr"/>
                <dgm:param type="begPts" val="auto auto tCtr"/>
                <dgm:param type="endPts" val="auto auto bCt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2024-04-29T06:43:00Z</dcterms:created>
  <dc:creator>asus</dc:creator>
  <cp:lastModifiedBy>asus</cp:lastModifiedBy>
  <dcterms:modified xsi:type="dcterms:W3CDTF">2024-04-29T06:44:19Z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