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3B14CD">
      <w:pPr>
        <w:pStyle w:val="10"/>
        <w:spacing w:before="120" w:beforeAutospacing="0" w:after="120" w:afterAutospacing="0" w:line="360" w:lineRule="auto"/>
      </w:pPr>
      <w:r>
        <w:t> </w:t>
      </w:r>
    </w:p>
    <w:p w14:paraId="378396EE">
      <w:pPr>
        <w:pStyle w:val="10"/>
        <w:spacing w:before="120" w:beforeAutospacing="0" w:after="120" w:afterAutospacing="0" w:line="360" w:lineRule="auto"/>
        <w:jc w:val="center"/>
        <w:rPr>
          <w:rFonts w:ascii="Arial" w:hAnsi="Arial" w:cs="Arial"/>
          <w:b/>
          <w:color w:val="000000"/>
          <w:sz w:val="84"/>
          <w:szCs w:val="84"/>
        </w:rPr>
      </w:pPr>
      <w:r>
        <w:rPr>
          <w:rFonts w:ascii="Arial" w:hAnsi="Arial" w:cs="Arial"/>
          <w:b/>
          <w:color w:val="000000"/>
          <w:sz w:val="84"/>
          <w:szCs w:val="84"/>
        </w:rPr>
        <w:t>招 标 文 件</w:t>
      </w:r>
    </w:p>
    <w:p w14:paraId="03490F0B">
      <w:pPr>
        <w:pStyle w:val="10"/>
        <w:spacing w:before="120" w:beforeAutospacing="0" w:after="120" w:afterAutospacing="0" w:line="360" w:lineRule="auto"/>
        <w:jc w:val="center"/>
        <w:rPr>
          <w:rFonts w:ascii="Arial" w:hAnsi="Arial" w:cs="Arial"/>
          <w:b/>
          <w:color w:val="000000"/>
          <w:sz w:val="84"/>
          <w:szCs w:val="84"/>
        </w:rPr>
      </w:pPr>
    </w:p>
    <w:p w14:paraId="7C00E3CF">
      <w:pPr>
        <w:pStyle w:val="10"/>
        <w:spacing w:before="120" w:beforeAutospacing="0" w:after="120" w:afterAutospacing="0" w:line="360" w:lineRule="auto"/>
        <w:jc w:val="center"/>
        <w:rPr>
          <w:rFonts w:ascii="Arial" w:hAnsi="Arial" w:cs="Arial"/>
          <w:b/>
          <w:color w:val="000000"/>
          <w:sz w:val="84"/>
          <w:szCs w:val="84"/>
        </w:rPr>
      </w:pPr>
    </w:p>
    <w:p w14:paraId="020B2D36">
      <w:pPr>
        <w:pStyle w:val="10"/>
        <w:spacing w:before="120" w:beforeAutospacing="0" w:after="120" w:afterAutospacing="0" w:line="360" w:lineRule="auto"/>
        <w:ind w:firstLine="1285" w:firstLineChars="400"/>
        <w:jc w:val="center"/>
        <w:rPr>
          <w:rFonts w:hint="eastAsia" w:eastAsiaTheme="minorEastAsia"/>
          <w:lang w:eastAsia="zh-CN"/>
        </w:rPr>
      </w:pPr>
      <w:r>
        <w:rPr>
          <w:rFonts w:ascii="Arial" w:hAnsi="Arial" w:cs="Arial"/>
          <w:b/>
          <w:color w:val="000000"/>
          <w:sz w:val="32"/>
          <w:szCs w:val="32"/>
        </w:rPr>
        <w:t>项目名称：</w:t>
      </w:r>
      <w:r>
        <w:rPr>
          <w:rFonts w:hint="eastAsia" w:ascii="Arial" w:hAnsi="Arial" w:cs="Arial"/>
          <w:b/>
          <w:color w:val="000000"/>
          <w:sz w:val="32"/>
          <w:szCs w:val="32"/>
          <w:lang w:eastAsia="zh-CN"/>
        </w:rPr>
        <w:t>盐城市射阳生态环境局射阳县国考断面河流水质自动站设备改造项目</w:t>
      </w:r>
    </w:p>
    <w:p w14:paraId="0DCFEA38">
      <w:pPr>
        <w:pStyle w:val="10"/>
        <w:spacing w:beforeAutospacing="0" w:afterAutospacing="0" w:line="360" w:lineRule="auto"/>
        <w:ind w:firstLine="1606" w:firstLineChars="500"/>
      </w:pPr>
      <w:r>
        <w:rPr>
          <w:rFonts w:ascii="Arial" w:hAnsi="Arial" w:cs="Arial"/>
          <w:b/>
          <w:color w:val="000000"/>
          <w:sz w:val="32"/>
          <w:szCs w:val="32"/>
        </w:rPr>
        <w:t>项目编号：JSZC-320924-YCCD-G2025-0003</w:t>
      </w:r>
      <w:r>
        <w:t> </w:t>
      </w:r>
    </w:p>
    <w:p w14:paraId="75D1A9B1">
      <w:pPr>
        <w:pStyle w:val="10"/>
        <w:spacing w:beforeAutospacing="0" w:afterAutospacing="0" w:line="360" w:lineRule="auto"/>
      </w:pPr>
      <w:r>
        <w:t> </w:t>
      </w:r>
    </w:p>
    <w:p w14:paraId="77A5E55C">
      <w:pPr>
        <w:pStyle w:val="10"/>
        <w:spacing w:beforeAutospacing="0" w:afterAutospacing="0" w:line="360" w:lineRule="auto"/>
      </w:pPr>
      <w:r>
        <w:t> </w:t>
      </w:r>
    </w:p>
    <w:p w14:paraId="730EB7C2">
      <w:pPr>
        <w:pStyle w:val="10"/>
        <w:spacing w:beforeAutospacing="0" w:afterAutospacing="0" w:line="360" w:lineRule="auto"/>
      </w:pPr>
      <w:r>
        <w:t> </w:t>
      </w:r>
    </w:p>
    <w:p w14:paraId="6CCA32ED">
      <w:pPr>
        <w:pStyle w:val="10"/>
        <w:spacing w:beforeAutospacing="0" w:afterAutospacing="0" w:line="360" w:lineRule="auto"/>
      </w:pPr>
      <w:r>
        <w:t> </w:t>
      </w:r>
    </w:p>
    <w:p w14:paraId="3C0898BF">
      <w:pPr>
        <w:pStyle w:val="10"/>
        <w:spacing w:beforeAutospacing="0" w:afterAutospacing="0" w:line="360" w:lineRule="auto"/>
      </w:pPr>
      <w:r>
        <w:t> </w:t>
      </w:r>
    </w:p>
    <w:p w14:paraId="5DF5086D">
      <w:pPr>
        <w:pStyle w:val="10"/>
        <w:spacing w:beforeAutospacing="0" w:afterAutospacing="0" w:line="360" w:lineRule="auto"/>
      </w:pPr>
      <w:r>
        <w:t> </w:t>
      </w:r>
    </w:p>
    <w:p w14:paraId="70CB8002">
      <w:pPr>
        <w:pStyle w:val="10"/>
        <w:spacing w:before="120" w:beforeAutospacing="0" w:after="120" w:afterAutospacing="0" w:line="360" w:lineRule="auto"/>
        <w:jc w:val="center"/>
        <w:rPr>
          <w:rFonts w:hint="eastAsia" w:ascii="Arial" w:hAnsi="Arial" w:cs="Arial" w:eastAsiaTheme="minorEastAsia"/>
          <w:b/>
          <w:color w:val="000000"/>
          <w:sz w:val="32"/>
          <w:szCs w:val="32"/>
          <w:lang w:eastAsia="zh-CN"/>
        </w:rPr>
      </w:pPr>
      <w:r>
        <w:rPr>
          <w:rFonts w:hint="eastAsia" w:ascii="Arial" w:hAnsi="Arial" w:cs="Arial"/>
          <w:b/>
          <w:color w:val="000000"/>
          <w:sz w:val="32"/>
          <w:szCs w:val="32"/>
        </w:rPr>
        <w:t>采购单位：</w:t>
      </w:r>
      <w:r>
        <w:rPr>
          <w:rFonts w:hint="eastAsia" w:ascii="Arial" w:hAnsi="Arial" w:cs="Arial"/>
          <w:b/>
          <w:color w:val="000000"/>
          <w:sz w:val="32"/>
          <w:szCs w:val="32"/>
          <w:lang w:eastAsia="zh-CN"/>
        </w:rPr>
        <w:t>盐城市射阳生态环境局</w:t>
      </w:r>
    </w:p>
    <w:p w14:paraId="666F0C5F">
      <w:pPr>
        <w:pStyle w:val="10"/>
        <w:spacing w:before="120" w:beforeAutospacing="0" w:after="120" w:afterAutospacing="0" w:line="360" w:lineRule="auto"/>
        <w:jc w:val="center"/>
      </w:pPr>
      <w:r>
        <w:rPr>
          <w:rFonts w:hint="eastAsia" w:ascii="Arial" w:hAnsi="Arial" w:cs="Arial"/>
          <w:b/>
          <w:color w:val="000000"/>
          <w:sz w:val="32"/>
          <w:szCs w:val="32"/>
        </w:rPr>
        <w:t>202</w:t>
      </w:r>
      <w:r>
        <w:rPr>
          <w:rFonts w:hint="eastAsia" w:ascii="Arial" w:hAnsi="Arial" w:cs="Arial"/>
          <w:b/>
          <w:color w:val="000000"/>
          <w:sz w:val="32"/>
          <w:szCs w:val="32"/>
          <w:lang w:val="en-US" w:eastAsia="zh-CN"/>
        </w:rPr>
        <w:t>5</w:t>
      </w:r>
      <w:r>
        <w:rPr>
          <w:rFonts w:ascii="Arial" w:hAnsi="Arial" w:cs="Arial"/>
          <w:b/>
          <w:color w:val="000000"/>
          <w:sz w:val="32"/>
          <w:szCs w:val="32"/>
        </w:rPr>
        <w:t>年</w:t>
      </w:r>
      <w:r>
        <w:rPr>
          <w:rFonts w:hint="eastAsia" w:ascii="Arial" w:hAnsi="Arial" w:cs="Arial"/>
          <w:b/>
          <w:color w:val="000000"/>
          <w:sz w:val="32"/>
          <w:szCs w:val="32"/>
          <w:lang w:val="en-US" w:eastAsia="zh-CN"/>
        </w:rPr>
        <w:t>3</w:t>
      </w:r>
      <w:r>
        <w:rPr>
          <w:rFonts w:ascii="Arial" w:hAnsi="Arial" w:cs="Arial"/>
          <w:b/>
          <w:color w:val="000000"/>
          <w:sz w:val="32"/>
          <w:szCs w:val="32"/>
        </w:rPr>
        <w:t>月</w:t>
      </w:r>
    </w:p>
    <w:p w14:paraId="57D614FA">
      <w:pPr>
        <w:pStyle w:val="10"/>
        <w:spacing w:before="120" w:beforeAutospacing="0" w:after="120" w:afterAutospacing="0" w:line="360" w:lineRule="auto"/>
      </w:pPr>
      <w:r>
        <w:rPr>
          <w:rFonts w:ascii="Arial" w:hAnsi="Arial" w:cs="Arial"/>
          <w:color w:val="000000"/>
        </w:rPr>
        <w:t xml:space="preserve">                        </w:t>
      </w:r>
    </w:p>
    <w:p w14:paraId="59EE58F2">
      <w:pPr>
        <w:pStyle w:val="10"/>
        <w:spacing w:before="120" w:beforeAutospacing="0" w:after="120" w:afterAutospacing="0" w:line="360" w:lineRule="auto"/>
        <w:jc w:val="center"/>
      </w:pPr>
      <w:r>
        <w:t> </w:t>
      </w:r>
    </w:p>
    <w:p w14:paraId="446613F7">
      <w:pPr>
        <w:pStyle w:val="10"/>
        <w:spacing w:beforeAutospacing="0" w:afterAutospacing="0" w:line="480" w:lineRule="auto"/>
        <w:jc w:val="center"/>
      </w:pPr>
      <w:r>
        <w:rPr>
          <w:rFonts w:ascii="Times New Roman" w:hAnsi="Times New Roman"/>
          <w:color w:val="000000"/>
          <w:sz w:val="21"/>
          <w:szCs w:val="21"/>
        </w:rPr>
        <w:br w:type="page"/>
      </w:r>
      <w:r>
        <w:rPr>
          <w:rFonts w:ascii="Times New Roman" w:hAnsi="Times New Roman"/>
          <w:color w:val="000000"/>
          <w:sz w:val="21"/>
          <w:szCs w:val="21"/>
        </w:rPr>
        <w:t> </w:t>
      </w:r>
      <w:bookmarkStart w:id="0" w:name="_Toc513029200"/>
      <w:bookmarkStart w:id="1" w:name="_Toc523127445"/>
      <w:bookmarkStart w:id="2" w:name="_Toc479757206"/>
      <w:bookmarkStart w:id="3" w:name="_Toc20823272"/>
      <w:bookmarkStart w:id="4" w:name="_Toc120614210"/>
      <w:bookmarkStart w:id="5" w:name="_Toc16938516"/>
      <w:r>
        <w:rPr>
          <w:rFonts w:ascii="黑体" w:hAnsi="宋体" w:eastAsia="黑体" w:cs="黑体"/>
          <w:b/>
          <w:color w:val="000000"/>
          <w:sz w:val="44"/>
          <w:szCs w:val="44"/>
        </w:rPr>
        <w:t>总  目  录</w:t>
      </w:r>
      <w:bookmarkEnd w:id="0"/>
      <w:bookmarkEnd w:id="1"/>
      <w:bookmarkEnd w:id="2"/>
      <w:bookmarkEnd w:id="3"/>
      <w:bookmarkEnd w:id="4"/>
      <w:bookmarkEnd w:id="5"/>
    </w:p>
    <w:p w14:paraId="6910CBA2">
      <w:pPr>
        <w:pStyle w:val="10"/>
        <w:spacing w:beforeAutospacing="0" w:afterAutospacing="0" w:line="480" w:lineRule="auto"/>
        <w:jc w:val="both"/>
      </w:pPr>
      <w:r>
        <w:t> </w:t>
      </w:r>
    </w:p>
    <w:p w14:paraId="53BE8F1A">
      <w:pPr>
        <w:pStyle w:val="10"/>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 xml:space="preserve">招标公告…………………………………… </w:t>
      </w:r>
    </w:p>
    <w:p w14:paraId="59D9026D">
      <w:pPr>
        <w:pStyle w:val="10"/>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 xml:space="preserve">投标人须知…………………………………  </w:t>
      </w:r>
    </w:p>
    <w:p w14:paraId="527E5A9C">
      <w:pPr>
        <w:pStyle w:val="10"/>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合同文本……………………………………</w:t>
      </w:r>
    </w:p>
    <w:p w14:paraId="3F0A34AC">
      <w:pPr>
        <w:pStyle w:val="10"/>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采购需求……………………………………</w:t>
      </w:r>
    </w:p>
    <w:p w14:paraId="4C43B146">
      <w:pPr>
        <w:pStyle w:val="10"/>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评标方法与评标标准………………………</w:t>
      </w:r>
    </w:p>
    <w:p w14:paraId="5A8FF0B8">
      <w:pPr>
        <w:pStyle w:val="10"/>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投标文件格式………………………………</w:t>
      </w:r>
    </w:p>
    <w:p w14:paraId="700157A3">
      <w:pPr>
        <w:pStyle w:val="10"/>
        <w:spacing w:beforeAutospacing="0" w:afterAutospacing="0"/>
        <w:jc w:val="both"/>
      </w:pPr>
      <w:r>
        <w:t> </w:t>
      </w:r>
    </w:p>
    <w:p w14:paraId="729107E5">
      <w:pPr>
        <w:pStyle w:val="10"/>
        <w:spacing w:beforeAutospacing="0" w:afterAutospacing="0"/>
        <w:jc w:val="both"/>
      </w:pPr>
      <w:r>
        <w:t> </w:t>
      </w:r>
    </w:p>
    <w:p w14:paraId="57478742">
      <w:pPr>
        <w:pStyle w:val="10"/>
        <w:spacing w:beforeAutospacing="0" w:afterAutospacing="0"/>
        <w:jc w:val="both"/>
      </w:pPr>
      <w:r>
        <w:t> </w:t>
      </w:r>
    </w:p>
    <w:p w14:paraId="413B5386">
      <w:pPr>
        <w:pStyle w:val="10"/>
        <w:spacing w:beforeAutospacing="0" w:afterAutospacing="0"/>
        <w:jc w:val="both"/>
      </w:pPr>
      <w:r>
        <w:t> </w:t>
      </w:r>
    </w:p>
    <w:p w14:paraId="3FECB0FF">
      <w:pPr>
        <w:pStyle w:val="10"/>
        <w:spacing w:beforeAutospacing="0" w:afterAutospacing="0"/>
        <w:jc w:val="both"/>
      </w:pPr>
      <w:r>
        <w:t> </w:t>
      </w:r>
    </w:p>
    <w:p w14:paraId="41720D06">
      <w:pPr>
        <w:pStyle w:val="10"/>
        <w:spacing w:beforeAutospacing="0" w:afterAutospacing="0"/>
        <w:jc w:val="both"/>
      </w:pPr>
      <w:r>
        <w:t> </w:t>
      </w:r>
    </w:p>
    <w:p w14:paraId="69237F47">
      <w:pPr>
        <w:pStyle w:val="10"/>
        <w:spacing w:beforeAutospacing="0" w:afterAutospacing="0"/>
        <w:jc w:val="both"/>
      </w:pPr>
      <w:r>
        <w:t> </w:t>
      </w:r>
    </w:p>
    <w:p w14:paraId="21EE7F22">
      <w:pPr>
        <w:pStyle w:val="10"/>
        <w:spacing w:beforeAutospacing="0" w:afterAutospacing="0"/>
        <w:jc w:val="both"/>
      </w:pPr>
      <w:r>
        <w:t> </w:t>
      </w:r>
    </w:p>
    <w:p w14:paraId="6CF0C3DA">
      <w:pPr>
        <w:pStyle w:val="10"/>
        <w:spacing w:beforeAutospacing="0" w:afterAutospacing="0"/>
        <w:jc w:val="both"/>
      </w:pPr>
      <w:r>
        <w:t> </w:t>
      </w:r>
    </w:p>
    <w:p w14:paraId="385592AD">
      <w:pPr>
        <w:pStyle w:val="10"/>
        <w:spacing w:beforeAutospacing="0" w:afterAutospacing="0"/>
        <w:jc w:val="both"/>
      </w:pPr>
      <w:r>
        <w:t> </w:t>
      </w:r>
    </w:p>
    <w:p w14:paraId="0FAA597D">
      <w:pPr>
        <w:pStyle w:val="10"/>
        <w:spacing w:beforeAutospacing="0" w:afterAutospacing="0"/>
        <w:jc w:val="both"/>
      </w:pPr>
      <w:r>
        <w:t> </w:t>
      </w:r>
    </w:p>
    <w:p w14:paraId="4953A3E7">
      <w:pPr>
        <w:pStyle w:val="10"/>
        <w:spacing w:beforeAutospacing="0" w:afterAutospacing="0"/>
        <w:jc w:val="both"/>
      </w:pPr>
      <w:r>
        <w:t> </w:t>
      </w:r>
    </w:p>
    <w:p w14:paraId="2B8A51F2">
      <w:pPr>
        <w:pStyle w:val="10"/>
        <w:spacing w:beforeAutospacing="0" w:afterAutospacing="0"/>
        <w:jc w:val="both"/>
      </w:pPr>
      <w:r>
        <w:t> </w:t>
      </w:r>
    </w:p>
    <w:p w14:paraId="35EDD76E">
      <w:pPr>
        <w:pStyle w:val="10"/>
        <w:spacing w:beforeAutospacing="0" w:afterAutospacing="0"/>
        <w:jc w:val="both"/>
      </w:pPr>
      <w:r>
        <w:t> </w:t>
      </w:r>
    </w:p>
    <w:p w14:paraId="512E0831">
      <w:pPr>
        <w:pStyle w:val="10"/>
        <w:spacing w:beforeAutospacing="0" w:afterAutospacing="0"/>
        <w:jc w:val="both"/>
      </w:pPr>
      <w:r>
        <w:t> </w:t>
      </w:r>
    </w:p>
    <w:p w14:paraId="3CB44CD0">
      <w:pPr>
        <w:pStyle w:val="10"/>
        <w:spacing w:beforeAutospacing="0" w:afterAutospacing="0"/>
        <w:jc w:val="both"/>
      </w:pPr>
      <w:r>
        <w:t> </w:t>
      </w:r>
    </w:p>
    <w:p w14:paraId="13C32672">
      <w:pPr>
        <w:pStyle w:val="10"/>
        <w:spacing w:beforeAutospacing="0" w:afterAutospacing="0"/>
        <w:jc w:val="both"/>
      </w:pPr>
      <w:r>
        <w:t> </w:t>
      </w:r>
    </w:p>
    <w:p w14:paraId="6B0F551F">
      <w:pPr>
        <w:pStyle w:val="10"/>
        <w:spacing w:beforeAutospacing="0" w:afterAutospacing="0"/>
        <w:jc w:val="both"/>
      </w:pPr>
      <w:r>
        <w:t> </w:t>
      </w:r>
    </w:p>
    <w:p w14:paraId="4961C680">
      <w:pPr>
        <w:pStyle w:val="10"/>
        <w:spacing w:beforeAutospacing="0" w:afterAutospacing="0"/>
        <w:jc w:val="both"/>
      </w:pPr>
      <w:r>
        <w:t> </w:t>
      </w:r>
    </w:p>
    <w:p w14:paraId="422C397B">
      <w:pPr>
        <w:pStyle w:val="10"/>
        <w:spacing w:beforeAutospacing="0" w:afterAutospacing="0"/>
        <w:jc w:val="both"/>
      </w:pPr>
      <w:r>
        <w:t> </w:t>
      </w:r>
    </w:p>
    <w:p w14:paraId="04A05845">
      <w:pPr>
        <w:pStyle w:val="10"/>
        <w:spacing w:beforeAutospacing="0" w:afterAutospacing="0"/>
        <w:jc w:val="both"/>
      </w:pPr>
      <w:r>
        <w:t> </w:t>
      </w:r>
    </w:p>
    <w:p w14:paraId="618684F7">
      <w:pPr>
        <w:pStyle w:val="10"/>
        <w:spacing w:beforeAutospacing="0" w:afterAutospacing="0"/>
        <w:jc w:val="both"/>
      </w:pPr>
      <w:r>
        <w:t> </w:t>
      </w:r>
    </w:p>
    <w:p w14:paraId="4958C3B1">
      <w:pPr>
        <w:pStyle w:val="10"/>
        <w:spacing w:beforeAutospacing="0" w:afterAutospacing="0"/>
        <w:jc w:val="both"/>
      </w:pPr>
      <w:r>
        <w:t> </w:t>
      </w:r>
    </w:p>
    <w:p w14:paraId="53B95F4F">
      <w:pPr>
        <w:pStyle w:val="10"/>
        <w:spacing w:beforeAutospacing="0" w:afterAutospacing="0"/>
        <w:jc w:val="both"/>
      </w:pPr>
      <w:r>
        <w:t> </w:t>
      </w:r>
    </w:p>
    <w:p w14:paraId="00014ADF">
      <w:pPr>
        <w:pStyle w:val="10"/>
        <w:spacing w:beforeAutospacing="0" w:afterAutospacing="0"/>
        <w:jc w:val="both"/>
      </w:pPr>
      <w:r>
        <w:t> </w:t>
      </w:r>
    </w:p>
    <w:p w14:paraId="3DBAA6A1">
      <w:pPr>
        <w:pStyle w:val="10"/>
        <w:spacing w:beforeAutospacing="0" w:afterAutospacing="0"/>
        <w:jc w:val="both"/>
      </w:pPr>
      <w:r>
        <w:t> </w:t>
      </w:r>
    </w:p>
    <w:p w14:paraId="49CF71E9">
      <w:pPr>
        <w:pStyle w:val="10"/>
        <w:spacing w:beforeAutospacing="0" w:afterAutospacing="0"/>
        <w:jc w:val="both"/>
      </w:pPr>
      <w:r>
        <w:t> </w:t>
      </w:r>
    </w:p>
    <w:p w14:paraId="26299D80">
      <w:pPr>
        <w:pStyle w:val="10"/>
        <w:spacing w:beforeAutospacing="0" w:afterAutospacing="0"/>
        <w:jc w:val="both"/>
      </w:pPr>
      <w:r>
        <w:t> </w:t>
      </w:r>
    </w:p>
    <w:p w14:paraId="6A2A95C3">
      <w:pPr>
        <w:pStyle w:val="10"/>
        <w:spacing w:beforeAutospacing="0" w:afterAutospacing="0"/>
        <w:jc w:val="both"/>
        <w:rPr>
          <w:rFonts w:eastAsia="黑体"/>
        </w:rPr>
      </w:pPr>
      <w:r>
        <w:t> </w:t>
      </w:r>
      <w:bookmarkStart w:id="6" w:name="_Toc28359086"/>
      <w:r>
        <w:rPr>
          <w:rFonts w:hint="eastAsia"/>
        </w:rPr>
        <w:t xml:space="preserve">                  </w:t>
      </w:r>
      <w:r>
        <w:rPr>
          <w:rFonts w:hint="eastAsia" w:ascii="黑体" w:hAnsi="宋体" w:eastAsia="黑体" w:cs="黑体"/>
          <w:color w:val="000000"/>
          <w:sz w:val="44"/>
          <w:szCs w:val="44"/>
        </w:rPr>
        <w:t>第一章 招标公告</w:t>
      </w:r>
    </w:p>
    <w:p w14:paraId="059E464D">
      <w:pPr>
        <w:pStyle w:val="10"/>
        <w:pBdr>
          <w:top w:val="single" w:color="000000" w:sz="4" w:space="0"/>
          <w:left w:val="single" w:color="000000" w:sz="4" w:space="0"/>
          <w:bottom w:val="single" w:color="000000" w:sz="4" w:space="0"/>
          <w:right w:val="single" w:color="000000" w:sz="4" w:space="0"/>
        </w:pBdr>
        <w:spacing w:beforeAutospacing="0" w:afterAutospacing="0" w:line="360" w:lineRule="auto"/>
        <w:ind w:firstLine="480"/>
        <w:rPr>
          <w:rFonts w:ascii="宋体" w:hAnsi="宋体" w:eastAsia="宋体" w:cs="宋体"/>
        </w:rPr>
      </w:pPr>
      <w:r>
        <w:rPr>
          <w:rFonts w:hint="eastAsia" w:ascii="宋体" w:hAnsi="宋体" w:eastAsia="宋体" w:cs="宋体"/>
          <w:color w:val="000000"/>
        </w:rPr>
        <w:t>项目概况</w:t>
      </w:r>
    </w:p>
    <w:p w14:paraId="7BAD7642">
      <w:pPr>
        <w:pStyle w:val="10"/>
        <w:pBdr>
          <w:top w:val="single" w:color="000000" w:sz="4" w:space="0"/>
          <w:left w:val="single" w:color="000000" w:sz="4" w:space="0"/>
          <w:bottom w:val="single" w:color="000000" w:sz="4" w:space="0"/>
          <w:right w:val="single" w:color="000000" w:sz="4" w:space="0"/>
        </w:pBdr>
        <w:spacing w:beforeAutospacing="0" w:afterAutospacing="0" w:line="360" w:lineRule="auto"/>
        <w:ind w:firstLine="480"/>
        <w:rPr>
          <w:rFonts w:ascii="仿宋" w:hAnsi="仿宋" w:eastAsia="仿宋" w:cs="仿宋"/>
          <w:sz w:val="28"/>
          <w:szCs w:val="28"/>
        </w:rPr>
      </w:pPr>
      <w:r>
        <w:rPr>
          <w:rFonts w:hint="eastAsia" w:ascii="宋体" w:hAnsi="宋体" w:eastAsia="宋体" w:cs="宋体"/>
          <w:color w:val="000000"/>
          <w:lang w:eastAsia="zh-CN"/>
        </w:rPr>
        <w:t>盐城市射阳生态环境局射阳县国考断面河流水质自动站设备改造项目</w:t>
      </w:r>
      <w:r>
        <w:rPr>
          <w:rFonts w:hint="eastAsia" w:ascii="宋体" w:hAnsi="宋体" w:eastAsia="宋体" w:cs="宋体"/>
          <w:color w:val="000000"/>
        </w:rPr>
        <w:t>的潜在投标人可在</w:t>
      </w:r>
      <w:r>
        <w:rPr>
          <w:rFonts w:hint="eastAsia" w:ascii="宋体" w:hAnsi="宋体" w:eastAsia="宋体" w:cs="宋体"/>
          <w:color w:val="000000"/>
          <w:u w:val="single"/>
        </w:rPr>
        <w:t>“中国政府采购网”、“江苏政府采购网、盐城市政府采购网”</w:t>
      </w:r>
      <w:r>
        <w:rPr>
          <w:rFonts w:hint="eastAsia" w:ascii="宋体" w:hAnsi="宋体" w:eastAsia="宋体" w:cs="宋体"/>
          <w:color w:val="000000"/>
        </w:rPr>
        <w:t>获取招标文件，并于</w:t>
      </w:r>
      <w:r>
        <w:rPr>
          <w:rFonts w:hint="eastAsia" w:ascii="宋体" w:hAnsi="宋体" w:eastAsia="宋体" w:cs="宋体"/>
          <w:color w:val="000000"/>
          <w:u w:val="single"/>
        </w:rPr>
        <w:t>202</w:t>
      </w:r>
      <w:r>
        <w:rPr>
          <w:rFonts w:hint="eastAsia" w:ascii="宋体" w:hAnsi="宋体" w:eastAsia="宋体" w:cs="宋体"/>
          <w:color w:val="000000"/>
          <w:u w:val="single"/>
          <w:lang w:val="en-US" w:eastAsia="zh-CN"/>
        </w:rPr>
        <w:t>5</w:t>
      </w:r>
      <w:r>
        <w:rPr>
          <w:rFonts w:hint="eastAsia" w:ascii="宋体" w:hAnsi="宋体" w:eastAsia="宋体" w:cs="宋体"/>
          <w:color w:val="000000"/>
          <w:u w:val="single"/>
        </w:rPr>
        <w:t>年</w:t>
      </w:r>
      <w:r>
        <w:rPr>
          <w:rFonts w:hint="eastAsia" w:ascii="宋体" w:hAnsi="宋体" w:eastAsia="宋体" w:cs="宋体"/>
          <w:color w:val="000000"/>
          <w:u w:val="single"/>
          <w:lang w:val="en-US" w:eastAsia="zh-CN"/>
        </w:rPr>
        <w:t>4</w:t>
      </w:r>
      <w:r>
        <w:rPr>
          <w:rFonts w:hint="eastAsia" w:ascii="宋体" w:hAnsi="宋体" w:eastAsia="宋体" w:cs="宋体"/>
          <w:color w:val="000000"/>
          <w:u w:val="single"/>
        </w:rPr>
        <w:t>月</w:t>
      </w:r>
      <w:r>
        <w:rPr>
          <w:rFonts w:hint="eastAsia" w:ascii="宋体" w:hAnsi="宋体" w:eastAsia="宋体" w:cs="宋体"/>
          <w:color w:val="000000"/>
          <w:u w:val="single"/>
          <w:lang w:val="en-US" w:eastAsia="zh-CN"/>
        </w:rPr>
        <w:t>3</w:t>
      </w:r>
      <w:r>
        <w:rPr>
          <w:rFonts w:hint="eastAsia" w:ascii="宋体" w:hAnsi="宋体" w:eastAsia="宋体" w:cs="宋体"/>
          <w:color w:val="000000"/>
          <w:u w:val="single"/>
        </w:rPr>
        <w:t>日15点00分（</w:t>
      </w:r>
      <w:r>
        <w:rPr>
          <w:rFonts w:hint="eastAsia" w:ascii="宋体" w:hAnsi="宋体" w:eastAsia="宋体" w:cs="宋体"/>
          <w:color w:val="000000"/>
        </w:rPr>
        <w:t>北京时间）前递交投标文件</w:t>
      </w:r>
      <w:r>
        <w:rPr>
          <w:rFonts w:hint="eastAsia" w:ascii="仿宋" w:hAnsi="仿宋" w:eastAsia="仿宋" w:cs="仿宋"/>
          <w:color w:val="000000"/>
          <w:sz w:val="28"/>
          <w:szCs w:val="28"/>
        </w:rPr>
        <w:t>。</w:t>
      </w:r>
    </w:p>
    <w:p w14:paraId="564E8FF1">
      <w:pPr>
        <w:pStyle w:val="10"/>
        <w:tabs>
          <w:tab w:val="left" w:pos="901"/>
        </w:tabs>
        <w:spacing w:beforeAutospacing="0" w:afterAutospacing="0" w:line="360" w:lineRule="auto"/>
        <w:ind w:firstLine="480"/>
        <w:jc w:val="both"/>
        <w:rPr>
          <w:rFonts w:ascii="宋体" w:hAnsi="宋体" w:eastAsia="宋体" w:cs="宋体"/>
          <w:b/>
          <w:bCs/>
          <w:color w:val="000000"/>
        </w:rPr>
      </w:pPr>
      <w:bookmarkStart w:id="7" w:name="_Toc35393790"/>
      <w:bookmarkStart w:id="8" w:name="_Hlk24379207"/>
      <w:bookmarkStart w:id="9" w:name="_Toc28359079"/>
      <w:bookmarkStart w:id="10" w:name="_Toc38985263"/>
      <w:bookmarkStart w:id="11" w:name="_Toc28359002"/>
      <w:bookmarkStart w:id="12" w:name="_Toc35393621"/>
      <w:r>
        <w:rPr>
          <w:rFonts w:hint="eastAsia" w:ascii="宋体" w:hAnsi="宋体" w:eastAsia="宋体" w:cs="宋体"/>
          <w:b/>
          <w:bCs/>
          <w:color w:val="000000"/>
        </w:rPr>
        <w:t>一、项目基本情况</w:t>
      </w:r>
      <w:bookmarkEnd w:id="7"/>
      <w:bookmarkEnd w:id="8"/>
      <w:bookmarkEnd w:id="9"/>
      <w:bookmarkEnd w:id="10"/>
      <w:bookmarkEnd w:id="11"/>
      <w:bookmarkEnd w:id="12"/>
    </w:p>
    <w:p w14:paraId="79F9C5C6">
      <w:pPr>
        <w:pStyle w:val="10"/>
        <w:spacing w:before="120" w:beforeAutospacing="0" w:after="120" w:afterAutospacing="0" w:line="360" w:lineRule="auto"/>
        <w:ind w:firstLine="480" w:firstLineChars="200"/>
        <w:jc w:val="both"/>
        <w:rPr>
          <w:rFonts w:hint="default" w:ascii="Times New Roman" w:hAnsi="Times New Roman" w:cs="Times New Roman" w:eastAsiaTheme="minorEastAsia"/>
          <w:lang w:val="en-US" w:eastAsia="zh-CN"/>
        </w:rPr>
      </w:pPr>
      <w:r>
        <w:rPr>
          <w:rFonts w:hint="eastAsia" w:ascii="宋体" w:hAnsi="宋体" w:eastAsia="宋体" w:cs="宋体"/>
          <w:color w:val="000000"/>
        </w:rPr>
        <w:t>1.项目编号：JSZC-320924-YCCD-G2025-0003</w:t>
      </w:r>
    </w:p>
    <w:p w14:paraId="11A79806">
      <w:pPr>
        <w:pStyle w:val="10"/>
        <w:tabs>
          <w:tab w:val="left" w:pos="901"/>
        </w:tabs>
        <w:spacing w:beforeAutospacing="0" w:afterAutospacing="0" w:line="360" w:lineRule="auto"/>
        <w:ind w:firstLine="480"/>
        <w:jc w:val="both"/>
        <w:rPr>
          <w:rFonts w:hint="eastAsia" w:ascii="宋体" w:hAnsi="宋体" w:eastAsia="宋体" w:cs="宋体"/>
          <w:color w:val="000000"/>
          <w:lang w:eastAsia="zh-CN"/>
        </w:rPr>
      </w:pPr>
      <w:r>
        <w:rPr>
          <w:rFonts w:hint="eastAsia" w:ascii="宋体" w:hAnsi="宋体" w:eastAsia="宋体" w:cs="宋体"/>
          <w:color w:val="000000"/>
        </w:rPr>
        <w:t>2.项目名称：</w:t>
      </w:r>
      <w:r>
        <w:rPr>
          <w:rFonts w:hint="eastAsia" w:ascii="宋体" w:hAnsi="宋体" w:eastAsia="宋体" w:cs="宋体"/>
          <w:color w:val="000000"/>
          <w:lang w:eastAsia="zh-CN"/>
        </w:rPr>
        <w:t>盐城市射阳生态环境局射阳县国考断面河流水质自动站设备改造项目</w:t>
      </w:r>
    </w:p>
    <w:p w14:paraId="580DDC4D">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3.采购方式：公开招标</w:t>
      </w:r>
      <w:bookmarkStart w:id="243" w:name="_GoBack"/>
      <w:bookmarkEnd w:id="243"/>
    </w:p>
    <w:p w14:paraId="3DBA8CD2">
      <w:pPr>
        <w:pStyle w:val="10"/>
        <w:tabs>
          <w:tab w:val="left" w:pos="901"/>
        </w:tabs>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4.预算金额：120万元</w:t>
      </w:r>
    </w:p>
    <w:p w14:paraId="57771654">
      <w:pPr>
        <w:pStyle w:val="10"/>
        <w:tabs>
          <w:tab w:val="left" w:pos="901"/>
        </w:tabs>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rPr>
        <w:t>5.最高限价：120万元</w:t>
      </w:r>
    </w:p>
    <w:p w14:paraId="4E326901">
      <w:pPr>
        <w:pStyle w:val="10"/>
        <w:tabs>
          <w:tab w:val="left" w:pos="901"/>
        </w:tabs>
        <w:spacing w:beforeAutospacing="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rPr>
        <w:t>6.采购需求：</w:t>
      </w:r>
      <w:r>
        <w:rPr>
          <w:rFonts w:hint="eastAsia" w:ascii="宋体" w:hAnsi="宋体" w:eastAsia="宋体" w:cs="宋体"/>
          <w:color w:val="000000"/>
          <w:lang w:val="en-US" w:eastAsia="zh-CN"/>
        </w:rPr>
        <w:t>盐城市射阳生态环境局对射阳县国考断面河流水质自动站设备改造项目进行采购</w:t>
      </w:r>
      <w:r>
        <w:rPr>
          <w:rFonts w:hint="eastAsia" w:ascii="宋体" w:hAnsi="宋体" w:eastAsia="宋体" w:cs="宋体"/>
          <w:color w:val="000000"/>
        </w:rPr>
        <w:t>。</w:t>
      </w:r>
      <w:r>
        <w:rPr>
          <w:rFonts w:hint="eastAsia" w:ascii="宋体" w:hAnsi="宋体" w:eastAsia="宋体" w:cs="宋体"/>
          <w:color w:val="000000"/>
          <w:lang w:val="en-US" w:eastAsia="zh-CN"/>
        </w:rPr>
        <w:t>本项目涉及射阳河千秋水站、黄沙港新洋农场水站、射阳河海河同丰水站、新洋港洋马东移水站等4个水站，项目主要内容为：一是对射阳河千秋水站、黄沙港新洋农场水站仪器设备及配套设施进行改造更新；二是根据水站现有仪器设备状况，对射阳河海河同丰水站、新洋港洋马东移水站仪器设备进行整合；三是采购上述4个水站一年的全托管运维服务，</w:t>
      </w:r>
      <w:r>
        <w:rPr>
          <w:rFonts w:hint="eastAsia" w:ascii="宋体" w:hAnsi="宋体" w:eastAsia="宋体" w:cs="宋体"/>
          <w:color w:val="000000"/>
        </w:rPr>
        <w:t>具体采购范围及所应达到的具体要求，</w:t>
      </w:r>
      <w:r>
        <w:rPr>
          <w:rFonts w:hint="eastAsia" w:ascii="宋体" w:hAnsi="宋体" w:eastAsia="宋体" w:cs="宋体"/>
          <w:color w:val="000000"/>
          <w:lang w:val="en-US" w:eastAsia="zh-CN"/>
        </w:rPr>
        <w:t>详见本招标文件中项目需求。本项目质保期：5年.</w:t>
      </w:r>
    </w:p>
    <w:p w14:paraId="64FCB664">
      <w:pPr>
        <w:pStyle w:val="10"/>
        <w:tabs>
          <w:tab w:val="left" w:pos="901"/>
        </w:tabs>
        <w:spacing w:beforeAutospacing="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7.合同履行期限：合同签订后30日历天内供货到采购人指定地点，并完成安装调试。自验收合格日起提供一年运维服务。</w:t>
      </w:r>
    </w:p>
    <w:p w14:paraId="180A51AE">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8.本项目不接受联合体参与招标</w:t>
      </w:r>
    </w:p>
    <w:p w14:paraId="3C1EDD13">
      <w:pPr>
        <w:pStyle w:val="10"/>
        <w:tabs>
          <w:tab w:val="left" w:pos="901"/>
        </w:tabs>
        <w:spacing w:beforeAutospacing="0" w:afterAutospacing="0" w:line="360" w:lineRule="auto"/>
        <w:ind w:firstLine="480"/>
        <w:jc w:val="both"/>
        <w:rPr>
          <w:rFonts w:ascii="宋体" w:hAnsi="宋体" w:eastAsia="宋体" w:cs="宋体"/>
          <w:b/>
          <w:bCs/>
          <w:color w:val="000000"/>
        </w:rPr>
      </w:pPr>
      <w:bookmarkStart w:id="13" w:name="_Toc35393791"/>
      <w:bookmarkStart w:id="14" w:name="_Toc38985264"/>
      <w:bookmarkStart w:id="15" w:name="_Toc35393622"/>
      <w:bookmarkStart w:id="16" w:name="_Toc28359080"/>
      <w:bookmarkStart w:id="17" w:name="_Toc28359003"/>
      <w:r>
        <w:rPr>
          <w:rFonts w:hint="eastAsia" w:ascii="宋体" w:hAnsi="宋体" w:eastAsia="宋体" w:cs="宋体"/>
          <w:b/>
          <w:bCs/>
          <w:color w:val="000000"/>
        </w:rPr>
        <w:t>二、申请人的资格要求：</w:t>
      </w:r>
      <w:bookmarkEnd w:id="13"/>
      <w:bookmarkEnd w:id="14"/>
      <w:bookmarkEnd w:id="15"/>
      <w:bookmarkEnd w:id="16"/>
      <w:bookmarkEnd w:id="17"/>
    </w:p>
    <w:p w14:paraId="484848BF">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1.满足《中华人民共和国政府采购法》第二十二条规定，并提供下列材料：</w:t>
      </w:r>
    </w:p>
    <w:p w14:paraId="3264DB24">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1.1 法人或者其他组织的营业执照等证明文件，自然人的身份证明；</w:t>
      </w:r>
    </w:p>
    <w:p w14:paraId="6938A1EC">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1.2上一年度的财务状况报表（成立不满一年无需提供）；</w:t>
      </w:r>
    </w:p>
    <w:p w14:paraId="4D18A828">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1.3具备履行合同所必需的设备和专业技术能力的书面声明；</w:t>
      </w:r>
    </w:p>
    <w:p w14:paraId="705E13DF">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1F7F46F0">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1.5参加政府采购活动前3年内在经营活动中没有重大违法记录的书面声明。</w:t>
      </w:r>
    </w:p>
    <w:p w14:paraId="4E8C90BF">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1.6法律、行政法规规定的其他条件。</w:t>
      </w:r>
    </w:p>
    <w:p w14:paraId="10B8A216">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落实政府采购政策需满足的资格要求：本项目为货物类采购项目，所属行业为：生产制造业。本项目专门面向中小企业采购，投标人所投货物须为符合《关于印发中小企业划型标准规定的通知》（工信部联企业[2011]300号）文件的中小企业（申请时须提供中小企业声明函，否则按无效标处理）。</w:t>
      </w:r>
    </w:p>
    <w:p w14:paraId="42B6BD0B">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3.本项目的特定资格要求：</w:t>
      </w:r>
    </w:p>
    <w:p w14:paraId="5A11EC68">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3.1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3DCAAB1D">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3.2单位负责人为同一人或者存在直接控股、服务关系的不同供应商，不得参加同一合同项下的政府采购活动。</w:t>
      </w:r>
    </w:p>
    <w:p w14:paraId="0F781B70">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三、获取招标文件</w:t>
      </w:r>
    </w:p>
    <w:p w14:paraId="65710F02">
      <w:pPr>
        <w:pStyle w:val="10"/>
        <w:tabs>
          <w:tab w:val="left" w:pos="901"/>
        </w:tabs>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lang w:val="en-US" w:eastAsia="zh-CN"/>
        </w:rPr>
        <w:t>1.</w:t>
      </w:r>
      <w:r>
        <w:rPr>
          <w:rFonts w:hint="eastAsia" w:ascii="宋体" w:hAnsi="宋体" w:eastAsia="宋体" w:cs="宋体"/>
          <w:color w:val="000000"/>
        </w:rPr>
        <w:t xml:space="preserve">时间：自招标文件公告发布之日起5个工作日 </w:t>
      </w:r>
    </w:p>
    <w:p w14:paraId="6325FE29">
      <w:pPr>
        <w:pStyle w:val="10"/>
        <w:tabs>
          <w:tab w:val="left" w:pos="901"/>
        </w:tabs>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lang w:val="en-US" w:eastAsia="zh-CN"/>
        </w:rPr>
        <w:t>2.</w:t>
      </w:r>
      <w:r>
        <w:rPr>
          <w:rFonts w:hint="eastAsia" w:ascii="宋体" w:hAnsi="宋体" w:eastAsia="宋体" w:cs="宋体"/>
          <w:color w:val="000000"/>
        </w:rPr>
        <w:t xml:space="preserve">地点：网上注册登记成功后系统内免费下载 </w:t>
      </w:r>
    </w:p>
    <w:p w14:paraId="18C8AC38">
      <w:pPr>
        <w:pStyle w:val="10"/>
        <w:tabs>
          <w:tab w:val="left" w:pos="901"/>
        </w:tabs>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lang w:val="en-US" w:eastAsia="zh-CN"/>
        </w:rPr>
        <w:t>3.</w:t>
      </w:r>
      <w:r>
        <w:rPr>
          <w:rFonts w:hint="eastAsia" w:ascii="宋体" w:hAnsi="宋体" w:eastAsia="宋体" w:cs="宋体"/>
          <w:color w:val="000000"/>
        </w:rPr>
        <w:t xml:space="preserve">方式：本项目采用网上注册登记方式 </w:t>
      </w:r>
    </w:p>
    <w:p w14:paraId="3372792F">
      <w:pPr>
        <w:pStyle w:val="10"/>
        <w:tabs>
          <w:tab w:val="left" w:pos="901"/>
        </w:tabs>
        <w:spacing w:beforeAutospacing="0" w:afterAutospacing="0" w:line="360" w:lineRule="auto"/>
        <w:ind w:firstLine="480"/>
        <w:jc w:val="both"/>
        <w:rPr>
          <w:rFonts w:hint="eastAsia" w:ascii="宋体" w:hAnsi="宋体" w:eastAsia="宋体" w:cs="宋体"/>
          <w:color w:val="000000"/>
        </w:rPr>
      </w:pPr>
      <w:r>
        <w:rPr>
          <w:rFonts w:hint="eastAsia" w:ascii="宋体" w:hAnsi="宋体" w:eastAsia="宋体" w:cs="宋体"/>
          <w:color w:val="000000"/>
          <w:lang w:val="en-US" w:eastAsia="zh-CN"/>
        </w:rPr>
        <w:t>4.</w:t>
      </w:r>
      <w:r>
        <w:rPr>
          <w:rFonts w:hint="eastAsia" w:ascii="宋体" w:hAnsi="宋体" w:eastAsia="宋体" w:cs="宋体"/>
          <w:color w:val="000000"/>
        </w:rPr>
        <w:t xml:space="preserve">售价：0.00元 </w:t>
      </w:r>
    </w:p>
    <w:p w14:paraId="16492BE5">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四、提交投标文件截止时间、开标时间和地点</w:t>
      </w:r>
    </w:p>
    <w:p w14:paraId="7B18B706">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1.时间：202</w:t>
      </w:r>
      <w:r>
        <w:rPr>
          <w:rFonts w:hint="eastAsia" w:ascii="宋体" w:hAnsi="宋体" w:eastAsia="宋体" w:cs="宋体"/>
          <w:color w:val="000000"/>
          <w:lang w:val="en-US" w:eastAsia="zh-CN"/>
        </w:rPr>
        <w:t>5</w:t>
      </w:r>
      <w:r>
        <w:rPr>
          <w:rFonts w:hint="eastAsia" w:ascii="宋体" w:hAnsi="宋体" w:eastAsia="宋体" w:cs="宋体"/>
          <w:color w:val="000000"/>
        </w:rPr>
        <w:t>年</w:t>
      </w:r>
      <w:r>
        <w:rPr>
          <w:rFonts w:hint="eastAsia" w:ascii="宋体" w:hAnsi="宋体" w:eastAsia="宋体" w:cs="宋体"/>
          <w:color w:val="000000"/>
          <w:lang w:val="en-US" w:eastAsia="zh-CN"/>
        </w:rPr>
        <w:t>4</w:t>
      </w:r>
      <w:r>
        <w:rPr>
          <w:rFonts w:hint="eastAsia" w:ascii="宋体" w:hAnsi="宋体" w:eastAsia="宋体" w:cs="宋体"/>
          <w:color w:val="000000"/>
        </w:rPr>
        <w:t>月</w:t>
      </w:r>
      <w:r>
        <w:rPr>
          <w:rFonts w:hint="eastAsia" w:ascii="宋体" w:hAnsi="宋体" w:eastAsia="宋体" w:cs="宋体"/>
          <w:color w:val="000000"/>
          <w:lang w:val="en-US" w:eastAsia="zh-CN"/>
        </w:rPr>
        <w:t>3</w:t>
      </w:r>
      <w:r>
        <w:rPr>
          <w:rFonts w:hint="eastAsia" w:ascii="宋体" w:hAnsi="宋体" w:eastAsia="宋体" w:cs="宋体"/>
          <w:color w:val="000000"/>
        </w:rPr>
        <w:t>日</w:t>
      </w:r>
      <w:r>
        <w:rPr>
          <w:rFonts w:hint="eastAsia" w:ascii="宋体" w:hAnsi="宋体" w:eastAsia="宋体" w:cs="宋体"/>
          <w:color w:val="000000"/>
          <w:lang w:val="en-US" w:eastAsia="zh-CN"/>
        </w:rPr>
        <w:t>15</w:t>
      </w:r>
      <w:r>
        <w:rPr>
          <w:rFonts w:hint="eastAsia" w:ascii="宋体" w:hAnsi="宋体" w:eastAsia="宋体" w:cs="宋体"/>
          <w:color w:val="000000"/>
        </w:rPr>
        <w:t>点00分（北京时间）。</w:t>
      </w:r>
    </w:p>
    <w:p w14:paraId="57B7310C">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2.地点：“苏采云”政府采购交易系统网上开标大厅。</w:t>
      </w:r>
    </w:p>
    <w:p w14:paraId="0091A419">
      <w:pPr>
        <w:pStyle w:val="10"/>
        <w:tabs>
          <w:tab w:val="left" w:pos="901"/>
        </w:tabs>
        <w:spacing w:beforeAutospacing="0" w:afterAutospacing="0" w:line="360" w:lineRule="auto"/>
        <w:ind w:firstLine="480"/>
        <w:jc w:val="both"/>
        <w:rPr>
          <w:rFonts w:ascii="宋体" w:hAnsi="宋体" w:eastAsia="宋体" w:cs="宋体"/>
          <w:b/>
          <w:bCs/>
          <w:color w:val="000000"/>
        </w:rPr>
      </w:pPr>
      <w:bookmarkStart w:id="18" w:name="_Toc28359084"/>
      <w:bookmarkStart w:id="19" w:name="_Toc38985267"/>
      <w:bookmarkStart w:id="20" w:name="_Toc35393794"/>
      <w:bookmarkStart w:id="21" w:name="_Toc28359007"/>
      <w:bookmarkStart w:id="22" w:name="_Toc35393625"/>
      <w:r>
        <w:rPr>
          <w:rFonts w:hint="eastAsia" w:ascii="宋体" w:hAnsi="宋体" w:eastAsia="宋体" w:cs="宋体"/>
          <w:b/>
          <w:bCs/>
          <w:color w:val="000000"/>
        </w:rPr>
        <w:t>五、公告期限</w:t>
      </w:r>
      <w:bookmarkEnd w:id="18"/>
      <w:bookmarkEnd w:id="19"/>
      <w:bookmarkEnd w:id="20"/>
      <w:bookmarkEnd w:id="21"/>
      <w:bookmarkEnd w:id="22"/>
    </w:p>
    <w:p w14:paraId="0D02F144">
      <w:pPr>
        <w:pStyle w:val="10"/>
        <w:tabs>
          <w:tab w:val="left" w:pos="901"/>
        </w:tabs>
        <w:spacing w:beforeAutospacing="0" w:afterAutospacing="0" w:line="360" w:lineRule="auto"/>
        <w:ind w:firstLine="480"/>
        <w:jc w:val="both"/>
        <w:rPr>
          <w:rFonts w:ascii="宋体" w:hAnsi="宋体" w:eastAsia="宋体" w:cs="宋体"/>
          <w:color w:val="000000"/>
        </w:rPr>
      </w:pPr>
      <w:bookmarkStart w:id="23" w:name="_Toc38985268"/>
      <w:bookmarkStart w:id="24" w:name="_Toc35393795"/>
      <w:bookmarkStart w:id="25" w:name="_Toc35393626"/>
      <w:r>
        <w:rPr>
          <w:rFonts w:hint="eastAsia" w:ascii="宋体" w:hAnsi="宋体" w:eastAsia="宋体" w:cs="宋体"/>
          <w:color w:val="000000"/>
        </w:rPr>
        <w:t>自本公告发布之日起5个工作日。</w:t>
      </w:r>
      <w:bookmarkEnd w:id="23"/>
      <w:bookmarkEnd w:id="24"/>
      <w:bookmarkEnd w:id="25"/>
    </w:p>
    <w:p w14:paraId="335757AA">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六、其他补充事宜</w:t>
      </w:r>
    </w:p>
    <w:p w14:paraId="0FA38D75">
      <w:pPr>
        <w:pStyle w:val="10"/>
        <w:tabs>
          <w:tab w:val="left" w:pos="901"/>
        </w:tabs>
        <w:spacing w:beforeAutospacing="0" w:afterAutospacing="0" w:line="360" w:lineRule="auto"/>
        <w:ind w:firstLine="480"/>
        <w:jc w:val="both"/>
        <w:rPr>
          <w:rFonts w:ascii="宋体" w:hAnsi="宋体" w:eastAsia="宋体" w:cs="宋体"/>
          <w:color w:val="000000"/>
        </w:rPr>
      </w:pPr>
      <w:bookmarkStart w:id="26" w:name="_Toc28359018"/>
      <w:r>
        <w:rPr>
          <w:rFonts w:hint="eastAsia" w:ascii="宋体" w:hAnsi="宋体" w:eastAsia="宋体" w:cs="宋体"/>
          <w:color w:val="000000"/>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513D0A5B">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http://www.ccgp-jiangsu.gov.cn/jiangsu/zlxz/ee/ee3a4bc5a3454aa2b0d9312230633ce9.html。</w:t>
      </w:r>
    </w:p>
    <w:p w14:paraId="26FA466A">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载地址：http://czj.yancheng.gov.cn/art/2023/9/14/art_2407_4057499.html。</w:t>
      </w:r>
    </w:p>
    <w:p w14:paraId="42185156">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2.有关本次招标的事项若存在变动或修改，敬请及时关注盐城市政府招标代理机构在“中国政府采购网”、“江苏政府采购网”、“盐城市政府采购网”发布的更正公告。</w:t>
      </w:r>
    </w:p>
    <w:p w14:paraId="61BF0AC1">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3.本次招标不收取投标保证金，不收取质量保证金。</w:t>
      </w:r>
    </w:p>
    <w:p w14:paraId="749F165C">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七、对本次招标提出询问，请按以下方式联系。</w:t>
      </w:r>
      <w:bookmarkEnd w:id="26"/>
    </w:p>
    <w:p w14:paraId="067FF2FA">
      <w:pPr>
        <w:pStyle w:val="10"/>
        <w:spacing w:beforeAutospacing="0" w:afterAutospacing="0" w:line="460" w:lineRule="exact"/>
        <w:ind w:firstLine="480"/>
        <w:jc w:val="both"/>
        <w:rPr>
          <w:rFonts w:hint="eastAsia" w:ascii="宋体" w:hAnsi="宋体" w:eastAsia="宋体" w:cs="宋体"/>
          <w:color w:val="000000"/>
          <w:lang w:val="en-US" w:eastAsia="zh-CN"/>
        </w:rPr>
      </w:pPr>
      <w:bookmarkStart w:id="27" w:name="_Toc35393806"/>
      <w:bookmarkStart w:id="28" w:name="_Toc28359019"/>
      <w:bookmarkStart w:id="29" w:name="_Toc28359096"/>
      <w:bookmarkStart w:id="30" w:name="_Toc35393637"/>
      <w:r>
        <w:rPr>
          <w:rFonts w:hint="eastAsia" w:ascii="宋体" w:hAnsi="宋体" w:eastAsia="宋体" w:cs="宋体"/>
          <w:color w:val="000000"/>
          <w:lang w:val="en-US" w:eastAsia="zh-CN"/>
        </w:rPr>
        <w:t>1.采购人信息</w:t>
      </w:r>
      <w:bookmarkEnd w:id="27"/>
      <w:bookmarkEnd w:id="28"/>
      <w:bookmarkEnd w:id="29"/>
      <w:bookmarkEnd w:id="30"/>
    </w:p>
    <w:p w14:paraId="15F69361">
      <w:pPr>
        <w:pStyle w:val="10"/>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名    称：盐城市射阳生态环境局</w:t>
      </w:r>
    </w:p>
    <w:p w14:paraId="05F301CB">
      <w:pPr>
        <w:pStyle w:val="10"/>
        <w:spacing w:beforeAutospacing="0" w:afterAutospacing="0" w:line="460" w:lineRule="exact"/>
        <w:ind w:firstLine="480"/>
        <w:jc w:val="both"/>
        <w:rPr>
          <w:rFonts w:hint="default" w:ascii="宋体" w:hAnsi="宋体" w:eastAsia="宋体" w:cs="宋体"/>
          <w:color w:val="000000"/>
          <w:lang w:val="en-US" w:eastAsia="zh-CN"/>
        </w:rPr>
      </w:pPr>
      <w:r>
        <w:rPr>
          <w:rFonts w:hint="eastAsia" w:ascii="宋体" w:hAnsi="宋体" w:eastAsia="宋体" w:cs="宋体"/>
          <w:color w:val="000000"/>
          <w:lang w:val="en-US" w:eastAsia="zh-CN"/>
        </w:rPr>
        <w:t>地    址：江苏省射阳县沿河路80号</w:t>
      </w:r>
    </w:p>
    <w:p w14:paraId="36EB4BF5">
      <w:pPr>
        <w:pStyle w:val="10"/>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联系方式：</w:t>
      </w:r>
      <w:bookmarkStart w:id="31" w:name="_Toc35393807"/>
      <w:bookmarkStart w:id="32" w:name="_Toc28359020"/>
      <w:bookmarkStart w:id="33" w:name="_Toc28359097"/>
      <w:bookmarkStart w:id="34" w:name="_Toc35393638"/>
      <w:r>
        <w:rPr>
          <w:rFonts w:hint="eastAsia" w:ascii="宋体" w:hAnsi="宋体" w:eastAsia="宋体" w:cs="宋体"/>
          <w:color w:val="000000"/>
          <w:lang w:val="en-US" w:eastAsia="zh-CN"/>
        </w:rPr>
        <w:t>18914611299</w:t>
      </w:r>
    </w:p>
    <w:p w14:paraId="54DD3D30">
      <w:pPr>
        <w:pStyle w:val="10"/>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2.采购代理机构信息</w:t>
      </w:r>
      <w:bookmarkEnd w:id="31"/>
      <w:bookmarkEnd w:id="32"/>
      <w:bookmarkEnd w:id="33"/>
      <w:bookmarkEnd w:id="34"/>
    </w:p>
    <w:p w14:paraId="3F291DC3">
      <w:pPr>
        <w:pStyle w:val="10"/>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名    称：盐城畅达招标代理有限公司</w:t>
      </w:r>
    </w:p>
    <w:p w14:paraId="771F3259">
      <w:pPr>
        <w:pStyle w:val="10"/>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地　　址：射阳县合德镇人民西路金源创客空间2F</w:t>
      </w:r>
    </w:p>
    <w:p w14:paraId="1FB116A1">
      <w:pPr>
        <w:pStyle w:val="10"/>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联系方式：15189268322</w:t>
      </w:r>
    </w:p>
    <w:p w14:paraId="23A7B02B">
      <w:pPr>
        <w:pStyle w:val="10"/>
        <w:spacing w:beforeAutospacing="0" w:afterAutospacing="0" w:line="460" w:lineRule="exact"/>
        <w:ind w:firstLine="480"/>
        <w:jc w:val="both"/>
        <w:rPr>
          <w:rFonts w:hint="eastAsia" w:ascii="宋体" w:hAnsi="宋体" w:eastAsia="宋体" w:cs="宋体"/>
          <w:color w:val="000000"/>
          <w:lang w:val="en-US" w:eastAsia="zh-CN"/>
        </w:rPr>
      </w:pPr>
      <w:bookmarkStart w:id="35" w:name="_Toc35393808"/>
      <w:bookmarkStart w:id="36" w:name="_Toc28359021"/>
      <w:bookmarkStart w:id="37" w:name="_Toc28359098"/>
      <w:bookmarkStart w:id="38" w:name="_Toc35393639"/>
      <w:r>
        <w:rPr>
          <w:rFonts w:hint="eastAsia" w:ascii="宋体" w:hAnsi="宋体" w:eastAsia="宋体" w:cs="宋体"/>
          <w:color w:val="000000"/>
          <w:lang w:val="en-US" w:eastAsia="zh-CN"/>
        </w:rPr>
        <w:t>3.项目联系方式</w:t>
      </w:r>
      <w:bookmarkEnd w:id="35"/>
      <w:bookmarkEnd w:id="36"/>
      <w:bookmarkEnd w:id="37"/>
      <w:bookmarkEnd w:id="38"/>
    </w:p>
    <w:p w14:paraId="742E8417">
      <w:pPr>
        <w:pStyle w:val="10"/>
        <w:spacing w:beforeAutospacing="0" w:afterAutospacing="0" w:line="460" w:lineRule="exact"/>
        <w:ind w:firstLine="480"/>
        <w:jc w:val="both"/>
        <w:rPr>
          <w:rFonts w:hint="default" w:ascii="宋体" w:hAnsi="宋体" w:eastAsia="宋体" w:cs="宋体"/>
          <w:color w:val="000000"/>
          <w:lang w:val="en-US" w:eastAsia="zh-CN"/>
        </w:rPr>
      </w:pPr>
      <w:r>
        <w:rPr>
          <w:rFonts w:hint="eastAsia" w:ascii="宋体" w:hAnsi="宋体" w:eastAsia="宋体" w:cs="宋体"/>
          <w:color w:val="000000"/>
          <w:lang w:val="en-US" w:eastAsia="zh-CN"/>
        </w:rPr>
        <w:t>项目联系人：王恒祥</w:t>
      </w:r>
    </w:p>
    <w:p w14:paraId="2C6D4929">
      <w:pPr>
        <w:pStyle w:val="10"/>
        <w:spacing w:beforeAutospacing="0" w:afterAutospacing="0" w:line="460" w:lineRule="exact"/>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电　　 话：18914611299</w:t>
      </w:r>
    </w:p>
    <w:p w14:paraId="05ECFAD1">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　　　　　　　</w:t>
      </w:r>
    </w:p>
    <w:p w14:paraId="427DA544">
      <w:pPr>
        <w:pStyle w:val="10"/>
        <w:tabs>
          <w:tab w:val="left" w:pos="901"/>
        </w:tabs>
        <w:spacing w:beforeAutospacing="0" w:afterAutospacing="0" w:line="360" w:lineRule="auto"/>
        <w:ind w:firstLine="480"/>
        <w:jc w:val="both"/>
        <w:rPr>
          <w:rFonts w:ascii="宋体" w:hAnsi="宋体" w:eastAsia="宋体" w:cs="宋体"/>
          <w:color w:val="000000"/>
        </w:rPr>
      </w:pPr>
    </w:p>
    <w:p w14:paraId="323A26E1">
      <w:pPr>
        <w:pStyle w:val="10"/>
        <w:tabs>
          <w:tab w:val="left" w:pos="901"/>
        </w:tabs>
        <w:spacing w:beforeAutospacing="0" w:afterAutospacing="0" w:line="360" w:lineRule="auto"/>
        <w:ind w:firstLine="480"/>
        <w:jc w:val="both"/>
      </w:pPr>
      <w:r>
        <w:rPr>
          <w:rFonts w:hint="eastAsia" w:ascii="宋体" w:hAnsi="宋体" w:eastAsia="宋体" w:cs="宋体"/>
          <w:color w:val="000000"/>
        </w:rPr>
        <w:t> </w:t>
      </w:r>
      <w:bookmarkStart w:id="39" w:name="_Toc120614211"/>
      <w:r>
        <w:rPr>
          <w:rFonts w:hint="eastAsia" w:ascii="宋体" w:hAnsi="宋体" w:eastAsia="宋体" w:cs="宋体"/>
          <w:color w:val="000000"/>
        </w:rPr>
        <w:t xml:space="preserve">           </w:t>
      </w:r>
      <w:r>
        <w:rPr>
          <w:rFonts w:hint="eastAsia" w:ascii="黑体" w:hAnsi="宋体" w:eastAsia="黑体" w:cs="黑体"/>
          <w:b/>
          <w:color w:val="000000"/>
          <w:sz w:val="44"/>
          <w:szCs w:val="44"/>
        </w:rPr>
        <w:t xml:space="preserve">第二章  </w:t>
      </w:r>
      <w:bookmarkEnd w:id="39"/>
      <w:bookmarkStart w:id="40" w:name="_Toc120614213"/>
      <w:bookmarkStart w:id="41" w:name="_Toc20823274"/>
      <w:bookmarkStart w:id="42" w:name="_Toc513029202"/>
      <w:bookmarkStart w:id="43" w:name="_Toc16938518"/>
      <w:r>
        <w:rPr>
          <w:rFonts w:hint="eastAsia" w:ascii="黑体" w:hAnsi="宋体" w:eastAsia="黑体" w:cs="黑体"/>
          <w:b/>
          <w:color w:val="000000"/>
          <w:sz w:val="44"/>
          <w:szCs w:val="44"/>
        </w:rPr>
        <w:t>投标人须知</w:t>
      </w:r>
      <w:bookmarkEnd w:id="40"/>
      <w:bookmarkEnd w:id="41"/>
      <w:bookmarkEnd w:id="42"/>
      <w:bookmarkEnd w:id="43"/>
    </w:p>
    <w:p w14:paraId="314BB0E6">
      <w:pPr>
        <w:pStyle w:val="10"/>
        <w:tabs>
          <w:tab w:val="left" w:pos="901"/>
        </w:tabs>
        <w:spacing w:beforeAutospacing="0" w:afterAutospacing="0" w:line="360" w:lineRule="auto"/>
        <w:ind w:firstLine="480"/>
        <w:jc w:val="both"/>
        <w:rPr>
          <w:rFonts w:ascii="宋体" w:hAnsi="宋体" w:eastAsia="宋体" w:cs="宋体"/>
          <w:b/>
          <w:bCs/>
          <w:color w:val="000000"/>
        </w:rPr>
      </w:pPr>
      <w:bookmarkStart w:id="44" w:name="_Toc120614214"/>
      <w:bookmarkStart w:id="45" w:name="_Toc513029203"/>
      <w:bookmarkStart w:id="46" w:name="_Toc16938519"/>
      <w:bookmarkStart w:id="47" w:name="_Toc20823275"/>
      <w:r>
        <w:rPr>
          <w:rFonts w:hint="eastAsia" w:ascii="宋体" w:hAnsi="宋体" w:eastAsia="宋体" w:cs="宋体"/>
          <w:b/>
          <w:bCs/>
          <w:color w:val="000000"/>
        </w:rPr>
        <w:t>一、总则</w:t>
      </w:r>
      <w:bookmarkEnd w:id="44"/>
      <w:bookmarkEnd w:id="45"/>
      <w:bookmarkEnd w:id="46"/>
      <w:bookmarkEnd w:id="47"/>
    </w:p>
    <w:p w14:paraId="2B15A5CD">
      <w:pPr>
        <w:pStyle w:val="10"/>
        <w:tabs>
          <w:tab w:val="left" w:pos="901"/>
        </w:tabs>
        <w:spacing w:beforeAutospacing="0" w:afterAutospacing="0" w:line="360" w:lineRule="auto"/>
        <w:ind w:firstLine="480"/>
        <w:jc w:val="both"/>
        <w:rPr>
          <w:rFonts w:ascii="宋体" w:hAnsi="宋体" w:eastAsia="宋体" w:cs="宋体"/>
          <w:b/>
          <w:bCs/>
          <w:color w:val="000000"/>
        </w:rPr>
      </w:pPr>
      <w:bookmarkStart w:id="48" w:name="_Toc20823276"/>
      <w:bookmarkStart w:id="49" w:name="_Toc16938520"/>
      <w:bookmarkStart w:id="50" w:name="_Toc513029204"/>
      <w:bookmarkStart w:id="51" w:name="_Toc458694821"/>
      <w:bookmarkStart w:id="52" w:name="_Hlt16619475"/>
      <w:r>
        <w:rPr>
          <w:rFonts w:hint="eastAsia" w:ascii="宋体" w:hAnsi="宋体" w:eastAsia="宋体" w:cs="宋体"/>
          <w:b/>
          <w:bCs/>
          <w:color w:val="000000"/>
        </w:rPr>
        <w:t>1</w:t>
      </w:r>
      <w:bookmarkEnd w:id="48"/>
      <w:r>
        <w:rPr>
          <w:rFonts w:hint="eastAsia" w:ascii="宋体" w:hAnsi="宋体" w:eastAsia="宋体" w:cs="宋体"/>
          <w:b/>
          <w:bCs/>
          <w:color w:val="000000"/>
        </w:rPr>
        <w:t>、招标方式</w:t>
      </w:r>
      <w:bookmarkEnd w:id="49"/>
      <w:bookmarkEnd w:id="50"/>
      <w:bookmarkEnd w:id="51"/>
    </w:p>
    <w:p w14:paraId="4CE2685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1.1 本次招标采取公开招标方式，本招标文件仅适用于招标公告中所述项目。</w:t>
      </w:r>
    </w:p>
    <w:p w14:paraId="547047CE">
      <w:pPr>
        <w:pStyle w:val="10"/>
        <w:tabs>
          <w:tab w:val="left" w:pos="901"/>
        </w:tabs>
        <w:spacing w:beforeAutospacing="0" w:afterAutospacing="0" w:line="360" w:lineRule="auto"/>
        <w:ind w:firstLine="480"/>
        <w:jc w:val="both"/>
        <w:rPr>
          <w:rFonts w:ascii="宋体" w:hAnsi="宋体" w:eastAsia="宋体" w:cs="宋体"/>
          <w:b/>
          <w:bCs/>
          <w:color w:val="000000"/>
        </w:rPr>
      </w:pPr>
      <w:bookmarkStart w:id="53" w:name="_Toc20823277"/>
      <w:bookmarkStart w:id="54" w:name="_Toc513029205"/>
      <w:bookmarkStart w:id="55" w:name="_Toc16938521"/>
      <w:r>
        <w:rPr>
          <w:rFonts w:hint="eastAsia" w:ascii="宋体" w:hAnsi="宋体" w:eastAsia="宋体" w:cs="宋体"/>
          <w:b/>
          <w:bCs/>
          <w:color w:val="000000"/>
        </w:rPr>
        <w:t>2、合格的投标人</w:t>
      </w:r>
      <w:bookmarkEnd w:id="53"/>
      <w:bookmarkEnd w:id="54"/>
      <w:bookmarkEnd w:id="55"/>
    </w:p>
    <w:p w14:paraId="0684E3A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2.1满足招标公告中供应商的资格要求的规定。</w:t>
      </w:r>
    </w:p>
    <w:p w14:paraId="2E306BDB">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2.2 满足本文件实质性要求和条件的规定。</w:t>
      </w:r>
    </w:p>
    <w:p w14:paraId="14A688D1">
      <w:pPr>
        <w:pStyle w:val="10"/>
        <w:tabs>
          <w:tab w:val="left" w:pos="901"/>
        </w:tabs>
        <w:spacing w:beforeAutospacing="0" w:afterAutospacing="0" w:line="360" w:lineRule="auto"/>
        <w:ind w:firstLine="480"/>
        <w:jc w:val="both"/>
        <w:rPr>
          <w:rFonts w:ascii="宋体" w:hAnsi="宋体" w:eastAsia="宋体" w:cs="宋体"/>
          <w:b/>
          <w:bCs/>
          <w:color w:val="000000"/>
        </w:rPr>
      </w:pPr>
      <w:bookmarkStart w:id="56" w:name="_Toc20823278"/>
      <w:bookmarkStart w:id="57" w:name="_Toc16938522"/>
      <w:bookmarkStart w:id="58" w:name="_Toc513029206"/>
      <w:r>
        <w:rPr>
          <w:rFonts w:hint="eastAsia" w:ascii="宋体" w:hAnsi="宋体" w:eastAsia="宋体" w:cs="宋体"/>
          <w:b/>
          <w:bCs/>
          <w:color w:val="000000"/>
        </w:rPr>
        <w:t>3、适用法律</w:t>
      </w:r>
      <w:bookmarkEnd w:id="56"/>
      <w:bookmarkEnd w:id="57"/>
      <w:bookmarkEnd w:id="58"/>
    </w:p>
    <w:p w14:paraId="6311DDCE">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3.1 本次招标及由此产生的合同受中华人民共和国有关的法律法规制约和保护。</w:t>
      </w:r>
    </w:p>
    <w:p w14:paraId="3A361280">
      <w:pPr>
        <w:pStyle w:val="10"/>
        <w:tabs>
          <w:tab w:val="left" w:pos="901"/>
        </w:tabs>
        <w:spacing w:beforeAutospacing="0" w:afterAutospacing="0" w:line="360" w:lineRule="auto"/>
        <w:ind w:firstLine="480"/>
        <w:jc w:val="both"/>
        <w:rPr>
          <w:rFonts w:ascii="宋体" w:hAnsi="宋体" w:eastAsia="宋体" w:cs="宋体"/>
          <w:b/>
          <w:bCs/>
          <w:color w:val="000000"/>
        </w:rPr>
      </w:pPr>
      <w:bookmarkStart w:id="59" w:name="_Toc16938523"/>
      <w:bookmarkStart w:id="60" w:name="_Toc462564067"/>
      <w:bookmarkStart w:id="61" w:name="_Toc513029207"/>
      <w:bookmarkStart w:id="62" w:name="_Toc20823279"/>
      <w:r>
        <w:rPr>
          <w:rFonts w:hint="eastAsia" w:ascii="宋体" w:hAnsi="宋体" w:eastAsia="宋体" w:cs="宋体"/>
          <w:b/>
          <w:bCs/>
          <w:color w:val="000000"/>
        </w:rPr>
        <w:t>4、投标费用</w:t>
      </w:r>
      <w:bookmarkEnd w:id="59"/>
      <w:bookmarkEnd w:id="60"/>
      <w:bookmarkEnd w:id="61"/>
      <w:bookmarkEnd w:id="62"/>
    </w:p>
    <w:p w14:paraId="7CDDA47E">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4.1 投标人应自行承担所有与参加投标有关的费用，无论投标过程中的做法和结果如何，盐城畅达招标代理有限公司（以下简称招标代理机构）在任何情况下均无义务和责任承担这些费用。</w:t>
      </w:r>
    </w:p>
    <w:p w14:paraId="4FF415BF">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4.2本次招标代理机构和采购人不收取标书工本费。</w:t>
      </w:r>
    </w:p>
    <w:p w14:paraId="2D671F6C">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5、招标文件的约束力</w:t>
      </w:r>
    </w:p>
    <w:p w14:paraId="7B12C03A">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5.1 投标人一旦参加本项目采购活动，即被认为接受了本招标文件的规定和约束。</w:t>
      </w:r>
    </w:p>
    <w:p w14:paraId="4D8F54E4">
      <w:pPr>
        <w:pStyle w:val="10"/>
        <w:tabs>
          <w:tab w:val="left" w:pos="901"/>
        </w:tabs>
        <w:spacing w:beforeAutospacing="0" w:afterAutospacing="0" w:line="360" w:lineRule="auto"/>
        <w:ind w:firstLine="480"/>
        <w:jc w:val="both"/>
        <w:rPr>
          <w:rFonts w:ascii="宋体" w:hAnsi="宋体" w:eastAsia="宋体" w:cs="宋体"/>
          <w:b/>
          <w:bCs/>
          <w:color w:val="000000"/>
        </w:rPr>
      </w:pPr>
      <w:bookmarkStart w:id="63" w:name="_Toc20823281"/>
      <w:bookmarkStart w:id="64" w:name="_Toc120614215"/>
      <w:bookmarkStart w:id="65" w:name="_Toc513029209"/>
      <w:bookmarkStart w:id="66" w:name="_Toc16938525"/>
      <w:r>
        <w:rPr>
          <w:rFonts w:hint="eastAsia" w:ascii="宋体" w:hAnsi="宋体" w:eastAsia="宋体" w:cs="宋体"/>
          <w:b/>
          <w:bCs/>
          <w:color w:val="000000"/>
        </w:rPr>
        <w:t>二、招标文件</w:t>
      </w:r>
      <w:bookmarkEnd w:id="63"/>
      <w:bookmarkEnd w:id="64"/>
      <w:bookmarkEnd w:id="65"/>
      <w:bookmarkEnd w:id="66"/>
    </w:p>
    <w:p w14:paraId="4E73E1C2">
      <w:pPr>
        <w:pStyle w:val="10"/>
        <w:tabs>
          <w:tab w:val="left" w:pos="901"/>
        </w:tabs>
        <w:spacing w:beforeAutospacing="0" w:afterAutospacing="0" w:line="360" w:lineRule="auto"/>
        <w:ind w:firstLine="480"/>
        <w:jc w:val="both"/>
        <w:rPr>
          <w:rFonts w:ascii="宋体" w:hAnsi="宋体" w:eastAsia="宋体" w:cs="宋体"/>
          <w:b/>
          <w:bCs/>
          <w:color w:val="000000"/>
        </w:rPr>
      </w:pPr>
      <w:bookmarkStart w:id="67" w:name="_Toc513029210"/>
      <w:bookmarkStart w:id="68" w:name="_Toc16938526"/>
      <w:bookmarkStart w:id="69" w:name="_Toc20823282"/>
      <w:r>
        <w:rPr>
          <w:rFonts w:hint="eastAsia" w:ascii="宋体" w:hAnsi="宋体" w:eastAsia="宋体" w:cs="宋体"/>
          <w:b/>
          <w:bCs/>
          <w:color w:val="000000"/>
        </w:rPr>
        <w:t>6、招标文件构成</w:t>
      </w:r>
      <w:bookmarkEnd w:id="67"/>
      <w:bookmarkEnd w:id="68"/>
      <w:bookmarkEnd w:id="69"/>
    </w:p>
    <w:p w14:paraId="278C0197">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6.1 招标文件由以下部分组成：</w:t>
      </w:r>
    </w:p>
    <w:p w14:paraId="5BD7D51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（1）招标公告</w:t>
      </w:r>
    </w:p>
    <w:p w14:paraId="09F0419A">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（2）投标人须知</w:t>
      </w:r>
    </w:p>
    <w:p w14:paraId="08A6266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（3）合同文本</w:t>
      </w:r>
    </w:p>
    <w:p w14:paraId="674E68AA">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（4）采购需求</w:t>
      </w:r>
    </w:p>
    <w:p w14:paraId="5E58D3A8">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（5）评标方法与评标标准</w:t>
      </w:r>
    </w:p>
    <w:p w14:paraId="3D9933F6">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（6）投标文件格式</w:t>
      </w:r>
    </w:p>
    <w:p w14:paraId="70A33C52">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请仔细检查招标文件是否齐全，如有缺漏请立即与招标代理机构联系解决。</w:t>
      </w:r>
    </w:p>
    <w:p w14:paraId="2AC2F074">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756B5196">
      <w:pPr>
        <w:pStyle w:val="10"/>
        <w:tabs>
          <w:tab w:val="left" w:pos="901"/>
        </w:tabs>
        <w:spacing w:beforeAutospacing="0" w:afterAutospacing="0" w:line="360" w:lineRule="auto"/>
        <w:ind w:firstLine="480"/>
        <w:jc w:val="both"/>
        <w:rPr>
          <w:rFonts w:ascii="宋体" w:hAnsi="宋体" w:eastAsia="宋体" w:cs="宋体"/>
          <w:b/>
          <w:bCs/>
          <w:color w:val="000000"/>
        </w:rPr>
      </w:pPr>
      <w:bookmarkStart w:id="70" w:name="_Toc462564070"/>
      <w:bookmarkStart w:id="71" w:name="_Toc16938527"/>
      <w:bookmarkStart w:id="72" w:name="_Toc20823283"/>
      <w:bookmarkStart w:id="73" w:name="_Toc513029211"/>
      <w:r>
        <w:rPr>
          <w:rFonts w:hint="eastAsia" w:ascii="宋体" w:hAnsi="宋体" w:eastAsia="宋体" w:cs="宋体"/>
          <w:b/>
          <w:bCs/>
          <w:color w:val="000000"/>
        </w:rPr>
        <w:t>7、招标文件的澄清</w:t>
      </w:r>
      <w:bookmarkEnd w:id="70"/>
      <w:bookmarkEnd w:id="71"/>
      <w:bookmarkEnd w:id="72"/>
      <w:bookmarkEnd w:id="73"/>
    </w:p>
    <w:p w14:paraId="1C577FD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7.1 任何要求对招标文件进行澄清的投标人，应在投标截止期十日前按招标公告中的通讯地址，以书面形式通知招标代理机构。</w:t>
      </w:r>
    </w:p>
    <w:p w14:paraId="7C922BBD">
      <w:pPr>
        <w:pStyle w:val="10"/>
        <w:tabs>
          <w:tab w:val="left" w:pos="901"/>
        </w:tabs>
        <w:spacing w:beforeAutospacing="0" w:afterAutospacing="0" w:line="360" w:lineRule="auto"/>
        <w:ind w:firstLine="480"/>
        <w:jc w:val="both"/>
        <w:rPr>
          <w:rFonts w:ascii="宋体" w:hAnsi="宋体" w:eastAsia="宋体" w:cs="宋体"/>
          <w:b/>
          <w:bCs/>
          <w:color w:val="000000"/>
        </w:rPr>
      </w:pPr>
      <w:bookmarkStart w:id="74" w:name="_Toc16938528"/>
      <w:bookmarkStart w:id="75" w:name="_Toc20823284"/>
      <w:bookmarkStart w:id="76" w:name="_Toc513029212"/>
      <w:bookmarkStart w:id="77" w:name="_Toc462564071"/>
      <w:r>
        <w:rPr>
          <w:rFonts w:hint="eastAsia" w:ascii="宋体" w:hAnsi="宋体" w:eastAsia="宋体" w:cs="宋体"/>
          <w:b/>
          <w:bCs/>
          <w:color w:val="000000"/>
        </w:rPr>
        <w:t>8、招标文件的修改</w:t>
      </w:r>
      <w:bookmarkEnd w:id="74"/>
      <w:bookmarkEnd w:id="75"/>
      <w:bookmarkEnd w:id="76"/>
      <w:bookmarkEnd w:id="77"/>
    </w:p>
    <w:p w14:paraId="6AD7A25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8.1 在投标截止时间前，采购人可以对招标文件进行修改。</w:t>
      </w:r>
    </w:p>
    <w:p w14:paraId="75B3DE72">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8.2 采购人有权按照法定的要求推迟投标截止日期和开标日期。</w:t>
      </w:r>
    </w:p>
    <w:p w14:paraId="06C8805D">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8.3 招标文件的修改将在中国政府采购网、江苏政府采购网、盐城市政府采购网公布，补充文件将作为招标文件的组成部分，并对投标人具有约束力。</w:t>
      </w:r>
    </w:p>
    <w:p w14:paraId="3C30632E">
      <w:pPr>
        <w:pStyle w:val="10"/>
        <w:tabs>
          <w:tab w:val="left" w:pos="901"/>
        </w:tabs>
        <w:spacing w:beforeAutospacing="0" w:afterAutospacing="0" w:line="360" w:lineRule="auto"/>
        <w:ind w:firstLine="480"/>
        <w:jc w:val="both"/>
        <w:rPr>
          <w:rFonts w:ascii="宋体" w:hAnsi="宋体" w:eastAsia="宋体" w:cs="宋体"/>
          <w:b/>
          <w:bCs/>
          <w:color w:val="000000"/>
        </w:rPr>
      </w:pPr>
      <w:bookmarkStart w:id="78" w:name="_Toc513029213"/>
      <w:bookmarkStart w:id="79" w:name="_Toc20823285"/>
      <w:bookmarkStart w:id="80" w:name="_Toc462564072"/>
      <w:bookmarkStart w:id="81" w:name="_Toc120614216"/>
      <w:bookmarkStart w:id="82" w:name="_Toc16938529"/>
      <w:r>
        <w:rPr>
          <w:rFonts w:hint="eastAsia" w:ascii="宋体" w:hAnsi="宋体" w:eastAsia="宋体" w:cs="宋体"/>
          <w:b/>
          <w:bCs/>
          <w:color w:val="000000"/>
        </w:rPr>
        <w:t>三、投标文件的编制</w:t>
      </w:r>
      <w:bookmarkEnd w:id="78"/>
      <w:bookmarkEnd w:id="79"/>
      <w:bookmarkEnd w:id="80"/>
      <w:bookmarkEnd w:id="81"/>
      <w:bookmarkEnd w:id="82"/>
    </w:p>
    <w:p w14:paraId="693F3405">
      <w:pPr>
        <w:pStyle w:val="10"/>
        <w:tabs>
          <w:tab w:val="left" w:pos="901"/>
        </w:tabs>
        <w:spacing w:beforeAutospacing="0" w:afterAutospacing="0" w:line="360" w:lineRule="auto"/>
        <w:ind w:firstLine="480"/>
        <w:jc w:val="both"/>
        <w:rPr>
          <w:rFonts w:ascii="宋体" w:hAnsi="宋体" w:eastAsia="宋体" w:cs="宋体"/>
          <w:color w:val="000000"/>
        </w:rPr>
      </w:pPr>
      <w:bookmarkStart w:id="83" w:name="_Toc16938530"/>
      <w:bookmarkStart w:id="84" w:name="_Toc462564073"/>
      <w:bookmarkStart w:id="85" w:name="_Toc20823286"/>
      <w:bookmarkStart w:id="86" w:name="_Toc513029214"/>
      <w:r>
        <w:rPr>
          <w:rFonts w:hint="eastAsia" w:ascii="宋体" w:hAnsi="宋体" w:eastAsia="宋体" w:cs="宋体"/>
          <w:color w:val="000000"/>
        </w:rPr>
        <w:t>9、投标文件的语言及度量衡单位</w:t>
      </w:r>
      <w:bookmarkEnd w:id="83"/>
      <w:bookmarkEnd w:id="84"/>
      <w:bookmarkEnd w:id="85"/>
      <w:bookmarkEnd w:id="86"/>
    </w:p>
    <w:p w14:paraId="264AA7FD">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9.1 投标人提交的投标文件以及投标人与招标代理机构就有关投标的所有来往通知、函件和文件均应使用简体中文。</w:t>
      </w:r>
    </w:p>
    <w:p w14:paraId="39A71A93">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9.2 除技术性能另有规定外，投标文件所使用的度量衡单位，均须采用国家法定计量单位。</w:t>
      </w:r>
    </w:p>
    <w:p w14:paraId="05574C5F">
      <w:pPr>
        <w:pStyle w:val="10"/>
        <w:tabs>
          <w:tab w:val="left" w:pos="901"/>
        </w:tabs>
        <w:spacing w:beforeAutospacing="0" w:afterAutospacing="0" w:line="360" w:lineRule="auto"/>
        <w:ind w:firstLine="480"/>
        <w:jc w:val="both"/>
        <w:rPr>
          <w:rFonts w:ascii="宋体" w:hAnsi="宋体" w:eastAsia="宋体" w:cs="宋体"/>
          <w:b/>
          <w:bCs/>
          <w:color w:val="000000"/>
        </w:rPr>
      </w:pPr>
      <w:bookmarkStart w:id="87" w:name="_Toc513029215"/>
      <w:bookmarkStart w:id="88" w:name="_Toc462564074"/>
      <w:bookmarkStart w:id="89" w:name="_Toc16938531"/>
      <w:bookmarkStart w:id="90" w:name="_Toc20823287"/>
      <w:r>
        <w:rPr>
          <w:rFonts w:hint="eastAsia" w:ascii="宋体" w:hAnsi="宋体" w:eastAsia="宋体" w:cs="宋体"/>
          <w:b/>
          <w:bCs/>
          <w:color w:val="000000"/>
        </w:rPr>
        <w:t>10、投标文件构成</w:t>
      </w:r>
      <w:bookmarkEnd w:id="87"/>
      <w:bookmarkEnd w:id="88"/>
      <w:bookmarkEnd w:id="89"/>
      <w:bookmarkEnd w:id="90"/>
    </w:p>
    <w:p w14:paraId="186B7073">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10.1 投标人编写的投标文件应包括资格证明文件、符合性证明文件、投标分项报价表、技术要求响应及偏离表、商务要求响应及偏离表、其他证明文件、投标函、开标一览表等部分。</w:t>
      </w:r>
    </w:p>
    <w:p w14:paraId="5078BF22">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10.2 如标书制作工具中格式和内容与“中国政府采购网”、“江苏政府采购网”、“盐城市政府采购网”发布的招标文件不一致，请以中国政府采购网”、“江苏政府采购网”、“盐城市政府采购网”发布的招标文件为准。</w:t>
      </w:r>
    </w:p>
    <w:p w14:paraId="10D4AF7E">
      <w:pPr>
        <w:pStyle w:val="10"/>
        <w:tabs>
          <w:tab w:val="left" w:pos="901"/>
        </w:tabs>
        <w:spacing w:beforeAutospacing="0" w:afterAutospacing="0" w:line="360" w:lineRule="auto"/>
        <w:ind w:firstLine="480"/>
        <w:jc w:val="both"/>
        <w:rPr>
          <w:rFonts w:ascii="宋体" w:hAnsi="宋体" w:eastAsia="宋体" w:cs="宋体"/>
          <w:b/>
          <w:bCs/>
          <w:color w:val="000000"/>
        </w:rPr>
      </w:pPr>
      <w:bookmarkStart w:id="91" w:name="_Toc14577354"/>
      <w:bookmarkStart w:id="92" w:name="_Toc513029219"/>
      <w:bookmarkStart w:id="93" w:name="_Toc49090508"/>
      <w:bookmarkStart w:id="94" w:name="_Toc14577357"/>
      <w:bookmarkStart w:id="95" w:name="_Toc49090507"/>
      <w:bookmarkStart w:id="96" w:name="_Toc14577355"/>
      <w:bookmarkStart w:id="97" w:name="_Toc513029216"/>
      <w:bookmarkStart w:id="98" w:name="_Toc49090509"/>
      <w:bookmarkStart w:id="99" w:name="_Hlt26668975"/>
      <w:bookmarkStart w:id="100" w:name="_Hlt26954838"/>
      <w:bookmarkStart w:id="101" w:name="_Hlt26670360"/>
      <w:r>
        <w:rPr>
          <w:rFonts w:hint="eastAsia" w:ascii="宋体" w:hAnsi="宋体" w:eastAsia="宋体" w:cs="宋体"/>
          <w:b/>
          <w:bCs/>
          <w:color w:val="000000"/>
        </w:rPr>
        <w:t>11、证明投标人及投标标的符合招标文件规定的文件</w:t>
      </w:r>
      <w:bookmarkEnd w:id="91"/>
      <w:bookmarkEnd w:id="92"/>
      <w:bookmarkEnd w:id="93"/>
      <w:bookmarkEnd w:id="94"/>
      <w:bookmarkEnd w:id="95"/>
      <w:bookmarkEnd w:id="96"/>
      <w:bookmarkEnd w:id="97"/>
      <w:bookmarkEnd w:id="98"/>
    </w:p>
    <w:p w14:paraId="56C8076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11.1 投标人应按照招标文件要求提交证明文件，证明其及投标标的符合招标文件规定。</w:t>
      </w:r>
    </w:p>
    <w:p w14:paraId="3B536CE3">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11.2招标文件对证明文件无明确形式要求的，证明文件可以以文字资料、图纸和数据等形式提交。</w:t>
      </w:r>
    </w:p>
    <w:p w14:paraId="7904870F">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12、投标分项报价表</w:t>
      </w:r>
    </w:p>
    <w:p w14:paraId="0522D4C8">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12.1 投标人应按照招标文件规定格式填报投标分项报价表。</w:t>
      </w:r>
    </w:p>
    <w:p w14:paraId="7A9F484F">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12.2投标货币。投标文件中的单价和总价无特殊规定的采用人民币报价，以元为单位标注。招标文件中另有规定的按规定执行。</w:t>
      </w:r>
    </w:p>
    <w:p w14:paraId="4C55AA3C">
      <w:pPr>
        <w:pStyle w:val="10"/>
        <w:tabs>
          <w:tab w:val="left" w:pos="901"/>
        </w:tabs>
        <w:spacing w:beforeAutospacing="0" w:afterAutospacing="0" w:line="360" w:lineRule="auto"/>
        <w:ind w:firstLine="480"/>
        <w:jc w:val="both"/>
        <w:rPr>
          <w:rFonts w:ascii="宋体" w:hAnsi="宋体" w:eastAsia="宋体" w:cs="宋体"/>
          <w:color w:val="000000"/>
        </w:rPr>
      </w:pPr>
      <w:bookmarkStart w:id="102" w:name="_Hlt26954848"/>
      <w:bookmarkStart w:id="103" w:name="_Hlt26670486"/>
      <w:bookmarkStart w:id="104" w:name="_Hlt26954731"/>
      <w:bookmarkStart w:id="105" w:name="_Hlt26954846"/>
      <w:bookmarkStart w:id="106" w:name="_Hlt26670482"/>
      <w:r>
        <w:rPr>
          <w:rFonts w:hint="eastAsia" w:ascii="宋体" w:hAnsi="宋体" w:eastAsia="宋体" w:cs="宋体"/>
          <w:color w:val="000000"/>
        </w:rPr>
        <w:t>13、技术要求响应及偏离表、商务要求响应及偏离表</w:t>
      </w:r>
    </w:p>
    <w:p w14:paraId="5E087C40">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13.1投标人需对招标文件中的技术要求与商务要求逐项作出响应或偏离，并说明原因。</w:t>
      </w:r>
    </w:p>
    <w:p w14:paraId="40AD153D">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13.2 投标人可在投标文件中提供认为需要的其他技术文件或说明。</w:t>
      </w:r>
    </w:p>
    <w:p w14:paraId="01D1F6A3">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14、服务承诺、培训计划、人员安排及其他</w:t>
      </w:r>
    </w:p>
    <w:p w14:paraId="7E8E75E6">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14.1 投标人需根据招标文件要求提供有关售后服务的管理制度，售后服务机构的分布情况，售后服务人员的数量、素质、技术水平及售后服务的反应能力等。</w:t>
      </w:r>
    </w:p>
    <w:p w14:paraId="572F7923">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14.2 投标人需根据招标文件要求提供培训计划。</w:t>
      </w:r>
    </w:p>
    <w:p w14:paraId="57415BC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14.3投标人需根据招标文件要求提供所投标的的主要组成部分、功能设计、实现思路及关键技术等。</w:t>
      </w:r>
    </w:p>
    <w:p w14:paraId="2C7B2824">
      <w:pPr>
        <w:pStyle w:val="10"/>
        <w:tabs>
          <w:tab w:val="left" w:pos="901"/>
        </w:tabs>
        <w:spacing w:beforeAutospacing="0" w:afterAutospacing="0" w:line="360" w:lineRule="auto"/>
        <w:ind w:firstLine="480"/>
        <w:jc w:val="both"/>
        <w:rPr>
          <w:rFonts w:ascii="宋体" w:hAnsi="宋体" w:eastAsia="宋体" w:cs="宋体"/>
          <w:b/>
          <w:bCs/>
          <w:color w:val="000000"/>
        </w:rPr>
      </w:pPr>
      <w:bookmarkStart w:id="107" w:name="_Toc49090510"/>
      <w:bookmarkStart w:id="108" w:name="_Toc14577359"/>
      <w:r>
        <w:rPr>
          <w:rFonts w:hint="eastAsia" w:ascii="宋体" w:hAnsi="宋体" w:eastAsia="宋体" w:cs="宋体"/>
          <w:b/>
          <w:bCs/>
          <w:color w:val="000000"/>
        </w:rPr>
        <w:t>15、投标函和开标一览表</w:t>
      </w:r>
      <w:bookmarkEnd w:id="107"/>
      <w:bookmarkEnd w:id="108"/>
    </w:p>
    <w:p w14:paraId="6DB16068">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15.1 投标人应按照招标文件中提供的格式完整、正确填写投标函、开标一览表。</w:t>
      </w:r>
    </w:p>
    <w:p w14:paraId="085B08C1">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15.2 对于采用货币报价的项目，开标一览表中的投标总报价应与投标分项报价表中的投标总报价一致，如不一致，不作为无效投标处理，但评标时按开标一览表中价格为准。</w:t>
      </w:r>
    </w:p>
    <w:p w14:paraId="2A03BA47">
      <w:pPr>
        <w:pStyle w:val="10"/>
        <w:tabs>
          <w:tab w:val="left" w:pos="901"/>
        </w:tabs>
        <w:spacing w:beforeAutospacing="0" w:afterAutospacing="0" w:line="360" w:lineRule="auto"/>
        <w:ind w:firstLine="480"/>
        <w:jc w:val="both"/>
        <w:rPr>
          <w:rFonts w:ascii="宋体" w:hAnsi="宋体" w:eastAsia="宋体" w:cs="宋体"/>
          <w:b/>
          <w:bCs/>
          <w:color w:val="000000"/>
        </w:rPr>
      </w:pPr>
      <w:bookmarkStart w:id="109" w:name="_Toc14577360"/>
      <w:bookmarkStart w:id="110" w:name="_Toc49090511"/>
      <w:r>
        <w:rPr>
          <w:rFonts w:hint="eastAsia" w:ascii="宋体" w:hAnsi="宋体" w:eastAsia="宋体" w:cs="宋体"/>
          <w:b/>
          <w:bCs/>
          <w:color w:val="000000"/>
        </w:rPr>
        <w:t>16、投标有效期</w:t>
      </w:r>
      <w:bookmarkEnd w:id="109"/>
      <w:bookmarkEnd w:id="110"/>
    </w:p>
    <w:p w14:paraId="2023BCB7">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16.1投标有效期为招标代理机构规定的开标之日后六十（60）天。投标有效期比规定短的将被视为未实质性响应招标文件而予以拒绝。</w:t>
      </w:r>
    </w:p>
    <w:p w14:paraId="3AB4CE13">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17、投标有效期的延长</w:t>
      </w:r>
    </w:p>
    <w:p w14:paraId="3F887AA6">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p>
    <w:p w14:paraId="1BEF5E1F">
      <w:pPr>
        <w:pStyle w:val="10"/>
        <w:tabs>
          <w:tab w:val="left" w:pos="901"/>
        </w:tabs>
        <w:spacing w:beforeAutospacing="0" w:afterAutospacing="0" w:line="360" w:lineRule="auto"/>
        <w:ind w:firstLine="480"/>
        <w:jc w:val="both"/>
        <w:rPr>
          <w:rFonts w:ascii="宋体" w:hAnsi="宋体" w:eastAsia="宋体" w:cs="宋体"/>
          <w:b/>
          <w:bCs/>
          <w:color w:val="000000"/>
        </w:rPr>
      </w:pPr>
      <w:bookmarkStart w:id="111" w:name="_Toc16938540"/>
      <w:bookmarkStart w:id="112" w:name="_Toc120614217"/>
      <w:bookmarkStart w:id="113" w:name="_Toc513029224"/>
      <w:bookmarkStart w:id="114" w:name="_Toc20823296"/>
      <w:bookmarkStart w:id="115" w:name="_Hlt26954739"/>
      <w:bookmarkStart w:id="116" w:name="_Hlt26954852"/>
      <w:r>
        <w:rPr>
          <w:rFonts w:hint="eastAsia" w:ascii="宋体" w:hAnsi="宋体" w:eastAsia="宋体" w:cs="宋体"/>
          <w:b/>
          <w:bCs/>
          <w:color w:val="000000"/>
        </w:rPr>
        <w:t>四、投标文件的递交</w:t>
      </w:r>
      <w:bookmarkEnd w:id="111"/>
      <w:bookmarkEnd w:id="112"/>
      <w:bookmarkEnd w:id="113"/>
      <w:bookmarkEnd w:id="114"/>
    </w:p>
    <w:p w14:paraId="62711BCB">
      <w:pPr>
        <w:pStyle w:val="10"/>
        <w:tabs>
          <w:tab w:val="left" w:pos="901"/>
        </w:tabs>
        <w:spacing w:beforeAutospacing="0" w:afterAutospacing="0" w:line="360" w:lineRule="auto"/>
        <w:ind w:firstLine="480"/>
        <w:jc w:val="both"/>
        <w:rPr>
          <w:rFonts w:ascii="宋体" w:hAnsi="宋体" w:eastAsia="宋体" w:cs="宋体"/>
          <w:b/>
          <w:bCs/>
          <w:color w:val="000000"/>
        </w:rPr>
      </w:pPr>
      <w:bookmarkStart w:id="117" w:name="_Toc513029225"/>
      <w:bookmarkStart w:id="118" w:name="_Toc16938541"/>
      <w:bookmarkStart w:id="119" w:name="_Toc462564084"/>
      <w:bookmarkStart w:id="120" w:name="_Toc20823297"/>
      <w:r>
        <w:rPr>
          <w:rFonts w:hint="eastAsia" w:ascii="宋体" w:hAnsi="宋体" w:eastAsia="宋体" w:cs="宋体"/>
          <w:b/>
          <w:bCs/>
          <w:color w:val="000000"/>
        </w:rPr>
        <w:t>18、电子投标文件</w:t>
      </w:r>
      <w:bookmarkEnd w:id="117"/>
      <w:bookmarkEnd w:id="118"/>
      <w:bookmarkEnd w:id="119"/>
      <w:bookmarkEnd w:id="120"/>
      <w:r>
        <w:rPr>
          <w:rFonts w:hint="eastAsia" w:ascii="宋体" w:hAnsi="宋体" w:eastAsia="宋体" w:cs="宋体"/>
          <w:b/>
          <w:bCs/>
          <w:color w:val="000000"/>
        </w:rPr>
        <w:t>的递交</w:t>
      </w:r>
    </w:p>
    <w:p w14:paraId="533C2508">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18.1投标人应当按照《操作手册》规定，在投标截止时间前制作并上传电子投标文件。</w:t>
      </w:r>
      <w:bookmarkStart w:id="121" w:name="_Toc16938542"/>
      <w:bookmarkEnd w:id="121"/>
      <w:bookmarkStart w:id="122" w:name="_Toc20823298"/>
      <w:bookmarkEnd w:id="122"/>
      <w:bookmarkStart w:id="123" w:name="_Toc513029226"/>
    </w:p>
    <w:p w14:paraId="184F1D2E">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19、投标截止日期</w:t>
      </w:r>
    </w:p>
    <w:p w14:paraId="4282CA3E">
      <w:pPr>
        <w:pStyle w:val="10"/>
        <w:tabs>
          <w:tab w:val="left" w:pos="901"/>
        </w:tabs>
        <w:spacing w:beforeAutospacing="0" w:afterAutospacing="0" w:line="360" w:lineRule="auto"/>
        <w:ind w:firstLine="480"/>
        <w:jc w:val="both"/>
        <w:rPr>
          <w:rFonts w:ascii="宋体" w:hAnsi="宋体" w:eastAsia="宋体" w:cs="宋体"/>
          <w:i/>
          <w:iCs/>
          <w:color w:val="000000"/>
          <w:u w:val="single"/>
        </w:rPr>
      </w:pPr>
      <w:r>
        <w:rPr>
          <w:rFonts w:hint="eastAsia" w:ascii="宋体" w:hAnsi="宋体" w:eastAsia="宋体" w:cs="宋体"/>
          <w:i/>
          <w:iCs/>
          <w:color w:val="000000"/>
          <w:u w:val="single"/>
        </w:rPr>
        <w:t>19.1 投标人上传电子投标文件的时间不得迟于招标公告中规定的投标截止时间。</w:t>
      </w:r>
    </w:p>
    <w:p w14:paraId="13C53B8D">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投标人应充分考虑到网络环境、网络带宽等风险因素，如因投标人自身原因造成的电子投标文件上传不成功的按照本招标文件第二章第27.1.2条规定做无效投标处理。</w:t>
      </w:r>
    </w:p>
    <w:p w14:paraId="1CD4C57E">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19.2 采购人可以按照规定，通过修改招标文件酌情延长投标截止日期，在此情况下，投标人的所有权利和义务以及投标人受制的截止日期均应以延长后新的截止日期为准。</w:t>
      </w:r>
    </w:p>
    <w:p w14:paraId="123664B2">
      <w:pPr>
        <w:pStyle w:val="10"/>
        <w:tabs>
          <w:tab w:val="left" w:pos="901"/>
        </w:tabs>
        <w:spacing w:beforeAutospacing="0" w:afterAutospacing="0" w:line="360" w:lineRule="auto"/>
        <w:ind w:firstLine="480"/>
        <w:jc w:val="both"/>
        <w:rPr>
          <w:rFonts w:ascii="宋体" w:hAnsi="宋体" w:eastAsia="宋体" w:cs="宋体"/>
          <w:b/>
          <w:bCs/>
          <w:color w:val="000000"/>
        </w:rPr>
      </w:pPr>
      <w:bookmarkStart w:id="124" w:name="_Toc16938543"/>
      <w:bookmarkStart w:id="125" w:name="_Toc20823299"/>
      <w:bookmarkStart w:id="126" w:name="_Toc513029227"/>
      <w:r>
        <w:rPr>
          <w:rFonts w:hint="eastAsia" w:ascii="宋体" w:hAnsi="宋体" w:eastAsia="宋体" w:cs="宋体"/>
          <w:b/>
          <w:bCs/>
          <w:color w:val="000000"/>
        </w:rPr>
        <w:t>20、投标文件</w:t>
      </w:r>
      <w:bookmarkEnd w:id="124"/>
      <w:bookmarkEnd w:id="125"/>
      <w:bookmarkEnd w:id="126"/>
      <w:r>
        <w:rPr>
          <w:rFonts w:hint="eastAsia" w:ascii="宋体" w:hAnsi="宋体" w:eastAsia="宋体" w:cs="宋体"/>
          <w:b/>
          <w:bCs/>
          <w:color w:val="000000"/>
        </w:rPr>
        <w:t>的拒收</w:t>
      </w:r>
    </w:p>
    <w:p w14:paraId="202C5EDE">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20.1 招标代理机构拒绝接收在其规定的投标截止时间后上传的任何投标文件。</w:t>
      </w:r>
    </w:p>
    <w:p w14:paraId="00294031">
      <w:pPr>
        <w:pStyle w:val="10"/>
        <w:tabs>
          <w:tab w:val="left" w:pos="901"/>
        </w:tabs>
        <w:spacing w:beforeAutospacing="0" w:afterAutospacing="0" w:line="360" w:lineRule="auto"/>
        <w:ind w:firstLine="480"/>
        <w:jc w:val="both"/>
        <w:rPr>
          <w:rFonts w:ascii="宋体" w:hAnsi="宋体" w:eastAsia="宋体" w:cs="宋体"/>
          <w:b/>
          <w:bCs/>
          <w:color w:val="000000"/>
        </w:rPr>
      </w:pPr>
      <w:bookmarkStart w:id="127" w:name="_Toc513029228"/>
      <w:bookmarkStart w:id="128" w:name="_Toc16938544"/>
      <w:bookmarkStart w:id="129" w:name="_Toc20823300"/>
      <w:r>
        <w:rPr>
          <w:rFonts w:hint="eastAsia" w:ascii="宋体" w:hAnsi="宋体" w:eastAsia="宋体" w:cs="宋体"/>
          <w:b/>
          <w:bCs/>
          <w:color w:val="000000"/>
        </w:rPr>
        <w:t>21、投标文件的撤回和修改</w:t>
      </w:r>
      <w:bookmarkEnd w:id="127"/>
      <w:bookmarkEnd w:id="128"/>
      <w:bookmarkEnd w:id="129"/>
    </w:p>
    <w:p w14:paraId="04A78ADC">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21.1 投标文件的撤回</w:t>
      </w:r>
    </w:p>
    <w:p w14:paraId="1F8C3557">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21.1.1 电子投标文件的撤回</w:t>
      </w:r>
    </w:p>
    <w:p w14:paraId="4AB63F1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投标人可在投标截止时间前，撤回其电子投标文件，具体操作方法见《操作手册》。</w:t>
      </w:r>
    </w:p>
    <w:p w14:paraId="6EB38C5F">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21.1.2 投标人撤回电子投标文件，则认为其不再参与本项目投标活动。</w:t>
      </w:r>
    </w:p>
    <w:p w14:paraId="23185543">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21.2 投标文件的修改</w:t>
      </w:r>
    </w:p>
    <w:p w14:paraId="7882A2D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21.2.1投标人可在投标截止时间前，对其电子投标文件进行修改，具体操作方法见《操作手册》。</w:t>
      </w:r>
    </w:p>
    <w:p w14:paraId="5CD2CAA1">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21.2.2 在投标截止时间之后，投标人不得对其电子投标文件作任何修改。</w:t>
      </w:r>
    </w:p>
    <w:p w14:paraId="2B8EE21E">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21.3 在投标截止时间至招标文件中规定的投标有效期满之间的这段时间内，投标人不得撤回其投标。</w:t>
      </w:r>
    </w:p>
    <w:p w14:paraId="42EF6AF3">
      <w:pPr>
        <w:pStyle w:val="10"/>
        <w:tabs>
          <w:tab w:val="left" w:pos="901"/>
        </w:tabs>
        <w:spacing w:beforeAutospacing="0" w:afterAutospacing="0" w:line="360" w:lineRule="auto"/>
        <w:ind w:firstLine="480"/>
        <w:jc w:val="both"/>
        <w:rPr>
          <w:rFonts w:ascii="宋体" w:hAnsi="宋体" w:eastAsia="宋体" w:cs="宋体"/>
          <w:b/>
          <w:bCs/>
          <w:color w:val="000000"/>
        </w:rPr>
      </w:pPr>
      <w:bookmarkStart w:id="130" w:name="_Toc513029229"/>
      <w:bookmarkStart w:id="131" w:name="_Toc20823301"/>
      <w:bookmarkStart w:id="132" w:name="_Toc120614218"/>
      <w:bookmarkStart w:id="133" w:name="_Toc16938545"/>
      <w:r>
        <w:rPr>
          <w:rFonts w:hint="eastAsia" w:ascii="宋体" w:hAnsi="宋体" w:eastAsia="宋体" w:cs="宋体"/>
          <w:b/>
          <w:bCs/>
          <w:color w:val="000000"/>
        </w:rPr>
        <w:t>五、开标与评标</w:t>
      </w:r>
      <w:bookmarkEnd w:id="130"/>
      <w:bookmarkEnd w:id="131"/>
      <w:bookmarkEnd w:id="132"/>
      <w:bookmarkEnd w:id="133"/>
    </w:p>
    <w:p w14:paraId="5BB5B2C2">
      <w:pPr>
        <w:pStyle w:val="10"/>
        <w:tabs>
          <w:tab w:val="left" w:pos="901"/>
        </w:tabs>
        <w:spacing w:beforeAutospacing="0" w:afterAutospacing="0" w:line="360" w:lineRule="auto"/>
        <w:ind w:firstLine="480"/>
        <w:jc w:val="both"/>
        <w:rPr>
          <w:rFonts w:ascii="宋体" w:hAnsi="宋体" w:eastAsia="宋体" w:cs="宋体"/>
          <w:b/>
          <w:bCs/>
          <w:color w:val="000000"/>
        </w:rPr>
      </w:pPr>
      <w:bookmarkStart w:id="134" w:name="_Toc16938546"/>
      <w:bookmarkStart w:id="135" w:name="_Toc513029230"/>
      <w:bookmarkStart w:id="136" w:name="_Toc20823302"/>
      <w:r>
        <w:rPr>
          <w:rFonts w:hint="eastAsia" w:ascii="宋体" w:hAnsi="宋体" w:eastAsia="宋体" w:cs="宋体"/>
          <w:b/>
          <w:bCs/>
          <w:color w:val="000000"/>
        </w:rPr>
        <w:t>22、开标</w:t>
      </w:r>
      <w:bookmarkEnd w:id="134"/>
      <w:bookmarkEnd w:id="135"/>
      <w:bookmarkEnd w:id="136"/>
    </w:p>
    <w:p w14:paraId="316A5F6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22.1 招标代理机构将在招标公告中规定的时间和地点组织公开开标。投标人应当按照《操作手册》规定，参加开标活动和在苏采云系统规定的时间内对投标文件进行解密。</w:t>
      </w:r>
    </w:p>
    <w:p w14:paraId="722FB4CE">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22.2开标仪式由招标代理机构组织。苏采云系统将自动对项目进行开标，并宣布各投标人名称和投标价格。</w:t>
      </w:r>
    </w:p>
    <w:p w14:paraId="1BFF9F7F">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22.3投标人在开标过程中涉及到的投标文件解密、开标结果确认等工作，应按照《操作手册》规定执行。</w:t>
      </w:r>
    </w:p>
    <w:p w14:paraId="2E2758F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22.4投标人如果对开标过程和开标记录有疑义，应当根据《操作手册》规定提出，如 苏采云系统中《开标记录表》宣布后5分钟内未提出的，视同认可开标结果。</w:t>
      </w:r>
    </w:p>
    <w:p w14:paraId="138BF4C3">
      <w:pPr>
        <w:pStyle w:val="10"/>
        <w:tabs>
          <w:tab w:val="left" w:pos="901"/>
        </w:tabs>
        <w:spacing w:beforeAutospacing="0" w:afterAutospacing="0" w:line="360" w:lineRule="auto"/>
        <w:ind w:firstLine="480"/>
        <w:jc w:val="both"/>
        <w:rPr>
          <w:rFonts w:ascii="宋体" w:hAnsi="宋体" w:eastAsia="宋体" w:cs="宋体"/>
          <w:color w:val="000000"/>
        </w:rPr>
      </w:pPr>
      <w:bookmarkStart w:id="137" w:name="_Toc20823303"/>
      <w:bookmarkStart w:id="138" w:name="_Toc16938547"/>
      <w:bookmarkStart w:id="139" w:name="_Toc513029231"/>
      <w:r>
        <w:rPr>
          <w:rFonts w:hint="eastAsia" w:ascii="宋体" w:hAnsi="宋体" w:eastAsia="宋体" w:cs="宋体"/>
          <w:color w:val="000000"/>
        </w:rPr>
        <w:t>23、评标委员会</w:t>
      </w:r>
      <w:bookmarkEnd w:id="137"/>
      <w:bookmarkEnd w:id="138"/>
      <w:bookmarkEnd w:id="139"/>
    </w:p>
    <w:p w14:paraId="666D0A4D">
      <w:pPr>
        <w:pStyle w:val="10"/>
        <w:tabs>
          <w:tab w:val="left" w:pos="901"/>
        </w:tabs>
        <w:spacing w:beforeAutospacing="0" w:afterAutospacing="0" w:line="360" w:lineRule="auto"/>
        <w:ind w:firstLine="480" w:firstLineChars="200"/>
        <w:jc w:val="both"/>
        <w:rPr>
          <w:rFonts w:ascii="宋体" w:hAnsi="宋体" w:eastAsia="宋体" w:cs="宋体"/>
          <w:color w:val="000000"/>
        </w:rPr>
      </w:pPr>
      <w:r>
        <w:rPr>
          <w:rFonts w:hint="eastAsia" w:ascii="宋体" w:hAnsi="宋体" w:eastAsia="宋体" w:cs="宋体"/>
          <w:color w:val="000000"/>
        </w:rPr>
        <w:t>23.1开标后，招标代理机构将立即组织评标委员会（以下简称评委会）进行评标。</w:t>
      </w:r>
    </w:p>
    <w:p w14:paraId="29B41C33">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23.2 评委会由采购人代表和有关技术、经济等方面的专家组成，且人员构成符合政府采购有关规定。</w:t>
      </w:r>
    </w:p>
    <w:p w14:paraId="5EF07417">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23.3评委会独立工作，负责评审所有投标文件并确定中标侯选人。</w:t>
      </w:r>
    </w:p>
    <w:p w14:paraId="4265542C">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24．评标过程的保密与公正</w:t>
      </w:r>
    </w:p>
    <w:p w14:paraId="3CC0B914">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24.1凡是与审查、澄清、评价和比较投标的有关资料以及授标建议等，采购人、评委、招标代理机构均不得向投标人或与评标无关的其他人员透露。</w:t>
      </w:r>
    </w:p>
    <w:p w14:paraId="0C40D541">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24.2在评标过程中，投标人不得以任何行为影响评标过程，否则其投标文件将被作为无效投标文件。</w:t>
      </w:r>
    </w:p>
    <w:p w14:paraId="4B174DE5">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24.3 招标代理机构和评标委员会不向未中标的投标人解释未中标原因，也不公布评标过程中的相关细节。</w:t>
      </w:r>
    </w:p>
    <w:p w14:paraId="1BC055E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24.4 采用综合评分法的项目，未中标的投标人可于中标结果公告期限届满之日起通过苏采云系统查看自己的评审得分及排序情况。</w:t>
      </w:r>
      <w:bookmarkStart w:id="140" w:name="_Toc16938548"/>
      <w:bookmarkStart w:id="141" w:name="_Toc513029232"/>
      <w:bookmarkStart w:id="142" w:name="_Toc20823304"/>
    </w:p>
    <w:p w14:paraId="70DAF374">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25．投标文件的澄清</w:t>
      </w:r>
      <w:bookmarkEnd w:id="140"/>
      <w:bookmarkEnd w:id="141"/>
      <w:bookmarkEnd w:id="142"/>
    </w:p>
    <w:p w14:paraId="6DEA2DAC">
      <w:pPr>
        <w:pStyle w:val="10"/>
        <w:tabs>
          <w:tab w:val="left" w:pos="901"/>
        </w:tabs>
        <w:spacing w:beforeAutospacing="0" w:afterAutospacing="0" w:line="360" w:lineRule="auto"/>
        <w:ind w:firstLine="480"/>
        <w:jc w:val="both"/>
        <w:rPr>
          <w:rFonts w:ascii="宋体" w:hAnsi="宋体" w:eastAsia="宋体" w:cs="宋体"/>
          <w:color w:val="000000"/>
        </w:rPr>
      </w:pPr>
      <w:bookmarkStart w:id="143" w:name="_Toc513029233"/>
      <w:bookmarkStart w:id="144" w:name="_Toc20823305"/>
      <w:bookmarkStart w:id="145" w:name="_Toc16938549"/>
      <w:r>
        <w:rPr>
          <w:rFonts w:hint="eastAsia" w:ascii="宋体" w:hAnsi="宋体" w:eastAsia="宋体" w:cs="宋体"/>
          <w:color w:val="000000"/>
        </w:rPr>
        <w:t>25.1评标期间，评委会对投标文件中含义不明确、同类问题表述不一致或者有明显文字和计算错误的内容 ，有权要求投标人作出必要的澄清、说明或者补正。</w:t>
      </w:r>
      <w:bookmarkEnd w:id="143"/>
      <w:bookmarkEnd w:id="144"/>
      <w:bookmarkEnd w:id="145"/>
      <w:r>
        <w:rPr>
          <w:rFonts w:hint="eastAsia" w:ascii="宋体" w:hAnsi="宋体" w:eastAsia="宋体" w:cs="宋体"/>
          <w:color w:val="000000"/>
        </w:rPr>
        <w:t>投标人的澄清、说明或者补正不得超出投标文件的范围或者改变投标文件的实质性内容。评标委员会并非对每个投标人都做澄清要求。</w:t>
      </w:r>
    </w:p>
    <w:p w14:paraId="26DC9042">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C2589FF">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25.3 接到评委会澄清、说明和补正要求的投标人如未按规定做出澄清、说明和补正，其风险由投标人自行承担。</w:t>
      </w:r>
    </w:p>
    <w:p w14:paraId="423F76C5">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26、对投标文件的初审</w:t>
      </w:r>
    </w:p>
    <w:p w14:paraId="66AF559E">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26.1投标文件初审分为资格审查和符合性审查。</w:t>
      </w:r>
    </w:p>
    <w:p w14:paraId="0FAD6248">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26.1.1 资格审查：依据法律法规和招标文件的规定，由采购人对投标文件中的资格证明文件进行审查。资格审查的结论，采购人以书面形式向评委会进行反馈。</w:t>
      </w:r>
    </w:p>
    <w:p w14:paraId="18F2418D">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采购人在进行资格性审查的同时，将在“信用中国”网站（www.creditchina.gov.cn）查询投标人的信用记录，以确定投标人是否具备投标资格,查询结果留存并归档。</w:t>
      </w:r>
    </w:p>
    <w:p w14:paraId="5F45CA14">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接受联合体的项目，两个以上的自然人、法人或者其他组织组成一个联合体，以一个供应商的身份共同参加政府采购活动的,联合体成员中任何一方存在不良信用记录的，视同联合体存在不良应用记录。</w:t>
      </w:r>
    </w:p>
    <w:p w14:paraId="20660D1A">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26.1.2 符合性审查：依据招标文件的规定，由评委会从投标文件的有效性、完整性和对招标文件的响应程度进行审查，以确定是否对招标文件的实质性要求作出响应。</w:t>
      </w:r>
    </w:p>
    <w:p w14:paraId="3F510625">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26.1.3 未通过资格审查或符合性审查的投标人，招标代理机构将在苏采云系统中告知未通过资格审查或符合性审查的原因，评审结束后，招标代理机构将不再告知未通过资格审查或符合性审查的原因。</w:t>
      </w:r>
    </w:p>
    <w:p w14:paraId="4A87151D">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26.2在详细评标之前，评委会将首先审查每份投标文件是否实质性响应了招标文件的要求。实质性响应的投标应该是与招标文件要求的全部条款、条件和规格相符，没有重大偏离或保留的投标。</w:t>
      </w:r>
    </w:p>
    <w:p w14:paraId="0D20F2A8">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471FB40">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26.3如果投标文件实质上没有响应招标文件的要求，评委会将予以拒绝，投标人不得通过修改或撤销不合要求的偏离或保留而使其投标成为实质性响应的投标。</w:t>
      </w:r>
    </w:p>
    <w:p w14:paraId="7EBDCA5F">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26.4评委会将对确定为实质性响应的投标进行进一步审核，看其是否有计算上或累加上的算术错误，修正错误的原则如下：</w:t>
      </w:r>
    </w:p>
    <w:p w14:paraId="657C4ABD">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（1）投标文件中开标一览表内容与投标文件中相应内容不一致的，以开标一览表为准。</w:t>
      </w:r>
    </w:p>
    <w:p w14:paraId="40C33D05">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（2）大写金额和小写金额不一致的，以大写金额为准。</w:t>
      </w:r>
    </w:p>
    <w:p w14:paraId="0625AB42">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（3）单价金额小数点或者百分比有明显错位的，以开标一览表的总价为准，并修改单价。</w:t>
      </w:r>
    </w:p>
    <w:p w14:paraId="4D15EA1E">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（4）总价金额与按单价汇总金额不一致的，以单价金额计算结果为准。</w:t>
      </w:r>
    </w:p>
    <w:p w14:paraId="0F9444E4">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同时出现两种以上错误的，按照前款规定的顺序修正。</w:t>
      </w:r>
    </w:p>
    <w:p w14:paraId="0C6550DC">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26.5评委会将按上述修正错误的方法调整投标文件中的投标报价，并通过苏采云系统告知投标人，调整后的价格应对投标人具有约束力。如果投标人不接受修正后的价格，则其投标将被拒绝。</w:t>
      </w:r>
    </w:p>
    <w:p w14:paraId="0F29B348">
      <w:pPr>
        <w:pStyle w:val="10"/>
        <w:tabs>
          <w:tab w:val="left" w:pos="901"/>
        </w:tabs>
        <w:spacing w:beforeAutospacing="0" w:afterAutospacing="0" w:line="360" w:lineRule="auto"/>
        <w:ind w:firstLine="480"/>
        <w:jc w:val="both"/>
        <w:rPr>
          <w:rFonts w:ascii="宋体" w:hAnsi="宋体" w:eastAsia="宋体" w:cs="宋体"/>
          <w:color w:val="000000"/>
        </w:rPr>
      </w:pPr>
      <w:bookmarkStart w:id="146" w:name="_Toc513029234"/>
      <w:bookmarkStart w:id="147" w:name="_Toc20823306"/>
      <w:bookmarkStart w:id="148" w:name="_Toc16938550"/>
      <w:r>
        <w:rPr>
          <w:rFonts w:hint="eastAsia" w:ascii="宋体" w:hAnsi="宋体" w:eastAsia="宋体" w:cs="宋体"/>
          <w:color w:val="000000"/>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6"/>
      <w:bookmarkEnd w:id="147"/>
      <w:bookmarkEnd w:id="148"/>
    </w:p>
    <w:p w14:paraId="7204D728">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2B02CBA3">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非单一产品采购项目，招标文件中将载明其中的核心产品。多家投标人提供的核心产品品牌相同的，按前两款规定处理。</w:t>
      </w:r>
    </w:p>
    <w:p w14:paraId="13855B09">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color w:val="000000"/>
        </w:rPr>
        <w:t>26.7投标人在开、评标全过程中应保持通讯畅通，及时登录苏采云系统查</w:t>
      </w:r>
      <w:r>
        <w:rPr>
          <w:rFonts w:hint="eastAsia" w:ascii="宋体" w:hAnsi="宋体" w:eastAsia="宋体" w:cs="宋体"/>
          <w:b/>
          <w:bCs/>
          <w:color w:val="000000"/>
        </w:rPr>
        <w:t>阅、答复相关信息，并安排专人与招标代理机构及评标委员会联系。</w:t>
      </w:r>
    </w:p>
    <w:p w14:paraId="56E07C13">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27、无效投标条款和废标条款</w:t>
      </w:r>
    </w:p>
    <w:p w14:paraId="39C50E48">
      <w:pPr>
        <w:pStyle w:val="10"/>
        <w:tabs>
          <w:tab w:val="left" w:pos="901"/>
        </w:tabs>
        <w:spacing w:beforeAutospacing="0" w:afterAutospacing="0" w:line="360" w:lineRule="auto"/>
        <w:ind w:firstLine="480"/>
        <w:jc w:val="both"/>
        <w:rPr>
          <w:rFonts w:ascii="宋体" w:hAnsi="宋体" w:eastAsia="宋体" w:cs="宋体"/>
          <w:color w:val="000000"/>
        </w:rPr>
      </w:pPr>
      <w:bookmarkStart w:id="149" w:name="_Toc16938551"/>
      <w:bookmarkStart w:id="150" w:name="_Toc513029235"/>
      <w:bookmarkStart w:id="151" w:name="_Toc20823307"/>
      <w:r>
        <w:rPr>
          <w:rFonts w:hint="eastAsia" w:ascii="宋体" w:hAnsi="宋体" w:eastAsia="宋体" w:cs="宋体"/>
          <w:color w:val="000000"/>
        </w:rPr>
        <w:t>27.1无效投标条款</w:t>
      </w:r>
      <w:bookmarkEnd w:id="149"/>
      <w:bookmarkEnd w:id="150"/>
      <w:bookmarkEnd w:id="151"/>
    </w:p>
    <w:p w14:paraId="78B9B1C2">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27.1.1 投标人在苏采云系统规定的时间内未成功解密电子投标文件的。</w:t>
      </w:r>
    </w:p>
    <w:p w14:paraId="2FAF6C50">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27.1.2 投标人未按照招标文件要求上传电子投标文件的。</w:t>
      </w:r>
    </w:p>
    <w:p w14:paraId="40E05F9A">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27.1.3同一投标人提交两个（含两个）以上不同的投标报价的。</w:t>
      </w:r>
    </w:p>
    <w:p w14:paraId="7BF4E9FB">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27.1.4投标人不具备招标文件中规定资格要求的。</w:t>
      </w:r>
    </w:p>
    <w:p w14:paraId="6BE06298">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27.1.5投标人的报价超过了采购预算或最高限价的。</w:t>
      </w:r>
    </w:p>
    <w:p w14:paraId="2FFF5C3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27.1.6未通过符合性审查的。</w:t>
      </w:r>
    </w:p>
    <w:p w14:paraId="59477934">
      <w:pPr>
        <w:pStyle w:val="10"/>
        <w:tabs>
          <w:tab w:val="left" w:pos="901"/>
        </w:tabs>
        <w:spacing w:beforeAutospacing="0" w:afterAutospacing="0" w:line="360" w:lineRule="auto"/>
        <w:ind w:firstLine="480"/>
        <w:jc w:val="both"/>
        <w:rPr>
          <w:rFonts w:ascii="宋体" w:hAnsi="宋体" w:eastAsia="宋体" w:cs="宋体"/>
          <w:i/>
          <w:iCs/>
          <w:color w:val="000000"/>
          <w:u w:val="single"/>
        </w:rPr>
      </w:pPr>
      <w:r>
        <w:rPr>
          <w:rFonts w:hint="eastAsia" w:ascii="宋体" w:hAnsi="宋体" w:eastAsia="宋体" w:cs="宋体"/>
          <w:color w:val="000000"/>
        </w:rPr>
        <w:t>27.1.7不符合招标文件中规定的实质性要求和条件的</w:t>
      </w:r>
      <w:r>
        <w:rPr>
          <w:rFonts w:hint="eastAsia" w:ascii="宋体" w:hAnsi="宋体" w:eastAsia="宋体" w:cs="宋体"/>
          <w:i/>
          <w:iCs/>
          <w:color w:val="000000"/>
          <w:u w:val="single"/>
        </w:rPr>
        <w:t>（本招标文件中斜体且有下划线部分为实质性要求和条件）。</w:t>
      </w:r>
    </w:p>
    <w:p w14:paraId="177D9676">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3C93F73">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27.1.9  投标文件含有采购人不能接受的附加条件的。</w:t>
      </w:r>
    </w:p>
    <w:p w14:paraId="38112364">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1B057AC0">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FB7362D">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27.1.12 投标文件未按照招标文件要求加盖CA电子公章的。</w:t>
      </w:r>
    </w:p>
    <w:p w14:paraId="20756714">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27.1.13其他法律、法规及本招标文件规定的属无效投标的情形。</w:t>
      </w:r>
    </w:p>
    <w:p w14:paraId="6540DBDD">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27.2废标条款</w:t>
      </w:r>
    </w:p>
    <w:p w14:paraId="76FBB7A1">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27.2.1符合专业条件的供应商或者对招标文件作实质响应的供应商不足三家的。27.2.2出现影响采购公正的违法、违规行为的。</w:t>
      </w:r>
    </w:p>
    <w:p w14:paraId="53B6F4D3">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27.2.3因重大变故，采购任务取消的。</w:t>
      </w:r>
    </w:p>
    <w:p w14:paraId="6995AC34">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27.2.4评标委员会认定招标文件存在歧义、重大缺陷导致评审工作无法进行。</w:t>
      </w:r>
    </w:p>
    <w:p w14:paraId="4B05052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27.2.5 因苏采云系统系统故障原因造成开标不成功的。</w:t>
      </w:r>
    </w:p>
    <w:p w14:paraId="55FBC01D">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27.3 投标截止时间结束后参加投标的供应商不足三家的处理：</w:t>
      </w:r>
    </w:p>
    <w:p w14:paraId="392FE6AA">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27.3.1如出现投标截止时间结束后参加投标的供应商或者在评标期间对招标文件做出实质响应的供应商不足三家情况，按政府采购相关规定执行。</w:t>
      </w:r>
    </w:p>
    <w:p w14:paraId="47C16E6D">
      <w:pPr>
        <w:pStyle w:val="10"/>
        <w:tabs>
          <w:tab w:val="left" w:pos="901"/>
        </w:tabs>
        <w:spacing w:beforeAutospacing="0" w:afterAutospacing="0" w:line="360" w:lineRule="auto"/>
        <w:ind w:firstLine="480"/>
        <w:jc w:val="both"/>
        <w:rPr>
          <w:rFonts w:ascii="宋体" w:hAnsi="宋体" w:eastAsia="宋体" w:cs="宋体"/>
          <w:b/>
          <w:bCs/>
          <w:color w:val="000000"/>
        </w:rPr>
      </w:pPr>
      <w:bookmarkStart w:id="152" w:name="_Toc120614219"/>
      <w:r>
        <w:rPr>
          <w:rFonts w:hint="eastAsia" w:ascii="宋体" w:hAnsi="宋体" w:eastAsia="宋体" w:cs="宋体"/>
          <w:b/>
          <w:bCs/>
          <w:color w:val="000000"/>
        </w:rPr>
        <w:t>六、定标</w:t>
      </w:r>
      <w:bookmarkEnd w:id="152"/>
    </w:p>
    <w:p w14:paraId="1AE042C5">
      <w:pPr>
        <w:pStyle w:val="10"/>
        <w:tabs>
          <w:tab w:val="left" w:pos="901"/>
        </w:tabs>
        <w:spacing w:beforeAutospacing="0" w:afterAutospacing="0" w:line="360" w:lineRule="auto"/>
        <w:ind w:firstLine="480"/>
        <w:jc w:val="both"/>
        <w:rPr>
          <w:rFonts w:ascii="宋体" w:hAnsi="宋体" w:eastAsia="宋体" w:cs="宋体"/>
          <w:b/>
          <w:bCs/>
          <w:color w:val="000000"/>
        </w:rPr>
      </w:pPr>
      <w:bookmarkStart w:id="153" w:name="_Toc20823310"/>
      <w:bookmarkStart w:id="154" w:name="_Toc513029238"/>
      <w:bookmarkStart w:id="155" w:name="_Toc16938554"/>
      <w:r>
        <w:rPr>
          <w:rFonts w:hint="eastAsia" w:ascii="宋体" w:hAnsi="宋体" w:eastAsia="宋体" w:cs="宋体"/>
          <w:b/>
          <w:bCs/>
          <w:color w:val="000000"/>
        </w:rPr>
        <w:t>28、</w:t>
      </w:r>
      <w:bookmarkEnd w:id="153"/>
      <w:r>
        <w:rPr>
          <w:rFonts w:hint="eastAsia" w:ascii="宋体" w:hAnsi="宋体" w:eastAsia="宋体" w:cs="宋体"/>
          <w:b/>
          <w:bCs/>
          <w:color w:val="000000"/>
        </w:rPr>
        <w:t>确定</w:t>
      </w:r>
      <w:bookmarkEnd w:id="154"/>
      <w:bookmarkEnd w:id="155"/>
      <w:r>
        <w:rPr>
          <w:rFonts w:hint="eastAsia" w:ascii="宋体" w:hAnsi="宋体" w:eastAsia="宋体" w:cs="宋体"/>
          <w:b/>
          <w:bCs/>
          <w:color w:val="000000"/>
        </w:rPr>
        <w:t>中标单位</w:t>
      </w:r>
    </w:p>
    <w:p w14:paraId="090A7D1B">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 xml:space="preserve">28.1中标候选人的选取原则和数量见招标文件第五章规定。 </w:t>
      </w:r>
    </w:p>
    <w:p w14:paraId="49F2FDFC">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28.2 采购人应根据评委会推荐的中标候选人确定中标人。</w:t>
      </w:r>
    </w:p>
    <w:p w14:paraId="483317BC">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28.3 招标代理机构将在中国政府采购网”、“江苏政府采购网”、“盐城市政府采购网”发布中标公告，公告期限为1个工作日。</w:t>
      </w:r>
    </w:p>
    <w:p w14:paraId="4283C2C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28.4  若有充分证据证明，中标人出现下列情况之一的，一经查实，将被取消中标资格：</w:t>
      </w:r>
    </w:p>
    <w:p w14:paraId="48A460C6">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28.4.1提供虚假材料谋取中标的。</w:t>
      </w:r>
    </w:p>
    <w:p w14:paraId="20146D56">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28.4.2向采购人、招标代理机构行贿或者提供其他不正当利益的。</w:t>
      </w:r>
    </w:p>
    <w:p w14:paraId="7C2181F6">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28.4.3属于本文件规定的无效条件，但在评标过程中又未被评委会发现的。</w:t>
      </w:r>
    </w:p>
    <w:p w14:paraId="22313851">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28.4.4与采购人或者其他供应商恶意串通的。</w:t>
      </w:r>
    </w:p>
    <w:p w14:paraId="31235DFB">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28.4.5采取不正当手段诋毁、排挤其他供应商的。</w:t>
      </w:r>
    </w:p>
    <w:p w14:paraId="322256E2">
      <w:pPr>
        <w:pStyle w:val="10"/>
        <w:tabs>
          <w:tab w:val="left" w:pos="901"/>
        </w:tabs>
        <w:spacing w:beforeAutospacing="0" w:afterAutospacing="0" w:line="360" w:lineRule="auto"/>
        <w:ind w:firstLine="480"/>
        <w:jc w:val="both"/>
        <w:rPr>
          <w:rFonts w:ascii="宋体" w:hAnsi="宋体" w:eastAsia="宋体" w:cs="宋体"/>
          <w:color w:val="000000"/>
        </w:rPr>
      </w:pPr>
      <w:bookmarkStart w:id="156" w:name="_Toc200451960"/>
      <w:r>
        <w:rPr>
          <w:rFonts w:hint="eastAsia" w:ascii="宋体" w:hAnsi="宋体" w:eastAsia="宋体" w:cs="宋体"/>
          <w:color w:val="000000"/>
        </w:rPr>
        <w:t>28.5. 有下列情形之一的，视为投标人串通投标，投标无效：</w:t>
      </w:r>
      <w:bookmarkEnd w:id="156"/>
    </w:p>
    <w:p w14:paraId="7FC8629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28.5.1不同投标人的投标文件由同一单位或者个人编制；</w:t>
      </w:r>
    </w:p>
    <w:p w14:paraId="02690B20">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28.5.2不同投标人委托同一单位或者个人办理投标事宜；</w:t>
      </w:r>
    </w:p>
    <w:p w14:paraId="0B0874C6">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28.5.3 不同投标人的投标文件载明的项目管理成员或者联系人员为同一人；</w:t>
      </w:r>
    </w:p>
    <w:p w14:paraId="67CB63F7">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28.5.4不同投标人的投标文件异常一致或者投标报价呈规律性差异；</w:t>
      </w:r>
    </w:p>
    <w:p w14:paraId="7EC854DC">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29、质疑处理</w:t>
      </w:r>
    </w:p>
    <w:p w14:paraId="574CACB5">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29.1 提出质疑的供应商应当是参与所质疑项目采购活动的供应商。潜在供应商依法获取其可质疑的采购文件的，可以对采购文件提出质疑。</w:t>
      </w:r>
    </w:p>
    <w:p w14:paraId="63F22D50">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p>
    <w:p w14:paraId="0E3D750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29.2.1对可以质疑的采购文件提出质疑的，为收到采购文件之日或者采购文件公告期限届满之日；</w:t>
      </w:r>
      <w:r>
        <w:rPr>
          <w:rFonts w:hint="eastAsia" w:ascii="宋体" w:hAnsi="宋体" w:eastAsia="宋体" w:cs="宋体"/>
          <w:color w:val="000000"/>
        </w:rPr>
        <w:br w:type="textWrapping"/>
      </w:r>
      <w:r>
        <w:rPr>
          <w:rFonts w:hint="eastAsia" w:ascii="宋体" w:hAnsi="宋体" w:eastAsia="宋体" w:cs="宋体"/>
          <w:color w:val="000000"/>
        </w:rPr>
        <w:t>  29.2.2对采购过程提出质疑的，为各采购程序环节结束之日；</w:t>
      </w:r>
      <w:r>
        <w:rPr>
          <w:rFonts w:hint="eastAsia" w:ascii="宋体" w:hAnsi="宋体" w:eastAsia="宋体" w:cs="宋体"/>
          <w:color w:val="000000"/>
        </w:rPr>
        <w:br w:type="textWrapping"/>
      </w:r>
      <w:r>
        <w:rPr>
          <w:rFonts w:hint="eastAsia" w:ascii="宋体" w:hAnsi="宋体" w:eastAsia="宋体" w:cs="宋体"/>
          <w:color w:val="000000"/>
        </w:rPr>
        <w:t>  29.2.3对中标或者成交结果提出质疑的，为中标或者成交结果公告期限届满之日。</w:t>
      </w:r>
    </w:p>
    <w:p w14:paraId="03118996">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供应商应当在法定质疑期内一次性提出针对同一采购程序环节的质疑。供应商如在法定期限内对同一采购程序环节提出多次质疑的，招标代理机构、采购人将只对供应商第一次质疑作出答复。</w:t>
      </w:r>
    </w:p>
    <w:p w14:paraId="4D0C3AD3">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29.3质疑函必须按照本招标文件中《质疑函范本》要求的格式和内容进行填写。供应商如组成联合体参加投标，则《质疑函范本》中要求签字、盖章、加盖公章之处，联合体各方均须按要求签字、盖章、加盖公章。</w:t>
      </w:r>
    </w:p>
    <w:p w14:paraId="03BBF836">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29.4 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p>
    <w:p w14:paraId="2082FBD3">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质疑人（或授权委托人）须是投标单位正式员工，授权委托人须提供投标单位为其缴纳的本年度近期社保证明。</w:t>
      </w:r>
    </w:p>
    <w:p w14:paraId="051A641B">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采购人及招标代理机构只接收以纸质原件形式送达的质疑,供应商须通过邮寄方式提交质疑（采购人和招标代理机构不接受未填写快递运单的快件）。</w:t>
      </w:r>
    </w:p>
    <w:p w14:paraId="7DD3BBE5">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29.5 以下情形的质疑不予受理</w:t>
      </w:r>
    </w:p>
    <w:p w14:paraId="73F394C2">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29.5.1 内容不符合《政府采购质疑和投诉办法》第十二条规定的质疑。</w:t>
      </w:r>
    </w:p>
    <w:p w14:paraId="391C63EB">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29.5.2 超出政府采购法定期限的质疑。</w:t>
      </w:r>
    </w:p>
    <w:p w14:paraId="03ECE594">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29.5.3 以传真、电子邮件等方式递交的非原件形式的质疑。</w:t>
      </w:r>
    </w:p>
    <w:p w14:paraId="31B63974">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29.5.4 未参加投标活动的供应商或在投标活动中自身权益未受到损害的供应商所提出的质疑。</w:t>
      </w:r>
    </w:p>
    <w:p w14:paraId="3D41EDDC">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29.5.5供应商组成联合体参加投标，联合体中任何一方或多方未按要求签字、盖章、加盖公章的质疑。</w:t>
      </w:r>
    </w:p>
    <w:p w14:paraId="2F91EFC0">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29.6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p>
    <w:p w14:paraId="17677B8F">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30、中标通知书</w:t>
      </w:r>
    </w:p>
    <w:p w14:paraId="3CCDBD6B">
      <w:pPr>
        <w:pStyle w:val="10"/>
        <w:tabs>
          <w:tab w:val="left" w:pos="901"/>
        </w:tabs>
        <w:spacing w:beforeAutospacing="0" w:afterAutospacing="0" w:line="360" w:lineRule="auto"/>
        <w:ind w:firstLine="480"/>
        <w:jc w:val="both"/>
        <w:rPr>
          <w:rFonts w:ascii="宋体" w:hAnsi="宋体" w:eastAsia="宋体" w:cs="宋体"/>
          <w:color w:val="000000"/>
        </w:rPr>
      </w:pPr>
      <w:bookmarkStart w:id="157" w:name="_Toc513029236"/>
      <w:bookmarkStart w:id="158" w:name="_Toc16938552"/>
      <w:bookmarkStart w:id="159" w:name="_Toc20823308"/>
      <w:bookmarkStart w:id="160" w:name="_Toc120614220"/>
      <w:r>
        <w:rPr>
          <w:rFonts w:hint="eastAsia" w:ascii="宋体" w:hAnsi="宋体" w:eastAsia="宋体" w:cs="宋体"/>
          <w:color w:val="000000"/>
        </w:rPr>
        <w:t>30.l 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E822DDF">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30.2中标通知书将是合同的一个组成部分。对采购人和中标供应商均具有法律效力。中标通知书发出后，采购人改变中标结果的，或者中标供应商放弃中标项目的，应当依法承担法律责任。</w:t>
      </w:r>
    </w:p>
    <w:p w14:paraId="3F7CDE5D">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七、授予合同</w:t>
      </w:r>
      <w:bookmarkEnd w:id="157"/>
      <w:bookmarkEnd w:id="158"/>
      <w:bookmarkEnd w:id="159"/>
      <w:bookmarkEnd w:id="160"/>
    </w:p>
    <w:p w14:paraId="7BB24582">
      <w:pPr>
        <w:pStyle w:val="10"/>
        <w:tabs>
          <w:tab w:val="left" w:pos="901"/>
        </w:tabs>
        <w:spacing w:beforeAutospacing="0" w:afterAutospacing="0" w:line="360" w:lineRule="auto"/>
        <w:ind w:firstLine="480"/>
        <w:jc w:val="both"/>
        <w:rPr>
          <w:rFonts w:ascii="宋体" w:hAnsi="宋体" w:eastAsia="宋体" w:cs="宋体"/>
          <w:b/>
          <w:bCs/>
          <w:color w:val="000000"/>
        </w:rPr>
      </w:pPr>
      <w:bookmarkStart w:id="161" w:name="_Toc20823309"/>
      <w:bookmarkStart w:id="162" w:name="_Toc16938553"/>
      <w:bookmarkStart w:id="163" w:name="_Toc513029237"/>
      <w:r>
        <w:rPr>
          <w:rFonts w:hint="eastAsia" w:ascii="宋体" w:hAnsi="宋体" w:eastAsia="宋体" w:cs="宋体"/>
          <w:b/>
          <w:bCs/>
          <w:color w:val="000000"/>
        </w:rPr>
        <w:t>31. 签订合同</w:t>
      </w:r>
      <w:bookmarkEnd w:id="161"/>
      <w:bookmarkEnd w:id="162"/>
      <w:bookmarkEnd w:id="163"/>
    </w:p>
    <w:p w14:paraId="4570DEA3">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中标人应当在中标通知书发出之日起三十日内（原则上应在15日内签订采购合同），按照招标文件确定的事项与采购人签订政府采购合同。合同签订后2个工作日内合同公示。所签订的合同不得对招标文件确定的事项和中标人响应文件作实质性修改。</w:t>
      </w:r>
    </w:p>
    <w:p w14:paraId="6493965E">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31.2 招标文件、中标人的投标文件及招标过程中有关澄清、承诺文件均应作为合同附件。</w:t>
      </w:r>
    </w:p>
    <w:p w14:paraId="214B0BBF">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31.3 签订合同后，</w:t>
      </w:r>
      <w:r>
        <w:rPr>
          <w:rFonts w:hint="eastAsia" w:ascii="宋体" w:hAnsi="宋体" w:eastAsia="宋体" w:cs="宋体"/>
          <w:i/>
          <w:iCs/>
          <w:color w:val="000000"/>
          <w:u w:val="single"/>
        </w:rPr>
        <w:t>中标人不得将合同标的进行转包。</w:t>
      </w:r>
      <w:r>
        <w:rPr>
          <w:rFonts w:hint="eastAsia" w:ascii="宋体" w:hAnsi="宋体" w:eastAsia="宋体" w:cs="宋体"/>
          <w:color w:val="000000"/>
        </w:rPr>
        <w:t>未经采购人同意，中标人也不得采用分包的形式履行合同，否则采购人有权终止合同。转包或分包造成采购人损失的，中标人应承担相应赔偿责任。</w:t>
      </w:r>
    </w:p>
    <w:p w14:paraId="6469CD62">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32、货物（包含与货物相关的服务）的追加</w:t>
      </w:r>
    </w:p>
    <w:p w14:paraId="387A60BA">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4CAE8745">
      <w:pPr>
        <w:pStyle w:val="10"/>
        <w:tabs>
          <w:tab w:val="left" w:pos="901"/>
        </w:tabs>
        <w:spacing w:beforeAutospacing="0" w:afterAutospacing="0" w:line="360" w:lineRule="auto"/>
        <w:ind w:firstLine="480"/>
        <w:jc w:val="both"/>
        <w:rPr>
          <w:rFonts w:ascii="宋体" w:hAnsi="宋体" w:eastAsia="宋体" w:cs="宋体"/>
          <w:b/>
          <w:bCs/>
          <w:color w:val="000000"/>
        </w:rPr>
      </w:pPr>
      <w:bookmarkStart w:id="164" w:name="_Toc16938558"/>
      <w:bookmarkStart w:id="165" w:name="_Toc479757207"/>
      <w:bookmarkStart w:id="166" w:name="_Toc20823314"/>
      <w:bookmarkStart w:id="167" w:name="_Toc120614221"/>
      <w:bookmarkStart w:id="168" w:name="_Toc513029242"/>
      <w:r>
        <w:rPr>
          <w:rFonts w:hint="eastAsia" w:ascii="宋体" w:hAnsi="宋体" w:eastAsia="宋体" w:cs="宋体"/>
          <w:b/>
          <w:bCs/>
          <w:color w:val="000000"/>
        </w:rPr>
        <w:t>33、政府采购履约资金扶持政策</w:t>
      </w:r>
      <w:bookmarkEnd w:id="164"/>
      <w:bookmarkEnd w:id="165"/>
      <w:bookmarkEnd w:id="166"/>
      <w:bookmarkEnd w:id="167"/>
      <w:bookmarkEnd w:id="168"/>
    </w:p>
    <w:p w14:paraId="361A979B">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p>
    <w:p w14:paraId="39309414">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 xml:space="preserve">34、收费 </w:t>
      </w:r>
    </w:p>
    <w:p w14:paraId="2F6E3542">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34.1中标服务费：本次招标代理服务费由中标单位向招标代理机构支付。中标单位须在领取中标通知书时向招标代理机构一次性付清。该费用折算在报价中，不在响应文件中单独列出。招标代理服务费按照国家收费标准收取。招标代理服务收费按差额定率累进法计算。中标金额按包（标段）分别计算，不累计。收费标准如有变动（只降低，不提高），招标代理机构可以在开标前以电子邮件回复的方式通知已报名供应商。</w:t>
      </w:r>
    </w:p>
    <w:p w14:paraId="187AA42E">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34.2收费标准：本次招标的代理服务费根据《江苏省招标代理服务费收费的指导意见》（苏招协【2022】002号）按差额定率累进法计算，进行计取。</w:t>
      </w:r>
    </w:p>
    <w:p w14:paraId="26BE89C3">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收费标准：中标金额50万（含50万）元以下：按壹万元收取；中标金额50-400万（含400万）元：货物、服务、工程按中标金额的1.5%收取；中标金额400-1000万（含1000万）元：货物按中标金额的1.1%，服务按中标金额的0.9%，工程按中标金额的0.8%收取。</w:t>
      </w:r>
    </w:p>
    <w:p w14:paraId="4EDBCC43">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收款帐户为：盐城畅达招标代理有限公司 ，开户行：中国建设银行股份有限公司射阳新阳支行，账号：32050173745500000098。</w:t>
      </w:r>
    </w:p>
    <w:p w14:paraId="65D92C60">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35、中小型企业有关政策</w:t>
      </w:r>
    </w:p>
    <w:p w14:paraId="6DB3B34B">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35.1本项目专门面向中小企业采购，投标人所投产品制造厂商须为符合《关于印发中小企业划型标准规定的通知》（工信部联企业[2011]300号）文件的中小企业（投标时须提供中小企业声明函，否则按无效标处理）。</w:t>
      </w:r>
    </w:p>
    <w:p w14:paraId="33303C47">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35.2因本项目专门面向中小企业采购，不再执行价格评审优惠的扶持政策。</w:t>
      </w:r>
    </w:p>
    <w:p w14:paraId="68F6DFAB">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35.3供应商须按照采购文件要求提供相应的《企业声明函》（格式附后），不提供声明函或有弄虚作假的，将依法承担相应责任。</w:t>
      </w:r>
    </w:p>
    <w:p w14:paraId="1DB40C41">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35.4企业标准请参照《关于印发中小企业划型标准规定的通知》（工信部联企业【2011】300号）文件规定自行填写。</w:t>
      </w:r>
    </w:p>
    <w:p w14:paraId="6635642F">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35.5以上规定未尽事项，按《政府采购促进中小企业发展管理办法》 （财库【2020】46号）等有关制度规定执行。</w:t>
      </w:r>
    </w:p>
    <w:p w14:paraId="0957CC5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供应商按照采购文件要求提供相应的《企业声明函》（格式附后），所投货物若全部为中小企业所制造（即货物由中小微企业生产且使用该中小企业商号或者注册商标）。须将本次标的物逐一列明，如有遗漏则不能通过资格性审查要求，则按无效投标人处理。</w:t>
      </w:r>
    </w:p>
    <w:p w14:paraId="2C3C2154">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36、履约保证金</w:t>
      </w:r>
    </w:p>
    <w:p w14:paraId="10CD3AD1">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36.1履约保证金的缴纳比例和是否缴纳由采购人与成交供应商协商确定。确需收取履约保证金的，中标后签订合同时中标方须缴纳中标金额10%的履约保证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p>
    <w:p w14:paraId="1EECDF70">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36.2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w:t>
      </w:r>
    </w:p>
    <w:p w14:paraId="53AD1759">
      <w:pPr>
        <w:pStyle w:val="10"/>
        <w:tabs>
          <w:tab w:val="left" w:pos="901"/>
        </w:tabs>
        <w:spacing w:beforeAutospacing="0" w:afterAutospacing="0" w:line="360" w:lineRule="auto"/>
        <w:ind w:firstLine="480"/>
        <w:jc w:val="both"/>
        <w:rPr>
          <w:rFonts w:ascii="宋体" w:hAnsi="宋体" w:eastAsia="宋体" w:cs="宋体"/>
          <w:b/>
          <w:bCs/>
          <w:color w:val="000000"/>
        </w:rPr>
      </w:pPr>
      <w:r>
        <w:rPr>
          <w:rFonts w:hint="eastAsia" w:ascii="宋体" w:hAnsi="宋体" w:eastAsia="宋体" w:cs="宋体"/>
          <w:b/>
          <w:bCs/>
          <w:color w:val="000000"/>
        </w:rPr>
        <w:t>37、落实节能、环保产品政策</w:t>
      </w:r>
    </w:p>
    <w:p w14:paraId="01AE5BE9">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37.1强制采购节能产品、信息安全产品，优先采购环境标志产品。依据《财政部 发展改革委 生态环境部 市场监管总局关于调整优化节能产品、环境标志产品政府采购执行机制的通知》（财库〔2019〕9号），投标人提供的产品为节能产品和环境标志产品的，应当提供国家确定的认证机构出具的、处于有效期之内的节能产品、环境标志产品认证证书（原件彩色扫描件）。投标人提供的产品属于信息安全产品的，应当提供由中国信息安全认证中心按国家标准认证颁发的有效认证证书（原件彩色扫描件）</w:t>
      </w:r>
    </w:p>
    <w:p w14:paraId="0191E25F">
      <w:pPr>
        <w:pStyle w:val="10"/>
        <w:tabs>
          <w:tab w:val="left" w:pos="901"/>
        </w:tabs>
        <w:spacing w:beforeAutospacing="0" w:afterAutospacing="0" w:line="360" w:lineRule="auto"/>
        <w:ind w:firstLine="480"/>
        <w:jc w:val="both"/>
        <w:rPr>
          <w:rFonts w:ascii="宋体" w:hAnsi="宋体" w:eastAsia="宋体" w:cs="宋体"/>
          <w:color w:val="000000"/>
        </w:rPr>
      </w:pPr>
    </w:p>
    <w:p w14:paraId="580F06F4">
      <w:pPr>
        <w:pStyle w:val="10"/>
        <w:tabs>
          <w:tab w:val="left" w:pos="901"/>
        </w:tabs>
        <w:spacing w:beforeAutospacing="0" w:afterAutospacing="0" w:line="360" w:lineRule="auto"/>
        <w:ind w:firstLine="480"/>
        <w:jc w:val="both"/>
        <w:rPr>
          <w:rFonts w:ascii="宋体" w:hAnsi="宋体" w:eastAsia="宋体" w:cs="宋体"/>
          <w:color w:val="000000"/>
        </w:rPr>
      </w:pPr>
    </w:p>
    <w:p w14:paraId="71058304">
      <w:pPr>
        <w:pStyle w:val="10"/>
        <w:tabs>
          <w:tab w:val="left" w:pos="901"/>
        </w:tabs>
        <w:spacing w:beforeAutospacing="0" w:afterAutospacing="0" w:line="360" w:lineRule="auto"/>
        <w:ind w:firstLine="480"/>
        <w:jc w:val="both"/>
        <w:rPr>
          <w:rFonts w:ascii="宋体" w:hAnsi="宋体" w:eastAsia="宋体" w:cs="宋体"/>
          <w:color w:val="000000"/>
        </w:rPr>
      </w:pPr>
    </w:p>
    <w:p w14:paraId="60EB53EA">
      <w:pPr>
        <w:spacing w:line="360" w:lineRule="auto"/>
        <w:rPr>
          <w:rFonts w:ascii="宋体" w:hAnsi="宋体"/>
          <w:bCs/>
          <w:sz w:val="24"/>
        </w:rPr>
      </w:pPr>
    </w:p>
    <w:p w14:paraId="0E4CB5CB">
      <w:pPr>
        <w:spacing w:line="360" w:lineRule="auto"/>
        <w:rPr>
          <w:rFonts w:ascii="宋体" w:hAnsi="宋体"/>
          <w:bCs/>
          <w:color w:val="000000"/>
          <w:sz w:val="24"/>
        </w:rPr>
      </w:pPr>
    </w:p>
    <w:p w14:paraId="32E581DE">
      <w:pPr>
        <w:spacing w:line="360" w:lineRule="auto"/>
        <w:rPr>
          <w:rFonts w:ascii="宋体" w:hAnsi="宋体"/>
          <w:bCs/>
          <w:color w:val="000000"/>
          <w:sz w:val="24"/>
        </w:rPr>
      </w:pPr>
    </w:p>
    <w:p w14:paraId="4DCA209A">
      <w:pPr>
        <w:pStyle w:val="4"/>
        <w:rPr>
          <w:rFonts w:ascii="宋体" w:hAnsi="宋体"/>
          <w:bCs/>
          <w:color w:val="000000"/>
          <w:sz w:val="24"/>
        </w:rPr>
      </w:pPr>
    </w:p>
    <w:p w14:paraId="6A426EF5">
      <w:pPr>
        <w:rPr>
          <w:rFonts w:ascii="宋体" w:hAnsi="宋体"/>
          <w:bCs/>
          <w:color w:val="000000"/>
          <w:sz w:val="24"/>
        </w:rPr>
      </w:pPr>
    </w:p>
    <w:p w14:paraId="65A3269A">
      <w:pPr>
        <w:pStyle w:val="4"/>
        <w:rPr>
          <w:rFonts w:ascii="宋体" w:hAnsi="宋体"/>
          <w:bCs/>
          <w:color w:val="000000"/>
          <w:sz w:val="24"/>
        </w:rPr>
      </w:pPr>
    </w:p>
    <w:p w14:paraId="24456775">
      <w:pPr>
        <w:rPr>
          <w:rFonts w:ascii="宋体" w:hAnsi="宋体"/>
          <w:bCs/>
          <w:color w:val="000000"/>
          <w:sz w:val="24"/>
        </w:rPr>
      </w:pPr>
    </w:p>
    <w:p w14:paraId="3B0706C3">
      <w:pPr>
        <w:pStyle w:val="4"/>
        <w:rPr>
          <w:rFonts w:ascii="宋体" w:hAnsi="宋体"/>
          <w:bCs/>
          <w:color w:val="000000"/>
          <w:sz w:val="24"/>
        </w:rPr>
      </w:pPr>
    </w:p>
    <w:p w14:paraId="30FC9A30">
      <w:pPr>
        <w:rPr>
          <w:rFonts w:ascii="宋体" w:hAnsi="宋体"/>
          <w:bCs/>
          <w:color w:val="000000"/>
          <w:sz w:val="24"/>
        </w:rPr>
      </w:pPr>
    </w:p>
    <w:p w14:paraId="03A06D9B">
      <w:pPr>
        <w:pStyle w:val="4"/>
        <w:rPr>
          <w:rFonts w:ascii="宋体" w:hAnsi="宋体"/>
          <w:bCs/>
          <w:color w:val="000000"/>
          <w:sz w:val="24"/>
        </w:rPr>
      </w:pPr>
    </w:p>
    <w:p w14:paraId="47AEC4D4">
      <w:pPr>
        <w:rPr>
          <w:rFonts w:ascii="宋体" w:hAnsi="宋体"/>
          <w:bCs/>
          <w:color w:val="000000"/>
          <w:sz w:val="24"/>
        </w:rPr>
      </w:pPr>
    </w:p>
    <w:p w14:paraId="43627164">
      <w:pPr>
        <w:pStyle w:val="4"/>
        <w:rPr>
          <w:rFonts w:ascii="宋体" w:hAnsi="宋体"/>
          <w:bCs/>
          <w:color w:val="000000"/>
          <w:sz w:val="24"/>
        </w:rPr>
      </w:pPr>
    </w:p>
    <w:p w14:paraId="0F5A53DD">
      <w:pPr>
        <w:rPr>
          <w:rFonts w:ascii="宋体" w:hAnsi="宋体"/>
          <w:bCs/>
          <w:color w:val="000000"/>
          <w:sz w:val="24"/>
        </w:rPr>
      </w:pPr>
    </w:p>
    <w:p w14:paraId="177FDE13">
      <w:pPr>
        <w:pStyle w:val="4"/>
        <w:rPr>
          <w:rFonts w:ascii="宋体" w:hAnsi="宋体"/>
          <w:bCs/>
          <w:color w:val="000000"/>
          <w:sz w:val="24"/>
        </w:rPr>
      </w:pPr>
    </w:p>
    <w:p w14:paraId="66E17E41">
      <w:pPr>
        <w:rPr>
          <w:rFonts w:ascii="宋体" w:hAnsi="宋体"/>
          <w:bCs/>
          <w:color w:val="000000"/>
          <w:sz w:val="24"/>
        </w:rPr>
      </w:pPr>
    </w:p>
    <w:p w14:paraId="3C087BBF">
      <w:pPr>
        <w:rPr>
          <w:rFonts w:ascii="宋体" w:hAnsi="宋体"/>
          <w:bCs/>
          <w:color w:val="000000"/>
          <w:sz w:val="24"/>
        </w:rPr>
      </w:pPr>
    </w:p>
    <w:p w14:paraId="212D98D9">
      <w:pPr>
        <w:rPr>
          <w:rFonts w:ascii="宋体" w:hAnsi="宋体"/>
          <w:bCs/>
          <w:color w:val="000000"/>
          <w:sz w:val="24"/>
        </w:rPr>
      </w:pPr>
    </w:p>
    <w:p w14:paraId="3596E9CD">
      <w:pPr>
        <w:rPr>
          <w:rFonts w:ascii="宋体" w:hAnsi="宋体"/>
          <w:bCs/>
          <w:color w:val="000000"/>
          <w:sz w:val="24"/>
        </w:rPr>
      </w:pPr>
    </w:p>
    <w:p w14:paraId="6BF1A4AF">
      <w:pPr>
        <w:rPr>
          <w:rFonts w:ascii="宋体" w:hAnsi="宋体"/>
          <w:bCs/>
          <w:color w:val="000000"/>
          <w:sz w:val="24"/>
        </w:rPr>
      </w:pPr>
    </w:p>
    <w:p w14:paraId="5BA3194C">
      <w:pPr>
        <w:rPr>
          <w:rFonts w:ascii="宋体" w:hAnsi="宋体"/>
          <w:bCs/>
          <w:color w:val="000000"/>
          <w:sz w:val="24"/>
        </w:rPr>
      </w:pPr>
    </w:p>
    <w:p w14:paraId="076C677C">
      <w:pPr>
        <w:pStyle w:val="4"/>
      </w:pPr>
    </w:p>
    <w:p w14:paraId="6E690D8E">
      <w:pPr>
        <w:pStyle w:val="10"/>
        <w:spacing w:beforeAutospacing="0" w:afterAutospacing="0" w:line="0" w:lineRule="atLeast"/>
        <w:jc w:val="both"/>
      </w:pPr>
      <w:r>
        <w:t> </w:t>
      </w:r>
    </w:p>
    <w:p w14:paraId="0CC8EA6B">
      <w:pPr>
        <w:pStyle w:val="10"/>
        <w:keepNext/>
        <w:spacing w:beforeAutospacing="0" w:afterAutospacing="0"/>
        <w:ind w:firstLine="2640" w:firstLineChars="600"/>
        <w:jc w:val="both"/>
      </w:pPr>
      <w:r>
        <w:rPr>
          <w:rFonts w:hint="eastAsia" w:ascii="黑体" w:hAnsi="宋体" w:eastAsia="黑体" w:cs="黑体"/>
          <w:color w:val="000000"/>
          <w:sz w:val="44"/>
          <w:szCs w:val="44"/>
        </w:rPr>
        <w:t>第三章  合同文本</w:t>
      </w:r>
    </w:p>
    <w:p w14:paraId="2139FFC0">
      <w:pPr>
        <w:pStyle w:val="10"/>
        <w:spacing w:beforeAutospacing="0" w:afterAutospacing="0" w:line="0" w:lineRule="atLeast"/>
        <w:ind w:firstLine="480"/>
        <w:jc w:val="both"/>
      </w:pPr>
      <w:bookmarkStart w:id="169" w:name="_Toc20823315"/>
      <w:bookmarkStart w:id="170" w:name="_Toc16938559"/>
      <w:bookmarkStart w:id="171" w:name="_Toc513029243"/>
      <w:r>
        <w:rPr>
          <w:rFonts w:hint="eastAsia" w:ascii="宋体" w:hAnsi="宋体" w:eastAsia="宋体" w:cs="宋体"/>
          <w:color w:val="000000"/>
        </w:rPr>
        <w:t>以下为中标后签定本项目合同的通用条款，中标人不得提出实质性的修改。</w:t>
      </w:r>
      <w:bookmarkEnd w:id="169"/>
      <w:bookmarkEnd w:id="170"/>
      <w:bookmarkEnd w:id="171"/>
    </w:p>
    <w:p w14:paraId="394B3782">
      <w:pPr>
        <w:pStyle w:val="10"/>
        <w:spacing w:before="145" w:beforeAutospacing="0" w:after="145" w:afterAutospacing="0"/>
        <w:jc w:val="center"/>
      </w:pPr>
      <w:r>
        <w:rPr>
          <w:rFonts w:hint="eastAsia" w:ascii="宋体" w:hAnsi="宋体" w:eastAsia="宋体" w:cs="宋体"/>
          <w:b/>
          <w:color w:val="000000"/>
          <w:sz w:val="30"/>
          <w:szCs w:val="30"/>
        </w:rPr>
        <w:t>盐城市政府采购合同（货物）（合同编号）</w:t>
      </w:r>
    </w:p>
    <w:p w14:paraId="6A0DD15B">
      <w:pPr>
        <w:pStyle w:val="10"/>
        <w:spacing w:before="120" w:beforeAutospacing="0" w:after="120" w:afterAutospacing="0"/>
        <w:jc w:val="both"/>
        <w:rPr>
          <w:rFonts w:ascii="宋体" w:hAnsi="宋体" w:eastAsia="宋体" w:cs="宋体"/>
          <w:color w:val="000000"/>
        </w:rPr>
      </w:pPr>
      <w:r>
        <w:rPr>
          <w:rFonts w:hint="eastAsia" w:ascii="宋体" w:hAnsi="宋体" w:eastAsia="宋体" w:cs="宋体"/>
          <w:color w:val="000000"/>
        </w:rPr>
        <w:t>项目名称：                        </w:t>
      </w:r>
    </w:p>
    <w:p w14:paraId="26081B69">
      <w:pPr>
        <w:pStyle w:val="10"/>
        <w:spacing w:before="120" w:beforeAutospacing="0" w:after="120" w:afterAutospacing="0"/>
        <w:jc w:val="both"/>
        <w:rPr>
          <w:rFonts w:ascii="宋体" w:hAnsi="宋体" w:eastAsia="宋体" w:cs="宋体"/>
          <w:color w:val="000000"/>
        </w:rPr>
      </w:pPr>
      <w:r>
        <w:rPr>
          <w:rFonts w:hint="eastAsia" w:ascii="宋体" w:hAnsi="宋体" w:eastAsia="宋体" w:cs="宋体"/>
          <w:color w:val="000000"/>
        </w:rPr>
        <w:t>项目编号：</w:t>
      </w:r>
    </w:p>
    <w:p w14:paraId="718004E3">
      <w:pPr>
        <w:pStyle w:val="10"/>
        <w:spacing w:before="120" w:beforeAutospacing="0" w:after="120" w:afterAutospacing="0"/>
        <w:jc w:val="both"/>
      </w:pPr>
      <w:r>
        <w:rPr>
          <w:rFonts w:hint="eastAsia" w:ascii="宋体" w:hAnsi="宋体" w:eastAsia="宋体" w:cs="宋体"/>
          <w:color w:val="000000"/>
        </w:rPr>
        <w:t>甲方：（买方）_________</w:t>
      </w:r>
    </w:p>
    <w:p w14:paraId="3D7D14D0">
      <w:pPr>
        <w:pStyle w:val="10"/>
        <w:spacing w:before="120" w:beforeAutospacing="0" w:after="120" w:afterAutospacing="0"/>
        <w:jc w:val="both"/>
      </w:pPr>
      <w:r>
        <w:rPr>
          <w:rFonts w:hint="eastAsia" w:ascii="宋体" w:hAnsi="宋体" w:eastAsia="宋体" w:cs="宋体"/>
          <w:color w:val="000000"/>
        </w:rPr>
        <w:t>乙方：（卖方）_________</w:t>
      </w:r>
    </w:p>
    <w:p w14:paraId="0947AF75">
      <w:pPr>
        <w:pStyle w:val="10"/>
        <w:spacing w:before="120" w:beforeAutospacing="0" w:after="120" w:afterAutospacing="0"/>
        <w:jc w:val="both"/>
      </w:pPr>
      <w:r>
        <w:rPr>
          <w:rFonts w:hint="eastAsia" w:ascii="宋体" w:hAnsi="宋体" w:eastAsia="宋体" w:cs="宋体"/>
          <w:b/>
          <w:color w:val="000000"/>
        </w:rPr>
        <w:t xml:space="preserve">   </w:t>
      </w:r>
      <w:r>
        <w:rPr>
          <w:rFonts w:hint="eastAsia" w:ascii="宋体" w:hAnsi="宋体" w:eastAsia="宋体" w:cs="宋体"/>
          <w:color w:val="000000"/>
        </w:rPr>
        <w:t>甲、乙双方根据</w:t>
      </w:r>
      <w:r>
        <w:rPr>
          <w:rFonts w:hint="eastAsia" w:ascii="宋体" w:hAnsi="宋体" w:eastAsia="宋体" w:cs="宋体"/>
          <w:color w:val="000000"/>
          <w:u w:val="single"/>
        </w:rPr>
        <w:t xml:space="preserve">         </w:t>
      </w:r>
      <w:r>
        <w:rPr>
          <w:rFonts w:hint="eastAsia" w:ascii="宋体" w:hAnsi="宋体" w:eastAsia="宋体" w:cs="宋体"/>
          <w:color w:val="000000"/>
        </w:rPr>
        <w:t>项目公开招标的结果，签署本合同。</w:t>
      </w:r>
    </w:p>
    <w:p w14:paraId="3C363CCD">
      <w:pPr>
        <w:pStyle w:val="10"/>
        <w:spacing w:before="120" w:beforeAutospacing="0" w:after="120" w:afterAutospacing="0"/>
        <w:jc w:val="both"/>
      </w:pPr>
      <w:r>
        <w:rPr>
          <w:rFonts w:hint="eastAsia" w:ascii="宋体" w:hAnsi="宋体" w:eastAsia="宋体" w:cs="宋体"/>
          <w:b/>
          <w:color w:val="000000"/>
        </w:rPr>
        <w:t>一、合同内容</w:t>
      </w:r>
    </w:p>
    <w:p w14:paraId="4118EF0C">
      <w:pPr>
        <w:pStyle w:val="10"/>
        <w:spacing w:before="120" w:beforeAutospacing="0" w:after="120" w:afterAutospacing="0"/>
        <w:jc w:val="both"/>
      </w:pPr>
      <w:r>
        <w:rPr>
          <w:rFonts w:hint="eastAsia" w:ascii="宋体" w:hAnsi="宋体" w:eastAsia="宋体" w:cs="宋体"/>
          <w:color w:val="000000"/>
        </w:rPr>
        <w:t>1.1 标的名称：</w:t>
      </w:r>
    </w:p>
    <w:p w14:paraId="4BF0E1DF">
      <w:pPr>
        <w:pStyle w:val="10"/>
        <w:spacing w:before="120" w:beforeAutospacing="0" w:after="120" w:afterAutospacing="0"/>
        <w:jc w:val="both"/>
      </w:pPr>
      <w:r>
        <w:rPr>
          <w:rFonts w:hint="eastAsia" w:ascii="宋体" w:hAnsi="宋体" w:eastAsia="宋体" w:cs="宋体"/>
          <w:color w:val="000000"/>
        </w:rPr>
        <w:t>1.2 标的质量：</w:t>
      </w:r>
    </w:p>
    <w:p w14:paraId="702F40B8">
      <w:pPr>
        <w:pStyle w:val="10"/>
        <w:spacing w:before="120" w:beforeAutospacing="0" w:after="120" w:afterAutospacing="0"/>
        <w:jc w:val="both"/>
      </w:pPr>
      <w:r>
        <w:rPr>
          <w:rFonts w:hint="eastAsia" w:ascii="宋体" w:hAnsi="宋体" w:eastAsia="宋体" w:cs="宋体"/>
          <w:color w:val="000000"/>
        </w:rPr>
        <w:t>1.3 标的数量（规模）：</w:t>
      </w:r>
    </w:p>
    <w:p w14:paraId="20F926FC">
      <w:pPr>
        <w:pStyle w:val="10"/>
        <w:spacing w:before="120" w:beforeAutospacing="0" w:after="120" w:afterAutospacing="0"/>
        <w:jc w:val="both"/>
      </w:pPr>
      <w:r>
        <w:rPr>
          <w:rFonts w:hint="eastAsia" w:ascii="宋体" w:hAnsi="宋体" w:eastAsia="宋体" w:cs="宋体"/>
          <w:color w:val="000000"/>
        </w:rPr>
        <w:t>1.4 履行时间（期限）：</w:t>
      </w:r>
    </w:p>
    <w:p w14:paraId="7651C294">
      <w:pPr>
        <w:pStyle w:val="10"/>
        <w:spacing w:before="120" w:beforeAutospacing="0" w:after="120" w:afterAutospacing="0"/>
        <w:jc w:val="both"/>
      </w:pPr>
      <w:r>
        <w:rPr>
          <w:rFonts w:hint="eastAsia" w:ascii="宋体" w:hAnsi="宋体" w:eastAsia="宋体" w:cs="宋体"/>
          <w:color w:val="000000"/>
        </w:rPr>
        <w:t>1.5 履行地点：</w:t>
      </w:r>
    </w:p>
    <w:p w14:paraId="73CA0166">
      <w:pPr>
        <w:pStyle w:val="10"/>
        <w:spacing w:before="120" w:beforeAutospacing="0" w:after="120" w:afterAutospacing="0"/>
        <w:jc w:val="both"/>
      </w:pPr>
      <w:r>
        <w:rPr>
          <w:rFonts w:hint="eastAsia" w:ascii="宋体" w:hAnsi="宋体" w:eastAsia="宋体" w:cs="宋体"/>
          <w:color w:val="000000"/>
        </w:rPr>
        <w:t>1.6 履行方式：</w:t>
      </w:r>
    </w:p>
    <w:p w14:paraId="6DEB6058">
      <w:pPr>
        <w:pStyle w:val="10"/>
        <w:spacing w:before="120" w:beforeAutospacing="0" w:after="120" w:afterAutospacing="0"/>
        <w:jc w:val="both"/>
      </w:pPr>
      <w:r>
        <w:rPr>
          <w:rFonts w:hint="eastAsia" w:ascii="宋体" w:hAnsi="宋体" w:eastAsia="宋体" w:cs="宋体"/>
          <w:color w:val="000000"/>
        </w:rPr>
        <w:t>1.7 包装方式：</w:t>
      </w:r>
    </w:p>
    <w:p w14:paraId="4515C9DD">
      <w:pPr>
        <w:pStyle w:val="10"/>
        <w:spacing w:before="120" w:beforeAutospacing="0" w:after="120" w:afterAutospacing="0"/>
        <w:jc w:val="both"/>
      </w:pPr>
      <w:r>
        <w:rPr>
          <w:rFonts w:hint="eastAsia" w:ascii="宋体" w:hAnsi="宋体" w:eastAsia="宋体" w:cs="宋体"/>
          <w:b/>
          <w:color w:val="000000"/>
        </w:rPr>
        <w:t>二、合同金额</w:t>
      </w:r>
    </w:p>
    <w:p w14:paraId="542FD4AB">
      <w:pPr>
        <w:pStyle w:val="10"/>
        <w:spacing w:before="120" w:beforeAutospacing="0" w:after="120" w:afterAutospacing="0"/>
        <w:ind w:left="410" w:hanging="410"/>
        <w:jc w:val="both"/>
      </w:pPr>
      <w:r>
        <w:rPr>
          <w:rFonts w:hint="eastAsia" w:ascii="宋体" w:hAnsi="宋体" w:eastAsia="宋体" w:cs="宋体"/>
          <w:color w:val="000000"/>
        </w:rPr>
        <w:t>2.1 本合同金额为（大写）：_______圆（___元）人民币或其他币种。</w:t>
      </w:r>
    </w:p>
    <w:p w14:paraId="072246EA">
      <w:pPr>
        <w:pStyle w:val="10"/>
        <w:spacing w:before="120" w:beforeAutospacing="0" w:after="120" w:afterAutospacing="0"/>
        <w:jc w:val="both"/>
      </w:pPr>
      <w:r>
        <w:rPr>
          <w:rFonts w:hint="eastAsia" w:ascii="宋体" w:hAnsi="宋体" w:eastAsia="宋体" w:cs="宋体"/>
          <w:b/>
          <w:color w:val="000000"/>
        </w:rPr>
        <w:t>三、技术资料</w:t>
      </w:r>
    </w:p>
    <w:p w14:paraId="1686E6FD">
      <w:pPr>
        <w:pStyle w:val="10"/>
        <w:spacing w:before="120" w:beforeAutospacing="0" w:after="120" w:afterAutospacing="0"/>
        <w:ind w:left="410" w:hanging="410"/>
        <w:jc w:val="both"/>
      </w:pPr>
      <w:r>
        <w:rPr>
          <w:rFonts w:hint="eastAsia" w:ascii="宋体" w:hAnsi="宋体" w:eastAsia="宋体" w:cs="宋体"/>
          <w:color w:val="000000"/>
        </w:rPr>
        <w:t>3.1乙方应按招标文件规定的时间向甲方提供使用货物(包含与货物相关的服务)的有关技术资料。</w:t>
      </w:r>
    </w:p>
    <w:p w14:paraId="01A5D423">
      <w:pPr>
        <w:pStyle w:val="10"/>
        <w:spacing w:before="120" w:beforeAutospacing="0" w:after="120" w:afterAutospacing="0"/>
        <w:ind w:left="410" w:hanging="410"/>
        <w:jc w:val="both"/>
      </w:pPr>
      <w:r>
        <w:rPr>
          <w:rFonts w:hint="eastAsia" w:ascii="宋体" w:hAnsi="宋体" w:eastAsia="宋体" w:cs="宋体"/>
          <w:color w:val="000000"/>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3007435">
      <w:pPr>
        <w:pStyle w:val="10"/>
        <w:spacing w:before="120" w:beforeAutospacing="0" w:after="120" w:afterAutospacing="0"/>
        <w:ind w:left="412" w:hanging="412"/>
        <w:jc w:val="both"/>
      </w:pPr>
      <w:r>
        <w:rPr>
          <w:rFonts w:hint="eastAsia" w:ascii="宋体" w:hAnsi="宋体" w:eastAsia="宋体" w:cs="宋体"/>
          <w:b/>
          <w:color w:val="000000"/>
        </w:rPr>
        <w:t>四、知识产权</w:t>
      </w:r>
    </w:p>
    <w:p w14:paraId="72FB7C0D">
      <w:pPr>
        <w:pStyle w:val="10"/>
        <w:spacing w:beforeAutospacing="0" w:afterAutospacing="0" w:line="0" w:lineRule="atLeast"/>
        <w:jc w:val="both"/>
      </w:pPr>
      <w:r>
        <w:rPr>
          <w:rFonts w:ascii="Times New Roman" w:hAnsi="Times New Roman"/>
          <w:color w:val="000000"/>
        </w:rPr>
        <w:t>4.1乙</w:t>
      </w:r>
      <w:r>
        <w:rPr>
          <w:rFonts w:hint="eastAsia" w:ascii="宋体" w:hAnsi="宋体" w:eastAsia="宋体" w:cs="宋体"/>
          <w:color w:val="000000"/>
        </w:rPr>
        <w:t>方应保证甲方在使用、接受本合同货物</w:t>
      </w:r>
      <w:r>
        <w:rPr>
          <w:rFonts w:ascii="Times New Roman" w:hAnsi="Times New Roman"/>
          <w:color w:val="000000"/>
        </w:rPr>
        <w:t>（包含与货物相关的服务）</w:t>
      </w:r>
      <w:r>
        <w:rPr>
          <w:rFonts w:hint="eastAsia" w:ascii="宋体" w:hAnsi="宋体" w:eastAsia="宋体" w:cs="宋体"/>
          <w:color w:val="000000"/>
        </w:rPr>
        <w:t>或其任何一部分时不受第三方提出侵犯其专利权、版权、商标权和工业设计权等知识产权的起诉。一旦出现侵权，由乙方负全部责任。</w:t>
      </w:r>
    </w:p>
    <w:p w14:paraId="21E6BD53">
      <w:pPr>
        <w:pStyle w:val="10"/>
        <w:spacing w:before="120" w:beforeAutospacing="0" w:after="120" w:afterAutospacing="0"/>
        <w:jc w:val="both"/>
      </w:pPr>
      <w:r>
        <w:rPr>
          <w:rFonts w:hint="eastAsia" w:ascii="宋体" w:hAnsi="宋体" w:eastAsia="宋体" w:cs="宋体"/>
          <w:b/>
          <w:color w:val="000000"/>
        </w:rPr>
        <w:t>五、产权担保</w:t>
      </w:r>
    </w:p>
    <w:p w14:paraId="20B17307">
      <w:pPr>
        <w:pStyle w:val="10"/>
        <w:spacing w:before="120" w:beforeAutospacing="0" w:after="120" w:afterAutospacing="0"/>
        <w:ind w:left="408" w:hanging="408"/>
        <w:jc w:val="both"/>
      </w:pPr>
      <w:r>
        <w:rPr>
          <w:rFonts w:hint="eastAsia" w:ascii="宋体" w:hAnsi="宋体" w:eastAsia="宋体" w:cs="宋体"/>
          <w:color w:val="000000"/>
        </w:rPr>
        <w:t>5.1 乙方保证所交付的货物（包含与货物相关的服务）的所有权完全属于乙方且无任何抵押、查封等产权瑕疵。</w:t>
      </w:r>
    </w:p>
    <w:p w14:paraId="3D8B5791">
      <w:pPr>
        <w:pStyle w:val="10"/>
        <w:spacing w:before="120" w:beforeAutospacing="0" w:after="120" w:afterAutospacing="0"/>
        <w:ind w:left="410" w:hanging="410"/>
        <w:jc w:val="both"/>
      </w:pPr>
      <w:r>
        <w:rPr>
          <w:rFonts w:hint="eastAsia" w:ascii="宋体" w:hAnsi="宋体" w:eastAsia="宋体" w:cs="宋体"/>
          <w:b/>
          <w:color w:val="000000"/>
        </w:rPr>
        <w:t>六、履约保证金</w:t>
      </w:r>
    </w:p>
    <w:p w14:paraId="684960A3">
      <w:pPr>
        <w:pStyle w:val="10"/>
        <w:spacing w:before="120" w:beforeAutospacing="0" w:after="120" w:afterAutospacing="0"/>
        <w:ind w:left="408" w:hanging="408"/>
        <w:jc w:val="both"/>
        <w:rPr>
          <w:rFonts w:ascii="宋体" w:hAnsi="宋体" w:eastAsia="宋体" w:cs="宋体"/>
          <w:color w:val="000000"/>
        </w:rPr>
      </w:pPr>
      <w:r>
        <w:rPr>
          <w:rFonts w:hint="eastAsia" w:ascii="宋体" w:hAnsi="宋体" w:eastAsia="宋体" w:cs="宋体"/>
          <w:color w:val="000000"/>
        </w:rPr>
        <w:t>6.1 乙方交纳人民币_________元作为本合同的履约保证金。</w:t>
      </w:r>
    </w:p>
    <w:p w14:paraId="74BF8EC2">
      <w:pPr>
        <w:pStyle w:val="10"/>
        <w:spacing w:before="120" w:beforeAutospacing="0" w:after="120" w:afterAutospacing="0"/>
        <w:ind w:left="408" w:hanging="408"/>
        <w:jc w:val="both"/>
      </w:pPr>
      <w:r>
        <w:rPr>
          <w:rFonts w:hint="eastAsia" w:ascii="宋体" w:hAnsi="宋体" w:eastAsia="宋体" w:cs="宋体"/>
          <w:color w:val="000000"/>
        </w:rPr>
        <w:t>6.2合同履行结束后，甲方应及时退还交纳的履约保证金。</w:t>
      </w:r>
    </w:p>
    <w:p w14:paraId="3CC6CBF0">
      <w:pPr>
        <w:spacing w:line="360" w:lineRule="auto"/>
        <w:rPr>
          <w:rFonts w:ascii="宋体" w:hAnsi="宋体" w:eastAsia="宋体" w:cs="宋体"/>
          <w:color w:val="FF0000"/>
          <w:kern w:val="0"/>
          <w:sz w:val="24"/>
        </w:rPr>
      </w:pPr>
      <w:r>
        <w:rPr>
          <w:rFonts w:hint="eastAsia" w:ascii="宋体" w:hAnsi="宋体" w:eastAsia="宋体" w:cs="宋体"/>
          <w:color w:val="FF0000"/>
          <w:kern w:val="0"/>
          <w:sz w:val="24"/>
        </w:rPr>
        <w:t>6.3履约保证金的退还：</w:t>
      </w:r>
    </w:p>
    <w:p w14:paraId="71BD68E4">
      <w:pPr>
        <w:spacing w:line="360" w:lineRule="auto"/>
        <w:rPr>
          <w:rFonts w:ascii="宋体" w:hAnsi="宋体" w:eastAsia="宋体" w:cs="宋体"/>
          <w:color w:val="FF0000"/>
          <w:kern w:val="0"/>
          <w:sz w:val="24"/>
        </w:rPr>
      </w:pPr>
      <w:r>
        <w:rPr>
          <w:rFonts w:hint="eastAsia" w:ascii="宋体" w:hAnsi="宋体" w:eastAsia="宋体" w:cs="宋体"/>
          <w:color w:val="FF0000"/>
          <w:kern w:val="0"/>
          <w:sz w:val="24"/>
        </w:rPr>
        <w:t>6.3.1方式：无息退还至投标人缴纳履约保证金的账户。如为保函，在到期时自行失效。</w:t>
      </w:r>
    </w:p>
    <w:p w14:paraId="04AD47E9">
      <w:pPr>
        <w:spacing w:line="360" w:lineRule="auto"/>
        <w:rPr>
          <w:rFonts w:ascii="宋体" w:hAnsi="宋体" w:eastAsia="宋体" w:cs="宋体"/>
          <w:color w:val="FF0000"/>
          <w:kern w:val="0"/>
          <w:sz w:val="24"/>
        </w:rPr>
      </w:pPr>
      <w:r>
        <w:rPr>
          <w:rFonts w:hint="eastAsia" w:ascii="宋体" w:hAnsi="宋体" w:eastAsia="宋体" w:cs="宋体"/>
          <w:color w:val="FF0000"/>
          <w:kern w:val="0"/>
          <w:sz w:val="24"/>
        </w:rPr>
        <w:t>6.3.2时间：验收合格且采购人收到发票后30日内。</w:t>
      </w:r>
    </w:p>
    <w:p w14:paraId="205A5811">
      <w:pPr>
        <w:spacing w:line="360" w:lineRule="auto"/>
        <w:rPr>
          <w:rFonts w:ascii="宋体" w:hAnsi="宋体" w:eastAsia="宋体" w:cs="宋体"/>
          <w:color w:val="FF0000"/>
          <w:kern w:val="0"/>
          <w:sz w:val="24"/>
        </w:rPr>
      </w:pPr>
      <w:r>
        <w:rPr>
          <w:rFonts w:hint="eastAsia" w:ascii="宋体" w:hAnsi="宋体" w:eastAsia="宋体" w:cs="宋体"/>
          <w:color w:val="FF0000"/>
          <w:kern w:val="0"/>
          <w:sz w:val="24"/>
        </w:rPr>
        <w:t>6.3.3条件：按合同要求全部履约完成并经采购人验收合格，且采购人收到中标人出具的发票。</w:t>
      </w:r>
    </w:p>
    <w:p w14:paraId="05E80ED0">
      <w:pPr>
        <w:spacing w:line="360" w:lineRule="auto"/>
        <w:rPr>
          <w:rFonts w:ascii="宋体" w:hAnsi="宋体" w:eastAsia="宋体" w:cs="宋体"/>
          <w:color w:val="FF0000"/>
          <w:kern w:val="0"/>
          <w:sz w:val="24"/>
        </w:rPr>
      </w:pPr>
      <w:r>
        <w:rPr>
          <w:rFonts w:hint="eastAsia" w:ascii="宋体" w:hAnsi="宋体" w:eastAsia="宋体" w:cs="宋体"/>
          <w:color w:val="FF0000"/>
          <w:kern w:val="0"/>
          <w:sz w:val="24"/>
        </w:rPr>
        <w:t>6.3.4不予退还情形：</w:t>
      </w:r>
    </w:p>
    <w:p w14:paraId="799D4FF3">
      <w:pPr>
        <w:spacing w:line="360" w:lineRule="auto"/>
        <w:rPr>
          <w:rFonts w:ascii="宋体" w:hAnsi="宋体" w:eastAsia="宋体" w:cs="宋体"/>
          <w:color w:val="FF0000"/>
          <w:kern w:val="0"/>
          <w:sz w:val="24"/>
        </w:rPr>
      </w:pPr>
      <w:r>
        <w:rPr>
          <w:rFonts w:hint="eastAsia" w:ascii="宋体" w:hAnsi="宋体" w:eastAsia="宋体" w:cs="宋体"/>
          <w:color w:val="FF0000"/>
          <w:kern w:val="0"/>
          <w:sz w:val="24"/>
        </w:rPr>
        <w:t>除不可抗力情况外，投标人出现下列情形之一的，其履约保证金，招标人将视情节决定不予退还或部分不予退还。</w:t>
      </w:r>
    </w:p>
    <w:p w14:paraId="29BBA99F">
      <w:pPr>
        <w:spacing w:line="360" w:lineRule="auto"/>
        <w:rPr>
          <w:rFonts w:ascii="宋体" w:hAnsi="宋体" w:eastAsia="宋体" w:cs="宋体"/>
          <w:color w:val="FF0000"/>
          <w:kern w:val="0"/>
          <w:sz w:val="24"/>
        </w:rPr>
      </w:pPr>
      <w:r>
        <w:rPr>
          <w:rFonts w:hint="eastAsia" w:ascii="宋体" w:hAnsi="宋体" w:eastAsia="宋体" w:cs="宋体"/>
          <w:color w:val="FF0000"/>
          <w:kern w:val="0"/>
          <w:sz w:val="24"/>
        </w:rPr>
        <w:t>（1）中标人无正当理由拒绝签订合同的，或者在签订合同时向采购人提出附加条件或者更改合同实质性内容要求的；</w:t>
      </w:r>
    </w:p>
    <w:p w14:paraId="5244E379">
      <w:pPr>
        <w:spacing w:line="360" w:lineRule="auto"/>
        <w:rPr>
          <w:rFonts w:ascii="宋体" w:hAnsi="宋体" w:eastAsia="宋体" w:cs="宋体"/>
          <w:color w:val="FF0000"/>
          <w:kern w:val="0"/>
          <w:sz w:val="24"/>
        </w:rPr>
      </w:pPr>
      <w:r>
        <w:rPr>
          <w:rFonts w:hint="eastAsia" w:ascii="宋体" w:hAnsi="宋体" w:eastAsia="宋体" w:cs="宋体"/>
          <w:color w:val="FF0000"/>
          <w:kern w:val="0"/>
          <w:sz w:val="24"/>
        </w:rPr>
        <w:t>（2）中标人不履行与采购人订立的合同的；</w:t>
      </w:r>
    </w:p>
    <w:p w14:paraId="4A710596">
      <w:pPr>
        <w:spacing w:line="360" w:lineRule="auto"/>
        <w:rPr>
          <w:rFonts w:ascii="宋体" w:hAnsi="宋体" w:eastAsia="宋体" w:cs="宋体"/>
          <w:color w:val="FF0000"/>
          <w:kern w:val="0"/>
          <w:sz w:val="24"/>
        </w:rPr>
      </w:pPr>
      <w:r>
        <w:rPr>
          <w:rFonts w:hint="eastAsia" w:ascii="宋体" w:hAnsi="宋体" w:eastAsia="宋体" w:cs="宋体"/>
          <w:color w:val="FF0000"/>
          <w:kern w:val="0"/>
          <w:sz w:val="24"/>
        </w:rPr>
        <w:t>（3）中标人所供货物或服务不符合招标文件规定要求的；</w:t>
      </w:r>
    </w:p>
    <w:p w14:paraId="3D2BE3B8">
      <w:pPr>
        <w:spacing w:line="360" w:lineRule="auto"/>
        <w:rPr>
          <w:rFonts w:ascii="宋体" w:hAnsi="宋体" w:eastAsia="宋体" w:cs="宋体"/>
          <w:color w:val="FF0000"/>
          <w:kern w:val="0"/>
          <w:sz w:val="24"/>
        </w:rPr>
      </w:pPr>
      <w:r>
        <w:rPr>
          <w:rFonts w:hint="eastAsia" w:ascii="宋体" w:hAnsi="宋体" w:eastAsia="宋体" w:cs="宋体"/>
          <w:color w:val="FF0000"/>
          <w:kern w:val="0"/>
          <w:sz w:val="24"/>
        </w:rPr>
        <w:t>（4）中标人采取欺骗、弄虚作假方式投标的或与其它投标人串通投标的；</w:t>
      </w:r>
    </w:p>
    <w:p w14:paraId="6E8B6142">
      <w:pPr>
        <w:spacing w:line="360" w:lineRule="auto"/>
        <w:rPr>
          <w:rFonts w:ascii="宋体" w:hAnsi="宋体" w:eastAsia="宋体" w:cs="宋体"/>
          <w:color w:val="FF0000"/>
          <w:kern w:val="0"/>
          <w:sz w:val="24"/>
        </w:rPr>
      </w:pPr>
      <w:r>
        <w:rPr>
          <w:rFonts w:hint="eastAsia" w:ascii="宋体" w:hAnsi="宋体" w:eastAsia="宋体" w:cs="宋体"/>
          <w:color w:val="FF0000"/>
          <w:kern w:val="0"/>
          <w:sz w:val="24"/>
        </w:rPr>
        <w:t>（5）中标人将合同内容转包、违法分包的；</w:t>
      </w:r>
    </w:p>
    <w:p w14:paraId="3F0FDBD3">
      <w:pPr>
        <w:spacing w:line="360" w:lineRule="auto"/>
        <w:rPr>
          <w:rFonts w:ascii="宋体" w:hAnsi="宋体" w:eastAsia="宋体" w:cs="宋体"/>
          <w:color w:val="FF0000"/>
          <w:kern w:val="0"/>
          <w:sz w:val="24"/>
        </w:rPr>
      </w:pPr>
      <w:r>
        <w:rPr>
          <w:rFonts w:hint="eastAsia" w:ascii="宋体" w:hAnsi="宋体" w:eastAsia="宋体" w:cs="宋体"/>
          <w:color w:val="FF0000"/>
          <w:kern w:val="0"/>
          <w:sz w:val="24"/>
        </w:rPr>
        <w:t>（6）中标人故意捏造事实或伪造证明材料，进行虚假恶意投诉或反映的。</w:t>
      </w:r>
    </w:p>
    <w:p w14:paraId="0814190F">
      <w:pPr>
        <w:spacing w:line="360" w:lineRule="auto"/>
        <w:rPr>
          <w:rFonts w:ascii="宋体" w:hAnsi="宋体" w:eastAsia="宋体" w:cs="宋体"/>
          <w:color w:val="FF0000"/>
          <w:kern w:val="0"/>
          <w:sz w:val="24"/>
        </w:rPr>
      </w:pPr>
      <w:r>
        <w:rPr>
          <w:rFonts w:hint="eastAsia" w:ascii="宋体" w:hAnsi="宋体" w:eastAsia="宋体" w:cs="宋体"/>
          <w:color w:val="FF0000"/>
          <w:kern w:val="0"/>
          <w:sz w:val="24"/>
        </w:rPr>
        <w:t>6.3.5逾期退还的违约责任：采购人逾期无故未退还履约保证金的，按中国人民银行同期贷款基准利率上浮20%后的利率支付超期资金占用费，但因供应商自身原因导致无法及时退还的除外。</w:t>
      </w:r>
    </w:p>
    <w:p w14:paraId="3E88F9EC">
      <w:pPr>
        <w:pStyle w:val="10"/>
        <w:spacing w:before="145" w:beforeAutospacing="0" w:after="145" w:afterAutospacing="0"/>
        <w:jc w:val="both"/>
      </w:pPr>
      <w:r>
        <w:rPr>
          <w:rFonts w:hint="eastAsia" w:ascii="宋体" w:hAnsi="宋体" w:eastAsia="宋体" w:cs="宋体"/>
          <w:b/>
          <w:color w:val="000000"/>
        </w:rPr>
        <w:t>七、合同转包或分包</w:t>
      </w:r>
    </w:p>
    <w:p w14:paraId="1C47B8B5">
      <w:pPr>
        <w:pStyle w:val="10"/>
        <w:spacing w:before="145" w:beforeAutospacing="0" w:after="145" w:afterAutospacing="0"/>
        <w:jc w:val="both"/>
      </w:pPr>
      <w:r>
        <w:rPr>
          <w:rFonts w:hint="eastAsia" w:ascii="宋体" w:hAnsi="宋体" w:eastAsia="宋体" w:cs="宋体"/>
          <w:color w:val="000000"/>
        </w:rPr>
        <w:t>7.1乙方不得将合同标的转包给他人履行。</w:t>
      </w:r>
    </w:p>
    <w:p w14:paraId="26CD6EDF">
      <w:pPr>
        <w:pStyle w:val="10"/>
        <w:spacing w:before="145" w:beforeAutospacing="0" w:after="145" w:afterAutospacing="0"/>
        <w:jc w:val="both"/>
      </w:pPr>
      <w:r>
        <w:rPr>
          <w:rFonts w:hint="eastAsia" w:ascii="宋体" w:hAnsi="宋体" w:eastAsia="宋体" w:cs="宋体"/>
          <w:color w:val="000000"/>
        </w:rPr>
        <w:t>7.2乙方不得将合同标的分包给他人履行。</w:t>
      </w:r>
    </w:p>
    <w:p w14:paraId="07873D7A">
      <w:pPr>
        <w:pStyle w:val="10"/>
        <w:spacing w:before="145" w:beforeAutospacing="0" w:after="145" w:afterAutospacing="0"/>
        <w:jc w:val="both"/>
      </w:pPr>
      <w:r>
        <w:rPr>
          <w:rFonts w:hint="eastAsia" w:ascii="宋体" w:hAnsi="宋体" w:eastAsia="宋体" w:cs="宋体"/>
          <w:color w:val="000000"/>
        </w:rPr>
        <w:t>7.3乙方如有转包或未经甲方同意的分包行为，甲方有权给予终止合同。</w:t>
      </w:r>
    </w:p>
    <w:p w14:paraId="4F52A66F">
      <w:pPr>
        <w:pStyle w:val="10"/>
        <w:spacing w:before="120" w:beforeAutospacing="0" w:after="120" w:afterAutospacing="0"/>
        <w:jc w:val="both"/>
      </w:pPr>
      <w:r>
        <w:rPr>
          <w:rFonts w:hint="eastAsia" w:ascii="宋体" w:hAnsi="宋体" w:eastAsia="宋体" w:cs="宋体"/>
          <w:b/>
          <w:color w:val="000000"/>
        </w:rPr>
        <w:t>八、合同款项支付</w:t>
      </w:r>
    </w:p>
    <w:p w14:paraId="5B0145BF">
      <w:pPr>
        <w:pStyle w:val="10"/>
        <w:spacing w:before="120" w:beforeAutospacing="0" w:after="120" w:afterAutospacing="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8.1合同签订时，经甲方与乙方根据实际情况协商一致，支付合同总价的30%作为项目启动预付款（甲方在收到发票后 10个工作日内将预付款支付到合同约定的乙方账户）；</w:t>
      </w:r>
    </w:p>
    <w:p w14:paraId="42841F66">
      <w:pPr>
        <w:pStyle w:val="10"/>
        <w:spacing w:before="120" w:beforeAutospacing="0" w:after="120" w:afterAutospacing="0"/>
        <w:jc w:val="both"/>
        <w:rPr>
          <w:rFonts w:hint="eastAsia" w:ascii="宋体" w:hAnsi="宋体" w:eastAsia="宋体" w:cs="宋体"/>
          <w:color w:val="000000"/>
        </w:rPr>
      </w:pPr>
      <w:r>
        <w:rPr>
          <w:rFonts w:hint="eastAsia" w:ascii="宋体" w:hAnsi="宋体" w:eastAsia="宋体" w:cs="宋体"/>
          <w:color w:val="000000"/>
          <w:lang w:val="en-US" w:eastAsia="zh-CN"/>
        </w:rPr>
        <w:t>8.2乙方按照甲方的要求将货物送到指定地点并完成安装调试，项目验收合格。甲方收到发票后10个工作日内付至项目总价的70%；自验收合格之日起，服务期满一年后,无任何质量问题并按要求完成服务内容，依据考核结果甲方收到发票后10个工作日内结算余款（无息）。</w:t>
      </w:r>
    </w:p>
    <w:p w14:paraId="2BA73F21">
      <w:pPr>
        <w:pStyle w:val="10"/>
        <w:spacing w:before="145" w:beforeAutospacing="0" w:after="145" w:afterAutospacing="0"/>
        <w:jc w:val="both"/>
      </w:pPr>
      <w:r>
        <w:rPr>
          <w:rFonts w:hint="eastAsia" w:ascii="宋体" w:hAnsi="宋体" w:eastAsia="宋体" w:cs="宋体"/>
          <w:b/>
          <w:color w:val="000000"/>
        </w:rPr>
        <w:t>九、税费</w:t>
      </w:r>
    </w:p>
    <w:p w14:paraId="1F7A91E7">
      <w:pPr>
        <w:pStyle w:val="10"/>
        <w:spacing w:before="145" w:beforeAutospacing="0" w:after="145" w:afterAutospacing="0"/>
        <w:jc w:val="both"/>
      </w:pPr>
      <w:r>
        <w:rPr>
          <w:rFonts w:hint="eastAsia" w:ascii="宋体" w:hAnsi="宋体" w:eastAsia="宋体" w:cs="宋体"/>
          <w:color w:val="000000"/>
        </w:rPr>
        <w:t>9.1本合同执行中相关的一切税费均由乙方负担。</w:t>
      </w:r>
    </w:p>
    <w:p w14:paraId="02F0803B">
      <w:pPr>
        <w:pStyle w:val="10"/>
        <w:spacing w:before="120" w:beforeAutospacing="0" w:after="120" w:afterAutospacing="0"/>
        <w:ind w:left="412" w:hanging="412"/>
        <w:jc w:val="both"/>
      </w:pPr>
      <w:r>
        <w:rPr>
          <w:rFonts w:hint="eastAsia" w:ascii="宋体" w:hAnsi="宋体" w:eastAsia="宋体" w:cs="宋体"/>
          <w:b/>
          <w:color w:val="000000"/>
        </w:rPr>
        <w:t>十、质量保修范围和保修期及售后服务</w:t>
      </w:r>
    </w:p>
    <w:p w14:paraId="67109FDA">
      <w:pPr>
        <w:pStyle w:val="10"/>
        <w:spacing w:before="120" w:beforeAutospacing="0" w:after="120" w:afterAutospacing="0"/>
        <w:ind w:left="410" w:hanging="410"/>
        <w:jc w:val="both"/>
      </w:pPr>
      <w:r>
        <w:rPr>
          <w:rFonts w:hint="eastAsia" w:ascii="宋体" w:hAnsi="宋体" w:eastAsia="宋体" w:cs="宋体"/>
          <w:color w:val="000000"/>
        </w:rPr>
        <w:t>10.1 乙方应按招标文件规定的货物性能、技术要求、质量标准向甲方提供未经使用的全新产品。</w:t>
      </w:r>
    </w:p>
    <w:p w14:paraId="1E288CDD">
      <w:pPr>
        <w:pStyle w:val="10"/>
        <w:spacing w:before="120" w:beforeAutospacing="0" w:after="120" w:afterAutospacing="0"/>
        <w:ind w:left="480" w:hanging="480"/>
        <w:jc w:val="both"/>
      </w:pPr>
      <w:r>
        <w:rPr>
          <w:rFonts w:hint="eastAsia" w:ascii="宋体" w:hAnsi="宋体" w:eastAsia="宋体" w:cs="宋体"/>
          <w:color w:val="000000"/>
        </w:rPr>
        <w:t>10.2 乙方提供的货物在质量期内因货物本身的质量问题发生故障，乙方应负责免费更换。对达不到技术要求者，根据实际情况，经双方协商，可按以下办法处理：</w:t>
      </w:r>
    </w:p>
    <w:p w14:paraId="54C75C17">
      <w:pPr>
        <w:pStyle w:val="10"/>
        <w:spacing w:before="120" w:beforeAutospacing="0" w:after="120" w:afterAutospacing="0"/>
        <w:ind w:firstLine="420"/>
        <w:jc w:val="both"/>
      </w:pPr>
      <w:r>
        <w:rPr>
          <w:rFonts w:hint="eastAsia" w:ascii="宋体" w:hAnsi="宋体" w:eastAsia="宋体" w:cs="宋体"/>
          <w:color w:val="000000"/>
        </w:rPr>
        <w:t>⑴更换：由乙方承担所发生的全部费用。</w:t>
      </w:r>
    </w:p>
    <w:p w14:paraId="38CB766D">
      <w:pPr>
        <w:pStyle w:val="10"/>
        <w:spacing w:before="120" w:beforeAutospacing="0" w:after="120" w:afterAutospacing="0"/>
        <w:ind w:firstLine="420"/>
        <w:jc w:val="both"/>
      </w:pPr>
      <w:r>
        <w:rPr>
          <w:rFonts w:hint="eastAsia" w:ascii="宋体" w:hAnsi="宋体" w:eastAsia="宋体" w:cs="宋体"/>
          <w:color w:val="000000"/>
        </w:rPr>
        <w:t>⑵贬值处理：由甲乙双方合议定价。</w:t>
      </w:r>
    </w:p>
    <w:p w14:paraId="33F48B3A">
      <w:pPr>
        <w:pStyle w:val="10"/>
        <w:spacing w:before="120" w:beforeAutospacing="0" w:after="120" w:afterAutospacing="0"/>
        <w:ind w:left="420"/>
        <w:jc w:val="both"/>
      </w:pPr>
      <w:r>
        <w:rPr>
          <w:rFonts w:hint="eastAsia" w:ascii="宋体" w:hAnsi="宋体" w:eastAsia="宋体" w:cs="宋体"/>
          <w:color w:val="000000"/>
        </w:rPr>
        <w:t>⑶退货处理：乙方应退还甲方支付的合同款，同时应承担该货物的直接费用（运输、保险、检验、货款利息及银行手续费等）。</w:t>
      </w:r>
    </w:p>
    <w:p w14:paraId="28083F89">
      <w:pPr>
        <w:pStyle w:val="10"/>
        <w:spacing w:before="120" w:beforeAutospacing="0" w:after="120" w:afterAutospacing="0"/>
        <w:jc w:val="both"/>
      </w:pPr>
      <w:r>
        <w:rPr>
          <w:rFonts w:hint="eastAsia" w:ascii="宋体" w:hAnsi="宋体" w:eastAsia="宋体" w:cs="宋体"/>
          <w:color w:val="000000"/>
        </w:rPr>
        <w:t>10.3 如在使用过程中发生质量问题，乙方在接到甲方通知后在_________小时内到达甲方现场。</w:t>
      </w:r>
    </w:p>
    <w:p w14:paraId="5756347C">
      <w:pPr>
        <w:pStyle w:val="10"/>
        <w:spacing w:before="120" w:beforeAutospacing="0" w:after="120" w:afterAutospacing="0"/>
        <w:jc w:val="both"/>
      </w:pPr>
      <w:r>
        <w:rPr>
          <w:rFonts w:hint="eastAsia" w:ascii="宋体" w:hAnsi="宋体" w:eastAsia="宋体" w:cs="宋体"/>
          <w:color w:val="000000"/>
        </w:rPr>
        <w:t>10.4 在质保期内，乙方应对货物出现的质量及安全问题负责处理解决并承担一切费用。</w:t>
      </w:r>
    </w:p>
    <w:p w14:paraId="18824CC9">
      <w:pPr>
        <w:pStyle w:val="10"/>
        <w:spacing w:before="120" w:beforeAutospacing="0" w:after="120" w:afterAutospacing="0"/>
        <w:ind w:left="480" w:hanging="480"/>
        <w:jc w:val="both"/>
      </w:pPr>
      <w:r>
        <w:rPr>
          <w:rFonts w:hint="eastAsia" w:ascii="宋体" w:hAnsi="宋体" w:eastAsia="宋体" w:cs="宋体"/>
          <w:color w:val="000000"/>
        </w:rPr>
        <w:t>10.5上述的货物免费保修期为</w:t>
      </w:r>
      <w:r>
        <w:rPr>
          <w:rFonts w:hint="eastAsia" w:ascii="宋体" w:hAnsi="宋体" w:eastAsia="宋体" w:cs="宋体"/>
          <w:color w:val="000000"/>
          <w:u w:val="single"/>
        </w:rPr>
        <w:t>  </w:t>
      </w:r>
      <w:r>
        <w:rPr>
          <w:rFonts w:hint="eastAsia" w:ascii="宋体" w:hAnsi="宋体" w:eastAsia="宋体" w:cs="宋体"/>
          <w:color w:val="000000"/>
          <w:u w:val="single"/>
          <w:lang w:val="en-US" w:eastAsia="zh-CN"/>
        </w:rPr>
        <w:t>五</w:t>
      </w:r>
      <w:r>
        <w:rPr>
          <w:rFonts w:hint="eastAsia" w:ascii="宋体" w:hAnsi="宋体" w:eastAsia="宋体" w:cs="宋体"/>
          <w:color w:val="000000"/>
          <w:u w:val="single"/>
        </w:rPr>
        <w:t xml:space="preserve">   </w:t>
      </w:r>
      <w:r>
        <w:rPr>
          <w:rFonts w:hint="eastAsia" w:ascii="宋体" w:hAnsi="宋体" w:eastAsia="宋体" w:cs="宋体"/>
          <w:color w:val="000000"/>
        </w:rPr>
        <w:t>年（自交货验收合格之日起计），因人为因素出现的故障不在免费保修范围内。超过保修期的机器设备，终生维修，维修时只收部件成本费。</w:t>
      </w:r>
    </w:p>
    <w:p w14:paraId="65D17300">
      <w:pPr>
        <w:pStyle w:val="10"/>
        <w:spacing w:before="120" w:beforeAutospacing="0" w:after="120" w:afterAutospacing="0"/>
        <w:jc w:val="both"/>
      </w:pPr>
      <w:r>
        <w:rPr>
          <w:rFonts w:hint="eastAsia" w:ascii="宋体" w:hAnsi="宋体" w:eastAsia="宋体" w:cs="宋体"/>
          <w:b/>
          <w:color w:val="000000"/>
        </w:rPr>
        <w:t>十一、项目验收</w:t>
      </w:r>
    </w:p>
    <w:p w14:paraId="20BC56F1">
      <w:pPr>
        <w:pStyle w:val="10"/>
        <w:spacing w:before="120" w:beforeAutospacing="0" w:after="120" w:afterAutospacing="0"/>
        <w:jc w:val="both"/>
      </w:pPr>
      <w:r>
        <w:rPr>
          <w:rFonts w:hint="eastAsia" w:ascii="宋体" w:hAnsi="宋体" w:eastAsia="宋体" w:cs="宋体"/>
          <w:color w:val="000000"/>
        </w:rPr>
        <w:t>11.1 甲方依法组织履约验收工作。</w:t>
      </w:r>
    </w:p>
    <w:p w14:paraId="1A107CFB">
      <w:pPr>
        <w:pStyle w:val="10"/>
        <w:spacing w:before="120" w:beforeAutospacing="0" w:after="120" w:afterAutospacing="0"/>
        <w:jc w:val="both"/>
      </w:pPr>
      <w:r>
        <w:rPr>
          <w:rFonts w:hint="eastAsia" w:ascii="宋体" w:hAnsi="宋体" w:eastAsia="宋体" w:cs="宋体"/>
          <w:color w:val="000000"/>
        </w:rPr>
        <w:t>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CC14417">
      <w:pPr>
        <w:pStyle w:val="10"/>
        <w:spacing w:before="120" w:beforeAutospacing="0" w:after="120" w:afterAutospacing="0"/>
        <w:jc w:val="both"/>
      </w:pPr>
      <w:r>
        <w:rPr>
          <w:rFonts w:hint="eastAsia" w:ascii="宋体" w:hAnsi="宋体" w:eastAsia="宋体" w:cs="宋体"/>
          <w:color w:val="000000"/>
        </w:rPr>
        <w:t>11.3 对于实际使用人和甲方分离的项目，甲方邀请实际使用人参与验收。</w:t>
      </w:r>
    </w:p>
    <w:p w14:paraId="1A4F405D">
      <w:pPr>
        <w:pStyle w:val="10"/>
        <w:spacing w:before="120" w:beforeAutospacing="0" w:after="120" w:afterAutospacing="0"/>
        <w:jc w:val="both"/>
      </w:pPr>
      <w:r>
        <w:rPr>
          <w:rFonts w:hint="eastAsia" w:ascii="宋体" w:hAnsi="宋体" w:eastAsia="宋体" w:cs="宋体"/>
          <w:color w:val="000000"/>
        </w:rPr>
        <w:t>11.4 如有必要，甲方邀请参加本项目的其他供应商或第三方专业机构及专家参与验收，相关意见将作为验收书的参考资料。</w:t>
      </w:r>
    </w:p>
    <w:p w14:paraId="1CEB0C0F">
      <w:pPr>
        <w:pStyle w:val="10"/>
        <w:spacing w:before="120" w:beforeAutospacing="0" w:after="120" w:afterAutospacing="0"/>
        <w:jc w:val="both"/>
      </w:pPr>
      <w:r>
        <w:rPr>
          <w:rFonts w:hint="eastAsia" w:ascii="宋体" w:hAnsi="宋体" w:eastAsia="宋体" w:cs="宋体"/>
          <w:color w:val="000000"/>
        </w:rPr>
        <w:t>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09B4CA6E">
      <w:pPr>
        <w:pStyle w:val="10"/>
        <w:spacing w:before="120" w:beforeAutospacing="0" w:after="120" w:afterAutospacing="0"/>
        <w:jc w:val="both"/>
      </w:pPr>
      <w:r>
        <w:rPr>
          <w:rFonts w:hint="eastAsia" w:ascii="宋体" w:hAnsi="宋体" w:eastAsia="宋体" w:cs="宋体"/>
          <w:color w:val="000000"/>
        </w:rPr>
        <w:t>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4E643D54">
      <w:pPr>
        <w:pStyle w:val="10"/>
        <w:spacing w:before="120" w:beforeAutospacing="0" w:after="120" w:afterAutospacing="0"/>
        <w:jc w:val="both"/>
      </w:pPr>
      <w:r>
        <w:rPr>
          <w:rFonts w:hint="eastAsia" w:ascii="宋体" w:hAnsi="宋体" w:eastAsia="宋体" w:cs="宋体"/>
          <w:b/>
          <w:color w:val="000000"/>
        </w:rPr>
        <w:t>十二、货物的包装、发运及运输</w:t>
      </w:r>
    </w:p>
    <w:p w14:paraId="24266DEA">
      <w:pPr>
        <w:pStyle w:val="10"/>
        <w:spacing w:before="120" w:beforeAutospacing="0" w:after="120" w:afterAutospacing="0"/>
        <w:ind w:left="480" w:hanging="480"/>
        <w:jc w:val="both"/>
      </w:pPr>
      <w:r>
        <w:rPr>
          <w:rFonts w:hint="eastAsia" w:ascii="宋体" w:hAnsi="宋体" w:eastAsia="宋体" w:cs="宋体"/>
          <w:color w:val="000000"/>
        </w:rPr>
        <w:t>12.1 乙方应在货物发运前对其进行满足运输距离、防潮、防震、防锈和防破损装卸等要求包装，以保证货物安全运达甲方指定地点。</w:t>
      </w:r>
      <w:r>
        <w:rPr>
          <w:rFonts w:hint="eastAsia" w:ascii="宋体" w:hAnsi="宋体" w:eastAsia="宋体" w:cs="宋体"/>
          <w:color w:val="FF0000"/>
        </w:rPr>
        <w:t>乙方对货物的包装应符合《商品包装政府采购需求标准（试行）》、《快递包装政府采购需求标准（试行）》的规定。</w:t>
      </w:r>
    </w:p>
    <w:p w14:paraId="7FC233A7">
      <w:pPr>
        <w:pStyle w:val="10"/>
        <w:spacing w:before="120" w:beforeAutospacing="0" w:after="120" w:afterAutospacing="0"/>
        <w:ind w:left="480" w:hanging="480"/>
        <w:jc w:val="both"/>
      </w:pPr>
      <w:r>
        <w:rPr>
          <w:rFonts w:hint="eastAsia" w:ascii="宋体" w:hAnsi="宋体" w:eastAsia="宋体" w:cs="宋体"/>
          <w:color w:val="000000"/>
        </w:rPr>
        <w:t>12.2 使用说明书、质量检验证明书、随配附件和工具以及清单一并附于货物内。</w:t>
      </w:r>
    </w:p>
    <w:p w14:paraId="4F9F5D4E">
      <w:pPr>
        <w:pStyle w:val="10"/>
        <w:spacing w:before="120" w:beforeAutospacing="0" w:after="120" w:afterAutospacing="0"/>
        <w:ind w:left="480" w:hanging="480"/>
        <w:jc w:val="both"/>
      </w:pPr>
      <w:r>
        <w:rPr>
          <w:rFonts w:hint="eastAsia" w:ascii="宋体" w:hAnsi="宋体" w:eastAsia="宋体" w:cs="宋体"/>
          <w:color w:val="000000"/>
        </w:rPr>
        <w:t>12.3 乙方在货物发运手续办理完毕后24小时内或货到甲方48小时前通知甲方，以准备接货。</w:t>
      </w:r>
    </w:p>
    <w:p w14:paraId="505862EF">
      <w:pPr>
        <w:pStyle w:val="10"/>
        <w:spacing w:before="120" w:beforeAutospacing="0" w:after="120" w:afterAutospacing="0"/>
        <w:ind w:left="480" w:hanging="480"/>
        <w:jc w:val="both"/>
      </w:pPr>
      <w:r>
        <w:rPr>
          <w:rFonts w:hint="eastAsia" w:ascii="宋体" w:hAnsi="宋体" w:eastAsia="宋体" w:cs="宋体"/>
          <w:color w:val="000000"/>
        </w:rPr>
        <w:t>12.4 货物在交付甲方前发生的风险均由乙方负责。</w:t>
      </w:r>
    </w:p>
    <w:p w14:paraId="49B9CF3C">
      <w:pPr>
        <w:pStyle w:val="10"/>
        <w:spacing w:before="156" w:beforeAutospacing="0" w:after="156" w:afterAutospacing="0"/>
        <w:ind w:left="480" w:right="26" w:hanging="480"/>
        <w:jc w:val="both"/>
      </w:pPr>
      <w:r>
        <w:rPr>
          <w:rFonts w:hint="eastAsia" w:ascii="宋体" w:hAnsi="宋体" w:eastAsia="宋体" w:cs="宋体"/>
          <w:color w:val="000000"/>
        </w:rPr>
        <w:t>12.5 货物在规定的交付期限内由乙方送达甲方指定的地点视为交付，乙方同时需通知甲方货物已送达。</w:t>
      </w:r>
    </w:p>
    <w:p w14:paraId="451FDBCD">
      <w:pPr>
        <w:pStyle w:val="10"/>
        <w:spacing w:before="120" w:beforeAutospacing="0" w:after="120" w:afterAutospacing="0"/>
        <w:jc w:val="both"/>
      </w:pPr>
      <w:r>
        <w:rPr>
          <w:rFonts w:hint="eastAsia" w:ascii="宋体" w:hAnsi="宋体" w:eastAsia="宋体" w:cs="宋体"/>
          <w:b/>
          <w:color w:val="000000"/>
        </w:rPr>
        <w:t>十三、违约责任</w:t>
      </w:r>
    </w:p>
    <w:p w14:paraId="7E0F4ECD">
      <w:pPr>
        <w:pStyle w:val="10"/>
        <w:spacing w:before="120" w:beforeAutospacing="0" w:after="120" w:afterAutospacing="0"/>
        <w:ind w:left="410" w:hanging="410"/>
        <w:jc w:val="both"/>
      </w:pPr>
      <w:r>
        <w:rPr>
          <w:rFonts w:hint="eastAsia" w:ascii="宋体" w:hAnsi="宋体" w:eastAsia="宋体" w:cs="宋体"/>
          <w:color w:val="000000"/>
        </w:rPr>
        <w:t>13.1 甲方无正当理由拒收货物的，甲方向乙方偿付拒收货款总值</w:t>
      </w:r>
      <w:r>
        <w:rPr>
          <w:rFonts w:hint="eastAsia" w:ascii="宋体" w:hAnsi="宋体" w:eastAsia="宋体" w:cs="宋体"/>
          <w:color w:val="000000"/>
          <w:u w:val="single"/>
        </w:rPr>
        <w:t xml:space="preserve">    </w:t>
      </w:r>
      <w:r>
        <w:rPr>
          <w:rFonts w:hint="eastAsia" w:ascii="宋体" w:hAnsi="宋体" w:eastAsia="宋体" w:cs="宋体"/>
          <w:color w:val="000000"/>
        </w:rPr>
        <w:t>的违约金。</w:t>
      </w:r>
    </w:p>
    <w:p w14:paraId="4CD93ACD">
      <w:pPr>
        <w:pStyle w:val="10"/>
        <w:spacing w:before="120" w:beforeAutospacing="0" w:after="120" w:afterAutospacing="0"/>
        <w:ind w:left="410" w:hanging="410"/>
        <w:jc w:val="both"/>
      </w:pPr>
      <w:r>
        <w:rPr>
          <w:rFonts w:hint="eastAsia" w:ascii="宋体" w:hAnsi="宋体" w:eastAsia="宋体" w:cs="宋体"/>
          <w:color w:val="000000"/>
        </w:rPr>
        <w:t>13.2 甲方无故逾期验收和办理货款支付手续的,甲方应按逾期付款总额每日</w:t>
      </w:r>
      <w:r>
        <w:rPr>
          <w:rFonts w:hint="eastAsia" w:ascii="宋体" w:hAnsi="宋体" w:eastAsia="宋体" w:cs="宋体"/>
          <w:color w:val="000000"/>
          <w:u w:val="single"/>
        </w:rPr>
        <w:t xml:space="preserve">    </w:t>
      </w:r>
      <w:r>
        <w:rPr>
          <w:rFonts w:hint="eastAsia" w:ascii="宋体" w:hAnsi="宋体" w:eastAsia="宋体" w:cs="宋体"/>
          <w:color w:val="000000"/>
        </w:rPr>
        <w:t>向乙方支付违约金。</w:t>
      </w:r>
    </w:p>
    <w:p w14:paraId="3EA0F876">
      <w:pPr>
        <w:pStyle w:val="10"/>
        <w:spacing w:before="120" w:beforeAutospacing="0" w:after="120" w:afterAutospacing="0"/>
        <w:ind w:left="410" w:hanging="410"/>
        <w:jc w:val="both"/>
      </w:pPr>
      <w:r>
        <w:rPr>
          <w:rFonts w:hint="eastAsia" w:ascii="宋体" w:hAnsi="宋体" w:eastAsia="宋体" w:cs="宋体"/>
          <w:color w:val="000000"/>
        </w:rPr>
        <w:t>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p>
    <w:p w14:paraId="18BD2D9F">
      <w:pPr>
        <w:pStyle w:val="10"/>
        <w:spacing w:before="120" w:beforeAutospacing="0" w:after="120" w:afterAutospacing="0"/>
        <w:ind w:left="410" w:hanging="410"/>
        <w:jc w:val="both"/>
      </w:pPr>
      <w:r>
        <w:rPr>
          <w:rFonts w:hint="eastAsia" w:ascii="宋体" w:hAnsi="宋体" w:eastAsia="宋体" w:cs="宋体"/>
          <w:color w:val="000000"/>
        </w:rPr>
        <w:t>13.4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550C728F">
      <w:pPr>
        <w:pStyle w:val="10"/>
        <w:spacing w:before="120" w:beforeAutospacing="0" w:after="120" w:afterAutospacing="0"/>
        <w:jc w:val="both"/>
      </w:pPr>
      <w:r>
        <w:rPr>
          <w:rFonts w:hint="eastAsia" w:ascii="宋体" w:hAnsi="宋体" w:eastAsia="宋体" w:cs="宋体"/>
          <w:b/>
          <w:color w:val="000000"/>
        </w:rPr>
        <w:t>十四、不可抗力事件处理</w:t>
      </w:r>
    </w:p>
    <w:p w14:paraId="181C012A">
      <w:pPr>
        <w:pStyle w:val="10"/>
        <w:spacing w:before="120" w:beforeAutospacing="0" w:after="120" w:afterAutospacing="0"/>
        <w:ind w:left="480" w:hanging="480"/>
        <w:jc w:val="both"/>
      </w:pPr>
      <w:r>
        <w:rPr>
          <w:rFonts w:hint="eastAsia" w:ascii="宋体" w:hAnsi="宋体" w:eastAsia="宋体" w:cs="宋体"/>
          <w:color w:val="000000"/>
        </w:rPr>
        <w:t>14.1 在合同有效期内，任何一方因不可抗力事件导致不能履行合同，则合同履行期可延长，其延长期与不可抗力影响期相同。</w:t>
      </w:r>
    </w:p>
    <w:p w14:paraId="57A5D5BD">
      <w:pPr>
        <w:pStyle w:val="10"/>
        <w:spacing w:before="120" w:beforeAutospacing="0" w:after="120" w:afterAutospacing="0"/>
        <w:jc w:val="both"/>
      </w:pPr>
      <w:r>
        <w:rPr>
          <w:rFonts w:hint="eastAsia" w:ascii="宋体" w:hAnsi="宋体" w:eastAsia="宋体" w:cs="宋体"/>
          <w:color w:val="000000"/>
        </w:rPr>
        <w:t>14.2 不可抗力事件发生后，应立即通知对方，并寄送有关权威机构出具的证明。</w:t>
      </w:r>
    </w:p>
    <w:p w14:paraId="5EC8CC9C">
      <w:pPr>
        <w:pStyle w:val="10"/>
        <w:spacing w:before="120" w:beforeAutospacing="0" w:after="120" w:afterAutospacing="0"/>
        <w:jc w:val="both"/>
      </w:pPr>
      <w:r>
        <w:rPr>
          <w:rFonts w:hint="eastAsia" w:ascii="宋体" w:hAnsi="宋体" w:eastAsia="宋体" w:cs="宋体"/>
          <w:color w:val="000000"/>
        </w:rPr>
        <w:t>14.3 不可抗力事件延续120天以上，双方应通过友好协商，确定是否继续履行合同。</w:t>
      </w:r>
    </w:p>
    <w:p w14:paraId="77BBE034">
      <w:pPr>
        <w:pStyle w:val="10"/>
        <w:spacing w:before="120" w:beforeAutospacing="0" w:after="120" w:afterAutospacing="0"/>
        <w:jc w:val="both"/>
      </w:pPr>
      <w:r>
        <w:rPr>
          <w:rFonts w:hint="eastAsia" w:ascii="宋体" w:hAnsi="宋体" w:eastAsia="宋体" w:cs="宋体"/>
          <w:b/>
          <w:color w:val="000000"/>
        </w:rPr>
        <w:t>十五、解决争议的方法</w:t>
      </w:r>
    </w:p>
    <w:p w14:paraId="61A89A94">
      <w:pPr>
        <w:pStyle w:val="10"/>
        <w:spacing w:before="120" w:beforeAutospacing="0" w:after="120" w:afterAutospacing="0"/>
        <w:ind w:left="480" w:hanging="480"/>
        <w:jc w:val="both"/>
      </w:pPr>
      <w:r>
        <w:rPr>
          <w:rFonts w:hint="eastAsia" w:ascii="宋体" w:hAnsi="宋体" w:eastAsia="宋体" w:cs="宋体"/>
          <w:color w:val="000000"/>
        </w:rPr>
        <w:t>15.1甲乙双方因合同签订、履行而发生的一切争议，应通过友好协商解决。如协商不成由甲方住所地人民法院管辖。</w:t>
      </w:r>
    </w:p>
    <w:p w14:paraId="2E9EA607">
      <w:pPr>
        <w:pStyle w:val="10"/>
        <w:spacing w:before="120" w:beforeAutospacing="0" w:after="120" w:afterAutospacing="0"/>
        <w:jc w:val="both"/>
      </w:pPr>
      <w:r>
        <w:rPr>
          <w:rFonts w:hint="eastAsia" w:ascii="宋体" w:hAnsi="宋体" w:eastAsia="宋体" w:cs="宋体"/>
          <w:b/>
          <w:color w:val="000000"/>
        </w:rPr>
        <w:t>十六、合同生效及其它</w:t>
      </w:r>
    </w:p>
    <w:p w14:paraId="5F5D1A4C">
      <w:pPr>
        <w:pStyle w:val="10"/>
        <w:spacing w:before="120" w:beforeAutospacing="0" w:after="120" w:afterAutospacing="0"/>
        <w:jc w:val="both"/>
      </w:pPr>
      <w:r>
        <w:rPr>
          <w:rFonts w:hint="eastAsia" w:ascii="宋体" w:hAnsi="宋体" w:eastAsia="宋体" w:cs="宋体"/>
          <w:color w:val="000000"/>
        </w:rPr>
        <w:t>16.1 合同经双方法定代表人或授权委托代表人签字并加盖单位公章后生效。</w:t>
      </w:r>
    </w:p>
    <w:p w14:paraId="439FE5B0">
      <w:pPr>
        <w:pStyle w:val="10"/>
        <w:spacing w:before="120" w:beforeAutospacing="0" w:after="120" w:afterAutospacing="0"/>
        <w:jc w:val="both"/>
      </w:pPr>
      <w:r>
        <w:rPr>
          <w:rFonts w:hint="eastAsia" w:ascii="宋体" w:hAnsi="宋体" w:eastAsia="宋体" w:cs="宋体"/>
          <w:color w:val="000000"/>
        </w:rPr>
        <w:t>16.2本合同未尽事宜，遵照《民法典》、《政府采购法》有关条文执行。</w:t>
      </w:r>
    </w:p>
    <w:p w14:paraId="273E5928">
      <w:pPr>
        <w:pStyle w:val="10"/>
        <w:spacing w:before="120" w:beforeAutospacing="0" w:after="120" w:afterAutospacing="0"/>
        <w:ind w:left="480" w:hanging="480"/>
        <w:jc w:val="both"/>
      </w:pPr>
      <w:r>
        <w:rPr>
          <w:rFonts w:hint="eastAsia" w:ascii="宋体" w:hAnsi="宋体" w:eastAsia="宋体" w:cs="宋体"/>
          <w:color w:val="000000"/>
        </w:rPr>
        <w:t>16.3 本合同正本一式两份，具有同等法律效力，甲方、乙方各执一份。</w:t>
      </w:r>
    </w:p>
    <w:p w14:paraId="09844F04">
      <w:pPr>
        <w:pStyle w:val="10"/>
        <w:spacing w:before="120" w:beforeAutospacing="0" w:after="120" w:afterAutospacing="0" w:line="0" w:lineRule="atLeast"/>
        <w:ind w:left="480" w:hanging="480"/>
        <w:jc w:val="both"/>
      </w:pPr>
      <w:r>
        <w:rPr>
          <w:rFonts w:hint="eastAsia" w:ascii="宋体" w:hAnsi="宋体" w:eastAsia="宋体" w:cs="宋体"/>
          <w:color w:val="000000"/>
        </w:rPr>
        <w:t xml:space="preserve">  甲方：                        乙方： </w:t>
      </w:r>
    </w:p>
    <w:p w14:paraId="318D2C0B">
      <w:pPr>
        <w:pStyle w:val="10"/>
        <w:spacing w:before="120" w:beforeAutospacing="0" w:after="120" w:afterAutospacing="0" w:line="0" w:lineRule="atLeast"/>
        <w:jc w:val="both"/>
      </w:pPr>
      <w:r>
        <w:rPr>
          <w:rFonts w:hint="eastAsia" w:ascii="宋体" w:hAnsi="宋体" w:eastAsia="宋体" w:cs="宋体"/>
          <w:color w:val="000000"/>
        </w:rPr>
        <w:t xml:space="preserve">  地址：                        地址： </w:t>
      </w:r>
    </w:p>
    <w:p w14:paraId="470E424C">
      <w:pPr>
        <w:pStyle w:val="10"/>
        <w:spacing w:before="120" w:beforeAutospacing="0" w:after="120" w:afterAutospacing="0" w:line="0" w:lineRule="atLeast"/>
        <w:jc w:val="both"/>
      </w:pPr>
      <w:r>
        <w:rPr>
          <w:rFonts w:hint="eastAsia" w:ascii="宋体" w:hAnsi="宋体" w:eastAsia="宋体" w:cs="宋体"/>
          <w:color w:val="000000"/>
        </w:rPr>
        <w:t>  法定代表人或授权代表：        法定代表人或授权代表：</w:t>
      </w:r>
    </w:p>
    <w:p w14:paraId="3EDDA5BB">
      <w:pPr>
        <w:pStyle w:val="10"/>
        <w:spacing w:before="120" w:beforeAutospacing="0" w:after="120" w:afterAutospacing="0" w:line="0" w:lineRule="atLeast"/>
        <w:ind w:firstLine="360" w:firstLineChars="150"/>
        <w:jc w:val="both"/>
      </w:pPr>
      <w:r>
        <w:rPr>
          <w:rFonts w:hint="eastAsia" w:ascii="宋体" w:hAnsi="宋体" w:eastAsia="宋体" w:cs="宋体"/>
          <w:color w:val="000000"/>
        </w:rPr>
        <w:t xml:space="preserve">联系电话：                联系电话：          </w:t>
      </w:r>
    </w:p>
    <w:p w14:paraId="06D92509">
      <w:pPr>
        <w:pStyle w:val="10"/>
        <w:spacing w:before="120" w:beforeAutospacing="0" w:after="120" w:afterAutospacing="0" w:line="0" w:lineRule="atLeast"/>
        <w:jc w:val="center"/>
        <w:rPr>
          <w:rFonts w:ascii="宋体" w:hAnsi="宋体" w:eastAsia="宋体" w:cs="宋体"/>
          <w:color w:val="000000"/>
          <w:sz w:val="21"/>
          <w:szCs w:val="21"/>
        </w:rPr>
      </w:pPr>
      <w:r>
        <w:rPr>
          <w:rFonts w:hint="eastAsia" w:ascii="宋体" w:hAnsi="宋体" w:eastAsia="宋体" w:cs="宋体"/>
          <w:color w:val="000000"/>
          <w:sz w:val="21"/>
          <w:szCs w:val="21"/>
        </w:rPr>
        <w:t xml:space="preserve">                 </w:t>
      </w:r>
    </w:p>
    <w:p w14:paraId="6F9A4778">
      <w:pPr>
        <w:pStyle w:val="10"/>
        <w:spacing w:before="120" w:beforeAutospacing="0" w:after="120" w:afterAutospacing="0" w:line="0" w:lineRule="atLeast"/>
        <w:jc w:val="center"/>
        <w:rPr>
          <w:rFonts w:ascii="宋体" w:hAnsi="宋体" w:eastAsia="宋体" w:cs="宋体"/>
          <w:color w:val="000000"/>
          <w:sz w:val="21"/>
          <w:szCs w:val="21"/>
        </w:rPr>
      </w:pPr>
    </w:p>
    <w:p w14:paraId="0DFF564C">
      <w:pPr>
        <w:pStyle w:val="10"/>
        <w:spacing w:before="120" w:beforeAutospacing="0" w:after="120" w:afterAutospacing="0" w:line="0" w:lineRule="atLeast"/>
        <w:ind w:firstLine="360" w:firstLineChars="150"/>
        <w:jc w:val="both"/>
      </w:pPr>
      <w:r>
        <w:rPr>
          <w:rFonts w:hint="eastAsia" w:ascii="宋体" w:hAnsi="宋体" w:eastAsia="宋体" w:cs="宋体"/>
          <w:color w:val="000000"/>
        </w:rPr>
        <w:t>签订日期：      年    月   日</w:t>
      </w:r>
      <w:bookmarkStart w:id="172" w:name="_Toc479757211"/>
      <w:bookmarkStart w:id="173" w:name="_Toc16938590"/>
      <w:bookmarkStart w:id="174" w:name="_Hlt16619350"/>
      <w:bookmarkStart w:id="175" w:name="_Toc120614244"/>
      <w:bookmarkStart w:id="176" w:name="_Toc462564139"/>
      <w:bookmarkStart w:id="177" w:name="_Toc20823346"/>
      <w:bookmarkStart w:id="178" w:name="_Hlt16619369"/>
      <w:r>
        <w:rPr>
          <w:rFonts w:hint="eastAsia" w:ascii="黑体" w:hAnsi="宋体" w:eastAsia="黑体" w:cs="黑体"/>
          <w:color w:val="000000"/>
          <w:sz w:val="44"/>
          <w:szCs w:val="44"/>
        </w:rPr>
        <w:br w:type="page"/>
      </w:r>
      <w:r>
        <w:rPr>
          <w:rFonts w:hint="eastAsia" w:ascii="黑体" w:hAnsi="宋体" w:eastAsia="黑体" w:cs="黑体"/>
          <w:color w:val="000000"/>
          <w:sz w:val="44"/>
          <w:szCs w:val="44"/>
        </w:rPr>
        <w:t>           第</w:t>
      </w:r>
      <w:bookmarkEnd w:id="172"/>
      <w:r>
        <w:rPr>
          <w:rFonts w:hint="eastAsia" w:ascii="黑体" w:hAnsi="宋体" w:eastAsia="黑体" w:cs="黑体"/>
          <w:color w:val="000000"/>
          <w:sz w:val="44"/>
          <w:szCs w:val="44"/>
        </w:rPr>
        <w:t>四章 采购需求</w:t>
      </w:r>
      <w:bookmarkEnd w:id="173"/>
      <w:bookmarkEnd w:id="174"/>
      <w:bookmarkEnd w:id="175"/>
      <w:bookmarkEnd w:id="176"/>
      <w:bookmarkEnd w:id="177"/>
    </w:p>
    <w:p w14:paraId="0C6B1085">
      <w:pPr>
        <w:pStyle w:val="10"/>
        <w:tabs>
          <w:tab w:val="left" w:pos="901"/>
        </w:tabs>
        <w:spacing w:beforeAutospacing="0" w:afterAutospacing="0" w:line="360" w:lineRule="auto"/>
        <w:ind w:firstLine="480"/>
        <w:jc w:val="both"/>
        <w:rPr>
          <w:rFonts w:ascii="宋体" w:hAnsi="宋体" w:eastAsia="宋体" w:cs="宋体"/>
          <w:b/>
          <w:bCs/>
          <w:color w:val="000000"/>
        </w:rPr>
      </w:pPr>
      <w:bookmarkStart w:id="179" w:name="_Toc26554093"/>
      <w:bookmarkStart w:id="180" w:name="_Toc49090575"/>
      <w:r>
        <w:rPr>
          <w:rFonts w:hint="eastAsia" w:ascii="宋体" w:hAnsi="宋体" w:eastAsia="宋体" w:cs="宋体"/>
          <w:b/>
          <w:bCs/>
          <w:color w:val="000000"/>
        </w:rPr>
        <w:t>项目属性:货物类项目。</w:t>
      </w:r>
      <w:bookmarkEnd w:id="179"/>
      <w:bookmarkEnd w:id="180"/>
    </w:p>
    <w:p w14:paraId="120D3260">
      <w:pPr>
        <w:pStyle w:val="22"/>
        <w:keepNext w:val="0"/>
        <w:keepLines w:val="0"/>
        <w:pageBreakBefore w:val="0"/>
        <w:widowControl w:val="0"/>
        <w:wordWrap/>
        <w:topLinePunct w:val="0"/>
        <w:autoSpaceDE w:val="0"/>
        <w:autoSpaceDN w:val="0"/>
        <w:bidi w:val="0"/>
        <w:adjustRightInd w:val="0"/>
        <w:snapToGrid/>
        <w:spacing w:line="520" w:lineRule="exact"/>
        <w:ind w:firstLine="482" w:firstLineChars="200"/>
        <w:textAlignment w:val="auto"/>
        <w:rPr>
          <w:rFonts w:hint="eastAsia" w:ascii="宋体" w:hAnsi="宋体"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一、项目概况</w:t>
      </w:r>
    </w:p>
    <w:p w14:paraId="4892898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盐城市射阳生态环境局对射阳县国考断面河流水质自动站设备改造项目进行采购。本项目涉及射阳河千秋水站、黄沙港新洋农场水站、射阳河海河同丰水站、新洋港洋马东移水站等4个水站，项目主要内容为：一是对射阳河千秋水站、黄沙港新洋农场水站仪器设备及配套设施进行改造更新；二是根据水站现有仪器设备状况，对射阳河海河同丰水站、新洋港洋马东移水站仪器设备进行整合；三是采购上述4个水站一年的全托管运维服务，本次采购的产品名称和数量详见表1。</w:t>
      </w:r>
    </w:p>
    <w:p w14:paraId="5A2C9561">
      <w:pPr>
        <w:pStyle w:val="4"/>
        <w:keepNext w:val="0"/>
        <w:keepLines w:val="0"/>
        <w:pageBreakBefore w:val="0"/>
        <w:widowControl w:val="0"/>
        <w:kinsoku w:val="0"/>
        <w:wordWrap/>
        <w:overflowPunct w:val="0"/>
        <w:topLinePunct w:val="0"/>
        <w:bidi w:val="0"/>
        <w:snapToGrid/>
        <w:spacing w:beforeLines="0" w:afterLines="0" w:line="520" w:lineRule="exact"/>
        <w:jc w:val="center"/>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表1 射阳县国考断面河流水质自动站设备改造项目采购清单</w:t>
      </w:r>
    </w:p>
    <w:tbl>
      <w:tblPr>
        <w:tblStyle w:val="12"/>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108" w:type="dxa"/>
          <w:bottom w:w="0" w:type="dxa"/>
          <w:right w:w="108" w:type="dxa"/>
        </w:tblCellMar>
      </w:tblPr>
      <w:tblGrid>
        <w:gridCol w:w="897"/>
        <w:gridCol w:w="1080"/>
        <w:gridCol w:w="3600"/>
        <w:gridCol w:w="927"/>
        <w:gridCol w:w="849"/>
        <w:gridCol w:w="1168"/>
      </w:tblGrid>
      <w:tr w14:paraId="5ECB42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897" w:type="dxa"/>
            <w:tcBorders>
              <w:tl2br w:val="nil"/>
              <w:tr2bl w:val="nil"/>
            </w:tcBorders>
            <w:noWrap w:val="0"/>
            <w:vAlign w:val="center"/>
          </w:tcPr>
          <w:p w14:paraId="4246C22A">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序号</w:t>
            </w:r>
          </w:p>
        </w:tc>
        <w:tc>
          <w:tcPr>
            <w:tcW w:w="4680" w:type="dxa"/>
            <w:gridSpan w:val="2"/>
            <w:tcBorders>
              <w:tl2br w:val="nil"/>
              <w:tr2bl w:val="nil"/>
            </w:tcBorders>
            <w:noWrap w:val="0"/>
            <w:vAlign w:val="center"/>
          </w:tcPr>
          <w:p w14:paraId="107B8F23">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建设内容</w:t>
            </w:r>
          </w:p>
        </w:tc>
        <w:tc>
          <w:tcPr>
            <w:tcW w:w="927" w:type="dxa"/>
            <w:tcBorders>
              <w:tl2br w:val="nil"/>
              <w:tr2bl w:val="nil"/>
            </w:tcBorders>
            <w:noWrap w:val="0"/>
            <w:vAlign w:val="center"/>
          </w:tcPr>
          <w:p w14:paraId="3E92B0A3">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单位</w:t>
            </w:r>
          </w:p>
        </w:tc>
        <w:tc>
          <w:tcPr>
            <w:tcW w:w="849" w:type="dxa"/>
            <w:tcBorders>
              <w:tl2br w:val="nil"/>
              <w:tr2bl w:val="nil"/>
            </w:tcBorders>
            <w:noWrap w:val="0"/>
            <w:vAlign w:val="center"/>
          </w:tcPr>
          <w:p w14:paraId="554EC4F7">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数量</w:t>
            </w:r>
          </w:p>
        </w:tc>
        <w:tc>
          <w:tcPr>
            <w:tcW w:w="1168" w:type="dxa"/>
            <w:tcBorders>
              <w:tl2br w:val="nil"/>
              <w:tr2bl w:val="nil"/>
            </w:tcBorders>
            <w:noWrap w:val="0"/>
            <w:vAlign w:val="center"/>
          </w:tcPr>
          <w:p w14:paraId="51878ACB">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备注</w:t>
            </w:r>
          </w:p>
        </w:tc>
      </w:tr>
      <w:tr w14:paraId="3E71EC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8521" w:type="dxa"/>
            <w:gridSpan w:val="6"/>
            <w:tcBorders>
              <w:tl2br w:val="nil"/>
              <w:tr2bl w:val="nil"/>
            </w:tcBorders>
            <w:noWrap w:val="0"/>
            <w:vAlign w:val="center"/>
          </w:tcPr>
          <w:p w14:paraId="65DDB949">
            <w:pPr>
              <w:pStyle w:val="17"/>
              <w:keepNext w:val="0"/>
              <w:keepLines w:val="0"/>
              <w:pageBreakBefore w:val="0"/>
              <w:widowControl w:val="0"/>
              <w:kinsoku/>
              <w:wordWrap/>
              <w:overflowPunct/>
              <w:topLinePunct w:val="0"/>
              <w:bidi w:val="0"/>
              <w:adjustRightInd w:val="0"/>
              <w:snapToGrid/>
              <w:spacing w:line="240" w:lineRule="auto"/>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一、设备</w:t>
            </w:r>
          </w:p>
        </w:tc>
      </w:tr>
      <w:tr w14:paraId="42CB20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897" w:type="dxa"/>
            <w:tcBorders>
              <w:tl2br w:val="nil"/>
              <w:tr2bl w:val="nil"/>
            </w:tcBorders>
            <w:noWrap w:val="0"/>
            <w:vAlign w:val="center"/>
          </w:tcPr>
          <w:p w14:paraId="028E2127">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w:t>
            </w:r>
          </w:p>
        </w:tc>
        <w:tc>
          <w:tcPr>
            <w:tcW w:w="4680" w:type="dxa"/>
            <w:gridSpan w:val="2"/>
            <w:tcBorders>
              <w:tl2br w:val="nil"/>
              <w:tr2bl w:val="nil"/>
            </w:tcBorders>
            <w:noWrap w:val="0"/>
            <w:vAlign w:val="center"/>
          </w:tcPr>
          <w:p w14:paraId="0E9BD6C0">
            <w:pPr>
              <w:pStyle w:val="17"/>
              <w:keepNext w:val="0"/>
              <w:keepLines w:val="0"/>
              <w:pageBreakBefore w:val="0"/>
              <w:widowControl w:val="0"/>
              <w:kinsoku/>
              <w:wordWrap/>
              <w:overflowPunct/>
              <w:topLinePunct w:val="0"/>
              <w:bidi w:val="0"/>
              <w:adjustRightInd w:val="0"/>
              <w:snapToGrid/>
              <w:spacing w:line="240" w:lineRule="auto"/>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采配水单元</w:t>
            </w:r>
          </w:p>
        </w:tc>
        <w:tc>
          <w:tcPr>
            <w:tcW w:w="927" w:type="dxa"/>
            <w:tcBorders>
              <w:tl2br w:val="nil"/>
              <w:tr2bl w:val="nil"/>
            </w:tcBorders>
            <w:noWrap w:val="0"/>
            <w:vAlign w:val="center"/>
          </w:tcPr>
          <w:p w14:paraId="6B203523">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台/套</w:t>
            </w:r>
          </w:p>
        </w:tc>
        <w:tc>
          <w:tcPr>
            <w:tcW w:w="849" w:type="dxa"/>
            <w:tcBorders>
              <w:tl2br w:val="nil"/>
              <w:tr2bl w:val="nil"/>
            </w:tcBorders>
            <w:noWrap w:val="0"/>
            <w:vAlign w:val="center"/>
          </w:tcPr>
          <w:p w14:paraId="62121C8C">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p>
        </w:tc>
        <w:tc>
          <w:tcPr>
            <w:tcW w:w="1168" w:type="dxa"/>
            <w:tcBorders>
              <w:tl2br w:val="nil"/>
              <w:tr2bl w:val="nil"/>
            </w:tcBorders>
            <w:noWrap w:val="0"/>
            <w:vAlign w:val="center"/>
          </w:tcPr>
          <w:p w14:paraId="7FA72112">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p>
        </w:tc>
      </w:tr>
      <w:tr w14:paraId="3F3C797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897" w:type="dxa"/>
            <w:tcBorders>
              <w:tl2br w:val="nil"/>
              <w:tr2bl w:val="nil"/>
            </w:tcBorders>
            <w:noWrap w:val="0"/>
            <w:vAlign w:val="center"/>
          </w:tcPr>
          <w:p w14:paraId="47D02749">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p>
        </w:tc>
        <w:tc>
          <w:tcPr>
            <w:tcW w:w="4680" w:type="dxa"/>
            <w:gridSpan w:val="2"/>
            <w:tcBorders>
              <w:tl2br w:val="nil"/>
              <w:tr2bl w:val="nil"/>
            </w:tcBorders>
            <w:noWrap w:val="0"/>
            <w:vAlign w:val="center"/>
          </w:tcPr>
          <w:p w14:paraId="25860F76">
            <w:pPr>
              <w:pStyle w:val="17"/>
              <w:keepNext w:val="0"/>
              <w:keepLines w:val="0"/>
              <w:pageBreakBefore w:val="0"/>
              <w:widowControl w:val="0"/>
              <w:kinsoku/>
              <w:wordWrap/>
              <w:overflowPunct/>
              <w:topLinePunct w:val="0"/>
              <w:bidi w:val="0"/>
              <w:adjustRightInd w:val="0"/>
              <w:snapToGrid/>
              <w:spacing w:line="240" w:lineRule="auto"/>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系统控制单元</w:t>
            </w:r>
          </w:p>
        </w:tc>
        <w:tc>
          <w:tcPr>
            <w:tcW w:w="927" w:type="dxa"/>
            <w:tcBorders>
              <w:tl2br w:val="nil"/>
              <w:tr2bl w:val="nil"/>
            </w:tcBorders>
            <w:noWrap w:val="0"/>
            <w:vAlign w:val="center"/>
          </w:tcPr>
          <w:p w14:paraId="3F7556C6">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台/套</w:t>
            </w:r>
          </w:p>
        </w:tc>
        <w:tc>
          <w:tcPr>
            <w:tcW w:w="849" w:type="dxa"/>
            <w:tcBorders>
              <w:tl2br w:val="nil"/>
              <w:tr2bl w:val="nil"/>
            </w:tcBorders>
            <w:noWrap w:val="0"/>
            <w:vAlign w:val="center"/>
          </w:tcPr>
          <w:p w14:paraId="3821F50B">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p>
        </w:tc>
        <w:tc>
          <w:tcPr>
            <w:tcW w:w="1168" w:type="dxa"/>
            <w:tcBorders>
              <w:tl2br w:val="nil"/>
              <w:tr2bl w:val="nil"/>
            </w:tcBorders>
            <w:noWrap w:val="0"/>
            <w:vAlign w:val="center"/>
          </w:tcPr>
          <w:p w14:paraId="5F3BEE2D">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p>
        </w:tc>
      </w:tr>
      <w:tr w14:paraId="5D15E8E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897" w:type="dxa"/>
            <w:tcBorders>
              <w:tl2br w:val="nil"/>
              <w:tr2bl w:val="nil"/>
            </w:tcBorders>
            <w:noWrap w:val="0"/>
            <w:vAlign w:val="center"/>
          </w:tcPr>
          <w:p w14:paraId="385E0D0A">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w:t>
            </w:r>
          </w:p>
        </w:tc>
        <w:tc>
          <w:tcPr>
            <w:tcW w:w="4680" w:type="dxa"/>
            <w:gridSpan w:val="2"/>
            <w:tcBorders>
              <w:tl2br w:val="nil"/>
              <w:tr2bl w:val="nil"/>
            </w:tcBorders>
            <w:noWrap w:val="0"/>
            <w:vAlign w:val="center"/>
          </w:tcPr>
          <w:p w14:paraId="0F8E86E5">
            <w:pPr>
              <w:keepNext w:val="0"/>
              <w:keepLines w:val="0"/>
              <w:pageBreakBefore w:val="0"/>
              <w:widowControl w:val="0"/>
              <w:kinsoku/>
              <w:wordWrap/>
              <w:overflowPunct/>
              <w:topLinePunct w:val="0"/>
              <w:bidi w:val="0"/>
              <w:adjustRightInd w:val="0"/>
              <w:snapToGrid/>
              <w:spacing w:line="240" w:lineRule="auto"/>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数据采集和传输单元</w:t>
            </w:r>
          </w:p>
        </w:tc>
        <w:tc>
          <w:tcPr>
            <w:tcW w:w="927" w:type="dxa"/>
            <w:tcBorders>
              <w:tl2br w:val="nil"/>
              <w:tr2bl w:val="nil"/>
            </w:tcBorders>
            <w:noWrap w:val="0"/>
            <w:vAlign w:val="center"/>
          </w:tcPr>
          <w:p w14:paraId="45655057">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台/套</w:t>
            </w:r>
          </w:p>
        </w:tc>
        <w:tc>
          <w:tcPr>
            <w:tcW w:w="849" w:type="dxa"/>
            <w:tcBorders>
              <w:tl2br w:val="nil"/>
              <w:tr2bl w:val="nil"/>
            </w:tcBorders>
            <w:noWrap w:val="0"/>
            <w:vAlign w:val="center"/>
          </w:tcPr>
          <w:p w14:paraId="7DD03230">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p>
        </w:tc>
        <w:tc>
          <w:tcPr>
            <w:tcW w:w="1168" w:type="dxa"/>
            <w:tcBorders>
              <w:tl2br w:val="nil"/>
              <w:tr2bl w:val="nil"/>
            </w:tcBorders>
            <w:noWrap w:val="0"/>
            <w:vAlign w:val="center"/>
          </w:tcPr>
          <w:p w14:paraId="3EC204EB">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p>
        </w:tc>
      </w:tr>
      <w:tr w14:paraId="5BF13F7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897" w:type="dxa"/>
            <w:tcBorders>
              <w:tl2br w:val="nil"/>
              <w:tr2bl w:val="nil"/>
            </w:tcBorders>
            <w:noWrap w:val="0"/>
            <w:vAlign w:val="center"/>
          </w:tcPr>
          <w:p w14:paraId="139AE604">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4</w:t>
            </w:r>
          </w:p>
        </w:tc>
        <w:tc>
          <w:tcPr>
            <w:tcW w:w="1080" w:type="dxa"/>
            <w:vMerge w:val="restart"/>
            <w:tcBorders>
              <w:tl2br w:val="nil"/>
              <w:tr2bl w:val="nil"/>
            </w:tcBorders>
            <w:noWrap w:val="0"/>
            <w:vAlign w:val="center"/>
          </w:tcPr>
          <w:p w14:paraId="6F647C05">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FF0000"/>
                <w:kern w:val="2"/>
                <w:sz w:val="24"/>
                <w:szCs w:val="24"/>
                <w:lang w:val="en-US" w:eastAsia="zh-CN" w:bidi="ar-SA"/>
              </w:rPr>
            </w:pPr>
            <w:r>
              <w:rPr>
                <w:rFonts w:hint="eastAsia" w:ascii="宋体" w:hAnsi="宋体" w:eastAsia="宋体" w:cs="Times New Roman"/>
                <w:color w:val="FF0000"/>
                <w:kern w:val="2"/>
                <w:sz w:val="24"/>
                <w:szCs w:val="24"/>
                <w:lang w:val="en-US" w:eastAsia="zh-CN" w:bidi="ar-SA"/>
              </w:rPr>
              <w:t>检测</w:t>
            </w:r>
          </w:p>
          <w:p w14:paraId="64FBCB85">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FF0000"/>
                <w:kern w:val="2"/>
                <w:sz w:val="24"/>
                <w:szCs w:val="24"/>
                <w:lang w:val="en-US" w:eastAsia="zh-CN" w:bidi="ar-SA"/>
              </w:rPr>
              <w:t>单元（核心产品）</w:t>
            </w:r>
          </w:p>
        </w:tc>
        <w:tc>
          <w:tcPr>
            <w:tcW w:w="3600" w:type="dxa"/>
            <w:tcBorders>
              <w:tl2br w:val="nil"/>
              <w:tr2bl w:val="nil"/>
            </w:tcBorders>
            <w:noWrap w:val="0"/>
            <w:vAlign w:val="center"/>
          </w:tcPr>
          <w:p w14:paraId="7B7B48AE">
            <w:pPr>
              <w:pStyle w:val="17"/>
              <w:keepNext w:val="0"/>
              <w:keepLines w:val="0"/>
              <w:pageBreakBefore w:val="0"/>
              <w:widowControl w:val="0"/>
              <w:kinsoku/>
              <w:wordWrap/>
              <w:overflowPunct/>
              <w:topLinePunct w:val="0"/>
              <w:autoSpaceDE w:val="0"/>
              <w:autoSpaceDN w:val="0"/>
              <w:bidi w:val="0"/>
              <w:adjustRightInd w:val="0"/>
              <w:snapToGrid/>
              <w:spacing w:line="240" w:lineRule="auto"/>
              <w:jc w:val="lef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五参数（pH、溶解氧、水温、电导率、浊度）水质自动分析仪</w:t>
            </w:r>
          </w:p>
        </w:tc>
        <w:tc>
          <w:tcPr>
            <w:tcW w:w="927" w:type="dxa"/>
            <w:tcBorders>
              <w:tl2br w:val="nil"/>
              <w:tr2bl w:val="nil"/>
            </w:tcBorders>
            <w:noWrap w:val="0"/>
            <w:vAlign w:val="center"/>
          </w:tcPr>
          <w:p w14:paraId="2AC88A66">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台/套</w:t>
            </w:r>
          </w:p>
        </w:tc>
        <w:tc>
          <w:tcPr>
            <w:tcW w:w="849" w:type="dxa"/>
            <w:tcBorders>
              <w:tl2br w:val="nil"/>
              <w:tr2bl w:val="nil"/>
            </w:tcBorders>
            <w:noWrap w:val="0"/>
            <w:vAlign w:val="center"/>
          </w:tcPr>
          <w:p w14:paraId="099EB410">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p>
        </w:tc>
        <w:tc>
          <w:tcPr>
            <w:tcW w:w="1168" w:type="dxa"/>
            <w:tcBorders>
              <w:tl2br w:val="nil"/>
              <w:tr2bl w:val="nil"/>
            </w:tcBorders>
            <w:noWrap w:val="0"/>
            <w:vAlign w:val="center"/>
          </w:tcPr>
          <w:p w14:paraId="71A1A8A1">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p>
        </w:tc>
      </w:tr>
      <w:tr w14:paraId="48431A0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897" w:type="dxa"/>
            <w:tcBorders>
              <w:tl2br w:val="nil"/>
              <w:tr2bl w:val="nil"/>
            </w:tcBorders>
            <w:noWrap w:val="0"/>
            <w:vAlign w:val="center"/>
          </w:tcPr>
          <w:p w14:paraId="1C304FF3">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5</w:t>
            </w:r>
          </w:p>
        </w:tc>
        <w:tc>
          <w:tcPr>
            <w:tcW w:w="1080" w:type="dxa"/>
            <w:vMerge w:val="continue"/>
            <w:tcBorders>
              <w:tl2br w:val="nil"/>
              <w:tr2bl w:val="nil"/>
            </w:tcBorders>
            <w:noWrap w:val="0"/>
            <w:vAlign w:val="center"/>
          </w:tcPr>
          <w:p w14:paraId="6CD8B293">
            <w:pPr>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p>
        </w:tc>
        <w:tc>
          <w:tcPr>
            <w:tcW w:w="3600" w:type="dxa"/>
            <w:tcBorders>
              <w:tl2br w:val="nil"/>
              <w:tr2bl w:val="nil"/>
            </w:tcBorders>
            <w:noWrap w:val="0"/>
            <w:vAlign w:val="center"/>
          </w:tcPr>
          <w:p w14:paraId="330059F3">
            <w:pPr>
              <w:keepNext w:val="0"/>
              <w:keepLines w:val="0"/>
              <w:pageBreakBefore w:val="0"/>
              <w:widowControl w:val="0"/>
              <w:kinsoku/>
              <w:wordWrap/>
              <w:overflowPunct/>
              <w:topLinePunct w:val="0"/>
              <w:bidi w:val="0"/>
              <w:adjustRightInd w:val="0"/>
              <w:snapToGrid/>
              <w:spacing w:line="240" w:lineRule="auto"/>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高锰酸盐指数水质自动分析仪</w:t>
            </w:r>
          </w:p>
        </w:tc>
        <w:tc>
          <w:tcPr>
            <w:tcW w:w="927" w:type="dxa"/>
            <w:tcBorders>
              <w:tl2br w:val="nil"/>
              <w:tr2bl w:val="nil"/>
            </w:tcBorders>
            <w:noWrap w:val="0"/>
            <w:vAlign w:val="center"/>
          </w:tcPr>
          <w:p w14:paraId="67EDFE21">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台/套</w:t>
            </w:r>
          </w:p>
        </w:tc>
        <w:tc>
          <w:tcPr>
            <w:tcW w:w="849" w:type="dxa"/>
            <w:tcBorders>
              <w:tl2br w:val="nil"/>
              <w:tr2bl w:val="nil"/>
            </w:tcBorders>
            <w:noWrap w:val="0"/>
            <w:vAlign w:val="center"/>
          </w:tcPr>
          <w:p w14:paraId="0AC0BC60">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p>
        </w:tc>
        <w:tc>
          <w:tcPr>
            <w:tcW w:w="1168" w:type="dxa"/>
            <w:tcBorders>
              <w:tl2br w:val="nil"/>
              <w:tr2bl w:val="nil"/>
            </w:tcBorders>
            <w:noWrap w:val="0"/>
            <w:vAlign w:val="center"/>
          </w:tcPr>
          <w:p w14:paraId="514CB9AE">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p>
        </w:tc>
      </w:tr>
      <w:tr w14:paraId="358242A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897" w:type="dxa"/>
            <w:tcBorders>
              <w:tl2br w:val="nil"/>
              <w:tr2bl w:val="nil"/>
            </w:tcBorders>
            <w:noWrap w:val="0"/>
            <w:vAlign w:val="center"/>
          </w:tcPr>
          <w:p w14:paraId="1EB93F34">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6</w:t>
            </w:r>
          </w:p>
        </w:tc>
        <w:tc>
          <w:tcPr>
            <w:tcW w:w="1080" w:type="dxa"/>
            <w:vMerge w:val="continue"/>
            <w:tcBorders>
              <w:tl2br w:val="nil"/>
              <w:tr2bl w:val="nil"/>
            </w:tcBorders>
            <w:noWrap w:val="0"/>
            <w:vAlign w:val="center"/>
          </w:tcPr>
          <w:p w14:paraId="402E1704">
            <w:pPr>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p>
        </w:tc>
        <w:tc>
          <w:tcPr>
            <w:tcW w:w="3600" w:type="dxa"/>
            <w:tcBorders>
              <w:tl2br w:val="nil"/>
              <w:tr2bl w:val="nil"/>
            </w:tcBorders>
            <w:noWrap w:val="0"/>
            <w:vAlign w:val="center"/>
          </w:tcPr>
          <w:p w14:paraId="3870187F">
            <w:pPr>
              <w:keepNext w:val="0"/>
              <w:keepLines w:val="0"/>
              <w:pageBreakBefore w:val="0"/>
              <w:widowControl w:val="0"/>
              <w:kinsoku/>
              <w:wordWrap/>
              <w:overflowPunct/>
              <w:topLinePunct w:val="0"/>
              <w:bidi w:val="0"/>
              <w:adjustRightInd w:val="0"/>
              <w:snapToGrid/>
              <w:spacing w:line="240" w:lineRule="auto"/>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氨氮水质自动分析仪</w:t>
            </w:r>
          </w:p>
        </w:tc>
        <w:tc>
          <w:tcPr>
            <w:tcW w:w="927" w:type="dxa"/>
            <w:tcBorders>
              <w:tl2br w:val="nil"/>
              <w:tr2bl w:val="nil"/>
            </w:tcBorders>
            <w:noWrap w:val="0"/>
            <w:vAlign w:val="center"/>
          </w:tcPr>
          <w:p w14:paraId="29F50AC1">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台/套</w:t>
            </w:r>
          </w:p>
        </w:tc>
        <w:tc>
          <w:tcPr>
            <w:tcW w:w="849" w:type="dxa"/>
            <w:tcBorders>
              <w:tl2br w:val="nil"/>
              <w:tr2bl w:val="nil"/>
            </w:tcBorders>
            <w:noWrap w:val="0"/>
            <w:vAlign w:val="center"/>
          </w:tcPr>
          <w:p w14:paraId="0C5E92A5">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p>
        </w:tc>
        <w:tc>
          <w:tcPr>
            <w:tcW w:w="1168" w:type="dxa"/>
            <w:tcBorders>
              <w:tl2br w:val="nil"/>
              <w:tr2bl w:val="nil"/>
            </w:tcBorders>
            <w:noWrap w:val="0"/>
            <w:vAlign w:val="center"/>
          </w:tcPr>
          <w:p w14:paraId="7D899FC3">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p>
        </w:tc>
      </w:tr>
      <w:tr w14:paraId="10B40BE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897" w:type="dxa"/>
            <w:tcBorders>
              <w:tl2br w:val="nil"/>
              <w:tr2bl w:val="nil"/>
            </w:tcBorders>
            <w:noWrap w:val="0"/>
            <w:vAlign w:val="center"/>
          </w:tcPr>
          <w:p w14:paraId="5B3EAE2F">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7</w:t>
            </w:r>
          </w:p>
        </w:tc>
        <w:tc>
          <w:tcPr>
            <w:tcW w:w="1080" w:type="dxa"/>
            <w:vMerge w:val="continue"/>
            <w:tcBorders>
              <w:tl2br w:val="nil"/>
              <w:tr2bl w:val="nil"/>
            </w:tcBorders>
            <w:noWrap w:val="0"/>
            <w:vAlign w:val="center"/>
          </w:tcPr>
          <w:p w14:paraId="7F5EA251">
            <w:pPr>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p>
        </w:tc>
        <w:tc>
          <w:tcPr>
            <w:tcW w:w="3600" w:type="dxa"/>
            <w:tcBorders>
              <w:tl2br w:val="nil"/>
              <w:tr2bl w:val="nil"/>
            </w:tcBorders>
            <w:noWrap w:val="0"/>
            <w:vAlign w:val="center"/>
          </w:tcPr>
          <w:p w14:paraId="60E0CB2B">
            <w:pPr>
              <w:keepNext w:val="0"/>
              <w:keepLines w:val="0"/>
              <w:pageBreakBefore w:val="0"/>
              <w:widowControl w:val="0"/>
              <w:kinsoku/>
              <w:wordWrap/>
              <w:overflowPunct/>
              <w:topLinePunct w:val="0"/>
              <w:bidi w:val="0"/>
              <w:adjustRightInd w:val="0"/>
              <w:snapToGrid/>
              <w:spacing w:line="240" w:lineRule="auto"/>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总磷水质自动分析仪</w:t>
            </w:r>
          </w:p>
        </w:tc>
        <w:tc>
          <w:tcPr>
            <w:tcW w:w="927" w:type="dxa"/>
            <w:tcBorders>
              <w:tl2br w:val="nil"/>
              <w:tr2bl w:val="nil"/>
            </w:tcBorders>
            <w:noWrap w:val="0"/>
            <w:vAlign w:val="center"/>
          </w:tcPr>
          <w:p w14:paraId="114F95FF">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台/套</w:t>
            </w:r>
          </w:p>
        </w:tc>
        <w:tc>
          <w:tcPr>
            <w:tcW w:w="849" w:type="dxa"/>
            <w:tcBorders>
              <w:tl2br w:val="nil"/>
              <w:tr2bl w:val="nil"/>
            </w:tcBorders>
            <w:noWrap w:val="0"/>
            <w:vAlign w:val="center"/>
          </w:tcPr>
          <w:p w14:paraId="0D80DB88">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p>
        </w:tc>
        <w:tc>
          <w:tcPr>
            <w:tcW w:w="1168" w:type="dxa"/>
            <w:tcBorders>
              <w:tl2br w:val="nil"/>
              <w:tr2bl w:val="nil"/>
            </w:tcBorders>
            <w:noWrap w:val="0"/>
            <w:vAlign w:val="center"/>
          </w:tcPr>
          <w:p w14:paraId="508A056E">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p>
        </w:tc>
      </w:tr>
      <w:tr w14:paraId="0E52F1A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897" w:type="dxa"/>
            <w:tcBorders>
              <w:tl2br w:val="nil"/>
              <w:tr2bl w:val="nil"/>
            </w:tcBorders>
            <w:noWrap w:val="0"/>
            <w:vAlign w:val="center"/>
          </w:tcPr>
          <w:p w14:paraId="4F5F27B7">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8</w:t>
            </w:r>
          </w:p>
        </w:tc>
        <w:tc>
          <w:tcPr>
            <w:tcW w:w="1080" w:type="dxa"/>
            <w:vMerge w:val="continue"/>
            <w:tcBorders>
              <w:tl2br w:val="nil"/>
              <w:tr2bl w:val="nil"/>
            </w:tcBorders>
            <w:noWrap w:val="0"/>
            <w:vAlign w:val="center"/>
          </w:tcPr>
          <w:p w14:paraId="0A3C4F15">
            <w:pPr>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p>
        </w:tc>
        <w:tc>
          <w:tcPr>
            <w:tcW w:w="3600" w:type="dxa"/>
            <w:tcBorders>
              <w:tl2br w:val="nil"/>
              <w:tr2bl w:val="nil"/>
            </w:tcBorders>
            <w:noWrap w:val="0"/>
            <w:vAlign w:val="center"/>
          </w:tcPr>
          <w:p w14:paraId="69F315F7">
            <w:pPr>
              <w:keepNext w:val="0"/>
              <w:keepLines w:val="0"/>
              <w:pageBreakBefore w:val="0"/>
              <w:widowControl w:val="0"/>
              <w:kinsoku/>
              <w:wordWrap/>
              <w:overflowPunct/>
              <w:topLinePunct w:val="0"/>
              <w:bidi w:val="0"/>
              <w:adjustRightInd w:val="0"/>
              <w:snapToGrid/>
              <w:spacing w:line="240" w:lineRule="auto"/>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总氮水质自动分析仪</w:t>
            </w:r>
          </w:p>
        </w:tc>
        <w:tc>
          <w:tcPr>
            <w:tcW w:w="927" w:type="dxa"/>
            <w:tcBorders>
              <w:tl2br w:val="nil"/>
              <w:tr2bl w:val="nil"/>
            </w:tcBorders>
            <w:noWrap w:val="0"/>
            <w:vAlign w:val="center"/>
          </w:tcPr>
          <w:p w14:paraId="3E9C0994">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台/套</w:t>
            </w:r>
          </w:p>
        </w:tc>
        <w:tc>
          <w:tcPr>
            <w:tcW w:w="849" w:type="dxa"/>
            <w:tcBorders>
              <w:tl2br w:val="nil"/>
              <w:tr2bl w:val="nil"/>
            </w:tcBorders>
            <w:noWrap w:val="0"/>
            <w:vAlign w:val="center"/>
          </w:tcPr>
          <w:p w14:paraId="63DA9D15">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p>
        </w:tc>
        <w:tc>
          <w:tcPr>
            <w:tcW w:w="1168" w:type="dxa"/>
            <w:tcBorders>
              <w:tl2br w:val="nil"/>
              <w:tr2bl w:val="nil"/>
            </w:tcBorders>
            <w:noWrap w:val="0"/>
            <w:vAlign w:val="center"/>
          </w:tcPr>
          <w:p w14:paraId="16AE0946">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p>
        </w:tc>
      </w:tr>
      <w:tr w14:paraId="0AD5AD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897" w:type="dxa"/>
            <w:tcBorders>
              <w:tl2br w:val="nil"/>
              <w:tr2bl w:val="nil"/>
            </w:tcBorders>
            <w:noWrap w:val="0"/>
            <w:vAlign w:val="center"/>
          </w:tcPr>
          <w:p w14:paraId="20826C28">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9</w:t>
            </w:r>
          </w:p>
        </w:tc>
        <w:tc>
          <w:tcPr>
            <w:tcW w:w="1080" w:type="dxa"/>
            <w:tcBorders>
              <w:tl2br w:val="nil"/>
              <w:tr2bl w:val="nil"/>
            </w:tcBorders>
            <w:noWrap w:val="0"/>
            <w:vAlign w:val="center"/>
          </w:tcPr>
          <w:p w14:paraId="4AA19F25">
            <w:pPr>
              <w:pStyle w:val="22"/>
              <w:keepNext w:val="0"/>
              <w:keepLines w:val="0"/>
              <w:pageBreakBefore w:val="0"/>
              <w:widowControl w:val="0"/>
              <w:kinsoku/>
              <w:wordWrap/>
              <w:overflowPunct/>
              <w:topLinePunct w:val="0"/>
              <w:autoSpaceDE w:val="0"/>
              <w:autoSpaceDN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其他</w:t>
            </w:r>
          </w:p>
        </w:tc>
        <w:tc>
          <w:tcPr>
            <w:tcW w:w="3600" w:type="dxa"/>
            <w:tcBorders>
              <w:tl2br w:val="nil"/>
              <w:tr2bl w:val="nil"/>
            </w:tcBorders>
            <w:noWrap w:val="0"/>
            <w:vAlign w:val="center"/>
          </w:tcPr>
          <w:p w14:paraId="4B1F4926">
            <w:pPr>
              <w:pStyle w:val="22"/>
              <w:keepNext w:val="0"/>
              <w:keepLines w:val="0"/>
              <w:pageBreakBefore w:val="0"/>
              <w:widowControl w:val="0"/>
              <w:kinsoku/>
              <w:wordWrap/>
              <w:overflowPunct/>
              <w:topLinePunct w:val="0"/>
              <w:autoSpaceDE w:val="0"/>
              <w:autoSpaceDN w:val="0"/>
              <w:bidi w:val="0"/>
              <w:adjustRightInd w:val="0"/>
              <w:snapToGrid/>
              <w:spacing w:line="240" w:lineRule="auto"/>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UPS电源</w:t>
            </w:r>
          </w:p>
        </w:tc>
        <w:tc>
          <w:tcPr>
            <w:tcW w:w="927" w:type="dxa"/>
            <w:tcBorders>
              <w:tl2br w:val="nil"/>
              <w:tr2bl w:val="nil"/>
            </w:tcBorders>
            <w:noWrap w:val="0"/>
            <w:vAlign w:val="center"/>
          </w:tcPr>
          <w:p w14:paraId="2AAFB99B">
            <w:pPr>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台/套</w:t>
            </w:r>
          </w:p>
        </w:tc>
        <w:tc>
          <w:tcPr>
            <w:tcW w:w="849" w:type="dxa"/>
            <w:tcBorders>
              <w:tl2br w:val="nil"/>
              <w:tr2bl w:val="nil"/>
            </w:tcBorders>
            <w:noWrap w:val="0"/>
            <w:vAlign w:val="center"/>
          </w:tcPr>
          <w:p w14:paraId="63A46C0B">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p>
        </w:tc>
        <w:tc>
          <w:tcPr>
            <w:tcW w:w="1168" w:type="dxa"/>
            <w:tcBorders>
              <w:tl2br w:val="nil"/>
              <w:tr2bl w:val="nil"/>
            </w:tcBorders>
            <w:noWrap w:val="0"/>
            <w:vAlign w:val="center"/>
          </w:tcPr>
          <w:p w14:paraId="1B044E7F">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p>
        </w:tc>
      </w:tr>
      <w:tr w14:paraId="6463467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8521" w:type="dxa"/>
            <w:gridSpan w:val="6"/>
            <w:tcBorders>
              <w:tl2br w:val="nil"/>
              <w:tr2bl w:val="nil"/>
            </w:tcBorders>
            <w:noWrap w:val="0"/>
            <w:vAlign w:val="center"/>
          </w:tcPr>
          <w:p w14:paraId="3BEE7CAB">
            <w:pPr>
              <w:pStyle w:val="17"/>
              <w:keepNext w:val="0"/>
              <w:keepLines w:val="0"/>
              <w:pageBreakBefore w:val="0"/>
              <w:widowControl w:val="0"/>
              <w:kinsoku/>
              <w:wordWrap/>
              <w:overflowPunct/>
              <w:topLinePunct w:val="0"/>
              <w:bidi w:val="0"/>
              <w:adjustRightInd w:val="0"/>
              <w:snapToGrid/>
              <w:spacing w:line="240" w:lineRule="auto"/>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二、服务</w:t>
            </w:r>
          </w:p>
        </w:tc>
      </w:tr>
      <w:tr w14:paraId="33F873E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897" w:type="dxa"/>
            <w:tcBorders>
              <w:tl2br w:val="nil"/>
              <w:tr2bl w:val="nil"/>
            </w:tcBorders>
            <w:noWrap w:val="0"/>
            <w:vAlign w:val="center"/>
          </w:tcPr>
          <w:p w14:paraId="23E21D98">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w:t>
            </w:r>
          </w:p>
        </w:tc>
        <w:tc>
          <w:tcPr>
            <w:tcW w:w="4680" w:type="dxa"/>
            <w:gridSpan w:val="2"/>
            <w:tcBorders>
              <w:tl2br w:val="nil"/>
              <w:tr2bl w:val="nil"/>
            </w:tcBorders>
            <w:noWrap w:val="0"/>
            <w:vAlign w:val="center"/>
          </w:tcPr>
          <w:p w14:paraId="198BB367">
            <w:pPr>
              <w:pStyle w:val="22"/>
              <w:keepNext w:val="0"/>
              <w:keepLines w:val="0"/>
              <w:pageBreakBefore w:val="0"/>
              <w:widowControl w:val="0"/>
              <w:kinsoku/>
              <w:wordWrap/>
              <w:overflowPunct/>
              <w:topLinePunct w:val="0"/>
              <w:autoSpaceDE w:val="0"/>
              <w:autoSpaceDN w:val="0"/>
              <w:bidi w:val="0"/>
              <w:adjustRightInd w:val="0"/>
              <w:snapToGrid/>
              <w:spacing w:line="240" w:lineRule="auto"/>
              <w:jc w:val="left"/>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根据水站现有仪器设备状况，</w:t>
            </w:r>
            <w:r>
              <w:rPr>
                <w:rFonts w:hint="eastAsia" w:ascii="宋体" w:hAnsi="宋体" w:cs="Times New Roman"/>
                <w:color w:val="000000"/>
                <w:kern w:val="2"/>
                <w:sz w:val="24"/>
                <w:szCs w:val="24"/>
                <w:lang w:val="en-US" w:eastAsia="zh-CN" w:bidi="ar-SA"/>
              </w:rPr>
              <w:t>对射阳河</w:t>
            </w:r>
            <w:r>
              <w:rPr>
                <w:rFonts w:hint="eastAsia" w:ascii="宋体" w:hAnsi="宋体" w:eastAsia="宋体" w:cs="Times New Roman"/>
                <w:color w:val="000000"/>
                <w:kern w:val="2"/>
                <w:sz w:val="24"/>
                <w:szCs w:val="24"/>
                <w:lang w:val="en-US" w:eastAsia="zh-CN" w:bidi="ar-SA"/>
              </w:rPr>
              <w:t>海河</w:t>
            </w:r>
            <w:r>
              <w:rPr>
                <w:rFonts w:hint="eastAsia" w:ascii="宋体" w:hAnsi="宋体" w:cs="Times New Roman"/>
                <w:color w:val="000000"/>
                <w:kern w:val="2"/>
                <w:sz w:val="24"/>
                <w:szCs w:val="24"/>
                <w:lang w:val="en-US" w:eastAsia="zh-CN" w:bidi="ar-SA"/>
              </w:rPr>
              <w:t>同丰水站、新洋港洋马东移水站仪器设备进行整合</w:t>
            </w:r>
          </w:p>
        </w:tc>
        <w:tc>
          <w:tcPr>
            <w:tcW w:w="927" w:type="dxa"/>
            <w:tcBorders>
              <w:tl2br w:val="nil"/>
              <w:tr2bl w:val="nil"/>
            </w:tcBorders>
            <w:noWrap w:val="0"/>
            <w:vAlign w:val="center"/>
          </w:tcPr>
          <w:p w14:paraId="32805356">
            <w:pPr>
              <w:keepNext w:val="0"/>
              <w:keepLines w:val="0"/>
              <w:pageBreakBefore w:val="0"/>
              <w:widowControl w:val="0"/>
              <w:kinsoku/>
              <w:wordWrap/>
              <w:overflowPunct/>
              <w:topLinePunct w:val="0"/>
              <w:bidi w:val="0"/>
              <w:adjustRightInd w:val="0"/>
              <w:snapToGrid/>
              <w:spacing w:line="240" w:lineRule="auto"/>
              <w:jc w:val="center"/>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项</w:t>
            </w:r>
          </w:p>
        </w:tc>
        <w:tc>
          <w:tcPr>
            <w:tcW w:w="849" w:type="dxa"/>
            <w:tcBorders>
              <w:tl2br w:val="nil"/>
              <w:tr2bl w:val="nil"/>
            </w:tcBorders>
            <w:noWrap w:val="0"/>
            <w:vAlign w:val="center"/>
          </w:tcPr>
          <w:p w14:paraId="70CD2DE4">
            <w:pPr>
              <w:pStyle w:val="17"/>
              <w:keepNext w:val="0"/>
              <w:keepLines w:val="0"/>
              <w:pageBreakBefore w:val="0"/>
              <w:widowControl w:val="0"/>
              <w:kinsoku/>
              <w:wordWrap/>
              <w:overflowPunct/>
              <w:topLinePunct w:val="0"/>
              <w:bidi w:val="0"/>
              <w:adjustRightInd w:val="0"/>
              <w:snapToGrid/>
              <w:spacing w:line="240" w:lineRule="auto"/>
              <w:jc w:val="center"/>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w:t>
            </w:r>
          </w:p>
        </w:tc>
        <w:tc>
          <w:tcPr>
            <w:tcW w:w="1168" w:type="dxa"/>
            <w:tcBorders>
              <w:tl2br w:val="nil"/>
              <w:tr2bl w:val="nil"/>
            </w:tcBorders>
            <w:noWrap w:val="0"/>
            <w:vAlign w:val="center"/>
          </w:tcPr>
          <w:p w14:paraId="616B1825">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p>
        </w:tc>
      </w:tr>
      <w:tr w14:paraId="2F1110E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10" w:hRule="atLeast"/>
          <w:jc w:val="center"/>
        </w:trPr>
        <w:tc>
          <w:tcPr>
            <w:tcW w:w="897" w:type="dxa"/>
            <w:tcBorders>
              <w:tl2br w:val="nil"/>
              <w:tr2bl w:val="nil"/>
            </w:tcBorders>
            <w:noWrap w:val="0"/>
            <w:vAlign w:val="center"/>
          </w:tcPr>
          <w:p w14:paraId="6DAC3534">
            <w:pPr>
              <w:pStyle w:val="17"/>
              <w:keepNext w:val="0"/>
              <w:keepLines w:val="0"/>
              <w:pageBreakBefore w:val="0"/>
              <w:widowControl w:val="0"/>
              <w:kinsoku/>
              <w:wordWrap/>
              <w:overflowPunct/>
              <w:topLinePunct w:val="0"/>
              <w:bidi w:val="0"/>
              <w:adjustRightInd w:val="0"/>
              <w:snapToGrid/>
              <w:spacing w:line="240" w:lineRule="auto"/>
              <w:jc w:val="center"/>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p>
        </w:tc>
        <w:tc>
          <w:tcPr>
            <w:tcW w:w="4680" w:type="dxa"/>
            <w:gridSpan w:val="2"/>
            <w:tcBorders>
              <w:tl2br w:val="nil"/>
              <w:tr2bl w:val="nil"/>
            </w:tcBorders>
            <w:shd w:val="clear" w:color="auto" w:fill="auto"/>
            <w:noWrap w:val="0"/>
            <w:vAlign w:val="center"/>
          </w:tcPr>
          <w:p w14:paraId="24759D62">
            <w:pPr>
              <w:pStyle w:val="22"/>
              <w:keepNext w:val="0"/>
              <w:keepLines w:val="0"/>
              <w:pageBreakBefore w:val="0"/>
              <w:widowControl w:val="0"/>
              <w:kinsoku/>
              <w:wordWrap/>
              <w:overflowPunct/>
              <w:topLinePunct w:val="0"/>
              <w:autoSpaceDE w:val="0"/>
              <w:autoSpaceDN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4个水站</w:t>
            </w:r>
            <w:r>
              <w:rPr>
                <w:rFonts w:hint="eastAsia" w:ascii="宋体" w:hAnsi="宋体" w:cs="Times New Roman"/>
                <w:color w:val="000000"/>
                <w:kern w:val="2"/>
                <w:sz w:val="24"/>
                <w:szCs w:val="24"/>
                <w:lang w:val="en-US" w:eastAsia="zh-CN" w:bidi="ar-SA"/>
              </w:rPr>
              <w:t>1年</w:t>
            </w:r>
            <w:r>
              <w:rPr>
                <w:rFonts w:hint="eastAsia" w:ascii="宋体" w:hAnsi="宋体" w:eastAsia="宋体" w:cs="Times New Roman"/>
                <w:color w:val="000000"/>
                <w:kern w:val="2"/>
                <w:sz w:val="24"/>
                <w:szCs w:val="24"/>
                <w:lang w:val="en-US" w:eastAsia="zh-CN" w:bidi="ar-SA"/>
              </w:rPr>
              <w:t>全托管运维服务</w:t>
            </w:r>
          </w:p>
        </w:tc>
        <w:tc>
          <w:tcPr>
            <w:tcW w:w="927" w:type="dxa"/>
            <w:tcBorders>
              <w:tl2br w:val="nil"/>
              <w:tr2bl w:val="nil"/>
            </w:tcBorders>
            <w:shd w:val="clear" w:color="auto" w:fill="auto"/>
            <w:noWrap w:val="0"/>
            <w:vAlign w:val="center"/>
          </w:tcPr>
          <w:p w14:paraId="04D3E42A">
            <w:pPr>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项</w:t>
            </w:r>
          </w:p>
        </w:tc>
        <w:tc>
          <w:tcPr>
            <w:tcW w:w="849" w:type="dxa"/>
            <w:tcBorders>
              <w:tl2br w:val="nil"/>
              <w:tr2bl w:val="nil"/>
            </w:tcBorders>
            <w:shd w:val="clear" w:color="auto" w:fill="auto"/>
            <w:noWrap w:val="0"/>
            <w:vAlign w:val="center"/>
          </w:tcPr>
          <w:p w14:paraId="72155045">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w:t>
            </w:r>
          </w:p>
        </w:tc>
        <w:tc>
          <w:tcPr>
            <w:tcW w:w="1168" w:type="dxa"/>
            <w:tcBorders>
              <w:tl2br w:val="nil"/>
              <w:tr2bl w:val="nil"/>
            </w:tcBorders>
            <w:noWrap w:val="0"/>
            <w:vAlign w:val="center"/>
          </w:tcPr>
          <w:p w14:paraId="48448A34">
            <w:pPr>
              <w:pStyle w:val="17"/>
              <w:keepNext w:val="0"/>
              <w:keepLines w:val="0"/>
              <w:pageBreakBefore w:val="0"/>
              <w:widowControl w:val="0"/>
              <w:kinsoku/>
              <w:wordWrap/>
              <w:overflowPunct/>
              <w:topLinePunct w:val="0"/>
              <w:bidi w:val="0"/>
              <w:adjustRightInd w:val="0"/>
              <w:snapToGrid/>
              <w:spacing w:line="240" w:lineRule="auto"/>
              <w:jc w:val="center"/>
              <w:rPr>
                <w:rFonts w:hint="eastAsia" w:ascii="宋体" w:hAnsi="宋体" w:eastAsia="宋体" w:cs="Times New Roman"/>
                <w:color w:val="000000"/>
                <w:kern w:val="2"/>
                <w:sz w:val="24"/>
                <w:szCs w:val="24"/>
                <w:lang w:val="en-US" w:eastAsia="zh-CN" w:bidi="ar-SA"/>
              </w:rPr>
            </w:pPr>
          </w:p>
        </w:tc>
      </w:tr>
    </w:tbl>
    <w:p w14:paraId="474C4373">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二、</w:t>
      </w:r>
      <w:bookmarkStart w:id="181" w:name="_Toc505252668"/>
      <w:bookmarkStart w:id="182" w:name="_Toc505184819"/>
      <w:bookmarkStart w:id="183" w:name="_Toc21615"/>
      <w:bookmarkStart w:id="184" w:name="_Toc13172"/>
      <w:r>
        <w:rPr>
          <w:rFonts w:hint="eastAsia" w:ascii="宋体" w:hAnsi="宋体" w:eastAsia="宋体" w:cs="Times New Roman"/>
          <w:b/>
          <w:bCs/>
          <w:color w:val="000000"/>
          <w:kern w:val="2"/>
          <w:sz w:val="24"/>
          <w:szCs w:val="24"/>
          <w:lang w:val="en-US" w:eastAsia="zh-CN" w:bidi="ar-SA"/>
        </w:rPr>
        <w:t>项目技术要求</w:t>
      </w:r>
    </w:p>
    <w:p w14:paraId="3DB4C62A">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（一）总体要求</w:t>
      </w:r>
    </w:p>
    <w:p w14:paraId="486D71E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FF"/>
          <w:kern w:val="2"/>
          <w:sz w:val="24"/>
          <w:szCs w:val="24"/>
          <w:lang w:val="en-US" w:eastAsia="zh-CN" w:bidi="ar-SA"/>
        </w:rPr>
      </w:pPr>
      <w:r>
        <w:rPr>
          <w:rFonts w:hint="eastAsia" w:ascii="宋体" w:hAnsi="宋体" w:eastAsia="宋体" w:cs="Times New Roman"/>
          <w:color w:val="000000"/>
          <w:kern w:val="2"/>
          <w:sz w:val="24"/>
          <w:szCs w:val="24"/>
          <w:lang w:val="en-US" w:eastAsia="zh-CN" w:bidi="ar-SA"/>
        </w:rPr>
        <w:t>1、项目选择仪器要求性能稳定、数据可靠，应选用在环保系统有成熟应用业绩的品牌仪器，仪器设备的性能应达到或优于参考指标表中所列技术指标。所提供的设备必须直接来源于原厂家并有质量合格证明和原厂保修证明文件</w:t>
      </w:r>
      <w:r>
        <w:rPr>
          <w:rFonts w:hint="eastAsia" w:ascii="宋体" w:hAnsi="宋体" w:eastAsia="宋体" w:cs="Times New Roman"/>
          <w:color w:val="0000FF"/>
          <w:kern w:val="2"/>
          <w:sz w:val="24"/>
          <w:szCs w:val="24"/>
          <w:lang w:val="en-US" w:eastAsia="zh-CN" w:bidi="ar-SA"/>
        </w:rPr>
        <w:t>（备注：投标人须在响应文件中承诺中标后供货时提供设备原厂质量合格证明和原厂保修五年证明文件，否则按无效投标人处理）。</w:t>
      </w:r>
    </w:p>
    <w:p w14:paraId="35F52DF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投标单位须有一定的地表水水质自动站运维经历，在水质自动监测系统运维及管理期间，中标单位必须遵守国家的有关法律、法规及其他规定，依照有关规范和技术要求对所管理的系统及仪器设备进行规范操作和精心维护及必要维修，保证系统及仪器设备的正常运行，达到采购人提出的系统及仪器设备考核指标要求。</w:t>
      </w:r>
    </w:p>
    <w:p w14:paraId="48B3009E">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（二）主要规范及标准</w:t>
      </w:r>
    </w:p>
    <w:p w14:paraId="6168A42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1、《水污染物排放总量监测技术规范》</w:t>
      </w:r>
    </w:p>
    <w:p w14:paraId="5B4407E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2、《水和废水监测分析方法》（第四版）</w:t>
      </w:r>
    </w:p>
    <w:p w14:paraId="6B56895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3、《环境水质监测质量保证手册》</w:t>
      </w:r>
    </w:p>
    <w:p w14:paraId="64D3D84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4、《地表水和污水监测技术规范》（HJ/T91-2002 ）</w:t>
      </w:r>
    </w:p>
    <w:p w14:paraId="39D250A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5、《水质 河流采样技术指导》（HJ/T52-1999）</w:t>
      </w:r>
    </w:p>
    <w:p w14:paraId="0C865C3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6、《pH水质自动分析仪技术要求》（HJ/T96-2003）</w:t>
      </w:r>
    </w:p>
    <w:p w14:paraId="4EF5C6F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7、《电导率水质自动分析仪技术要求》（HJ/T97-2003）</w:t>
      </w:r>
    </w:p>
    <w:p w14:paraId="0EE3E1D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8、《浊度水质自动分析仪技术要求》（HJ/T98-2003）</w:t>
      </w:r>
    </w:p>
    <w:p w14:paraId="523083C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9、《溶解氧（DO）水质自动分析仪技术要求》（HJ/T99-2003）</w:t>
      </w:r>
    </w:p>
    <w:p w14:paraId="4931BAB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10、《高锰酸盐指数水质自动分析仪技术要求》（HJ/T100-2003）</w:t>
      </w:r>
    </w:p>
    <w:p w14:paraId="404B83E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11、《氨氮水质自动分析仪技术要求》（HJ/T101-2019）</w:t>
      </w:r>
    </w:p>
    <w:p w14:paraId="57A8A88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12、《总磷自动分析仪技术要求》（HJ/T103-2003）</w:t>
      </w:r>
    </w:p>
    <w:p w14:paraId="403EE00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13、《总氮自动分析仪技术要求》（HJ/T102-2003）</w:t>
      </w:r>
    </w:p>
    <w:p w14:paraId="7A0DC9D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14、地表水自动监测技术规范 HJ915-2017</w:t>
      </w:r>
    </w:p>
    <w:p w14:paraId="39DA8D12">
      <w:pPr>
        <w:keepNext w:val="0"/>
        <w:keepLines w:val="0"/>
        <w:pageBreakBefore w:val="0"/>
        <w:widowControl w:val="0"/>
        <w:kinsoku/>
        <w:wordWrap/>
        <w:overflowPunct/>
        <w:topLinePunct w:val="0"/>
        <w:bidi w:val="0"/>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（三）监测仪器设备技术要求</w:t>
      </w:r>
    </w:p>
    <w:bookmarkEnd w:id="181"/>
    <w:bookmarkEnd w:id="182"/>
    <w:bookmarkEnd w:id="183"/>
    <w:bookmarkEnd w:id="184"/>
    <w:p w14:paraId="3AE4CA16">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line="520" w:lineRule="exact"/>
        <w:ind w:firstLine="480" w:firstLineChars="200"/>
        <w:textAlignment w:val="auto"/>
        <w:outlineLvl w:val="0"/>
        <w:rPr>
          <w:rFonts w:hint="eastAsia" w:ascii="宋体" w:hAnsi="宋体" w:eastAsia="宋体" w:cs="Times New Roman"/>
          <w:color w:val="000000"/>
          <w:kern w:val="2"/>
          <w:sz w:val="24"/>
          <w:szCs w:val="24"/>
          <w:lang w:val="en-US" w:eastAsia="zh-CN" w:bidi="ar-SA"/>
        </w:rPr>
      </w:pPr>
      <w:bookmarkStart w:id="185" w:name="_Toc14933"/>
      <w:bookmarkStart w:id="186" w:name="_Toc7487"/>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1、采配水单元。包括采水单元、配水单元、预处理单元。</w:t>
      </w:r>
    </w:p>
    <w:p w14:paraId="47BD6140">
      <w:pPr>
        <w:pStyle w:val="22"/>
        <w:keepNext w:val="0"/>
        <w:keepLines w:val="0"/>
        <w:pageBreakBefore w:val="0"/>
        <w:widowControl w:val="0"/>
        <w:numPr>
          <w:ilvl w:val="0"/>
          <w:numId w:val="0"/>
        </w:numPr>
        <w:kinsoku/>
        <w:wordWrap/>
        <w:overflowPunct/>
        <w:topLinePunct w:val="0"/>
        <w:autoSpaceDE w:val="0"/>
        <w:autoSpaceDN w:val="0"/>
        <w:bidi w:val="0"/>
        <w:adjustRightInd w:val="0"/>
        <w:snapToGrid/>
        <w:spacing w:line="520" w:lineRule="exact"/>
        <w:textAlignment w:val="auto"/>
        <w:outlineLvl w:val="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（1）采水单元。采水单元的功能是在任何情况下确保将采水点水样引至仪器间内，并满足其他设备需要。采水单元应具备连续和间歇的工作模式。</w:t>
      </w:r>
    </w:p>
    <w:p w14:paraId="596579FD">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采用双泵/双管路交替式采水方式，一用一备，在控制系统中设置自动诊断故障及自动切换泵工作功能。当一路出现故障时，通过控制系统及时切断该水泵的电源，并同时能够自动切换到另一路进行工作，以满足整个系统不间断监测要求。</w:t>
      </w:r>
    </w:p>
    <w:p w14:paraId="4BD3AE13">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采水泵选用质量优良的潜水泵或自吸泵，坚固耐用，维护维修方便，且可有效防止堵塞。采水泵流量保证 3 t/h 以上，采水量完全满足系统选用的仪表需求及未来扩展监测参数的需要，采水泵具有停电后来电再启动的自动恢复功能。</w:t>
      </w:r>
    </w:p>
    <w:p w14:paraId="1A74F7ED">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采水管路均采用保温措施，采样管与电缆置于同一套管内，埋地部分埋入冻土层以下或安装于水泥堰槽内，按规定实施保温、防冻、防冰凌措施，管路外部安装保温套管进行隔热处理，外部套管保护应具有极好的物理化学稳定性。</w:t>
      </w:r>
    </w:p>
    <w:p w14:paraId="74668E3B">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采水管路采用可拆洗式，具备反冲洗功能，可以由控制系统来控制进行自动反冲洗。采</w:t>
      </w:r>
      <w:r>
        <w:rPr>
          <w:rFonts w:hint="eastAsia" w:ascii="宋体" w:hAnsi="宋体" w:eastAsia="宋体" w:cs="Times New Roman"/>
          <w:color w:val="000000"/>
          <w:kern w:val="2"/>
          <w:sz w:val="24"/>
          <w:szCs w:val="24"/>
          <w:lang w:val="zh-CN" w:eastAsia="zh-CN" w:bidi="ar-SA"/>
        </w:rPr>
        <w:t>水口设有防护过滤装置，避免垃圾、树叶等较大的悬浮物体进入输水管路造成堵塞，并易于拆卸，便于清洗和清除杂物。</w:t>
      </w:r>
    </w:p>
    <w:p w14:paraId="3E0C93E7">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en-US" w:eastAsia="zh-CN" w:bidi="ar-SA"/>
        </w:rPr>
        <w:t>采水设备和设施进行必要的固定并可上下浮动，无论水位如何变化，采水设备和设施均保证采水深度始终为水面下 0.5~1.0 m，保证在汛期和枯水期能正常工作而不被损坏</w:t>
      </w:r>
      <w:r>
        <w:rPr>
          <w:rFonts w:hint="eastAsia" w:ascii="宋体" w:hAnsi="宋体" w:eastAsia="宋体" w:cs="Times New Roman"/>
          <w:color w:val="000000"/>
          <w:kern w:val="2"/>
          <w:sz w:val="24"/>
          <w:szCs w:val="24"/>
          <w:lang w:val="zh-CN" w:eastAsia="zh-CN" w:bidi="ar-SA"/>
        </w:rPr>
        <w:t>。</w:t>
      </w:r>
    </w:p>
    <w:p w14:paraId="1D3F3CEE">
      <w:pPr>
        <w:pStyle w:val="4"/>
        <w:keepNext w:val="0"/>
        <w:keepLines w:val="0"/>
        <w:pageBreakBefore w:val="0"/>
        <w:widowControl w:val="0"/>
        <w:numPr>
          <w:ilvl w:val="0"/>
          <w:numId w:val="0"/>
        </w:numPr>
        <w:kinsoku/>
        <w:wordWrap/>
        <w:overflowPunct/>
        <w:topLinePunct w:val="0"/>
        <w:bidi w:val="0"/>
        <w:snapToGrid/>
        <w:spacing w:after="0"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（2）配水单元。配水单元直接向自动监测仪器供水，其水质、水压和水量应满足自动监测仪器的需要。</w:t>
      </w:r>
    </w:p>
    <w:p w14:paraId="2CC0A16E">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常规五参数自动监测仪使用原水。根据仪器对水样的要求，水样进入配水单元后，一部分水样按照最短采水距离原则不经过任何预处理，直接送入常规五参数测量池中，五参数测量仪器的安装遵循与水体距离最近的原则，池内保证水流稳定持续，水位恒定。</w:t>
      </w:r>
    </w:p>
    <w:p w14:paraId="2CAD1506">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预留多个仪器扩展接口，可方便系统升级。各仪器配水管路采用并联采水方式，各仪器的管路内径、提水流量、流速均可单独调节并分别配备压力表。配水系统各支路满足其仪器的需水量要求外，需留有 2~3 套常规监测仪器的接口。</w:t>
      </w:r>
    </w:p>
    <w:p w14:paraId="569F46E0">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系统设计有正反向清洗泵、计量泵、高压空气擦洗管路、臭氧除藻等，可以以多种清洗方式结合达到最佳的清洗效果，清洗过程中不对环境造成污染。</w:t>
      </w:r>
    </w:p>
    <w:p w14:paraId="164A8AFA">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配水管线设计合理，流向清晰，便于维护，当仪器发生故障时，能够在不影响其他仪器正常工作的前提下进行维修或更换。</w:t>
      </w:r>
    </w:p>
    <w:p w14:paraId="02A39E14">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管材机械强度及化学稳定性好、寿命长、便于安装维护，不会对水样水质造成影响。</w:t>
      </w:r>
    </w:p>
    <w:p w14:paraId="039D2897">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预处理单元。在保证水样代表性的前提下，预处理单元对水样进行一系列处理来消除干扰自动监测仪器的因素，以保证分析系统的连续长时间可靠运行，不能采用拦截式过滤装置。由于预处理单元关系到整个分析系统的可靠性，预处理单元中所采用的阀门应为高质量的电动球阀。</w:t>
      </w:r>
    </w:p>
    <w:p w14:paraId="1A55F4B1">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预处理单元主要由沉降池、过滤、安全保障等部分组成，采用初级过滤和精密过滤相结合的方法，水样经初级过滤后，消除其中较大的杂物，再进一步进行自然沉降（经过滤沉淀的泥沙定期排放），然后经精密膜过滤进入分析仪表。预处理必须达到理想的除沙效果，管路内径、提水流量、流速满足测站内仪器分析需要，并留有 2~3 台常规监测仪器的接口。预处理单元在系统停电恢复后，能够按照采集控制器的控制时序自动启动。</w:t>
      </w:r>
    </w:p>
    <w:p w14:paraId="41726C0F">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预处理单元需具备自动清洗、自动排空功能。水样通过采水管道被输送到沉砂池中，静置使较大颗粒物下沉至池底，池底设有排放阀，每次测量周期结束后均对沉降池残留水样进行排空和清洗，为下一周期水样的进入做好准备。</w:t>
      </w:r>
    </w:p>
    <w:bookmarkEnd w:id="185"/>
    <w:bookmarkEnd w:id="186"/>
    <w:p w14:paraId="2D2BD8E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zh-CN" w:eastAsia="zh-CN" w:bidi="ar-SA"/>
        </w:rPr>
        <w:t>系统控制单元。</w:t>
      </w:r>
      <w:r>
        <w:rPr>
          <w:rFonts w:hint="eastAsia" w:ascii="宋体" w:hAnsi="宋体" w:eastAsia="宋体" w:cs="Times New Roman"/>
          <w:color w:val="000000"/>
          <w:kern w:val="2"/>
          <w:sz w:val="24"/>
          <w:szCs w:val="24"/>
          <w:lang w:val="en-US" w:eastAsia="zh-CN" w:bidi="ar-SA"/>
        </w:rPr>
        <w:t>系统控制单元是整个水质自动监测站的核心控制单元，此单元由工控计算机、交换机、GSM通信模块、PLC控制器、低压电器（按钮、开关、指示灯、接触器、电机保护器、漏电保护器）、直流电源、防雷模块、电源滤波器等组成。</w:t>
      </w:r>
    </w:p>
    <w:p w14:paraId="27E09126">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（1）采用三相五线制进线供电；动力设备、监测仪器和电脑、辅助设备分相供电，避免相互干扰，并保持三相用电的平衡；每相供电能力有一定余量，方便扩充。</w:t>
      </w:r>
    </w:p>
    <w:p w14:paraId="40FC2096">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（2）电控柜中要安装有雷击保护器，可以有效地保护自动监测系统中的仪器设备。</w:t>
      </w:r>
    </w:p>
    <w:p w14:paraId="309E9703">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（3）可以实现各种监测设备的多种信号的连接和数据传输。数据采集/控制设备可以与现场各种设备的输入/输出的模拟、脉冲和开关数字信号连接。</w:t>
      </w:r>
    </w:p>
    <w:p w14:paraId="63CB8FF8">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（4）可以实现各种控制功能。根据用户对不同设备的要求，进行相应的控制。</w:t>
      </w:r>
    </w:p>
    <w:p w14:paraId="1AC0921D">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（5）主要的控制功能可实现远程控制。现场站和远程站之间实现了双向的数据传输，可远程控制监测设备的启停，阀门的开关，反冲和清洗等。</w:t>
      </w:r>
    </w:p>
    <w:p w14:paraId="0BEDC0A7">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（6）现场数据采集设备应至少能保存一个月的最小统计单位值（最小统计单位时间不大于小时），并至少可保存一年的小时数据。监测仪器和数据采集设备之间应采用数字通讯。</w:t>
      </w:r>
    </w:p>
    <w:p w14:paraId="5F7F06C2">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7）电控柜中的主要配件（如空气开关、按钮、转换开关、继电器、输入输出接线端子等等）采用优质（或名牌公司）产品，符合相关部门抗电磁辐射、电磁感应的规定。全部设备、仪器等的供电电缆、信号电缆均采用高质量屏蔽电缆，穿管或在线槽中布线，美观整齐。</w:t>
      </w:r>
    </w:p>
    <w:p w14:paraId="11A639A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数据采集和传输单元。数据采集和传输单元配备高性能工作站，用于现场监测数据采集和数据传输，数据采集与传输按照分析周期执行，每周期采集一组数据，包括监测结果、监测仪器状态、校准记录、现场环境状态、报警状态、阀门状态、系统工作状态等，所有采集到的数据都保存在现场服务器内，并可根据数据传输软件设置，将全部或选定的数据传输到数据平台系统。</w:t>
      </w:r>
    </w:p>
    <w:p w14:paraId="184C244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数据采集和传输单元满足以下功能：</w:t>
      </w:r>
    </w:p>
    <w:p w14:paraId="5476CFF0">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（1）能实现与现有数据平台系统无缝衔接。数据采集和传输能自动记录，工作可靠有效；</w:t>
      </w:r>
    </w:p>
    <w:p w14:paraId="0E741D95">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（2）可在现场及远程进行人工参与控制。现场可动态显示系统的实时状态、各单元设备工作状态、各个测量参数数据。数据采集与传输应完整、准确、可靠，采集值与测量值误差≤1%；</w:t>
      </w:r>
    </w:p>
    <w:p w14:paraId="333E4023">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（3）数据采集装置采用统一指定通讯协议，以无线、有线传输方式进行数据传输各个测量参数，同时实现双向传输，并能进行权限设置；</w:t>
      </w:r>
    </w:p>
    <w:p w14:paraId="1C463AA0">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（4）水站断电后数据不应丢失，并能储存 1 年以上各测量参数的原始数据；</w:t>
      </w:r>
    </w:p>
    <w:p w14:paraId="49D7A182">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（5）水站数据具有自动备份功能，同时保存相应时期发生的有关校准、断电及其他状态事件记录，动态异地数据备份、恢复功能；</w:t>
      </w:r>
    </w:p>
    <w:p w14:paraId="655FE68F">
      <w:pPr>
        <w:keepNext w:val="0"/>
        <w:keepLines w:val="0"/>
        <w:pageBreakBefore w:val="0"/>
        <w:widowControl w:val="0"/>
        <w:kinsoku/>
        <w:wordWrap/>
        <w:overflowPunct/>
        <w:topLinePunct w:val="0"/>
        <w:autoSpaceDE/>
        <w:autoSpaceDN/>
        <w:bidi w:val="0"/>
        <w:adjustRightInd/>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（6）应有数据加密等系统安全防护功能。</w:t>
      </w:r>
    </w:p>
    <w:p w14:paraId="3D0A622C">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4、检测单元。主要由各检测项目要求的自动监测仪器组成。</w:t>
      </w:r>
    </w:p>
    <w:p w14:paraId="2159834B">
      <w:pPr>
        <w:pStyle w:val="22"/>
        <w:keepNext w:val="0"/>
        <w:keepLines w:val="0"/>
        <w:pageBreakBefore w:val="0"/>
        <w:widowControl w:val="0"/>
        <w:kinsoku/>
        <w:wordWrap/>
        <w:overflowPunct/>
        <w:topLinePunct w:val="0"/>
        <w:autoSpaceDE w:val="0"/>
        <w:autoSpaceDN w:val="0"/>
        <w:bidi w:val="0"/>
        <w:adjustRightInd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自动监测仪器必须为适合于长期稳定运行的在线式仪器，仪器必须具有密封的箱体，具有防潮和防尘功能。在线监测仪器必须具有：</w:t>
      </w:r>
    </w:p>
    <w:p w14:paraId="7BEE37D5">
      <w:pPr>
        <w:keepNext w:val="0"/>
        <w:keepLines w:val="0"/>
        <w:pageBreakBefore w:val="0"/>
        <w:widowControl w:val="0"/>
        <w:kinsoku/>
        <w:wordWrap/>
        <w:overflowPunct/>
        <w:topLinePunct w:val="0"/>
        <w:bidi w:val="0"/>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（1）高锰酸盐指数、氨氮、总磷和总氮水质自动分析仪器具有仪器状态显示和传输功能：监测仪空闲状态、测量状态、调零状态、故障状态等所有状态在主页显示且和远程监控软件相同。</w:t>
      </w:r>
    </w:p>
    <w:p w14:paraId="70D2B905">
      <w:pPr>
        <w:keepNext w:val="0"/>
        <w:keepLines w:val="0"/>
        <w:pageBreakBefore w:val="0"/>
        <w:widowControl w:val="0"/>
        <w:kinsoku/>
        <w:wordWrap/>
        <w:overflowPunct/>
        <w:topLinePunct w:val="0"/>
        <w:bidi w:val="0"/>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（2）高锰酸盐指数、氨氮、总磷和总氮水质自动分析仪器具有参数显示和传输功能：监测仪可以显示所有参数且和远程监控软件相同。</w:t>
      </w:r>
    </w:p>
    <w:p w14:paraId="57769B80">
      <w:pPr>
        <w:keepNext w:val="0"/>
        <w:keepLines w:val="0"/>
        <w:pageBreakBefore w:val="0"/>
        <w:widowControl w:val="0"/>
        <w:kinsoku/>
        <w:wordWrap/>
        <w:overflowPunct/>
        <w:topLinePunct w:val="0"/>
        <w:bidi w:val="0"/>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（3）高锰酸盐指数、氨氮、总磷和总氮水质自动分析仪器具有手动、自动标样核查、零点核查、跨度核查、标定、加标回收率测试等质控功能。</w:t>
      </w:r>
    </w:p>
    <w:p w14:paraId="2D1E65B7">
      <w:pPr>
        <w:keepNext w:val="0"/>
        <w:keepLines w:val="0"/>
        <w:pageBreakBefore w:val="0"/>
        <w:widowControl w:val="0"/>
        <w:kinsoku/>
        <w:wordWrap/>
        <w:overflowPunct/>
        <w:topLinePunct w:val="0"/>
        <w:bidi w:val="0"/>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bookmarkStart w:id="187" w:name="_Toc519758074"/>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（4）高锰酸盐指数、氨氮、总磷和总氮水质自动分析仪器具有多种工作模式：监测仪可以选择手动模式、周期模式、任务模式、定点模式、受控模式。</w:t>
      </w:r>
    </w:p>
    <w:p w14:paraId="5100B6C8">
      <w:pPr>
        <w:keepNext w:val="0"/>
        <w:keepLines w:val="0"/>
        <w:pageBreakBefore w:val="0"/>
        <w:widowControl w:val="0"/>
        <w:kinsoku/>
        <w:wordWrap/>
        <w:overflowPunct/>
        <w:topLinePunct w:val="0"/>
        <w:bidi w:val="0"/>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（5）高锰酸盐指数、氨氮、总磷和总氮水质自动分析仪器具有试剂余量监控及报警、耗材寿命管理及报警功能。</w:t>
      </w:r>
    </w:p>
    <w:p w14:paraId="394FAE87">
      <w:pPr>
        <w:keepNext w:val="0"/>
        <w:keepLines w:val="0"/>
        <w:pageBreakBefore w:val="0"/>
        <w:widowControl w:val="0"/>
        <w:kinsoku/>
        <w:wordWrap/>
        <w:overflowPunct/>
        <w:topLinePunct w:val="0"/>
        <w:bidi w:val="0"/>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（6）</w:t>
      </w:r>
      <w:bookmarkEnd w:id="187"/>
      <w:r>
        <w:rPr>
          <w:rFonts w:hint="eastAsia" w:ascii="宋体" w:hAnsi="宋体" w:eastAsia="宋体" w:cs="Times New Roman"/>
          <w:color w:val="000000"/>
          <w:kern w:val="2"/>
          <w:sz w:val="24"/>
          <w:szCs w:val="24"/>
          <w:lang w:val="en-US" w:eastAsia="zh-CN" w:bidi="ar-SA"/>
        </w:rPr>
        <w:t>高锰酸盐指数、氨氮、总磷和总氮水质自动分析仪器具有参数变更的自动记录和查询、数据标识功能。</w:t>
      </w:r>
    </w:p>
    <w:p w14:paraId="01150EF6">
      <w:pPr>
        <w:keepNext w:val="0"/>
        <w:keepLines w:val="0"/>
        <w:pageBreakBefore w:val="0"/>
        <w:widowControl w:val="0"/>
        <w:kinsoku/>
        <w:wordWrap/>
        <w:overflowPunct/>
        <w:topLinePunct w:val="0"/>
        <w:bidi w:val="0"/>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bookmarkStart w:id="188" w:name="_Toc519758075"/>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（7）高锰酸盐指数、氨氮、总磷和总氮水质自动分析仪器具有异常信息自动告警、记录、上传功能。</w:t>
      </w:r>
    </w:p>
    <w:bookmarkEnd w:id="188"/>
    <w:p w14:paraId="04859ACD">
      <w:pPr>
        <w:keepNext w:val="0"/>
        <w:keepLines w:val="0"/>
        <w:pageBreakBefore w:val="0"/>
        <w:widowControl w:val="0"/>
        <w:kinsoku/>
        <w:wordWrap/>
        <w:overflowPunct/>
        <w:topLinePunct w:val="0"/>
        <w:bidi w:val="0"/>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（8）高锰酸盐指数、总磷和总氮分析仪具备安全门锁、安全门监测功能和压力监测功能。</w:t>
      </w:r>
    </w:p>
    <w:p w14:paraId="30BF43C2">
      <w:pPr>
        <w:keepNext w:val="0"/>
        <w:keepLines w:val="0"/>
        <w:pageBreakBefore w:val="0"/>
        <w:widowControl w:val="0"/>
        <w:kinsoku/>
        <w:wordWrap/>
        <w:overflowPunct/>
        <w:topLinePunct w:val="0"/>
        <w:bidi w:val="0"/>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（9）高锰酸盐指数、氨氮、总磷和总氮水质自动分析仪器具有三级操作权限功能。</w:t>
      </w:r>
    </w:p>
    <w:p w14:paraId="7BDACDE9">
      <w:pPr>
        <w:keepNext w:val="0"/>
        <w:keepLines w:val="0"/>
        <w:pageBreakBefore w:val="0"/>
        <w:widowControl w:val="0"/>
        <w:kinsoku/>
        <w:wordWrap/>
        <w:overflowPunct/>
        <w:topLinePunct w:val="0"/>
        <w:bidi w:val="0"/>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（10）高锰酸盐指数、氨氮、总磷和总氮水质自动分析仪器具有远程操作功能（如测量、标定、清洗等操作）。</w:t>
      </w:r>
    </w:p>
    <w:p w14:paraId="775AEE79">
      <w:pPr>
        <w:pStyle w:val="22"/>
        <w:keepNext w:val="0"/>
        <w:keepLines w:val="0"/>
        <w:pageBreakBefore w:val="0"/>
        <w:widowControl w:val="0"/>
        <w:kinsoku/>
        <w:wordWrap/>
        <w:overflowPunct/>
        <w:topLinePunct w:val="0"/>
        <w:autoSpaceDE w:val="0"/>
        <w:autoSpaceDN w:val="0"/>
        <w:bidi w:val="0"/>
        <w:adjustRightInd w:val="0"/>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（11）高锰酸盐指数、氨氮、总磷、总氮分析仪需采用一体式集成机柜，且配置试剂冷藏箱，保证分析仪器运行时所用的关键化学试剂处于4±2℃低温保存。</w:t>
      </w:r>
    </w:p>
    <w:p w14:paraId="6F55B073">
      <w:pPr>
        <w:pStyle w:val="22"/>
        <w:keepNext w:val="0"/>
        <w:keepLines w:val="0"/>
        <w:pageBreakBefore w:val="0"/>
        <w:widowControl w:val="0"/>
        <w:kinsoku/>
        <w:wordWrap/>
        <w:overflowPunct/>
        <w:topLinePunct w:val="0"/>
        <w:autoSpaceDE w:val="0"/>
        <w:autoSpaceDN w:val="0"/>
        <w:bidi w:val="0"/>
        <w:adjustRightInd w:val="0"/>
        <w:snapToGrid/>
        <w:spacing w:line="520" w:lineRule="exact"/>
        <w:ind w:firstLine="480" w:firstLineChars="200"/>
        <w:textAlignment w:val="auto"/>
        <w:outlineLvl w:val="0"/>
        <w:rPr>
          <w:rFonts w:hint="eastAsia" w:ascii="宋体" w:hAnsi="宋体" w:eastAsia="宋体" w:cs="Times New Roman"/>
          <w:color w:val="000000"/>
          <w:kern w:val="2"/>
          <w:sz w:val="24"/>
          <w:szCs w:val="24"/>
          <w:lang w:val="en-US" w:eastAsia="zh-CN" w:bidi="ar-SA"/>
        </w:rPr>
      </w:pPr>
      <w:bookmarkStart w:id="189" w:name="_Toc7291"/>
      <w:bookmarkStart w:id="190" w:name="_Toc15938"/>
      <w:r>
        <w:rPr>
          <w:rFonts w:hint="eastAsia" w:ascii="宋体" w:hAnsi="宋体" w:eastAsia="宋体" w:cs="Times New Roman"/>
          <w:color w:val="000000"/>
          <w:kern w:val="2"/>
          <w:sz w:val="24"/>
          <w:szCs w:val="24"/>
          <w:lang w:val="en-US" w:eastAsia="zh-CN" w:bidi="ar-SA"/>
        </w:rPr>
        <w:t>各自动监测仪器技术参数要求</w:t>
      </w:r>
      <w:bookmarkEnd w:id="189"/>
      <w:bookmarkEnd w:id="190"/>
      <w:r>
        <w:rPr>
          <w:rFonts w:hint="eastAsia" w:ascii="宋体" w:hAnsi="宋体" w:eastAsia="宋体" w:cs="Times New Roman"/>
          <w:color w:val="000000"/>
          <w:kern w:val="2"/>
          <w:sz w:val="24"/>
          <w:szCs w:val="24"/>
          <w:lang w:val="en-US" w:eastAsia="zh-CN" w:bidi="ar-SA"/>
        </w:rPr>
        <w:t>：</w:t>
      </w:r>
    </w:p>
    <w:p w14:paraId="2B721EC4">
      <w:pPr>
        <w:pStyle w:val="22"/>
        <w:keepNext w:val="0"/>
        <w:keepLines w:val="0"/>
        <w:pageBreakBefore w:val="0"/>
        <w:widowControl w:val="0"/>
        <w:kinsoku/>
        <w:wordWrap/>
        <w:overflowPunct/>
        <w:topLinePunct w:val="0"/>
        <w:autoSpaceDE w:val="0"/>
        <w:autoSpaceDN w:val="0"/>
        <w:bidi w:val="0"/>
        <w:adjustRightInd w:val="0"/>
        <w:snapToGrid/>
        <w:spacing w:line="520" w:lineRule="exact"/>
        <w:ind w:firstLine="240" w:firstLineChars="100"/>
        <w:textAlignment w:val="auto"/>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 xml:space="preserve">（1）水温水质自动分析仪 </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2"/>
        <w:gridCol w:w="5317"/>
      </w:tblGrid>
      <w:tr w14:paraId="289CF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3202" w:type="dxa"/>
            <w:noWrap w:val="0"/>
            <w:vAlign w:val="center"/>
          </w:tcPr>
          <w:p w14:paraId="59B1A54C">
            <w:pPr>
              <w:pStyle w:val="22"/>
              <w:keepNext w:val="0"/>
              <w:keepLines w:val="0"/>
              <w:pageBreakBefore w:val="0"/>
              <w:wordWrap/>
              <w:topLinePunct w:val="0"/>
              <w:autoSpaceDE w:val="0"/>
              <w:autoSpaceDN w:val="0"/>
              <w:bidi w:val="0"/>
              <w:adjustRightInd w:val="0"/>
              <w:spacing w:line="520" w:lineRule="exact"/>
              <w:ind w:firstLine="240" w:firstLineChars="100"/>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项目</w:t>
            </w:r>
          </w:p>
        </w:tc>
        <w:tc>
          <w:tcPr>
            <w:tcW w:w="5317" w:type="dxa"/>
            <w:noWrap w:val="0"/>
            <w:vAlign w:val="center"/>
          </w:tcPr>
          <w:p w14:paraId="1051E065">
            <w:pPr>
              <w:pStyle w:val="22"/>
              <w:keepNext w:val="0"/>
              <w:keepLines w:val="0"/>
              <w:pageBreakBefore w:val="0"/>
              <w:wordWrap/>
              <w:topLinePunct w:val="0"/>
              <w:autoSpaceDE w:val="0"/>
              <w:autoSpaceDN w:val="0"/>
              <w:bidi w:val="0"/>
              <w:adjustRightInd w:val="0"/>
              <w:spacing w:line="520" w:lineRule="exact"/>
              <w:ind w:firstLine="240" w:firstLineChars="100"/>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技术指标</w:t>
            </w:r>
          </w:p>
        </w:tc>
      </w:tr>
      <w:tr w14:paraId="0741D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3202" w:type="dxa"/>
            <w:noWrap w:val="0"/>
            <w:vAlign w:val="center"/>
          </w:tcPr>
          <w:p w14:paraId="6C81D8A6">
            <w:pPr>
              <w:pStyle w:val="22"/>
              <w:keepNext w:val="0"/>
              <w:keepLines w:val="0"/>
              <w:pageBreakBefore w:val="0"/>
              <w:wordWrap/>
              <w:topLinePunct w:val="0"/>
              <w:autoSpaceDE w:val="0"/>
              <w:autoSpaceDN w:val="0"/>
              <w:bidi w:val="0"/>
              <w:adjustRightInd w:val="0"/>
              <w:spacing w:line="520" w:lineRule="exact"/>
              <w:ind w:firstLine="240" w:firstLineChars="100"/>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测定原理</w:t>
            </w:r>
          </w:p>
        </w:tc>
        <w:tc>
          <w:tcPr>
            <w:tcW w:w="5317" w:type="dxa"/>
            <w:noWrap w:val="0"/>
            <w:vAlign w:val="center"/>
          </w:tcPr>
          <w:p w14:paraId="22B42D69">
            <w:pPr>
              <w:pStyle w:val="22"/>
              <w:keepNext w:val="0"/>
              <w:keepLines w:val="0"/>
              <w:pageBreakBefore w:val="0"/>
              <w:wordWrap/>
              <w:topLinePunct w:val="0"/>
              <w:autoSpaceDE w:val="0"/>
              <w:autoSpaceDN w:val="0"/>
              <w:bidi w:val="0"/>
              <w:adjustRightInd w:val="0"/>
              <w:spacing w:line="520" w:lineRule="exact"/>
              <w:ind w:firstLine="240" w:firstLineChars="100"/>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热电阻或热电偶</w:t>
            </w:r>
          </w:p>
        </w:tc>
      </w:tr>
      <w:tr w14:paraId="6DB2F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3202" w:type="dxa"/>
            <w:noWrap w:val="0"/>
            <w:vAlign w:val="center"/>
          </w:tcPr>
          <w:p w14:paraId="57ED434D">
            <w:pPr>
              <w:pStyle w:val="22"/>
              <w:keepNext w:val="0"/>
              <w:keepLines w:val="0"/>
              <w:pageBreakBefore w:val="0"/>
              <w:wordWrap/>
              <w:topLinePunct w:val="0"/>
              <w:autoSpaceDE w:val="0"/>
              <w:autoSpaceDN w:val="0"/>
              <w:bidi w:val="0"/>
              <w:adjustRightInd w:val="0"/>
              <w:spacing w:line="520" w:lineRule="exact"/>
              <w:ind w:firstLine="240" w:firstLineChars="100"/>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量程</w:t>
            </w:r>
          </w:p>
        </w:tc>
        <w:tc>
          <w:tcPr>
            <w:tcW w:w="5317" w:type="dxa"/>
            <w:noWrap w:val="0"/>
            <w:vAlign w:val="center"/>
          </w:tcPr>
          <w:p w14:paraId="247515B3">
            <w:pPr>
              <w:pStyle w:val="22"/>
              <w:keepNext w:val="0"/>
              <w:keepLines w:val="0"/>
              <w:pageBreakBefore w:val="0"/>
              <w:wordWrap/>
              <w:topLinePunct w:val="0"/>
              <w:autoSpaceDE w:val="0"/>
              <w:autoSpaceDN w:val="0"/>
              <w:bidi w:val="0"/>
              <w:adjustRightInd w:val="0"/>
              <w:spacing w:line="520" w:lineRule="exact"/>
              <w:ind w:firstLine="240" w:firstLineChars="100"/>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0℃～60 ℃，可调</w:t>
            </w:r>
          </w:p>
        </w:tc>
      </w:tr>
      <w:tr w14:paraId="6AA37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3202" w:type="dxa"/>
            <w:noWrap w:val="0"/>
            <w:vAlign w:val="center"/>
          </w:tcPr>
          <w:p w14:paraId="30201044">
            <w:pPr>
              <w:pStyle w:val="22"/>
              <w:keepNext w:val="0"/>
              <w:keepLines w:val="0"/>
              <w:pageBreakBefore w:val="0"/>
              <w:wordWrap/>
              <w:topLinePunct w:val="0"/>
              <w:autoSpaceDE w:val="0"/>
              <w:autoSpaceDN w:val="0"/>
              <w:bidi w:val="0"/>
              <w:adjustRightInd w:val="0"/>
              <w:spacing w:line="520" w:lineRule="exact"/>
              <w:ind w:firstLine="240" w:firstLineChars="100"/>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准确度</w:t>
            </w:r>
          </w:p>
        </w:tc>
        <w:tc>
          <w:tcPr>
            <w:tcW w:w="5317" w:type="dxa"/>
            <w:noWrap w:val="0"/>
            <w:vAlign w:val="center"/>
          </w:tcPr>
          <w:p w14:paraId="545AB99C">
            <w:pPr>
              <w:pStyle w:val="22"/>
              <w:keepNext w:val="0"/>
              <w:keepLines w:val="0"/>
              <w:pageBreakBefore w:val="0"/>
              <w:wordWrap/>
              <w:topLinePunct w:val="0"/>
              <w:autoSpaceDE w:val="0"/>
              <w:autoSpaceDN w:val="0"/>
              <w:bidi w:val="0"/>
              <w:adjustRightInd w:val="0"/>
              <w:spacing w:line="520" w:lineRule="exact"/>
              <w:ind w:firstLine="240" w:firstLineChars="100"/>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±0.5 ℃</w:t>
            </w:r>
          </w:p>
        </w:tc>
      </w:tr>
      <w:tr w14:paraId="00A0D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3202" w:type="dxa"/>
            <w:noWrap w:val="0"/>
            <w:vAlign w:val="center"/>
          </w:tcPr>
          <w:p w14:paraId="5ADEF853">
            <w:pPr>
              <w:pStyle w:val="22"/>
              <w:keepNext w:val="0"/>
              <w:keepLines w:val="0"/>
              <w:pageBreakBefore w:val="0"/>
              <w:wordWrap/>
              <w:topLinePunct w:val="0"/>
              <w:autoSpaceDE w:val="0"/>
              <w:autoSpaceDN w:val="0"/>
              <w:bidi w:val="0"/>
              <w:adjustRightInd w:val="0"/>
              <w:spacing w:line="520" w:lineRule="exact"/>
              <w:ind w:firstLine="240" w:firstLineChars="100"/>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MTBF</w:t>
            </w:r>
          </w:p>
        </w:tc>
        <w:tc>
          <w:tcPr>
            <w:tcW w:w="5317" w:type="dxa"/>
            <w:noWrap w:val="0"/>
            <w:vAlign w:val="center"/>
          </w:tcPr>
          <w:p w14:paraId="1DAD6119">
            <w:pPr>
              <w:pStyle w:val="22"/>
              <w:keepNext w:val="0"/>
              <w:keepLines w:val="0"/>
              <w:pageBreakBefore w:val="0"/>
              <w:wordWrap/>
              <w:topLinePunct w:val="0"/>
              <w:autoSpaceDE w:val="0"/>
              <w:autoSpaceDN w:val="0"/>
              <w:bidi w:val="0"/>
              <w:adjustRightInd w:val="0"/>
              <w:spacing w:line="520" w:lineRule="exact"/>
              <w:ind w:firstLine="240" w:firstLineChars="100"/>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≥720 h/次</w:t>
            </w:r>
          </w:p>
        </w:tc>
      </w:tr>
    </w:tbl>
    <w:p w14:paraId="28794F93">
      <w:pPr>
        <w:pStyle w:val="22"/>
        <w:keepNext w:val="0"/>
        <w:keepLines w:val="0"/>
        <w:pageBreakBefore w:val="0"/>
        <w:wordWrap/>
        <w:topLinePunct w:val="0"/>
        <w:autoSpaceDE w:val="0"/>
        <w:autoSpaceDN w:val="0"/>
        <w:bidi w:val="0"/>
        <w:adjustRightInd w:val="0"/>
        <w:spacing w:line="520" w:lineRule="exact"/>
        <w:ind w:firstLine="480" w:firstLineChars="2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（2）pH水质自动分析仪</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2"/>
        <w:gridCol w:w="5317"/>
      </w:tblGrid>
      <w:tr w14:paraId="0028A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blHeader/>
          <w:jc w:val="center"/>
        </w:trPr>
        <w:tc>
          <w:tcPr>
            <w:tcW w:w="3202" w:type="dxa"/>
            <w:noWrap w:val="0"/>
            <w:vAlign w:val="center"/>
          </w:tcPr>
          <w:p w14:paraId="71DFA0BF">
            <w:pPr>
              <w:pStyle w:val="22"/>
              <w:keepNext w:val="0"/>
              <w:keepLines w:val="0"/>
              <w:pageBreakBefore w:val="0"/>
              <w:wordWrap/>
              <w:topLinePunct w:val="0"/>
              <w:autoSpaceDE w:val="0"/>
              <w:autoSpaceDN w:val="0"/>
              <w:bidi w:val="0"/>
              <w:adjustRightInd w:val="0"/>
              <w:spacing w:line="520" w:lineRule="exact"/>
              <w:ind w:firstLine="240" w:firstLineChars="100"/>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项目</w:t>
            </w:r>
          </w:p>
        </w:tc>
        <w:tc>
          <w:tcPr>
            <w:tcW w:w="5317" w:type="dxa"/>
            <w:noWrap w:val="0"/>
            <w:vAlign w:val="center"/>
          </w:tcPr>
          <w:p w14:paraId="5668CE9B">
            <w:pPr>
              <w:pStyle w:val="22"/>
              <w:keepNext w:val="0"/>
              <w:keepLines w:val="0"/>
              <w:pageBreakBefore w:val="0"/>
              <w:wordWrap/>
              <w:topLinePunct w:val="0"/>
              <w:autoSpaceDE w:val="0"/>
              <w:autoSpaceDN w:val="0"/>
              <w:bidi w:val="0"/>
              <w:adjustRightInd w:val="0"/>
              <w:spacing w:line="520" w:lineRule="exact"/>
              <w:ind w:firstLine="240" w:firstLineChars="100"/>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技术指标</w:t>
            </w:r>
          </w:p>
        </w:tc>
      </w:tr>
      <w:tr w14:paraId="7FE4B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3202" w:type="dxa"/>
            <w:noWrap w:val="0"/>
            <w:vAlign w:val="center"/>
          </w:tcPr>
          <w:p w14:paraId="065D0786">
            <w:pPr>
              <w:pStyle w:val="22"/>
              <w:keepNext w:val="0"/>
              <w:keepLines w:val="0"/>
              <w:pageBreakBefore w:val="0"/>
              <w:wordWrap/>
              <w:topLinePunct w:val="0"/>
              <w:autoSpaceDE w:val="0"/>
              <w:autoSpaceDN w:val="0"/>
              <w:bidi w:val="0"/>
              <w:adjustRightInd w:val="0"/>
              <w:spacing w:line="520" w:lineRule="exact"/>
              <w:ind w:firstLine="240" w:firstLineChars="100"/>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测定原理</w:t>
            </w:r>
          </w:p>
        </w:tc>
        <w:tc>
          <w:tcPr>
            <w:tcW w:w="5317" w:type="dxa"/>
            <w:noWrap w:val="0"/>
            <w:vAlign w:val="center"/>
          </w:tcPr>
          <w:p w14:paraId="5E82E7A2">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玻璃电极法</w:t>
            </w:r>
          </w:p>
        </w:tc>
      </w:tr>
      <w:tr w14:paraId="41B72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3202" w:type="dxa"/>
            <w:noWrap w:val="0"/>
            <w:vAlign w:val="center"/>
          </w:tcPr>
          <w:p w14:paraId="04A9A68E">
            <w:pPr>
              <w:pStyle w:val="22"/>
              <w:keepNext w:val="0"/>
              <w:keepLines w:val="0"/>
              <w:pageBreakBefore w:val="0"/>
              <w:wordWrap/>
              <w:topLinePunct w:val="0"/>
              <w:autoSpaceDE w:val="0"/>
              <w:autoSpaceDN w:val="0"/>
              <w:bidi w:val="0"/>
              <w:adjustRightInd w:val="0"/>
              <w:spacing w:line="520" w:lineRule="exact"/>
              <w:ind w:firstLine="240" w:firstLineChars="100"/>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量程</w:t>
            </w:r>
          </w:p>
        </w:tc>
        <w:tc>
          <w:tcPr>
            <w:tcW w:w="5317" w:type="dxa"/>
            <w:noWrap w:val="0"/>
            <w:vAlign w:val="center"/>
          </w:tcPr>
          <w:p w14:paraId="2F816B9B">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pH 0～14 （0～40 ℃），可调</w:t>
            </w:r>
          </w:p>
        </w:tc>
      </w:tr>
      <w:tr w14:paraId="7080C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202" w:type="dxa"/>
            <w:noWrap w:val="0"/>
            <w:vAlign w:val="center"/>
          </w:tcPr>
          <w:p w14:paraId="56686467">
            <w:pPr>
              <w:pStyle w:val="22"/>
              <w:keepNext w:val="0"/>
              <w:keepLines w:val="0"/>
              <w:pageBreakBefore w:val="0"/>
              <w:wordWrap/>
              <w:topLinePunct w:val="0"/>
              <w:autoSpaceDE w:val="0"/>
              <w:autoSpaceDN w:val="0"/>
              <w:bidi w:val="0"/>
              <w:adjustRightInd w:val="0"/>
              <w:spacing w:line="520" w:lineRule="exact"/>
              <w:ind w:firstLine="240" w:firstLineChars="100"/>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重复性</w:t>
            </w:r>
          </w:p>
        </w:tc>
        <w:tc>
          <w:tcPr>
            <w:tcW w:w="5317" w:type="dxa"/>
            <w:noWrap w:val="0"/>
            <w:vAlign w:val="center"/>
          </w:tcPr>
          <w:p w14:paraId="4577ED97">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≤±0.1 pH</w:t>
            </w:r>
          </w:p>
        </w:tc>
      </w:tr>
      <w:tr w14:paraId="48655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202" w:type="dxa"/>
            <w:noWrap w:val="0"/>
            <w:vAlign w:val="center"/>
          </w:tcPr>
          <w:p w14:paraId="215BA94F">
            <w:pPr>
              <w:pStyle w:val="22"/>
              <w:keepNext w:val="0"/>
              <w:keepLines w:val="0"/>
              <w:pageBreakBefore w:val="0"/>
              <w:wordWrap/>
              <w:topLinePunct w:val="0"/>
              <w:autoSpaceDE w:val="0"/>
              <w:autoSpaceDN w:val="0"/>
              <w:bidi w:val="0"/>
              <w:adjustRightInd w:val="0"/>
              <w:spacing w:line="520" w:lineRule="exact"/>
              <w:ind w:firstLine="240" w:firstLineChars="100"/>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漂移（pH=4、7、9）</w:t>
            </w:r>
          </w:p>
        </w:tc>
        <w:tc>
          <w:tcPr>
            <w:tcW w:w="5317" w:type="dxa"/>
            <w:noWrap w:val="0"/>
            <w:vAlign w:val="center"/>
          </w:tcPr>
          <w:p w14:paraId="617E1651">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≤±0.1 pH</w:t>
            </w:r>
          </w:p>
        </w:tc>
      </w:tr>
      <w:tr w14:paraId="439F4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3202" w:type="dxa"/>
            <w:noWrap w:val="0"/>
            <w:vAlign w:val="center"/>
          </w:tcPr>
          <w:p w14:paraId="3CD2E746">
            <w:pPr>
              <w:pStyle w:val="22"/>
              <w:keepNext w:val="0"/>
              <w:keepLines w:val="0"/>
              <w:pageBreakBefore w:val="0"/>
              <w:wordWrap/>
              <w:topLinePunct w:val="0"/>
              <w:autoSpaceDE w:val="0"/>
              <w:autoSpaceDN w:val="0"/>
              <w:bidi w:val="0"/>
              <w:adjustRightInd w:val="0"/>
              <w:spacing w:line="520" w:lineRule="exact"/>
              <w:ind w:firstLine="240" w:firstLineChars="100"/>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响应时间</w:t>
            </w:r>
          </w:p>
        </w:tc>
        <w:tc>
          <w:tcPr>
            <w:tcW w:w="5317" w:type="dxa"/>
            <w:noWrap w:val="0"/>
            <w:vAlign w:val="center"/>
          </w:tcPr>
          <w:p w14:paraId="7923449C">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≤30 s</w:t>
            </w:r>
          </w:p>
        </w:tc>
      </w:tr>
      <w:tr w14:paraId="433D3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3202" w:type="dxa"/>
            <w:noWrap w:val="0"/>
            <w:vAlign w:val="center"/>
          </w:tcPr>
          <w:p w14:paraId="02915365">
            <w:pPr>
              <w:pStyle w:val="22"/>
              <w:keepNext w:val="0"/>
              <w:keepLines w:val="0"/>
              <w:pageBreakBefore w:val="0"/>
              <w:wordWrap/>
              <w:topLinePunct w:val="0"/>
              <w:autoSpaceDE w:val="0"/>
              <w:autoSpaceDN w:val="0"/>
              <w:bidi w:val="0"/>
              <w:adjustRightInd w:val="0"/>
              <w:spacing w:line="520" w:lineRule="exact"/>
              <w:ind w:firstLine="240" w:firstLineChars="100"/>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温度补偿精度</w:t>
            </w:r>
          </w:p>
        </w:tc>
        <w:tc>
          <w:tcPr>
            <w:tcW w:w="5317" w:type="dxa"/>
            <w:noWrap w:val="0"/>
            <w:vAlign w:val="center"/>
          </w:tcPr>
          <w:p w14:paraId="3904D709">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≤±0.1 pH</w:t>
            </w:r>
          </w:p>
        </w:tc>
      </w:tr>
      <w:tr w14:paraId="5239D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202" w:type="dxa"/>
            <w:noWrap w:val="0"/>
            <w:vAlign w:val="center"/>
          </w:tcPr>
          <w:p w14:paraId="3B21EB65">
            <w:pPr>
              <w:pStyle w:val="22"/>
              <w:keepNext w:val="0"/>
              <w:keepLines w:val="0"/>
              <w:pageBreakBefore w:val="0"/>
              <w:wordWrap/>
              <w:topLinePunct w:val="0"/>
              <w:autoSpaceDE w:val="0"/>
              <w:autoSpaceDN w:val="0"/>
              <w:bidi w:val="0"/>
              <w:adjustRightInd w:val="0"/>
              <w:spacing w:line="520" w:lineRule="exact"/>
              <w:ind w:firstLine="240" w:firstLineChars="100"/>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MTBF</w:t>
            </w:r>
          </w:p>
        </w:tc>
        <w:tc>
          <w:tcPr>
            <w:tcW w:w="5317" w:type="dxa"/>
            <w:noWrap w:val="0"/>
            <w:vAlign w:val="center"/>
          </w:tcPr>
          <w:p w14:paraId="36640918">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≥720 h/次</w:t>
            </w:r>
          </w:p>
        </w:tc>
      </w:tr>
      <w:tr w14:paraId="226D9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3202" w:type="dxa"/>
            <w:noWrap w:val="0"/>
            <w:vAlign w:val="center"/>
          </w:tcPr>
          <w:p w14:paraId="00A67B81">
            <w:pPr>
              <w:pStyle w:val="22"/>
              <w:keepNext w:val="0"/>
              <w:keepLines w:val="0"/>
              <w:pageBreakBefore w:val="0"/>
              <w:wordWrap/>
              <w:topLinePunct w:val="0"/>
              <w:autoSpaceDE w:val="0"/>
              <w:autoSpaceDN w:val="0"/>
              <w:bidi w:val="0"/>
              <w:adjustRightInd w:val="0"/>
              <w:spacing w:line="520" w:lineRule="exact"/>
              <w:ind w:firstLine="240" w:firstLineChars="100"/>
              <w:jc w:val="lef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实际水样比对试验</w:t>
            </w:r>
          </w:p>
        </w:tc>
        <w:tc>
          <w:tcPr>
            <w:tcW w:w="5317" w:type="dxa"/>
            <w:noWrap w:val="0"/>
            <w:vAlign w:val="center"/>
          </w:tcPr>
          <w:p w14:paraId="78E206ED">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≤±0.1 pH</w:t>
            </w:r>
          </w:p>
        </w:tc>
      </w:tr>
    </w:tbl>
    <w:p w14:paraId="1CDBED82">
      <w:pPr>
        <w:pStyle w:val="22"/>
        <w:keepNext w:val="0"/>
        <w:keepLines w:val="0"/>
        <w:pageBreakBefore w:val="0"/>
        <w:wordWrap/>
        <w:topLinePunct w:val="0"/>
        <w:autoSpaceDE w:val="0"/>
        <w:autoSpaceDN w:val="0"/>
        <w:bidi w:val="0"/>
        <w:adjustRightInd w:val="0"/>
        <w:spacing w:line="520" w:lineRule="exact"/>
        <w:ind w:firstLine="480" w:firstLineChars="200"/>
        <w:rPr>
          <w:rFonts w:hint="eastAsia" w:ascii="宋体" w:hAnsi="宋体" w:eastAsia="宋体" w:cs="Times New Roman"/>
          <w:color w:val="000000"/>
          <w:kern w:val="2"/>
          <w:sz w:val="24"/>
          <w:szCs w:val="24"/>
          <w:lang w:val="en-US" w:eastAsia="zh-CN" w:bidi="ar-SA"/>
        </w:rPr>
      </w:pPr>
    </w:p>
    <w:p w14:paraId="32B26F72">
      <w:pPr>
        <w:pStyle w:val="22"/>
        <w:keepNext w:val="0"/>
        <w:keepLines w:val="0"/>
        <w:pageBreakBefore w:val="0"/>
        <w:wordWrap/>
        <w:topLinePunct w:val="0"/>
        <w:autoSpaceDE w:val="0"/>
        <w:autoSpaceDN w:val="0"/>
        <w:bidi w:val="0"/>
        <w:adjustRightInd w:val="0"/>
        <w:spacing w:line="520" w:lineRule="exact"/>
        <w:ind w:firstLine="480" w:firstLineChars="2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（3）溶解氧水质自动分析仪</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4"/>
        <w:gridCol w:w="4095"/>
      </w:tblGrid>
      <w:tr w14:paraId="74821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4424" w:type="dxa"/>
            <w:noWrap w:val="0"/>
            <w:vAlign w:val="center"/>
          </w:tcPr>
          <w:p w14:paraId="7DFDE73E">
            <w:pPr>
              <w:pStyle w:val="22"/>
              <w:keepNext w:val="0"/>
              <w:keepLines w:val="0"/>
              <w:pageBreakBefore w:val="0"/>
              <w:wordWrap/>
              <w:topLinePunct w:val="0"/>
              <w:autoSpaceDE w:val="0"/>
              <w:autoSpaceDN w:val="0"/>
              <w:bidi w:val="0"/>
              <w:adjustRightInd w:val="0"/>
              <w:spacing w:line="520" w:lineRule="exact"/>
              <w:ind w:firstLine="240" w:firstLineChars="100"/>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项目</w:t>
            </w:r>
          </w:p>
        </w:tc>
        <w:tc>
          <w:tcPr>
            <w:tcW w:w="4095" w:type="dxa"/>
            <w:noWrap w:val="0"/>
            <w:vAlign w:val="center"/>
          </w:tcPr>
          <w:p w14:paraId="59BDABAA">
            <w:pPr>
              <w:pStyle w:val="22"/>
              <w:keepNext w:val="0"/>
              <w:keepLines w:val="0"/>
              <w:pageBreakBefore w:val="0"/>
              <w:wordWrap/>
              <w:topLinePunct w:val="0"/>
              <w:autoSpaceDE w:val="0"/>
              <w:autoSpaceDN w:val="0"/>
              <w:bidi w:val="0"/>
              <w:adjustRightInd w:val="0"/>
              <w:spacing w:line="520" w:lineRule="exact"/>
              <w:ind w:firstLine="240" w:firstLineChars="100"/>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技术指标</w:t>
            </w:r>
          </w:p>
        </w:tc>
      </w:tr>
      <w:tr w14:paraId="72A2F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4424" w:type="dxa"/>
            <w:noWrap w:val="0"/>
            <w:vAlign w:val="center"/>
          </w:tcPr>
          <w:p w14:paraId="514DCA3D">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测定原理</w:t>
            </w:r>
          </w:p>
        </w:tc>
        <w:tc>
          <w:tcPr>
            <w:tcW w:w="4095" w:type="dxa"/>
            <w:noWrap w:val="0"/>
            <w:vAlign w:val="center"/>
          </w:tcPr>
          <w:p w14:paraId="027F8D50">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荧光法或电化学法</w:t>
            </w:r>
          </w:p>
        </w:tc>
      </w:tr>
      <w:tr w14:paraId="1D85B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4424" w:type="dxa"/>
            <w:noWrap w:val="0"/>
            <w:vAlign w:val="center"/>
          </w:tcPr>
          <w:p w14:paraId="50B81BB5">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量程</w:t>
            </w:r>
          </w:p>
        </w:tc>
        <w:tc>
          <w:tcPr>
            <w:tcW w:w="4095" w:type="dxa"/>
            <w:noWrap w:val="0"/>
            <w:vAlign w:val="center"/>
          </w:tcPr>
          <w:p w14:paraId="1811AC3C">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0～20 mg/L，可调</w:t>
            </w:r>
          </w:p>
        </w:tc>
      </w:tr>
      <w:tr w14:paraId="1789D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4424" w:type="dxa"/>
            <w:noWrap w:val="0"/>
            <w:vAlign w:val="center"/>
          </w:tcPr>
          <w:p w14:paraId="0678969F">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重复性</w:t>
            </w:r>
          </w:p>
        </w:tc>
        <w:tc>
          <w:tcPr>
            <w:tcW w:w="4095" w:type="dxa"/>
            <w:noWrap w:val="0"/>
            <w:vAlign w:val="center"/>
          </w:tcPr>
          <w:p w14:paraId="460E918F">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±0.3 mg/L</w:t>
            </w:r>
          </w:p>
        </w:tc>
      </w:tr>
      <w:tr w14:paraId="7C8CC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4424" w:type="dxa"/>
            <w:noWrap w:val="0"/>
            <w:vAlign w:val="center"/>
          </w:tcPr>
          <w:p w14:paraId="64541F5D">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零点漂移</w:t>
            </w:r>
          </w:p>
        </w:tc>
        <w:tc>
          <w:tcPr>
            <w:tcW w:w="4095" w:type="dxa"/>
            <w:noWrap w:val="0"/>
            <w:vAlign w:val="center"/>
          </w:tcPr>
          <w:p w14:paraId="45215E4D">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±0.3 mg/L</w:t>
            </w:r>
          </w:p>
        </w:tc>
      </w:tr>
      <w:tr w14:paraId="48456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4424" w:type="dxa"/>
            <w:noWrap w:val="0"/>
            <w:vAlign w:val="center"/>
          </w:tcPr>
          <w:p w14:paraId="0AB6ADD7">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量程漂移</w:t>
            </w:r>
          </w:p>
        </w:tc>
        <w:tc>
          <w:tcPr>
            <w:tcW w:w="4095" w:type="dxa"/>
            <w:noWrap w:val="0"/>
            <w:vAlign w:val="center"/>
          </w:tcPr>
          <w:p w14:paraId="7097C3B7">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±0.3 mg/L</w:t>
            </w:r>
          </w:p>
        </w:tc>
      </w:tr>
      <w:tr w14:paraId="2697A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4424" w:type="dxa"/>
            <w:noWrap w:val="0"/>
            <w:vAlign w:val="center"/>
          </w:tcPr>
          <w:p w14:paraId="3CDCBC10">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响应时间（T90）</w:t>
            </w:r>
          </w:p>
        </w:tc>
        <w:tc>
          <w:tcPr>
            <w:tcW w:w="4095" w:type="dxa"/>
            <w:noWrap w:val="0"/>
            <w:vAlign w:val="center"/>
          </w:tcPr>
          <w:p w14:paraId="2963B48F">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≤120 s</w:t>
            </w:r>
          </w:p>
        </w:tc>
      </w:tr>
      <w:tr w14:paraId="5A8FD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4424" w:type="dxa"/>
            <w:noWrap w:val="0"/>
            <w:vAlign w:val="center"/>
          </w:tcPr>
          <w:p w14:paraId="2DC958FF">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温度补偿精度</w:t>
            </w:r>
          </w:p>
        </w:tc>
        <w:tc>
          <w:tcPr>
            <w:tcW w:w="4095" w:type="dxa"/>
            <w:noWrap w:val="0"/>
            <w:vAlign w:val="center"/>
          </w:tcPr>
          <w:p w14:paraId="555E4202">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±0.3 mg/L</w:t>
            </w:r>
          </w:p>
        </w:tc>
      </w:tr>
      <w:tr w14:paraId="4AE38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4424" w:type="dxa"/>
            <w:noWrap w:val="0"/>
            <w:vAlign w:val="center"/>
          </w:tcPr>
          <w:p w14:paraId="219D6392">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MTBF</w:t>
            </w:r>
          </w:p>
        </w:tc>
        <w:tc>
          <w:tcPr>
            <w:tcW w:w="4095" w:type="dxa"/>
            <w:noWrap w:val="0"/>
            <w:vAlign w:val="center"/>
          </w:tcPr>
          <w:p w14:paraId="147409A7">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≥720 h/次</w:t>
            </w:r>
          </w:p>
        </w:tc>
      </w:tr>
      <w:tr w14:paraId="4BCD4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4424" w:type="dxa"/>
            <w:noWrap w:val="0"/>
            <w:vAlign w:val="center"/>
          </w:tcPr>
          <w:p w14:paraId="1DC61EDF">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实际水样比对试验</w:t>
            </w:r>
          </w:p>
        </w:tc>
        <w:tc>
          <w:tcPr>
            <w:tcW w:w="4095" w:type="dxa"/>
            <w:noWrap w:val="0"/>
            <w:vAlign w:val="center"/>
          </w:tcPr>
          <w:p w14:paraId="4BE8D2A5">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≤±0.3 mg/L</w:t>
            </w:r>
          </w:p>
        </w:tc>
      </w:tr>
    </w:tbl>
    <w:p w14:paraId="4DA8862B">
      <w:pPr>
        <w:pStyle w:val="22"/>
        <w:keepNext w:val="0"/>
        <w:keepLines w:val="0"/>
        <w:pageBreakBefore w:val="0"/>
        <w:wordWrap/>
        <w:topLinePunct w:val="0"/>
        <w:autoSpaceDE w:val="0"/>
        <w:autoSpaceDN w:val="0"/>
        <w:bidi w:val="0"/>
        <w:adjustRightInd w:val="0"/>
        <w:spacing w:line="520" w:lineRule="exact"/>
        <w:ind w:firstLine="480" w:firstLineChars="2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（4）电导率水质自动分析仪</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10"/>
        <w:gridCol w:w="4110"/>
      </w:tblGrid>
      <w:tr w14:paraId="0D35E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410" w:type="dxa"/>
            <w:noWrap w:val="0"/>
            <w:vAlign w:val="center"/>
          </w:tcPr>
          <w:p w14:paraId="2F6E6CBD">
            <w:pPr>
              <w:pStyle w:val="22"/>
              <w:keepNext w:val="0"/>
              <w:keepLines w:val="0"/>
              <w:pageBreakBefore w:val="0"/>
              <w:wordWrap/>
              <w:topLinePunct w:val="0"/>
              <w:autoSpaceDE w:val="0"/>
              <w:autoSpaceDN w:val="0"/>
              <w:bidi w:val="0"/>
              <w:adjustRightInd w:val="0"/>
              <w:spacing w:line="520" w:lineRule="exact"/>
              <w:ind w:firstLine="240" w:firstLineChars="100"/>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项目</w:t>
            </w:r>
          </w:p>
        </w:tc>
        <w:tc>
          <w:tcPr>
            <w:tcW w:w="4110" w:type="dxa"/>
            <w:noWrap w:val="0"/>
            <w:vAlign w:val="center"/>
          </w:tcPr>
          <w:p w14:paraId="06BE605F">
            <w:pPr>
              <w:pStyle w:val="22"/>
              <w:keepNext w:val="0"/>
              <w:keepLines w:val="0"/>
              <w:pageBreakBefore w:val="0"/>
              <w:wordWrap/>
              <w:topLinePunct w:val="0"/>
              <w:autoSpaceDE w:val="0"/>
              <w:autoSpaceDN w:val="0"/>
              <w:bidi w:val="0"/>
              <w:adjustRightInd w:val="0"/>
              <w:spacing w:line="520" w:lineRule="exact"/>
              <w:ind w:firstLine="240" w:firstLineChars="100"/>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技术指标</w:t>
            </w:r>
          </w:p>
        </w:tc>
      </w:tr>
      <w:tr w14:paraId="603B6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410" w:type="dxa"/>
            <w:noWrap w:val="0"/>
            <w:vAlign w:val="center"/>
          </w:tcPr>
          <w:p w14:paraId="64F20AB3">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测定原理</w:t>
            </w:r>
          </w:p>
        </w:tc>
        <w:tc>
          <w:tcPr>
            <w:tcW w:w="4110" w:type="dxa"/>
            <w:noWrap w:val="0"/>
            <w:vAlign w:val="center"/>
          </w:tcPr>
          <w:p w14:paraId="4AD8F231">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电极法</w:t>
            </w:r>
          </w:p>
        </w:tc>
      </w:tr>
      <w:tr w14:paraId="7C08B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410" w:type="dxa"/>
            <w:noWrap w:val="0"/>
            <w:vAlign w:val="center"/>
          </w:tcPr>
          <w:p w14:paraId="779E0EAE">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最小检测范围</w:t>
            </w:r>
          </w:p>
        </w:tc>
        <w:tc>
          <w:tcPr>
            <w:tcW w:w="4110" w:type="dxa"/>
            <w:noWrap w:val="0"/>
            <w:vAlign w:val="center"/>
          </w:tcPr>
          <w:p w14:paraId="0BFA7221">
            <w:pPr>
              <w:pStyle w:val="22"/>
              <w:keepNext w:val="0"/>
              <w:keepLines w:val="0"/>
              <w:pageBreakBefore w:val="0"/>
              <w:wordWrap/>
              <w:topLinePunct w:val="0"/>
              <w:autoSpaceDE w:val="0"/>
              <w:autoSpaceDN w:val="0"/>
              <w:bidi w:val="0"/>
              <w:adjustRightInd w:val="0"/>
              <w:spacing w:line="520" w:lineRule="exac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0～500 mS/m（0～40℃），可调</w:t>
            </w:r>
          </w:p>
        </w:tc>
      </w:tr>
      <w:tr w14:paraId="46CC2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410" w:type="dxa"/>
            <w:noWrap w:val="0"/>
            <w:vAlign w:val="center"/>
          </w:tcPr>
          <w:p w14:paraId="34B527E8">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重复性误差</w:t>
            </w:r>
          </w:p>
        </w:tc>
        <w:tc>
          <w:tcPr>
            <w:tcW w:w="4110" w:type="dxa"/>
            <w:noWrap w:val="0"/>
            <w:vAlign w:val="center"/>
          </w:tcPr>
          <w:p w14:paraId="0AEA1F14">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w:t>
            </w:r>
          </w:p>
        </w:tc>
      </w:tr>
      <w:tr w14:paraId="477D2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410" w:type="dxa"/>
            <w:noWrap w:val="0"/>
            <w:vAlign w:val="center"/>
          </w:tcPr>
          <w:p w14:paraId="47F737C8">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零点漂移</w:t>
            </w:r>
          </w:p>
        </w:tc>
        <w:tc>
          <w:tcPr>
            <w:tcW w:w="4110" w:type="dxa"/>
            <w:noWrap w:val="0"/>
            <w:vAlign w:val="center"/>
          </w:tcPr>
          <w:p w14:paraId="108F4500">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w:t>
            </w:r>
          </w:p>
        </w:tc>
      </w:tr>
      <w:tr w14:paraId="6AD30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410" w:type="dxa"/>
            <w:noWrap w:val="0"/>
            <w:vAlign w:val="center"/>
          </w:tcPr>
          <w:p w14:paraId="6ABF61D5">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量程漂移</w:t>
            </w:r>
          </w:p>
        </w:tc>
        <w:tc>
          <w:tcPr>
            <w:tcW w:w="4110" w:type="dxa"/>
            <w:noWrap w:val="0"/>
            <w:vAlign w:val="center"/>
          </w:tcPr>
          <w:p w14:paraId="760416B5">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w:t>
            </w:r>
          </w:p>
        </w:tc>
      </w:tr>
      <w:tr w14:paraId="31BFE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410" w:type="dxa"/>
            <w:noWrap w:val="0"/>
            <w:vAlign w:val="center"/>
          </w:tcPr>
          <w:p w14:paraId="20231896">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响应时间（T90）</w:t>
            </w:r>
          </w:p>
        </w:tc>
        <w:tc>
          <w:tcPr>
            <w:tcW w:w="4110" w:type="dxa"/>
            <w:noWrap w:val="0"/>
            <w:vAlign w:val="center"/>
          </w:tcPr>
          <w:p w14:paraId="69C049F0">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≤30s</w:t>
            </w:r>
          </w:p>
        </w:tc>
      </w:tr>
      <w:tr w14:paraId="4EBD3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410" w:type="dxa"/>
            <w:noWrap w:val="0"/>
            <w:vAlign w:val="center"/>
          </w:tcPr>
          <w:p w14:paraId="066FFAC9">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温度补偿精度</w:t>
            </w:r>
          </w:p>
        </w:tc>
        <w:tc>
          <w:tcPr>
            <w:tcW w:w="4110" w:type="dxa"/>
            <w:noWrap w:val="0"/>
            <w:vAlign w:val="center"/>
          </w:tcPr>
          <w:p w14:paraId="6DAF0F09">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w:t>
            </w:r>
          </w:p>
        </w:tc>
      </w:tr>
      <w:tr w14:paraId="10298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410" w:type="dxa"/>
            <w:noWrap w:val="0"/>
            <w:vAlign w:val="center"/>
          </w:tcPr>
          <w:p w14:paraId="42263DB1">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MTBF</w:t>
            </w:r>
          </w:p>
        </w:tc>
        <w:tc>
          <w:tcPr>
            <w:tcW w:w="4110" w:type="dxa"/>
            <w:noWrap w:val="0"/>
            <w:vAlign w:val="center"/>
          </w:tcPr>
          <w:p w14:paraId="7F9D62AC">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≥720h/次</w:t>
            </w:r>
          </w:p>
        </w:tc>
      </w:tr>
      <w:tr w14:paraId="4DB46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410" w:type="dxa"/>
            <w:noWrap w:val="0"/>
            <w:vAlign w:val="center"/>
          </w:tcPr>
          <w:p w14:paraId="368D0A88">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实际水样比对试验</w:t>
            </w:r>
          </w:p>
        </w:tc>
        <w:tc>
          <w:tcPr>
            <w:tcW w:w="4110" w:type="dxa"/>
            <w:noWrap w:val="0"/>
            <w:vAlign w:val="center"/>
          </w:tcPr>
          <w:p w14:paraId="2CE8A77B">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w:t>
            </w:r>
          </w:p>
        </w:tc>
      </w:tr>
    </w:tbl>
    <w:p w14:paraId="4D8F9543">
      <w:pPr>
        <w:pStyle w:val="22"/>
        <w:keepNext w:val="0"/>
        <w:keepLines w:val="0"/>
        <w:pageBreakBefore w:val="0"/>
        <w:wordWrap/>
        <w:topLinePunct w:val="0"/>
        <w:autoSpaceDE w:val="0"/>
        <w:autoSpaceDN w:val="0"/>
        <w:bidi w:val="0"/>
        <w:adjustRightInd w:val="0"/>
        <w:spacing w:line="520" w:lineRule="exact"/>
        <w:ind w:firstLine="480" w:firstLineChars="2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（5）浊度水质自动分析仪</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24"/>
        <w:gridCol w:w="4096"/>
      </w:tblGrid>
      <w:tr w14:paraId="3F607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blHeader/>
          <w:jc w:val="center"/>
        </w:trPr>
        <w:tc>
          <w:tcPr>
            <w:tcW w:w="4424" w:type="dxa"/>
            <w:noWrap w:val="0"/>
            <w:vAlign w:val="center"/>
          </w:tcPr>
          <w:p w14:paraId="5DE664C1">
            <w:pPr>
              <w:pStyle w:val="22"/>
              <w:keepNext w:val="0"/>
              <w:keepLines w:val="0"/>
              <w:pageBreakBefore w:val="0"/>
              <w:wordWrap/>
              <w:topLinePunct w:val="0"/>
              <w:autoSpaceDE w:val="0"/>
              <w:autoSpaceDN w:val="0"/>
              <w:bidi w:val="0"/>
              <w:adjustRightInd w:val="0"/>
              <w:spacing w:line="520" w:lineRule="exact"/>
              <w:ind w:firstLine="240" w:firstLineChars="100"/>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项目</w:t>
            </w:r>
          </w:p>
        </w:tc>
        <w:tc>
          <w:tcPr>
            <w:tcW w:w="4096" w:type="dxa"/>
            <w:noWrap w:val="0"/>
            <w:vAlign w:val="center"/>
          </w:tcPr>
          <w:p w14:paraId="63EDC9D1">
            <w:pPr>
              <w:pStyle w:val="22"/>
              <w:keepNext w:val="0"/>
              <w:keepLines w:val="0"/>
              <w:pageBreakBefore w:val="0"/>
              <w:wordWrap/>
              <w:topLinePunct w:val="0"/>
              <w:autoSpaceDE w:val="0"/>
              <w:autoSpaceDN w:val="0"/>
              <w:bidi w:val="0"/>
              <w:adjustRightInd w:val="0"/>
              <w:spacing w:line="520" w:lineRule="exact"/>
              <w:ind w:firstLine="240" w:firstLineChars="100"/>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技术指标</w:t>
            </w:r>
          </w:p>
        </w:tc>
      </w:tr>
      <w:tr w14:paraId="18DD1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424" w:type="dxa"/>
            <w:noWrap w:val="0"/>
            <w:vAlign w:val="center"/>
          </w:tcPr>
          <w:p w14:paraId="15FAF553">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测定原理</w:t>
            </w:r>
          </w:p>
        </w:tc>
        <w:tc>
          <w:tcPr>
            <w:tcW w:w="4096" w:type="dxa"/>
            <w:noWrap w:val="0"/>
            <w:vAlign w:val="center"/>
          </w:tcPr>
          <w:p w14:paraId="3C8907AA">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光散射法</w:t>
            </w:r>
          </w:p>
        </w:tc>
      </w:tr>
      <w:tr w14:paraId="5B2D7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424" w:type="dxa"/>
            <w:noWrap w:val="0"/>
            <w:vAlign w:val="center"/>
          </w:tcPr>
          <w:p w14:paraId="5BD24180">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量程</w:t>
            </w:r>
          </w:p>
        </w:tc>
        <w:tc>
          <w:tcPr>
            <w:tcW w:w="4096" w:type="dxa"/>
            <w:noWrap w:val="0"/>
            <w:vAlign w:val="center"/>
          </w:tcPr>
          <w:p w14:paraId="16EBB7C4">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0～1000NTU，可调</w:t>
            </w:r>
          </w:p>
        </w:tc>
      </w:tr>
      <w:tr w14:paraId="43A98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424" w:type="dxa"/>
            <w:noWrap w:val="0"/>
            <w:vAlign w:val="center"/>
          </w:tcPr>
          <w:p w14:paraId="3379EF96">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重复性</w:t>
            </w:r>
          </w:p>
        </w:tc>
        <w:tc>
          <w:tcPr>
            <w:tcW w:w="4096" w:type="dxa"/>
            <w:noWrap w:val="0"/>
            <w:vAlign w:val="center"/>
          </w:tcPr>
          <w:p w14:paraId="23FE0AE1">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±5%</w:t>
            </w:r>
          </w:p>
        </w:tc>
      </w:tr>
      <w:tr w14:paraId="46F04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424" w:type="dxa"/>
            <w:noWrap w:val="0"/>
            <w:vAlign w:val="center"/>
          </w:tcPr>
          <w:p w14:paraId="62B3D8FB">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零点漂移</w:t>
            </w:r>
          </w:p>
        </w:tc>
        <w:tc>
          <w:tcPr>
            <w:tcW w:w="4096" w:type="dxa"/>
            <w:noWrap w:val="0"/>
            <w:vAlign w:val="center"/>
          </w:tcPr>
          <w:p w14:paraId="5C7BED87">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w:t>
            </w:r>
          </w:p>
        </w:tc>
      </w:tr>
      <w:tr w14:paraId="5F4D1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424" w:type="dxa"/>
            <w:noWrap w:val="0"/>
            <w:vAlign w:val="center"/>
          </w:tcPr>
          <w:p w14:paraId="5B316389">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量程漂移</w:t>
            </w:r>
          </w:p>
        </w:tc>
        <w:tc>
          <w:tcPr>
            <w:tcW w:w="4096" w:type="dxa"/>
            <w:noWrap w:val="0"/>
            <w:vAlign w:val="center"/>
          </w:tcPr>
          <w:p w14:paraId="73CF2A85">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±5%</w:t>
            </w:r>
          </w:p>
        </w:tc>
      </w:tr>
      <w:tr w14:paraId="0402F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424" w:type="dxa"/>
            <w:noWrap w:val="0"/>
            <w:vAlign w:val="center"/>
          </w:tcPr>
          <w:p w14:paraId="5DC461D7">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线性误差</w:t>
            </w:r>
          </w:p>
        </w:tc>
        <w:tc>
          <w:tcPr>
            <w:tcW w:w="4096" w:type="dxa"/>
            <w:noWrap w:val="0"/>
            <w:vAlign w:val="center"/>
          </w:tcPr>
          <w:p w14:paraId="37E59BB6">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±5%</w:t>
            </w:r>
          </w:p>
        </w:tc>
      </w:tr>
      <w:tr w14:paraId="09D3F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424" w:type="dxa"/>
            <w:noWrap w:val="0"/>
            <w:vAlign w:val="center"/>
          </w:tcPr>
          <w:p w14:paraId="4411B870">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MTBF</w:t>
            </w:r>
          </w:p>
        </w:tc>
        <w:tc>
          <w:tcPr>
            <w:tcW w:w="4096" w:type="dxa"/>
            <w:noWrap w:val="0"/>
            <w:vAlign w:val="center"/>
          </w:tcPr>
          <w:p w14:paraId="1782FC7C">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≥720h/次</w:t>
            </w:r>
          </w:p>
        </w:tc>
      </w:tr>
      <w:tr w14:paraId="6FC7F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424" w:type="dxa"/>
            <w:noWrap w:val="0"/>
            <w:vAlign w:val="center"/>
          </w:tcPr>
          <w:p w14:paraId="7863B229">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实际水样比对试验</w:t>
            </w:r>
          </w:p>
        </w:tc>
        <w:tc>
          <w:tcPr>
            <w:tcW w:w="4096" w:type="dxa"/>
            <w:noWrap w:val="0"/>
            <w:vAlign w:val="center"/>
          </w:tcPr>
          <w:p w14:paraId="05AA5FF9">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±10%</w:t>
            </w:r>
          </w:p>
        </w:tc>
      </w:tr>
    </w:tbl>
    <w:p w14:paraId="6FDF107B">
      <w:pPr>
        <w:pStyle w:val="22"/>
        <w:keepNext w:val="0"/>
        <w:keepLines w:val="0"/>
        <w:pageBreakBefore w:val="0"/>
        <w:wordWrap/>
        <w:topLinePunct w:val="0"/>
        <w:autoSpaceDE w:val="0"/>
        <w:autoSpaceDN w:val="0"/>
        <w:bidi w:val="0"/>
        <w:adjustRightInd w:val="0"/>
        <w:spacing w:line="520" w:lineRule="exact"/>
        <w:ind w:firstLine="480" w:firstLineChars="200"/>
        <w:rPr>
          <w:rFonts w:hint="eastAsia" w:ascii="宋体" w:hAnsi="宋体" w:eastAsia="宋体" w:cs="Times New Roman"/>
          <w:color w:val="000000"/>
          <w:kern w:val="2"/>
          <w:sz w:val="24"/>
          <w:szCs w:val="24"/>
          <w:lang w:val="en-US" w:eastAsia="zh-CN" w:bidi="ar-SA"/>
        </w:rPr>
      </w:pPr>
      <w:bookmarkStart w:id="191" w:name="_Toc505252669"/>
      <w:bookmarkStart w:id="192" w:name="_Toc24"/>
      <w:bookmarkStart w:id="193" w:name="_Toc505184820"/>
    </w:p>
    <w:p w14:paraId="0210667E">
      <w:pPr>
        <w:pStyle w:val="22"/>
        <w:keepNext w:val="0"/>
        <w:keepLines w:val="0"/>
        <w:pageBreakBefore w:val="0"/>
        <w:wordWrap/>
        <w:topLinePunct w:val="0"/>
        <w:autoSpaceDE w:val="0"/>
        <w:autoSpaceDN w:val="0"/>
        <w:bidi w:val="0"/>
        <w:adjustRightInd w:val="0"/>
        <w:spacing w:line="520" w:lineRule="exact"/>
        <w:ind w:firstLine="480" w:firstLineChars="2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（6）氨氮水质自动分析仪</w:t>
      </w:r>
      <w:bookmarkEnd w:id="191"/>
      <w:bookmarkEnd w:id="192"/>
      <w:bookmarkEnd w:id="193"/>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56"/>
        <w:gridCol w:w="2456"/>
        <w:gridCol w:w="2907"/>
      </w:tblGrid>
      <w:tr w14:paraId="2DEE3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blHeader/>
          <w:jc w:val="center"/>
        </w:trPr>
        <w:tc>
          <w:tcPr>
            <w:tcW w:w="3156" w:type="dxa"/>
            <w:tcBorders>
              <w:top w:val="single" w:color="auto" w:sz="4" w:space="0"/>
              <w:left w:val="single" w:color="auto" w:sz="4" w:space="0"/>
              <w:bottom w:val="single" w:color="auto" w:sz="4" w:space="0"/>
              <w:right w:val="single" w:color="auto" w:sz="4" w:space="0"/>
            </w:tcBorders>
            <w:noWrap w:val="0"/>
            <w:vAlign w:val="center"/>
          </w:tcPr>
          <w:p w14:paraId="2DE6B8BA">
            <w:pPr>
              <w:pStyle w:val="22"/>
              <w:keepNext w:val="0"/>
              <w:keepLines w:val="0"/>
              <w:pageBreakBefore w:val="0"/>
              <w:wordWrap/>
              <w:topLinePunct w:val="0"/>
              <w:autoSpaceDE w:val="0"/>
              <w:autoSpaceDN w:val="0"/>
              <w:bidi w:val="0"/>
              <w:adjustRightInd w:val="0"/>
              <w:spacing w:line="520" w:lineRule="exact"/>
              <w:ind w:firstLine="240" w:firstLineChars="100"/>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项目</w:t>
            </w:r>
          </w:p>
        </w:tc>
        <w:tc>
          <w:tcPr>
            <w:tcW w:w="5363" w:type="dxa"/>
            <w:gridSpan w:val="2"/>
            <w:tcBorders>
              <w:top w:val="single" w:color="auto" w:sz="4" w:space="0"/>
              <w:left w:val="single" w:color="auto" w:sz="4" w:space="0"/>
              <w:bottom w:val="single" w:color="auto" w:sz="4" w:space="0"/>
              <w:right w:val="single" w:color="auto" w:sz="4" w:space="0"/>
            </w:tcBorders>
            <w:noWrap w:val="0"/>
            <w:vAlign w:val="center"/>
          </w:tcPr>
          <w:p w14:paraId="41F844AA">
            <w:pPr>
              <w:pStyle w:val="22"/>
              <w:keepNext w:val="0"/>
              <w:keepLines w:val="0"/>
              <w:pageBreakBefore w:val="0"/>
              <w:wordWrap/>
              <w:topLinePunct w:val="0"/>
              <w:autoSpaceDE w:val="0"/>
              <w:autoSpaceDN w:val="0"/>
              <w:bidi w:val="0"/>
              <w:adjustRightInd w:val="0"/>
              <w:spacing w:line="520" w:lineRule="exact"/>
              <w:ind w:firstLine="240" w:firstLineChars="100"/>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技术指标</w:t>
            </w:r>
          </w:p>
        </w:tc>
      </w:tr>
      <w:tr w14:paraId="1A06E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3156" w:type="dxa"/>
            <w:tcBorders>
              <w:top w:val="single" w:color="auto" w:sz="4" w:space="0"/>
              <w:left w:val="single" w:color="auto" w:sz="4" w:space="0"/>
              <w:bottom w:val="single" w:color="auto" w:sz="4" w:space="0"/>
              <w:right w:val="single" w:color="auto" w:sz="4" w:space="0"/>
            </w:tcBorders>
            <w:noWrap w:val="0"/>
            <w:vAlign w:val="center"/>
          </w:tcPr>
          <w:p w14:paraId="0771F7D8">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测定原理</w:t>
            </w:r>
          </w:p>
        </w:tc>
        <w:tc>
          <w:tcPr>
            <w:tcW w:w="5363" w:type="dxa"/>
            <w:gridSpan w:val="2"/>
            <w:tcBorders>
              <w:top w:val="single" w:color="auto" w:sz="4" w:space="0"/>
              <w:left w:val="single" w:color="auto" w:sz="4" w:space="0"/>
              <w:bottom w:val="single" w:color="auto" w:sz="4" w:space="0"/>
              <w:right w:val="single" w:color="auto" w:sz="4" w:space="0"/>
            </w:tcBorders>
            <w:noWrap w:val="0"/>
            <w:vAlign w:val="center"/>
          </w:tcPr>
          <w:p w14:paraId="3EC5F677">
            <w:pPr>
              <w:pStyle w:val="22"/>
              <w:keepNext w:val="0"/>
              <w:keepLines w:val="0"/>
              <w:pageBreakBefore w:val="0"/>
              <w:wordWrap/>
              <w:topLinePunct w:val="0"/>
              <w:autoSpaceDE w:val="0"/>
              <w:autoSpaceDN w:val="0"/>
              <w:bidi w:val="0"/>
              <w:adjustRightInd w:val="0"/>
              <w:spacing w:line="520" w:lineRule="exac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纳氏试剂分光光度法或水杨酸分光光度法</w:t>
            </w:r>
          </w:p>
        </w:tc>
      </w:tr>
      <w:tr w14:paraId="09F7E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3156" w:type="dxa"/>
            <w:tcBorders>
              <w:top w:val="single" w:color="auto" w:sz="4" w:space="0"/>
              <w:left w:val="single" w:color="auto" w:sz="4" w:space="0"/>
              <w:bottom w:val="single" w:color="auto" w:sz="4" w:space="0"/>
              <w:right w:val="single" w:color="auto" w:sz="4" w:space="0"/>
            </w:tcBorders>
            <w:noWrap w:val="0"/>
            <w:vAlign w:val="center"/>
          </w:tcPr>
          <w:p w14:paraId="123B1871">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cs="Times New Roman"/>
                <w:color w:val="000000"/>
                <w:kern w:val="2"/>
                <w:sz w:val="24"/>
                <w:szCs w:val="24"/>
                <w:lang w:val="en-US" w:eastAsia="zh-CN" w:bidi="ar-SA"/>
              </w:rPr>
              <w:t>检出限</w:t>
            </w:r>
          </w:p>
        </w:tc>
        <w:tc>
          <w:tcPr>
            <w:tcW w:w="5363" w:type="dxa"/>
            <w:gridSpan w:val="2"/>
            <w:tcBorders>
              <w:top w:val="single" w:color="auto" w:sz="4" w:space="0"/>
              <w:left w:val="single" w:color="auto" w:sz="4" w:space="0"/>
              <w:bottom w:val="single" w:color="auto" w:sz="4" w:space="0"/>
              <w:right w:val="single" w:color="auto" w:sz="4" w:space="0"/>
            </w:tcBorders>
            <w:noWrap w:val="0"/>
            <w:vAlign w:val="center"/>
          </w:tcPr>
          <w:p w14:paraId="6CC8D586">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≤0.0</w:t>
            </w:r>
            <w:r>
              <w:rPr>
                <w:rFonts w:hint="eastAsia" w:ascii="宋体" w:hAnsi="宋体" w:cs="Times New Roman"/>
                <w:color w:val="000000"/>
                <w:kern w:val="2"/>
                <w:sz w:val="24"/>
                <w:szCs w:val="24"/>
                <w:lang w:val="en-US" w:eastAsia="zh-CN" w:bidi="ar-SA"/>
              </w:rPr>
              <w:t>1</w:t>
            </w:r>
            <w:r>
              <w:rPr>
                <w:rFonts w:hint="eastAsia" w:ascii="宋体" w:hAnsi="宋体" w:eastAsia="宋体" w:cs="Times New Roman"/>
                <w:color w:val="000000"/>
                <w:kern w:val="2"/>
                <w:sz w:val="24"/>
                <w:szCs w:val="24"/>
                <w:lang w:val="en-US" w:eastAsia="zh-CN" w:bidi="ar-SA"/>
              </w:rPr>
              <w:t>mg/L</w:t>
            </w:r>
          </w:p>
        </w:tc>
      </w:tr>
      <w:tr w14:paraId="0380C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3156" w:type="dxa"/>
            <w:vMerge w:val="restart"/>
            <w:tcBorders>
              <w:top w:val="single" w:color="auto" w:sz="4" w:space="0"/>
              <w:left w:val="single" w:color="auto" w:sz="4" w:space="0"/>
              <w:right w:val="single" w:color="auto" w:sz="4" w:space="0"/>
            </w:tcBorders>
            <w:noWrap w:val="0"/>
            <w:vAlign w:val="center"/>
          </w:tcPr>
          <w:p w14:paraId="5AF8F539">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准确度</w:t>
            </w:r>
          </w:p>
        </w:tc>
        <w:tc>
          <w:tcPr>
            <w:tcW w:w="2456" w:type="dxa"/>
            <w:tcBorders>
              <w:top w:val="single" w:color="auto" w:sz="4" w:space="0"/>
              <w:left w:val="single" w:color="auto" w:sz="4" w:space="0"/>
              <w:bottom w:val="single" w:color="auto" w:sz="4" w:space="0"/>
              <w:right w:val="single" w:color="auto" w:sz="4" w:space="0"/>
            </w:tcBorders>
            <w:noWrap w:val="0"/>
            <w:vAlign w:val="center"/>
          </w:tcPr>
          <w:p w14:paraId="797525CD">
            <w:pPr>
              <w:pStyle w:val="22"/>
              <w:keepNext w:val="0"/>
              <w:keepLines w:val="0"/>
              <w:pageBreakBefore w:val="0"/>
              <w:wordWrap/>
              <w:topLinePunct w:val="0"/>
              <w:autoSpaceDE w:val="0"/>
              <w:autoSpaceDN w:val="0"/>
              <w:bidi w:val="0"/>
              <w:adjustRightInd w:val="0"/>
              <w:spacing w:line="520" w:lineRule="exact"/>
              <w:ind w:firstLine="240" w:firstLineChars="100"/>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20%</w:t>
            </w:r>
            <w:r>
              <w:rPr>
                <w:rFonts w:hint="eastAsia" w:ascii="宋体" w:hAnsi="宋体" w:cs="Times New Roman"/>
                <w:color w:val="000000"/>
                <w:kern w:val="2"/>
                <w:sz w:val="24"/>
                <w:szCs w:val="24"/>
                <w:lang w:val="en-US" w:eastAsia="zh-CN" w:bidi="ar-SA"/>
              </w:rPr>
              <w:t>量程标准溶液</w:t>
            </w:r>
          </w:p>
        </w:tc>
        <w:tc>
          <w:tcPr>
            <w:tcW w:w="2907" w:type="dxa"/>
            <w:tcBorders>
              <w:top w:val="single" w:color="auto" w:sz="4" w:space="0"/>
              <w:left w:val="single" w:color="auto" w:sz="4" w:space="0"/>
              <w:bottom w:val="single" w:color="auto" w:sz="4" w:space="0"/>
              <w:right w:val="single" w:color="auto" w:sz="4" w:space="0"/>
            </w:tcBorders>
            <w:noWrap w:val="0"/>
            <w:vAlign w:val="center"/>
          </w:tcPr>
          <w:p w14:paraId="288E8B6E">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5</w:t>
            </w:r>
            <w:r>
              <w:rPr>
                <w:rFonts w:hint="eastAsia" w:ascii="宋体" w:hAnsi="宋体" w:eastAsia="宋体" w:cs="Times New Roman"/>
                <w:color w:val="000000"/>
                <w:kern w:val="2"/>
                <w:sz w:val="24"/>
                <w:szCs w:val="24"/>
                <w:lang w:val="en-US" w:eastAsia="zh-CN" w:bidi="ar-SA"/>
              </w:rPr>
              <w:t>%</w:t>
            </w:r>
          </w:p>
        </w:tc>
      </w:tr>
      <w:tr w14:paraId="2939B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3156" w:type="dxa"/>
            <w:vMerge w:val="continue"/>
            <w:tcBorders>
              <w:left w:val="single" w:color="auto" w:sz="4" w:space="0"/>
              <w:right w:val="single" w:color="auto" w:sz="4" w:space="0"/>
            </w:tcBorders>
            <w:noWrap w:val="0"/>
            <w:vAlign w:val="center"/>
          </w:tcPr>
          <w:p w14:paraId="59EC11EA">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p>
        </w:tc>
        <w:tc>
          <w:tcPr>
            <w:tcW w:w="2456" w:type="dxa"/>
            <w:tcBorders>
              <w:top w:val="single" w:color="auto" w:sz="4" w:space="0"/>
              <w:left w:val="single" w:color="auto" w:sz="4" w:space="0"/>
              <w:bottom w:val="single" w:color="auto" w:sz="4" w:space="0"/>
              <w:right w:val="single" w:color="auto" w:sz="4" w:space="0"/>
            </w:tcBorders>
            <w:noWrap w:val="0"/>
            <w:vAlign w:val="center"/>
          </w:tcPr>
          <w:p w14:paraId="60E8DA2F">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50%</w:t>
            </w:r>
            <w:r>
              <w:rPr>
                <w:rFonts w:hint="eastAsia" w:ascii="宋体" w:hAnsi="宋体" w:cs="Times New Roman"/>
                <w:color w:val="000000"/>
                <w:kern w:val="2"/>
                <w:sz w:val="24"/>
                <w:szCs w:val="24"/>
                <w:lang w:val="en-US" w:eastAsia="zh-CN" w:bidi="ar-SA"/>
              </w:rPr>
              <w:t>量程标准溶液</w:t>
            </w:r>
          </w:p>
        </w:tc>
        <w:tc>
          <w:tcPr>
            <w:tcW w:w="2907" w:type="dxa"/>
            <w:tcBorders>
              <w:top w:val="single" w:color="auto" w:sz="4" w:space="0"/>
              <w:left w:val="single" w:color="auto" w:sz="4" w:space="0"/>
              <w:bottom w:val="single" w:color="auto" w:sz="4" w:space="0"/>
              <w:right w:val="single" w:color="auto" w:sz="4" w:space="0"/>
            </w:tcBorders>
            <w:noWrap w:val="0"/>
            <w:vAlign w:val="center"/>
          </w:tcPr>
          <w:p w14:paraId="0FF31970">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3</w:t>
            </w:r>
            <w:r>
              <w:rPr>
                <w:rFonts w:hint="eastAsia" w:ascii="宋体" w:hAnsi="宋体" w:eastAsia="宋体" w:cs="Times New Roman"/>
                <w:color w:val="000000"/>
                <w:kern w:val="2"/>
                <w:sz w:val="24"/>
                <w:szCs w:val="24"/>
                <w:lang w:val="en-US" w:eastAsia="zh-CN" w:bidi="ar-SA"/>
              </w:rPr>
              <w:t>%</w:t>
            </w:r>
          </w:p>
        </w:tc>
      </w:tr>
      <w:tr w14:paraId="56C13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3156" w:type="dxa"/>
            <w:vMerge w:val="continue"/>
            <w:tcBorders>
              <w:left w:val="single" w:color="auto" w:sz="4" w:space="0"/>
              <w:bottom w:val="single" w:color="auto" w:sz="4" w:space="0"/>
              <w:right w:val="single" w:color="auto" w:sz="4" w:space="0"/>
            </w:tcBorders>
            <w:noWrap w:val="0"/>
            <w:vAlign w:val="center"/>
          </w:tcPr>
          <w:p w14:paraId="19340330">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p>
        </w:tc>
        <w:tc>
          <w:tcPr>
            <w:tcW w:w="2456" w:type="dxa"/>
            <w:tcBorders>
              <w:top w:val="single" w:color="auto" w:sz="4" w:space="0"/>
              <w:left w:val="single" w:color="auto" w:sz="4" w:space="0"/>
              <w:bottom w:val="single" w:color="auto" w:sz="4" w:space="0"/>
              <w:right w:val="single" w:color="auto" w:sz="4" w:space="0"/>
            </w:tcBorders>
            <w:noWrap w:val="0"/>
            <w:vAlign w:val="center"/>
          </w:tcPr>
          <w:p w14:paraId="2DC01CD5">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80%</w:t>
            </w:r>
            <w:r>
              <w:rPr>
                <w:rFonts w:hint="eastAsia" w:ascii="宋体" w:hAnsi="宋体" w:cs="Times New Roman"/>
                <w:color w:val="000000"/>
                <w:kern w:val="2"/>
                <w:sz w:val="24"/>
                <w:szCs w:val="24"/>
                <w:lang w:val="en-US" w:eastAsia="zh-CN" w:bidi="ar-SA"/>
              </w:rPr>
              <w:t>量程标准溶液</w:t>
            </w:r>
          </w:p>
        </w:tc>
        <w:tc>
          <w:tcPr>
            <w:tcW w:w="2907" w:type="dxa"/>
            <w:tcBorders>
              <w:top w:val="single" w:color="auto" w:sz="4" w:space="0"/>
              <w:left w:val="single" w:color="auto" w:sz="4" w:space="0"/>
              <w:bottom w:val="single" w:color="auto" w:sz="4" w:space="0"/>
              <w:right w:val="single" w:color="auto" w:sz="4" w:space="0"/>
            </w:tcBorders>
            <w:noWrap w:val="0"/>
            <w:vAlign w:val="center"/>
          </w:tcPr>
          <w:p w14:paraId="68B5C943">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1</w:t>
            </w:r>
            <w:r>
              <w:rPr>
                <w:rFonts w:hint="eastAsia" w:ascii="宋体" w:hAnsi="宋体" w:eastAsia="宋体" w:cs="Times New Roman"/>
                <w:color w:val="000000"/>
                <w:kern w:val="2"/>
                <w:sz w:val="24"/>
                <w:szCs w:val="24"/>
                <w:lang w:val="en-US" w:eastAsia="zh-CN" w:bidi="ar-SA"/>
              </w:rPr>
              <w:t>%</w:t>
            </w:r>
          </w:p>
        </w:tc>
      </w:tr>
      <w:tr w14:paraId="71F4E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156" w:type="dxa"/>
            <w:tcBorders>
              <w:top w:val="single" w:color="auto" w:sz="4" w:space="0"/>
              <w:left w:val="single" w:color="auto" w:sz="4" w:space="0"/>
              <w:bottom w:val="single" w:color="auto" w:sz="4" w:space="0"/>
              <w:right w:val="single" w:color="auto" w:sz="4" w:space="0"/>
            </w:tcBorders>
            <w:noWrap w:val="0"/>
            <w:vAlign w:val="center"/>
          </w:tcPr>
          <w:p w14:paraId="669C2E05">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▲定量下限</w:t>
            </w:r>
          </w:p>
        </w:tc>
        <w:tc>
          <w:tcPr>
            <w:tcW w:w="5363" w:type="dxa"/>
            <w:gridSpan w:val="2"/>
            <w:tcBorders>
              <w:top w:val="single" w:color="auto" w:sz="4" w:space="0"/>
              <w:left w:val="single" w:color="auto" w:sz="4" w:space="0"/>
              <w:bottom w:val="single" w:color="auto" w:sz="4" w:space="0"/>
              <w:right w:val="single" w:color="auto" w:sz="4" w:space="0"/>
            </w:tcBorders>
            <w:noWrap w:val="0"/>
            <w:vAlign w:val="center"/>
          </w:tcPr>
          <w:p w14:paraId="3383AC46">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≤0.0</w:t>
            </w:r>
            <w:r>
              <w:rPr>
                <w:rFonts w:hint="eastAsia" w:ascii="宋体" w:hAnsi="宋体" w:cs="Times New Roman"/>
                <w:color w:val="000000"/>
                <w:kern w:val="2"/>
                <w:sz w:val="24"/>
                <w:szCs w:val="24"/>
                <w:lang w:val="en-US" w:eastAsia="zh-CN" w:bidi="ar-SA"/>
              </w:rPr>
              <w:t>6</w:t>
            </w:r>
            <w:r>
              <w:rPr>
                <w:rFonts w:hint="eastAsia" w:ascii="宋体" w:hAnsi="宋体" w:eastAsia="宋体" w:cs="Times New Roman"/>
                <w:color w:val="000000"/>
                <w:kern w:val="2"/>
                <w:sz w:val="24"/>
                <w:szCs w:val="24"/>
                <w:lang w:val="en-US" w:eastAsia="zh-CN" w:bidi="ar-SA"/>
              </w:rPr>
              <w:t>mg/L</w:t>
            </w:r>
          </w:p>
        </w:tc>
      </w:tr>
      <w:tr w14:paraId="093C3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56" w:type="dxa"/>
            <w:tcBorders>
              <w:top w:val="single" w:color="auto" w:sz="4" w:space="0"/>
              <w:left w:val="single" w:color="auto" w:sz="4" w:space="0"/>
              <w:bottom w:val="single" w:color="auto" w:sz="4" w:space="0"/>
              <w:right w:val="single" w:color="auto" w:sz="4" w:space="0"/>
            </w:tcBorders>
            <w:noWrap w:val="0"/>
            <w:vAlign w:val="center"/>
          </w:tcPr>
          <w:p w14:paraId="58C92380">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▲重复性</w:t>
            </w:r>
          </w:p>
        </w:tc>
        <w:tc>
          <w:tcPr>
            <w:tcW w:w="5363" w:type="dxa"/>
            <w:gridSpan w:val="2"/>
            <w:tcBorders>
              <w:top w:val="single" w:color="auto" w:sz="4" w:space="0"/>
              <w:left w:val="single" w:color="auto" w:sz="4" w:space="0"/>
              <w:bottom w:val="single" w:color="auto" w:sz="4" w:space="0"/>
              <w:right w:val="single" w:color="auto" w:sz="4" w:space="0"/>
            </w:tcBorders>
            <w:noWrap w:val="0"/>
            <w:vAlign w:val="center"/>
          </w:tcPr>
          <w:p w14:paraId="15BD61EE">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0.5</w:t>
            </w:r>
            <w:r>
              <w:rPr>
                <w:rFonts w:hint="eastAsia" w:ascii="宋体" w:hAnsi="宋体" w:eastAsia="宋体" w:cs="Times New Roman"/>
                <w:color w:val="000000"/>
                <w:kern w:val="2"/>
                <w:sz w:val="24"/>
                <w:szCs w:val="24"/>
                <w:lang w:val="en-US" w:eastAsia="zh-CN" w:bidi="ar-SA"/>
              </w:rPr>
              <w:t>%</w:t>
            </w:r>
          </w:p>
        </w:tc>
      </w:tr>
      <w:tr w14:paraId="3BD44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3156" w:type="dxa"/>
            <w:tcBorders>
              <w:top w:val="single" w:color="auto" w:sz="4" w:space="0"/>
              <w:left w:val="single" w:color="auto" w:sz="4" w:space="0"/>
              <w:bottom w:val="single" w:color="auto" w:sz="4" w:space="0"/>
              <w:right w:val="single" w:color="auto" w:sz="4" w:space="0"/>
            </w:tcBorders>
            <w:noWrap w:val="0"/>
            <w:vAlign w:val="center"/>
          </w:tcPr>
          <w:p w14:paraId="34E63793">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▲24h低浓度漂移</w:t>
            </w:r>
          </w:p>
        </w:tc>
        <w:tc>
          <w:tcPr>
            <w:tcW w:w="5363" w:type="dxa"/>
            <w:gridSpan w:val="2"/>
            <w:tcBorders>
              <w:top w:val="single" w:color="auto" w:sz="4" w:space="0"/>
              <w:left w:val="single" w:color="auto" w:sz="4" w:space="0"/>
              <w:bottom w:val="single" w:color="auto" w:sz="4" w:space="0"/>
              <w:right w:val="single" w:color="auto" w:sz="4" w:space="0"/>
            </w:tcBorders>
            <w:noWrap w:val="0"/>
            <w:vAlign w:val="center"/>
          </w:tcPr>
          <w:p w14:paraId="6978A4F6">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≤0.0</w:t>
            </w:r>
            <w:r>
              <w:rPr>
                <w:rFonts w:hint="eastAsia" w:ascii="宋体" w:hAnsi="宋体" w:cs="Times New Roman"/>
                <w:color w:val="000000"/>
                <w:kern w:val="2"/>
                <w:sz w:val="24"/>
                <w:szCs w:val="24"/>
                <w:lang w:val="en-US" w:eastAsia="zh-CN" w:bidi="ar-SA"/>
              </w:rPr>
              <w:t>1</w:t>
            </w:r>
            <w:r>
              <w:rPr>
                <w:rFonts w:hint="eastAsia" w:ascii="宋体" w:hAnsi="宋体" w:eastAsia="宋体" w:cs="Times New Roman"/>
                <w:color w:val="000000"/>
                <w:kern w:val="2"/>
                <w:sz w:val="24"/>
                <w:szCs w:val="24"/>
                <w:lang w:val="en-US" w:eastAsia="zh-CN" w:bidi="ar-SA"/>
              </w:rPr>
              <w:t>mg/L</w:t>
            </w:r>
          </w:p>
        </w:tc>
      </w:tr>
      <w:tr w14:paraId="12A2B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3156" w:type="dxa"/>
            <w:tcBorders>
              <w:top w:val="single" w:color="auto" w:sz="4" w:space="0"/>
              <w:left w:val="single" w:color="auto" w:sz="4" w:space="0"/>
              <w:bottom w:val="single" w:color="auto" w:sz="4" w:space="0"/>
              <w:right w:val="single" w:color="auto" w:sz="4" w:space="0"/>
            </w:tcBorders>
            <w:noWrap w:val="0"/>
            <w:vAlign w:val="center"/>
          </w:tcPr>
          <w:p w14:paraId="64CFC5C9">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▲24h高浓度漂移</w:t>
            </w:r>
          </w:p>
        </w:tc>
        <w:tc>
          <w:tcPr>
            <w:tcW w:w="5363" w:type="dxa"/>
            <w:gridSpan w:val="2"/>
            <w:tcBorders>
              <w:top w:val="single" w:color="auto" w:sz="4" w:space="0"/>
              <w:left w:val="single" w:color="auto" w:sz="4" w:space="0"/>
              <w:bottom w:val="single" w:color="auto" w:sz="4" w:space="0"/>
              <w:right w:val="single" w:color="auto" w:sz="4" w:space="0"/>
            </w:tcBorders>
            <w:noWrap w:val="0"/>
            <w:vAlign w:val="center"/>
          </w:tcPr>
          <w:p w14:paraId="14373E05">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0.5</w:t>
            </w:r>
            <w:r>
              <w:rPr>
                <w:rFonts w:hint="eastAsia" w:ascii="宋体" w:hAnsi="宋体" w:eastAsia="宋体" w:cs="Times New Roman"/>
                <w:color w:val="000000"/>
                <w:kern w:val="2"/>
                <w:sz w:val="24"/>
                <w:szCs w:val="24"/>
                <w:lang w:val="en-US" w:eastAsia="zh-CN" w:bidi="ar-SA"/>
              </w:rPr>
              <w:t>%</w:t>
            </w:r>
          </w:p>
        </w:tc>
      </w:tr>
      <w:tr w14:paraId="30526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3156" w:type="dxa"/>
            <w:tcBorders>
              <w:top w:val="single" w:color="auto" w:sz="4" w:space="0"/>
              <w:left w:val="single" w:color="auto" w:sz="4" w:space="0"/>
              <w:bottom w:val="single" w:color="auto" w:sz="4" w:space="0"/>
              <w:right w:val="single" w:color="auto" w:sz="4" w:space="0"/>
            </w:tcBorders>
            <w:noWrap w:val="0"/>
            <w:vAlign w:val="center"/>
          </w:tcPr>
          <w:p w14:paraId="5887F076">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pH影响试验</w:t>
            </w:r>
          </w:p>
        </w:tc>
        <w:tc>
          <w:tcPr>
            <w:tcW w:w="5363" w:type="dxa"/>
            <w:gridSpan w:val="2"/>
            <w:tcBorders>
              <w:top w:val="single" w:color="auto" w:sz="4" w:space="0"/>
              <w:left w:val="single" w:color="auto" w:sz="4" w:space="0"/>
              <w:bottom w:val="single" w:color="auto" w:sz="4" w:space="0"/>
              <w:right w:val="single" w:color="auto" w:sz="4" w:space="0"/>
            </w:tcBorders>
            <w:noWrap w:val="0"/>
            <w:vAlign w:val="center"/>
          </w:tcPr>
          <w:p w14:paraId="761A09EF">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±6%</w:t>
            </w:r>
          </w:p>
        </w:tc>
      </w:tr>
      <w:tr w14:paraId="188E7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3156" w:type="dxa"/>
            <w:tcBorders>
              <w:top w:val="single" w:color="auto" w:sz="4" w:space="0"/>
              <w:left w:val="single" w:color="auto" w:sz="4" w:space="0"/>
              <w:bottom w:val="single" w:color="auto" w:sz="4" w:space="0"/>
              <w:right w:val="single" w:color="auto" w:sz="4" w:space="0"/>
            </w:tcBorders>
            <w:noWrap w:val="0"/>
            <w:vAlign w:val="center"/>
          </w:tcPr>
          <w:p w14:paraId="544C1B5A">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环境温度影响试验</w:t>
            </w:r>
          </w:p>
        </w:tc>
        <w:tc>
          <w:tcPr>
            <w:tcW w:w="5363" w:type="dxa"/>
            <w:gridSpan w:val="2"/>
            <w:tcBorders>
              <w:top w:val="single" w:color="auto" w:sz="4" w:space="0"/>
              <w:left w:val="single" w:color="auto" w:sz="4" w:space="0"/>
              <w:bottom w:val="single" w:color="auto" w:sz="4" w:space="0"/>
              <w:right w:val="single" w:color="auto" w:sz="4" w:space="0"/>
            </w:tcBorders>
            <w:noWrap w:val="0"/>
            <w:vAlign w:val="center"/>
          </w:tcPr>
          <w:p w14:paraId="1D096BC3">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±5%</w:t>
            </w:r>
          </w:p>
        </w:tc>
      </w:tr>
      <w:tr w14:paraId="57392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3156" w:type="dxa"/>
            <w:tcBorders>
              <w:top w:val="single" w:color="auto" w:sz="4" w:space="0"/>
              <w:left w:val="single" w:color="auto" w:sz="4" w:space="0"/>
              <w:bottom w:val="single" w:color="auto" w:sz="4" w:space="0"/>
              <w:right w:val="single" w:color="auto" w:sz="4" w:space="0"/>
            </w:tcBorders>
            <w:noWrap w:val="0"/>
            <w:vAlign w:val="center"/>
          </w:tcPr>
          <w:p w14:paraId="68CD9375">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MTBF</w:t>
            </w:r>
          </w:p>
        </w:tc>
        <w:tc>
          <w:tcPr>
            <w:tcW w:w="5363" w:type="dxa"/>
            <w:gridSpan w:val="2"/>
            <w:tcBorders>
              <w:top w:val="single" w:color="auto" w:sz="4" w:space="0"/>
              <w:left w:val="single" w:color="auto" w:sz="4" w:space="0"/>
              <w:bottom w:val="single" w:color="auto" w:sz="4" w:space="0"/>
              <w:right w:val="single" w:color="auto" w:sz="4" w:space="0"/>
            </w:tcBorders>
            <w:noWrap w:val="0"/>
            <w:vAlign w:val="center"/>
          </w:tcPr>
          <w:p w14:paraId="016ED726">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1440</w:t>
            </w:r>
            <w:r>
              <w:rPr>
                <w:rFonts w:hint="eastAsia" w:ascii="宋体" w:hAnsi="宋体" w:eastAsia="宋体" w:cs="Times New Roman"/>
                <w:color w:val="000000"/>
                <w:kern w:val="2"/>
                <w:sz w:val="24"/>
                <w:szCs w:val="24"/>
                <w:lang w:val="en-US" w:eastAsia="zh-CN" w:bidi="ar-SA"/>
              </w:rPr>
              <w:t>h/次</w:t>
            </w:r>
          </w:p>
        </w:tc>
      </w:tr>
      <w:tr w14:paraId="54CE6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3156" w:type="dxa"/>
            <w:vMerge w:val="restart"/>
            <w:tcBorders>
              <w:top w:val="single" w:color="auto" w:sz="4" w:space="0"/>
              <w:left w:val="single" w:color="auto" w:sz="4" w:space="0"/>
              <w:right w:val="single" w:color="auto" w:sz="4" w:space="0"/>
            </w:tcBorders>
            <w:noWrap w:val="0"/>
            <w:vAlign w:val="center"/>
          </w:tcPr>
          <w:p w14:paraId="26DA86C8">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bookmarkStart w:id="194" w:name="_Toc505184821"/>
            <w:bookmarkStart w:id="195" w:name="_Toc26580"/>
            <w:bookmarkStart w:id="196" w:name="_Toc505252670"/>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实际水样比对试验</w:t>
            </w:r>
          </w:p>
        </w:tc>
        <w:tc>
          <w:tcPr>
            <w:tcW w:w="5363" w:type="dxa"/>
            <w:gridSpan w:val="2"/>
            <w:tcBorders>
              <w:top w:val="single" w:color="auto" w:sz="4" w:space="0"/>
              <w:left w:val="single" w:color="auto" w:sz="4" w:space="0"/>
              <w:bottom w:val="single" w:color="auto" w:sz="4" w:space="0"/>
              <w:right w:val="single" w:color="auto" w:sz="4" w:space="0"/>
            </w:tcBorders>
            <w:noWrap w:val="0"/>
            <w:vAlign w:val="center"/>
          </w:tcPr>
          <w:p w14:paraId="65F87150">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氨氮＜2 mg/L    ±0.</w:t>
            </w:r>
            <w:r>
              <w:rPr>
                <w:rFonts w:hint="eastAsia" w:ascii="宋体" w:hAnsi="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en-US" w:eastAsia="zh-CN" w:bidi="ar-SA"/>
              </w:rPr>
              <w:t xml:space="preserve">mg/L </w:t>
            </w:r>
          </w:p>
        </w:tc>
      </w:tr>
      <w:tr w14:paraId="4F1ED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3156" w:type="dxa"/>
            <w:vMerge w:val="continue"/>
            <w:tcBorders>
              <w:left w:val="single" w:color="auto" w:sz="4" w:space="0"/>
              <w:right w:val="single" w:color="auto" w:sz="4" w:space="0"/>
            </w:tcBorders>
            <w:noWrap w:val="0"/>
            <w:vAlign w:val="center"/>
          </w:tcPr>
          <w:p w14:paraId="5FE42DC7">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p>
        </w:tc>
        <w:tc>
          <w:tcPr>
            <w:tcW w:w="5363" w:type="dxa"/>
            <w:gridSpan w:val="2"/>
            <w:tcBorders>
              <w:top w:val="single" w:color="auto" w:sz="4" w:space="0"/>
              <w:left w:val="single" w:color="auto" w:sz="4" w:space="0"/>
              <w:bottom w:val="single" w:color="auto" w:sz="4" w:space="0"/>
              <w:right w:val="single" w:color="auto" w:sz="4" w:space="0"/>
            </w:tcBorders>
            <w:noWrap w:val="0"/>
            <w:vAlign w:val="center"/>
          </w:tcPr>
          <w:p w14:paraId="2AAB3157">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氨氮≥2 mg/L    ±1</w:t>
            </w:r>
            <w:r>
              <w:rPr>
                <w:rFonts w:hint="eastAsia" w:ascii="宋体" w:hAnsi="宋体" w:cs="Times New Roman"/>
                <w:color w:val="000000"/>
                <w:kern w:val="2"/>
                <w:sz w:val="24"/>
                <w:szCs w:val="24"/>
                <w:lang w:val="en-US" w:eastAsia="zh-CN" w:bidi="ar-SA"/>
              </w:rPr>
              <w:t>0</w:t>
            </w:r>
            <w:r>
              <w:rPr>
                <w:rFonts w:hint="eastAsia" w:ascii="宋体" w:hAnsi="宋体" w:eastAsia="宋体" w:cs="Times New Roman"/>
                <w:color w:val="000000"/>
                <w:kern w:val="2"/>
                <w:sz w:val="24"/>
                <w:szCs w:val="24"/>
                <w:lang w:val="en-US" w:eastAsia="zh-CN" w:bidi="ar-SA"/>
              </w:rPr>
              <w:t>%</w:t>
            </w:r>
          </w:p>
        </w:tc>
      </w:tr>
    </w:tbl>
    <w:p w14:paraId="288300A8">
      <w:pPr>
        <w:pStyle w:val="22"/>
        <w:keepNext w:val="0"/>
        <w:keepLines w:val="0"/>
        <w:pageBreakBefore w:val="0"/>
        <w:wordWrap/>
        <w:topLinePunct w:val="0"/>
        <w:autoSpaceDE w:val="0"/>
        <w:autoSpaceDN w:val="0"/>
        <w:bidi w:val="0"/>
        <w:adjustRightInd w:val="0"/>
        <w:spacing w:line="520" w:lineRule="exact"/>
        <w:ind w:firstLine="480" w:firstLineChars="200"/>
        <w:rPr>
          <w:rFonts w:hint="eastAsia" w:ascii="宋体" w:hAnsi="宋体" w:eastAsia="宋体" w:cs="Times New Roman"/>
          <w:color w:val="000000"/>
          <w:kern w:val="2"/>
          <w:sz w:val="24"/>
          <w:szCs w:val="24"/>
          <w:lang w:val="en-US" w:eastAsia="zh-CN" w:bidi="ar-SA"/>
        </w:rPr>
      </w:pPr>
    </w:p>
    <w:p w14:paraId="458F1101">
      <w:pPr>
        <w:pStyle w:val="22"/>
        <w:keepNext w:val="0"/>
        <w:keepLines w:val="0"/>
        <w:pageBreakBefore w:val="0"/>
        <w:wordWrap/>
        <w:topLinePunct w:val="0"/>
        <w:autoSpaceDE w:val="0"/>
        <w:autoSpaceDN w:val="0"/>
        <w:bidi w:val="0"/>
        <w:adjustRightInd w:val="0"/>
        <w:spacing w:line="520" w:lineRule="exact"/>
        <w:ind w:firstLine="480" w:firstLineChars="2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（7）高锰酸盐指数水质自动分析仪</w:t>
      </w:r>
      <w:bookmarkEnd w:id="194"/>
      <w:bookmarkEnd w:id="195"/>
      <w:bookmarkEnd w:id="196"/>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6"/>
        <w:gridCol w:w="5373"/>
      </w:tblGrid>
      <w:tr w14:paraId="4365F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3146" w:type="dxa"/>
            <w:tcBorders>
              <w:top w:val="single" w:color="auto" w:sz="4" w:space="0"/>
              <w:left w:val="single" w:color="auto" w:sz="4" w:space="0"/>
              <w:bottom w:val="single" w:color="auto" w:sz="4" w:space="0"/>
              <w:right w:val="single" w:color="auto" w:sz="4" w:space="0"/>
            </w:tcBorders>
            <w:noWrap w:val="0"/>
            <w:vAlign w:val="center"/>
          </w:tcPr>
          <w:p w14:paraId="146F5BA2">
            <w:pPr>
              <w:pStyle w:val="22"/>
              <w:keepNext w:val="0"/>
              <w:keepLines w:val="0"/>
              <w:pageBreakBefore w:val="0"/>
              <w:wordWrap/>
              <w:topLinePunct w:val="0"/>
              <w:autoSpaceDE w:val="0"/>
              <w:autoSpaceDN w:val="0"/>
              <w:bidi w:val="0"/>
              <w:adjustRightInd w:val="0"/>
              <w:spacing w:line="520" w:lineRule="exact"/>
              <w:ind w:firstLine="240" w:firstLineChars="100"/>
              <w:jc w:val="center"/>
              <w:rPr>
                <w:rFonts w:hint="eastAsia" w:ascii="宋体" w:hAnsi="宋体" w:eastAsia="宋体" w:cs="Times New Roman"/>
                <w:color w:val="000000"/>
                <w:kern w:val="2"/>
                <w:sz w:val="24"/>
                <w:szCs w:val="24"/>
                <w:lang w:val="en-US" w:eastAsia="zh-CN" w:bidi="ar-SA"/>
              </w:rPr>
            </w:pPr>
            <w:bookmarkStart w:id="197" w:name="_Toc505184822"/>
            <w:bookmarkStart w:id="198" w:name="_Toc505252671"/>
            <w:r>
              <w:rPr>
                <w:rFonts w:hint="eastAsia" w:ascii="宋体" w:hAnsi="宋体" w:eastAsia="宋体" w:cs="Times New Roman"/>
                <w:color w:val="000000"/>
                <w:kern w:val="2"/>
                <w:sz w:val="24"/>
                <w:szCs w:val="24"/>
                <w:lang w:val="en-US" w:eastAsia="zh-CN" w:bidi="ar-SA"/>
              </w:rPr>
              <w:t>项目</w:t>
            </w:r>
          </w:p>
        </w:tc>
        <w:tc>
          <w:tcPr>
            <w:tcW w:w="5373" w:type="dxa"/>
            <w:tcBorders>
              <w:top w:val="single" w:color="auto" w:sz="4" w:space="0"/>
              <w:left w:val="single" w:color="auto" w:sz="4" w:space="0"/>
              <w:bottom w:val="single" w:color="auto" w:sz="4" w:space="0"/>
              <w:right w:val="single" w:color="auto" w:sz="4" w:space="0"/>
            </w:tcBorders>
            <w:noWrap w:val="0"/>
            <w:vAlign w:val="center"/>
          </w:tcPr>
          <w:p w14:paraId="125170F0">
            <w:pPr>
              <w:pStyle w:val="22"/>
              <w:keepNext w:val="0"/>
              <w:keepLines w:val="0"/>
              <w:pageBreakBefore w:val="0"/>
              <w:wordWrap/>
              <w:topLinePunct w:val="0"/>
              <w:autoSpaceDE w:val="0"/>
              <w:autoSpaceDN w:val="0"/>
              <w:bidi w:val="0"/>
              <w:adjustRightInd w:val="0"/>
              <w:spacing w:line="520" w:lineRule="exact"/>
              <w:ind w:firstLine="240" w:firstLineChars="100"/>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技术指标</w:t>
            </w:r>
          </w:p>
        </w:tc>
      </w:tr>
      <w:tr w14:paraId="51AB8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6" w:type="dxa"/>
            <w:tcBorders>
              <w:top w:val="single" w:color="auto" w:sz="4" w:space="0"/>
              <w:left w:val="single" w:color="auto" w:sz="4" w:space="0"/>
              <w:bottom w:val="single" w:color="auto" w:sz="4" w:space="0"/>
              <w:right w:val="single" w:color="auto" w:sz="4" w:space="0"/>
            </w:tcBorders>
            <w:noWrap w:val="0"/>
            <w:vAlign w:val="center"/>
          </w:tcPr>
          <w:p w14:paraId="3D50EACE">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测定原理</w:t>
            </w:r>
          </w:p>
        </w:tc>
        <w:tc>
          <w:tcPr>
            <w:tcW w:w="5373" w:type="dxa"/>
            <w:tcBorders>
              <w:top w:val="single" w:color="auto" w:sz="4" w:space="0"/>
              <w:left w:val="single" w:color="auto" w:sz="4" w:space="0"/>
              <w:bottom w:val="single" w:color="auto" w:sz="4" w:space="0"/>
              <w:right w:val="single" w:color="auto" w:sz="4" w:space="0"/>
            </w:tcBorders>
            <w:noWrap w:val="0"/>
            <w:vAlign w:val="center"/>
          </w:tcPr>
          <w:p w14:paraId="5D63382A">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高锰酸钾氧化法</w:t>
            </w:r>
          </w:p>
        </w:tc>
      </w:tr>
      <w:tr w14:paraId="788AF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6" w:type="dxa"/>
            <w:tcBorders>
              <w:top w:val="single" w:color="auto" w:sz="4" w:space="0"/>
              <w:left w:val="single" w:color="auto" w:sz="4" w:space="0"/>
              <w:bottom w:val="single" w:color="auto" w:sz="4" w:space="0"/>
              <w:right w:val="single" w:color="auto" w:sz="4" w:space="0"/>
            </w:tcBorders>
            <w:noWrap w:val="0"/>
            <w:vAlign w:val="center"/>
          </w:tcPr>
          <w:p w14:paraId="5072FFBF">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cs="Times New Roman"/>
                <w:color w:val="000000"/>
                <w:kern w:val="2"/>
                <w:sz w:val="24"/>
                <w:szCs w:val="24"/>
                <w:lang w:val="en-US" w:eastAsia="zh-CN" w:bidi="ar-SA"/>
              </w:rPr>
              <w:t>检出限</w:t>
            </w:r>
          </w:p>
        </w:tc>
        <w:tc>
          <w:tcPr>
            <w:tcW w:w="5373" w:type="dxa"/>
            <w:tcBorders>
              <w:top w:val="single" w:color="auto" w:sz="4" w:space="0"/>
              <w:left w:val="single" w:color="auto" w:sz="4" w:space="0"/>
              <w:bottom w:val="single" w:color="auto" w:sz="4" w:space="0"/>
              <w:right w:val="single" w:color="auto" w:sz="4" w:space="0"/>
            </w:tcBorders>
            <w:noWrap w:val="0"/>
            <w:vAlign w:val="center"/>
          </w:tcPr>
          <w:p w14:paraId="4E42417C">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≤0.</w:t>
            </w:r>
            <w:r>
              <w:rPr>
                <w:rFonts w:hint="eastAsia" w:ascii="宋体" w:hAnsi="宋体" w:cs="Times New Roman"/>
                <w:color w:val="000000"/>
                <w:kern w:val="2"/>
                <w:sz w:val="24"/>
                <w:szCs w:val="24"/>
                <w:lang w:val="en-US" w:eastAsia="zh-CN" w:bidi="ar-SA"/>
              </w:rPr>
              <w:t>3</w:t>
            </w:r>
            <w:r>
              <w:rPr>
                <w:rFonts w:hint="eastAsia" w:ascii="宋体" w:hAnsi="宋体" w:eastAsia="宋体" w:cs="Times New Roman"/>
                <w:color w:val="000000"/>
                <w:kern w:val="2"/>
                <w:sz w:val="24"/>
                <w:szCs w:val="24"/>
                <w:lang w:val="en-US" w:eastAsia="zh-CN" w:bidi="ar-SA"/>
              </w:rPr>
              <w:t>mg/L</w:t>
            </w:r>
          </w:p>
        </w:tc>
      </w:tr>
      <w:tr w14:paraId="43AE8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6" w:type="dxa"/>
            <w:tcBorders>
              <w:top w:val="single" w:color="auto" w:sz="4" w:space="0"/>
              <w:left w:val="single" w:color="auto" w:sz="4" w:space="0"/>
              <w:bottom w:val="single" w:color="auto" w:sz="4" w:space="0"/>
              <w:right w:val="single" w:color="auto" w:sz="4" w:space="0"/>
            </w:tcBorders>
            <w:noWrap w:val="0"/>
            <w:vAlign w:val="center"/>
          </w:tcPr>
          <w:p w14:paraId="5A3E195C">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▲重复性</w:t>
            </w:r>
          </w:p>
        </w:tc>
        <w:tc>
          <w:tcPr>
            <w:tcW w:w="5373" w:type="dxa"/>
            <w:tcBorders>
              <w:top w:val="single" w:color="auto" w:sz="4" w:space="0"/>
              <w:left w:val="single" w:color="auto" w:sz="4" w:space="0"/>
              <w:bottom w:val="single" w:color="auto" w:sz="4" w:space="0"/>
              <w:right w:val="single" w:color="auto" w:sz="4" w:space="0"/>
            </w:tcBorders>
            <w:noWrap w:val="0"/>
            <w:vAlign w:val="center"/>
          </w:tcPr>
          <w:p w14:paraId="313E6CBD">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1</w:t>
            </w:r>
            <w:r>
              <w:rPr>
                <w:rFonts w:hint="eastAsia" w:ascii="宋体" w:hAnsi="宋体" w:eastAsia="宋体" w:cs="Times New Roman"/>
                <w:color w:val="000000"/>
                <w:kern w:val="2"/>
                <w:sz w:val="24"/>
                <w:szCs w:val="24"/>
                <w:lang w:val="en-US" w:eastAsia="zh-CN" w:bidi="ar-SA"/>
              </w:rPr>
              <w:t>%</w:t>
            </w:r>
          </w:p>
        </w:tc>
      </w:tr>
      <w:tr w14:paraId="08AF6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6" w:type="dxa"/>
            <w:tcBorders>
              <w:top w:val="single" w:color="auto" w:sz="4" w:space="0"/>
              <w:left w:val="single" w:color="auto" w:sz="4" w:space="0"/>
              <w:bottom w:val="single" w:color="auto" w:sz="4" w:space="0"/>
              <w:right w:val="single" w:color="auto" w:sz="4" w:space="0"/>
            </w:tcBorders>
            <w:noWrap w:val="0"/>
            <w:vAlign w:val="center"/>
          </w:tcPr>
          <w:p w14:paraId="58D6EBDF">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▲零点漂移</w:t>
            </w:r>
          </w:p>
        </w:tc>
        <w:tc>
          <w:tcPr>
            <w:tcW w:w="5373" w:type="dxa"/>
            <w:tcBorders>
              <w:top w:val="single" w:color="auto" w:sz="4" w:space="0"/>
              <w:left w:val="single" w:color="auto" w:sz="4" w:space="0"/>
              <w:bottom w:val="single" w:color="auto" w:sz="4" w:space="0"/>
              <w:right w:val="single" w:color="auto" w:sz="4" w:space="0"/>
            </w:tcBorders>
            <w:noWrap w:val="0"/>
            <w:vAlign w:val="center"/>
          </w:tcPr>
          <w:p w14:paraId="402B7430">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1</w:t>
            </w:r>
            <w:r>
              <w:rPr>
                <w:rFonts w:hint="eastAsia" w:ascii="宋体" w:hAnsi="宋体" w:eastAsia="宋体" w:cs="Times New Roman"/>
                <w:color w:val="000000"/>
                <w:kern w:val="2"/>
                <w:sz w:val="24"/>
                <w:szCs w:val="24"/>
                <w:lang w:val="en-US" w:eastAsia="zh-CN" w:bidi="ar-SA"/>
              </w:rPr>
              <w:t>%</w:t>
            </w:r>
          </w:p>
        </w:tc>
      </w:tr>
      <w:tr w14:paraId="1EBD2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6" w:type="dxa"/>
            <w:tcBorders>
              <w:top w:val="single" w:color="auto" w:sz="4" w:space="0"/>
              <w:left w:val="single" w:color="auto" w:sz="4" w:space="0"/>
              <w:bottom w:val="single" w:color="auto" w:sz="4" w:space="0"/>
              <w:right w:val="single" w:color="auto" w:sz="4" w:space="0"/>
            </w:tcBorders>
            <w:noWrap w:val="0"/>
            <w:vAlign w:val="center"/>
          </w:tcPr>
          <w:p w14:paraId="7279EF42">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▲量程漂移</w:t>
            </w:r>
          </w:p>
        </w:tc>
        <w:tc>
          <w:tcPr>
            <w:tcW w:w="5373" w:type="dxa"/>
            <w:tcBorders>
              <w:top w:val="single" w:color="auto" w:sz="4" w:space="0"/>
              <w:left w:val="single" w:color="auto" w:sz="4" w:space="0"/>
              <w:bottom w:val="single" w:color="auto" w:sz="4" w:space="0"/>
              <w:right w:val="single" w:color="auto" w:sz="4" w:space="0"/>
            </w:tcBorders>
            <w:noWrap w:val="0"/>
            <w:vAlign w:val="center"/>
          </w:tcPr>
          <w:p w14:paraId="337F0CEF">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1</w:t>
            </w:r>
            <w:r>
              <w:rPr>
                <w:rFonts w:hint="eastAsia" w:ascii="宋体" w:hAnsi="宋体" w:eastAsia="宋体" w:cs="Times New Roman"/>
                <w:color w:val="000000"/>
                <w:kern w:val="2"/>
                <w:sz w:val="24"/>
                <w:szCs w:val="24"/>
                <w:lang w:val="en-US" w:eastAsia="zh-CN" w:bidi="ar-SA"/>
              </w:rPr>
              <w:t>%</w:t>
            </w:r>
          </w:p>
        </w:tc>
      </w:tr>
      <w:tr w14:paraId="01092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146" w:type="dxa"/>
            <w:tcBorders>
              <w:top w:val="single" w:color="auto" w:sz="4" w:space="0"/>
              <w:left w:val="single" w:color="auto" w:sz="4" w:space="0"/>
              <w:bottom w:val="single" w:color="auto" w:sz="4" w:space="0"/>
              <w:right w:val="single" w:color="auto" w:sz="4" w:space="0"/>
            </w:tcBorders>
            <w:noWrap w:val="0"/>
            <w:vAlign w:val="center"/>
          </w:tcPr>
          <w:p w14:paraId="67C650E2">
            <w:pPr>
              <w:pStyle w:val="23"/>
              <w:keepNext w:val="0"/>
              <w:keepLines w:val="0"/>
              <w:pageBreakBefore w:val="0"/>
              <w:kinsoku w:val="0"/>
              <w:wordWrap/>
              <w:overflowPunct w:val="0"/>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▲葡萄糖试验</w:t>
            </w:r>
          </w:p>
        </w:tc>
        <w:tc>
          <w:tcPr>
            <w:tcW w:w="5373" w:type="dxa"/>
            <w:tcBorders>
              <w:top w:val="single" w:color="auto" w:sz="4" w:space="0"/>
              <w:left w:val="single" w:color="auto" w:sz="4" w:space="0"/>
              <w:bottom w:val="single" w:color="auto" w:sz="4" w:space="0"/>
              <w:right w:val="single" w:color="auto" w:sz="4" w:space="0"/>
            </w:tcBorders>
            <w:noWrap w:val="0"/>
            <w:vAlign w:val="center"/>
          </w:tcPr>
          <w:p w14:paraId="1D0359CC">
            <w:pPr>
              <w:pStyle w:val="23"/>
              <w:keepNext w:val="0"/>
              <w:keepLines w:val="0"/>
              <w:pageBreakBefore w:val="0"/>
              <w:kinsoku w:val="0"/>
              <w:wordWrap/>
              <w:overflowPunct w:val="0"/>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±1%（测量误差）</w:t>
            </w:r>
          </w:p>
        </w:tc>
      </w:tr>
      <w:tr w14:paraId="26AE5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6" w:type="dxa"/>
            <w:tcBorders>
              <w:top w:val="single" w:color="auto" w:sz="4" w:space="0"/>
              <w:left w:val="single" w:color="auto" w:sz="4" w:space="0"/>
              <w:bottom w:val="single" w:color="auto" w:sz="4" w:space="0"/>
              <w:right w:val="single" w:color="auto" w:sz="4" w:space="0"/>
            </w:tcBorders>
            <w:noWrap w:val="0"/>
            <w:vAlign w:val="center"/>
          </w:tcPr>
          <w:p w14:paraId="4B3CF75D">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MTBF</w:t>
            </w:r>
          </w:p>
        </w:tc>
        <w:tc>
          <w:tcPr>
            <w:tcW w:w="5373" w:type="dxa"/>
            <w:tcBorders>
              <w:top w:val="single" w:color="auto" w:sz="4" w:space="0"/>
              <w:left w:val="single" w:color="auto" w:sz="4" w:space="0"/>
              <w:bottom w:val="single" w:color="auto" w:sz="4" w:space="0"/>
              <w:right w:val="single" w:color="auto" w:sz="4" w:space="0"/>
            </w:tcBorders>
            <w:noWrap w:val="0"/>
            <w:vAlign w:val="center"/>
          </w:tcPr>
          <w:p w14:paraId="26F19DC9">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1440</w:t>
            </w:r>
            <w:r>
              <w:rPr>
                <w:rFonts w:hint="eastAsia" w:ascii="宋体" w:hAnsi="宋体" w:eastAsia="宋体" w:cs="Times New Roman"/>
                <w:color w:val="000000"/>
                <w:kern w:val="2"/>
                <w:sz w:val="24"/>
                <w:szCs w:val="24"/>
                <w:lang w:val="en-US" w:eastAsia="zh-CN" w:bidi="ar-SA"/>
              </w:rPr>
              <w:t>h/次</w:t>
            </w:r>
          </w:p>
        </w:tc>
      </w:tr>
      <w:tr w14:paraId="4D9B3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6" w:type="dxa"/>
            <w:tcBorders>
              <w:top w:val="single" w:color="auto" w:sz="4" w:space="0"/>
              <w:left w:val="single" w:color="auto" w:sz="4" w:space="0"/>
              <w:bottom w:val="single" w:color="auto" w:sz="4" w:space="0"/>
              <w:right w:val="single" w:color="auto" w:sz="4" w:space="0"/>
            </w:tcBorders>
            <w:noWrap w:val="0"/>
            <w:vAlign w:val="center"/>
          </w:tcPr>
          <w:p w14:paraId="57CF67DA">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bookmarkStart w:id="199" w:name="_Toc21930"/>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实际水样比对试验</w:t>
            </w:r>
          </w:p>
        </w:tc>
        <w:tc>
          <w:tcPr>
            <w:tcW w:w="5373" w:type="dxa"/>
            <w:tcBorders>
              <w:top w:val="single" w:color="auto" w:sz="4" w:space="0"/>
              <w:left w:val="single" w:color="auto" w:sz="4" w:space="0"/>
              <w:bottom w:val="single" w:color="auto" w:sz="4" w:space="0"/>
              <w:right w:val="single" w:color="auto" w:sz="4" w:space="0"/>
            </w:tcBorders>
            <w:noWrap w:val="0"/>
            <w:vAlign w:val="center"/>
          </w:tcPr>
          <w:p w14:paraId="35DF131D">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10</w:t>
            </w:r>
            <w:r>
              <w:rPr>
                <w:rFonts w:hint="eastAsia" w:ascii="宋体" w:hAnsi="宋体" w:eastAsia="宋体" w:cs="Times New Roman"/>
                <w:color w:val="000000"/>
                <w:kern w:val="2"/>
                <w:sz w:val="24"/>
                <w:szCs w:val="24"/>
                <w:lang w:val="en-US" w:eastAsia="zh-CN" w:bidi="ar-SA"/>
              </w:rPr>
              <w:t>%</w:t>
            </w:r>
          </w:p>
        </w:tc>
      </w:tr>
    </w:tbl>
    <w:p w14:paraId="50B8301B">
      <w:pPr>
        <w:pStyle w:val="22"/>
        <w:keepNext w:val="0"/>
        <w:keepLines w:val="0"/>
        <w:pageBreakBefore w:val="0"/>
        <w:wordWrap/>
        <w:topLinePunct w:val="0"/>
        <w:autoSpaceDE w:val="0"/>
        <w:autoSpaceDN w:val="0"/>
        <w:bidi w:val="0"/>
        <w:adjustRightInd w:val="0"/>
        <w:spacing w:line="520" w:lineRule="exact"/>
        <w:ind w:firstLine="480" w:firstLineChars="2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（8）总磷水质自动分析仪</w:t>
      </w:r>
      <w:bookmarkEnd w:id="197"/>
      <w:bookmarkEnd w:id="198"/>
      <w:bookmarkEnd w:id="199"/>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47"/>
        <w:gridCol w:w="5372"/>
      </w:tblGrid>
      <w:tr w14:paraId="13349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7" w:type="dxa"/>
            <w:tcBorders>
              <w:top w:val="single" w:color="auto" w:sz="4" w:space="0"/>
              <w:left w:val="single" w:color="auto" w:sz="4" w:space="0"/>
              <w:bottom w:val="single" w:color="auto" w:sz="4" w:space="0"/>
              <w:right w:val="single" w:color="auto" w:sz="4" w:space="0"/>
            </w:tcBorders>
            <w:noWrap w:val="0"/>
            <w:vAlign w:val="center"/>
          </w:tcPr>
          <w:p w14:paraId="78815355">
            <w:pPr>
              <w:pStyle w:val="22"/>
              <w:keepNext w:val="0"/>
              <w:keepLines w:val="0"/>
              <w:pageBreakBefore w:val="0"/>
              <w:wordWrap/>
              <w:topLinePunct w:val="0"/>
              <w:autoSpaceDE w:val="0"/>
              <w:autoSpaceDN w:val="0"/>
              <w:bidi w:val="0"/>
              <w:adjustRightInd w:val="0"/>
              <w:spacing w:line="520" w:lineRule="exact"/>
              <w:ind w:firstLine="240" w:firstLineChars="100"/>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项目</w:t>
            </w:r>
          </w:p>
        </w:tc>
        <w:tc>
          <w:tcPr>
            <w:tcW w:w="5372" w:type="dxa"/>
            <w:tcBorders>
              <w:top w:val="single" w:color="auto" w:sz="4" w:space="0"/>
              <w:left w:val="single" w:color="auto" w:sz="4" w:space="0"/>
              <w:bottom w:val="single" w:color="auto" w:sz="4" w:space="0"/>
              <w:right w:val="single" w:color="auto" w:sz="4" w:space="0"/>
            </w:tcBorders>
            <w:noWrap w:val="0"/>
            <w:vAlign w:val="center"/>
          </w:tcPr>
          <w:p w14:paraId="7D5579B0">
            <w:pPr>
              <w:pStyle w:val="22"/>
              <w:keepNext w:val="0"/>
              <w:keepLines w:val="0"/>
              <w:pageBreakBefore w:val="0"/>
              <w:wordWrap/>
              <w:topLinePunct w:val="0"/>
              <w:autoSpaceDE w:val="0"/>
              <w:autoSpaceDN w:val="0"/>
              <w:bidi w:val="0"/>
              <w:adjustRightInd w:val="0"/>
              <w:spacing w:line="520" w:lineRule="exact"/>
              <w:ind w:firstLine="240" w:firstLineChars="100"/>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技术指标</w:t>
            </w:r>
          </w:p>
        </w:tc>
      </w:tr>
      <w:tr w14:paraId="2E1CC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7" w:type="dxa"/>
            <w:tcBorders>
              <w:top w:val="single" w:color="auto" w:sz="4" w:space="0"/>
              <w:left w:val="single" w:color="auto" w:sz="4" w:space="0"/>
              <w:bottom w:val="single" w:color="auto" w:sz="4" w:space="0"/>
              <w:right w:val="single" w:color="auto" w:sz="4" w:space="0"/>
            </w:tcBorders>
            <w:noWrap w:val="0"/>
            <w:vAlign w:val="center"/>
          </w:tcPr>
          <w:p w14:paraId="4697FAB3">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测定原理</w:t>
            </w:r>
          </w:p>
        </w:tc>
        <w:tc>
          <w:tcPr>
            <w:tcW w:w="5372" w:type="dxa"/>
            <w:tcBorders>
              <w:top w:val="single" w:color="auto" w:sz="4" w:space="0"/>
              <w:left w:val="single" w:color="auto" w:sz="4" w:space="0"/>
              <w:bottom w:val="single" w:color="auto" w:sz="4" w:space="0"/>
              <w:right w:val="single" w:color="auto" w:sz="4" w:space="0"/>
            </w:tcBorders>
            <w:noWrap w:val="0"/>
            <w:vAlign w:val="center"/>
          </w:tcPr>
          <w:p w14:paraId="79714E24">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钼酸铵分光光度法</w:t>
            </w:r>
          </w:p>
        </w:tc>
      </w:tr>
      <w:tr w14:paraId="29C29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7" w:type="dxa"/>
            <w:tcBorders>
              <w:top w:val="single" w:color="auto" w:sz="4" w:space="0"/>
              <w:left w:val="single" w:color="auto" w:sz="4" w:space="0"/>
              <w:bottom w:val="single" w:color="auto" w:sz="4" w:space="0"/>
              <w:right w:val="single" w:color="auto" w:sz="4" w:space="0"/>
            </w:tcBorders>
            <w:noWrap w:val="0"/>
            <w:vAlign w:val="center"/>
          </w:tcPr>
          <w:p w14:paraId="44BB56B5">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cs="Times New Roman"/>
                <w:color w:val="000000"/>
                <w:kern w:val="2"/>
                <w:sz w:val="24"/>
                <w:szCs w:val="24"/>
                <w:lang w:val="en-US" w:eastAsia="zh-CN" w:bidi="ar-SA"/>
              </w:rPr>
              <w:t>检出限</w:t>
            </w:r>
          </w:p>
        </w:tc>
        <w:tc>
          <w:tcPr>
            <w:tcW w:w="5372" w:type="dxa"/>
            <w:tcBorders>
              <w:top w:val="single" w:color="auto" w:sz="4" w:space="0"/>
              <w:left w:val="single" w:color="auto" w:sz="4" w:space="0"/>
              <w:bottom w:val="single" w:color="auto" w:sz="4" w:space="0"/>
              <w:right w:val="single" w:color="auto" w:sz="4" w:space="0"/>
            </w:tcBorders>
            <w:noWrap w:val="0"/>
            <w:vAlign w:val="center"/>
          </w:tcPr>
          <w:p w14:paraId="0F9F1191">
            <w:pPr>
              <w:pStyle w:val="22"/>
              <w:keepNext w:val="0"/>
              <w:keepLines w:val="0"/>
              <w:pageBreakBefore w:val="0"/>
              <w:wordWrap/>
              <w:topLinePunct w:val="0"/>
              <w:autoSpaceDE w:val="0"/>
              <w:autoSpaceDN w:val="0"/>
              <w:bidi w:val="0"/>
              <w:adjustRightInd w:val="0"/>
              <w:spacing w:line="520" w:lineRule="exact"/>
              <w:ind w:firstLine="240" w:firstLineChars="100"/>
              <w:rPr>
                <w:rFonts w:hint="default"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≤0.005mg/L</w:t>
            </w:r>
          </w:p>
        </w:tc>
      </w:tr>
      <w:tr w14:paraId="3F4A5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7" w:type="dxa"/>
            <w:tcBorders>
              <w:top w:val="single" w:color="auto" w:sz="4" w:space="0"/>
              <w:left w:val="single" w:color="auto" w:sz="4" w:space="0"/>
              <w:bottom w:val="single" w:color="auto" w:sz="4" w:space="0"/>
              <w:right w:val="single" w:color="auto" w:sz="4" w:space="0"/>
            </w:tcBorders>
            <w:noWrap w:val="0"/>
            <w:vAlign w:val="center"/>
          </w:tcPr>
          <w:p w14:paraId="459041EB">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▲重复性</w:t>
            </w:r>
          </w:p>
        </w:tc>
        <w:tc>
          <w:tcPr>
            <w:tcW w:w="5372" w:type="dxa"/>
            <w:tcBorders>
              <w:top w:val="single" w:color="auto" w:sz="4" w:space="0"/>
              <w:left w:val="single" w:color="auto" w:sz="4" w:space="0"/>
              <w:bottom w:val="single" w:color="auto" w:sz="4" w:space="0"/>
              <w:right w:val="single" w:color="auto" w:sz="4" w:space="0"/>
            </w:tcBorders>
            <w:noWrap w:val="0"/>
            <w:vAlign w:val="center"/>
          </w:tcPr>
          <w:p w14:paraId="555FD71C">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0.5</w:t>
            </w:r>
            <w:r>
              <w:rPr>
                <w:rFonts w:hint="eastAsia" w:ascii="宋体" w:hAnsi="宋体" w:eastAsia="宋体" w:cs="Times New Roman"/>
                <w:color w:val="000000"/>
                <w:kern w:val="2"/>
                <w:sz w:val="24"/>
                <w:szCs w:val="24"/>
                <w:lang w:val="en-US" w:eastAsia="zh-CN" w:bidi="ar-SA"/>
              </w:rPr>
              <w:t>%</w:t>
            </w:r>
          </w:p>
        </w:tc>
      </w:tr>
      <w:tr w14:paraId="25260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7" w:type="dxa"/>
            <w:tcBorders>
              <w:top w:val="single" w:color="auto" w:sz="4" w:space="0"/>
              <w:left w:val="single" w:color="auto" w:sz="4" w:space="0"/>
              <w:bottom w:val="single" w:color="auto" w:sz="4" w:space="0"/>
              <w:right w:val="single" w:color="auto" w:sz="4" w:space="0"/>
            </w:tcBorders>
            <w:noWrap w:val="0"/>
            <w:vAlign w:val="center"/>
          </w:tcPr>
          <w:p w14:paraId="1F11E630">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直线性</w:t>
            </w:r>
          </w:p>
        </w:tc>
        <w:tc>
          <w:tcPr>
            <w:tcW w:w="5372" w:type="dxa"/>
            <w:tcBorders>
              <w:top w:val="single" w:color="auto" w:sz="4" w:space="0"/>
              <w:left w:val="single" w:color="auto" w:sz="4" w:space="0"/>
              <w:bottom w:val="single" w:color="auto" w:sz="4" w:space="0"/>
              <w:right w:val="single" w:color="auto" w:sz="4" w:space="0"/>
            </w:tcBorders>
            <w:noWrap w:val="0"/>
            <w:vAlign w:val="center"/>
          </w:tcPr>
          <w:p w14:paraId="51298569">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5</w:t>
            </w:r>
            <w:r>
              <w:rPr>
                <w:rFonts w:hint="eastAsia" w:ascii="宋体" w:hAnsi="宋体" w:eastAsia="宋体" w:cs="Times New Roman"/>
                <w:color w:val="000000"/>
                <w:kern w:val="2"/>
                <w:sz w:val="24"/>
                <w:szCs w:val="24"/>
                <w:lang w:val="en-US" w:eastAsia="zh-CN" w:bidi="ar-SA"/>
              </w:rPr>
              <w:t>%</w:t>
            </w:r>
          </w:p>
        </w:tc>
      </w:tr>
      <w:tr w14:paraId="052F7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7" w:type="dxa"/>
            <w:tcBorders>
              <w:top w:val="single" w:color="auto" w:sz="4" w:space="0"/>
              <w:left w:val="single" w:color="auto" w:sz="4" w:space="0"/>
              <w:bottom w:val="single" w:color="auto" w:sz="4" w:space="0"/>
              <w:right w:val="single" w:color="auto" w:sz="4" w:space="0"/>
            </w:tcBorders>
            <w:noWrap w:val="0"/>
            <w:vAlign w:val="center"/>
          </w:tcPr>
          <w:p w14:paraId="02E9AD66">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▲零点漂移</w:t>
            </w:r>
          </w:p>
        </w:tc>
        <w:tc>
          <w:tcPr>
            <w:tcW w:w="5372" w:type="dxa"/>
            <w:tcBorders>
              <w:top w:val="single" w:color="auto" w:sz="4" w:space="0"/>
              <w:left w:val="single" w:color="auto" w:sz="4" w:space="0"/>
              <w:bottom w:val="single" w:color="auto" w:sz="4" w:space="0"/>
              <w:right w:val="single" w:color="auto" w:sz="4" w:space="0"/>
            </w:tcBorders>
            <w:noWrap w:val="0"/>
            <w:vAlign w:val="center"/>
          </w:tcPr>
          <w:p w14:paraId="01A1CE4C">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0.</w:t>
            </w:r>
            <w:r>
              <w:rPr>
                <w:rFonts w:hint="eastAsia" w:ascii="宋体" w:hAnsi="宋体" w:eastAsia="宋体" w:cs="Times New Roman"/>
                <w:color w:val="000000"/>
                <w:kern w:val="2"/>
                <w:sz w:val="24"/>
                <w:szCs w:val="24"/>
                <w:lang w:val="en-US" w:eastAsia="zh-CN" w:bidi="ar-SA"/>
              </w:rPr>
              <w:t>5%</w:t>
            </w:r>
          </w:p>
        </w:tc>
      </w:tr>
      <w:tr w14:paraId="475BE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7" w:type="dxa"/>
            <w:tcBorders>
              <w:top w:val="single" w:color="auto" w:sz="4" w:space="0"/>
              <w:left w:val="single" w:color="auto" w:sz="4" w:space="0"/>
              <w:bottom w:val="single" w:color="auto" w:sz="4" w:space="0"/>
              <w:right w:val="single" w:color="auto" w:sz="4" w:space="0"/>
            </w:tcBorders>
            <w:noWrap w:val="0"/>
            <w:vAlign w:val="center"/>
          </w:tcPr>
          <w:p w14:paraId="0D09C149">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▲量程漂移</w:t>
            </w:r>
          </w:p>
        </w:tc>
        <w:tc>
          <w:tcPr>
            <w:tcW w:w="5372" w:type="dxa"/>
            <w:tcBorders>
              <w:top w:val="single" w:color="auto" w:sz="4" w:space="0"/>
              <w:left w:val="single" w:color="auto" w:sz="4" w:space="0"/>
              <w:bottom w:val="single" w:color="auto" w:sz="4" w:space="0"/>
              <w:right w:val="single" w:color="auto" w:sz="4" w:space="0"/>
            </w:tcBorders>
            <w:noWrap w:val="0"/>
            <w:vAlign w:val="center"/>
          </w:tcPr>
          <w:p w14:paraId="3F597A45">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3</w:t>
            </w:r>
            <w:r>
              <w:rPr>
                <w:rFonts w:hint="eastAsia" w:ascii="宋体" w:hAnsi="宋体" w:eastAsia="宋体" w:cs="Times New Roman"/>
                <w:color w:val="000000"/>
                <w:kern w:val="2"/>
                <w:sz w:val="24"/>
                <w:szCs w:val="24"/>
                <w:lang w:val="en-US" w:eastAsia="zh-CN" w:bidi="ar-SA"/>
              </w:rPr>
              <w:t>%</w:t>
            </w:r>
          </w:p>
        </w:tc>
      </w:tr>
      <w:tr w14:paraId="2068E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7" w:type="dxa"/>
            <w:tcBorders>
              <w:top w:val="single" w:color="auto" w:sz="4" w:space="0"/>
              <w:left w:val="single" w:color="auto" w:sz="4" w:space="0"/>
              <w:bottom w:val="single" w:color="auto" w:sz="4" w:space="0"/>
              <w:right w:val="single" w:color="auto" w:sz="4" w:space="0"/>
            </w:tcBorders>
            <w:noWrap w:val="0"/>
            <w:vAlign w:val="center"/>
          </w:tcPr>
          <w:p w14:paraId="34ECB365">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MTBF</w:t>
            </w:r>
          </w:p>
        </w:tc>
        <w:tc>
          <w:tcPr>
            <w:tcW w:w="5372" w:type="dxa"/>
            <w:tcBorders>
              <w:top w:val="single" w:color="auto" w:sz="4" w:space="0"/>
              <w:left w:val="single" w:color="auto" w:sz="4" w:space="0"/>
              <w:bottom w:val="single" w:color="auto" w:sz="4" w:space="0"/>
              <w:right w:val="single" w:color="auto" w:sz="4" w:space="0"/>
            </w:tcBorders>
            <w:noWrap w:val="0"/>
            <w:vAlign w:val="center"/>
          </w:tcPr>
          <w:p w14:paraId="57A14EA2">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1440</w:t>
            </w:r>
            <w:r>
              <w:rPr>
                <w:rFonts w:hint="eastAsia" w:ascii="宋体" w:hAnsi="宋体" w:eastAsia="宋体" w:cs="Times New Roman"/>
                <w:color w:val="000000"/>
                <w:kern w:val="2"/>
                <w:sz w:val="24"/>
                <w:szCs w:val="24"/>
                <w:lang w:val="en-US" w:eastAsia="zh-CN" w:bidi="ar-SA"/>
              </w:rPr>
              <w:t>h/次</w:t>
            </w:r>
          </w:p>
        </w:tc>
      </w:tr>
      <w:tr w14:paraId="42028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7" w:type="dxa"/>
            <w:tcBorders>
              <w:top w:val="single" w:color="auto" w:sz="4" w:space="0"/>
              <w:left w:val="single" w:color="auto" w:sz="4" w:space="0"/>
              <w:bottom w:val="single" w:color="auto" w:sz="4" w:space="0"/>
              <w:right w:val="single" w:color="auto" w:sz="4" w:space="0"/>
            </w:tcBorders>
            <w:noWrap w:val="0"/>
            <w:vAlign w:val="center"/>
          </w:tcPr>
          <w:p w14:paraId="3B6AD479">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实际水样比对试验</w:t>
            </w:r>
          </w:p>
        </w:tc>
        <w:tc>
          <w:tcPr>
            <w:tcW w:w="5372" w:type="dxa"/>
            <w:tcBorders>
              <w:top w:val="single" w:color="auto" w:sz="4" w:space="0"/>
              <w:left w:val="single" w:color="auto" w:sz="4" w:space="0"/>
              <w:bottom w:val="single" w:color="auto" w:sz="4" w:space="0"/>
              <w:right w:val="single" w:color="auto" w:sz="4" w:space="0"/>
            </w:tcBorders>
            <w:noWrap w:val="0"/>
            <w:vAlign w:val="center"/>
          </w:tcPr>
          <w:p w14:paraId="54641BD6">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10</w:t>
            </w:r>
            <w:r>
              <w:rPr>
                <w:rFonts w:hint="eastAsia" w:ascii="宋体" w:hAnsi="宋体" w:eastAsia="宋体" w:cs="Times New Roman"/>
                <w:color w:val="000000"/>
                <w:kern w:val="2"/>
                <w:sz w:val="24"/>
                <w:szCs w:val="24"/>
                <w:lang w:val="en-US" w:eastAsia="zh-CN" w:bidi="ar-SA"/>
              </w:rPr>
              <w:t>%</w:t>
            </w:r>
          </w:p>
        </w:tc>
      </w:tr>
      <w:tr w14:paraId="36F6F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306C604">
            <w:pPr>
              <w:pStyle w:val="22"/>
              <w:keepNext w:val="0"/>
              <w:keepLines w:val="0"/>
              <w:pageBreakBefore w:val="0"/>
              <w:wordWrap/>
              <w:topLinePunct w:val="0"/>
              <w:autoSpaceDE w:val="0"/>
              <w:autoSpaceDN w:val="0"/>
              <w:bidi w:val="0"/>
              <w:adjustRightInd w:val="0"/>
              <w:spacing w:line="520" w:lineRule="exact"/>
              <w:ind w:firstLine="240" w:firstLineChars="100"/>
              <w:rPr>
                <w:rFonts w:hint="default" w:ascii="宋体" w:hAnsi="宋体" w:eastAsia="宋体" w:cs="Times New Roman"/>
                <w:color w:val="000000"/>
                <w:kern w:val="2"/>
                <w:sz w:val="24"/>
                <w:szCs w:val="24"/>
                <w:lang w:val="en-US" w:eastAsia="zh-CN" w:bidi="ar-SA"/>
              </w:rPr>
            </w:pPr>
            <w:bookmarkStart w:id="200" w:name="_Toc505252672"/>
            <w:bookmarkStart w:id="201" w:name="_Toc505184823"/>
            <w:bookmarkStart w:id="202" w:name="_Toc11642"/>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浊度色度干扰试验</w:t>
            </w:r>
          </w:p>
        </w:tc>
        <w:tc>
          <w:tcPr>
            <w:tcW w:w="537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3C8A302">
            <w:pPr>
              <w:pStyle w:val="22"/>
              <w:keepNext w:val="0"/>
              <w:keepLines w:val="0"/>
              <w:pageBreakBefore w:val="0"/>
              <w:wordWrap/>
              <w:topLinePunct w:val="0"/>
              <w:autoSpaceDE w:val="0"/>
              <w:autoSpaceDN w:val="0"/>
              <w:bidi w:val="0"/>
              <w:adjustRightInd w:val="0"/>
              <w:spacing w:line="520" w:lineRule="exact"/>
              <w:rPr>
                <w:rFonts w:hint="eastAsia"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应具备抗浊度干扰，需对不同浊度的水体进行测试，测试样本数不少于15个，抗浊度干扰功能能够达到相应的效果，在浊度为100NTU-350NTU时与实验室数据相对偏差不超过25%，需提供监测报告或相关测试证明材料。</w:t>
            </w:r>
          </w:p>
        </w:tc>
      </w:tr>
    </w:tbl>
    <w:p w14:paraId="1A216FA9">
      <w:pPr>
        <w:pStyle w:val="22"/>
        <w:keepNext w:val="0"/>
        <w:keepLines w:val="0"/>
        <w:pageBreakBefore w:val="0"/>
        <w:wordWrap/>
        <w:topLinePunct w:val="0"/>
        <w:autoSpaceDE w:val="0"/>
        <w:autoSpaceDN w:val="0"/>
        <w:bidi w:val="0"/>
        <w:adjustRightInd w:val="0"/>
        <w:spacing w:line="520" w:lineRule="exact"/>
        <w:ind w:firstLine="480" w:firstLineChars="2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（9）总氮水质自动分析仪</w:t>
      </w:r>
      <w:bookmarkEnd w:id="200"/>
      <w:bookmarkEnd w:id="201"/>
      <w:bookmarkEnd w:id="202"/>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57"/>
        <w:gridCol w:w="5462"/>
      </w:tblGrid>
      <w:tr w14:paraId="044CD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57" w:type="dxa"/>
            <w:tcBorders>
              <w:top w:val="single" w:color="auto" w:sz="4" w:space="0"/>
              <w:left w:val="single" w:color="auto" w:sz="4" w:space="0"/>
              <w:bottom w:val="single" w:color="auto" w:sz="4" w:space="0"/>
              <w:right w:val="single" w:color="auto" w:sz="4" w:space="0"/>
            </w:tcBorders>
            <w:noWrap w:val="0"/>
            <w:vAlign w:val="center"/>
          </w:tcPr>
          <w:p w14:paraId="52FF7C03">
            <w:pPr>
              <w:pStyle w:val="22"/>
              <w:keepNext w:val="0"/>
              <w:keepLines w:val="0"/>
              <w:pageBreakBefore w:val="0"/>
              <w:wordWrap/>
              <w:topLinePunct w:val="0"/>
              <w:autoSpaceDE w:val="0"/>
              <w:autoSpaceDN w:val="0"/>
              <w:bidi w:val="0"/>
              <w:adjustRightInd w:val="0"/>
              <w:spacing w:line="520" w:lineRule="exact"/>
              <w:ind w:firstLine="240" w:firstLineChars="100"/>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项目</w:t>
            </w:r>
          </w:p>
        </w:tc>
        <w:tc>
          <w:tcPr>
            <w:tcW w:w="5462" w:type="dxa"/>
            <w:tcBorders>
              <w:top w:val="single" w:color="auto" w:sz="4" w:space="0"/>
              <w:left w:val="single" w:color="auto" w:sz="4" w:space="0"/>
              <w:bottom w:val="single" w:color="auto" w:sz="4" w:space="0"/>
              <w:right w:val="single" w:color="auto" w:sz="4" w:space="0"/>
            </w:tcBorders>
            <w:noWrap w:val="0"/>
            <w:vAlign w:val="center"/>
          </w:tcPr>
          <w:p w14:paraId="32F40D78">
            <w:pPr>
              <w:pStyle w:val="22"/>
              <w:keepNext w:val="0"/>
              <w:keepLines w:val="0"/>
              <w:pageBreakBefore w:val="0"/>
              <w:wordWrap/>
              <w:topLinePunct w:val="0"/>
              <w:autoSpaceDE w:val="0"/>
              <w:autoSpaceDN w:val="0"/>
              <w:bidi w:val="0"/>
              <w:adjustRightInd w:val="0"/>
              <w:spacing w:line="520" w:lineRule="exact"/>
              <w:ind w:firstLine="240" w:firstLineChars="100"/>
              <w:jc w:val="center"/>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技术指标</w:t>
            </w:r>
          </w:p>
        </w:tc>
      </w:tr>
      <w:tr w14:paraId="44F42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57" w:type="dxa"/>
            <w:tcBorders>
              <w:top w:val="single" w:color="auto" w:sz="4" w:space="0"/>
              <w:left w:val="single" w:color="auto" w:sz="4" w:space="0"/>
              <w:bottom w:val="single" w:color="auto" w:sz="4" w:space="0"/>
              <w:right w:val="single" w:color="auto" w:sz="4" w:space="0"/>
            </w:tcBorders>
            <w:noWrap w:val="0"/>
            <w:vAlign w:val="center"/>
          </w:tcPr>
          <w:p w14:paraId="3D505F0A">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测定原理</w:t>
            </w:r>
          </w:p>
        </w:tc>
        <w:tc>
          <w:tcPr>
            <w:tcW w:w="5462" w:type="dxa"/>
            <w:tcBorders>
              <w:top w:val="single" w:color="auto" w:sz="4" w:space="0"/>
              <w:left w:val="single" w:color="auto" w:sz="4" w:space="0"/>
              <w:bottom w:val="single" w:color="auto" w:sz="4" w:space="0"/>
              <w:right w:val="single" w:color="auto" w:sz="4" w:space="0"/>
            </w:tcBorders>
            <w:noWrap w:val="0"/>
            <w:vAlign w:val="center"/>
          </w:tcPr>
          <w:p w14:paraId="62068CC7">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紫外分光光度法</w:t>
            </w:r>
          </w:p>
        </w:tc>
      </w:tr>
      <w:tr w14:paraId="4D648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57" w:type="dxa"/>
            <w:tcBorders>
              <w:top w:val="single" w:color="auto" w:sz="4" w:space="0"/>
              <w:left w:val="single" w:color="auto" w:sz="4" w:space="0"/>
              <w:bottom w:val="single" w:color="auto" w:sz="4" w:space="0"/>
              <w:right w:val="single" w:color="auto" w:sz="4" w:space="0"/>
            </w:tcBorders>
            <w:noWrap w:val="0"/>
            <w:vAlign w:val="center"/>
          </w:tcPr>
          <w:p w14:paraId="2F43A3B8">
            <w:pPr>
              <w:pStyle w:val="22"/>
              <w:keepNext w:val="0"/>
              <w:keepLines w:val="0"/>
              <w:pageBreakBefore w:val="0"/>
              <w:wordWrap/>
              <w:topLinePunct w:val="0"/>
              <w:autoSpaceDE w:val="0"/>
              <w:autoSpaceDN w:val="0"/>
              <w:bidi w:val="0"/>
              <w:adjustRightInd w:val="0"/>
              <w:spacing w:line="520" w:lineRule="exact"/>
              <w:ind w:firstLine="240" w:firstLineChars="100"/>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检出限</w:t>
            </w:r>
          </w:p>
        </w:tc>
        <w:tc>
          <w:tcPr>
            <w:tcW w:w="5462" w:type="dxa"/>
            <w:tcBorders>
              <w:top w:val="single" w:color="auto" w:sz="4" w:space="0"/>
              <w:left w:val="single" w:color="auto" w:sz="4" w:space="0"/>
              <w:bottom w:val="single" w:color="auto" w:sz="4" w:space="0"/>
              <w:right w:val="single" w:color="auto" w:sz="4" w:space="0"/>
            </w:tcBorders>
            <w:noWrap w:val="0"/>
            <w:vAlign w:val="center"/>
          </w:tcPr>
          <w:p w14:paraId="19D8042A">
            <w:pPr>
              <w:pStyle w:val="22"/>
              <w:keepNext w:val="0"/>
              <w:keepLines w:val="0"/>
              <w:pageBreakBefore w:val="0"/>
              <w:wordWrap/>
              <w:topLinePunct w:val="0"/>
              <w:autoSpaceDE w:val="0"/>
              <w:autoSpaceDN w:val="0"/>
              <w:bidi w:val="0"/>
              <w:adjustRightInd w:val="0"/>
              <w:spacing w:line="520" w:lineRule="exact"/>
              <w:ind w:firstLine="240" w:firstLineChars="100"/>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0.03mg/L</w:t>
            </w:r>
          </w:p>
        </w:tc>
      </w:tr>
      <w:tr w14:paraId="20288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57" w:type="dxa"/>
            <w:tcBorders>
              <w:top w:val="single" w:color="auto" w:sz="4" w:space="0"/>
              <w:left w:val="single" w:color="auto" w:sz="4" w:space="0"/>
              <w:bottom w:val="single" w:color="auto" w:sz="4" w:space="0"/>
              <w:right w:val="single" w:color="auto" w:sz="4" w:space="0"/>
            </w:tcBorders>
            <w:noWrap w:val="0"/>
            <w:vAlign w:val="center"/>
          </w:tcPr>
          <w:p w14:paraId="00393957">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▲重复性</w:t>
            </w:r>
          </w:p>
        </w:tc>
        <w:tc>
          <w:tcPr>
            <w:tcW w:w="5462" w:type="dxa"/>
            <w:tcBorders>
              <w:top w:val="single" w:color="auto" w:sz="4" w:space="0"/>
              <w:left w:val="single" w:color="auto" w:sz="4" w:space="0"/>
              <w:bottom w:val="single" w:color="auto" w:sz="4" w:space="0"/>
              <w:right w:val="single" w:color="auto" w:sz="4" w:space="0"/>
            </w:tcBorders>
            <w:noWrap w:val="0"/>
            <w:vAlign w:val="center"/>
          </w:tcPr>
          <w:p w14:paraId="29D40D79">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w:t>
            </w:r>
          </w:p>
        </w:tc>
      </w:tr>
      <w:tr w14:paraId="57120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57" w:type="dxa"/>
            <w:tcBorders>
              <w:top w:val="single" w:color="auto" w:sz="4" w:space="0"/>
              <w:left w:val="single" w:color="auto" w:sz="4" w:space="0"/>
              <w:bottom w:val="single" w:color="auto" w:sz="4" w:space="0"/>
              <w:right w:val="single" w:color="auto" w:sz="4" w:space="0"/>
            </w:tcBorders>
            <w:noWrap w:val="0"/>
            <w:vAlign w:val="center"/>
          </w:tcPr>
          <w:p w14:paraId="7B3948BA">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直线性</w:t>
            </w:r>
          </w:p>
        </w:tc>
        <w:tc>
          <w:tcPr>
            <w:tcW w:w="5462" w:type="dxa"/>
            <w:tcBorders>
              <w:top w:val="single" w:color="auto" w:sz="4" w:space="0"/>
              <w:left w:val="single" w:color="auto" w:sz="4" w:space="0"/>
              <w:bottom w:val="single" w:color="auto" w:sz="4" w:space="0"/>
              <w:right w:val="single" w:color="auto" w:sz="4" w:space="0"/>
            </w:tcBorders>
            <w:noWrap w:val="0"/>
            <w:vAlign w:val="center"/>
          </w:tcPr>
          <w:p w14:paraId="32A445CE">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±10%</w:t>
            </w:r>
          </w:p>
        </w:tc>
      </w:tr>
      <w:tr w14:paraId="2303B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57" w:type="dxa"/>
            <w:tcBorders>
              <w:top w:val="single" w:color="auto" w:sz="4" w:space="0"/>
              <w:left w:val="single" w:color="auto" w:sz="4" w:space="0"/>
              <w:bottom w:val="single" w:color="auto" w:sz="4" w:space="0"/>
              <w:right w:val="single" w:color="auto" w:sz="4" w:space="0"/>
            </w:tcBorders>
            <w:noWrap w:val="0"/>
            <w:vAlign w:val="center"/>
          </w:tcPr>
          <w:p w14:paraId="29F1CFD6">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▲零点漂移</w:t>
            </w:r>
          </w:p>
        </w:tc>
        <w:tc>
          <w:tcPr>
            <w:tcW w:w="5462" w:type="dxa"/>
            <w:tcBorders>
              <w:top w:val="single" w:color="auto" w:sz="4" w:space="0"/>
              <w:left w:val="single" w:color="auto" w:sz="4" w:space="0"/>
              <w:bottom w:val="single" w:color="auto" w:sz="4" w:space="0"/>
              <w:right w:val="single" w:color="auto" w:sz="4" w:space="0"/>
            </w:tcBorders>
            <w:noWrap w:val="0"/>
            <w:vAlign w:val="center"/>
          </w:tcPr>
          <w:p w14:paraId="4F9844E9">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3</w:t>
            </w:r>
            <w:r>
              <w:rPr>
                <w:rFonts w:hint="eastAsia" w:ascii="宋体" w:hAnsi="宋体" w:eastAsia="宋体" w:cs="Times New Roman"/>
                <w:color w:val="000000"/>
                <w:kern w:val="2"/>
                <w:sz w:val="24"/>
                <w:szCs w:val="24"/>
                <w:lang w:val="en-US" w:eastAsia="zh-CN" w:bidi="ar-SA"/>
              </w:rPr>
              <w:t>%</w:t>
            </w:r>
          </w:p>
        </w:tc>
      </w:tr>
      <w:tr w14:paraId="493AA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3057" w:type="dxa"/>
            <w:tcBorders>
              <w:top w:val="single" w:color="auto" w:sz="4" w:space="0"/>
              <w:left w:val="single" w:color="auto" w:sz="4" w:space="0"/>
              <w:bottom w:val="single" w:color="auto" w:sz="4" w:space="0"/>
              <w:right w:val="single" w:color="auto" w:sz="4" w:space="0"/>
            </w:tcBorders>
            <w:noWrap w:val="0"/>
            <w:vAlign w:val="center"/>
          </w:tcPr>
          <w:p w14:paraId="37AE71E3">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▲量程漂移</w:t>
            </w:r>
          </w:p>
        </w:tc>
        <w:tc>
          <w:tcPr>
            <w:tcW w:w="5462" w:type="dxa"/>
            <w:tcBorders>
              <w:top w:val="single" w:color="auto" w:sz="4" w:space="0"/>
              <w:left w:val="single" w:color="auto" w:sz="4" w:space="0"/>
              <w:bottom w:val="single" w:color="auto" w:sz="4" w:space="0"/>
              <w:right w:val="single" w:color="auto" w:sz="4" w:space="0"/>
            </w:tcBorders>
            <w:noWrap w:val="0"/>
            <w:vAlign w:val="center"/>
          </w:tcPr>
          <w:p w14:paraId="24C493A6">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1</w:t>
            </w:r>
            <w:r>
              <w:rPr>
                <w:rFonts w:hint="eastAsia" w:ascii="宋体" w:hAnsi="宋体" w:eastAsia="宋体" w:cs="Times New Roman"/>
                <w:color w:val="000000"/>
                <w:kern w:val="2"/>
                <w:sz w:val="24"/>
                <w:szCs w:val="24"/>
                <w:lang w:val="en-US" w:eastAsia="zh-CN" w:bidi="ar-SA"/>
              </w:rPr>
              <w:t>%</w:t>
            </w:r>
          </w:p>
        </w:tc>
      </w:tr>
      <w:tr w14:paraId="09238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57" w:type="dxa"/>
            <w:tcBorders>
              <w:top w:val="single" w:color="auto" w:sz="4" w:space="0"/>
              <w:left w:val="single" w:color="auto" w:sz="4" w:space="0"/>
              <w:bottom w:val="single" w:color="auto" w:sz="4" w:space="0"/>
              <w:right w:val="single" w:color="auto" w:sz="4" w:space="0"/>
            </w:tcBorders>
            <w:noWrap w:val="0"/>
            <w:vAlign w:val="center"/>
          </w:tcPr>
          <w:p w14:paraId="0946CB68">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MTBF</w:t>
            </w:r>
          </w:p>
        </w:tc>
        <w:tc>
          <w:tcPr>
            <w:tcW w:w="5462" w:type="dxa"/>
            <w:tcBorders>
              <w:top w:val="single" w:color="auto" w:sz="4" w:space="0"/>
              <w:left w:val="single" w:color="auto" w:sz="4" w:space="0"/>
              <w:bottom w:val="single" w:color="auto" w:sz="4" w:space="0"/>
              <w:right w:val="single" w:color="auto" w:sz="4" w:space="0"/>
            </w:tcBorders>
            <w:noWrap w:val="0"/>
            <w:vAlign w:val="center"/>
          </w:tcPr>
          <w:p w14:paraId="73329E8B">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144</w:t>
            </w:r>
            <w:r>
              <w:rPr>
                <w:rFonts w:hint="eastAsia" w:ascii="宋体" w:hAnsi="宋体" w:eastAsia="宋体" w:cs="Times New Roman"/>
                <w:color w:val="000000"/>
                <w:kern w:val="2"/>
                <w:sz w:val="24"/>
                <w:szCs w:val="24"/>
                <w:lang w:val="en-US" w:eastAsia="zh-CN" w:bidi="ar-SA"/>
              </w:rPr>
              <w:t>0h/次</w:t>
            </w:r>
          </w:p>
        </w:tc>
      </w:tr>
      <w:tr w14:paraId="6AB21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57" w:type="dxa"/>
            <w:tcBorders>
              <w:top w:val="single" w:color="auto" w:sz="4" w:space="0"/>
              <w:left w:val="single" w:color="auto" w:sz="4" w:space="0"/>
              <w:bottom w:val="single" w:color="auto" w:sz="4" w:space="0"/>
              <w:right w:val="single" w:color="auto" w:sz="4" w:space="0"/>
            </w:tcBorders>
            <w:noWrap w:val="0"/>
            <w:vAlign w:val="center"/>
          </w:tcPr>
          <w:p w14:paraId="3C76F9B3">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default" w:ascii="Arial" w:hAnsi="Arial" w:cs="Arial"/>
                <w:color w:val="auto"/>
                <w:sz w:val="24"/>
                <w:szCs w:val="24"/>
              </w:rPr>
              <w:t>√</w:t>
            </w:r>
            <w:r>
              <w:rPr>
                <w:rFonts w:hint="eastAsia" w:ascii="宋体" w:hAnsi="宋体" w:eastAsia="宋体" w:cs="Times New Roman"/>
                <w:color w:val="000000"/>
                <w:kern w:val="2"/>
                <w:sz w:val="24"/>
                <w:szCs w:val="24"/>
                <w:lang w:val="en-US" w:eastAsia="zh-CN" w:bidi="ar-SA"/>
              </w:rPr>
              <w:t>实际水样比对试验</w:t>
            </w:r>
          </w:p>
        </w:tc>
        <w:tc>
          <w:tcPr>
            <w:tcW w:w="5462" w:type="dxa"/>
            <w:tcBorders>
              <w:top w:val="single" w:color="auto" w:sz="4" w:space="0"/>
              <w:left w:val="single" w:color="auto" w:sz="4" w:space="0"/>
              <w:bottom w:val="single" w:color="auto" w:sz="4" w:space="0"/>
              <w:right w:val="single" w:color="auto" w:sz="4" w:space="0"/>
            </w:tcBorders>
            <w:noWrap w:val="0"/>
            <w:vAlign w:val="center"/>
          </w:tcPr>
          <w:p w14:paraId="782C243B">
            <w:pPr>
              <w:pStyle w:val="22"/>
              <w:keepNext w:val="0"/>
              <w:keepLines w:val="0"/>
              <w:pageBreakBefore w:val="0"/>
              <w:wordWrap/>
              <w:topLinePunct w:val="0"/>
              <w:autoSpaceDE w:val="0"/>
              <w:autoSpaceDN w:val="0"/>
              <w:bidi w:val="0"/>
              <w:adjustRightInd w:val="0"/>
              <w:spacing w:line="520" w:lineRule="exact"/>
              <w:ind w:firstLine="240" w:firstLineChars="10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10</w:t>
            </w:r>
            <w:r>
              <w:rPr>
                <w:rFonts w:hint="eastAsia" w:ascii="宋体" w:hAnsi="宋体" w:eastAsia="宋体" w:cs="Times New Roman"/>
                <w:color w:val="000000"/>
                <w:kern w:val="2"/>
                <w:sz w:val="24"/>
                <w:szCs w:val="24"/>
                <w:lang w:val="en-US" w:eastAsia="zh-CN" w:bidi="ar-SA"/>
              </w:rPr>
              <w:t>%</w:t>
            </w:r>
          </w:p>
        </w:tc>
      </w:tr>
      <w:tr w14:paraId="60C7E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305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710CC5F">
            <w:pPr>
              <w:pStyle w:val="22"/>
              <w:keepNext w:val="0"/>
              <w:keepLines w:val="0"/>
              <w:pageBreakBefore w:val="0"/>
              <w:wordWrap/>
              <w:topLinePunct w:val="0"/>
              <w:autoSpaceDE w:val="0"/>
              <w:autoSpaceDN w:val="0"/>
              <w:bidi w:val="0"/>
              <w:adjustRightInd w:val="0"/>
              <w:spacing w:line="520" w:lineRule="exact"/>
              <w:ind w:firstLine="240" w:firstLineChars="100"/>
              <w:rPr>
                <w:rFonts w:hint="default"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w:t>
            </w:r>
            <w:r>
              <w:rPr>
                <w:rFonts w:hint="eastAsia" w:ascii="宋体" w:hAnsi="宋体" w:cs="Times New Roman"/>
                <w:color w:val="000000"/>
                <w:kern w:val="2"/>
                <w:sz w:val="24"/>
                <w:szCs w:val="24"/>
                <w:lang w:val="en-US" w:eastAsia="zh-CN" w:bidi="ar-SA"/>
              </w:rPr>
              <w:t>浊度色度干扰试验</w:t>
            </w:r>
          </w:p>
        </w:tc>
        <w:tc>
          <w:tcPr>
            <w:tcW w:w="546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B04FD73">
            <w:pPr>
              <w:pStyle w:val="22"/>
              <w:keepNext w:val="0"/>
              <w:keepLines w:val="0"/>
              <w:pageBreakBefore w:val="0"/>
              <w:wordWrap/>
              <w:topLinePunct w:val="0"/>
              <w:autoSpaceDE w:val="0"/>
              <w:autoSpaceDN w:val="0"/>
              <w:bidi w:val="0"/>
              <w:adjustRightInd w:val="0"/>
              <w:spacing w:line="520" w:lineRule="exact"/>
              <w:rPr>
                <w:rFonts w:hint="eastAsia"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应具备抗浊度干扰功能，需对不同浊度的水体进行测试，测试样本数不少于15个，抗浊度干扰功能能够达到相应的效果，在浊度为100NTU-350NTU时与实验室数据相对偏差不超过25%，需提供监测报告或相关测试证明材料。</w:t>
            </w:r>
          </w:p>
        </w:tc>
      </w:tr>
    </w:tbl>
    <w:p w14:paraId="67D2CD48">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5、其他。</w:t>
      </w:r>
    </w:p>
    <w:p w14:paraId="2E49BB7E">
      <w:pPr>
        <w:keepNext w:val="0"/>
        <w:keepLines w:val="0"/>
        <w:pageBreakBefore w:val="0"/>
        <w:widowControl w:val="0"/>
        <w:kinsoku/>
        <w:wordWrap/>
        <w:overflowPunct/>
        <w:topLinePunct w:val="0"/>
        <w:bidi w:val="0"/>
        <w:snapToGrid/>
        <w:spacing w:line="520" w:lineRule="exact"/>
        <w:ind w:firstLine="480"/>
        <w:textAlignment w:val="auto"/>
        <w:outlineLvl w:val="2"/>
        <w:rPr>
          <w:rFonts w:hint="eastAsia"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w:t>
      </w:r>
      <w:r>
        <w:rPr>
          <w:rFonts w:hint="eastAsia" w:ascii="宋体" w:hAnsi="宋体" w:eastAsia="宋体" w:cs="Times New Roman"/>
          <w:color w:val="000000"/>
          <w:kern w:val="2"/>
          <w:sz w:val="24"/>
          <w:szCs w:val="24"/>
          <w:lang w:val="en-US" w:eastAsia="zh-CN" w:bidi="ar-SA"/>
        </w:rPr>
        <w:t>（1）主要包括UPS电源</w:t>
      </w:r>
    </w:p>
    <w:p w14:paraId="41409D0D">
      <w:pPr>
        <w:keepNext w:val="0"/>
        <w:keepLines w:val="0"/>
        <w:pageBreakBefore w:val="0"/>
        <w:widowControl w:val="0"/>
        <w:kinsoku/>
        <w:wordWrap/>
        <w:overflowPunct/>
        <w:topLinePunct w:val="0"/>
        <w:bidi w:val="0"/>
        <w:snapToGrid/>
        <w:spacing w:line="520" w:lineRule="exact"/>
        <w:ind w:firstLine="480"/>
        <w:textAlignment w:val="auto"/>
        <w:outlineLvl w:val="2"/>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根据</w:t>
      </w:r>
      <w:r>
        <w:rPr>
          <w:rFonts w:hint="eastAsia" w:ascii="宋体" w:hAnsi="宋体" w:eastAsia="宋体" w:cs="Times New Roman"/>
          <w:color w:val="000000"/>
          <w:kern w:val="2"/>
          <w:sz w:val="24"/>
          <w:szCs w:val="24"/>
          <w:lang w:val="en-US" w:eastAsia="zh-CN" w:bidi="ar-SA"/>
        </w:rPr>
        <w:t>水质自动站设计</w:t>
      </w:r>
      <w:r>
        <w:rPr>
          <w:rFonts w:hint="eastAsia" w:ascii="宋体" w:hAnsi="宋体" w:eastAsia="宋体" w:cs="Times New Roman"/>
          <w:color w:val="000000"/>
          <w:kern w:val="2"/>
          <w:sz w:val="24"/>
          <w:szCs w:val="24"/>
          <w:lang w:val="zh-CN" w:eastAsia="zh-CN" w:bidi="ar-SA"/>
        </w:rPr>
        <w:t>的要求，配置相应的UPS电源，</w:t>
      </w:r>
      <w:r>
        <w:rPr>
          <w:rFonts w:hint="eastAsia" w:ascii="宋体" w:hAnsi="宋体" w:eastAsia="宋体" w:cs="Times New Roman"/>
          <w:color w:val="000000"/>
          <w:kern w:val="2"/>
          <w:sz w:val="24"/>
          <w:szCs w:val="24"/>
          <w:lang w:val="en-US" w:eastAsia="zh-CN" w:bidi="ar-SA"/>
        </w:rPr>
        <w:t>对自动检测仪器、数据采集和传输单元、控制单元</w:t>
      </w:r>
      <w:r>
        <w:rPr>
          <w:rFonts w:hint="eastAsia" w:ascii="宋体" w:hAnsi="宋体" w:eastAsia="宋体" w:cs="Times New Roman"/>
          <w:color w:val="000000"/>
          <w:kern w:val="2"/>
          <w:sz w:val="24"/>
          <w:szCs w:val="24"/>
          <w:lang w:val="zh-CN" w:eastAsia="zh-CN" w:bidi="ar-SA"/>
        </w:rPr>
        <w:t>具备断电保护、过载保护、自动恢复等功能，要求功率应</w:t>
      </w:r>
      <w:r>
        <w:rPr>
          <w:rFonts w:hint="eastAsia" w:ascii="宋体" w:hAnsi="宋体" w:eastAsia="宋体" w:cs="Times New Roman"/>
          <w:color w:val="000000"/>
          <w:kern w:val="2"/>
          <w:sz w:val="24"/>
          <w:szCs w:val="24"/>
          <w:lang w:val="en-US" w:eastAsia="zh-CN" w:bidi="ar-SA"/>
        </w:rPr>
        <w:t>足够富余</w:t>
      </w:r>
      <w:r>
        <w:rPr>
          <w:rFonts w:hint="eastAsia" w:ascii="宋体" w:hAnsi="宋体" w:eastAsia="宋体" w:cs="Times New Roman"/>
          <w:color w:val="000000"/>
          <w:kern w:val="2"/>
          <w:sz w:val="24"/>
          <w:szCs w:val="24"/>
          <w:lang w:val="zh-CN" w:eastAsia="zh-CN" w:bidi="ar-SA"/>
        </w:rPr>
        <w:t>,使系统在停电状态下能保存及传输数据，恢复供电后系统能自动工作。在停电的情况下，保障系统自身维持运转</w:t>
      </w:r>
      <w:r>
        <w:rPr>
          <w:rFonts w:hint="eastAsia" w:ascii="宋体" w:hAnsi="宋体" w:eastAsia="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zh-CN" w:eastAsia="zh-CN" w:bidi="ar-SA"/>
        </w:rPr>
        <w:t>小时。</w:t>
      </w:r>
    </w:p>
    <w:p w14:paraId="46E9CF3E">
      <w:pPr>
        <w:pStyle w:val="22"/>
        <w:keepNext w:val="0"/>
        <w:keepLines w:val="0"/>
        <w:pageBreakBefore w:val="0"/>
        <w:widowControl w:val="0"/>
        <w:kinsoku/>
        <w:wordWrap/>
        <w:overflowPunct/>
        <w:topLinePunct w:val="0"/>
        <w:autoSpaceDE/>
        <w:autoSpaceDN/>
        <w:bidi w:val="0"/>
        <w:adjustRightInd/>
        <w:snapToGrid w:val="0"/>
        <w:spacing w:line="520" w:lineRule="exact"/>
        <w:ind w:firstLine="482" w:firstLineChars="200"/>
        <w:textAlignment w:val="auto"/>
        <w:outlineLvl w:val="9"/>
        <w:rPr>
          <w:rFonts w:hint="eastAsia" w:ascii="宋体" w:hAnsi="宋体" w:eastAsia="宋体" w:cs="Times New Roman"/>
          <w:b/>
          <w:bCs/>
          <w:color w:val="000000"/>
          <w:kern w:val="2"/>
          <w:sz w:val="24"/>
          <w:szCs w:val="24"/>
          <w:lang w:val="zh-CN" w:eastAsia="zh-CN" w:bidi="ar-SA"/>
        </w:rPr>
      </w:pPr>
      <w:r>
        <w:rPr>
          <w:rFonts w:hint="eastAsia" w:ascii="宋体" w:hAnsi="宋体" w:eastAsia="宋体" w:cs="Times New Roman"/>
          <w:b/>
          <w:bCs/>
          <w:color w:val="000000"/>
          <w:kern w:val="2"/>
          <w:sz w:val="24"/>
          <w:szCs w:val="24"/>
          <w:lang w:val="en-US" w:eastAsia="zh-CN" w:bidi="ar-SA"/>
        </w:rPr>
        <w:t>三</w:t>
      </w:r>
      <w:r>
        <w:rPr>
          <w:rFonts w:hint="eastAsia" w:ascii="宋体" w:hAnsi="宋体" w:eastAsia="宋体" w:cs="Times New Roman"/>
          <w:b/>
          <w:bCs/>
          <w:color w:val="000000"/>
          <w:kern w:val="2"/>
          <w:sz w:val="24"/>
          <w:szCs w:val="24"/>
          <w:lang w:val="zh-CN" w:eastAsia="zh-CN" w:bidi="ar-SA"/>
        </w:rPr>
        <w:t xml:space="preserve">、运行维护技术要求 </w:t>
      </w:r>
    </w:p>
    <w:p w14:paraId="42B6CA75">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一</w:t>
      </w: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总体要求</w:t>
      </w:r>
    </w:p>
    <w:p w14:paraId="330F168B">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中标单位须按照采购人的技术要求和质量控制要求，全面负责水站（站房、采水、所有仪器设备等）的日常运行维护。当采购人依据国家有关规定和技术要求出台新的运维要求时，以新要求为准。</w:t>
      </w:r>
    </w:p>
    <w:p w14:paraId="55039282">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（1）中标单位运行维护期间必须遵守国家的有关法律、法规及其他规定，依照有关规范和技术要求，使水站的运行结果达到采购人的考核指标要求，充分发挥水质自动监测系统的效能；</w:t>
      </w:r>
    </w:p>
    <w:p w14:paraId="06E58F2F">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（2）运行维护期间，值守人员的相关费用以及采水、供水、供电、通讯、采暖、试剂耗材、仪器设备维修、设施设备的年检保养和水站安全保障所发生的费用等均由中标单位支付；</w:t>
      </w:r>
    </w:p>
    <w:p w14:paraId="73E8D5F8">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（3）中标单位须参加采购人组织的技术培训以及运维质量的相互监督检查，接受采购人或其委托相关机构的监管和考核；</w:t>
      </w:r>
    </w:p>
    <w:p w14:paraId="14BA044F">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（4）运行维护期间，如遇采购人为水站更换或新增仪器，中标单位须配合做好新仪器的安装、调试和运行维护等工作，以及数据无缝对接到采购人指定的管理平台中；</w:t>
      </w:r>
    </w:p>
    <w:p w14:paraId="7FDF3B6B">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5）运行维护期间，水站的全部资产（建筑物、设备、软件、配套设施、水质自动监测系统和配套监控系统产生的各类数据信息及相关文档资料等）属采购人所有。未经采购人同意，中标单位不得以任何方式对各类财产进行出售、抵押或转移；</w:t>
      </w:r>
    </w:p>
    <w:p w14:paraId="3884F54D">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（6）中标单位对水站的监测数据负有保密的责任，不得以任何方式和渠道向外界提供或用于商业用途；</w:t>
      </w:r>
    </w:p>
    <w:p w14:paraId="69E8726A">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7）运行维护期间，中标单位有责任保证水站全部资产的完整、安全并处于良好状态。每个水站必须配备值守人员，避免出现因被盗、人为破坏等原因造成的资产流失。如出现因中标单位安保措施不当造成的水站资产丢失、破坏的情况，中标单位须复原并尽快恢复运行，所发生的费用由中标单位承担。中标单位须协助采购人做好水站固定资产登记管理等工作；</w:t>
      </w:r>
    </w:p>
    <w:p w14:paraId="120D0F1B">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（8）中标单位应至少配备1辆运维车辆，</w:t>
      </w:r>
      <w:r>
        <w:rPr>
          <w:rFonts w:hint="eastAsia" w:ascii="宋体" w:hAnsi="宋体" w:eastAsia="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zh-CN" w:eastAsia="zh-CN" w:bidi="ar-SA"/>
        </w:rPr>
        <w:t>名运维人员。</w:t>
      </w:r>
    </w:p>
    <w:p w14:paraId="242A670B">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 xml:space="preserve">（9）中标单位相关技术人员应持证上岗，具有相关的专业知识，能独立运行维护水站； </w:t>
      </w:r>
    </w:p>
    <w:p w14:paraId="4C649AEA">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（10）中标单位运维期满后应保证资产完好，并做好资产交接，交接的仪器设备须满足本标书中的技术要求；</w:t>
      </w:r>
    </w:p>
    <w:p w14:paraId="4EA8D8A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（二）水站运行维护技术要求</w:t>
      </w:r>
    </w:p>
    <w:p w14:paraId="0DC8B1D4">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依据《国家地表水水质自动监测站运行管理办法》和《江苏省地表水自动监测站运行管理办法（试行）》及国家《地表水自动监测技术规范》（HJ 915-2017）等相关规定开展运行维护工作，确保水站正常稳定运行。</w:t>
      </w:r>
    </w:p>
    <w:p w14:paraId="149B1593">
      <w:pPr>
        <w:keepNext w:val="0"/>
        <w:keepLines w:val="0"/>
        <w:pageBreakBefore w:val="0"/>
        <w:widowControl w:val="0"/>
        <w:kinsoku/>
        <w:wordWrap/>
        <w:overflowPunct/>
        <w:topLinePunct w:val="0"/>
        <w:bidi w:val="0"/>
        <w:snapToGrid/>
        <w:spacing w:line="520" w:lineRule="exact"/>
        <w:ind w:firstLine="480" w:firstLineChars="200"/>
        <w:textAlignment w:val="auto"/>
        <w:outlineLvl w:val="0"/>
        <w:rPr>
          <w:rFonts w:hint="eastAsia" w:ascii="宋体" w:hAnsi="宋体" w:eastAsia="宋体" w:cs="Times New Roman"/>
          <w:color w:val="000000"/>
          <w:kern w:val="2"/>
          <w:sz w:val="24"/>
          <w:szCs w:val="24"/>
          <w:lang w:val="en-US" w:eastAsia="zh-CN" w:bidi="ar-SA"/>
        </w:rPr>
      </w:pPr>
      <w:bookmarkStart w:id="203" w:name="_Toc14300"/>
      <w:bookmarkStart w:id="204" w:name="_Toc14581"/>
      <w:r>
        <w:rPr>
          <w:rFonts w:hint="eastAsia" w:ascii="宋体" w:hAnsi="宋体" w:eastAsia="宋体" w:cs="Times New Roman"/>
          <w:color w:val="000000"/>
          <w:kern w:val="2"/>
          <w:sz w:val="24"/>
          <w:szCs w:val="24"/>
          <w:lang w:val="en-US" w:eastAsia="zh-CN" w:bidi="ar-SA"/>
        </w:rPr>
        <w:t>1、例行维护</w:t>
      </w:r>
      <w:bookmarkEnd w:id="203"/>
      <w:bookmarkEnd w:id="204"/>
    </w:p>
    <w:p w14:paraId="51C4985F">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例行维护包括站房环境检查、仪器与系统检查、易损件更换、耗材更换、试剂更换、管路清洗等工作。运行维护单位定期对水站进行巡检，巡检频次不得低于每周一次，并记录巡检情况。每次对水站巡检时进行下列工作：</w:t>
      </w:r>
    </w:p>
    <w:p w14:paraId="22FAEC62">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①查看各台分析仪器及辅助设备的运行状态和主要技术参数，判断运行是否正常；检查仪器供电、过程温度、搅拌电机、传感器、电极以及工作时序等是否正常，检查有无漏液、管路里是否有气泡等；定期清洗常规五参数；</w:t>
      </w:r>
    </w:p>
    <w:p w14:paraId="220D1A8C">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②依据仪器运行情况、断面水质状况和水站环境条件制定易耗品和消耗品（如泵管、接头、密封件等）的更换周期，并保证在耗材使用到期前完成更换；如果需要更换零配件（如电极等），应备有库存保证及时更换；</w:t>
      </w:r>
    </w:p>
    <w:p w14:paraId="6CF0374D">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③检查试剂状况，定期添加、更换试剂。所用纯水和试剂须达到相关技术要求，更换周期不得超过操作规程或仪器说明规定的试剂保质期，室内温度较高时应缩短更换周期。每次更换主要试剂后应按相应操作规程或仪器说明重新校准仪器。试剂配制工作应由有资质的实验室完成，提供试剂来源证明，并张贴标签；</w:t>
      </w:r>
    </w:p>
    <w:p w14:paraId="7D2216D0">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④及时整理站房及仪器，完成废液收集并按相关规定要求做好处理处置工作，且留档备查； 保持水站站房及各仪器干净整洁，及时关闭门窗，避免日光直射各类分析仪器；</w:t>
      </w:r>
    </w:p>
    <w:p w14:paraId="640D0863">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⑤检查采水系统、配水系统是否正常，如采水浮筒固定情况，自吸泵运行情况等；定期清洗采配水系统，包括采水头、吊桶、泵体、沉砂池、过滤头、样水杯、阀门、相关管路等，对于无法清洗干净的应及时更换；</w:t>
      </w:r>
    </w:p>
    <w:p w14:paraId="613A53E2">
      <w:pPr>
        <w:keepNext w:val="0"/>
        <w:keepLines w:val="0"/>
        <w:pageBreakBefore w:val="0"/>
        <w:widowControl w:val="0"/>
        <w:kinsoku/>
        <w:wordWrap/>
        <w:overflowPunct/>
        <w:topLinePunct w:val="0"/>
        <w:bidi w:val="0"/>
        <w:snapToGrid/>
        <w:spacing w:line="52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⑥检查水站电路系统是否正常，接地线路是否可靠，检查采样和排液管路是否有漏液或堵塞现象，排水排气装置工作是否正常；</w:t>
      </w:r>
    </w:p>
    <w:p w14:paraId="7ABB12D7">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⑦检查站房空调及保温措施，保持温度稳定；检查水泵及空压机固定情况，避免仪器振动； 检查空压机、不间断电源（UPS）、除藻装置、纯水机等辅助设施运行状态，及时更换耗材，并排空空压机积水；</w:t>
      </w:r>
    </w:p>
    <w:p w14:paraId="1E7A329D">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⑧检查工控机运行状态，有无中毒现象，至少每季度备份一次现场数据及控制软件；检查仪器与系统的通讯线路是否正常，模拟量传输的数据偏差是否符合要求；</w:t>
      </w:r>
    </w:p>
    <w:p w14:paraId="5C547A07">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⑨站房周围的杂草和积水应及时清除，检查防雷设施是否可靠，站房是否有漏雨、锈蚀现象，站房外围的其他设施是否有损坏或被水淹，如遇到以上问题及时处理，保证系统安全运行。在封冻期来临前做好采水管路和站房保温等维护工作；</w:t>
      </w:r>
    </w:p>
    <w:p w14:paraId="2686C324">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⑩做好日常例行维护工作记录，重要的工作内容拍照存档。</w:t>
      </w:r>
    </w:p>
    <w:p w14:paraId="4F628B4B">
      <w:pPr>
        <w:keepNext w:val="0"/>
        <w:keepLines w:val="0"/>
        <w:pageBreakBefore w:val="0"/>
        <w:widowControl w:val="0"/>
        <w:kinsoku/>
        <w:wordWrap/>
        <w:overflowPunct/>
        <w:topLinePunct w:val="0"/>
        <w:bidi w:val="0"/>
        <w:snapToGrid/>
        <w:spacing w:line="520" w:lineRule="exact"/>
        <w:ind w:firstLine="480" w:firstLineChars="200"/>
        <w:textAlignment w:val="auto"/>
        <w:outlineLvl w:val="0"/>
        <w:rPr>
          <w:rFonts w:hint="eastAsia" w:ascii="宋体" w:hAnsi="宋体" w:eastAsia="宋体" w:cs="Times New Roman"/>
          <w:color w:val="000000"/>
          <w:kern w:val="2"/>
          <w:sz w:val="24"/>
          <w:szCs w:val="24"/>
          <w:lang w:val="en-US" w:eastAsia="zh-CN" w:bidi="ar-SA"/>
        </w:rPr>
      </w:pPr>
      <w:bookmarkStart w:id="205" w:name="_Toc19328"/>
      <w:bookmarkStart w:id="206" w:name="_Toc31984"/>
      <w:r>
        <w:rPr>
          <w:rFonts w:hint="eastAsia" w:ascii="宋体" w:hAnsi="宋体" w:eastAsia="宋体" w:cs="Times New Roman"/>
          <w:color w:val="000000"/>
          <w:kern w:val="2"/>
          <w:sz w:val="24"/>
          <w:szCs w:val="24"/>
          <w:lang w:val="en-US" w:eastAsia="zh-CN" w:bidi="ar-SA"/>
        </w:rPr>
        <w:t>2、保养检修</w:t>
      </w:r>
      <w:bookmarkEnd w:id="205"/>
      <w:bookmarkEnd w:id="206"/>
    </w:p>
    <w:p w14:paraId="5AF217B2">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根据系统运行的环境状况，在规定的时间对系统正在运行的仪器设备进行预防故障发生的检修。在有备用仪器作为保障时，应用备用仪器将水站中正在运行的监测分析仪器设备替换下来，送往实验室进行保养检修；如没有备用仪器保障时，可在现场进行保养检修。保养检修计划应根据系统仪器设备的配置情况和设备使用手册的要求制定。</w:t>
      </w:r>
    </w:p>
    <w:p w14:paraId="3EBAAC33">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①水站的监测仪器设备每年至少进行 1 次保养检修；</w:t>
      </w:r>
    </w:p>
    <w:p w14:paraId="2BE49975">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②按厂家提供的使用和维修手册规定的要求，根据使用寿命，更换监测仪器中的灯源、电极、蠕动泵、传感器等关键零部件；</w:t>
      </w:r>
    </w:p>
    <w:p w14:paraId="69952E79">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③对仪器进行液路检漏和压力检查；对光路、液路、电路板和各种接头及插座等进行检查和清洁处理；</w:t>
      </w:r>
    </w:p>
    <w:p w14:paraId="0FF286D5">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④对仪器的输出零点和满量程进行检查和校准，并检查仪器的输出线性；</w:t>
      </w:r>
    </w:p>
    <w:p w14:paraId="51C77E7B">
      <w:pPr>
        <w:keepNext w:val="0"/>
        <w:keepLines w:val="0"/>
        <w:pageBreakBefore w:val="0"/>
        <w:widowControl w:val="0"/>
        <w:kinsoku/>
        <w:wordWrap/>
        <w:overflowPunct/>
        <w:topLinePunct w:val="0"/>
        <w:bidi w:val="0"/>
        <w:snapToGrid/>
        <w:spacing w:line="52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在每次全面保养检修完成后，或更换了仪器中的光源、电极、蠕动泵、传感器等关键零部件后，必须对仪器重新进行校准和检查，并记录检修校准情况。</w:t>
      </w:r>
    </w:p>
    <w:p w14:paraId="1767A69A">
      <w:pPr>
        <w:keepNext w:val="0"/>
        <w:keepLines w:val="0"/>
        <w:pageBreakBefore w:val="0"/>
        <w:widowControl w:val="0"/>
        <w:kinsoku/>
        <w:wordWrap/>
        <w:overflowPunct/>
        <w:topLinePunct w:val="0"/>
        <w:bidi w:val="0"/>
        <w:snapToGrid/>
        <w:spacing w:line="520" w:lineRule="exact"/>
        <w:ind w:firstLine="480" w:firstLineChars="200"/>
        <w:textAlignment w:val="auto"/>
        <w:outlineLvl w:val="0"/>
        <w:rPr>
          <w:rFonts w:hint="eastAsia" w:ascii="宋体" w:hAnsi="宋体" w:eastAsia="宋体" w:cs="Times New Roman"/>
          <w:color w:val="000000"/>
          <w:kern w:val="2"/>
          <w:sz w:val="24"/>
          <w:szCs w:val="24"/>
          <w:lang w:val="en-US" w:eastAsia="zh-CN" w:bidi="ar-SA"/>
        </w:rPr>
      </w:pPr>
      <w:bookmarkStart w:id="207" w:name="_Toc11659"/>
      <w:bookmarkStart w:id="208" w:name="_Toc8731"/>
      <w:r>
        <w:rPr>
          <w:rFonts w:hint="eastAsia" w:ascii="宋体" w:hAnsi="宋体" w:eastAsia="宋体" w:cs="Times New Roman"/>
          <w:color w:val="000000"/>
          <w:kern w:val="2"/>
          <w:sz w:val="24"/>
          <w:szCs w:val="24"/>
          <w:lang w:val="en-US" w:eastAsia="zh-CN" w:bidi="ar-SA"/>
        </w:rPr>
        <w:t>3、故障检修</w:t>
      </w:r>
      <w:bookmarkEnd w:id="207"/>
      <w:bookmarkEnd w:id="208"/>
    </w:p>
    <w:p w14:paraId="094BCC7B">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故障检修是指对出现故障的仪器设备进行针对性检查和维修。故障检修应做到：</w:t>
      </w:r>
    </w:p>
    <w:p w14:paraId="2199A476">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①根据所使用的仪器特点和厂商提供的维修手册，制定常见故障的判断和检修的作业指导书；</w:t>
      </w:r>
    </w:p>
    <w:p w14:paraId="07D055C2">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②对于在现场能够诊断明确，且可通过更换备件解决的问题（例如电磁阀控制失灵、泵管破裂、液路堵塞和灯源老化等问题），则在现场进行检修；</w:t>
      </w:r>
    </w:p>
    <w:p w14:paraId="3EA97BD9">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③对于其他不易诊断和检修的故障，应采用备用仪器替代发生故障的仪器，将发生故障的仪器  或配件送实验室或仪器厂商进行检查和维修；</w:t>
      </w:r>
    </w:p>
    <w:p w14:paraId="549C6F73">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④在每次故障检修完成后，根据检修内容和更换部件情况，对仪器进行校准。对于普通易损件的维修（如更换泵管、散热风扇、液路接头或接插件等）至少做标液校准；对于关键部件的维修（如对运动的机械部件、光学部件、检测部件和信号处理部件的维修），按仪器标准规范要求进行标准曲线和精密度检查。所有检修内容均按要求做好记录备查。</w:t>
      </w:r>
    </w:p>
    <w:p w14:paraId="152651B0">
      <w:pPr>
        <w:keepNext w:val="0"/>
        <w:keepLines w:val="0"/>
        <w:pageBreakBefore w:val="0"/>
        <w:widowControl w:val="0"/>
        <w:kinsoku/>
        <w:wordWrap/>
        <w:overflowPunct/>
        <w:topLinePunct w:val="0"/>
        <w:bidi w:val="0"/>
        <w:snapToGrid/>
        <w:spacing w:line="520" w:lineRule="exact"/>
        <w:ind w:firstLine="480" w:firstLineChars="200"/>
        <w:textAlignment w:val="auto"/>
        <w:outlineLvl w:val="0"/>
        <w:rPr>
          <w:rFonts w:hint="eastAsia" w:ascii="宋体" w:hAnsi="宋体" w:eastAsia="宋体" w:cs="Times New Roman"/>
          <w:color w:val="000000"/>
          <w:kern w:val="2"/>
          <w:sz w:val="24"/>
          <w:szCs w:val="24"/>
          <w:lang w:val="en-US" w:eastAsia="zh-CN" w:bidi="ar-SA"/>
        </w:rPr>
      </w:pPr>
      <w:bookmarkStart w:id="209" w:name="_Toc15075"/>
      <w:bookmarkStart w:id="210" w:name="_Toc31497"/>
      <w:r>
        <w:rPr>
          <w:rFonts w:hint="eastAsia" w:ascii="宋体" w:hAnsi="宋体" w:eastAsia="宋体" w:cs="Times New Roman"/>
          <w:color w:val="000000"/>
          <w:kern w:val="2"/>
          <w:sz w:val="24"/>
          <w:szCs w:val="24"/>
          <w:lang w:val="en-US" w:eastAsia="zh-CN" w:bidi="ar-SA"/>
        </w:rPr>
        <w:t>4、数据平台日常管理</w:t>
      </w:r>
      <w:bookmarkEnd w:id="209"/>
      <w:bookmarkEnd w:id="210"/>
    </w:p>
    <w:p w14:paraId="7F1E38E0">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数据平台必须安排人员对设备运行和水质情况进行了解，每天上午和下午通过数据平台软件远程调看水站监测数据至少各 1 次，根据情况组织开展巡检、核查、维修等工作，保障水站正常、安全运行。数据平台日常管理工作包括：</w:t>
      </w:r>
    </w:p>
    <w:p w14:paraId="29391C91">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①检查各水站数据传输、仪器及相关系统参数数据情况，发现问题，及时处理；</w:t>
      </w:r>
    </w:p>
    <w:p w14:paraId="651948ED">
      <w:pPr>
        <w:pStyle w:val="17"/>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②发现数据有持续异常值出现时，立即安排技术人员前往现场进行调查，必要时采集实际水样进行人工分析。</w:t>
      </w:r>
    </w:p>
    <w:p w14:paraId="7E4F0A5F">
      <w:pPr>
        <w:pStyle w:val="17"/>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③根据相关技术规范，每天中午12时前对前一天水站数据进行审核。</w:t>
      </w:r>
    </w:p>
    <w:p w14:paraId="2D4B5F4B">
      <w:pPr>
        <w:keepNext w:val="0"/>
        <w:keepLines w:val="0"/>
        <w:pageBreakBefore w:val="0"/>
        <w:widowControl w:val="0"/>
        <w:kinsoku/>
        <w:wordWrap/>
        <w:overflowPunct/>
        <w:topLinePunct w:val="0"/>
        <w:bidi w:val="0"/>
        <w:snapToGrid/>
        <w:spacing w:line="520" w:lineRule="exact"/>
        <w:ind w:firstLine="480" w:firstLineChars="200"/>
        <w:textAlignment w:val="auto"/>
        <w:outlineLvl w:val="0"/>
        <w:rPr>
          <w:rFonts w:hint="eastAsia" w:ascii="宋体" w:hAnsi="宋体" w:eastAsia="宋体" w:cs="Times New Roman"/>
          <w:color w:val="000000"/>
          <w:kern w:val="2"/>
          <w:sz w:val="24"/>
          <w:szCs w:val="24"/>
          <w:lang w:val="en-US" w:eastAsia="zh-CN" w:bidi="ar-SA"/>
        </w:rPr>
      </w:pPr>
      <w:bookmarkStart w:id="211" w:name="_Toc6483"/>
      <w:bookmarkStart w:id="212" w:name="_Toc947"/>
      <w:r>
        <w:rPr>
          <w:rFonts w:hint="eastAsia" w:ascii="宋体" w:hAnsi="宋体" w:eastAsia="宋体" w:cs="Times New Roman"/>
          <w:color w:val="000000"/>
          <w:kern w:val="2"/>
          <w:sz w:val="24"/>
          <w:szCs w:val="24"/>
          <w:lang w:val="en-US" w:eastAsia="zh-CN" w:bidi="ar-SA"/>
        </w:rPr>
        <w:t>5、应急措施要求</w:t>
      </w:r>
      <w:bookmarkEnd w:id="211"/>
      <w:bookmarkEnd w:id="212"/>
    </w:p>
    <w:p w14:paraId="1B342C1E">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投标人应制定应急事故处理方案，内容包括突发性水质污染、特殊时期（丰水期、枯水期）、自然灾害、水电检修、临时停电或节假日、重大活动或被破坏情况。</w:t>
      </w:r>
    </w:p>
    <w:p w14:paraId="1A9F52A0">
      <w:pPr>
        <w:keepNext w:val="0"/>
        <w:keepLines w:val="0"/>
        <w:pageBreakBefore w:val="0"/>
        <w:widowControl w:val="0"/>
        <w:kinsoku/>
        <w:wordWrap/>
        <w:overflowPunct/>
        <w:topLinePunct w:val="0"/>
        <w:bidi w:val="0"/>
        <w:snapToGrid/>
        <w:spacing w:line="520" w:lineRule="exact"/>
        <w:ind w:firstLine="480" w:firstLineChars="200"/>
        <w:textAlignment w:val="auto"/>
        <w:outlineLvl w:val="1"/>
        <w:rPr>
          <w:rFonts w:hint="eastAsia" w:ascii="宋体" w:hAnsi="宋体" w:eastAsia="宋体" w:cs="Times New Roman"/>
          <w:color w:val="000000"/>
          <w:kern w:val="2"/>
          <w:sz w:val="24"/>
          <w:szCs w:val="24"/>
          <w:lang w:val="en-US" w:eastAsia="zh-CN" w:bidi="ar-SA"/>
        </w:rPr>
      </w:pPr>
      <w:bookmarkStart w:id="213" w:name="_Toc32461"/>
      <w:bookmarkStart w:id="214" w:name="_Toc29256"/>
      <w:r>
        <w:rPr>
          <w:rFonts w:hint="eastAsia" w:ascii="宋体" w:hAnsi="宋体" w:eastAsia="宋体" w:cs="Times New Roman"/>
          <w:color w:val="000000"/>
          <w:kern w:val="2"/>
          <w:sz w:val="24"/>
          <w:szCs w:val="24"/>
          <w:lang w:val="en-US" w:eastAsia="zh-CN" w:bidi="ar-SA"/>
        </w:rPr>
        <w:t>（1）水站监测数据异常处理</w:t>
      </w:r>
      <w:bookmarkEnd w:id="213"/>
      <w:bookmarkEnd w:id="214"/>
    </w:p>
    <w:p w14:paraId="321247DD">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当水站监测数据发现异常或发现所在断面发生污染事故时，须2小时内到达站点核查仪器运行状态，保证系统仪器正常运行，监测数据准确，传输畅通，并协助托管站进行手工监测复核。</w:t>
      </w:r>
    </w:p>
    <w:p w14:paraId="46CA69B9">
      <w:pPr>
        <w:keepNext w:val="0"/>
        <w:keepLines w:val="0"/>
        <w:pageBreakBefore w:val="0"/>
        <w:widowControl w:val="0"/>
        <w:kinsoku/>
        <w:wordWrap/>
        <w:overflowPunct/>
        <w:topLinePunct w:val="0"/>
        <w:bidi w:val="0"/>
        <w:snapToGrid/>
        <w:spacing w:line="520" w:lineRule="exact"/>
        <w:ind w:firstLine="480" w:firstLineChars="200"/>
        <w:textAlignment w:val="auto"/>
        <w:outlineLvl w:val="1"/>
        <w:rPr>
          <w:rFonts w:hint="eastAsia" w:ascii="宋体" w:hAnsi="宋体" w:eastAsia="宋体" w:cs="Times New Roman"/>
          <w:color w:val="000000"/>
          <w:kern w:val="2"/>
          <w:sz w:val="24"/>
          <w:szCs w:val="24"/>
          <w:lang w:val="en-US" w:eastAsia="zh-CN" w:bidi="ar-SA"/>
        </w:rPr>
      </w:pPr>
      <w:bookmarkStart w:id="215" w:name="_Toc1019"/>
      <w:bookmarkStart w:id="216" w:name="_Toc20337"/>
      <w:r>
        <w:rPr>
          <w:rFonts w:hint="eastAsia" w:ascii="宋体" w:hAnsi="宋体" w:eastAsia="宋体" w:cs="Times New Roman"/>
          <w:color w:val="000000"/>
          <w:kern w:val="2"/>
          <w:sz w:val="24"/>
          <w:szCs w:val="24"/>
          <w:lang w:val="en-US" w:eastAsia="zh-CN" w:bidi="ar-SA"/>
        </w:rPr>
        <w:t>(2) 水质自动站系统仪器故障</w:t>
      </w:r>
      <w:bookmarkEnd w:id="215"/>
      <w:bookmarkEnd w:id="216"/>
    </w:p>
    <w:p w14:paraId="1C5094E5">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当水质自动站系统仪器出现故障、停运时，中标单位应保证在2小时内到达现场检修，如24小时内无法排除故障，导致水站主要监测指标无法连续监测时，须在48小时内更换备机；因水电中断或采水故障，水站无法正常运行的，应委托有资质的检测机构进行检测以确保数据的完整性，实验室检测数据不少于每周两组（不得为同一天监测）。并及时用电话与书面形式报告业主，协商处理方案。</w:t>
      </w:r>
    </w:p>
    <w:p w14:paraId="0F7558F4">
      <w:pPr>
        <w:keepNext w:val="0"/>
        <w:keepLines w:val="0"/>
        <w:pageBreakBefore w:val="0"/>
        <w:widowControl w:val="0"/>
        <w:kinsoku/>
        <w:wordWrap/>
        <w:overflowPunct/>
        <w:topLinePunct w:val="0"/>
        <w:bidi w:val="0"/>
        <w:snapToGrid/>
        <w:spacing w:line="520" w:lineRule="exact"/>
        <w:ind w:firstLine="480" w:firstLineChars="200"/>
        <w:textAlignment w:val="auto"/>
        <w:outlineLvl w:val="1"/>
        <w:rPr>
          <w:rFonts w:hint="eastAsia" w:ascii="宋体" w:hAnsi="宋体" w:eastAsia="宋体" w:cs="Times New Roman"/>
          <w:color w:val="000000"/>
          <w:kern w:val="2"/>
          <w:sz w:val="24"/>
          <w:szCs w:val="24"/>
          <w:lang w:val="en-US" w:eastAsia="zh-CN" w:bidi="ar-SA"/>
        </w:rPr>
      </w:pPr>
      <w:bookmarkStart w:id="217" w:name="_Toc4343"/>
      <w:bookmarkStart w:id="218" w:name="_Toc4096"/>
      <w:r>
        <w:rPr>
          <w:rFonts w:hint="eastAsia" w:ascii="宋体" w:hAnsi="宋体" w:eastAsia="宋体" w:cs="Times New Roman"/>
          <w:color w:val="000000"/>
          <w:kern w:val="2"/>
          <w:sz w:val="24"/>
          <w:szCs w:val="24"/>
          <w:lang w:val="en-US" w:eastAsia="zh-CN" w:bidi="ar-SA"/>
        </w:rPr>
        <w:t>(3) 应急与数据补测</w:t>
      </w:r>
      <w:bookmarkEnd w:id="217"/>
      <w:bookmarkEnd w:id="218"/>
    </w:p>
    <w:p w14:paraId="1CF9AE3E">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①中标单位发现数据异常波动并及时核实上报，积极配合污染排查、水站检查工作。</w:t>
      </w:r>
    </w:p>
    <w:p w14:paraId="63A16253">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②中标单位因站点水电中断、采水故障等原因停运，需要委托有资质的检测机构进行检测时，应在上报手工监测数据的同时附有相关检测机构的正式检测报告，相关检测费用由中标人负责。</w:t>
      </w:r>
    </w:p>
    <w:p w14:paraId="439A6206">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③备机应满足国家及省内相关技术规范的要求，并在我省和国内得到广泛应用，适用于我省水环境自动监测系统，投标时应提供仪器彩页和相关使用情况证明材料。</w:t>
      </w:r>
    </w:p>
    <w:p w14:paraId="062C877D">
      <w:pPr>
        <w:keepNext w:val="0"/>
        <w:keepLines w:val="0"/>
        <w:pageBreakBefore w:val="0"/>
        <w:widowControl w:val="0"/>
        <w:kinsoku/>
        <w:wordWrap/>
        <w:overflowPunct/>
        <w:topLinePunct w:val="0"/>
        <w:bidi w:val="0"/>
        <w:snapToGrid/>
        <w:spacing w:line="520" w:lineRule="exact"/>
        <w:ind w:firstLine="480" w:firstLineChars="200"/>
        <w:textAlignment w:val="auto"/>
        <w:outlineLvl w:val="0"/>
        <w:rPr>
          <w:rFonts w:hint="eastAsia" w:ascii="宋体" w:hAnsi="宋体" w:eastAsia="宋体" w:cs="Times New Roman"/>
          <w:color w:val="000000"/>
          <w:kern w:val="2"/>
          <w:sz w:val="24"/>
          <w:szCs w:val="24"/>
          <w:lang w:val="en-US" w:eastAsia="zh-CN" w:bidi="ar-SA"/>
        </w:rPr>
      </w:pPr>
      <w:bookmarkStart w:id="219" w:name="_Toc21622"/>
      <w:bookmarkStart w:id="220" w:name="_Toc21970"/>
      <w:r>
        <w:rPr>
          <w:rFonts w:hint="eastAsia" w:ascii="宋体" w:hAnsi="宋体" w:eastAsia="宋体" w:cs="Times New Roman"/>
          <w:color w:val="000000"/>
          <w:kern w:val="2"/>
          <w:sz w:val="24"/>
          <w:szCs w:val="24"/>
          <w:lang w:val="en-US" w:eastAsia="zh-CN" w:bidi="ar-SA"/>
        </w:rPr>
        <w:t>6、质量保证与质量控制</w:t>
      </w:r>
      <w:bookmarkEnd w:id="219"/>
      <w:bookmarkEnd w:id="220"/>
    </w:p>
    <w:p w14:paraId="7AF7868C">
      <w:pPr>
        <w:keepNext w:val="0"/>
        <w:keepLines w:val="0"/>
        <w:pageBreakBefore w:val="0"/>
        <w:widowControl w:val="0"/>
        <w:kinsoku/>
        <w:wordWrap/>
        <w:overflowPunct/>
        <w:topLinePunct w:val="0"/>
        <w:bidi w:val="0"/>
        <w:snapToGrid/>
        <w:spacing w:line="520" w:lineRule="exact"/>
        <w:ind w:firstLine="240" w:firstLineChars="100"/>
        <w:textAlignment w:val="auto"/>
        <w:outlineLvl w:val="1"/>
        <w:rPr>
          <w:rFonts w:hint="eastAsia" w:ascii="宋体" w:hAnsi="宋体" w:eastAsia="宋体" w:cs="Times New Roman"/>
          <w:color w:val="000000"/>
          <w:kern w:val="2"/>
          <w:sz w:val="24"/>
          <w:szCs w:val="24"/>
          <w:lang w:val="en-US" w:eastAsia="zh-CN" w:bidi="ar-SA"/>
        </w:rPr>
      </w:pPr>
      <w:bookmarkStart w:id="221" w:name="_Toc30867"/>
      <w:bookmarkStart w:id="222" w:name="_Toc20750"/>
      <w:r>
        <w:rPr>
          <w:rFonts w:hint="eastAsia" w:ascii="宋体" w:hAnsi="宋体" w:eastAsia="宋体" w:cs="Times New Roman"/>
          <w:color w:val="000000"/>
          <w:kern w:val="2"/>
          <w:sz w:val="24"/>
          <w:szCs w:val="24"/>
          <w:lang w:val="en-US" w:eastAsia="zh-CN" w:bidi="ar-SA"/>
        </w:rPr>
        <w:t>（1）标准的量值传递要求</w:t>
      </w:r>
      <w:bookmarkEnd w:id="221"/>
      <w:bookmarkEnd w:id="222"/>
    </w:p>
    <w:p w14:paraId="5002A781">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用于校准监测仪器的标准样品，采用有证标准样品或者标准物质进行配制；用于量值传递的分析天平、台秤、温度计、标准万用表、移液管、容量瓶等量器，按照相关规定，定期送有关部门进行检定。</w:t>
      </w:r>
    </w:p>
    <w:p w14:paraId="3EA3BA21">
      <w:pPr>
        <w:keepNext w:val="0"/>
        <w:keepLines w:val="0"/>
        <w:pageBreakBefore w:val="0"/>
        <w:widowControl w:val="0"/>
        <w:kinsoku/>
        <w:wordWrap/>
        <w:overflowPunct/>
        <w:topLinePunct w:val="0"/>
        <w:bidi w:val="0"/>
        <w:snapToGrid/>
        <w:spacing w:line="520" w:lineRule="exact"/>
        <w:ind w:firstLine="240" w:firstLineChars="100"/>
        <w:textAlignment w:val="auto"/>
        <w:outlineLvl w:val="1"/>
        <w:rPr>
          <w:rFonts w:hint="eastAsia" w:ascii="宋体" w:hAnsi="宋体" w:eastAsia="宋体" w:cs="Times New Roman"/>
          <w:color w:val="000000"/>
          <w:kern w:val="2"/>
          <w:sz w:val="24"/>
          <w:szCs w:val="24"/>
          <w:lang w:val="en-US" w:eastAsia="zh-CN" w:bidi="ar-SA"/>
        </w:rPr>
      </w:pPr>
      <w:bookmarkStart w:id="223" w:name="_Toc30372"/>
      <w:bookmarkStart w:id="224" w:name="_Toc4019"/>
      <w:r>
        <w:rPr>
          <w:rFonts w:hint="eastAsia" w:ascii="宋体" w:hAnsi="宋体" w:eastAsia="宋体" w:cs="Times New Roman"/>
          <w:color w:val="000000"/>
          <w:kern w:val="2"/>
          <w:sz w:val="24"/>
          <w:szCs w:val="24"/>
          <w:lang w:val="en-US" w:eastAsia="zh-CN" w:bidi="ar-SA"/>
        </w:rPr>
        <w:t>（2）仪器性能核查内容、要求</w:t>
      </w:r>
      <w:bookmarkEnd w:id="223"/>
      <w:bookmarkEnd w:id="224"/>
    </w:p>
    <w:p w14:paraId="1FAFA434">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①仪器性能核查内容</w:t>
      </w:r>
    </w:p>
    <w:p w14:paraId="703D5922">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仪器性能核查是获得有效数据的基本保证和自动监测系统正常运行的关键，包括定期的准确度、精密度、检出限、标准曲线、加标回收率、零点漂移、量程漂移检查及每次仪器维护前后的校准工作。</w:t>
      </w:r>
    </w:p>
    <w:p w14:paraId="523C6D2A">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②仪器性能核查要求</w:t>
      </w:r>
    </w:p>
    <w:p w14:paraId="1EF65012">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仪器性能核查要求如下：</w:t>
      </w:r>
    </w:p>
    <w:p w14:paraId="7239125E">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至少每半年进行一次准确度、精密度、检出限、标准曲线和加标回收率的检查；至少每半年进行一次零点漂移和量程漂移检查；更新检测器后，进行一次标准曲线和精密度检查；更新仪器后，对照相关技术规范要求对所有仪器性能指标进行一次检查；至少每月进行一次仪器校准工作。仪器性能核查的数据采集频次可以调整到小于日常监测数据采集频次，同时保证样品测定不受前一个样品的影响。</w:t>
      </w:r>
    </w:p>
    <w:p w14:paraId="42B0CE2D">
      <w:pPr>
        <w:pStyle w:val="17"/>
        <w:keepNext w:val="0"/>
        <w:keepLines w:val="0"/>
        <w:pageBreakBefore w:val="0"/>
        <w:widowControl w:val="0"/>
        <w:kinsoku/>
        <w:wordWrap/>
        <w:overflowPunct/>
        <w:topLinePunct w:val="0"/>
        <w:bidi w:val="0"/>
        <w:snapToGrid/>
        <w:spacing w:line="520" w:lineRule="exact"/>
        <w:ind w:firstLine="240" w:firstLineChars="100"/>
        <w:textAlignment w:val="auto"/>
        <w:outlineLvl w:val="1"/>
        <w:rPr>
          <w:rFonts w:hint="eastAsia" w:ascii="宋体" w:hAnsi="宋体" w:eastAsia="宋体" w:cs="Times New Roman"/>
          <w:color w:val="000000"/>
          <w:kern w:val="2"/>
          <w:sz w:val="24"/>
          <w:szCs w:val="24"/>
          <w:lang w:val="en-US" w:eastAsia="zh-CN" w:bidi="ar-SA"/>
        </w:rPr>
      </w:pPr>
      <w:bookmarkStart w:id="225" w:name="_Toc16237"/>
      <w:bookmarkStart w:id="226" w:name="_Toc23205"/>
      <w:r>
        <w:rPr>
          <w:rFonts w:hint="eastAsia" w:ascii="宋体" w:hAnsi="宋体" w:eastAsia="宋体" w:cs="Times New Roman"/>
          <w:color w:val="000000"/>
          <w:kern w:val="2"/>
          <w:sz w:val="24"/>
          <w:szCs w:val="24"/>
          <w:lang w:val="en-US" w:eastAsia="zh-CN" w:bidi="ar-SA"/>
        </w:rPr>
        <w:t>（3）实际水样比对</w:t>
      </w:r>
      <w:bookmarkEnd w:id="225"/>
      <w:bookmarkEnd w:id="226"/>
    </w:p>
    <w:p w14:paraId="24C202DB">
      <w:pPr>
        <w:pStyle w:val="17"/>
        <w:keepNext w:val="0"/>
        <w:keepLines w:val="0"/>
        <w:pageBreakBefore w:val="0"/>
        <w:widowControl w:val="0"/>
        <w:kinsoku/>
        <w:wordWrap/>
        <w:overflowPunct/>
        <w:topLinePunct w:val="0"/>
        <w:bidi w:val="0"/>
        <w:snapToGrid/>
        <w:spacing w:line="520" w:lineRule="exact"/>
        <w:ind w:firstLine="56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每月至少开展一次实际水样比对工作。</w:t>
      </w:r>
    </w:p>
    <w:p w14:paraId="1E9EE832">
      <w:pPr>
        <w:keepNext w:val="0"/>
        <w:keepLines w:val="0"/>
        <w:pageBreakBefore w:val="0"/>
        <w:widowControl w:val="0"/>
        <w:tabs>
          <w:tab w:val="left" w:pos="2280"/>
        </w:tabs>
        <w:kinsoku/>
        <w:wordWrap/>
        <w:overflowPunct/>
        <w:topLinePunct w:val="0"/>
        <w:bidi w:val="0"/>
        <w:snapToGrid/>
        <w:spacing w:line="520" w:lineRule="exact"/>
        <w:ind w:firstLine="480" w:firstLineChars="200"/>
        <w:contextualSpacing/>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（三）水站运维考核办法</w:t>
      </w:r>
    </w:p>
    <w:p w14:paraId="002CA59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1、考核办法</w:t>
      </w:r>
    </w:p>
    <w:p w14:paraId="6DB7A41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射阳生态环境监测站（或委托其他单位）不定期对中标人开展运行维护工作考核，以每个水质自动站为单位进行考核。逐站依据上述维护内容就每周、每月、每年的维护质量和相关指标相结合的方式进行评分，满分为100分，得分大于等于80分为合格。</w:t>
      </w:r>
    </w:p>
    <w:p w14:paraId="2EB5192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2、惩罚办法</w:t>
      </w:r>
    </w:p>
    <w:p w14:paraId="5068FA6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2.1 一旦发现虚假数据，射阳生态环境监测站有权终止合同，并按已支付费用的双倍进行经济处罚。</w:t>
      </w:r>
    </w:p>
    <w:p w14:paraId="48C2B0C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2.2不定期对各水站开展检查，每个站点单独考核，其中：</w:t>
      </w:r>
    </w:p>
    <w:p w14:paraId="4F90ADA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（1）单次考核结果在70—79分，扣除该站点当月运维款的10%，并责令整改；</w:t>
      </w:r>
    </w:p>
    <w:p w14:paraId="0207636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（2）单次考核结果在60—69分，扣除该站点当月运维款的30%，并责令整改；</w:t>
      </w:r>
    </w:p>
    <w:p w14:paraId="6195E70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（3）单次核结果在60分以下，扣除该站当月全部运维款。</w:t>
      </w:r>
    </w:p>
    <w:p w14:paraId="1134CC60">
      <w:pPr>
        <w:pStyle w:val="17"/>
        <w:keepNext w:val="0"/>
        <w:keepLines w:val="0"/>
        <w:pageBreakBefore w:val="0"/>
        <w:widowControl w:val="0"/>
        <w:kinsoku/>
        <w:wordWrap/>
        <w:overflowPunct/>
        <w:topLinePunct w:val="0"/>
        <w:bidi w:val="0"/>
        <w:snapToGrid/>
        <w:spacing w:line="520" w:lineRule="exact"/>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（4）单个站点连续3次考核不合格或单个站点全年有5次考核不合格的情况，射阳生态环境监测站有权终止合同，并扣除该站点当年运维款。</w:t>
      </w:r>
    </w:p>
    <w:p w14:paraId="4790BED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2.3如果中标人未经批准擅自更换运维人员，导致无法按质开展运维工作，或发生重大责任事故的，射阳生态环境监测站有权提前取消运维合同。</w:t>
      </w:r>
    </w:p>
    <w:p w14:paraId="2F51621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2.4如果中标人未能有效开展运维工作，水站有效运行率连续2个月低于80%，射阳生态环境监测站有权提前取消运维合同。</w:t>
      </w:r>
    </w:p>
    <w:p w14:paraId="3B339F1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2.5因考核不合格解除合同前，射阳生态环境监测站将对水质自动站进行资产后评估，若达不到考核要求，将由中标人进行限期修复，或由新的托管方进行修复，并对托管站进行验收，所需费用由原中标人承担；如原中标人不配合业主工作，拒绝对水站仪器进行修复或支付费用的，射阳生态环境监测站有权将中标人列入黑名单并在全省生态环境系统内进行通报，并在2年内禁止中标人参与业主的其他所有项目的投标。</w:t>
      </w:r>
    </w:p>
    <w:p w14:paraId="3A32D03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3.其他规定</w:t>
      </w:r>
    </w:p>
    <w:p w14:paraId="1B1570D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运维机构有下列情形之一的，射阳生态环境监测站将扣除相应站点当月运行经费：迟报、漏报或不报审核数据的；拖延、阻碍、拒绝质量检查或飞行检查的；发现采样、分析、数据采集和传输等过程人为干扰，发现非运维人员进出站房，未按要求及时向射阳生态环境监测站报告的；其他不履行规定职责的情形。</w:t>
      </w:r>
    </w:p>
    <w:p w14:paraId="24A0295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在各类专项质量检查中，发现运维单位未达到射阳生态环境监测站运维质控要求时，根据对数据质量造成的影响程度，扣减相应站点当季度10%～100%运维经费；如未及时整改，加倍扣款。</w:t>
      </w:r>
    </w:p>
    <w:p w14:paraId="611D054A">
      <w:pPr>
        <w:pStyle w:val="22"/>
        <w:keepNext w:val="0"/>
        <w:keepLines w:val="0"/>
        <w:pageBreakBefore w:val="0"/>
        <w:widowControl w:val="0"/>
        <w:kinsoku/>
        <w:wordWrap/>
        <w:overflowPunct/>
        <w:topLinePunct w:val="0"/>
        <w:autoSpaceDE/>
        <w:autoSpaceDN/>
        <w:bidi w:val="0"/>
        <w:adjustRightInd/>
        <w:snapToGrid w:val="0"/>
        <w:spacing w:line="520" w:lineRule="exact"/>
        <w:ind w:firstLine="482" w:firstLineChars="200"/>
        <w:textAlignment w:val="auto"/>
        <w:outlineLvl w:val="9"/>
        <w:rPr>
          <w:rFonts w:hint="eastAsia" w:ascii="宋体" w:hAnsi="宋体"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四、重要说明</w:t>
      </w:r>
    </w:p>
    <w:p w14:paraId="33E4239C">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1、投标方应保证所投标产品是全新未使用过的，并完全符合国家标准规定的质量、规格和性能的要求，</w:t>
      </w:r>
      <w:r>
        <w:rPr>
          <w:rFonts w:hint="eastAsia" w:ascii="宋体" w:hAnsi="宋体" w:eastAsia="宋体" w:cs="Times New Roman"/>
          <w:color w:val="000000"/>
          <w:kern w:val="2"/>
          <w:sz w:val="24"/>
          <w:szCs w:val="24"/>
          <w:lang w:val="en-US" w:eastAsia="zh-CN" w:bidi="ar-SA"/>
        </w:rPr>
        <w:t>所</w:t>
      </w:r>
      <w:r>
        <w:rPr>
          <w:rFonts w:hint="eastAsia" w:ascii="宋体" w:hAnsi="宋体" w:eastAsia="宋体" w:cs="Times New Roman"/>
          <w:color w:val="000000"/>
          <w:kern w:val="2"/>
          <w:sz w:val="24"/>
          <w:szCs w:val="24"/>
          <w:lang w:val="zh-CN" w:eastAsia="zh-CN" w:bidi="ar-SA"/>
        </w:rPr>
        <w:t>报配置为主要配置，其他按标准配置配备；不得在原厂标准配置的基础上减少或降低技术配置。在保质期内，投标方应对由设计、工艺或材料的缺陷而发生的任何不足或故障负责。</w:t>
      </w:r>
    </w:p>
    <w:p w14:paraId="07D8FB3D">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2、投标货物技术规范偏离表：投标方根据所提供产品性能填写技术参数明细表，对于本招标文件的技术指标要求中不包含的项目可以在明细表中根据需要添加。技术指标响应情况，应有产品检测报告或者产品彩页证明或官网链接、截图证明等书面依据，这些材料应当扫描后编制在投标文件中。对于只填写“满足”而投标文件未体现相关证明材料的，不作为评审依据。</w:t>
      </w:r>
    </w:p>
    <w:p w14:paraId="4F7B6BA5">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3、以上所投产品的指标项提供产品彩页证明或官网链接、截图证明等，如所提供的相关产品的指标与标书发布之日官网标称的产品指标不符，</w:t>
      </w:r>
      <w:r>
        <w:rPr>
          <w:rFonts w:hint="eastAsia" w:ascii="宋体" w:hAnsi="宋体" w:eastAsia="宋体" w:cs="Times New Roman"/>
          <w:color w:val="000000"/>
          <w:kern w:val="2"/>
          <w:sz w:val="24"/>
          <w:szCs w:val="24"/>
          <w:lang w:val="en-US" w:eastAsia="zh-CN" w:bidi="ar-SA"/>
        </w:rPr>
        <w:t>采购人</w:t>
      </w:r>
      <w:r>
        <w:rPr>
          <w:rFonts w:hint="eastAsia" w:ascii="宋体" w:hAnsi="宋体" w:eastAsia="宋体" w:cs="Times New Roman"/>
          <w:color w:val="000000"/>
          <w:kern w:val="2"/>
          <w:sz w:val="24"/>
          <w:szCs w:val="24"/>
          <w:lang w:val="zh-CN" w:eastAsia="zh-CN" w:bidi="ar-SA"/>
        </w:rPr>
        <w:t>将按照政府采购相关程序进行处理，产生的后果由投标人承担。</w:t>
      </w:r>
    </w:p>
    <w:p w14:paraId="7AA088A7">
      <w:pPr>
        <w:pStyle w:val="22"/>
        <w:keepNext w:val="0"/>
        <w:keepLines w:val="0"/>
        <w:pageBreakBefore w:val="0"/>
        <w:widowControl w:val="0"/>
        <w:kinsoku/>
        <w:wordWrap/>
        <w:overflowPunct/>
        <w:topLinePunct w:val="0"/>
        <w:autoSpaceDE/>
        <w:autoSpaceDN/>
        <w:bidi w:val="0"/>
        <w:adjustRightInd/>
        <w:snapToGrid w:val="0"/>
        <w:spacing w:line="520" w:lineRule="exact"/>
        <w:ind w:firstLine="482" w:firstLineChars="200"/>
        <w:textAlignment w:val="auto"/>
        <w:outlineLvl w:val="9"/>
        <w:rPr>
          <w:rFonts w:hint="eastAsia" w:ascii="宋体" w:hAnsi="宋体"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五、技术资料与服务</w:t>
      </w:r>
    </w:p>
    <w:p w14:paraId="0986A76F">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1、各投标单位应对服务方式进行详细阐述，同时对售后时期维修人员到场时间以及回访频次进行明确的说明。</w:t>
      </w:r>
    </w:p>
    <w:p w14:paraId="52F36880">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2、提供产品合格证，质量保证书，仪器设备的安装、操作手册、工作软件说明书、维修保养手册等技术文件中文一份。</w:t>
      </w:r>
    </w:p>
    <w:p w14:paraId="25C8B1D0">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3、安装、校准与试运行：中标方技术员应按照</w:t>
      </w:r>
      <w:r>
        <w:rPr>
          <w:rFonts w:hint="eastAsia" w:ascii="宋体" w:hAnsi="宋体" w:eastAsia="宋体" w:cs="Times New Roman"/>
          <w:color w:val="000000"/>
          <w:kern w:val="2"/>
          <w:sz w:val="24"/>
          <w:szCs w:val="24"/>
          <w:lang w:val="en-US" w:eastAsia="zh-CN" w:bidi="ar-SA"/>
        </w:rPr>
        <w:t>采购人</w:t>
      </w:r>
      <w:r>
        <w:rPr>
          <w:rFonts w:hint="eastAsia" w:ascii="宋体" w:hAnsi="宋体" w:eastAsia="宋体" w:cs="Times New Roman"/>
          <w:color w:val="000000"/>
          <w:kern w:val="2"/>
          <w:sz w:val="24"/>
          <w:szCs w:val="24"/>
          <w:lang w:val="zh-CN" w:eastAsia="zh-CN" w:bidi="ar-SA"/>
        </w:rPr>
        <w:t>确定的时间在</w:t>
      </w:r>
      <w:r>
        <w:rPr>
          <w:rFonts w:hint="eastAsia" w:ascii="宋体" w:hAnsi="宋体" w:eastAsia="宋体" w:cs="Times New Roman"/>
          <w:color w:val="000000"/>
          <w:kern w:val="2"/>
          <w:sz w:val="24"/>
          <w:szCs w:val="24"/>
          <w:lang w:val="en-US" w:eastAsia="zh-CN" w:bidi="ar-SA"/>
        </w:rPr>
        <w:t>采购人</w:t>
      </w:r>
      <w:r>
        <w:rPr>
          <w:rFonts w:hint="eastAsia" w:ascii="宋体" w:hAnsi="宋体" w:eastAsia="宋体" w:cs="Times New Roman"/>
          <w:color w:val="000000"/>
          <w:kern w:val="2"/>
          <w:sz w:val="24"/>
          <w:szCs w:val="24"/>
          <w:lang w:val="zh-CN" w:eastAsia="zh-CN" w:bidi="ar-SA"/>
        </w:rPr>
        <w:t>所在地现场免费安装调试设备，技术指标合格后出具验收报告。</w:t>
      </w:r>
    </w:p>
    <w:p w14:paraId="42381B05">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4、培训：中标人给采购人的至少两名技术人员提供1个工作日以上的培训（包括基本原理、安装调试、操作使用及日常维修）。</w:t>
      </w:r>
    </w:p>
    <w:p w14:paraId="2E2E03C9">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5、技术方案：具有健全的安装质量保证体系、切实可行的安装质量保证措施、有与设计配合的相关承诺；项目实施进度计划、项目调试方案针对性强、且切实可行；整套系统设备的验收资料指标体系完整，验收方法具有针对性和可操作性，资料齐全。</w:t>
      </w:r>
    </w:p>
    <w:p w14:paraId="284E35F8">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6、质保与维修：本项目的质量保证期（简称“质保期”）：自项目验收交付之日起总体项目提供不少于</w:t>
      </w:r>
      <w:r>
        <w:rPr>
          <w:rFonts w:hint="eastAsia" w:ascii="宋体" w:hAnsi="宋体" w:cs="Times New Roman"/>
          <w:color w:val="000000"/>
          <w:kern w:val="2"/>
          <w:sz w:val="24"/>
          <w:szCs w:val="24"/>
          <w:lang w:val="en-US" w:eastAsia="zh-CN" w:bidi="ar-SA"/>
        </w:rPr>
        <w:t>5</w:t>
      </w:r>
      <w:r>
        <w:rPr>
          <w:rFonts w:hint="eastAsia" w:ascii="宋体" w:hAnsi="宋体" w:eastAsia="宋体" w:cs="Times New Roman"/>
          <w:color w:val="000000"/>
          <w:kern w:val="2"/>
          <w:sz w:val="24"/>
          <w:szCs w:val="24"/>
          <w:lang w:val="zh-CN" w:eastAsia="zh-CN" w:bidi="ar-SA"/>
        </w:rPr>
        <w:t>年质量保证期（若国家和/或生产厂家对本项目所涉及货物的质量保证期的规定高于本项目的要求，应按国家和/或生产厂家的规定执行）。</w:t>
      </w:r>
    </w:p>
    <w:p w14:paraId="244BFF3D">
      <w:pPr>
        <w:pStyle w:val="22"/>
        <w:keepNext w:val="0"/>
        <w:keepLines w:val="0"/>
        <w:pageBreakBefore w:val="0"/>
        <w:widowControl w:val="0"/>
        <w:kinsoku/>
        <w:wordWrap/>
        <w:overflowPunct/>
        <w:topLinePunct w:val="0"/>
        <w:autoSpaceDE/>
        <w:autoSpaceDN/>
        <w:bidi w:val="0"/>
        <w:adjustRightInd/>
        <w:snapToGrid w:val="0"/>
        <w:spacing w:line="520" w:lineRule="exact"/>
        <w:ind w:firstLine="482" w:firstLineChars="200"/>
        <w:textAlignment w:val="auto"/>
        <w:outlineLvl w:val="9"/>
        <w:rPr>
          <w:rFonts w:hint="eastAsia" w:ascii="宋体" w:hAnsi="宋体" w:eastAsia="宋体" w:cs="Times New Roman"/>
          <w:b/>
          <w:bCs/>
          <w:color w:val="000000"/>
          <w:kern w:val="2"/>
          <w:sz w:val="24"/>
          <w:szCs w:val="24"/>
          <w:lang w:val="zh-CN" w:eastAsia="zh-CN" w:bidi="ar-SA"/>
        </w:rPr>
      </w:pPr>
      <w:r>
        <w:rPr>
          <w:rFonts w:hint="eastAsia" w:ascii="宋体" w:hAnsi="宋体" w:eastAsia="宋体" w:cs="Times New Roman"/>
          <w:b/>
          <w:bCs/>
          <w:color w:val="000000"/>
          <w:kern w:val="2"/>
          <w:sz w:val="24"/>
          <w:szCs w:val="24"/>
          <w:lang w:val="en-US" w:eastAsia="zh-CN" w:bidi="ar-SA"/>
        </w:rPr>
        <w:t>六</w:t>
      </w:r>
      <w:r>
        <w:rPr>
          <w:rFonts w:hint="eastAsia" w:ascii="宋体" w:hAnsi="宋体" w:eastAsia="宋体" w:cs="Times New Roman"/>
          <w:b/>
          <w:bCs/>
          <w:color w:val="000000"/>
          <w:kern w:val="2"/>
          <w:sz w:val="24"/>
          <w:szCs w:val="24"/>
          <w:lang w:val="zh-CN" w:eastAsia="zh-CN" w:bidi="ar-SA"/>
        </w:rPr>
        <w:t>、安全管理要求</w:t>
      </w:r>
    </w:p>
    <w:p w14:paraId="0E819E41">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为贯彻“安全第一，预防为主”方针，中标方在项目安装调试现场施工过程中，必须遵守国家和地方关于劳动安全、劳务用工等法律法规及规章制度，制定严格的安全措施，加强安全监督管理，对工程施工过程中发生的人身伤害、设备损坏事故承担安全责任，并按国家有关规定，为施工人员进行人身保险，配备合格的劳动防护用品、安全用具。</w:t>
      </w:r>
    </w:p>
    <w:p w14:paraId="1A875235">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若发生安全问题，由中标方（施工单位）自行负责处理并承担一切经济和法律责任，其与</w:t>
      </w:r>
      <w:r>
        <w:rPr>
          <w:rFonts w:hint="eastAsia" w:ascii="宋体" w:hAnsi="宋体" w:eastAsia="宋体" w:cs="Times New Roman"/>
          <w:color w:val="000000"/>
          <w:kern w:val="2"/>
          <w:sz w:val="24"/>
          <w:szCs w:val="24"/>
          <w:lang w:val="en-US" w:eastAsia="zh-CN" w:bidi="ar-SA"/>
        </w:rPr>
        <w:t>采购人</w:t>
      </w:r>
      <w:r>
        <w:rPr>
          <w:rFonts w:hint="eastAsia" w:ascii="宋体" w:hAnsi="宋体" w:eastAsia="宋体" w:cs="Times New Roman"/>
          <w:color w:val="000000"/>
          <w:kern w:val="2"/>
          <w:sz w:val="24"/>
          <w:szCs w:val="24"/>
          <w:lang w:val="zh-CN" w:eastAsia="zh-CN" w:bidi="ar-SA"/>
        </w:rPr>
        <w:t>一切无关，同时按合同要求保证施工进度，按时完工。</w:t>
      </w:r>
    </w:p>
    <w:p w14:paraId="6B1E6E96">
      <w:pPr>
        <w:pStyle w:val="22"/>
        <w:keepNext w:val="0"/>
        <w:keepLines w:val="0"/>
        <w:pageBreakBefore w:val="0"/>
        <w:widowControl w:val="0"/>
        <w:kinsoku/>
        <w:wordWrap/>
        <w:overflowPunct/>
        <w:topLinePunct w:val="0"/>
        <w:autoSpaceDE/>
        <w:autoSpaceDN/>
        <w:bidi w:val="0"/>
        <w:adjustRightInd/>
        <w:snapToGrid w:val="0"/>
        <w:spacing w:line="520" w:lineRule="exact"/>
        <w:ind w:firstLine="482" w:firstLineChars="200"/>
        <w:textAlignment w:val="auto"/>
        <w:outlineLvl w:val="9"/>
        <w:rPr>
          <w:rFonts w:hint="eastAsia" w:ascii="宋体" w:hAnsi="宋体" w:eastAsia="宋体" w:cs="Times New Roman"/>
          <w:b/>
          <w:bCs/>
          <w:color w:val="000000"/>
          <w:kern w:val="2"/>
          <w:sz w:val="24"/>
          <w:szCs w:val="24"/>
          <w:lang w:val="zh-CN" w:eastAsia="zh-CN" w:bidi="ar-SA"/>
        </w:rPr>
      </w:pPr>
      <w:r>
        <w:rPr>
          <w:rFonts w:hint="eastAsia" w:ascii="宋体" w:hAnsi="宋体" w:eastAsia="宋体" w:cs="Times New Roman"/>
          <w:b/>
          <w:bCs/>
          <w:color w:val="000000"/>
          <w:kern w:val="2"/>
          <w:sz w:val="24"/>
          <w:szCs w:val="24"/>
          <w:lang w:val="en-US" w:eastAsia="zh-CN" w:bidi="ar-SA"/>
        </w:rPr>
        <w:t>七</w:t>
      </w:r>
      <w:r>
        <w:rPr>
          <w:rFonts w:hint="eastAsia" w:ascii="宋体" w:hAnsi="宋体" w:eastAsia="宋体" w:cs="Times New Roman"/>
          <w:b/>
          <w:bCs/>
          <w:color w:val="000000"/>
          <w:kern w:val="2"/>
          <w:sz w:val="24"/>
          <w:szCs w:val="24"/>
          <w:lang w:val="zh-CN" w:eastAsia="zh-CN" w:bidi="ar-SA"/>
        </w:rPr>
        <w:t>、验收要求</w:t>
      </w:r>
    </w:p>
    <w:p w14:paraId="51B744AA">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1、总体要求</w:t>
      </w:r>
    </w:p>
    <w:p w14:paraId="653B61E7">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en-US" w:eastAsia="zh-CN" w:bidi="ar-SA"/>
        </w:rPr>
        <w:t>本项目验收主要为</w:t>
      </w:r>
      <w:r>
        <w:rPr>
          <w:rFonts w:hint="eastAsia" w:ascii="宋体" w:hAnsi="宋体" w:eastAsia="宋体" w:cs="Times New Roman"/>
          <w:color w:val="000000"/>
          <w:kern w:val="2"/>
          <w:sz w:val="24"/>
          <w:szCs w:val="24"/>
          <w:lang w:val="zh-CN" w:eastAsia="zh-CN" w:bidi="ar-SA"/>
        </w:rPr>
        <w:t>仪器设备验收，按照国家《地表水自动监测技术规范（HJ</w:t>
      </w:r>
      <w:r>
        <w:rPr>
          <w:rFonts w:hint="eastAsia"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zh-CN" w:eastAsia="zh-CN" w:bidi="ar-SA"/>
        </w:rPr>
        <w:t>915-2017）》进行比对验收，实际水样比对需经过第三方CMA</w:t>
      </w:r>
      <w:r>
        <w:rPr>
          <w:rFonts w:hint="eastAsia" w:ascii="宋体" w:hAnsi="宋体" w:eastAsia="宋体" w:cs="Times New Roman"/>
          <w:color w:val="000000"/>
          <w:kern w:val="2"/>
          <w:sz w:val="24"/>
          <w:szCs w:val="24"/>
          <w:lang w:val="en-US" w:eastAsia="zh-CN" w:bidi="ar-SA"/>
        </w:rPr>
        <w:t>或CNAS</w:t>
      </w:r>
      <w:r>
        <w:rPr>
          <w:rFonts w:hint="eastAsia" w:ascii="宋体" w:hAnsi="宋体" w:eastAsia="宋体" w:cs="Times New Roman"/>
          <w:color w:val="000000"/>
          <w:kern w:val="2"/>
          <w:sz w:val="24"/>
          <w:szCs w:val="24"/>
          <w:lang w:val="zh-CN" w:eastAsia="zh-CN" w:bidi="ar-SA"/>
        </w:rPr>
        <w:t>实验室，并由其出具比对合格报告。</w:t>
      </w:r>
    </w:p>
    <w:p w14:paraId="03156F79">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2、验收程序</w:t>
      </w:r>
    </w:p>
    <w:p w14:paraId="7FD574D9">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1</w:t>
      </w:r>
      <w:r>
        <w:rPr>
          <w:rFonts w:hint="eastAsia" w:ascii="宋体" w:hAnsi="宋体" w:eastAsia="宋体" w:cs="Times New Roman"/>
          <w:color w:val="000000"/>
          <w:kern w:val="2"/>
          <w:sz w:val="24"/>
          <w:szCs w:val="24"/>
          <w:lang w:val="zh-CN" w:eastAsia="zh-CN" w:bidi="ar-SA"/>
        </w:rPr>
        <w:t>）进行仪器性能测试和实验室比对，并按规定时间进行试运行；</w:t>
      </w:r>
    </w:p>
    <w:p w14:paraId="231195F6">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zh-CN" w:eastAsia="zh-CN" w:bidi="ar-SA"/>
        </w:rPr>
        <w:t>）编制验收报告，提出验收申请；</w:t>
      </w:r>
    </w:p>
    <w:p w14:paraId="230F2A48">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3</w:t>
      </w:r>
      <w:r>
        <w:rPr>
          <w:rFonts w:hint="eastAsia" w:ascii="宋体" w:hAnsi="宋体" w:eastAsia="宋体" w:cs="Times New Roman"/>
          <w:color w:val="000000"/>
          <w:kern w:val="2"/>
          <w:sz w:val="24"/>
          <w:szCs w:val="24"/>
          <w:lang w:val="zh-CN" w:eastAsia="zh-CN" w:bidi="ar-SA"/>
        </w:rPr>
        <w:t>）检查现场完成情况，组织召开验收会，形成验收意见；</w:t>
      </w:r>
    </w:p>
    <w:p w14:paraId="7A918F15">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4</w:t>
      </w:r>
      <w:r>
        <w:rPr>
          <w:rFonts w:hint="eastAsia" w:ascii="宋体" w:hAnsi="宋体" w:eastAsia="宋体" w:cs="Times New Roman"/>
          <w:color w:val="000000"/>
          <w:kern w:val="2"/>
          <w:sz w:val="24"/>
          <w:szCs w:val="24"/>
          <w:lang w:val="zh-CN" w:eastAsia="zh-CN" w:bidi="ar-SA"/>
        </w:rPr>
        <w:t>）整理验收资料并存档。</w:t>
      </w:r>
    </w:p>
    <w:p w14:paraId="065ED9A8">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3、验收基本条件</w:t>
      </w:r>
    </w:p>
    <w:p w14:paraId="4CFEC75B">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en-US" w:eastAsia="zh-CN" w:bidi="ar-SA"/>
        </w:rPr>
        <w:t>项目</w:t>
      </w:r>
      <w:r>
        <w:rPr>
          <w:rFonts w:hint="eastAsia" w:ascii="宋体" w:hAnsi="宋体" w:eastAsia="宋体" w:cs="Times New Roman"/>
          <w:color w:val="000000"/>
          <w:kern w:val="2"/>
          <w:sz w:val="24"/>
          <w:szCs w:val="24"/>
          <w:lang w:val="zh-CN" w:eastAsia="zh-CN" w:bidi="ar-SA"/>
        </w:rPr>
        <w:t>验收应具备以下条件：</w:t>
      </w:r>
    </w:p>
    <w:p w14:paraId="545467B7">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1</w:t>
      </w:r>
      <w:r>
        <w:rPr>
          <w:rFonts w:hint="eastAsia" w:ascii="宋体" w:hAnsi="宋体" w:eastAsia="宋体" w:cs="Times New Roman"/>
          <w:color w:val="000000"/>
          <w:kern w:val="2"/>
          <w:sz w:val="24"/>
          <w:szCs w:val="24"/>
          <w:lang w:val="zh-CN" w:eastAsia="zh-CN" w:bidi="ar-SA"/>
        </w:rPr>
        <w:t>）监测仪器设备及配件按照合同约定供货，外观无损；</w:t>
      </w:r>
    </w:p>
    <w:p w14:paraId="75A434CD">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zh-CN" w:eastAsia="zh-CN" w:bidi="ar-SA"/>
        </w:rPr>
        <w:t>）完成仪器性能测试、比对实验，技术指标满足国家相关技术规范和合同的要求；</w:t>
      </w:r>
    </w:p>
    <w:p w14:paraId="4849A0F4">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en-US" w:eastAsia="zh-CN" w:bidi="ar-SA"/>
        </w:rPr>
        <w:t>（3）</w:t>
      </w:r>
      <w:r>
        <w:rPr>
          <w:rFonts w:hint="eastAsia" w:ascii="宋体" w:hAnsi="宋体" w:eastAsia="宋体" w:cs="Times New Roman"/>
          <w:color w:val="000000"/>
          <w:kern w:val="2"/>
          <w:sz w:val="24"/>
          <w:szCs w:val="24"/>
          <w:lang w:val="zh-CN" w:eastAsia="zh-CN" w:bidi="ar-SA"/>
        </w:rPr>
        <w:t>完成水质自动监测</w:t>
      </w:r>
      <w:r>
        <w:rPr>
          <w:rFonts w:hint="eastAsia" w:ascii="宋体" w:hAnsi="宋体" w:eastAsia="宋体" w:cs="Times New Roman"/>
          <w:color w:val="000000"/>
          <w:kern w:val="2"/>
          <w:sz w:val="24"/>
          <w:szCs w:val="24"/>
          <w:lang w:val="en-US" w:eastAsia="zh-CN" w:bidi="ar-SA"/>
        </w:rPr>
        <w:t>设备</w:t>
      </w:r>
      <w:r>
        <w:rPr>
          <w:rFonts w:hint="eastAsia" w:ascii="宋体" w:hAnsi="宋体" w:eastAsia="宋体" w:cs="Times New Roman"/>
          <w:color w:val="000000"/>
          <w:kern w:val="2"/>
          <w:sz w:val="24"/>
          <w:szCs w:val="24"/>
          <w:lang w:val="zh-CN" w:eastAsia="zh-CN" w:bidi="ar-SA"/>
        </w:rPr>
        <w:t>的通讯测试，水站数据上传至数据平台；</w:t>
      </w:r>
    </w:p>
    <w:p w14:paraId="3CB19B27">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4</w:t>
      </w:r>
      <w:r>
        <w:rPr>
          <w:rFonts w:hint="eastAsia" w:ascii="宋体" w:hAnsi="宋体" w:eastAsia="宋体" w:cs="Times New Roman"/>
          <w:color w:val="000000"/>
          <w:kern w:val="2"/>
          <w:sz w:val="24"/>
          <w:szCs w:val="24"/>
          <w:lang w:val="zh-CN" w:eastAsia="zh-CN" w:bidi="ar-SA"/>
        </w:rPr>
        <w:t>）完成地表水水质自动监测系统至少连续 30 天的运行；</w:t>
      </w:r>
    </w:p>
    <w:p w14:paraId="3284CABA">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5</w:t>
      </w:r>
      <w:r>
        <w:rPr>
          <w:rFonts w:hint="eastAsia" w:ascii="宋体" w:hAnsi="宋体" w:eastAsia="宋体" w:cs="Times New Roman"/>
          <w:color w:val="000000"/>
          <w:kern w:val="2"/>
          <w:sz w:val="24"/>
          <w:szCs w:val="24"/>
          <w:lang w:val="zh-CN" w:eastAsia="zh-CN" w:bidi="ar-SA"/>
        </w:rPr>
        <w:t>）建立地表水水质自动监测系统档案，编制验收报告。</w:t>
      </w:r>
    </w:p>
    <w:p w14:paraId="78292954">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4、验收内容</w:t>
      </w:r>
    </w:p>
    <w:p w14:paraId="71580EB0">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1</w:t>
      </w:r>
      <w:r>
        <w:rPr>
          <w:rFonts w:hint="eastAsia" w:ascii="宋体" w:hAnsi="宋体" w:eastAsia="宋体" w:cs="Times New Roman"/>
          <w:color w:val="000000"/>
          <w:kern w:val="2"/>
          <w:sz w:val="24"/>
          <w:szCs w:val="24"/>
          <w:lang w:val="zh-CN" w:eastAsia="zh-CN" w:bidi="ar-SA"/>
        </w:rPr>
        <w:t>）仪器设备到货验收</w:t>
      </w:r>
    </w:p>
    <w:p w14:paraId="267BBBC7">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依据合同对每台自动监测仪器设备进行清点；按照装箱单核对具体设备、</w:t>
      </w:r>
      <w:r>
        <w:rPr>
          <w:rFonts w:hint="eastAsia" w:ascii="宋体" w:hAnsi="宋体" w:cs="Times New Roman"/>
          <w:color w:val="000000"/>
          <w:kern w:val="2"/>
          <w:sz w:val="24"/>
          <w:szCs w:val="24"/>
          <w:lang w:val="en-US" w:eastAsia="zh-CN" w:bidi="ar-SA"/>
        </w:rPr>
        <w:t>配</w:t>
      </w:r>
      <w:r>
        <w:rPr>
          <w:rFonts w:hint="eastAsia" w:ascii="宋体" w:hAnsi="宋体" w:eastAsia="宋体" w:cs="Times New Roman"/>
          <w:color w:val="000000"/>
          <w:kern w:val="2"/>
          <w:sz w:val="24"/>
          <w:szCs w:val="24"/>
          <w:lang w:val="zh-CN" w:eastAsia="zh-CN" w:bidi="ar-SA"/>
        </w:rPr>
        <w:t>件的出厂编号和数量；检查设备、</w:t>
      </w:r>
      <w:r>
        <w:rPr>
          <w:rFonts w:hint="eastAsia" w:ascii="宋体" w:hAnsi="宋体" w:cs="Times New Roman"/>
          <w:color w:val="000000"/>
          <w:kern w:val="2"/>
          <w:sz w:val="24"/>
          <w:szCs w:val="24"/>
          <w:lang w:val="en-US" w:eastAsia="zh-CN" w:bidi="ar-SA"/>
        </w:rPr>
        <w:t>配</w:t>
      </w:r>
      <w:r>
        <w:rPr>
          <w:rFonts w:hint="eastAsia" w:ascii="宋体" w:hAnsi="宋体" w:eastAsia="宋体" w:cs="Times New Roman"/>
          <w:color w:val="000000"/>
          <w:kern w:val="2"/>
          <w:sz w:val="24"/>
          <w:szCs w:val="24"/>
          <w:lang w:val="zh-CN" w:eastAsia="zh-CN" w:bidi="ar-SA"/>
        </w:rPr>
        <w:t>件的外观，对出现外观损坏的部位拍照并按合同约定进行处理。</w:t>
      </w:r>
    </w:p>
    <w:p w14:paraId="1891BA9B">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zh-CN" w:eastAsia="zh-CN" w:bidi="ar-SA"/>
        </w:rPr>
        <w:t>仪器设备性能验收</w:t>
      </w:r>
    </w:p>
    <w:p w14:paraId="686E4F15">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仪器设备性能验收主要是针对</w:t>
      </w:r>
      <w:r>
        <w:rPr>
          <w:rFonts w:hint="eastAsia" w:ascii="宋体" w:hAnsi="宋体" w:eastAsia="宋体" w:cs="Times New Roman"/>
          <w:color w:val="000000"/>
          <w:kern w:val="2"/>
          <w:sz w:val="24"/>
          <w:szCs w:val="24"/>
          <w:lang w:val="en-US" w:eastAsia="zh-CN" w:bidi="ar-SA"/>
        </w:rPr>
        <w:t>国家</w:t>
      </w:r>
      <w:r>
        <w:rPr>
          <w:rFonts w:hint="eastAsia" w:ascii="宋体" w:hAnsi="宋体" w:eastAsia="宋体" w:cs="Times New Roman"/>
          <w:color w:val="000000"/>
          <w:kern w:val="2"/>
          <w:sz w:val="24"/>
          <w:szCs w:val="24"/>
          <w:lang w:val="zh-CN" w:eastAsia="zh-CN" w:bidi="ar-SA"/>
        </w:rPr>
        <w:t>《地表水自动监测技术规范 HJ</w:t>
      </w:r>
      <w:r>
        <w:rPr>
          <w:rFonts w:hint="eastAsia"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zh-CN" w:eastAsia="zh-CN" w:bidi="ar-SA"/>
        </w:rPr>
        <w:t>915-2017》中规定的仪器设备性能指标进行测试，每台设备都应在符合要求的环境中进行，检验指标和判定标准</w:t>
      </w:r>
      <w:r>
        <w:rPr>
          <w:rFonts w:hint="eastAsia" w:ascii="宋体" w:hAnsi="宋体" w:eastAsia="宋体" w:cs="Times New Roman"/>
          <w:color w:val="000000"/>
          <w:kern w:val="2"/>
          <w:sz w:val="24"/>
          <w:szCs w:val="24"/>
          <w:lang w:val="en-US" w:eastAsia="zh-CN" w:bidi="ar-SA"/>
        </w:rPr>
        <w:t>参照国家</w:t>
      </w:r>
      <w:r>
        <w:rPr>
          <w:rFonts w:hint="eastAsia" w:ascii="宋体" w:hAnsi="宋体" w:eastAsia="宋体" w:cs="Times New Roman"/>
          <w:color w:val="000000"/>
          <w:kern w:val="2"/>
          <w:sz w:val="24"/>
          <w:szCs w:val="24"/>
          <w:lang w:val="zh-CN" w:eastAsia="zh-CN" w:bidi="ar-SA"/>
        </w:rPr>
        <w:t>《地表水自动监测技术规范（ HJ</w:t>
      </w:r>
      <w:r>
        <w:rPr>
          <w:rFonts w:hint="eastAsia"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zh-CN" w:eastAsia="zh-CN" w:bidi="ar-SA"/>
        </w:rPr>
        <w:t>915-2017）》附录 A 表 A.2 中的相关指标</w:t>
      </w:r>
      <w:r>
        <w:rPr>
          <w:rFonts w:hint="eastAsia" w:ascii="宋体" w:hAnsi="宋体" w:eastAsia="宋体" w:cs="Times New Roman"/>
          <w:color w:val="000000"/>
          <w:kern w:val="2"/>
          <w:sz w:val="24"/>
          <w:szCs w:val="24"/>
          <w:lang w:val="en-US" w:eastAsia="zh-CN" w:bidi="ar-SA"/>
        </w:rPr>
        <w:t>执行</w:t>
      </w:r>
      <w:r>
        <w:rPr>
          <w:rFonts w:hint="eastAsia" w:ascii="宋体" w:hAnsi="宋体" w:eastAsia="宋体" w:cs="Times New Roman"/>
          <w:color w:val="000000"/>
          <w:kern w:val="2"/>
          <w:sz w:val="24"/>
          <w:szCs w:val="24"/>
          <w:lang w:val="zh-CN" w:eastAsia="zh-CN" w:bidi="ar-SA"/>
        </w:rPr>
        <w:t>。验收的主要内容包括但不限于以下内容：仪器安装、通电、预热测试，仪器初始化测试，仪器基本功能核查，检出限、准确度、精密度、标准曲线检查，零点漂移、量程漂移和响应时间检查，重复性或重复性误差检查，实际水样比对，记录结果并汇总。</w:t>
      </w:r>
    </w:p>
    <w:p w14:paraId="1F31FDE4">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3</w:t>
      </w:r>
      <w:r>
        <w:rPr>
          <w:rFonts w:hint="eastAsia" w:ascii="宋体" w:hAnsi="宋体" w:eastAsia="宋体" w:cs="Times New Roman"/>
          <w:color w:val="000000"/>
          <w:kern w:val="2"/>
          <w:sz w:val="24"/>
          <w:szCs w:val="24"/>
          <w:lang w:val="zh-CN" w:eastAsia="zh-CN" w:bidi="ar-SA"/>
        </w:rPr>
        <w:t>）数据</w:t>
      </w:r>
      <w:r>
        <w:rPr>
          <w:rFonts w:hint="eastAsia" w:ascii="宋体" w:hAnsi="宋体" w:eastAsia="宋体" w:cs="Times New Roman"/>
          <w:color w:val="000000"/>
          <w:kern w:val="2"/>
          <w:sz w:val="24"/>
          <w:szCs w:val="24"/>
          <w:lang w:val="en-US" w:eastAsia="zh-CN" w:bidi="ar-SA"/>
        </w:rPr>
        <w:t>采集</w:t>
      </w:r>
      <w:r>
        <w:rPr>
          <w:rFonts w:hint="eastAsia" w:ascii="宋体" w:hAnsi="宋体" w:eastAsia="宋体" w:cs="Times New Roman"/>
          <w:color w:val="000000"/>
          <w:kern w:val="2"/>
          <w:sz w:val="24"/>
          <w:szCs w:val="24"/>
          <w:lang w:val="zh-CN" w:eastAsia="zh-CN" w:bidi="ar-SA"/>
        </w:rPr>
        <w:t>传输验收</w:t>
      </w:r>
    </w:p>
    <w:p w14:paraId="37C194DE">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在自动监测仪器设备性能验收合格的前提下，检查自动监测</w:t>
      </w:r>
      <w:r>
        <w:rPr>
          <w:rFonts w:hint="eastAsia" w:ascii="宋体" w:hAnsi="宋体" w:eastAsia="宋体" w:cs="Times New Roman"/>
          <w:color w:val="000000"/>
          <w:kern w:val="2"/>
          <w:sz w:val="24"/>
          <w:szCs w:val="24"/>
          <w:lang w:val="en-US" w:eastAsia="zh-CN" w:bidi="ar-SA"/>
        </w:rPr>
        <w:t>仪器</w:t>
      </w:r>
      <w:r>
        <w:rPr>
          <w:rFonts w:hint="eastAsia" w:ascii="宋体" w:hAnsi="宋体" w:eastAsia="宋体" w:cs="Times New Roman"/>
          <w:color w:val="000000"/>
          <w:kern w:val="2"/>
          <w:sz w:val="24"/>
          <w:szCs w:val="24"/>
          <w:lang w:val="zh-CN" w:eastAsia="zh-CN" w:bidi="ar-SA"/>
        </w:rPr>
        <w:t>数据传输是否达到国家标准及合同有关技术指标的要求。</w:t>
      </w:r>
    </w:p>
    <w:p w14:paraId="500266D1">
      <w:pPr>
        <w:keepNext w:val="0"/>
        <w:keepLines w:val="0"/>
        <w:pageBreakBefore w:val="0"/>
        <w:widowControl/>
        <w:shd w:val="clear" w:color="auto" w:fill="FFFFFF"/>
        <w:kinsoku/>
        <w:wordWrap/>
        <w:overflowPunct/>
        <w:topLinePunct w:val="0"/>
        <w:autoSpaceDE/>
        <w:autoSpaceDN/>
        <w:bidi w:val="0"/>
        <w:adjustRightInd/>
        <w:spacing w:line="520" w:lineRule="exact"/>
        <w:ind w:firstLine="482" w:firstLineChars="200"/>
        <w:jc w:val="left"/>
        <w:outlineLvl w:val="9"/>
        <w:rPr>
          <w:rFonts w:hint="eastAsia" w:ascii="宋体" w:hAnsi="宋体"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八、合同履行期限及地点：</w:t>
      </w:r>
    </w:p>
    <w:p w14:paraId="4EFCCD29">
      <w:pPr>
        <w:keepNext w:val="0"/>
        <w:keepLines w:val="0"/>
        <w:pageBreakBefore w:val="0"/>
        <w:kinsoku/>
        <w:wordWrap/>
        <w:overflowPunct/>
        <w:topLinePunct w:val="0"/>
        <w:bidi w:val="0"/>
        <w:spacing w:line="520" w:lineRule="exact"/>
        <w:ind w:firstLine="480" w:firstLineChars="200"/>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合同履行期限：合同签订后30天内供货到采购人指定地点，并经安装调试验收合格。自验收合格日起提供一年免费运维服务。</w:t>
      </w:r>
    </w:p>
    <w:p w14:paraId="3A4F22A0">
      <w:pPr>
        <w:keepNext w:val="0"/>
        <w:keepLines w:val="0"/>
        <w:pageBreakBefore w:val="0"/>
        <w:kinsoku/>
        <w:wordWrap/>
        <w:overflowPunct/>
        <w:topLinePunct w:val="0"/>
        <w:autoSpaceDE/>
        <w:autoSpaceDN/>
        <w:bidi w:val="0"/>
        <w:spacing w:line="520" w:lineRule="exact"/>
        <w:ind w:firstLine="480" w:firstLineChars="200"/>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地点：采购方指定地点。</w:t>
      </w:r>
    </w:p>
    <w:p w14:paraId="5EA1BBF4">
      <w:pPr>
        <w:keepNext w:val="0"/>
        <w:keepLines w:val="0"/>
        <w:pageBreakBefore w:val="0"/>
        <w:kinsoku/>
        <w:wordWrap/>
        <w:overflowPunct/>
        <w:topLinePunct w:val="0"/>
        <w:autoSpaceDE/>
        <w:autoSpaceDN/>
        <w:bidi w:val="0"/>
        <w:spacing w:line="520" w:lineRule="exact"/>
        <w:ind w:firstLine="482" w:firstLineChars="200"/>
        <w:outlineLvl w:val="9"/>
        <w:rPr>
          <w:rFonts w:hint="eastAsia" w:ascii="宋体" w:hAnsi="宋体"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 xml:space="preserve">九、付款方式: </w:t>
      </w:r>
    </w:p>
    <w:p w14:paraId="06DCB3B4">
      <w:pPr>
        <w:keepNext w:val="0"/>
        <w:keepLines w:val="0"/>
        <w:pageBreakBefore w:val="0"/>
        <w:kinsoku/>
        <w:wordWrap/>
        <w:overflowPunct/>
        <w:topLinePunct w:val="0"/>
        <w:bidi w:val="0"/>
        <w:spacing w:line="520" w:lineRule="exact"/>
        <w:ind w:firstLine="480" w:firstLineChars="200"/>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合同签订时，经甲方与乙方根据实际情况协商一致，支付合同总价的30%作为项目启动预付款（甲方在收到发票后 10个工作日内将预付款支付到合同约定的乙方账户）；</w:t>
      </w:r>
    </w:p>
    <w:p w14:paraId="3E8B925A">
      <w:pPr>
        <w:keepNext w:val="0"/>
        <w:keepLines w:val="0"/>
        <w:pageBreakBefore w:val="0"/>
        <w:kinsoku/>
        <w:wordWrap/>
        <w:overflowPunct/>
        <w:topLinePunct w:val="0"/>
        <w:bidi w:val="0"/>
        <w:spacing w:line="520" w:lineRule="exact"/>
        <w:ind w:firstLine="480" w:firstLineChars="200"/>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乙方按照甲方的要求将货物送到指定地点并完成安装调试，项目验收合格。</w:t>
      </w:r>
      <w:r>
        <w:rPr>
          <w:rFonts w:hint="eastAsia" w:ascii="宋体" w:hAnsi="宋体" w:eastAsia="宋体" w:cs="宋体"/>
          <w:color w:val="000000"/>
          <w:kern w:val="0"/>
          <w:sz w:val="24"/>
          <w:szCs w:val="24"/>
          <w:lang w:val="en-US" w:eastAsia="zh-CN" w:bidi="ar-SA"/>
        </w:rPr>
        <w:t>甲方收到发票后10个工作日内</w:t>
      </w:r>
      <w:r>
        <w:rPr>
          <w:rFonts w:hint="eastAsia" w:ascii="宋体" w:hAnsi="宋体" w:eastAsia="宋体" w:cs="Times New Roman"/>
          <w:color w:val="000000"/>
          <w:kern w:val="2"/>
          <w:sz w:val="24"/>
          <w:szCs w:val="24"/>
          <w:lang w:val="en-US" w:eastAsia="zh-CN" w:bidi="ar-SA"/>
        </w:rPr>
        <w:t>付至项目总价的70%；自验收合格之日起，服务期满一年后,无任何质量问题并按要求完成服务内容，依据考核结果</w:t>
      </w:r>
      <w:r>
        <w:rPr>
          <w:rFonts w:hint="eastAsia" w:ascii="宋体" w:hAnsi="宋体" w:eastAsia="宋体" w:cs="宋体"/>
          <w:color w:val="000000"/>
          <w:kern w:val="0"/>
          <w:sz w:val="24"/>
          <w:szCs w:val="24"/>
          <w:lang w:val="en-US" w:eastAsia="zh-CN" w:bidi="ar-SA"/>
        </w:rPr>
        <w:t>甲方收到发票后10个工作日内</w:t>
      </w:r>
      <w:r>
        <w:rPr>
          <w:rFonts w:hint="eastAsia" w:ascii="宋体" w:hAnsi="宋体" w:eastAsia="宋体" w:cs="Times New Roman"/>
          <w:color w:val="000000"/>
          <w:kern w:val="2"/>
          <w:sz w:val="24"/>
          <w:szCs w:val="24"/>
          <w:lang w:val="en-US" w:eastAsia="zh-CN" w:bidi="ar-SA"/>
        </w:rPr>
        <w:t>结算余款（无息）。</w:t>
      </w:r>
    </w:p>
    <w:p w14:paraId="6329F046">
      <w:pPr>
        <w:spacing w:line="360" w:lineRule="auto"/>
        <w:ind w:firstLine="482" w:firstLineChars="200"/>
        <w:rPr>
          <w:rFonts w:ascii="宋体" w:hAnsi="宋体" w:eastAsia="宋体" w:cs="Times New Roman"/>
          <w:b/>
          <w:bCs/>
          <w:color w:val="000000"/>
          <w:sz w:val="24"/>
        </w:rPr>
      </w:pPr>
      <w:r>
        <w:rPr>
          <w:rFonts w:hint="eastAsia" w:ascii="宋体" w:hAnsi="宋体" w:eastAsia="宋体" w:cs="Times New Roman"/>
          <w:b/>
          <w:bCs/>
          <w:color w:val="000000"/>
          <w:sz w:val="24"/>
          <w:lang w:val="en-US" w:eastAsia="zh-CN"/>
        </w:rPr>
        <w:t>十</w:t>
      </w:r>
      <w:r>
        <w:rPr>
          <w:rFonts w:hint="eastAsia" w:ascii="宋体" w:hAnsi="宋体" w:eastAsia="宋体" w:cs="Times New Roman"/>
          <w:b/>
          <w:bCs/>
          <w:color w:val="000000"/>
          <w:sz w:val="24"/>
        </w:rPr>
        <w:t>、特别说明：</w:t>
      </w:r>
    </w:p>
    <w:p w14:paraId="67541F9A">
      <w:pPr>
        <w:spacing w:line="360" w:lineRule="auto"/>
        <w:ind w:firstLine="480" w:firstLineChars="200"/>
        <w:rPr>
          <w:rFonts w:ascii="宋体" w:hAnsi="宋体" w:eastAsia="宋体" w:cs="Times New Roman"/>
          <w:color w:val="000000"/>
          <w:sz w:val="24"/>
        </w:rPr>
      </w:pPr>
      <w:r>
        <w:rPr>
          <w:rFonts w:hint="eastAsia" w:ascii="宋体" w:hAnsi="宋体" w:eastAsia="宋体" w:cs="Times New Roman"/>
          <w:color w:val="000000"/>
          <w:sz w:val="24"/>
        </w:rPr>
        <w:t>1、报价含项目成果交付前一切费用。不接受选择性报价。</w:t>
      </w:r>
    </w:p>
    <w:p w14:paraId="6C7968C1">
      <w:pPr>
        <w:spacing w:line="360" w:lineRule="auto"/>
        <w:ind w:firstLine="480" w:firstLineChars="200"/>
        <w:jc w:val="left"/>
        <w:rPr>
          <w:rFonts w:hint="eastAsia" w:ascii="宋体" w:hAnsi="宋体"/>
          <w:color w:val="auto"/>
          <w:sz w:val="24"/>
        </w:rPr>
      </w:pPr>
      <w:r>
        <w:rPr>
          <w:rFonts w:hint="eastAsia" w:ascii="宋体" w:hAnsi="宋体"/>
          <w:color w:val="auto"/>
          <w:sz w:val="24"/>
        </w:rPr>
        <w:t>2、本项目采购清单中：</w:t>
      </w:r>
      <w:r>
        <w:rPr>
          <w:rFonts w:hint="eastAsia" w:ascii="宋体" w:hAnsi="宋体"/>
          <w:color w:val="FF0000"/>
          <w:sz w:val="24"/>
          <w:lang w:val="en-US" w:eastAsia="zh-CN"/>
        </w:rPr>
        <w:t>检测单元为核心产品，</w:t>
      </w:r>
      <w:r>
        <w:rPr>
          <w:rFonts w:hint="eastAsia" w:ascii="宋体" w:hAnsi="宋体"/>
          <w:color w:val="auto"/>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2F0CB2B">
      <w:pPr>
        <w:spacing w:line="360" w:lineRule="auto"/>
        <w:ind w:firstLine="480" w:firstLineChars="200"/>
        <w:rPr>
          <w:rFonts w:ascii="宋体" w:hAnsi="宋体" w:eastAsia="宋体" w:cs="Times New Roman"/>
          <w:color w:val="000000"/>
          <w:sz w:val="24"/>
        </w:rPr>
      </w:pPr>
      <w:r>
        <w:rPr>
          <w:rFonts w:hint="eastAsia" w:ascii="宋体" w:hAnsi="宋体" w:eastAsia="宋体" w:cs="Times New Roman"/>
          <w:color w:val="000000"/>
          <w:sz w:val="24"/>
        </w:rPr>
        <w:t>3、各投标人最后报价结束后,如评标委员会认为投标人的报价明显低于其他通过符合性审查投标人的报价，明显低于其自身成本，涉嫌恶意竞争，有可能影响产品质量或者不能诚信履约的，应当要求其在评标现场合理的时间内提供书面说明，必要时提交相关证明材料；投标人不能证明其报价合理性的，评标委员会应当将其作为无效投标处理。可按照少数服从多数的原则采用投票等方式作出结论。</w:t>
      </w:r>
    </w:p>
    <w:p w14:paraId="449BF61F">
      <w:pPr>
        <w:spacing w:line="360" w:lineRule="auto"/>
        <w:ind w:firstLine="480" w:firstLineChars="200"/>
        <w:rPr>
          <w:rFonts w:ascii="宋体" w:hAnsi="宋体" w:eastAsia="宋体" w:cs="Times New Roman"/>
          <w:color w:val="000000"/>
          <w:sz w:val="24"/>
        </w:rPr>
      </w:pPr>
      <w:r>
        <w:rPr>
          <w:rFonts w:hint="eastAsia" w:ascii="宋体" w:hAnsi="宋体" w:eastAsia="宋体" w:cs="Times New Roman"/>
          <w:color w:val="000000"/>
          <w:sz w:val="24"/>
        </w:rPr>
        <w:t>4、资格后审：项目开标结束后，采购人或采购代理机构应当依法对投标人的资格进行审查。资格审查材料的</w:t>
      </w:r>
      <w:r>
        <w:rPr>
          <w:rFonts w:hint="eastAsia" w:ascii="宋体" w:hAnsi="宋体" w:cs="Times New Roman"/>
          <w:color w:val="000000"/>
          <w:sz w:val="24"/>
        </w:rPr>
        <w:t>原件彩色扫描件</w:t>
      </w:r>
      <w:r>
        <w:rPr>
          <w:rFonts w:hint="eastAsia" w:ascii="宋体" w:hAnsi="宋体" w:eastAsia="宋体" w:cs="Times New Roman"/>
          <w:color w:val="000000"/>
          <w:sz w:val="24"/>
        </w:rPr>
        <w:t>须在投标文件中提供。</w:t>
      </w:r>
    </w:p>
    <w:p w14:paraId="048BE8BC">
      <w:pPr>
        <w:spacing w:line="360" w:lineRule="auto"/>
        <w:ind w:firstLine="480" w:firstLineChars="200"/>
        <w:rPr>
          <w:rFonts w:ascii="宋体" w:hAnsi="宋体" w:eastAsia="宋体" w:cs="Times New Roman"/>
          <w:color w:val="000000"/>
          <w:sz w:val="24"/>
        </w:rPr>
      </w:pPr>
      <w:r>
        <w:rPr>
          <w:rFonts w:hint="eastAsia" w:ascii="宋体" w:hAnsi="宋体" w:eastAsia="宋体" w:cs="Times New Roman"/>
          <w:color w:val="000000"/>
          <w:sz w:val="24"/>
        </w:rPr>
        <w:t>5、对本项目投标人资格要求、项目需求、评分标准等的质疑由采购单位负责答复；采购单位具有项目的解释权，质疑函和答复须同时报招标代理机构备案管理。</w:t>
      </w:r>
    </w:p>
    <w:p w14:paraId="4F31976D">
      <w:pPr>
        <w:pStyle w:val="20"/>
        <w:spacing w:line="360" w:lineRule="auto"/>
        <w:ind w:firstLine="473"/>
        <w:rPr>
          <w:rFonts w:ascii="宋体" w:hAnsi="宋体" w:eastAsia="宋体"/>
          <w:sz w:val="24"/>
        </w:rPr>
      </w:pPr>
      <w:r>
        <w:rPr>
          <w:rFonts w:hint="eastAsia" w:ascii="宋体" w:hAnsi="宋体" w:eastAsia="宋体"/>
          <w:sz w:val="24"/>
          <w:lang w:eastAsia="zh-CN"/>
        </w:rPr>
        <w:t>6</w:t>
      </w:r>
      <w:r>
        <w:rPr>
          <w:rFonts w:hint="eastAsia" w:ascii="宋体" w:hAnsi="宋体" w:eastAsia="宋体"/>
          <w:sz w:val="24"/>
        </w:rPr>
        <w:t>、本项目</w:t>
      </w:r>
      <w:r>
        <w:rPr>
          <w:rFonts w:hint="eastAsia" w:ascii="宋体" w:hAnsi="宋体" w:eastAsia="宋体"/>
          <w:sz w:val="24"/>
          <w:lang w:eastAsia="zh-CN"/>
        </w:rPr>
        <w:t>不接受</w:t>
      </w:r>
      <w:r>
        <w:rPr>
          <w:rFonts w:hint="eastAsia" w:ascii="宋体" w:hAnsi="宋体" w:eastAsia="宋体"/>
          <w:sz w:val="24"/>
        </w:rPr>
        <w:t>进口产品投标</w:t>
      </w:r>
    </w:p>
    <w:p w14:paraId="7EB12073">
      <w:pPr>
        <w:pStyle w:val="20"/>
        <w:spacing w:line="360" w:lineRule="auto"/>
        <w:ind w:firstLine="473"/>
        <w:rPr>
          <w:rFonts w:ascii="宋体" w:hAnsi="宋体" w:eastAsia="宋体"/>
          <w:sz w:val="24"/>
        </w:rPr>
      </w:pPr>
      <w:r>
        <w:rPr>
          <w:rFonts w:hint="eastAsia" w:ascii="宋体" w:hAnsi="宋体" w:eastAsia="宋体"/>
          <w:sz w:val="24"/>
          <w:lang w:eastAsia="zh-CN"/>
        </w:rPr>
        <w:t>7</w:t>
      </w:r>
      <w:r>
        <w:rPr>
          <w:rFonts w:hint="eastAsia" w:ascii="宋体" w:hAnsi="宋体" w:eastAsia="宋体"/>
          <w:sz w:val="24"/>
        </w:rPr>
        <w:t>、采购标的对应的中小企业划分标准所属行业一览表</w:t>
      </w:r>
    </w:p>
    <w:tbl>
      <w:tblPr>
        <w:tblStyle w:val="12"/>
        <w:tblW w:w="8280" w:type="dxa"/>
        <w:jc w:val="center"/>
        <w:tblCellSpacing w:w="0" w:type="dxa"/>
        <w:tblLayout w:type="fixed"/>
        <w:tblCellMar>
          <w:top w:w="0" w:type="dxa"/>
          <w:left w:w="108" w:type="dxa"/>
          <w:bottom w:w="0" w:type="dxa"/>
          <w:right w:w="108" w:type="dxa"/>
        </w:tblCellMar>
      </w:tblPr>
      <w:tblGrid>
        <w:gridCol w:w="945"/>
        <w:gridCol w:w="3460"/>
        <w:gridCol w:w="3875"/>
      </w:tblGrid>
      <w:tr w14:paraId="1B7F4BB0">
        <w:tblPrEx>
          <w:tblCellMar>
            <w:top w:w="0" w:type="dxa"/>
            <w:left w:w="108" w:type="dxa"/>
            <w:bottom w:w="0" w:type="dxa"/>
            <w:right w:w="108" w:type="dxa"/>
          </w:tblCellMar>
        </w:tblPrEx>
        <w:trPr>
          <w:tblCellSpacing w:w="0" w:type="dxa"/>
          <w:jc w:val="center"/>
        </w:trPr>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CCC44">
            <w:pPr>
              <w:pStyle w:val="20"/>
              <w:spacing w:line="360" w:lineRule="auto"/>
              <w:ind w:firstLine="0"/>
              <w:rPr>
                <w:rFonts w:ascii="宋体" w:hAnsi="宋体" w:eastAsia="宋体"/>
                <w:sz w:val="24"/>
              </w:rPr>
            </w:pPr>
            <w:r>
              <w:rPr>
                <w:rFonts w:hint="eastAsia" w:ascii="宋体" w:hAnsi="宋体" w:eastAsia="宋体"/>
                <w:sz w:val="24"/>
              </w:rPr>
              <w:t>序号</w:t>
            </w:r>
          </w:p>
        </w:tc>
        <w:tc>
          <w:tcPr>
            <w:tcW w:w="3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54D81">
            <w:pPr>
              <w:pStyle w:val="20"/>
              <w:spacing w:line="360" w:lineRule="auto"/>
              <w:ind w:firstLine="473"/>
              <w:rPr>
                <w:rFonts w:ascii="宋体" w:hAnsi="宋体" w:eastAsia="宋体"/>
                <w:sz w:val="24"/>
              </w:rPr>
            </w:pPr>
            <w:r>
              <w:rPr>
                <w:rFonts w:hint="eastAsia" w:ascii="宋体" w:hAnsi="宋体" w:eastAsia="宋体"/>
                <w:sz w:val="24"/>
              </w:rPr>
              <w:t>采购标的</w:t>
            </w: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95804">
            <w:pPr>
              <w:pStyle w:val="20"/>
              <w:spacing w:line="360" w:lineRule="auto"/>
              <w:ind w:firstLine="0"/>
              <w:rPr>
                <w:rFonts w:ascii="宋体" w:hAnsi="宋体" w:eastAsia="宋体"/>
                <w:sz w:val="24"/>
              </w:rPr>
            </w:pPr>
            <w:r>
              <w:rPr>
                <w:rFonts w:hint="eastAsia" w:ascii="宋体" w:hAnsi="宋体" w:eastAsia="宋体"/>
                <w:sz w:val="24"/>
              </w:rPr>
              <w:t>对应中小企业划分标准所属行业</w:t>
            </w:r>
          </w:p>
        </w:tc>
      </w:tr>
      <w:tr w14:paraId="399627E4">
        <w:tblPrEx>
          <w:tblCellMar>
            <w:top w:w="0" w:type="dxa"/>
            <w:left w:w="108" w:type="dxa"/>
            <w:bottom w:w="0" w:type="dxa"/>
            <w:right w:w="108" w:type="dxa"/>
          </w:tblCellMar>
        </w:tblPrEx>
        <w:trPr>
          <w:trHeight w:val="291" w:hRule="atLeast"/>
          <w:tblCellSpacing w:w="0" w:type="dxa"/>
          <w:jc w:val="center"/>
        </w:trPr>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081B2">
            <w:pPr>
              <w:pStyle w:val="20"/>
              <w:spacing w:line="360" w:lineRule="auto"/>
              <w:ind w:firstLine="473"/>
              <w:rPr>
                <w:rFonts w:ascii="宋体" w:hAnsi="宋体" w:eastAsia="宋体"/>
                <w:sz w:val="24"/>
              </w:rPr>
            </w:pPr>
            <w:r>
              <w:rPr>
                <w:rFonts w:hint="eastAsia" w:ascii="宋体" w:hAnsi="宋体" w:eastAsia="宋体"/>
                <w:sz w:val="24"/>
              </w:rPr>
              <w:t>1</w:t>
            </w:r>
          </w:p>
        </w:tc>
        <w:tc>
          <w:tcPr>
            <w:tcW w:w="3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0C934">
            <w:pPr>
              <w:spacing w:line="400" w:lineRule="exact"/>
              <w:jc w:val="center"/>
              <w:rPr>
                <w:rFonts w:ascii="宋体" w:hAnsi="宋体" w:eastAsia="宋体"/>
                <w:sz w:val="24"/>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C3C75">
            <w:pPr>
              <w:pStyle w:val="20"/>
              <w:spacing w:line="360" w:lineRule="auto"/>
              <w:ind w:firstLine="473"/>
              <w:rPr>
                <w:rFonts w:ascii="宋体" w:hAnsi="宋体" w:eastAsia="宋体"/>
                <w:sz w:val="24"/>
                <w:lang w:eastAsia="zh-CN"/>
              </w:rPr>
            </w:pPr>
            <w:r>
              <w:rPr>
                <w:rFonts w:hint="eastAsia" w:ascii="宋体" w:hAnsi="宋体" w:eastAsia="宋体"/>
                <w:sz w:val="24"/>
              </w:rPr>
              <w:t> </w:t>
            </w:r>
            <w:r>
              <w:rPr>
                <w:rFonts w:hint="eastAsia" w:ascii="宋体" w:hAnsi="宋体" w:eastAsia="宋体"/>
                <w:sz w:val="24"/>
                <w:lang w:eastAsia="zh-CN"/>
              </w:rPr>
              <w:t>生产制造业</w:t>
            </w:r>
          </w:p>
        </w:tc>
      </w:tr>
      <w:tr w14:paraId="520804DF">
        <w:tblPrEx>
          <w:tblCellMar>
            <w:top w:w="0" w:type="dxa"/>
            <w:left w:w="108" w:type="dxa"/>
            <w:bottom w:w="0" w:type="dxa"/>
            <w:right w:w="108" w:type="dxa"/>
          </w:tblCellMar>
        </w:tblPrEx>
        <w:trPr>
          <w:trHeight w:val="235" w:hRule="atLeast"/>
          <w:tblCellSpacing w:w="0" w:type="dxa"/>
          <w:jc w:val="center"/>
        </w:trPr>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2C7D6">
            <w:pPr>
              <w:pStyle w:val="20"/>
              <w:spacing w:line="360" w:lineRule="auto"/>
              <w:ind w:firstLine="473"/>
              <w:rPr>
                <w:rFonts w:ascii="宋体" w:hAnsi="宋体" w:eastAsia="宋体"/>
                <w:sz w:val="24"/>
              </w:rPr>
            </w:pPr>
            <w:r>
              <w:rPr>
                <w:rFonts w:hint="eastAsia" w:ascii="宋体" w:hAnsi="宋体" w:eastAsia="宋体"/>
                <w:sz w:val="24"/>
              </w:rPr>
              <w:t>2</w:t>
            </w:r>
          </w:p>
        </w:tc>
        <w:tc>
          <w:tcPr>
            <w:tcW w:w="3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6FCCE">
            <w:pPr>
              <w:spacing w:line="400" w:lineRule="exact"/>
              <w:jc w:val="center"/>
              <w:rPr>
                <w:rFonts w:ascii="宋体" w:hAnsi="宋体" w:eastAsia="宋体"/>
                <w:sz w:val="24"/>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84BF6">
            <w:pPr>
              <w:pStyle w:val="20"/>
              <w:spacing w:line="360" w:lineRule="auto"/>
              <w:ind w:firstLine="473"/>
              <w:rPr>
                <w:rFonts w:ascii="宋体" w:hAnsi="宋体" w:eastAsia="宋体"/>
                <w:sz w:val="24"/>
              </w:rPr>
            </w:pPr>
            <w:r>
              <w:rPr>
                <w:rFonts w:hint="eastAsia" w:ascii="宋体" w:hAnsi="宋体" w:eastAsia="宋体"/>
                <w:sz w:val="24"/>
              </w:rPr>
              <w:t> </w:t>
            </w:r>
            <w:r>
              <w:rPr>
                <w:rFonts w:hint="eastAsia" w:ascii="宋体" w:hAnsi="宋体" w:eastAsia="宋体"/>
                <w:sz w:val="24"/>
                <w:lang w:eastAsia="zh-CN"/>
              </w:rPr>
              <w:t>生产制造业</w:t>
            </w:r>
          </w:p>
        </w:tc>
      </w:tr>
      <w:tr w14:paraId="6B8D8601">
        <w:tblPrEx>
          <w:tblCellMar>
            <w:top w:w="0" w:type="dxa"/>
            <w:left w:w="108" w:type="dxa"/>
            <w:bottom w:w="0" w:type="dxa"/>
            <w:right w:w="108" w:type="dxa"/>
          </w:tblCellMar>
        </w:tblPrEx>
        <w:trPr>
          <w:trHeight w:val="222" w:hRule="atLeast"/>
          <w:tblCellSpacing w:w="0" w:type="dxa"/>
          <w:jc w:val="center"/>
        </w:trPr>
        <w:tc>
          <w:tcPr>
            <w:tcW w:w="9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06772">
            <w:pPr>
              <w:pStyle w:val="20"/>
              <w:spacing w:line="360" w:lineRule="auto"/>
              <w:ind w:firstLine="473"/>
              <w:rPr>
                <w:rFonts w:ascii="宋体" w:hAnsi="宋体" w:eastAsia="宋体"/>
                <w:sz w:val="24"/>
              </w:rPr>
            </w:pPr>
            <w:r>
              <w:rPr>
                <w:rFonts w:hint="eastAsia" w:ascii="宋体" w:hAnsi="宋体" w:eastAsia="宋体"/>
                <w:sz w:val="24"/>
              </w:rPr>
              <w:t>3</w:t>
            </w:r>
          </w:p>
        </w:tc>
        <w:tc>
          <w:tcPr>
            <w:tcW w:w="3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F9EFF">
            <w:pPr>
              <w:spacing w:line="400" w:lineRule="exact"/>
              <w:jc w:val="center"/>
              <w:rPr>
                <w:rFonts w:ascii="宋体" w:hAnsi="宋体" w:eastAsia="宋体"/>
                <w:sz w:val="24"/>
              </w:rPr>
            </w:pPr>
          </w:p>
        </w:tc>
        <w:tc>
          <w:tcPr>
            <w:tcW w:w="38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FF248">
            <w:pPr>
              <w:pStyle w:val="20"/>
              <w:spacing w:line="360" w:lineRule="auto"/>
              <w:ind w:firstLine="473"/>
              <w:rPr>
                <w:rFonts w:ascii="宋体" w:hAnsi="宋体" w:eastAsia="宋体"/>
                <w:sz w:val="24"/>
              </w:rPr>
            </w:pPr>
            <w:r>
              <w:rPr>
                <w:rFonts w:hint="eastAsia" w:ascii="宋体" w:hAnsi="宋体" w:eastAsia="宋体"/>
                <w:sz w:val="24"/>
              </w:rPr>
              <w:t> </w:t>
            </w:r>
            <w:r>
              <w:rPr>
                <w:rFonts w:hint="eastAsia" w:ascii="宋体" w:hAnsi="宋体" w:eastAsia="宋体"/>
                <w:sz w:val="24"/>
                <w:lang w:eastAsia="zh-CN"/>
              </w:rPr>
              <w:t>生产制造业</w:t>
            </w:r>
          </w:p>
        </w:tc>
      </w:tr>
    </w:tbl>
    <w:p w14:paraId="51B97929">
      <w:pPr>
        <w:pStyle w:val="20"/>
        <w:spacing w:line="360" w:lineRule="auto"/>
        <w:ind w:firstLine="473"/>
        <w:rPr>
          <w:rFonts w:hint="eastAsia" w:ascii="宋体" w:hAnsi="宋体" w:eastAsia="宋体"/>
          <w:sz w:val="24"/>
          <w:lang w:val="en-US" w:eastAsia="zh-CN"/>
        </w:rPr>
      </w:pPr>
      <w:r>
        <w:rPr>
          <w:rFonts w:hint="eastAsia" w:ascii="宋体" w:hAnsi="宋体" w:eastAsia="宋体"/>
          <w:sz w:val="24"/>
        </w:rPr>
        <w:t>（备注：1.采购人须填报上表，所属行业按《工业和信息化部、国家统计局、国家发展和改革委员会、财政部关于印发中小企业划型标准规定的通知》(工信部联企业[2011]300号)规定填写。2.项目经办人须对填报内容是否准确进行核查。）</w:t>
      </w:r>
      <w:bookmarkStart w:id="227" w:name="_Toc120614281"/>
      <w:r>
        <w:rPr>
          <w:rFonts w:hint="eastAsia" w:ascii="宋体" w:hAnsi="宋体" w:eastAsia="宋体"/>
          <w:sz w:val="24"/>
          <w:lang w:val="en-US" w:eastAsia="zh-CN"/>
        </w:rPr>
        <w:t xml:space="preserve">     </w:t>
      </w:r>
    </w:p>
    <w:p w14:paraId="78F7284B">
      <w:pPr>
        <w:pStyle w:val="20"/>
        <w:spacing w:line="360" w:lineRule="auto"/>
        <w:ind w:firstLine="1760" w:firstLineChars="40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评标方法与评标标准</w:t>
      </w:r>
    </w:p>
    <w:p w14:paraId="60FD0EFD">
      <w:pPr>
        <w:pStyle w:val="10"/>
        <w:spacing w:before="120" w:beforeAutospacing="0" w:after="120" w:afterAutospacing="0" w:line="360" w:lineRule="auto"/>
        <w:ind w:firstLine="439"/>
      </w:pPr>
      <w:r>
        <w:t> </w:t>
      </w:r>
      <w:r>
        <w:rPr>
          <w:rFonts w:ascii="Arial" w:hAnsi="Arial" w:cs="Arial"/>
          <w:color w:val="000000"/>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4C49D5FD">
      <w:pPr>
        <w:pStyle w:val="10"/>
        <w:spacing w:before="120" w:beforeAutospacing="0" w:after="120" w:afterAutospacing="0" w:line="360" w:lineRule="auto"/>
        <w:ind w:firstLine="441"/>
      </w:pPr>
      <w:r>
        <w:rPr>
          <w:rFonts w:hint="eastAsia" w:ascii="宋体" w:hAnsi="宋体" w:eastAsia="宋体" w:cs="宋体"/>
          <w:b/>
          <w:color w:val="000000"/>
        </w:rPr>
        <w:t>一、政府采购政策功能落实</w:t>
      </w:r>
    </w:p>
    <w:p w14:paraId="2381D445">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1、本项目专门面向中小企业采购，投标人所投产品制造厂商须为符合《关于印发中小企业划型标准规定的通知》（工信部联企业[2011]300号）文件的中小企业（投标时须提供中小企业声明函，否则按无效标处理）。</w:t>
      </w:r>
    </w:p>
    <w:p w14:paraId="415F88B1">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2、因本项目专门面向中小企业采购，不再执行价格评审优惠的扶持政策。</w:t>
      </w:r>
    </w:p>
    <w:p w14:paraId="1F2F0EC2">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3、供应商须按照采购文件要求提供相应的《企业声明函》（格式附后），不提供声明函或有弄虚作假的，将依法承担相应责任。</w:t>
      </w:r>
    </w:p>
    <w:p w14:paraId="574B6404">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4、企业标准请参照《关于印发中小企业划型标准规定的通知》（工信部联企业【2011】300号）文件规定自行填写。</w:t>
      </w:r>
    </w:p>
    <w:p w14:paraId="273CE244">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5、以上规定未尽事项，按《政府采购促进中小企业发展管理办法》 （财库【2020】46号）等有关制度规定执行。</w:t>
      </w:r>
    </w:p>
    <w:p w14:paraId="51EC5C56">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11D4EEA5">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7、供应商对于投标产品的商品包装、快递包装应按照《关于印发《商品包装政府采购需求标准（试行）》、《快递包装政府采购需求标准（试行）》的通知》（财办库〔2020〕123号）执行。</w:t>
      </w:r>
    </w:p>
    <w:p w14:paraId="562575C8">
      <w:pPr>
        <w:pStyle w:val="10"/>
        <w:tabs>
          <w:tab w:val="left" w:pos="901"/>
        </w:tabs>
        <w:spacing w:beforeAutospacing="0" w:afterAutospacing="0" w:line="360" w:lineRule="auto"/>
        <w:ind w:firstLine="480"/>
        <w:jc w:val="both"/>
        <w:rPr>
          <w:rFonts w:ascii="宋体" w:hAnsi="宋体" w:eastAsia="宋体" w:cs="宋体"/>
          <w:color w:val="000000"/>
        </w:rPr>
      </w:pPr>
      <w:r>
        <w:rPr>
          <w:rFonts w:hint="eastAsia" w:ascii="宋体" w:hAnsi="宋体" w:eastAsia="宋体" w:cs="宋体"/>
          <w:color w:val="000000"/>
        </w:rPr>
        <w:t>8、本文件中若涉及到数据中心采购，应按照《&lt;绿色数据中心政府采购需求标准（试行）&gt;的通知》（财库〔2023〕7号）执行。</w:t>
      </w:r>
    </w:p>
    <w:p w14:paraId="2DB013DF">
      <w:pPr>
        <w:pStyle w:val="10"/>
        <w:spacing w:before="120" w:beforeAutospacing="0" w:after="120" w:afterAutospacing="0" w:line="0" w:lineRule="atLeast"/>
        <w:ind w:firstLine="482"/>
        <w:rPr>
          <w:rFonts w:hint="eastAsia" w:ascii="宋体" w:hAnsi="宋体" w:eastAsia="宋体" w:cs="宋体"/>
          <w:b/>
          <w:color w:val="000000"/>
        </w:rPr>
      </w:pPr>
      <w:r>
        <w:rPr>
          <w:rFonts w:hint="eastAsia" w:ascii="宋体" w:hAnsi="宋体" w:eastAsia="宋体" w:cs="宋体"/>
          <w:b/>
          <w:color w:val="000000"/>
        </w:rPr>
        <w:t>二、评标方法与评标标准</w:t>
      </w:r>
    </w:p>
    <w:tbl>
      <w:tblPr>
        <w:tblStyle w:val="13"/>
        <w:tblW w:w="95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2"/>
        <w:gridCol w:w="994"/>
        <w:gridCol w:w="1100"/>
        <w:gridCol w:w="6776"/>
      </w:tblGrid>
      <w:tr w14:paraId="1C562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noWrap w:val="0"/>
            <w:vAlign w:val="center"/>
          </w:tcPr>
          <w:p w14:paraId="4198C7BB">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序号</w:t>
            </w:r>
          </w:p>
        </w:tc>
        <w:tc>
          <w:tcPr>
            <w:tcW w:w="994" w:type="dxa"/>
            <w:noWrap w:val="0"/>
            <w:vAlign w:val="center"/>
          </w:tcPr>
          <w:p w14:paraId="64188257">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评分</w:t>
            </w:r>
          </w:p>
          <w:p w14:paraId="5823CB2E">
            <w:pPr>
              <w:pStyle w:val="8"/>
              <w:spacing w:line="360" w:lineRule="auto"/>
              <w:jc w:val="left"/>
              <w:rPr>
                <w:rFonts w:hint="default"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项目</w:t>
            </w:r>
          </w:p>
        </w:tc>
        <w:tc>
          <w:tcPr>
            <w:tcW w:w="1100" w:type="dxa"/>
            <w:noWrap w:val="0"/>
            <w:vAlign w:val="center"/>
          </w:tcPr>
          <w:p w14:paraId="7ED65F14">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满分值</w:t>
            </w:r>
          </w:p>
        </w:tc>
        <w:tc>
          <w:tcPr>
            <w:tcW w:w="6776" w:type="dxa"/>
            <w:noWrap w:val="0"/>
            <w:vAlign w:val="center"/>
          </w:tcPr>
          <w:p w14:paraId="05488B0C">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评分细则</w:t>
            </w:r>
          </w:p>
        </w:tc>
      </w:tr>
      <w:tr w14:paraId="33A2C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noWrap w:val="0"/>
            <w:vAlign w:val="center"/>
          </w:tcPr>
          <w:p w14:paraId="66CF8222">
            <w:pPr>
              <w:pStyle w:val="8"/>
              <w:numPr>
                <w:ilvl w:val="0"/>
                <w:numId w:val="0"/>
              </w:numPr>
              <w:spacing w:line="360" w:lineRule="auto"/>
              <w:jc w:val="left"/>
              <w:rPr>
                <w:rFonts w:hint="default" w:ascii="Times New Roman" w:hAnsi="Times New Roman" w:eastAsia="宋体" w:cs="宋体"/>
                <w:color w:val="auto"/>
                <w:kern w:val="0"/>
                <w:sz w:val="24"/>
                <w:lang w:val="en-US" w:eastAsia="zh-CN" w:bidi="ar"/>
              </w:rPr>
            </w:pPr>
            <w:r>
              <w:rPr>
                <w:rFonts w:hint="eastAsia" w:ascii="Times New Roman" w:hAnsi="Times New Roman" w:eastAsia="宋体" w:cs="宋体"/>
                <w:color w:val="auto"/>
                <w:kern w:val="0"/>
                <w:sz w:val="24"/>
                <w:lang w:val="en-US" w:eastAsia="zh-CN" w:bidi="ar"/>
              </w:rPr>
              <w:t>1</w:t>
            </w:r>
          </w:p>
        </w:tc>
        <w:tc>
          <w:tcPr>
            <w:tcW w:w="994" w:type="dxa"/>
            <w:noWrap w:val="0"/>
            <w:vAlign w:val="center"/>
          </w:tcPr>
          <w:p w14:paraId="4E4516B6">
            <w:pPr>
              <w:pStyle w:val="8"/>
              <w:numPr>
                <w:ilvl w:val="0"/>
                <w:numId w:val="0"/>
              </w:numPr>
              <w:spacing w:line="360" w:lineRule="auto"/>
              <w:jc w:val="left"/>
              <w:rPr>
                <w:rFonts w:hint="eastAsia" w:ascii="Times New Roman" w:hAnsi="Times New Roman" w:eastAsia="宋体" w:cs="宋体"/>
                <w:color w:val="auto"/>
                <w:kern w:val="0"/>
                <w:sz w:val="24"/>
                <w:lang w:val="en-US" w:eastAsia="zh-CN" w:bidi="ar"/>
              </w:rPr>
            </w:pPr>
            <w:r>
              <w:rPr>
                <w:rFonts w:hint="eastAsia" w:ascii="Times New Roman" w:hAnsi="Times New Roman" w:eastAsia="宋体" w:cs="宋体"/>
                <w:color w:val="auto"/>
                <w:kern w:val="0"/>
                <w:sz w:val="24"/>
                <w:lang w:val="en-US" w:eastAsia="zh-CN" w:bidi="ar"/>
              </w:rPr>
              <w:t>价格分</w:t>
            </w:r>
          </w:p>
        </w:tc>
        <w:tc>
          <w:tcPr>
            <w:tcW w:w="1100" w:type="dxa"/>
            <w:noWrap w:val="0"/>
            <w:vAlign w:val="center"/>
          </w:tcPr>
          <w:p w14:paraId="7611AC32">
            <w:pPr>
              <w:pStyle w:val="8"/>
              <w:numPr>
                <w:ilvl w:val="0"/>
                <w:numId w:val="0"/>
              </w:numPr>
              <w:spacing w:line="360" w:lineRule="auto"/>
              <w:jc w:val="left"/>
              <w:rPr>
                <w:rFonts w:hint="default" w:ascii="Times New Roman" w:hAnsi="Times New Roman" w:eastAsia="宋体" w:cs="宋体"/>
                <w:color w:val="auto"/>
                <w:kern w:val="0"/>
                <w:sz w:val="24"/>
                <w:lang w:val="en-US" w:eastAsia="zh-CN" w:bidi="ar"/>
              </w:rPr>
            </w:pPr>
            <w:r>
              <w:rPr>
                <w:rFonts w:hint="eastAsia" w:ascii="Times New Roman" w:hAnsi="Times New Roman" w:eastAsia="宋体" w:cs="宋体"/>
                <w:color w:val="auto"/>
                <w:kern w:val="0"/>
                <w:sz w:val="24"/>
                <w:lang w:val="en-US" w:eastAsia="zh-CN" w:bidi="ar"/>
              </w:rPr>
              <w:t>30</w:t>
            </w:r>
          </w:p>
        </w:tc>
        <w:tc>
          <w:tcPr>
            <w:tcW w:w="6776" w:type="dxa"/>
            <w:noWrap w:val="0"/>
            <w:vAlign w:val="center"/>
          </w:tcPr>
          <w:p w14:paraId="4671F920">
            <w:pPr>
              <w:pStyle w:val="8"/>
              <w:numPr>
                <w:ilvl w:val="0"/>
                <w:numId w:val="0"/>
              </w:numPr>
              <w:spacing w:line="360" w:lineRule="auto"/>
              <w:jc w:val="left"/>
              <w:rPr>
                <w:rFonts w:hint="eastAsia" w:ascii="Times New Roman" w:hAnsi="Times New Roman" w:eastAsia="宋体" w:cs="宋体"/>
                <w:color w:val="auto"/>
                <w:kern w:val="0"/>
                <w:sz w:val="24"/>
                <w:lang w:val="en-US" w:eastAsia="zh-CN" w:bidi="ar"/>
              </w:rPr>
            </w:pPr>
            <w:r>
              <w:rPr>
                <w:rFonts w:hint="eastAsia" w:ascii="Times New Roman" w:hAnsi="Times New Roman" w:eastAsia="宋体" w:cs="宋体"/>
                <w:color w:val="auto"/>
                <w:kern w:val="0"/>
                <w:sz w:val="24"/>
                <w:lang w:val="en-US" w:eastAsia="zh-CN" w:bidi="ar"/>
              </w:rPr>
              <w:t>采用低价优先法计算，即满足招标文件要求的有效的最低投标价格为评标基准价，其价格分为满分30分，其他投标单位的价格分统一按照下列公式计算：投标报价得分=(评标基准价／投标报价)×30。价格分值小数点后保留两位小数，第三位不论大小一律不计。</w:t>
            </w:r>
          </w:p>
        </w:tc>
      </w:tr>
      <w:tr w14:paraId="686FC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noWrap w:val="0"/>
            <w:vAlign w:val="center"/>
          </w:tcPr>
          <w:p w14:paraId="2007BB3E">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2</w:t>
            </w:r>
          </w:p>
        </w:tc>
        <w:tc>
          <w:tcPr>
            <w:tcW w:w="994" w:type="dxa"/>
            <w:noWrap w:val="0"/>
            <w:vAlign w:val="center"/>
          </w:tcPr>
          <w:p w14:paraId="5D65D80C">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项目实施方案</w:t>
            </w:r>
          </w:p>
        </w:tc>
        <w:tc>
          <w:tcPr>
            <w:tcW w:w="1100" w:type="dxa"/>
            <w:noWrap w:val="0"/>
            <w:vAlign w:val="center"/>
          </w:tcPr>
          <w:p w14:paraId="54DAB4FA">
            <w:pPr>
              <w:pStyle w:val="8"/>
              <w:spacing w:line="360" w:lineRule="auto"/>
              <w:jc w:val="center"/>
              <w:rPr>
                <w:rFonts w:hint="default"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20</w:t>
            </w:r>
          </w:p>
        </w:tc>
        <w:tc>
          <w:tcPr>
            <w:tcW w:w="6776" w:type="dxa"/>
            <w:noWrap w:val="0"/>
            <w:vAlign w:val="center"/>
          </w:tcPr>
          <w:p w14:paraId="30077ADE">
            <w:pPr>
              <w:pStyle w:val="8"/>
              <w:numPr>
                <w:ilvl w:val="0"/>
                <w:numId w:val="0"/>
              </w:numPr>
              <w:spacing w:line="360" w:lineRule="auto"/>
              <w:jc w:val="left"/>
              <w:rPr>
                <w:rFonts w:hint="eastAsia" w:ascii="Times New Roman" w:hAnsi="Times New Roman" w:eastAsia="宋体" w:cs="宋体"/>
                <w:color w:val="auto"/>
                <w:kern w:val="0"/>
                <w:sz w:val="24"/>
                <w:lang w:val="en-US" w:eastAsia="zh-CN" w:bidi="ar"/>
              </w:rPr>
            </w:pPr>
            <w:r>
              <w:rPr>
                <w:rFonts w:hint="eastAsia" w:ascii="Times New Roman" w:hAnsi="Times New Roman" w:eastAsia="宋体" w:cs="宋体"/>
                <w:color w:val="auto"/>
                <w:kern w:val="0"/>
                <w:sz w:val="24"/>
                <w:szCs w:val="18"/>
                <w:lang w:val="en-US" w:eastAsia="zh-CN" w:bidi="ar"/>
              </w:rPr>
              <w:t>1、</w:t>
            </w:r>
            <w:r>
              <w:rPr>
                <w:rFonts w:hint="eastAsia" w:ascii="Times New Roman" w:hAnsi="Times New Roman" w:eastAsia="宋体" w:cs="宋体"/>
                <w:color w:val="auto"/>
                <w:kern w:val="0"/>
                <w:sz w:val="24"/>
                <w:lang w:val="en-US" w:eastAsia="zh-CN" w:bidi="ar"/>
              </w:rPr>
              <w:t xml:space="preserve">实施方案：投标人根据项目建设需求，提供满足项目需求的实施方案。方案包括：项目实施进度计划，项目实施进度保障措施，系统集成方案，安装方案，售后服务保障等；投标人每提供一项优于项目需求的实施方案的得1分；投标人每提供一项满足项目需求的实施方案得0.5分；不提供或方案不满足项目需求的不得分。本项最高得5分。    </w:t>
            </w:r>
          </w:p>
          <w:p w14:paraId="256051E8">
            <w:pPr>
              <w:pStyle w:val="8"/>
              <w:numPr>
                <w:ilvl w:val="0"/>
                <w:numId w:val="0"/>
              </w:numPr>
              <w:spacing w:line="360" w:lineRule="auto"/>
              <w:jc w:val="left"/>
              <w:rPr>
                <w:rFonts w:hint="eastAsia" w:ascii="Times New Roman" w:hAnsi="Times New Roman" w:eastAsia="宋体" w:cs="宋体"/>
                <w:color w:val="auto"/>
                <w:kern w:val="0"/>
                <w:sz w:val="24"/>
                <w:lang w:val="en-US" w:eastAsia="zh-CN" w:bidi="ar"/>
              </w:rPr>
            </w:pPr>
            <w:r>
              <w:rPr>
                <w:rFonts w:hint="eastAsia" w:ascii="Times New Roman" w:hAnsi="Times New Roman" w:eastAsia="宋体" w:cs="宋体"/>
                <w:color w:val="auto"/>
                <w:kern w:val="0"/>
                <w:sz w:val="24"/>
                <w:szCs w:val="18"/>
                <w:lang w:val="en-US" w:eastAsia="zh-CN" w:bidi="ar"/>
              </w:rPr>
              <w:t>2、</w:t>
            </w:r>
            <w:r>
              <w:rPr>
                <w:rFonts w:hint="eastAsia" w:ascii="Times New Roman" w:hAnsi="Times New Roman" w:eastAsia="宋体" w:cs="宋体"/>
                <w:color w:val="auto"/>
                <w:kern w:val="0"/>
                <w:sz w:val="24"/>
                <w:lang w:val="en-US" w:eastAsia="zh-CN" w:bidi="ar"/>
              </w:rPr>
              <w:t>质控方案：投标人根据项目建设需求，提供满足项目需求的质控方案。方案包括：质控计划，质控措施实施与要求，质控合格率提升的措施，质量监督措施，仪器故障解决方案，人工补测方案等。</w:t>
            </w:r>
          </w:p>
          <w:p w14:paraId="60125CC4">
            <w:pPr>
              <w:pStyle w:val="8"/>
              <w:numPr>
                <w:ilvl w:val="0"/>
                <w:numId w:val="0"/>
              </w:numPr>
              <w:spacing w:line="360" w:lineRule="auto"/>
              <w:jc w:val="left"/>
              <w:rPr>
                <w:rFonts w:hint="eastAsia" w:ascii="Times New Roman" w:hAnsi="Times New Roman" w:eastAsia="宋体" w:cs="宋体"/>
                <w:color w:val="auto"/>
                <w:kern w:val="0"/>
                <w:sz w:val="24"/>
                <w:lang w:val="en-US" w:eastAsia="zh-CN" w:bidi="ar"/>
              </w:rPr>
            </w:pPr>
            <w:r>
              <w:rPr>
                <w:rFonts w:hint="eastAsia" w:ascii="Times New Roman" w:hAnsi="Times New Roman" w:eastAsia="宋体" w:cs="宋体"/>
                <w:color w:val="auto"/>
                <w:kern w:val="0"/>
                <w:sz w:val="24"/>
                <w:lang w:val="en-US" w:eastAsia="zh-CN" w:bidi="ar"/>
              </w:rPr>
              <w:t xml:space="preserve">投标人每提供一项优于项目需求的质控方案的得1.5分；投标人每提供一项满足项目需求的质控方案的得1分；不提供或方案不满足项目需求的不得分。本项最高得9分。        </w:t>
            </w:r>
          </w:p>
          <w:p w14:paraId="2ED38053">
            <w:pPr>
              <w:pStyle w:val="8"/>
              <w:numPr>
                <w:ilvl w:val="0"/>
                <w:numId w:val="0"/>
              </w:numPr>
              <w:spacing w:line="360" w:lineRule="auto"/>
              <w:jc w:val="left"/>
              <w:rPr>
                <w:rFonts w:hint="eastAsia" w:ascii="Times New Roman" w:hAnsi="Times New Roman" w:eastAsia="宋体" w:cs="宋体"/>
                <w:color w:val="auto"/>
                <w:kern w:val="0"/>
                <w:sz w:val="24"/>
                <w:lang w:val="en-US" w:eastAsia="zh-CN" w:bidi="ar"/>
              </w:rPr>
            </w:pPr>
            <w:r>
              <w:rPr>
                <w:rFonts w:hint="eastAsia" w:ascii="Times New Roman" w:hAnsi="Times New Roman" w:eastAsia="宋体" w:cs="宋体"/>
                <w:color w:val="auto"/>
                <w:kern w:val="0"/>
                <w:sz w:val="24"/>
                <w:szCs w:val="18"/>
                <w:lang w:val="en-US" w:eastAsia="zh-CN" w:bidi="ar"/>
              </w:rPr>
              <w:t>3、</w:t>
            </w:r>
            <w:r>
              <w:rPr>
                <w:rFonts w:hint="eastAsia" w:ascii="Times New Roman" w:hAnsi="Times New Roman" w:eastAsia="宋体" w:cs="宋体"/>
                <w:color w:val="auto"/>
                <w:kern w:val="0"/>
                <w:sz w:val="24"/>
                <w:lang w:val="en-US" w:eastAsia="zh-CN" w:bidi="ar"/>
              </w:rPr>
              <w:t>运维服务方案：投标人根据项目建设需求，提供满足项目需求的运维服务方案。包括：运维维护管理方案，日常运维方案（日常维护内容、维护频次、废液收集处置、耗材和备用配件供应、常见故障处理流程及相关台账资料的管理），运维应急预案【</w:t>
            </w:r>
            <w:r>
              <w:rPr>
                <w:rFonts w:hint="eastAsia" w:ascii="Times New Roman" w:hAnsi="Times New Roman" w:eastAsia="宋体" w:cs="宋体"/>
                <w:color w:val="auto"/>
                <w:kern w:val="0"/>
                <w:sz w:val="24"/>
                <w:lang w:val="zh-CN" w:eastAsia="zh-CN" w:bidi="ar"/>
              </w:rPr>
              <w:t>突发性水质污染、特殊时期（丰水期、枯水期等）、自然灾害、水电检修、临时停电或节假日、重大活动或被偷盗破坏等情</w:t>
            </w:r>
            <w:r>
              <w:rPr>
                <w:rFonts w:hint="eastAsia" w:ascii="Times New Roman" w:hAnsi="Times New Roman" w:eastAsia="宋体" w:cs="宋体"/>
                <w:color w:val="auto"/>
                <w:kern w:val="0"/>
                <w:sz w:val="24"/>
                <w:lang w:val="en-US" w:eastAsia="zh-CN" w:bidi="ar"/>
              </w:rPr>
              <w:t>况的</w:t>
            </w:r>
            <w:r>
              <w:rPr>
                <w:rFonts w:hint="eastAsia" w:ascii="Times New Roman" w:hAnsi="Times New Roman" w:eastAsia="宋体" w:cs="宋体"/>
                <w:color w:val="auto"/>
                <w:kern w:val="0"/>
                <w:sz w:val="24"/>
                <w:lang w:val="zh-CN" w:eastAsia="zh-CN" w:bidi="ar"/>
              </w:rPr>
              <w:t>预防和应急措施</w:t>
            </w:r>
            <w:r>
              <w:rPr>
                <w:rFonts w:hint="eastAsia" w:ascii="Times New Roman" w:hAnsi="Times New Roman" w:eastAsia="宋体" w:cs="宋体"/>
                <w:color w:val="auto"/>
                <w:kern w:val="0"/>
                <w:sz w:val="24"/>
                <w:lang w:val="en-US" w:eastAsia="zh-CN" w:bidi="ar"/>
              </w:rPr>
              <w:t>）】，人员培训方案（</w:t>
            </w:r>
            <w:r>
              <w:rPr>
                <w:rFonts w:hint="eastAsia" w:ascii="Times New Roman" w:hAnsi="Times New Roman" w:eastAsia="宋体" w:cs="宋体"/>
                <w:color w:val="auto"/>
                <w:kern w:val="0"/>
                <w:sz w:val="24"/>
                <w:lang w:val="zh-CN" w:eastAsia="zh-CN" w:bidi="ar"/>
              </w:rPr>
              <w:t>至少包括</w:t>
            </w:r>
            <w:r>
              <w:rPr>
                <w:rFonts w:hint="eastAsia" w:ascii="Times New Roman" w:hAnsi="Times New Roman" w:eastAsia="宋体" w:cs="宋体"/>
                <w:color w:val="auto"/>
                <w:kern w:val="0"/>
                <w:sz w:val="24"/>
                <w:lang w:val="en-US" w:eastAsia="zh-CN" w:bidi="ar"/>
              </w:rPr>
              <w:t>培训目的和计划、培训内容、培训方式等）。</w:t>
            </w:r>
          </w:p>
          <w:p w14:paraId="5A48D2BB">
            <w:pPr>
              <w:pStyle w:val="8"/>
              <w:numPr>
                <w:ilvl w:val="0"/>
                <w:numId w:val="0"/>
              </w:numPr>
              <w:spacing w:line="360" w:lineRule="auto"/>
              <w:jc w:val="left"/>
              <w:rPr>
                <w:rFonts w:hint="eastAsia" w:ascii="Times New Roman" w:hAnsi="Times New Roman" w:eastAsia="宋体" w:cs="宋体"/>
                <w:color w:val="auto"/>
                <w:kern w:val="0"/>
                <w:sz w:val="24"/>
                <w:lang w:val="en-US" w:eastAsia="zh-CN" w:bidi="ar"/>
              </w:rPr>
            </w:pPr>
            <w:r>
              <w:rPr>
                <w:rFonts w:hint="eastAsia" w:ascii="Times New Roman" w:hAnsi="Times New Roman" w:eastAsia="宋体" w:cs="宋体"/>
                <w:color w:val="auto"/>
                <w:kern w:val="0"/>
                <w:sz w:val="24"/>
                <w:lang w:val="en-US" w:eastAsia="zh-CN" w:bidi="ar"/>
              </w:rPr>
              <w:t xml:space="preserve">投标人每提供一项优于项目需求的运维服务方案的得1.5分；投标人每提供一项满足项目需求的运维服务方案的得1分；不提供或方案不满足项目需求的不得分。本项最高得6分。        </w:t>
            </w:r>
          </w:p>
        </w:tc>
      </w:tr>
      <w:tr w14:paraId="657E5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noWrap w:val="0"/>
            <w:vAlign w:val="center"/>
          </w:tcPr>
          <w:p w14:paraId="18AB7ABB">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3</w:t>
            </w:r>
          </w:p>
        </w:tc>
        <w:tc>
          <w:tcPr>
            <w:tcW w:w="994" w:type="dxa"/>
            <w:noWrap w:val="0"/>
            <w:vAlign w:val="center"/>
          </w:tcPr>
          <w:p w14:paraId="4ECEBAB3">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产品参数符合性及适用性</w:t>
            </w:r>
          </w:p>
        </w:tc>
        <w:tc>
          <w:tcPr>
            <w:tcW w:w="1100" w:type="dxa"/>
            <w:noWrap w:val="0"/>
            <w:vAlign w:val="center"/>
          </w:tcPr>
          <w:p w14:paraId="454D42ED">
            <w:pPr>
              <w:pStyle w:val="8"/>
              <w:spacing w:line="360" w:lineRule="auto"/>
              <w:jc w:val="center"/>
              <w:rPr>
                <w:rFonts w:hint="default"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28</w:t>
            </w:r>
          </w:p>
        </w:tc>
        <w:tc>
          <w:tcPr>
            <w:tcW w:w="6776" w:type="dxa"/>
            <w:noWrap w:val="0"/>
            <w:vAlign w:val="center"/>
          </w:tcPr>
          <w:p w14:paraId="44862BE0">
            <w:pPr>
              <w:widowControl/>
              <w:numPr>
                <w:ilvl w:val="0"/>
                <w:numId w:val="0"/>
              </w:numPr>
              <w:spacing w:line="360" w:lineRule="auto"/>
              <w:jc w:val="left"/>
              <w:rPr>
                <w:rFonts w:hint="eastAsia" w:ascii="Times New Roman" w:hAnsi="Times New Roman" w:eastAsia="宋体" w:cs="宋体"/>
                <w:color w:val="auto"/>
                <w:kern w:val="0"/>
                <w:sz w:val="24"/>
                <w:lang w:val="en-US" w:eastAsia="zh-CN" w:bidi="ar"/>
              </w:rPr>
            </w:pPr>
            <w:r>
              <w:rPr>
                <w:rFonts w:hint="eastAsia" w:ascii="宋体" w:hAnsi="宋体" w:eastAsia="宋体" w:cs="宋体"/>
                <w:color w:val="auto"/>
                <w:sz w:val="24"/>
                <w:szCs w:val="24"/>
                <w:lang w:val="en-US" w:eastAsia="zh-CN"/>
              </w:rPr>
              <w:t>投标人所投产品完全满足“招标参数”要求的得满分28分；其中标注“▲”号的参数为重要功能参数，每有一项负偏离扣1分（</w:t>
            </w:r>
            <w:r>
              <w:rPr>
                <w:rFonts w:hint="eastAsia" w:ascii="Times New Roman" w:hAnsi="Times New Roman" w:eastAsia="宋体" w:cs="宋体"/>
                <w:color w:val="auto"/>
                <w:kern w:val="0"/>
                <w:sz w:val="24"/>
                <w:lang w:val="zh-CN" w:eastAsia="zh-CN" w:bidi="ar"/>
              </w:rPr>
              <w:t>须提供省级及以上计量检验检测机构或质量监督检验机构出具的检测或测试报告</w:t>
            </w:r>
            <w:r>
              <w:rPr>
                <w:rFonts w:hint="eastAsia" w:ascii="Times New Roman" w:hAnsi="Times New Roman" w:eastAsia="宋体" w:cs="宋体"/>
                <w:color w:val="auto"/>
                <w:kern w:val="0"/>
                <w:sz w:val="24"/>
                <w:lang w:val="en-US" w:eastAsia="zh-CN" w:bidi="ar"/>
              </w:rPr>
              <w:t>并加盖投标人公章</w:t>
            </w:r>
            <w:r>
              <w:rPr>
                <w:rFonts w:hint="eastAsia" w:ascii="Times New Roman" w:hAnsi="Times New Roman" w:eastAsia="宋体" w:cs="宋体"/>
                <w:color w:val="auto"/>
                <w:kern w:val="0"/>
                <w:sz w:val="24"/>
                <w:lang w:val="zh-CN" w:eastAsia="zh-CN" w:bidi="ar"/>
              </w:rPr>
              <w:t>，</w:t>
            </w:r>
            <w:r>
              <w:rPr>
                <w:rFonts w:hint="eastAsia" w:ascii="Times New Roman" w:hAnsi="Times New Roman" w:eastAsia="宋体" w:cs="宋体"/>
                <w:color w:val="auto"/>
                <w:kern w:val="0"/>
                <w:sz w:val="24"/>
                <w:lang w:val="en-US" w:eastAsia="zh-CN" w:bidi="ar"/>
              </w:rPr>
              <w:t>否则不得分</w:t>
            </w:r>
            <w:r>
              <w:rPr>
                <w:rFonts w:hint="eastAsia" w:ascii="宋体" w:hAnsi="宋体" w:eastAsia="宋体" w:cs="宋体"/>
                <w:color w:val="auto"/>
                <w:sz w:val="24"/>
                <w:szCs w:val="24"/>
                <w:lang w:val="en-US" w:eastAsia="zh-CN"/>
              </w:rPr>
              <w:t>），总分18分，扣完为止；</w:t>
            </w:r>
            <w:r>
              <w:rPr>
                <w:rFonts w:hint="default" w:ascii="宋体" w:hAnsi="宋体" w:eastAsia="宋体" w:cs="宋体"/>
                <w:color w:val="auto"/>
                <w:sz w:val="24"/>
                <w:szCs w:val="24"/>
                <w:lang w:val="en-US" w:eastAsia="zh-CN"/>
              </w:rPr>
              <w:t>其中</w:t>
            </w:r>
            <w:r>
              <w:rPr>
                <w:rFonts w:hint="eastAsia" w:ascii="宋体" w:hAnsi="宋体" w:eastAsia="宋体" w:cs="宋体"/>
                <w:color w:val="auto"/>
                <w:sz w:val="24"/>
                <w:szCs w:val="24"/>
                <w:lang w:val="en-US" w:eastAsia="zh-CN"/>
              </w:rPr>
              <w:t>标注“</w:t>
            </w:r>
            <w:r>
              <w:rPr>
                <w:rFonts w:hint="default" w:ascii="宋体" w:hAnsi="宋体" w:eastAsia="宋体" w:cs="宋体"/>
                <w:color w:val="auto"/>
                <w:sz w:val="24"/>
                <w:szCs w:val="24"/>
                <w:lang w:val="en-US" w:eastAsia="zh-CN"/>
              </w:rPr>
              <w:t>√</w:t>
            </w:r>
            <w:r>
              <w:rPr>
                <w:rFonts w:hint="eastAsia" w:ascii="宋体" w:hAnsi="宋体" w:eastAsia="宋体" w:cs="宋体"/>
                <w:color w:val="auto"/>
                <w:sz w:val="24"/>
                <w:szCs w:val="24"/>
                <w:lang w:val="en-US" w:eastAsia="zh-CN"/>
              </w:rPr>
              <w:t>”号的参数，如有一项负偏离扣0.2分（须提供加盖投标人红色公章的“技术参数响应对照表”为准，否则不得分），总分10分，扣完为止。</w:t>
            </w:r>
          </w:p>
        </w:tc>
      </w:tr>
      <w:tr w14:paraId="2CC66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noWrap w:val="0"/>
            <w:vAlign w:val="center"/>
          </w:tcPr>
          <w:p w14:paraId="7645878B">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4</w:t>
            </w:r>
          </w:p>
        </w:tc>
        <w:tc>
          <w:tcPr>
            <w:tcW w:w="994" w:type="dxa"/>
            <w:noWrap w:val="0"/>
            <w:vAlign w:val="center"/>
          </w:tcPr>
          <w:p w14:paraId="73BC9B1B">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履约能力</w:t>
            </w:r>
          </w:p>
        </w:tc>
        <w:tc>
          <w:tcPr>
            <w:tcW w:w="1100" w:type="dxa"/>
            <w:noWrap w:val="0"/>
            <w:vAlign w:val="center"/>
          </w:tcPr>
          <w:p w14:paraId="5C9F3D6C">
            <w:pPr>
              <w:pStyle w:val="8"/>
              <w:spacing w:line="360" w:lineRule="auto"/>
              <w:jc w:val="center"/>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11</w:t>
            </w:r>
          </w:p>
        </w:tc>
        <w:tc>
          <w:tcPr>
            <w:tcW w:w="6776" w:type="dxa"/>
            <w:noWrap w:val="0"/>
            <w:vAlign w:val="center"/>
          </w:tcPr>
          <w:p w14:paraId="1E8D86D1">
            <w:pPr>
              <w:pStyle w:val="8"/>
              <w:spacing w:line="360" w:lineRule="auto"/>
              <w:jc w:val="left"/>
              <w:rPr>
                <w:rFonts w:hint="default"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1、投标人为本项目派遣的项目负责人，具有环保类高级及以上技术职称证书的，得3分；未提供的不得分。</w:t>
            </w:r>
          </w:p>
          <w:p w14:paraId="5681D72A">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2、投标人为本项目派遣的现场运维人员需要2人以上（含2人），须取得省级及以上生态环境部门颁发的地表水环境质量自动监测技术与运维管理培训合格证书或水质自动站上岗证的，每提供1个证书得1分，满分2分；未提供的不得分。</w:t>
            </w:r>
          </w:p>
          <w:p w14:paraId="65688008">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注：项目负责人和现场运维人员须提供相关证书原件彩色扫描件及投标人为其缴纳近六个月连续社保证明材料扫描件并加盖投标人公章，否则不得分。</w:t>
            </w:r>
          </w:p>
          <w:p w14:paraId="28E21308">
            <w:pPr>
              <w:pStyle w:val="8"/>
              <w:spacing w:line="360" w:lineRule="auto"/>
              <w:jc w:val="left"/>
              <w:rPr>
                <w:rFonts w:hint="default"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3、投标人自有（或控股）的用于质量控制的CMA或CNAS认证实验室且认证范围至少包含：五参数（pH、溶解氧、电导率、浊度、水温）、高锰酸盐指数、氨氮、总磷、总氮，每缺一项扣0.6分；本项最高得3分。须提供投标人计量证书和计量确认证明原件彩色扫描件及有效相关证明材料并加盖投标人公章，否则不得分。</w:t>
            </w:r>
          </w:p>
          <w:p w14:paraId="39395AF4">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4、运维质量保障：投标人或水质分析仪生产商为环境监测总站评出的生态环境监测第三方运维星级质量服务单位，四星评价的，得3分，三星评价的，得2分，其它不得分。</w:t>
            </w:r>
          </w:p>
          <w:p w14:paraId="7FD066ED">
            <w:pPr>
              <w:pBdr>
                <w:top w:val="none" w:color="000000" w:sz="0" w:space="0"/>
                <w:left w:val="none" w:color="000000" w:sz="0" w:space="0"/>
                <w:bottom w:val="none" w:color="000000" w:sz="0" w:space="0"/>
                <w:right w:val="none" w:color="000000" w:sz="0" w:space="0"/>
              </w:pBdr>
              <w:spacing w:before="0" w:after="0" w:line="360" w:lineRule="auto"/>
              <w:ind w:left="0" w:right="0" w:firstLine="0"/>
              <w:jc w:val="both"/>
              <w:rPr>
                <w:rFonts w:hint="default"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备注：投标时须提供证书原件彩色扫描件及有效相关证明材料并加盖投标人公章。</w:t>
            </w:r>
          </w:p>
        </w:tc>
      </w:tr>
      <w:tr w14:paraId="089BE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1" w:hRule="atLeast"/>
        </w:trPr>
        <w:tc>
          <w:tcPr>
            <w:tcW w:w="692" w:type="dxa"/>
            <w:noWrap w:val="0"/>
            <w:vAlign w:val="center"/>
          </w:tcPr>
          <w:p w14:paraId="7B6B912E">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5</w:t>
            </w:r>
          </w:p>
        </w:tc>
        <w:tc>
          <w:tcPr>
            <w:tcW w:w="994" w:type="dxa"/>
            <w:noWrap w:val="0"/>
            <w:vAlign w:val="center"/>
          </w:tcPr>
          <w:p w14:paraId="67447E86">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投标人业绩</w:t>
            </w:r>
          </w:p>
        </w:tc>
        <w:tc>
          <w:tcPr>
            <w:tcW w:w="1100" w:type="dxa"/>
            <w:noWrap w:val="0"/>
            <w:vAlign w:val="center"/>
          </w:tcPr>
          <w:p w14:paraId="353496B4">
            <w:pPr>
              <w:pStyle w:val="8"/>
              <w:spacing w:line="360" w:lineRule="auto"/>
              <w:jc w:val="left"/>
              <w:rPr>
                <w:rFonts w:hint="default"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6</w:t>
            </w:r>
          </w:p>
        </w:tc>
        <w:tc>
          <w:tcPr>
            <w:tcW w:w="6776" w:type="dxa"/>
            <w:noWrap w:val="0"/>
            <w:vAlign w:val="center"/>
          </w:tcPr>
          <w:p w14:paraId="1B10BD11">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投标人自202</w:t>
            </w:r>
            <w:r>
              <w:rPr>
                <w:rFonts w:hint="default" w:ascii="Times New Roman" w:hAnsi="Times New Roman" w:eastAsia="宋体" w:cs="宋体"/>
                <w:b w:val="0"/>
                <w:bCs w:val="0"/>
                <w:color w:val="000000"/>
                <w:kern w:val="2"/>
                <w:sz w:val="24"/>
                <w:szCs w:val="24"/>
                <w:lang w:val="en-US" w:eastAsia="zh-CN" w:bidi="ar-SA"/>
              </w:rPr>
              <w:t>2</w:t>
            </w:r>
            <w:r>
              <w:rPr>
                <w:rFonts w:hint="eastAsia" w:ascii="Times New Roman" w:hAnsi="Times New Roman" w:eastAsia="宋体" w:cs="宋体"/>
                <w:b w:val="0"/>
                <w:bCs w:val="0"/>
                <w:color w:val="000000"/>
                <w:kern w:val="2"/>
                <w:sz w:val="24"/>
                <w:szCs w:val="24"/>
                <w:lang w:val="en-US" w:eastAsia="zh-CN" w:bidi="ar-SA"/>
              </w:rPr>
              <w:t>年1月1日至今（以合同签署日期为准），具有地表水水质自动监测站建设+运维类似业绩的，类似业绩合同标的中至少同时包含五参数（pH、溶解氧、电导率、浊度、水温）、高锰酸盐指数、氨氮、总磷、总氮，每提供一个得2分，最高得6分。</w:t>
            </w:r>
          </w:p>
          <w:p w14:paraId="40916FE6">
            <w:pPr>
              <w:pStyle w:val="8"/>
              <w:spacing w:line="360" w:lineRule="auto"/>
              <w:jc w:val="left"/>
              <w:rPr>
                <w:rFonts w:hint="default"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注：请列表汇总，并同时提供中标通知书及合同原件彩色扫描件加盖投标人公章，未提供或提供不全不得分。</w:t>
            </w:r>
          </w:p>
        </w:tc>
      </w:tr>
      <w:tr w14:paraId="47C90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noWrap w:val="0"/>
            <w:vAlign w:val="center"/>
          </w:tcPr>
          <w:p w14:paraId="49678BE2">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6</w:t>
            </w:r>
          </w:p>
        </w:tc>
        <w:tc>
          <w:tcPr>
            <w:tcW w:w="994" w:type="dxa"/>
            <w:noWrap w:val="0"/>
            <w:vAlign w:val="center"/>
          </w:tcPr>
          <w:p w14:paraId="1FE12EB0">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服务</w:t>
            </w:r>
          </w:p>
          <w:p w14:paraId="5E9D2479">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承诺</w:t>
            </w:r>
          </w:p>
        </w:tc>
        <w:tc>
          <w:tcPr>
            <w:tcW w:w="1100" w:type="dxa"/>
            <w:noWrap w:val="0"/>
            <w:vAlign w:val="center"/>
          </w:tcPr>
          <w:p w14:paraId="0242DF09">
            <w:pPr>
              <w:pStyle w:val="8"/>
              <w:spacing w:line="360" w:lineRule="auto"/>
              <w:jc w:val="both"/>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3</w:t>
            </w:r>
          </w:p>
        </w:tc>
        <w:tc>
          <w:tcPr>
            <w:tcW w:w="6776" w:type="dxa"/>
            <w:noWrap w:val="0"/>
            <w:vAlign w:val="center"/>
          </w:tcPr>
          <w:p w14:paraId="1EB7C558">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投标人</w:t>
            </w:r>
            <w:r>
              <w:rPr>
                <w:rFonts w:hint="default" w:ascii="Times New Roman" w:hAnsi="Times New Roman" w:eastAsia="宋体" w:cs="宋体"/>
                <w:b w:val="0"/>
                <w:bCs w:val="0"/>
                <w:color w:val="000000"/>
                <w:kern w:val="2"/>
                <w:sz w:val="24"/>
                <w:szCs w:val="24"/>
                <w:lang w:val="en-US" w:eastAsia="zh-CN" w:bidi="ar-SA"/>
              </w:rPr>
              <w:t>提供书面承诺书，承诺在中标后按时保质保量完成服务内容，若不能按序时完成或服务质量达不到要求的，</w:t>
            </w:r>
            <w:r>
              <w:rPr>
                <w:rFonts w:hint="eastAsia" w:ascii="Times New Roman" w:hAnsi="Times New Roman" w:eastAsia="宋体" w:cs="宋体"/>
                <w:b w:val="0"/>
                <w:bCs w:val="0"/>
                <w:color w:val="000000"/>
                <w:kern w:val="2"/>
                <w:sz w:val="24"/>
                <w:szCs w:val="24"/>
                <w:lang w:val="en-US" w:eastAsia="zh-CN" w:bidi="ar-SA"/>
              </w:rPr>
              <w:t>扣除项目总价的10%-15%（视情况而定）</w:t>
            </w:r>
            <w:r>
              <w:rPr>
                <w:rFonts w:hint="default" w:ascii="Times New Roman" w:hAnsi="Times New Roman" w:eastAsia="宋体" w:cs="宋体"/>
                <w:b w:val="0"/>
                <w:bCs w:val="0"/>
                <w:color w:val="000000"/>
                <w:kern w:val="2"/>
                <w:sz w:val="24"/>
                <w:szCs w:val="24"/>
                <w:lang w:val="en-US" w:eastAsia="zh-CN" w:bidi="ar-SA"/>
              </w:rPr>
              <w:t>。</w:t>
            </w:r>
            <w:r>
              <w:rPr>
                <w:rFonts w:hint="eastAsia" w:ascii="Times New Roman" w:hAnsi="Times New Roman" w:eastAsia="宋体" w:cs="宋体"/>
                <w:b w:val="0"/>
                <w:bCs w:val="0"/>
                <w:color w:val="000000"/>
                <w:kern w:val="2"/>
                <w:sz w:val="24"/>
                <w:szCs w:val="24"/>
                <w:lang w:val="en-US" w:eastAsia="zh-CN" w:bidi="ar-SA"/>
              </w:rPr>
              <w:t>备注：须提供完整内容的承诺书加盖投标人公章，否则不得分。本项最高得3分。</w:t>
            </w:r>
          </w:p>
        </w:tc>
      </w:tr>
      <w:tr w14:paraId="442FB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2" w:type="dxa"/>
            <w:noWrap w:val="0"/>
            <w:vAlign w:val="center"/>
          </w:tcPr>
          <w:p w14:paraId="5BC96D8A">
            <w:pPr>
              <w:pStyle w:val="8"/>
              <w:spacing w:line="360" w:lineRule="auto"/>
              <w:jc w:val="left"/>
              <w:rPr>
                <w:rFonts w:hint="default"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7</w:t>
            </w:r>
          </w:p>
        </w:tc>
        <w:tc>
          <w:tcPr>
            <w:tcW w:w="994" w:type="dxa"/>
            <w:noWrap w:val="0"/>
            <w:vAlign w:val="center"/>
          </w:tcPr>
          <w:p w14:paraId="30154A95">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节能环保</w:t>
            </w:r>
          </w:p>
        </w:tc>
        <w:tc>
          <w:tcPr>
            <w:tcW w:w="1100" w:type="dxa"/>
            <w:noWrap w:val="0"/>
            <w:vAlign w:val="center"/>
          </w:tcPr>
          <w:p w14:paraId="0A1107C7">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2</w:t>
            </w:r>
          </w:p>
        </w:tc>
        <w:tc>
          <w:tcPr>
            <w:tcW w:w="6776" w:type="dxa"/>
            <w:noWrap w:val="0"/>
            <w:vAlign w:val="center"/>
          </w:tcPr>
          <w:p w14:paraId="6D0DE037">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1.投标产品属于财政部、国家发改委公布的“节能产品品目清单”范围内的，投标人提供国家确定的认证机构出具的、处于有效期之内的该节能产品的有1个得0.5分，最多得1分。须提供认证证书原件彩色扫描件加盖投标人公章，否则不得分；</w:t>
            </w:r>
          </w:p>
          <w:p w14:paraId="0514A3B0">
            <w:pPr>
              <w:pStyle w:val="8"/>
              <w:spacing w:line="360" w:lineRule="auto"/>
              <w:jc w:val="left"/>
              <w:rPr>
                <w:rFonts w:hint="eastAsia" w:ascii="Times New Roman" w:hAnsi="Times New Roman" w:eastAsia="宋体" w:cs="宋体"/>
                <w:b w:val="0"/>
                <w:bCs w:val="0"/>
                <w:color w:val="000000"/>
                <w:kern w:val="2"/>
                <w:sz w:val="24"/>
                <w:szCs w:val="24"/>
                <w:lang w:val="en-US" w:eastAsia="zh-CN" w:bidi="ar-SA"/>
              </w:rPr>
            </w:pPr>
            <w:r>
              <w:rPr>
                <w:rFonts w:hint="eastAsia" w:ascii="Times New Roman" w:hAnsi="Times New Roman" w:eastAsia="宋体" w:cs="宋体"/>
                <w:b w:val="0"/>
                <w:bCs w:val="0"/>
                <w:color w:val="000000"/>
                <w:kern w:val="2"/>
                <w:sz w:val="24"/>
                <w:szCs w:val="24"/>
                <w:lang w:val="en-US" w:eastAsia="zh-CN" w:bidi="ar-SA"/>
              </w:rPr>
              <w:t>2.投标产品属于财政部、生态环境部公布的“环境标志产品品目清单”范围内的，投标人提供国家确定的认证机构出具的、处于有效期内的该环保产品认证证书的，有1个得0.5分，最多得1分。须提供认证证书原件彩色扫描件加盖投标人公章，否则不得分。</w:t>
            </w:r>
          </w:p>
        </w:tc>
      </w:tr>
    </w:tbl>
    <w:p w14:paraId="104B0696">
      <w:pPr>
        <w:pStyle w:val="10"/>
        <w:spacing w:before="120" w:beforeAutospacing="0" w:after="120" w:afterAutospacing="0" w:line="0" w:lineRule="atLeast"/>
        <w:ind w:firstLine="482"/>
        <w:rPr>
          <w:rFonts w:hint="eastAsia" w:ascii="宋体" w:hAnsi="宋体" w:eastAsia="宋体" w:cs="宋体"/>
          <w:b/>
          <w:color w:val="000000"/>
        </w:rPr>
      </w:pPr>
    </w:p>
    <w:p w14:paraId="6617A41A">
      <w:pPr>
        <w:snapToGrid w:val="0"/>
        <w:spacing w:line="520" w:lineRule="exact"/>
        <w:ind w:firstLine="480" w:firstLineChars="200"/>
        <w:rPr>
          <w:rFonts w:hint="eastAsia" w:hAnsi="宋体" w:eastAsia="宋体" w:cs="Times New Roman"/>
          <w:bCs/>
          <w:snapToGrid w:val="0"/>
          <w:sz w:val="24"/>
        </w:rPr>
      </w:pPr>
      <w:r>
        <w:rPr>
          <w:rFonts w:hint="eastAsia" w:hAnsi="宋体" w:eastAsia="宋体" w:cs="Times New Roman"/>
          <w:bCs/>
          <w:snapToGrid w:val="0"/>
          <w:sz w:val="24"/>
        </w:rPr>
        <w:t>备注：</w:t>
      </w:r>
    </w:p>
    <w:p w14:paraId="315BD48D">
      <w:pPr>
        <w:snapToGrid w:val="0"/>
        <w:spacing w:line="520" w:lineRule="exact"/>
        <w:ind w:firstLine="480" w:firstLineChars="200"/>
        <w:rPr>
          <w:rFonts w:hint="eastAsia" w:hAnsi="宋体" w:eastAsia="宋体" w:cs="Times New Roman"/>
          <w:bCs/>
          <w:snapToGrid w:val="0"/>
          <w:sz w:val="24"/>
        </w:rPr>
      </w:pPr>
      <w:r>
        <w:rPr>
          <w:rFonts w:hint="eastAsia" w:hAnsi="宋体" w:eastAsia="宋体" w:cs="Times New Roman"/>
          <w:bCs/>
          <w:snapToGrid w:val="0"/>
          <w:sz w:val="24"/>
        </w:rPr>
        <w:t>1、评分标准中要求提供的证明材料均以原件彩色扫描件加盖所要求的公章在投标文件中反映，相关证明材料须按要求完整提供且不得涂改，本项目所须提供的证明材料均应原件彩色扫描（如原件是彩色件，则扫描件须是彩色）。否则不能得分。</w:t>
      </w:r>
    </w:p>
    <w:p w14:paraId="425DA454">
      <w:pPr>
        <w:snapToGrid w:val="0"/>
        <w:spacing w:line="520" w:lineRule="exact"/>
        <w:ind w:firstLine="480" w:firstLineChars="200"/>
        <w:rPr>
          <w:rFonts w:hint="eastAsia" w:hAnsi="宋体" w:eastAsia="宋体" w:cs="Times New Roman"/>
          <w:bCs/>
          <w:snapToGrid w:val="0"/>
          <w:sz w:val="24"/>
        </w:rPr>
      </w:pPr>
      <w:r>
        <w:rPr>
          <w:rFonts w:hint="eastAsia" w:hAnsi="宋体" w:eastAsia="宋体" w:cs="Times New Roman"/>
          <w:bCs/>
          <w:snapToGrid w:val="0"/>
          <w:sz w:val="24"/>
        </w:rPr>
        <w:t>2、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p>
    <w:p w14:paraId="0D578618">
      <w:pPr>
        <w:snapToGrid w:val="0"/>
        <w:spacing w:line="520" w:lineRule="exact"/>
        <w:ind w:firstLine="480" w:firstLineChars="200"/>
        <w:rPr>
          <w:rFonts w:hint="eastAsia" w:hAnsi="宋体" w:eastAsia="宋体" w:cs="Times New Roman"/>
          <w:bCs/>
          <w:snapToGrid w:val="0"/>
          <w:sz w:val="24"/>
          <w:lang w:eastAsia="zh-CN"/>
        </w:rPr>
      </w:pPr>
      <w:r>
        <w:rPr>
          <w:rFonts w:hint="eastAsia" w:hAnsi="宋体" w:eastAsia="宋体" w:cs="Times New Roman"/>
          <w:bCs/>
          <w:snapToGrid w:val="0"/>
          <w:sz w:val="24"/>
        </w:rPr>
        <w:t>3、评分中涉及的证书、检测报告等应在有效期内</w:t>
      </w:r>
      <w:r>
        <w:rPr>
          <w:rFonts w:hint="eastAsia" w:hAnsi="宋体" w:eastAsia="宋体" w:cs="Times New Roman"/>
          <w:bCs/>
          <w:snapToGrid w:val="0"/>
          <w:sz w:val="24"/>
          <w:lang w:eastAsia="zh-CN"/>
        </w:rPr>
        <w:t>。</w:t>
      </w:r>
    </w:p>
    <w:p w14:paraId="230B8691">
      <w:pPr>
        <w:pStyle w:val="10"/>
        <w:keepNext/>
        <w:spacing w:beforeAutospacing="0" w:afterAutospacing="0"/>
        <w:jc w:val="center"/>
      </w:pPr>
    </w:p>
    <w:p w14:paraId="2BD93CD6">
      <w:pPr>
        <w:pStyle w:val="10"/>
        <w:keepNext/>
        <w:spacing w:beforeAutospacing="0" w:afterAutospacing="0"/>
        <w:jc w:val="center"/>
      </w:pPr>
      <w:r>
        <w:t> </w:t>
      </w:r>
    </w:p>
    <w:p w14:paraId="732AF6E6">
      <w:pPr>
        <w:pStyle w:val="10"/>
        <w:keepNext/>
        <w:spacing w:beforeAutospacing="0" w:afterAutospacing="0"/>
        <w:jc w:val="both"/>
        <w:rPr>
          <w:rFonts w:hint="eastAsia" w:ascii="黑体" w:hAnsi="宋体" w:eastAsia="黑体" w:cs="黑体"/>
          <w:color w:val="000000"/>
          <w:sz w:val="44"/>
          <w:szCs w:val="44"/>
        </w:rPr>
      </w:pPr>
    </w:p>
    <w:p w14:paraId="4D391912">
      <w:pPr>
        <w:pStyle w:val="10"/>
        <w:keepNext/>
        <w:spacing w:beforeAutospacing="0" w:afterAutospacing="0"/>
        <w:jc w:val="both"/>
        <w:rPr>
          <w:rFonts w:hint="eastAsia" w:ascii="黑体" w:hAnsi="宋体" w:eastAsia="黑体" w:cs="黑体"/>
          <w:color w:val="000000"/>
          <w:sz w:val="44"/>
          <w:szCs w:val="44"/>
        </w:rPr>
      </w:pPr>
    </w:p>
    <w:p w14:paraId="08F662EA">
      <w:pPr>
        <w:pStyle w:val="10"/>
        <w:keepNext/>
        <w:spacing w:beforeAutospacing="0" w:afterAutospacing="0"/>
        <w:jc w:val="both"/>
        <w:rPr>
          <w:rFonts w:hint="eastAsia" w:ascii="黑体" w:hAnsi="宋体" w:eastAsia="黑体" w:cs="黑体"/>
          <w:color w:val="000000"/>
          <w:sz w:val="44"/>
          <w:szCs w:val="44"/>
        </w:rPr>
      </w:pPr>
    </w:p>
    <w:p w14:paraId="0A788384">
      <w:pPr>
        <w:pStyle w:val="10"/>
        <w:keepNext/>
        <w:spacing w:beforeAutospacing="0" w:afterAutospacing="0"/>
        <w:ind w:firstLine="1760" w:firstLineChars="400"/>
        <w:jc w:val="both"/>
      </w:pPr>
      <w:r>
        <w:rPr>
          <w:rFonts w:hint="eastAsia" w:ascii="黑体" w:hAnsi="宋体" w:eastAsia="黑体" w:cs="黑体"/>
          <w:color w:val="000000"/>
          <w:sz w:val="44"/>
          <w:szCs w:val="44"/>
        </w:rPr>
        <w:t xml:space="preserve">第六章  投标文件格式 </w:t>
      </w:r>
    </w:p>
    <w:p w14:paraId="2538F65A">
      <w:pPr>
        <w:pStyle w:val="10"/>
        <w:spacing w:beforeAutospacing="0" w:afterAutospacing="0"/>
        <w:jc w:val="center"/>
      </w:pPr>
      <w:bookmarkStart w:id="228" w:name="_Toc49090576"/>
      <w:bookmarkEnd w:id="228"/>
      <w:bookmarkStart w:id="229" w:name="_Toc120614282"/>
      <w:bookmarkEnd w:id="229"/>
      <w:bookmarkStart w:id="230" w:name="_Hlt26671244"/>
      <w:bookmarkStart w:id="231" w:name="_Hlt26955039"/>
      <w:bookmarkStart w:id="232" w:name="_Toc26554094"/>
      <w:r>
        <w:rPr>
          <w:rFonts w:hint="eastAsia" w:ascii="宋体" w:hAnsi="宋体" w:eastAsia="宋体" w:cs="宋体"/>
          <w:b/>
          <w:color w:val="000000"/>
          <w:sz w:val="72"/>
          <w:szCs w:val="72"/>
        </w:rPr>
        <w:t>投  标  文  件</w:t>
      </w:r>
    </w:p>
    <w:p w14:paraId="67B40C6B">
      <w:pPr>
        <w:pStyle w:val="10"/>
        <w:spacing w:beforeAutospacing="0" w:afterAutospacing="0"/>
        <w:jc w:val="center"/>
      </w:pPr>
      <w:r>
        <w:t> </w:t>
      </w:r>
    </w:p>
    <w:p w14:paraId="7FC5019A">
      <w:pPr>
        <w:pStyle w:val="10"/>
        <w:spacing w:beforeAutospacing="0" w:afterAutospacing="0"/>
        <w:jc w:val="center"/>
      </w:pPr>
      <w:r>
        <w:t> </w:t>
      </w:r>
    </w:p>
    <w:p w14:paraId="13AB40B7">
      <w:pPr>
        <w:pStyle w:val="10"/>
        <w:spacing w:beforeAutospacing="0" w:afterAutospacing="0"/>
        <w:jc w:val="center"/>
      </w:pPr>
      <w:r>
        <w:t> </w:t>
      </w:r>
    </w:p>
    <w:p w14:paraId="6D614652">
      <w:pPr>
        <w:pStyle w:val="10"/>
        <w:spacing w:beforeAutospacing="0" w:afterAutospacing="0"/>
        <w:jc w:val="center"/>
      </w:pPr>
      <w:r>
        <w:t> </w:t>
      </w:r>
    </w:p>
    <w:p w14:paraId="0B9CFC46">
      <w:pPr>
        <w:pStyle w:val="10"/>
        <w:spacing w:beforeAutospacing="0" w:afterAutospacing="0"/>
        <w:jc w:val="center"/>
      </w:pPr>
      <w:r>
        <w:t> </w:t>
      </w:r>
    </w:p>
    <w:p w14:paraId="7BA53711">
      <w:pPr>
        <w:pStyle w:val="10"/>
        <w:spacing w:beforeAutospacing="0" w:afterAutospacing="0"/>
        <w:ind w:firstLine="1084"/>
        <w:jc w:val="both"/>
      </w:pPr>
      <w:r>
        <w:rPr>
          <w:rFonts w:hint="eastAsia" w:ascii="宋体" w:hAnsi="宋体" w:eastAsia="宋体" w:cs="宋体"/>
          <w:b/>
          <w:color w:val="000000"/>
          <w:sz w:val="36"/>
          <w:szCs w:val="36"/>
        </w:rPr>
        <w:t>项 目 名 称：</w:t>
      </w:r>
      <w:r>
        <w:rPr>
          <w:rFonts w:hint="eastAsia" w:ascii="宋体" w:hAnsi="宋体" w:eastAsia="宋体" w:cs="宋体"/>
          <w:b/>
          <w:color w:val="000000"/>
          <w:sz w:val="36"/>
          <w:szCs w:val="36"/>
          <w:u w:val="single"/>
        </w:rPr>
        <w:t>             </w:t>
      </w:r>
    </w:p>
    <w:p w14:paraId="4F6678A0">
      <w:pPr>
        <w:pStyle w:val="10"/>
        <w:spacing w:beforeAutospacing="0" w:afterAutospacing="0"/>
        <w:ind w:firstLine="1084"/>
        <w:jc w:val="both"/>
      </w:pPr>
      <w:r>
        <w:rPr>
          <w:rFonts w:hint="eastAsia" w:ascii="宋体" w:hAnsi="宋体" w:eastAsia="宋体" w:cs="宋体"/>
          <w:b/>
          <w:color w:val="000000"/>
          <w:sz w:val="36"/>
          <w:szCs w:val="36"/>
        </w:rPr>
        <w:t>项 目 编 号：</w:t>
      </w:r>
      <w:r>
        <w:rPr>
          <w:rFonts w:hint="eastAsia" w:ascii="宋体" w:hAnsi="宋体" w:eastAsia="宋体" w:cs="宋体"/>
          <w:b/>
          <w:color w:val="000000"/>
          <w:sz w:val="36"/>
          <w:szCs w:val="36"/>
          <w:u w:val="single"/>
        </w:rPr>
        <w:t>             </w:t>
      </w:r>
    </w:p>
    <w:p w14:paraId="3AF7356F">
      <w:pPr>
        <w:pStyle w:val="10"/>
        <w:spacing w:beforeAutospacing="0" w:afterAutospacing="0"/>
        <w:jc w:val="both"/>
      </w:pPr>
      <w:r>
        <w:rPr>
          <w:rFonts w:hint="eastAsia" w:ascii="宋体" w:hAnsi="宋体" w:eastAsia="宋体" w:cs="宋体"/>
          <w:b/>
          <w:color w:val="000000"/>
          <w:sz w:val="36"/>
          <w:szCs w:val="36"/>
        </w:rPr>
        <w:t>   投标人名称 ：</w:t>
      </w:r>
      <w:r>
        <w:rPr>
          <w:rFonts w:hint="eastAsia" w:ascii="宋体" w:hAnsi="宋体" w:eastAsia="宋体" w:cs="宋体"/>
          <w:b/>
          <w:color w:val="000000"/>
          <w:sz w:val="36"/>
          <w:szCs w:val="36"/>
          <w:u w:val="single"/>
        </w:rPr>
        <w:t>（加盖CA电子公章）</w:t>
      </w:r>
    </w:p>
    <w:p w14:paraId="620EB848">
      <w:pPr>
        <w:pStyle w:val="10"/>
        <w:spacing w:beforeAutospacing="0" w:afterAutospacing="0"/>
        <w:jc w:val="both"/>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w:t>
      </w:r>
    </w:p>
    <w:p w14:paraId="3D37B0AF">
      <w:pPr>
        <w:pStyle w:val="10"/>
        <w:spacing w:beforeAutospacing="0" w:afterAutospacing="0" w:line="0" w:lineRule="atLeast"/>
        <w:jc w:val="center"/>
      </w:pPr>
    </w:p>
    <w:p w14:paraId="218FDDB1">
      <w:pPr>
        <w:pStyle w:val="10"/>
        <w:spacing w:beforeAutospacing="0" w:afterAutospacing="0" w:line="0" w:lineRule="atLeast"/>
        <w:jc w:val="both"/>
      </w:pPr>
    </w:p>
    <w:p w14:paraId="51C4AB93">
      <w:pPr>
        <w:pStyle w:val="10"/>
        <w:spacing w:beforeAutospacing="0" w:afterAutospacing="0" w:line="0" w:lineRule="atLeast"/>
        <w:jc w:val="both"/>
      </w:pPr>
    </w:p>
    <w:p w14:paraId="1DBCEE6F">
      <w:pPr>
        <w:pStyle w:val="10"/>
        <w:spacing w:beforeAutospacing="0" w:afterAutospacing="0" w:line="0" w:lineRule="atLeast"/>
        <w:jc w:val="both"/>
      </w:pPr>
    </w:p>
    <w:p w14:paraId="4F03608E">
      <w:pPr>
        <w:pStyle w:val="10"/>
        <w:spacing w:beforeAutospacing="0" w:afterAutospacing="0" w:line="0" w:lineRule="atLeast"/>
        <w:jc w:val="both"/>
      </w:pPr>
    </w:p>
    <w:p w14:paraId="4D38EF6A">
      <w:pPr>
        <w:pStyle w:val="10"/>
        <w:spacing w:beforeAutospacing="0" w:afterAutospacing="0" w:line="0" w:lineRule="atLeast"/>
        <w:jc w:val="center"/>
      </w:pPr>
      <w:r>
        <w:rPr>
          <w:rFonts w:hint="eastAsia" w:ascii="宋体" w:hAnsi="宋体" w:eastAsia="宋体" w:cs="宋体"/>
          <w:b/>
          <w:color w:val="000000"/>
          <w:sz w:val="32"/>
          <w:szCs w:val="32"/>
        </w:rPr>
        <w:t>投标文件目录</w:t>
      </w:r>
    </w:p>
    <w:p w14:paraId="3F268A6E">
      <w:pPr>
        <w:pStyle w:val="10"/>
        <w:spacing w:beforeAutospacing="0" w:afterAutospacing="0" w:line="0" w:lineRule="atLeast"/>
        <w:jc w:val="center"/>
      </w:pPr>
      <w:r>
        <w:t> </w:t>
      </w:r>
    </w:p>
    <w:p w14:paraId="39036767">
      <w:pPr>
        <w:pStyle w:val="10"/>
        <w:spacing w:beforeAutospacing="0" w:afterAutospacing="0"/>
        <w:ind w:left="480"/>
        <w:jc w:val="both"/>
      </w:pPr>
      <w:r>
        <w:rPr>
          <w:rFonts w:hint="eastAsia" w:ascii="宋体" w:hAnsi="宋体" w:eastAsia="宋体" w:cs="宋体"/>
          <w:i/>
          <w:color w:val="000000"/>
          <w:u w:val="single"/>
        </w:rPr>
        <w:t>一、法人或者其他组织的营业执照等证明文件，自然人的身份证明</w:t>
      </w:r>
    </w:p>
    <w:p w14:paraId="560BC033">
      <w:pPr>
        <w:tabs>
          <w:tab w:val="left" w:pos="1331"/>
        </w:tabs>
        <w:ind w:firstLine="480" w:firstLineChars="200"/>
        <w:jc w:val="left"/>
        <w:rPr>
          <w:rFonts w:ascii="宋体" w:hAnsi="宋体" w:eastAsia="宋体" w:cs="宋体"/>
          <w:i/>
          <w:color w:val="000000"/>
          <w:kern w:val="0"/>
          <w:sz w:val="24"/>
          <w:u w:val="single"/>
        </w:rPr>
      </w:pPr>
      <w:r>
        <w:rPr>
          <w:rFonts w:hint="eastAsia" w:ascii="宋体" w:hAnsi="宋体" w:eastAsia="宋体" w:cs="宋体"/>
          <w:i/>
          <w:color w:val="000000"/>
          <w:kern w:val="0"/>
          <w:sz w:val="24"/>
          <w:u w:val="single"/>
        </w:rPr>
        <w:t>二、上一年度的财务状况报表（至少提供资产负债表、利润表、现金流量表，</w:t>
      </w:r>
    </w:p>
    <w:p w14:paraId="7055434F">
      <w:pPr>
        <w:pStyle w:val="10"/>
        <w:spacing w:beforeAutospacing="0" w:afterAutospacing="0"/>
        <w:ind w:left="480"/>
        <w:jc w:val="both"/>
        <w:rPr>
          <w:rFonts w:ascii="宋体" w:hAnsi="宋体" w:eastAsia="宋体" w:cs="宋体"/>
          <w:i/>
          <w:color w:val="000000"/>
          <w:u w:val="single"/>
        </w:rPr>
      </w:pPr>
      <w:r>
        <w:rPr>
          <w:rFonts w:hint="eastAsia" w:ascii="宋体" w:hAnsi="宋体" w:eastAsia="宋体" w:cs="宋体"/>
          <w:i/>
          <w:color w:val="000000"/>
          <w:u w:val="single"/>
        </w:rPr>
        <w:t>投标人成立不满一年无需提供）</w:t>
      </w:r>
    </w:p>
    <w:p w14:paraId="1B5A200C">
      <w:pPr>
        <w:pStyle w:val="10"/>
        <w:spacing w:beforeAutospacing="0" w:afterAutospacing="0"/>
        <w:ind w:left="480"/>
        <w:jc w:val="both"/>
        <w:rPr>
          <w:rFonts w:ascii="宋体" w:hAnsi="宋体" w:eastAsia="宋体" w:cs="宋体"/>
          <w:i/>
          <w:color w:val="000000"/>
          <w:u w:val="single"/>
        </w:rPr>
      </w:pPr>
      <w:r>
        <w:rPr>
          <w:rFonts w:hint="eastAsia" w:ascii="宋体" w:hAnsi="宋体" w:eastAsia="宋体" w:cs="宋体"/>
          <w:i/>
          <w:color w:val="000000"/>
          <w:u w:val="single"/>
        </w:rPr>
        <w:t>三、具备履行合同所必需的设备和专业技术能力的书面声明</w:t>
      </w:r>
    </w:p>
    <w:p w14:paraId="37FFA8EA">
      <w:pPr>
        <w:pStyle w:val="10"/>
        <w:spacing w:beforeAutospacing="0" w:afterAutospacing="0"/>
        <w:ind w:left="480"/>
        <w:jc w:val="both"/>
        <w:rPr>
          <w:rFonts w:ascii="宋体" w:hAnsi="宋体" w:eastAsia="宋体" w:cs="宋体"/>
          <w:i/>
          <w:color w:val="000000"/>
          <w:u w:val="single"/>
        </w:rPr>
      </w:pPr>
      <w:r>
        <w:rPr>
          <w:rFonts w:hint="eastAsia" w:ascii="宋体" w:hAnsi="宋体" w:eastAsia="宋体" w:cs="宋体"/>
          <w:i/>
          <w:color w:val="000000"/>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618A14D5">
      <w:pPr>
        <w:pStyle w:val="10"/>
        <w:spacing w:beforeAutospacing="0" w:afterAutospacing="0" w:line="0" w:lineRule="atLeast"/>
        <w:ind w:firstLine="480"/>
        <w:jc w:val="both"/>
      </w:pPr>
      <w:r>
        <w:rPr>
          <w:rFonts w:hint="eastAsia" w:ascii="宋体" w:hAnsi="宋体" w:eastAsia="宋体" w:cs="宋体"/>
          <w:i/>
          <w:color w:val="000000"/>
          <w:u w:val="single"/>
        </w:rPr>
        <w:t>五、参加政府采购活动前 3 年内在经营活动中没有重大违法记录的书面声明</w:t>
      </w:r>
    </w:p>
    <w:p w14:paraId="2EFE3BAE">
      <w:pPr>
        <w:pStyle w:val="10"/>
        <w:spacing w:beforeAutospacing="0" w:afterAutospacing="0" w:line="0" w:lineRule="atLeast"/>
        <w:ind w:firstLine="480"/>
        <w:jc w:val="both"/>
      </w:pPr>
      <w:r>
        <w:rPr>
          <w:rFonts w:hint="eastAsia" w:ascii="宋体" w:hAnsi="宋体" w:eastAsia="宋体" w:cs="宋体"/>
          <w:i/>
          <w:color w:val="000000"/>
          <w:u w:val="single"/>
        </w:rPr>
        <w:t>六、特定资格要求的证明文件（如果本项目设置特定资格要求，则需要提供）</w:t>
      </w:r>
    </w:p>
    <w:p w14:paraId="45E7607E">
      <w:pPr>
        <w:pStyle w:val="10"/>
        <w:spacing w:beforeAutospacing="0" w:afterAutospacing="0" w:line="0" w:lineRule="atLeast"/>
        <w:ind w:firstLine="480"/>
        <w:jc w:val="both"/>
      </w:pPr>
      <w:r>
        <w:rPr>
          <w:rFonts w:hint="eastAsia" w:ascii="宋体" w:hAnsi="宋体" w:eastAsia="宋体" w:cs="宋体"/>
          <w:i/>
          <w:color w:val="000000"/>
          <w:u w:val="single"/>
        </w:rPr>
        <w:t>七、法人授权书</w:t>
      </w:r>
    </w:p>
    <w:p w14:paraId="774AC4C3">
      <w:pPr>
        <w:pStyle w:val="10"/>
        <w:spacing w:beforeAutospacing="0" w:afterAutospacing="0" w:line="0" w:lineRule="atLeast"/>
        <w:ind w:firstLine="480"/>
        <w:jc w:val="both"/>
      </w:pPr>
      <w:r>
        <w:rPr>
          <w:rFonts w:hint="eastAsia" w:ascii="宋体" w:hAnsi="宋体" w:eastAsia="宋体" w:cs="宋体"/>
          <w:i/>
          <w:color w:val="000000"/>
          <w:u w:val="single"/>
        </w:rPr>
        <w:t>八、投标函</w:t>
      </w:r>
    </w:p>
    <w:p w14:paraId="683FF8C7">
      <w:pPr>
        <w:pStyle w:val="10"/>
        <w:spacing w:beforeAutospacing="0" w:afterAutospacing="0" w:line="0" w:lineRule="atLeast"/>
        <w:ind w:firstLine="480"/>
        <w:jc w:val="both"/>
        <w:rPr>
          <w:rFonts w:ascii="宋体" w:hAnsi="宋体" w:eastAsia="宋体" w:cs="宋体"/>
          <w:i/>
          <w:color w:val="000000"/>
          <w:u w:val="single"/>
        </w:rPr>
      </w:pPr>
      <w:r>
        <w:rPr>
          <w:rFonts w:hint="eastAsia" w:ascii="宋体" w:hAnsi="宋体" w:eastAsia="宋体" w:cs="宋体"/>
          <w:i/>
          <w:color w:val="000000"/>
          <w:u w:val="single"/>
        </w:rPr>
        <w:t>九、中小企业声明函</w:t>
      </w:r>
    </w:p>
    <w:p w14:paraId="0326E91E">
      <w:pPr>
        <w:pStyle w:val="10"/>
        <w:spacing w:beforeAutospacing="0" w:afterAutospacing="0" w:line="0" w:lineRule="atLeast"/>
        <w:ind w:firstLine="480"/>
        <w:jc w:val="both"/>
      </w:pPr>
      <w:r>
        <w:rPr>
          <w:rFonts w:hint="eastAsia" w:ascii="宋体" w:hAnsi="宋体" w:eastAsia="宋体" w:cs="宋体"/>
          <w:color w:val="000000"/>
        </w:rPr>
        <w:t>十、残疾人福利性单位声明函</w:t>
      </w:r>
    </w:p>
    <w:p w14:paraId="72A06352">
      <w:pPr>
        <w:pStyle w:val="10"/>
        <w:spacing w:beforeAutospacing="0" w:afterAutospacing="0" w:line="0" w:lineRule="atLeast"/>
        <w:ind w:firstLine="480"/>
        <w:jc w:val="both"/>
        <w:rPr>
          <w:rFonts w:ascii="宋体" w:hAnsi="宋体" w:eastAsia="宋体" w:cs="宋体"/>
          <w:color w:val="000000"/>
          <w:highlight w:val="cyan"/>
        </w:rPr>
      </w:pPr>
      <w:r>
        <w:rPr>
          <w:rFonts w:hint="eastAsia" w:ascii="宋体" w:hAnsi="宋体" w:eastAsia="宋体" w:cs="宋体"/>
          <w:i/>
          <w:color w:val="000000"/>
          <w:u w:val="single"/>
        </w:rPr>
        <w:t>十一、技术参数响应对照表</w:t>
      </w:r>
    </w:p>
    <w:p w14:paraId="1C26DA31">
      <w:pPr>
        <w:pStyle w:val="10"/>
        <w:spacing w:beforeAutospacing="0" w:afterAutospacing="0" w:line="0" w:lineRule="atLeast"/>
        <w:ind w:firstLine="480"/>
        <w:jc w:val="both"/>
        <w:rPr>
          <w:rFonts w:ascii="宋体" w:hAnsi="宋体" w:eastAsia="宋体" w:cs="宋体"/>
          <w:i/>
          <w:color w:val="000000"/>
          <w:u w:val="single"/>
        </w:rPr>
      </w:pPr>
      <w:r>
        <w:rPr>
          <w:rFonts w:hint="eastAsia" w:ascii="宋体" w:hAnsi="宋体" w:eastAsia="宋体" w:cs="宋体"/>
          <w:i/>
          <w:color w:val="000000"/>
          <w:u w:val="single"/>
        </w:rPr>
        <w:t>十二、资格性审查响应对照表</w:t>
      </w:r>
    </w:p>
    <w:p w14:paraId="589C8039">
      <w:pPr>
        <w:pStyle w:val="10"/>
        <w:spacing w:beforeAutospacing="0" w:afterAutospacing="0" w:line="0" w:lineRule="atLeast"/>
        <w:ind w:firstLine="480"/>
        <w:jc w:val="both"/>
        <w:rPr>
          <w:rFonts w:ascii="宋体" w:hAnsi="宋体" w:eastAsia="宋体" w:cs="宋体"/>
          <w:i/>
          <w:color w:val="000000"/>
          <w:u w:val="single"/>
        </w:rPr>
      </w:pPr>
      <w:r>
        <w:rPr>
          <w:rFonts w:hint="eastAsia" w:ascii="宋体" w:hAnsi="宋体" w:eastAsia="宋体" w:cs="宋体"/>
          <w:i/>
          <w:color w:val="000000"/>
          <w:u w:val="single"/>
        </w:rPr>
        <w:t>十三、符合性检查响应对照表</w:t>
      </w:r>
    </w:p>
    <w:p w14:paraId="2812AAC8">
      <w:pPr>
        <w:pStyle w:val="10"/>
        <w:spacing w:beforeAutospacing="0" w:afterAutospacing="0" w:line="0" w:lineRule="atLeast"/>
        <w:ind w:firstLine="480"/>
        <w:jc w:val="both"/>
        <w:rPr>
          <w:rFonts w:ascii="宋体" w:hAnsi="宋体" w:eastAsia="宋体" w:cs="宋体"/>
          <w:i/>
          <w:color w:val="000000"/>
          <w:u w:val="single"/>
        </w:rPr>
      </w:pPr>
      <w:r>
        <w:rPr>
          <w:rFonts w:hint="eastAsia" w:ascii="宋体" w:hAnsi="宋体" w:eastAsia="宋体" w:cs="宋体"/>
          <w:i/>
          <w:color w:val="000000"/>
          <w:u w:val="single"/>
        </w:rPr>
        <w:t>十四、开标一览表</w:t>
      </w:r>
    </w:p>
    <w:p w14:paraId="61E1F84A">
      <w:pPr>
        <w:widowControl/>
        <w:spacing w:before="50" w:after="50"/>
        <w:ind w:firstLine="480" w:firstLineChars="200"/>
        <w:rPr>
          <w:rFonts w:ascii="宋体" w:hAnsi="宋体" w:eastAsia="宋体" w:cs="宋体"/>
          <w:color w:val="000000"/>
          <w:kern w:val="0"/>
          <w:sz w:val="24"/>
        </w:rPr>
      </w:pPr>
      <w:r>
        <w:rPr>
          <w:rFonts w:hint="eastAsia" w:ascii="宋体" w:hAnsi="宋体" w:eastAsia="宋体" w:cs="宋体"/>
          <w:color w:val="000000"/>
          <w:kern w:val="0"/>
          <w:sz w:val="24"/>
          <w:highlight w:val="cyan"/>
        </w:rPr>
        <w:t>十五、</w:t>
      </w:r>
      <w:r>
        <w:rPr>
          <w:rFonts w:hint="eastAsia" w:ascii="宋体" w:hAnsi="宋体" w:eastAsia="宋体" w:cs="宋体"/>
          <w:color w:val="000000"/>
          <w:kern w:val="0"/>
          <w:sz w:val="24"/>
          <w:highlight w:val="cyan"/>
          <w:lang w:val="en-US" w:eastAsia="zh-CN"/>
        </w:rPr>
        <w:t>实施方案</w:t>
      </w:r>
      <w:r>
        <w:rPr>
          <w:rFonts w:hint="eastAsia" w:ascii="宋体" w:hAnsi="宋体" w:eastAsia="宋体" w:cs="宋体"/>
          <w:color w:val="000000"/>
          <w:kern w:val="0"/>
          <w:sz w:val="24"/>
          <w:highlight w:val="cyan"/>
        </w:rPr>
        <w:t>等</w:t>
      </w:r>
    </w:p>
    <w:p w14:paraId="6C891173">
      <w:pPr>
        <w:pStyle w:val="10"/>
        <w:spacing w:beforeAutospacing="0" w:afterAutospacing="0" w:line="0" w:lineRule="atLeast"/>
        <w:ind w:firstLine="480"/>
        <w:jc w:val="both"/>
        <w:rPr>
          <w:rFonts w:ascii="宋体" w:hAnsi="宋体" w:eastAsia="宋体" w:cs="宋体"/>
          <w:i/>
          <w:color w:val="000000"/>
          <w:u w:val="single"/>
        </w:rPr>
      </w:pPr>
      <w:r>
        <w:rPr>
          <w:rFonts w:hint="eastAsia" w:ascii="宋体" w:hAnsi="宋体" w:eastAsia="宋体" w:cs="宋体"/>
          <w:i/>
          <w:color w:val="000000"/>
          <w:u w:val="single"/>
        </w:rPr>
        <w:t>十六、盐城市政府采购事前信用承诺书</w:t>
      </w:r>
    </w:p>
    <w:p w14:paraId="692E9F55">
      <w:pPr>
        <w:pStyle w:val="10"/>
        <w:spacing w:beforeAutospacing="0" w:afterAutospacing="0" w:line="0" w:lineRule="atLeast"/>
        <w:ind w:firstLine="480"/>
        <w:jc w:val="both"/>
      </w:pPr>
      <w:r>
        <w:t> </w:t>
      </w:r>
    </w:p>
    <w:p w14:paraId="756B5DFB">
      <w:pPr>
        <w:pStyle w:val="10"/>
        <w:spacing w:beforeAutospacing="0" w:afterAutospacing="0" w:line="0" w:lineRule="atLeast"/>
        <w:ind w:firstLine="480"/>
        <w:jc w:val="both"/>
      </w:pPr>
      <w:r>
        <w:t> </w:t>
      </w:r>
    </w:p>
    <w:p w14:paraId="2731962E">
      <w:pPr>
        <w:pStyle w:val="10"/>
        <w:spacing w:beforeAutospacing="0" w:afterAutospacing="0" w:line="0" w:lineRule="atLeast"/>
        <w:ind w:firstLine="480"/>
        <w:jc w:val="both"/>
      </w:pPr>
      <w:r>
        <w:t> </w:t>
      </w:r>
    </w:p>
    <w:p w14:paraId="3C317B18">
      <w:pPr>
        <w:pStyle w:val="10"/>
        <w:spacing w:beforeAutospacing="0" w:afterAutospacing="0" w:line="0" w:lineRule="atLeast"/>
        <w:ind w:firstLine="480"/>
        <w:jc w:val="both"/>
      </w:pPr>
      <w:r>
        <w:t> </w:t>
      </w:r>
    </w:p>
    <w:p w14:paraId="7C21BA78">
      <w:pPr>
        <w:pStyle w:val="10"/>
        <w:spacing w:beforeAutospacing="0" w:afterAutospacing="0" w:line="0" w:lineRule="atLeast"/>
        <w:ind w:firstLine="480"/>
        <w:jc w:val="both"/>
      </w:pPr>
      <w:r>
        <w:t> </w:t>
      </w:r>
    </w:p>
    <w:p w14:paraId="197128F9">
      <w:pPr>
        <w:pStyle w:val="10"/>
        <w:spacing w:beforeAutospacing="0" w:afterAutospacing="0" w:line="0" w:lineRule="atLeast"/>
        <w:ind w:firstLine="480"/>
        <w:jc w:val="both"/>
      </w:pPr>
      <w:r>
        <w:t> </w:t>
      </w:r>
    </w:p>
    <w:p w14:paraId="5BD8BC38">
      <w:pPr>
        <w:pStyle w:val="10"/>
        <w:spacing w:beforeAutospacing="0" w:afterAutospacing="0" w:line="0" w:lineRule="atLeast"/>
        <w:ind w:firstLine="480"/>
        <w:jc w:val="both"/>
      </w:pPr>
      <w:r>
        <w:t> </w:t>
      </w:r>
    </w:p>
    <w:p w14:paraId="1510720C">
      <w:pPr>
        <w:pStyle w:val="10"/>
        <w:spacing w:beforeAutospacing="0" w:afterAutospacing="0" w:line="0" w:lineRule="atLeast"/>
        <w:ind w:firstLine="480"/>
        <w:jc w:val="both"/>
      </w:pPr>
      <w:r>
        <w:t> </w:t>
      </w:r>
    </w:p>
    <w:p w14:paraId="418DD257">
      <w:pPr>
        <w:pStyle w:val="10"/>
        <w:spacing w:beforeAutospacing="0" w:afterAutospacing="0" w:line="0" w:lineRule="atLeast"/>
        <w:ind w:firstLine="480"/>
        <w:jc w:val="both"/>
      </w:pPr>
    </w:p>
    <w:p w14:paraId="6C0FEF42">
      <w:pPr>
        <w:pStyle w:val="10"/>
        <w:spacing w:beforeAutospacing="0" w:afterAutospacing="0" w:line="0" w:lineRule="atLeast"/>
        <w:ind w:firstLine="480"/>
        <w:jc w:val="both"/>
      </w:pPr>
    </w:p>
    <w:p w14:paraId="0FE58CA6">
      <w:pPr>
        <w:pStyle w:val="10"/>
        <w:spacing w:beforeAutospacing="0" w:afterAutospacing="0" w:line="0" w:lineRule="atLeast"/>
        <w:ind w:firstLine="480"/>
        <w:jc w:val="both"/>
      </w:pPr>
    </w:p>
    <w:p w14:paraId="34D14515">
      <w:pPr>
        <w:pStyle w:val="10"/>
        <w:spacing w:beforeAutospacing="0" w:afterAutospacing="0" w:line="0" w:lineRule="atLeast"/>
        <w:ind w:firstLine="480"/>
        <w:jc w:val="both"/>
      </w:pPr>
    </w:p>
    <w:p w14:paraId="7AA1C63C">
      <w:pPr>
        <w:pStyle w:val="10"/>
        <w:spacing w:beforeAutospacing="0" w:afterAutospacing="0" w:line="0" w:lineRule="atLeast"/>
        <w:ind w:firstLine="480"/>
        <w:jc w:val="both"/>
      </w:pPr>
    </w:p>
    <w:p w14:paraId="525D5822">
      <w:pPr>
        <w:pStyle w:val="10"/>
        <w:spacing w:beforeAutospacing="0" w:afterAutospacing="0" w:line="0" w:lineRule="atLeast"/>
        <w:ind w:firstLine="480"/>
        <w:jc w:val="both"/>
      </w:pPr>
    </w:p>
    <w:p w14:paraId="221FF835">
      <w:pPr>
        <w:pStyle w:val="10"/>
        <w:spacing w:beforeAutospacing="0" w:afterAutospacing="0" w:line="0" w:lineRule="atLeast"/>
        <w:ind w:firstLine="480"/>
        <w:jc w:val="both"/>
      </w:pPr>
    </w:p>
    <w:p w14:paraId="5411BC2A">
      <w:pPr>
        <w:pStyle w:val="10"/>
        <w:spacing w:beforeAutospacing="0" w:afterAutospacing="0" w:line="0" w:lineRule="atLeast"/>
        <w:ind w:firstLine="480"/>
        <w:jc w:val="both"/>
      </w:pPr>
    </w:p>
    <w:p w14:paraId="7457074E">
      <w:pPr>
        <w:pStyle w:val="10"/>
        <w:spacing w:beforeAutospacing="0" w:afterAutospacing="0" w:line="0" w:lineRule="atLeast"/>
        <w:ind w:firstLine="480"/>
        <w:jc w:val="both"/>
      </w:pPr>
    </w:p>
    <w:p w14:paraId="064602EE">
      <w:pPr>
        <w:pStyle w:val="10"/>
        <w:spacing w:beforeAutospacing="0" w:afterAutospacing="0" w:line="0" w:lineRule="atLeast"/>
        <w:ind w:firstLine="480"/>
        <w:jc w:val="both"/>
      </w:pPr>
    </w:p>
    <w:p w14:paraId="2CB2B840">
      <w:pPr>
        <w:pStyle w:val="10"/>
        <w:spacing w:beforeAutospacing="0" w:afterAutospacing="0" w:line="0" w:lineRule="atLeast"/>
        <w:ind w:firstLine="480"/>
        <w:jc w:val="both"/>
      </w:pPr>
    </w:p>
    <w:p w14:paraId="7FEF859A">
      <w:pPr>
        <w:pStyle w:val="10"/>
        <w:spacing w:beforeAutospacing="0" w:afterAutospacing="0" w:line="0" w:lineRule="atLeast"/>
        <w:ind w:firstLine="480"/>
        <w:jc w:val="both"/>
      </w:pPr>
    </w:p>
    <w:p w14:paraId="08004B69">
      <w:pPr>
        <w:pStyle w:val="10"/>
        <w:spacing w:beforeAutospacing="0" w:afterAutospacing="0" w:line="0" w:lineRule="atLeast"/>
        <w:ind w:firstLine="480"/>
        <w:jc w:val="both"/>
      </w:pPr>
    </w:p>
    <w:p w14:paraId="0AFEF26B">
      <w:pPr>
        <w:pStyle w:val="10"/>
        <w:spacing w:beforeAutospacing="0" w:afterAutospacing="0" w:line="0" w:lineRule="atLeast"/>
        <w:ind w:firstLine="480"/>
        <w:jc w:val="both"/>
      </w:pPr>
      <w:r>
        <w:t> </w:t>
      </w:r>
    </w:p>
    <w:p w14:paraId="7B5958B9">
      <w:pPr>
        <w:pStyle w:val="10"/>
        <w:spacing w:beforeAutospacing="0" w:afterAutospacing="0"/>
        <w:jc w:val="both"/>
      </w:pPr>
      <w:r>
        <w:rPr>
          <w:rFonts w:hint="eastAsia" w:ascii="黑体" w:hAnsi="宋体" w:eastAsia="黑体" w:cs="黑体"/>
          <w:i/>
          <w:color w:val="000000"/>
          <w:sz w:val="32"/>
          <w:szCs w:val="32"/>
          <w:u w:val="single"/>
        </w:rPr>
        <w:t>一、法人或者其他组织的营业执照等证明文件，自然人的身份证明</w:t>
      </w:r>
    </w:p>
    <w:p w14:paraId="732D6E30">
      <w:pPr>
        <w:pStyle w:val="10"/>
        <w:spacing w:beforeAutospacing="0" w:afterAutospacing="0" w:line="0" w:lineRule="atLeast"/>
        <w:ind w:firstLine="480"/>
        <w:jc w:val="both"/>
      </w:pPr>
      <w:r>
        <w:t> </w:t>
      </w:r>
    </w:p>
    <w:p w14:paraId="0716DCF0">
      <w:pPr>
        <w:pStyle w:val="10"/>
        <w:spacing w:beforeAutospacing="0" w:afterAutospacing="0"/>
        <w:jc w:val="both"/>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二、上一年度的财务状况报表</w:t>
      </w:r>
    </w:p>
    <w:p w14:paraId="347E3F1A">
      <w:pPr>
        <w:pStyle w:val="10"/>
        <w:spacing w:beforeAutospacing="0" w:afterAutospacing="0" w:line="0" w:lineRule="atLeast"/>
        <w:ind w:firstLine="480"/>
        <w:jc w:val="both"/>
      </w:pPr>
      <w:r>
        <w:rPr>
          <w:rFonts w:hint="eastAsia" w:ascii="宋体" w:hAnsi="宋体" w:eastAsia="宋体" w:cs="宋体"/>
          <w:color w:val="000000"/>
        </w:rPr>
        <w:t>投标人成立不满一年无需提供</w:t>
      </w:r>
    </w:p>
    <w:p w14:paraId="2B6AD8F4">
      <w:pPr>
        <w:pStyle w:val="10"/>
        <w:spacing w:beforeAutospacing="0" w:afterAutospacing="0"/>
        <w:jc w:val="both"/>
      </w:pPr>
      <w:r>
        <w:t> </w:t>
      </w:r>
    </w:p>
    <w:p w14:paraId="37D3CDE7">
      <w:pPr>
        <w:pStyle w:val="10"/>
        <w:spacing w:beforeAutospacing="0" w:afterAutospacing="0"/>
        <w:jc w:val="both"/>
      </w:pPr>
      <w:r>
        <w:rPr>
          <w:rFonts w:hint="eastAsia" w:ascii="黑体" w:hAnsi="宋体" w:eastAsia="黑体" w:cs="黑体"/>
          <w:i/>
          <w:color w:val="000000"/>
          <w:sz w:val="32"/>
          <w:szCs w:val="32"/>
          <w:u w:val="single"/>
        </w:rPr>
        <w:t>三、具备履行合同所必需的设备和专业技术能力的书面声明</w:t>
      </w:r>
    </w:p>
    <w:p w14:paraId="208973D6">
      <w:pPr>
        <w:pStyle w:val="10"/>
        <w:spacing w:beforeAutospacing="0" w:afterAutospacing="0" w:line="0" w:lineRule="atLeast"/>
        <w:ind w:firstLine="492"/>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315D6E2E">
      <w:pPr>
        <w:pStyle w:val="10"/>
        <w:spacing w:beforeAutospacing="0" w:afterAutospacing="0" w:line="0" w:lineRule="atLeast"/>
        <w:ind w:firstLine="492"/>
        <w:jc w:val="both"/>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512C299F">
      <w:pPr>
        <w:pStyle w:val="10"/>
        <w:spacing w:beforeAutospacing="0" w:afterAutospacing="0"/>
        <w:jc w:val="both"/>
        <w:rPr>
          <w:rFonts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427DB6D1">
      <w:pPr>
        <w:pStyle w:val="10"/>
        <w:spacing w:beforeAutospacing="0" w:afterAutospacing="0"/>
        <w:jc w:val="both"/>
      </w:pPr>
      <w:r>
        <w:rPr>
          <w:rFonts w:hint="eastAsia" w:ascii="黑体" w:hAnsi="宋体" w:eastAsia="黑体" w:cs="黑体"/>
          <w:i/>
          <w:color w:val="000000"/>
          <w:sz w:val="32"/>
          <w:szCs w:val="32"/>
          <w:u w:val="single"/>
        </w:rPr>
        <w:t>四、依法缴纳税收和社会保障资金的相关材料</w:t>
      </w:r>
    </w:p>
    <w:p w14:paraId="6EF66923">
      <w:pPr>
        <w:pStyle w:val="10"/>
        <w:spacing w:beforeAutospacing="0" w:afterAutospacing="0"/>
        <w:ind w:firstLine="480"/>
        <w:jc w:val="both"/>
      </w:pPr>
      <w:r>
        <w:rPr>
          <w:rFonts w:hint="eastAsia" w:ascii="宋体" w:hAnsi="宋体" w:eastAsia="宋体" w:cs="宋体"/>
          <w:color w:val="000000"/>
        </w:rPr>
        <w:t>提供提交投标文件截止时间前一年内至少一个月依法缴纳税收及缴纳社会保障资金的证明材料。投标人依法享受缓缴、免缴税收、社会保障资金的提供证明材料。</w:t>
      </w:r>
    </w:p>
    <w:p w14:paraId="379D37FA">
      <w:pPr>
        <w:pStyle w:val="10"/>
        <w:spacing w:beforeAutospacing="0" w:afterAutospacing="0"/>
        <w:jc w:val="both"/>
      </w:pPr>
      <w:r>
        <w:t> </w:t>
      </w:r>
    </w:p>
    <w:p w14:paraId="13CCE8A3">
      <w:pPr>
        <w:pStyle w:val="10"/>
        <w:spacing w:beforeAutospacing="0" w:afterAutospacing="0"/>
        <w:jc w:val="both"/>
      </w:pPr>
      <w:r>
        <w:rPr>
          <w:rFonts w:hint="eastAsia" w:ascii="黑体" w:hAnsi="宋体" w:eastAsia="黑体" w:cs="黑体"/>
          <w:i/>
          <w:color w:val="000000"/>
          <w:sz w:val="32"/>
          <w:szCs w:val="32"/>
          <w:u w:val="single"/>
        </w:rPr>
        <w:t>五、参加政府采购活动前 3 年内在经营活动中没有重大违法记录的书面声明</w:t>
      </w:r>
    </w:p>
    <w:p w14:paraId="68B8382E">
      <w:pPr>
        <w:pStyle w:val="10"/>
        <w:spacing w:beforeAutospacing="0" w:afterAutospacing="0" w:line="0" w:lineRule="atLeast"/>
        <w:jc w:val="both"/>
        <w:rPr>
          <w:rFonts w:ascii="宋体" w:hAnsi="宋体" w:eastAsia="宋体" w:cs="宋体"/>
          <w:b/>
          <w:color w:val="000000"/>
          <w:sz w:val="44"/>
          <w:szCs w:val="44"/>
        </w:rPr>
      </w:pPr>
      <w:r>
        <w:rPr>
          <w:rFonts w:hint="eastAsia" w:ascii="宋体" w:hAnsi="宋体" w:eastAsia="宋体" w:cs="宋体"/>
          <w:b/>
          <w:color w:val="000000"/>
          <w:sz w:val="44"/>
          <w:szCs w:val="44"/>
        </w:rPr>
        <w:t>                </w:t>
      </w:r>
    </w:p>
    <w:p w14:paraId="5947A4E7">
      <w:pPr>
        <w:pStyle w:val="10"/>
        <w:spacing w:beforeAutospacing="0" w:afterAutospacing="0" w:line="0" w:lineRule="atLeast"/>
        <w:ind w:firstLine="3092" w:firstLineChars="700"/>
        <w:jc w:val="both"/>
      </w:pPr>
      <w:r>
        <w:rPr>
          <w:rFonts w:hint="eastAsia" w:ascii="宋体" w:hAnsi="宋体" w:eastAsia="宋体" w:cs="宋体"/>
          <w:b/>
          <w:color w:val="000000"/>
          <w:sz w:val="44"/>
          <w:szCs w:val="44"/>
        </w:rPr>
        <w:t xml:space="preserve"> 声  明</w:t>
      </w:r>
    </w:p>
    <w:p w14:paraId="7ABB0649">
      <w:pPr>
        <w:pStyle w:val="10"/>
        <w:spacing w:beforeAutospacing="0" w:afterAutospacing="0" w:line="0" w:lineRule="atLeast"/>
        <w:jc w:val="both"/>
      </w:pPr>
      <w:r>
        <w:rPr>
          <w:rFonts w:hint="eastAsia" w:ascii="宋体" w:hAnsi="宋体" w:eastAsia="宋体" w:cs="宋体"/>
          <w:b/>
          <w:color w:val="000000"/>
        </w:rPr>
        <w:t xml:space="preserve">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2447D5CF">
      <w:pPr>
        <w:pStyle w:val="10"/>
        <w:spacing w:beforeAutospacing="0" w:afterAutospacing="0"/>
        <w:jc w:val="both"/>
      </w:pPr>
      <w:r>
        <w:t> </w:t>
      </w:r>
    </w:p>
    <w:p w14:paraId="7CF80F35">
      <w:pPr>
        <w:pStyle w:val="10"/>
        <w:spacing w:beforeAutospacing="0" w:afterAutospacing="0"/>
        <w:jc w:val="both"/>
      </w:pPr>
      <w:r>
        <w:rPr>
          <w:rFonts w:hint="eastAsia" w:ascii="黑体" w:hAnsi="宋体" w:eastAsia="黑体" w:cs="黑体"/>
          <w:i/>
          <w:color w:val="000000"/>
          <w:sz w:val="32"/>
          <w:szCs w:val="32"/>
          <w:u w:val="single"/>
        </w:rPr>
        <w:t>六、特定资格要求的证明文件</w:t>
      </w:r>
    </w:p>
    <w:p w14:paraId="46CB32C3">
      <w:pPr>
        <w:pStyle w:val="10"/>
        <w:spacing w:beforeAutospacing="0" w:afterAutospacing="0" w:line="0" w:lineRule="atLeast"/>
        <w:jc w:val="both"/>
      </w:pPr>
      <w:r>
        <w:rPr>
          <w:rFonts w:hint="eastAsia" w:ascii="宋体" w:hAnsi="宋体" w:eastAsia="宋体" w:cs="宋体"/>
          <w:color w:val="000000"/>
        </w:rPr>
        <w:t>   如果本项目申请人的特定资格要求中要求提供的，必须提供。</w:t>
      </w:r>
    </w:p>
    <w:p w14:paraId="7E82ACF6">
      <w:pPr>
        <w:pStyle w:val="10"/>
        <w:spacing w:beforeAutospacing="0" w:afterAutospacing="0"/>
        <w:jc w:val="center"/>
        <w:rPr>
          <w:rFonts w:ascii="黑体" w:hAnsi="宋体" w:eastAsia="黑体" w:cs="黑体"/>
          <w:i/>
          <w:color w:val="000000"/>
          <w:sz w:val="32"/>
          <w:szCs w:val="32"/>
          <w:u w:val="single"/>
        </w:rPr>
      </w:pPr>
      <w:bookmarkStart w:id="233" w:name="_Toc120614284"/>
    </w:p>
    <w:p w14:paraId="643DDA52">
      <w:pPr>
        <w:pStyle w:val="10"/>
        <w:spacing w:beforeAutospacing="0" w:afterAutospacing="0"/>
        <w:jc w:val="center"/>
        <w:rPr>
          <w:rFonts w:ascii="黑体" w:hAnsi="宋体" w:eastAsia="黑体" w:cs="黑体"/>
          <w:i/>
          <w:color w:val="000000"/>
          <w:sz w:val="32"/>
          <w:szCs w:val="32"/>
          <w:u w:val="single"/>
        </w:rPr>
      </w:pPr>
    </w:p>
    <w:p w14:paraId="6EB405B2">
      <w:pPr>
        <w:pStyle w:val="10"/>
        <w:spacing w:beforeAutospacing="0" w:afterAutospacing="0"/>
        <w:jc w:val="center"/>
        <w:rPr>
          <w:rFonts w:ascii="黑体" w:hAnsi="宋体" w:eastAsia="黑体" w:cs="黑体"/>
          <w:i/>
          <w:color w:val="000000"/>
          <w:sz w:val="32"/>
          <w:szCs w:val="32"/>
          <w:u w:val="single"/>
        </w:rPr>
      </w:pPr>
    </w:p>
    <w:p w14:paraId="751573C1">
      <w:pPr>
        <w:pStyle w:val="10"/>
        <w:spacing w:beforeAutospacing="0" w:afterAutospacing="0"/>
        <w:jc w:val="center"/>
        <w:rPr>
          <w:rFonts w:ascii="黑体" w:hAnsi="宋体" w:eastAsia="黑体" w:cs="黑体"/>
          <w:i/>
          <w:color w:val="000000"/>
          <w:sz w:val="32"/>
          <w:szCs w:val="32"/>
          <w:u w:val="single"/>
        </w:rPr>
      </w:pPr>
    </w:p>
    <w:p w14:paraId="5DD9F509">
      <w:pPr>
        <w:pStyle w:val="10"/>
        <w:spacing w:beforeAutospacing="0" w:afterAutospacing="0"/>
        <w:jc w:val="center"/>
      </w:pPr>
      <w:r>
        <w:rPr>
          <w:rFonts w:hint="eastAsia" w:ascii="黑体" w:hAnsi="宋体" w:eastAsia="黑体" w:cs="黑体"/>
          <w:i/>
          <w:color w:val="000000"/>
          <w:sz w:val="32"/>
          <w:szCs w:val="32"/>
          <w:u w:val="single"/>
        </w:rPr>
        <w:t>七、法人授权书</w:t>
      </w:r>
    </w:p>
    <w:p w14:paraId="761E0336">
      <w:pPr>
        <w:pStyle w:val="10"/>
        <w:tabs>
          <w:tab w:val="left" w:pos="360"/>
        </w:tabs>
        <w:spacing w:beforeAutospacing="0" w:afterAutospacing="0"/>
        <w:ind w:firstLine="480"/>
        <w:jc w:val="both"/>
      </w:pPr>
      <w:r>
        <w:rPr>
          <w:rFonts w:ascii="Times New Roman" w:hAnsi="Times New Roman"/>
          <w:color w:val="000000"/>
        </w:rPr>
        <w:t>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号项目采购活动的合法代理人，以本单位名义全权处理一切与该项目采购有关的事务。</w:t>
      </w:r>
    </w:p>
    <w:p w14:paraId="44C41D4A">
      <w:pPr>
        <w:pStyle w:val="10"/>
        <w:tabs>
          <w:tab w:val="left" w:pos="360"/>
        </w:tabs>
        <w:spacing w:beforeAutospacing="0" w:afterAutospacing="0"/>
        <w:ind w:firstLine="480"/>
        <w:jc w:val="both"/>
      </w:pPr>
      <w:r>
        <w:rPr>
          <w:rFonts w:ascii="Times New Roman" w:hAnsi="Times New Roman"/>
          <w:color w:val="000000"/>
        </w:rPr>
        <w:t>本授权书于______年____月____日起生效，特此声明。</w:t>
      </w:r>
    </w:p>
    <w:p w14:paraId="02869549">
      <w:pPr>
        <w:pStyle w:val="10"/>
        <w:tabs>
          <w:tab w:val="left" w:pos="360"/>
        </w:tabs>
        <w:spacing w:beforeAutospacing="0" w:afterAutospacing="0"/>
        <w:jc w:val="both"/>
      </w:pPr>
      <w:r>
        <w:rPr>
          <w:rFonts w:ascii="Times New Roman" w:hAnsi="Times New Roman"/>
          <w:color w:val="000000"/>
        </w:rPr>
        <w:t>          被授权人身份证号码：</w:t>
      </w:r>
      <w:r>
        <w:rPr>
          <w:rFonts w:ascii="Times New Roman" w:hAnsi="Times New Roman"/>
          <w:color w:val="000000"/>
          <w:u w:val="single"/>
        </w:rPr>
        <w:t xml:space="preserve">                              </w:t>
      </w:r>
    </w:p>
    <w:p w14:paraId="0C332C5E">
      <w:pPr>
        <w:pStyle w:val="10"/>
        <w:tabs>
          <w:tab w:val="left" w:pos="360"/>
        </w:tabs>
        <w:spacing w:beforeAutospacing="0" w:afterAutospacing="0"/>
        <w:jc w:val="both"/>
      </w:pPr>
      <w:r>
        <w:rPr>
          <w:rFonts w:ascii="Times New Roman" w:hAnsi="Times New Roman"/>
          <w:color w:val="000000"/>
        </w:rPr>
        <w:t>          被授权人联系电话：（手机）</w:t>
      </w:r>
      <w:r>
        <w:rPr>
          <w:rFonts w:ascii="Times New Roman" w:hAnsi="Times New Roman"/>
          <w:color w:val="000000"/>
          <w:u w:val="single"/>
        </w:rPr>
        <w:t xml:space="preserve">                          </w:t>
      </w:r>
    </w:p>
    <w:p w14:paraId="3D72A268">
      <w:pPr>
        <w:pStyle w:val="10"/>
        <w:tabs>
          <w:tab w:val="left" w:pos="360"/>
        </w:tabs>
        <w:spacing w:beforeAutospacing="0" w:afterAutospacing="0"/>
        <w:ind w:firstLine="1200"/>
        <w:jc w:val="both"/>
      </w:pPr>
      <w:r>
        <w:rPr>
          <w:rFonts w:ascii="Times New Roman" w:hAnsi="Times New Roman"/>
          <w:color w:val="000000"/>
        </w:rPr>
        <w:t>授权单位名称：</w:t>
      </w:r>
      <w:r>
        <w:rPr>
          <w:rFonts w:ascii="Times New Roman" w:hAnsi="Times New Roman"/>
          <w:color w:val="000000"/>
          <w:u w:val="single"/>
        </w:rPr>
        <w:t>（加盖CA电子公章）</w:t>
      </w:r>
    </w:p>
    <w:p w14:paraId="5154CBD6">
      <w:pPr>
        <w:pStyle w:val="10"/>
        <w:tabs>
          <w:tab w:val="left" w:pos="360"/>
        </w:tabs>
        <w:spacing w:beforeAutospacing="0" w:afterAutospacing="0"/>
        <w:ind w:firstLine="480"/>
        <w:jc w:val="both"/>
      </w:pPr>
      <w:r>
        <w:rPr>
          <w:rFonts w:ascii="Times New Roman" w:hAnsi="Times New Roman"/>
          <w:color w:val="000000"/>
        </w:rPr>
        <w:t>      单位地址：</w:t>
      </w:r>
      <w:r>
        <w:rPr>
          <w:rFonts w:ascii="Times New Roman" w:hAnsi="Times New Roman"/>
          <w:color w:val="000000"/>
          <w:u w:val="single"/>
        </w:rPr>
        <w:t xml:space="preserve">                                         </w:t>
      </w:r>
    </w:p>
    <w:p w14:paraId="48188A65">
      <w:pPr>
        <w:pStyle w:val="10"/>
        <w:tabs>
          <w:tab w:val="left" w:pos="360"/>
        </w:tabs>
        <w:spacing w:beforeAutospacing="0" w:afterAutospacing="0"/>
        <w:ind w:firstLine="480"/>
        <w:jc w:val="both"/>
      </w:pPr>
      <w:r>
        <w:rPr>
          <w:rFonts w:ascii="Times New Roman" w:hAnsi="Times New Roman"/>
          <w:color w:val="000000"/>
        </w:rPr>
        <w:t>      日期：</w:t>
      </w:r>
      <w:bookmarkStart w:id="234" w:name="_格式3__银行出具的资信证明"/>
      <w:bookmarkStart w:id="235" w:name="_Hlt26671380"/>
      <w:bookmarkStart w:id="236" w:name="_Hlt26955070"/>
      <w:r>
        <w:rPr>
          <w:rFonts w:ascii="Times New Roman" w:hAnsi="Times New Roman"/>
          <w:color w:val="000000"/>
          <w:u w:val="single"/>
        </w:rPr>
        <w:t xml:space="preserve">                                         </w:t>
      </w:r>
    </w:p>
    <w:p w14:paraId="25A2C03C">
      <w:pPr>
        <w:pStyle w:val="10"/>
        <w:spacing w:beforeAutospacing="0" w:afterAutospacing="0"/>
        <w:ind w:firstLine="420"/>
        <w:jc w:val="both"/>
      </w:pPr>
      <w:r>
        <w:t> </w:t>
      </w:r>
    </w:p>
    <w:p w14:paraId="0AA522A2">
      <w:pPr>
        <w:pStyle w:val="10"/>
        <w:spacing w:beforeAutospacing="0" w:afterAutospacing="0"/>
        <w:jc w:val="both"/>
      </w:pPr>
      <w:r>
        <w:t> </w:t>
      </w:r>
    </w:p>
    <w:p w14:paraId="5D04A5D8">
      <w:pPr>
        <w:pStyle w:val="10"/>
        <w:spacing w:beforeAutospacing="0" w:afterAutospacing="0" w:line="0" w:lineRule="atLeast"/>
        <w:jc w:val="both"/>
      </w:pPr>
      <w:r>
        <w:t> </w:t>
      </w:r>
    </w:p>
    <w:p w14:paraId="1057FA77">
      <w:pPr>
        <w:pStyle w:val="10"/>
        <w:keepNext/>
        <w:keepLines/>
        <w:spacing w:before="260" w:beforeAutospacing="0" w:after="260" w:afterAutospacing="0" w:line="415" w:lineRule="auto"/>
        <w:ind w:firstLine="3390"/>
        <w:jc w:val="both"/>
      </w:pPr>
      <w:r>
        <w:rPr>
          <w:rFonts w:hint="eastAsia" w:ascii="宋体" w:hAnsi="宋体" w:eastAsia="宋体" w:cs="宋体"/>
          <w:b/>
          <w:color w:val="000000"/>
        </w:rPr>
        <w:br w:type="page"/>
      </w:r>
      <w:r>
        <w:rPr>
          <w:rFonts w:hint="eastAsia" w:ascii="宋体" w:hAnsi="宋体" w:eastAsia="宋体" w:cs="宋体"/>
          <w:b/>
          <w:color w:val="000000"/>
        </w:rPr>
        <w:t> </w:t>
      </w:r>
      <w:r>
        <w:rPr>
          <w:rFonts w:hint="eastAsia" w:ascii="黑体" w:hAnsi="宋体" w:eastAsia="黑体" w:cs="黑体"/>
          <w:b/>
          <w:i/>
          <w:color w:val="000000"/>
          <w:sz w:val="32"/>
          <w:szCs w:val="32"/>
          <w:u w:val="single"/>
        </w:rPr>
        <w:t>八、投标函</w:t>
      </w:r>
    </w:p>
    <w:p w14:paraId="19ADDC8E">
      <w:pPr>
        <w:pStyle w:val="10"/>
        <w:spacing w:beforeAutospacing="0" w:afterAutospacing="0" w:line="0" w:lineRule="atLeast"/>
        <w:rPr>
          <w:rFonts w:eastAsia="宋体"/>
        </w:rPr>
      </w:pPr>
      <w:r>
        <w:rPr>
          <w:rFonts w:hint="eastAsia" w:ascii="宋体" w:hAnsi="宋体" w:eastAsia="宋体" w:cs="宋体"/>
          <w:color w:val="000000"/>
        </w:rPr>
        <w:t>致：盐城畅达招标代理有限公司</w:t>
      </w:r>
    </w:p>
    <w:p w14:paraId="564D33F5">
      <w:pPr>
        <w:pStyle w:val="10"/>
        <w:spacing w:beforeAutospacing="0" w:afterAutospacing="0" w:line="0" w:lineRule="atLeast"/>
        <w:ind w:firstLine="480"/>
      </w:pPr>
      <w:r>
        <w:rPr>
          <w:rFonts w:hint="eastAsia" w:ascii="宋体" w:hAnsi="宋体" w:eastAsia="宋体" w:cs="宋体"/>
          <w:color w:val="000000"/>
        </w:rPr>
        <w:t>根据贵方的JSZC-***</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号招标文件，正式授权下述签字人_________________(姓名)代表我方______________（投标人的名称），全权处理本次项目投标的有关事宜。</w:t>
      </w:r>
    </w:p>
    <w:p w14:paraId="0DA00894">
      <w:pPr>
        <w:pStyle w:val="10"/>
        <w:spacing w:beforeAutospacing="0" w:afterAutospacing="0" w:line="0" w:lineRule="atLeast"/>
        <w:ind w:firstLine="480"/>
      </w:pPr>
      <w:r>
        <w:rPr>
          <w:rFonts w:hint="eastAsia" w:ascii="宋体" w:hAnsi="宋体" w:eastAsia="宋体" w:cs="宋体"/>
          <w:color w:val="000000"/>
        </w:rPr>
        <w:t>据此函，__________签字人兹宣布同意如下：</w:t>
      </w:r>
    </w:p>
    <w:p w14:paraId="75A5BD6F">
      <w:pPr>
        <w:pStyle w:val="10"/>
        <w:spacing w:beforeAutospacing="0" w:afterAutospacing="0" w:line="0" w:lineRule="atLeast"/>
        <w:ind w:firstLine="480"/>
      </w:pPr>
      <w:r>
        <w:rPr>
          <w:rFonts w:hint="eastAsia" w:ascii="宋体" w:hAnsi="宋体" w:eastAsia="宋体" w:cs="宋体"/>
          <w:color w:val="000000"/>
        </w:rPr>
        <w:t>1.按招标文件规定的各项要求，向买方提供所需货物（包含与货物相关的服务）。</w:t>
      </w:r>
    </w:p>
    <w:p w14:paraId="21101062">
      <w:pPr>
        <w:pStyle w:val="10"/>
        <w:spacing w:beforeAutospacing="0" w:afterAutospacing="0" w:line="0" w:lineRule="atLeast"/>
        <w:ind w:firstLine="480"/>
      </w:pPr>
      <w:r>
        <w:rPr>
          <w:rFonts w:hint="eastAsia" w:ascii="宋体" w:hAnsi="宋体" w:eastAsia="宋体" w:cs="宋体"/>
          <w:color w:val="000000"/>
        </w:rPr>
        <w:t>2.我们完全理解贵方不一定将合同授予最低报价的投标人。</w:t>
      </w:r>
    </w:p>
    <w:p w14:paraId="3C5017E3">
      <w:pPr>
        <w:pStyle w:val="10"/>
        <w:spacing w:beforeAutospacing="0" w:afterAutospacing="0" w:line="0" w:lineRule="atLeast"/>
        <w:ind w:firstLine="480"/>
      </w:pPr>
      <w:r>
        <w:rPr>
          <w:rFonts w:hint="eastAsia" w:ascii="宋体" w:hAnsi="宋体" w:eastAsia="宋体" w:cs="宋体"/>
          <w:color w:val="000000"/>
        </w:rPr>
        <w:t>3.我们已详细审核全部招标文件及其有效补充文件，我们知道必须放弃提出含糊不清或误解问题的权利。</w:t>
      </w:r>
    </w:p>
    <w:p w14:paraId="0C14BF4E">
      <w:pPr>
        <w:pStyle w:val="10"/>
        <w:spacing w:beforeAutospacing="0" w:afterAutospacing="0" w:line="0" w:lineRule="atLeast"/>
        <w:ind w:firstLine="480"/>
      </w:pPr>
      <w:r>
        <w:rPr>
          <w:rFonts w:hint="eastAsia" w:ascii="宋体" w:hAnsi="宋体" w:eastAsia="宋体" w:cs="宋体"/>
          <w:color w:val="000000"/>
        </w:rPr>
        <w:t>4.我们同意从规定的开标日期起遵循本投标文件，并在规定的投标有效期期满之前均具有约束力。</w:t>
      </w:r>
    </w:p>
    <w:p w14:paraId="53B4DE22">
      <w:pPr>
        <w:pStyle w:val="10"/>
        <w:spacing w:beforeAutospacing="0" w:afterAutospacing="0" w:line="0" w:lineRule="atLeast"/>
        <w:ind w:firstLine="480"/>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7E26A64A">
      <w:pPr>
        <w:pStyle w:val="10"/>
        <w:spacing w:beforeAutospacing="0" w:afterAutospacing="0" w:line="0" w:lineRule="atLeast"/>
        <w:ind w:firstLine="480"/>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560667FA">
      <w:pPr>
        <w:pStyle w:val="10"/>
        <w:spacing w:beforeAutospacing="0" w:afterAutospacing="0" w:line="0" w:lineRule="atLeast"/>
        <w:ind w:left="425"/>
      </w:pPr>
      <w:r>
        <w:rPr>
          <w:rFonts w:hint="eastAsia" w:ascii="宋体" w:hAnsi="宋体" w:eastAsia="宋体" w:cs="宋体"/>
          <w:color w:val="000000"/>
        </w:rPr>
        <w:t>7.与本投标有关的正式通讯地址为：</w:t>
      </w:r>
    </w:p>
    <w:p w14:paraId="6ACFD39E">
      <w:pPr>
        <w:pStyle w:val="10"/>
        <w:spacing w:beforeAutospacing="0" w:afterAutospacing="0" w:line="0" w:lineRule="atLeast"/>
        <w:ind w:left="420" w:firstLine="480"/>
      </w:pPr>
      <w:r>
        <w:rPr>
          <w:rFonts w:hint="eastAsia" w:ascii="宋体" w:hAnsi="宋体" w:eastAsia="宋体" w:cs="宋体"/>
          <w:color w:val="000000"/>
        </w:rPr>
        <w:t>地          址：</w:t>
      </w:r>
    </w:p>
    <w:p w14:paraId="026DE82C">
      <w:pPr>
        <w:pStyle w:val="10"/>
        <w:spacing w:beforeAutospacing="0" w:afterAutospacing="0" w:line="0" w:lineRule="atLeast"/>
        <w:ind w:left="420" w:firstLine="480"/>
      </w:pPr>
      <w:r>
        <w:rPr>
          <w:rFonts w:hint="eastAsia" w:ascii="宋体" w:hAnsi="宋体" w:eastAsia="宋体" w:cs="宋体"/>
          <w:color w:val="000000"/>
        </w:rPr>
        <w:t>邮          编：</w:t>
      </w:r>
    </w:p>
    <w:p w14:paraId="18182BE1">
      <w:pPr>
        <w:pStyle w:val="10"/>
        <w:spacing w:beforeAutospacing="0" w:afterAutospacing="0" w:line="0" w:lineRule="atLeast"/>
        <w:ind w:left="420" w:firstLine="480"/>
      </w:pPr>
      <w:r>
        <w:rPr>
          <w:rFonts w:hint="eastAsia" w:ascii="宋体" w:hAnsi="宋体" w:eastAsia="宋体" w:cs="宋体"/>
          <w:color w:val="000000"/>
        </w:rPr>
        <w:t>电          话：</w:t>
      </w:r>
    </w:p>
    <w:p w14:paraId="6D4B3A54">
      <w:pPr>
        <w:pStyle w:val="10"/>
        <w:spacing w:beforeAutospacing="0" w:afterAutospacing="0" w:line="0" w:lineRule="atLeast"/>
        <w:ind w:left="420" w:firstLine="480"/>
      </w:pPr>
      <w:r>
        <w:rPr>
          <w:rFonts w:hint="eastAsia" w:ascii="宋体" w:hAnsi="宋体" w:eastAsia="宋体" w:cs="宋体"/>
          <w:color w:val="000000"/>
        </w:rPr>
        <w:t>传          真：</w:t>
      </w:r>
    </w:p>
    <w:p w14:paraId="011B9A13">
      <w:pPr>
        <w:pStyle w:val="10"/>
        <w:spacing w:beforeAutospacing="0" w:afterAutospacing="0" w:line="0" w:lineRule="atLeast"/>
        <w:ind w:left="420" w:firstLine="480"/>
      </w:pPr>
      <w:r>
        <w:rPr>
          <w:rFonts w:hint="eastAsia" w:ascii="宋体" w:hAnsi="宋体" w:eastAsia="宋体" w:cs="宋体"/>
          <w:color w:val="000000"/>
        </w:rPr>
        <w:t>投标人开户行：</w:t>
      </w:r>
    </w:p>
    <w:p w14:paraId="4A55BF79">
      <w:pPr>
        <w:pStyle w:val="10"/>
        <w:spacing w:beforeAutospacing="0" w:afterAutospacing="0" w:line="0" w:lineRule="atLeast"/>
        <w:ind w:left="420" w:firstLine="480"/>
      </w:pPr>
      <w:r>
        <w:rPr>
          <w:rFonts w:hint="eastAsia" w:ascii="宋体" w:hAnsi="宋体" w:eastAsia="宋体" w:cs="宋体"/>
          <w:color w:val="000000"/>
        </w:rPr>
        <w:t xml:space="preserve">账          号： </w:t>
      </w:r>
    </w:p>
    <w:p w14:paraId="0398459A">
      <w:pPr>
        <w:pStyle w:val="10"/>
        <w:spacing w:beforeAutospacing="0" w:afterAutospacing="0" w:line="0" w:lineRule="atLeast"/>
        <w:ind w:left="420" w:firstLine="480"/>
      </w:pPr>
      <w:r>
        <w:rPr>
          <w:rFonts w:hint="eastAsia" w:ascii="宋体" w:hAnsi="宋体" w:eastAsia="宋体" w:cs="宋体"/>
          <w:color w:val="000000"/>
        </w:rPr>
        <w:t>日           期：________年____月____日</w:t>
      </w:r>
    </w:p>
    <w:p w14:paraId="405DD4AD">
      <w:pPr>
        <w:pStyle w:val="10"/>
        <w:spacing w:beforeAutospacing="0" w:afterAutospacing="0" w:line="0" w:lineRule="atLeast"/>
        <w:ind w:firstLine="240"/>
        <w:jc w:val="center"/>
      </w:pPr>
      <w:r>
        <w:t> </w:t>
      </w:r>
    </w:p>
    <w:p w14:paraId="1C78A1D1">
      <w:pPr>
        <w:pStyle w:val="10"/>
        <w:spacing w:beforeAutospacing="0" w:afterAutospacing="0" w:line="0" w:lineRule="atLeast"/>
        <w:ind w:firstLine="240"/>
        <w:jc w:val="center"/>
      </w:pPr>
      <w:r>
        <w:t> </w:t>
      </w:r>
    </w:p>
    <w:p w14:paraId="7C9283A6">
      <w:pPr>
        <w:pStyle w:val="10"/>
        <w:spacing w:beforeAutospacing="0" w:afterAutospacing="0" w:line="0" w:lineRule="atLeast"/>
        <w:ind w:firstLine="240"/>
        <w:jc w:val="center"/>
      </w:pPr>
      <w:r>
        <w:t> </w:t>
      </w:r>
    </w:p>
    <w:p w14:paraId="7E79798C">
      <w:pPr>
        <w:pStyle w:val="10"/>
        <w:spacing w:beforeAutospacing="0" w:afterAutospacing="0" w:line="0" w:lineRule="atLeast"/>
        <w:ind w:firstLine="240"/>
        <w:jc w:val="center"/>
      </w:pPr>
      <w:r>
        <w:t> </w:t>
      </w:r>
    </w:p>
    <w:p w14:paraId="3CEA0D7C">
      <w:pPr>
        <w:pStyle w:val="10"/>
        <w:spacing w:beforeAutospacing="0" w:afterAutospacing="0" w:line="0" w:lineRule="atLeast"/>
        <w:ind w:firstLine="240"/>
        <w:jc w:val="center"/>
      </w:pPr>
    </w:p>
    <w:p w14:paraId="2B45827A">
      <w:pPr>
        <w:pStyle w:val="10"/>
        <w:spacing w:beforeAutospacing="0" w:afterAutospacing="0" w:line="0" w:lineRule="atLeast"/>
        <w:ind w:firstLine="240"/>
        <w:jc w:val="center"/>
      </w:pPr>
    </w:p>
    <w:p w14:paraId="55F495CE">
      <w:pPr>
        <w:pStyle w:val="10"/>
        <w:spacing w:beforeAutospacing="0" w:afterAutospacing="0" w:line="0" w:lineRule="atLeast"/>
        <w:ind w:firstLine="240"/>
        <w:jc w:val="center"/>
      </w:pPr>
    </w:p>
    <w:p w14:paraId="2D6532EA">
      <w:pPr>
        <w:pStyle w:val="10"/>
        <w:spacing w:beforeAutospacing="0" w:afterAutospacing="0" w:line="0" w:lineRule="atLeast"/>
        <w:ind w:firstLine="240"/>
        <w:jc w:val="center"/>
      </w:pPr>
    </w:p>
    <w:p w14:paraId="695378AC">
      <w:pPr>
        <w:pStyle w:val="10"/>
        <w:spacing w:beforeAutospacing="0" w:afterAutospacing="0" w:line="0" w:lineRule="atLeast"/>
        <w:ind w:firstLine="240"/>
        <w:jc w:val="center"/>
      </w:pPr>
    </w:p>
    <w:p w14:paraId="1BA63BA9">
      <w:pPr>
        <w:pStyle w:val="10"/>
        <w:spacing w:beforeAutospacing="0" w:afterAutospacing="0" w:line="0" w:lineRule="atLeast"/>
        <w:ind w:firstLine="240"/>
        <w:jc w:val="center"/>
      </w:pPr>
    </w:p>
    <w:p w14:paraId="43D23C38">
      <w:pPr>
        <w:pStyle w:val="10"/>
        <w:spacing w:beforeAutospacing="0" w:afterAutospacing="0" w:line="0" w:lineRule="atLeast"/>
        <w:ind w:firstLine="240"/>
        <w:jc w:val="center"/>
      </w:pPr>
    </w:p>
    <w:p w14:paraId="0D0BD424">
      <w:pPr>
        <w:pStyle w:val="10"/>
        <w:spacing w:beforeAutospacing="0" w:afterAutospacing="0" w:line="0" w:lineRule="atLeast"/>
        <w:ind w:firstLine="240"/>
        <w:jc w:val="center"/>
      </w:pPr>
    </w:p>
    <w:p w14:paraId="2D2FE7EC">
      <w:pPr>
        <w:pStyle w:val="10"/>
        <w:spacing w:beforeAutospacing="0" w:afterAutospacing="0" w:line="0" w:lineRule="atLeast"/>
        <w:ind w:firstLine="240"/>
        <w:jc w:val="center"/>
      </w:pPr>
    </w:p>
    <w:p w14:paraId="2E24305F">
      <w:pPr>
        <w:pStyle w:val="10"/>
        <w:spacing w:beforeAutospacing="0" w:afterAutospacing="0" w:line="0" w:lineRule="atLeast"/>
        <w:ind w:firstLine="240"/>
        <w:jc w:val="center"/>
      </w:pPr>
    </w:p>
    <w:p w14:paraId="504697A1">
      <w:pPr>
        <w:pStyle w:val="10"/>
        <w:spacing w:beforeAutospacing="0" w:afterAutospacing="0" w:line="0" w:lineRule="atLeast"/>
        <w:ind w:firstLine="240"/>
        <w:jc w:val="center"/>
      </w:pPr>
    </w:p>
    <w:p w14:paraId="3121EB5D">
      <w:pPr>
        <w:pStyle w:val="10"/>
        <w:spacing w:beforeAutospacing="0" w:afterAutospacing="0" w:line="0" w:lineRule="atLeast"/>
        <w:ind w:firstLine="240"/>
        <w:jc w:val="center"/>
      </w:pPr>
    </w:p>
    <w:p w14:paraId="4A0C5D79">
      <w:pPr>
        <w:pStyle w:val="10"/>
        <w:spacing w:beforeAutospacing="0" w:afterAutospacing="0" w:line="0" w:lineRule="atLeast"/>
        <w:ind w:firstLine="240"/>
        <w:jc w:val="center"/>
      </w:pPr>
      <w:r>
        <w:t> </w:t>
      </w:r>
    </w:p>
    <w:p w14:paraId="3AD6C1BA">
      <w:pPr>
        <w:pStyle w:val="10"/>
        <w:spacing w:beforeAutospacing="0" w:afterAutospacing="0" w:line="0" w:lineRule="atLeast"/>
        <w:ind w:firstLine="321"/>
        <w:jc w:val="center"/>
      </w:pPr>
      <w:r>
        <w:rPr>
          <w:rFonts w:hint="eastAsia" w:ascii="黑体" w:hAnsi="宋体" w:eastAsia="黑体" w:cs="黑体"/>
          <w:b/>
          <w:color w:val="000000"/>
          <w:sz w:val="32"/>
          <w:szCs w:val="32"/>
        </w:rPr>
        <w:t>九、</w:t>
      </w:r>
      <w:r>
        <w:rPr>
          <w:rFonts w:hint="eastAsia" w:ascii="黑体" w:hAnsi="宋体" w:eastAsia="黑体" w:cs="黑体"/>
          <w:b/>
          <w:color w:val="000000"/>
          <w:sz w:val="32"/>
          <w:szCs w:val="32"/>
          <w:lang w:val="en-US" w:eastAsia="zh-CN"/>
        </w:rPr>
        <w:t>中小</w:t>
      </w:r>
      <w:r>
        <w:rPr>
          <w:rFonts w:hint="eastAsia" w:ascii="黑体" w:hAnsi="宋体" w:eastAsia="黑体" w:cs="黑体"/>
          <w:b/>
          <w:color w:val="000000"/>
          <w:sz w:val="32"/>
          <w:szCs w:val="32"/>
        </w:rPr>
        <w:t>企业声明函（货物）</w:t>
      </w:r>
    </w:p>
    <w:p w14:paraId="5305647B">
      <w:pPr>
        <w:pStyle w:val="10"/>
        <w:spacing w:beforeAutospacing="0" w:afterAutospacing="0" w:line="0" w:lineRule="atLeast"/>
        <w:ind w:firstLine="360"/>
        <w:jc w:val="both"/>
      </w:pPr>
      <w:r>
        <w:rPr>
          <w:rFonts w:hint="eastAsia" w:ascii="宋体" w:hAnsi="宋体" w:eastAsia="宋体" w:cs="宋体"/>
          <w:color w:val="000000"/>
        </w:rPr>
        <w:t>本公司（联合体）郑重声明，根据《政府采购促进中小企业发展管理办法》(财库[2020]46号)的规定，本公司（联合体）参加贵单位组织的</w:t>
      </w:r>
      <w:r>
        <w:rPr>
          <w:rFonts w:hint="eastAsia" w:ascii="宋体" w:hAnsi="宋体" w:eastAsia="宋体" w:cs="宋体"/>
          <w:color w:val="000000"/>
          <w:u w:val="single"/>
        </w:rPr>
        <w:t>（单位名称）</w:t>
      </w:r>
      <w:r>
        <w:rPr>
          <w:rFonts w:hint="eastAsia" w:ascii="宋体" w:hAnsi="宋体" w:eastAsia="宋体" w:cs="宋体"/>
          <w:color w:val="000000"/>
        </w:rPr>
        <w:t>采购编号为</w:t>
      </w:r>
      <w:r>
        <w:rPr>
          <w:rFonts w:hint="eastAsia" w:ascii="宋体" w:hAnsi="宋体" w:eastAsia="宋体" w:cs="宋体"/>
          <w:color w:val="000000"/>
          <w:u w:val="single"/>
        </w:rPr>
        <w:t>***</w:t>
      </w:r>
      <w:r>
        <w:rPr>
          <w:rFonts w:hint="eastAsia" w:ascii="宋体" w:hAnsi="宋体" w:eastAsia="宋体" w:cs="宋体"/>
          <w:color w:val="000000"/>
        </w:rPr>
        <w:t>，</w:t>
      </w:r>
      <w:r>
        <w:rPr>
          <w:rFonts w:hint="eastAsia" w:ascii="宋体" w:hAnsi="宋体" w:eastAsia="宋体" w:cs="宋体"/>
          <w:color w:val="000000"/>
          <w:u w:val="single"/>
        </w:rPr>
        <w:t>（项目名称）</w:t>
      </w:r>
      <w:r>
        <w:rPr>
          <w:rFonts w:hint="eastAsia" w:ascii="宋体" w:hAnsi="宋体" w:eastAsia="宋体" w:cs="宋体"/>
          <w:color w:val="000000"/>
        </w:rPr>
        <w:t>的采购活动，提供的货物全部由符合政策要求的中小企业制造。根据《工业和信息化部、国家统计局、国家发展和改革委员会、财政部关于印发中小企业划型标准规定的通知》(工信部联企业[2011]300号)的规定，相关企业的具体情况如下：</w:t>
      </w:r>
    </w:p>
    <w:p w14:paraId="1D7E5D89">
      <w:pPr>
        <w:pStyle w:val="10"/>
        <w:spacing w:beforeAutospacing="0" w:afterAutospacing="0" w:line="0" w:lineRule="atLeast"/>
        <w:ind w:firstLine="360"/>
        <w:jc w:val="both"/>
      </w:pPr>
      <w:r>
        <w:rPr>
          <w:rFonts w:hint="eastAsia" w:ascii="宋体" w:hAnsi="宋体" w:eastAsia="宋体" w:cs="宋体"/>
          <w:color w:val="000000"/>
        </w:rPr>
        <w:t>1.</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行业；制造商为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万元，属于</w:t>
      </w:r>
      <w:r>
        <w:rPr>
          <w:rFonts w:hint="eastAsia" w:ascii="宋体" w:hAnsi="宋体" w:eastAsia="宋体" w:cs="宋体"/>
          <w:color w:val="000000"/>
          <w:u w:val="single"/>
        </w:rPr>
        <w:t>（中型企业、小型企业、微型企业）；</w:t>
      </w:r>
    </w:p>
    <w:p w14:paraId="71F58839">
      <w:pPr>
        <w:pStyle w:val="10"/>
        <w:spacing w:beforeAutospacing="0" w:afterAutospacing="0" w:line="0" w:lineRule="atLeast"/>
        <w:ind w:firstLine="360"/>
        <w:jc w:val="both"/>
      </w:pPr>
      <w:r>
        <w:rPr>
          <w:rFonts w:hint="eastAsia" w:ascii="宋体" w:hAnsi="宋体" w:eastAsia="宋体" w:cs="宋体"/>
          <w:color w:val="000000"/>
        </w:rPr>
        <w:t>2.</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行业；制造商为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万元，属于</w:t>
      </w:r>
      <w:r>
        <w:rPr>
          <w:rFonts w:hint="eastAsia" w:ascii="宋体" w:hAnsi="宋体" w:eastAsia="宋体" w:cs="宋体"/>
          <w:color w:val="000000"/>
          <w:u w:val="single"/>
        </w:rPr>
        <w:t>（中型企业、小型企业、微型企业）；</w:t>
      </w:r>
    </w:p>
    <w:p w14:paraId="388885DA">
      <w:pPr>
        <w:pStyle w:val="10"/>
        <w:spacing w:beforeAutospacing="0" w:afterAutospacing="0" w:line="0" w:lineRule="atLeast"/>
        <w:ind w:firstLine="360"/>
        <w:jc w:val="both"/>
      </w:pPr>
      <w:r>
        <w:rPr>
          <w:rFonts w:hint="eastAsia" w:ascii="宋体" w:hAnsi="宋体" w:eastAsia="宋体" w:cs="宋体"/>
          <w:color w:val="000000"/>
        </w:rPr>
        <w:t>……</w:t>
      </w:r>
    </w:p>
    <w:p w14:paraId="7D846F6C">
      <w:pPr>
        <w:pStyle w:val="10"/>
        <w:spacing w:beforeAutospacing="0" w:afterAutospacing="0" w:line="0" w:lineRule="atLeast"/>
        <w:ind w:firstLine="360"/>
        <w:jc w:val="both"/>
      </w:pPr>
      <w:r>
        <w:rPr>
          <w:rFonts w:hint="eastAsia" w:ascii="宋体" w:hAnsi="宋体" w:eastAsia="宋体" w:cs="宋体"/>
          <w:color w:val="000000"/>
        </w:rPr>
        <w:t>以上企业，不属于大企业的分支机构，不存在控股股东为大企业的情形，也不存在与大企业的负责人为同一人的情形。</w:t>
      </w:r>
    </w:p>
    <w:p w14:paraId="44DF5561">
      <w:pPr>
        <w:pStyle w:val="10"/>
        <w:spacing w:beforeAutospacing="0" w:afterAutospacing="0" w:line="0" w:lineRule="atLeast"/>
        <w:ind w:firstLine="360"/>
        <w:jc w:val="both"/>
      </w:pPr>
      <w:r>
        <w:rPr>
          <w:rFonts w:hint="eastAsia" w:ascii="宋体" w:hAnsi="宋体" w:eastAsia="宋体" w:cs="宋体"/>
          <w:color w:val="000000"/>
        </w:rPr>
        <w:t>本企业对上述声明内容的真实性负责。如有虚假，将依法承担相应责任</w:t>
      </w:r>
    </w:p>
    <w:p w14:paraId="72FF215E">
      <w:pPr>
        <w:pStyle w:val="10"/>
        <w:spacing w:beforeAutospacing="0" w:afterAutospacing="0" w:line="0" w:lineRule="atLeast"/>
        <w:ind w:right="720"/>
        <w:jc w:val="both"/>
      </w:pPr>
      <w:r>
        <w:t> </w:t>
      </w:r>
    </w:p>
    <w:p w14:paraId="7D1900C8">
      <w:pPr>
        <w:pStyle w:val="10"/>
        <w:spacing w:beforeAutospacing="0" w:afterAutospacing="0" w:line="0" w:lineRule="atLeast"/>
        <w:ind w:right="180" w:firstLine="360"/>
        <w:jc w:val="right"/>
      </w:pPr>
      <w:r>
        <w:rPr>
          <w:rFonts w:hint="eastAsia" w:ascii="宋体" w:hAnsi="宋体" w:eastAsia="宋体" w:cs="宋体"/>
          <w:color w:val="000000"/>
        </w:rPr>
        <w:t>企业名称（加盖CA电子公章）：</w:t>
      </w:r>
    </w:p>
    <w:p w14:paraId="5DC14C53">
      <w:pPr>
        <w:pStyle w:val="10"/>
        <w:spacing w:beforeAutospacing="0" w:afterAutospacing="0" w:line="0" w:lineRule="atLeast"/>
        <w:ind w:right="480" w:firstLine="5400"/>
        <w:jc w:val="both"/>
      </w:pPr>
      <w:r>
        <w:rPr>
          <w:rFonts w:hint="eastAsia" w:ascii="宋体" w:hAnsi="宋体" w:eastAsia="宋体" w:cs="宋体"/>
          <w:color w:val="000000"/>
        </w:rPr>
        <w:t>日  期：</w:t>
      </w:r>
    </w:p>
    <w:p w14:paraId="4D0F7E3B">
      <w:pPr>
        <w:pStyle w:val="10"/>
        <w:spacing w:beforeAutospacing="0" w:afterAutospacing="0" w:line="0" w:lineRule="atLeast"/>
        <w:ind w:firstLine="360"/>
        <w:jc w:val="both"/>
      </w:pPr>
      <w:r>
        <w:t> </w:t>
      </w:r>
    </w:p>
    <w:p w14:paraId="1E159C1D">
      <w:pPr>
        <w:pStyle w:val="10"/>
        <w:spacing w:beforeAutospacing="0" w:afterAutospacing="0" w:line="0" w:lineRule="atLeast"/>
        <w:ind w:firstLine="480"/>
        <w:jc w:val="both"/>
      </w:pPr>
      <w:r>
        <w:rPr>
          <w:rFonts w:hint="eastAsia" w:ascii="宋体" w:hAnsi="宋体" w:eastAsia="宋体" w:cs="宋体"/>
          <w:color w:val="000000"/>
        </w:rPr>
        <w:t>备注1：从业人员、营业收入、资产总额填报上一年度数据，无上一年度数据的新成立企业可不填报。</w:t>
      </w:r>
    </w:p>
    <w:p w14:paraId="112FE27D">
      <w:pPr>
        <w:pStyle w:val="10"/>
        <w:spacing w:beforeAutospacing="0" w:afterAutospacing="0" w:line="0" w:lineRule="atLeast"/>
        <w:ind w:firstLine="480"/>
        <w:jc w:val="both"/>
        <w:rPr>
          <w:rFonts w:hint="eastAsia" w:eastAsia="宋体"/>
          <w:lang w:eastAsia="zh-CN"/>
        </w:rPr>
      </w:pPr>
      <w:r>
        <w:rPr>
          <w:rFonts w:hint="eastAsia" w:ascii="宋体" w:hAnsi="宋体" w:eastAsia="宋体" w:cs="宋体"/>
          <w:color w:val="000000"/>
        </w:rPr>
        <w:t>备注2：供应商如不提供此声明函，价格将不做相应扣除</w:t>
      </w:r>
      <w:r>
        <w:rPr>
          <w:rFonts w:hint="eastAsia" w:ascii="宋体" w:hAnsi="宋体" w:eastAsia="宋体" w:cs="宋体"/>
          <w:color w:val="000000"/>
          <w:lang w:eastAsia="zh-CN"/>
        </w:rPr>
        <w:t>（如项目全面面向中小企业，则资格审查不通过）</w:t>
      </w:r>
      <w:r>
        <w:rPr>
          <w:rFonts w:hint="eastAsia" w:ascii="宋体" w:hAnsi="宋体" w:eastAsia="宋体" w:cs="宋体"/>
          <w:color w:val="000000"/>
        </w:rPr>
        <w:t>。</w:t>
      </w:r>
    </w:p>
    <w:p w14:paraId="49A15EC4">
      <w:pPr>
        <w:pStyle w:val="10"/>
        <w:spacing w:beforeAutospacing="0" w:afterAutospacing="0" w:line="0" w:lineRule="atLeast"/>
        <w:jc w:val="center"/>
      </w:pPr>
      <w:r>
        <w:rPr>
          <w:rFonts w:hint="eastAsia" w:ascii="黑体" w:hAnsi="宋体" w:eastAsia="黑体" w:cs="黑体"/>
          <w:b/>
          <w:color w:val="000000"/>
          <w:sz w:val="32"/>
          <w:szCs w:val="32"/>
        </w:rPr>
        <w:br w:type="page"/>
      </w:r>
      <w:r>
        <w:rPr>
          <w:rFonts w:hint="eastAsia" w:ascii="黑体" w:hAnsi="宋体" w:eastAsia="黑体" w:cs="黑体"/>
          <w:b/>
          <w:color w:val="000000"/>
          <w:sz w:val="32"/>
          <w:szCs w:val="32"/>
        </w:rPr>
        <w:t> 十、残疾人福利性单位声明函</w:t>
      </w:r>
    </w:p>
    <w:p w14:paraId="3306FF2A">
      <w:pPr>
        <w:pStyle w:val="10"/>
        <w:spacing w:beforeAutospacing="0" w:afterAutospacing="0" w:line="0" w:lineRule="atLeast"/>
        <w:ind w:firstLine="480"/>
        <w:jc w:val="both"/>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项目（分包号：**）采购活动提供本单位制造的货物，或者提供其他残疾人福利性单位制造的货物（不包括使用非残疾人福利性单位注册商标的货物）。</w:t>
      </w:r>
    </w:p>
    <w:p w14:paraId="1C6C9A85">
      <w:pPr>
        <w:pStyle w:val="10"/>
        <w:spacing w:beforeAutospacing="0" w:afterAutospacing="0" w:line="0" w:lineRule="atLeast"/>
        <w:ind w:firstLine="480"/>
        <w:jc w:val="both"/>
      </w:pPr>
      <w:r>
        <w:rPr>
          <w:rFonts w:hint="eastAsia" w:ascii="宋体" w:hAnsi="宋体" w:eastAsia="宋体" w:cs="宋体"/>
          <w:color w:val="000000"/>
        </w:rPr>
        <w:t>本单位对上述声明的真实性负责。如有虚假，将依法承担相应责任。</w:t>
      </w:r>
    </w:p>
    <w:p w14:paraId="1B9EB149">
      <w:pPr>
        <w:pStyle w:val="10"/>
        <w:spacing w:beforeAutospacing="0" w:afterAutospacing="0" w:line="0" w:lineRule="atLeast"/>
        <w:ind w:firstLine="480"/>
        <w:jc w:val="both"/>
      </w:pPr>
      <w:r>
        <w:t> </w:t>
      </w:r>
    </w:p>
    <w:p w14:paraId="7CE790C0">
      <w:pPr>
        <w:pStyle w:val="10"/>
        <w:spacing w:beforeAutospacing="0" w:afterAutospacing="0" w:line="0" w:lineRule="atLeast"/>
        <w:ind w:firstLine="480"/>
        <w:jc w:val="both"/>
      </w:pPr>
      <w:r>
        <w:rPr>
          <w:rFonts w:hint="eastAsia" w:ascii="宋体" w:hAnsi="宋体" w:eastAsia="宋体" w:cs="宋体"/>
          <w:color w:val="000000"/>
        </w:rPr>
        <w:t>（备注：1、供应商如不提供此声明函，价格将不做相应扣除</w:t>
      </w:r>
      <w:r>
        <w:rPr>
          <w:rFonts w:hint="eastAsia" w:ascii="宋体" w:hAnsi="宋体" w:eastAsia="宋体" w:cs="宋体"/>
          <w:color w:val="000000"/>
          <w:lang w:eastAsia="zh-CN"/>
        </w:rPr>
        <w:t>（如项目全面面向中小企业，则资格审查不通过）</w:t>
      </w:r>
      <w:r>
        <w:rPr>
          <w:rFonts w:hint="eastAsia" w:ascii="宋体" w:hAnsi="宋体" w:eastAsia="宋体" w:cs="宋体"/>
          <w:color w:val="000000"/>
        </w:rPr>
        <w:t>。2、成交供应商为残疾人福利单位的，此声明函将随成交结果同时公告，接受社会监督）</w:t>
      </w:r>
    </w:p>
    <w:p w14:paraId="612F631B">
      <w:pPr>
        <w:pStyle w:val="10"/>
        <w:spacing w:beforeAutospacing="0" w:afterAutospacing="0" w:line="0" w:lineRule="atLeast"/>
        <w:ind w:firstLine="624"/>
        <w:jc w:val="both"/>
      </w:pPr>
      <w:r>
        <w:t> </w:t>
      </w:r>
    </w:p>
    <w:p w14:paraId="24B469E5">
      <w:pPr>
        <w:pStyle w:val="10"/>
        <w:tabs>
          <w:tab w:val="left" w:pos="4864"/>
        </w:tabs>
        <w:spacing w:beforeAutospacing="0" w:afterAutospacing="0" w:line="0" w:lineRule="atLeast"/>
        <w:ind w:right="1560"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rPr>
        <w:t>          供应商全称（加盖CA电子公章）：</w:t>
      </w:r>
    </w:p>
    <w:p w14:paraId="2C3E6A3C">
      <w:pPr>
        <w:pStyle w:val="10"/>
        <w:tabs>
          <w:tab w:val="left" w:pos="4864"/>
        </w:tabs>
        <w:spacing w:beforeAutospacing="0" w:afterAutospacing="0" w:line="0" w:lineRule="atLeast"/>
        <w:ind w:right="1560" w:firstLine="480"/>
        <w:jc w:val="center"/>
      </w:pPr>
      <w:r>
        <w:rPr>
          <w:rFonts w:hint="eastAsia" w:ascii="宋体" w:hAnsi="宋体" w:eastAsia="宋体" w:cs="宋体"/>
          <w:color w:val="000000"/>
        </w:rPr>
        <w:t>        日  期：</w:t>
      </w:r>
    </w:p>
    <w:p w14:paraId="79A84381">
      <w:pPr>
        <w:pStyle w:val="10"/>
        <w:spacing w:beforeAutospacing="0" w:afterAutospacing="0" w:line="0" w:lineRule="atLeast"/>
        <w:jc w:val="center"/>
      </w:pPr>
      <w:r>
        <w:t> </w:t>
      </w:r>
    </w:p>
    <w:p w14:paraId="3C7FFAF7">
      <w:pPr>
        <w:pStyle w:val="10"/>
        <w:spacing w:beforeAutospacing="0" w:afterAutospacing="0" w:line="0" w:lineRule="atLeast"/>
        <w:jc w:val="center"/>
      </w:pPr>
      <w:r>
        <w:t> </w:t>
      </w:r>
    </w:p>
    <w:p w14:paraId="4FAE701A">
      <w:pPr>
        <w:pStyle w:val="10"/>
        <w:spacing w:beforeAutospacing="0" w:afterAutospacing="0" w:line="0" w:lineRule="atLeast"/>
        <w:jc w:val="center"/>
      </w:pPr>
      <w:r>
        <w:t> </w:t>
      </w:r>
    </w:p>
    <w:p w14:paraId="318C6CFF">
      <w:pPr>
        <w:pStyle w:val="10"/>
        <w:spacing w:beforeAutospacing="0" w:afterAutospacing="0" w:line="0" w:lineRule="atLeast"/>
        <w:jc w:val="center"/>
      </w:pPr>
      <w:r>
        <w:t> </w:t>
      </w:r>
    </w:p>
    <w:p w14:paraId="38367FD2">
      <w:pPr>
        <w:pStyle w:val="10"/>
        <w:spacing w:beforeAutospacing="0" w:afterAutospacing="0" w:line="0" w:lineRule="atLeast"/>
        <w:jc w:val="center"/>
      </w:pPr>
      <w:r>
        <w:t> </w:t>
      </w:r>
    </w:p>
    <w:p w14:paraId="24DC76A0">
      <w:pPr>
        <w:pStyle w:val="10"/>
        <w:spacing w:beforeAutospacing="0" w:afterAutospacing="0" w:line="0" w:lineRule="atLeast"/>
        <w:jc w:val="center"/>
      </w:pPr>
      <w:r>
        <w:t> </w:t>
      </w:r>
    </w:p>
    <w:p w14:paraId="45C9C052">
      <w:pPr>
        <w:pStyle w:val="10"/>
        <w:spacing w:beforeAutospacing="0" w:afterAutospacing="0" w:line="0" w:lineRule="atLeast"/>
        <w:jc w:val="center"/>
      </w:pPr>
      <w:r>
        <w:t> </w:t>
      </w:r>
    </w:p>
    <w:p w14:paraId="7AF07C5D">
      <w:pPr>
        <w:pStyle w:val="10"/>
        <w:spacing w:beforeAutospacing="0" w:afterAutospacing="0" w:line="0" w:lineRule="atLeast"/>
        <w:jc w:val="center"/>
      </w:pPr>
      <w:r>
        <w:t> </w:t>
      </w:r>
    </w:p>
    <w:p w14:paraId="16D2E554">
      <w:pPr>
        <w:pStyle w:val="10"/>
        <w:spacing w:beforeAutospacing="0" w:afterAutospacing="0" w:line="0" w:lineRule="atLeast"/>
        <w:jc w:val="center"/>
      </w:pPr>
      <w:r>
        <w:t> </w:t>
      </w:r>
    </w:p>
    <w:p w14:paraId="1442D406">
      <w:pPr>
        <w:pStyle w:val="10"/>
        <w:spacing w:beforeAutospacing="0" w:afterAutospacing="0" w:line="0" w:lineRule="atLeast"/>
        <w:jc w:val="center"/>
      </w:pPr>
    </w:p>
    <w:p w14:paraId="1F0423A6">
      <w:pPr>
        <w:pStyle w:val="10"/>
        <w:spacing w:beforeAutospacing="0" w:afterAutospacing="0" w:line="0" w:lineRule="atLeast"/>
        <w:jc w:val="center"/>
      </w:pPr>
    </w:p>
    <w:p w14:paraId="441E8621">
      <w:pPr>
        <w:pStyle w:val="10"/>
        <w:spacing w:beforeAutospacing="0" w:afterAutospacing="0" w:line="0" w:lineRule="atLeast"/>
        <w:jc w:val="center"/>
      </w:pPr>
    </w:p>
    <w:p w14:paraId="652428D4">
      <w:pPr>
        <w:pStyle w:val="10"/>
        <w:spacing w:beforeAutospacing="0" w:afterAutospacing="0" w:line="0" w:lineRule="atLeast"/>
        <w:jc w:val="center"/>
      </w:pPr>
    </w:p>
    <w:p w14:paraId="66A31047">
      <w:pPr>
        <w:pStyle w:val="10"/>
        <w:spacing w:beforeAutospacing="0" w:afterAutospacing="0" w:line="0" w:lineRule="atLeast"/>
        <w:jc w:val="center"/>
      </w:pPr>
    </w:p>
    <w:p w14:paraId="2F376513">
      <w:pPr>
        <w:pStyle w:val="10"/>
        <w:spacing w:beforeAutospacing="0" w:afterAutospacing="0" w:line="0" w:lineRule="atLeast"/>
        <w:jc w:val="center"/>
      </w:pPr>
    </w:p>
    <w:p w14:paraId="52E02678">
      <w:pPr>
        <w:pStyle w:val="10"/>
        <w:spacing w:beforeAutospacing="0" w:afterAutospacing="0" w:line="0" w:lineRule="atLeast"/>
        <w:jc w:val="center"/>
      </w:pPr>
    </w:p>
    <w:p w14:paraId="0047CCC2">
      <w:pPr>
        <w:pStyle w:val="10"/>
        <w:spacing w:beforeAutospacing="0" w:afterAutospacing="0" w:line="0" w:lineRule="atLeast"/>
        <w:jc w:val="center"/>
      </w:pPr>
    </w:p>
    <w:p w14:paraId="0D8612BE">
      <w:pPr>
        <w:pStyle w:val="10"/>
        <w:spacing w:beforeAutospacing="0" w:afterAutospacing="0" w:line="0" w:lineRule="atLeast"/>
        <w:jc w:val="center"/>
      </w:pPr>
    </w:p>
    <w:p w14:paraId="0C12A5F6">
      <w:pPr>
        <w:pStyle w:val="10"/>
        <w:spacing w:beforeAutospacing="0" w:afterAutospacing="0" w:line="0" w:lineRule="atLeast"/>
        <w:jc w:val="center"/>
      </w:pPr>
    </w:p>
    <w:p w14:paraId="611228E8">
      <w:pPr>
        <w:pStyle w:val="10"/>
        <w:spacing w:beforeAutospacing="0" w:afterAutospacing="0" w:line="0" w:lineRule="atLeast"/>
        <w:jc w:val="center"/>
      </w:pPr>
    </w:p>
    <w:p w14:paraId="42F68E5F">
      <w:pPr>
        <w:pStyle w:val="10"/>
        <w:spacing w:beforeAutospacing="0" w:afterAutospacing="0" w:line="0" w:lineRule="atLeast"/>
        <w:jc w:val="center"/>
      </w:pPr>
    </w:p>
    <w:p w14:paraId="6AFB562B">
      <w:pPr>
        <w:pStyle w:val="10"/>
        <w:spacing w:beforeAutospacing="0" w:afterAutospacing="0" w:line="0" w:lineRule="atLeast"/>
        <w:jc w:val="center"/>
      </w:pPr>
    </w:p>
    <w:p w14:paraId="228F0F73">
      <w:pPr>
        <w:pStyle w:val="10"/>
        <w:spacing w:beforeAutospacing="0" w:afterAutospacing="0" w:line="0" w:lineRule="atLeast"/>
        <w:jc w:val="center"/>
      </w:pPr>
    </w:p>
    <w:p w14:paraId="027CBCC1">
      <w:pPr>
        <w:pStyle w:val="10"/>
        <w:spacing w:beforeAutospacing="0" w:afterAutospacing="0" w:line="0" w:lineRule="atLeast"/>
        <w:jc w:val="center"/>
      </w:pPr>
    </w:p>
    <w:p w14:paraId="000F0C02">
      <w:pPr>
        <w:pStyle w:val="10"/>
        <w:spacing w:beforeAutospacing="0" w:afterAutospacing="0" w:line="0" w:lineRule="atLeast"/>
        <w:jc w:val="center"/>
      </w:pPr>
    </w:p>
    <w:p w14:paraId="79A7EA3E">
      <w:pPr>
        <w:pStyle w:val="10"/>
        <w:spacing w:beforeAutospacing="0" w:afterAutospacing="0" w:line="0" w:lineRule="atLeast"/>
        <w:jc w:val="center"/>
      </w:pPr>
    </w:p>
    <w:p w14:paraId="415E8D0F">
      <w:pPr>
        <w:pStyle w:val="10"/>
        <w:spacing w:beforeAutospacing="0" w:afterAutospacing="0" w:line="0" w:lineRule="atLeast"/>
        <w:jc w:val="center"/>
      </w:pPr>
    </w:p>
    <w:p w14:paraId="2155707D">
      <w:pPr>
        <w:pStyle w:val="10"/>
        <w:spacing w:beforeAutospacing="0" w:afterAutospacing="0" w:line="0" w:lineRule="atLeast"/>
        <w:jc w:val="center"/>
      </w:pPr>
    </w:p>
    <w:p w14:paraId="0D1AACDB">
      <w:pPr>
        <w:pStyle w:val="10"/>
        <w:spacing w:beforeAutospacing="0" w:afterAutospacing="0" w:line="0" w:lineRule="atLeast"/>
        <w:jc w:val="center"/>
      </w:pPr>
      <w:r>
        <w:t> </w:t>
      </w:r>
    </w:p>
    <w:p w14:paraId="15B5987D">
      <w:pPr>
        <w:pStyle w:val="10"/>
        <w:spacing w:beforeAutospacing="0" w:afterAutospacing="0" w:line="0" w:lineRule="atLeast"/>
        <w:jc w:val="center"/>
      </w:pPr>
      <w:r>
        <w:t> </w:t>
      </w:r>
    </w:p>
    <w:p w14:paraId="3331C813">
      <w:pPr>
        <w:pStyle w:val="10"/>
        <w:spacing w:beforeAutospacing="0" w:afterAutospacing="0"/>
        <w:jc w:val="both"/>
      </w:pPr>
      <w:r>
        <w:t> </w:t>
      </w:r>
    </w:p>
    <w:p w14:paraId="7E57F4D6">
      <w:pPr>
        <w:jc w:val="center"/>
        <w:rPr>
          <w:rFonts w:ascii="黑体" w:hAnsi="黑体" w:eastAsia="黑体"/>
          <w:b/>
          <w:color w:val="000000"/>
          <w:sz w:val="32"/>
          <w:szCs w:val="32"/>
        </w:rPr>
      </w:pPr>
      <w:r>
        <w:rPr>
          <w:rFonts w:hint="eastAsia" w:ascii="黑体" w:hAnsi="宋体" w:eastAsia="黑体" w:cs="黑体"/>
          <w:b/>
          <w:color w:val="000000"/>
          <w:sz w:val="32"/>
          <w:szCs w:val="32"/>
        </w:rPr>
        <w:t>十一、</w:t>
      </w:r>
      <w:r>
        <w:rPr>
          <w:rFonts w:hint="eastAsia" w:ascii="黑体" w:hAnsi="黑体" w:eastAsia="黑体"/>
          <w:b/>
          <w:color w:val="000000"/>
          <w:sz w:val="32"/>
          <w:szCs w:val="32"/>
        </w:rPr>
        <w:t>技术参数响应对照表</w:t>
      </w:r>
    </w:p>
    <w:tbl>
      <w:tblPr>
        <w:tblStyle w:val="12"/>
        <w:tblW w:w="938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8"/>
        <w:gridCol w:w="1620"/>
        <w:gridCol w:w="1980"/>
        <w:gridCol w:w="2160"/>
        <w:gridCol w:w="1260"/>
        <w:gridCol w:w="1620"/>
      </w:tblGrid>
      <w:tr w14:paraId="5C9656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vAlign w:val="center"/>
          </w:tcPr>
          <w:p w14:paraId="416DB7D2">
            <w:pPr>
              <w:spacing w:line="420" w:lineRule="exact"/>
              <w:jc w:val="center"/>
              <w:rPr>
                <w:rFonts w:ascii="宋体" w:hAnsi="宋体"/>
                <w:sz w:val="24"/>
              </w:rPr>
            </w:pPr>
            <w:r>
              <w:rPr>
                <w:rFonts w:ascii="宋体" w:hAnsi="宋体"/>
                <w:sz w:val="24"/>
              </w:rPr>
              <w:t>序号</w:t>
            </w:r>
          </w:p>
        </w:tc>
        <w:tc>
          <w:tcPr>
            <w:tcW w:w="1620" w:type="dxa"/>
            <w:vAlign w:val="center"/>
          </w:tcPr>
          <w:p w14:paraId="53B5A528">
            <w:pPr>
              <w:spacing w:line="420" w:lineRule="exact"/>
              <w:jc w:val="center"/>
              <w:rPr>
                <w:rFonts w:ascii="宋体" w:hAnsi="宋体"/>
                <w:sz w:val="24"/>
              </w:rPr>
            </w:pPr>
            <w:r>
              <w:rPr>
                <w:rFonts w:hint="eastAsia" w:ascii="宋体" w:hAnsi="宋体"/>
                <w:sz w:val="24"/>
              </w:rPr>
              <w:t>设备</w:t>
            </w:r>
            <w:r>
              <w:rPr>
                <w:rFonts w:ascii="宋体" w:hAnsi="宋体"/>
                <w:sz w:val="24"/>
              </w:rPr>
              <w:t>名称</w:t>
            </w:r>
            <w:r>
              <w:rPr>
                <w:rFonts w:hint="eastAsia" w:ascii="宋体" w:hAnsi="宋体"/>
                <w:sz w:val="24"/>
              </w:rPr>
              <w:t>及品牌型号</w:t>
            </w:r>
          </w:p>
        </w:tc>
        <w:tc>
          <w:tcPr>
            <w:tcW w:w="1980" w:type="dxa"/>
            <w:vAlign w:val="center"/>
          </w:tcPr>
          <w:p w14:paraId="352DD7EF">
            <w:pPr>
              <w:spacing w:line="420" w:lineRule="exact"/>
              <w:jc w:val="center"/>
              <w:rPr>
                <w:rFonts w:ascii="宋体" w:hAnsi="宋体"/>
                <w:sz w:val="24"/>
              </w:rPr>
            </w:pPr>
            <w:r>
              <w:rPr>
                <w:rFonts w:hint="eastAsia" w:ascii="宋体" w:hAnsi="宋体"/>
                <w:sz w:val="24"/>
              </w:rPr>
              <w:t>招标产品技术参数</w:t>
            </w:r>
          </w:p>
        </w:tc>
        <w:tc>
          <w:tcPr>
            <w:tcW w:w="2160" w:type="dxa"/>
            <w:tcBorders>
              <w:right w:val="single" w:color="auto" w:sz="4" w:space="0"/>
            </w:tcBorders>
            <w:vAlign w:val="center"/>
          </w:tcPr>
          <w:p w14:paraId="4B530B2C">
            <w:pPr>
              <w:spacing w:line="420" w:lineRule="exact"/>
              <w:jc w:val="center"/>
              <w:rPr>
                <w:rFonts w:ascii="宋体" w:hAnsi="宋体"/>
                <w:sz w:val="24"/>
              </w:rPr>
            </w:pPr>
            <w:r>
              <w:rPr>
                <w:rFonts w:hint="eastAsia" w:ascii="宋体" w:hAnsi="宋体"/>
                <w:sz w:val="24"/>
              </w:rPr>
              <w:t>投标产品技术参数</w:t>
            </w:r>
          </w:p>
        </w:tc>
        <w:tc>
          <w:tcPr>
            <w:tcW w:w="1260" w:type="dxa"/>
          </w:tcPr>
          <w:p w14:paraId="2DAE5F2C">
            <w:pPr>
              <w:autoSpaceDE w:val="0"/>
              <w:autoSpaceDN w:val="0"/>
              <w:adjustRightInd w:val="0"/>
              <w:jc w:val="center"/>
              <w:rPr>
                <w:rFonts w:ascii="宋体" w:hAnsi="宋体"/>
                <w:sz w:val="24"/>
              </w:rPr>
            </w:pPr>
          </w:p>
          <w:p w14:paraId="6A2DBB5F">
            <w:pPr>
              <w:autoSpaceDE w:val="0"/>
              <w:autoSpaceDN w:val="0"/>
              <w:adjustRightInd w:val="0"/>
              <w:rPr>
                <w:rFonts w:ascii="宋体" w:hAnsi="宋体"/>
                <w:sz w:val="24"/>
                <w:lang w:val="zh-CN"/>
              </w:rPr>
            </w:pPr>
            <w:r>
              <w:rPr>
                <w:rFonts w:hint="eastAsia" w:ascii="宋体" w:hAnsi="宋体"/>
                <w:sz w:val="24"/>
              </w:rPr>
              <w:t>符合或负偏离</w:t>
            </w:r>
          </w:p>
        </w:tc>
        <w:tc>
          <w:tcPr>
            <w:tcW w:w="1620" w:type="dxa"/>
            <w:vAlign w:val="center"/>
          </w:tcPr>
          <w:p w14:paraId="0C29E135">
            <w:pPr>
              <w:spacing w:line="420" w:lineRule="exact"/>
              <w:jc w:val="center"/>
              <w:rPr>
                <w:rFonts w:ascii="宋体" w:hAnsi="宋体"/>
                <w:sz w:val="24"/>
              </w:rPr>
            </w:pPr>
            <w:r>
              <w:rPr>
                <w:rFonts w:hint="eastAsia" w:ascii="宋体" w:hAnsi="宋体"/>
                <w:sz w:val="24"/>
              </w:rPr>
              <w:t>原因</w:t>
            </w:r>
          </w:p>
        </w:tc>
      </w:tr>
      <w:tr w14:paraId="4709EA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vAlign w:val="center"/>
          </w:tcPr>
          <w:p w14:paraId="787848EC">
            <w:pPr>
              <w:spacing w:line="420" w:lineRule="exact"/>
              <w:jc w:val="center"/>
              <w:rPr>
                <w:rFonts w:ascii="宋体" w:hAnsi="宋体"/>
                <w:sz w:val="24"/>
              </w:rPr>
            </w:pPr>
          </w:p>
        </w:tc>
        <w:tc>
          <w:tcPr>
            <w:tcW w:w="1620" w:type="dxa"/>
            <w:vAlign w:val="center"/>
          </w:tcPr>
          <w:p w14:paraId="3AD4530A">
            <w:pPr>
              <w:spacing w:line="420" w:lineRule="exact"/>
              <w:jc w:val="center"/>
              <w:rPr>
                <w:rFonts w:ascii="宋体" w:hAnsi="宋体"/>
                <w:sz w:val="24"/>
              </w:rPr>
            </w:pPr>
          </w:p>
        </w:tc>
        <w:tc>
          <w:tcPr>
            <w:tcW w:w="1980" w:type="dxa"/>
            <w:vAlign w:val="center"/>
          </w:tcPr>
          <w:p w14:paraId="21E1FAB1">
            <w:pPr>
              <w:spacing w:line="420" w:lineRule="exact"/>
              <w:jc w:val="center"/>
              <w:rPr>
                <w:rFonts w:ascii="宋体" w:hAnsi="宋体"/>
                <w:sz w:val="24"/>
              </w:rPr>
            </w:pPr>
          </w:p>
        </w:tc>
        <w:tc>
          <w:tcPr>
            <w:tcW w:w="2160" w:type="dxa"/>
            <w:tcBorders>
              <w:right w:val="single" w:color="auto" w:sz="4" w:space="0"/>
            </w:tcBorders>
            <w:vAlign w:val="center"/>
          </w:tcPr>
          <w:p w14:paraId="10E1CFBF">
            <w:pPr>
              <w:spacing w:line="420" w:lineRule="exact"/>
              <w:jc w:val="center"/>
              <w:rPr>
                <w:rFonts w:ascii="宋体" w:hAnsi="宋体"/>
                <w:sz w:val="24"/>
              </w:rPr>
            </w:pPr>
          </w:p>
        </w:tc>
        <w:tc>
          <w:tcPr>
            <w:tcW w:w="1260" w:type="dxa"/>
          </w:tcPr>
          <w:p w14:paraId="72E8DC50">
            <w:pPr>
              <w:spacing w:line="420" w:lineRule="exact"/>
              <w:jc w:val="center"/>
              <w:rPr>
                <w:rFonts w:ascii="宋体" w:hAnsi="宋体"/>
                <w:sz w:val="24"/>
              </w:rPr>
            </w:pPr>
          </w:p>
        </w:tc>
        <w:tc>
          <w:tcPr>
            <w:tcW w:w="1620" w:type="dxa"/>
            <w:vAlign w:val="center"/>
          </w:tcPr>
          <w:p w14:paraId="24DD194A">
            <w:pPr>
              <w:spacing w:line="420" w:lineRule="exact"/>
              <w:jc w:val="center"/>
              <w:rPr>
                <w:rFonts w:ascii="宋体" w:hAnsi="宋体"/>
                <w:sz w:val="24"/>
              </w:rPr>
            </w:pPr>
          </w:p>
        </w:tc>
      </w:tr>
      <w:tr w14:paraId="554F4D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vAlign w:val="center"/>
          </w:tcPr>
          <w:p w14:paraId="458694AB">
            <w:pPr>
              <w:spacing w:line="420" w:lineRule="exact"/>
              <w:jc w:val="center"/>
              <w:rPr>
                <w:rFonts w:ascii="宋体" w:hAnsi="宋体"/>
                <w:sz w:val="24"/>
                <w:highlight w:val="yellow"/>
              </w:rPr>
            </w:pPr>
          </w:p>
        </w:tc>
        <w:tc>
          <w:tcPr>
            <w:tcW w:w="1620" w:type="dxa"/>
            <w:vAlign w:val="center"/>
          </w:tcPr>
          <w:p w14:paraId="3F07DD5C">
            <w:pPr>
              <w:spacing w:line="420" w:lineRule="exact"/>
              <w:jc w:val="center"/>
              <w:rPr>
                <w:rFonts w:ascii="宋体" w:hAnsi="宋体"/>
                <w:sz w:val="24"/>
                <w:highlight w:val="yellow"/>
              </w:rPr>
            </w:pPr>
          </w:p>
        </w:tc>
        <w:tc>
          <w:tcPr>
            <w:tcW w:w="1980" w:type="dxa"/>
            <w:vAlign w:val="center"/>
          </w:tcPr>
          <w:p w14:paraId="19D334F7">
            <w:pPr>
              <w:spacing w:line="420" w:lineRule="exact"/>
              <w:jc w:val="center"/>
              <w:rPr>
                <w:rFonts w:ascii="宋体" w:hAnsi="宋体"/>
                <w:sz w:val="24"/>
                <w:highlight w:val="yellow"/>
              </w:rPr>
            </w:pPr>
          </w:p>
        </w:tc>
        <w:tc>
          <w:tcPr>
            <w:tcW w:w="2160" w:type="dxa"/>
            <w:tcBorders>
              <w:right w:val="single" w:color="auto" w:sz="4" w:space="0"/>
            </w:tcBorders>
            <w:vAlign w:val="center"/>
          </w:tcPr>
          <w:p w14:paraId="12167F83">
            <w:pPr>
              <w:spacing w:line="420" w:lineRule="exact"/>
              <w:jc w:val="center"/>
              <w:rPr>
                <w:rFonts w:ascii="宋体" w:hAnsi="宋体"/>
                <w:sz w:val="24"/>
                <w:highlight w:val="yellow"/>
              </w:rPr>
            </w:pPr>
          </w:p>
        </w:tc>
        <w:tc>
          <w:tcPr>
            <w:tcW w:w="1260" w:type="dxa"/>
          </w:tcPr>
          <w:p w14:paraId="08E31EAE">
            <w:pPr>
              <w:spacing w:line="420" w:lineRule="exact"/>
              <w:jc w:val="center"/>
              <w:rPr>
                <w:rFonts w:ascii="宋体" w:hAnsi="宋体"/>
                <w:sz w:val="24"/>
                <w:highlight w:val="yellow"/>
              </w:rPr>
            </w:pPr>
          </w:p>
        </w:tc>
        <w:tc>
          <w:tcPr>
            <w:tcW w:w="1620" w:type="dxa"/>
            <w:vAlign w:val="center"/>
          </w:tcPr>
          <w:p w14:paraId="321E5E71">
            <w:pPr>
              <w:spacing w:line="420" w:lineRule="exact"/>
              <w:jc w:val="center"/>
              <w:rPr>
                <w:rFonts w:ascii="宋体" w:hAnsi="宋体"/>
                <w:sz w:val="24"/>
                <w:highlight w:val="yellow"/>
              </w:rPr>
            </w:pPr>
          </w:p>
        </w:tc>
      </w:tr>
      <w:tr w14:paraId="2A47A2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vAlign w:val="center"/>
          </w:tcPr>
          <w:p w14:paraId="5EE5093F">
            <w:pPr>
              <w:spacing w:line="420" w:lineRule="exact"/>
              <w:jc w:val="center"/>
              <w:rPr>
                <w:rFonts w:ascii="宋体" w:hAnsi="宋体"/>
                <w:sz w:val="24"/>
                <w:highlight w:val="yellow"/>
              </w:rPr>
            </w:pPr>
          </w:p>
        </w:tc>
        <w:tc>
          <w:tcPr>
            <w:tcW w:w="1620" w:type="dxa"/>
            <w:vAlign w:val="center"/>
          </w:tcPr>
          <w:p w14:paraId="5D298FD3">
            <w:pPr>
              <w:spacing w:line="420" w:lineRule="exact"/>
              <w:jc w:val="center"/>
              <w:rPr>
                <w:rFonts w:ascii="宋体" w:hAnsi="宋体"/>
                <w:sz w:val="24"/>
                <w:highlight w:val="yellow"/>
              </w:rPr>
            </w:pPr>
          </w:p>
        </w:tc>
        <w:tc>
          <w:tcPr>
            <w:tcW w:w="1980" w:type="dxa"/>
            <w:vAlign w:val="center"/>
          </w:tcPr>
          <w:p w14:paraId="75F1B2DB">
            <w:pPr>
              <w:spacing w:line="420" w:lineRule="exact"/>
              <w:jc w:val="center"/>
              <w:rPr>
                <w:rFonts w:ascii="宋体" w:hAnsi="宋体"/>
                <w:sz w:val="24"/>
                <w:highlight w:val="yellow"/>
              </w:rPr>
            </w:pPr>
          </w:p>
        </w:tc>
        <w:tc>
          <w:tcPr>
            <w:tcW w:w="2160" w:type="dxa"/>
            <w:tcBorders>
              <w:right w:val="single" w:color="auto" w:sz="4" w:space="0"/>
            </w:tcBorders>
            <w:vAlign w:val="center"/>
          </w:tcPr>
          <w:p w14:paraId="1E77A42D">
            <w:pPr>
              <w:spacing w:line="420" w:lineRule="exact"/>
              <w:jc w:val="center"/>
              <w:rPr>
                <w:rFonts w:ascii="宋体" w:hAnsi="宋体"/>
                <w:sz w:val="24"/>
                <w:highlight w:val="yellow"/>
              </w:rPr>
            </w:pPr>
          </w:p>
        </w:tc>
        <w:tc>
          <w:tcPr>
            <w:tcW w:w="1260" w:type="dxa"/>
          </w:tcPr>
          <w:p w14:paraId="25FF963F">
            <w:pPr>
              <w:spacing w:line="420" w:lineRule="exact"/>
              <w:jc w:val="center"/>
              <w:rPr>
                <w:rFonts w:ascii="宋体" w:hAnsi="宋体"/>
                <w:sz w:val="24"/>
                <w:highlight w:val="yellow"/>
              </w:rPr>
            </w:pPr>
          </w:p>
        </w:tc>
        <w:tc>
          <w:tcPr>
            <w:tcW w:w="1620" w:type="dxa"/>
            <w:vAlign w:val="center"/>
          </w:tcPr>
          <w:p w14:paraId="2124F52A">
            <w:pPr>
              <w:spacing w:line="420" w:lineRule="exact"/>
              <w:jc w:val="center"/>
              <w:rPr>
                <w:rFonts w:ascii="宋体" w:hAnsi="宋体"/>
                <w:sz w:val="24"/>
                <w:highlight w:val="yellow"/>
              </w:rPr>
            </w:pPr>
          </w:p>
        </w:tc>
      </w:tr>
      <w:tr w14:paraId="79F08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vAlign w:val="center"/>
          </w:tcPr>
          <w:p w14:paraId="298CF4CC">
            <w:pPr>
              <w:spacing w:line="420" w:lineRule="exact"/>
              <w:jc w:val="center"/>
              <w:rPr>
                <w:rFonts w:ascii="宋体" w:hAnsi="宋体"/>
                <w:sz w:val="24"/>
                <w:highlight w:val="yellow"/>
              </w:rPr>
            </w:pPr>
          </w:p>
        </w:tc>
        <w:tc>
          <w:tcPr>
            <w:tcW w:w="1620" w:type="dxa"/>
            <w:vAlign w:val="center"/>
          </w:tcPr>
          <w:p w14:paraId="73537307">
            <w:pPr>
              <w:spacing w:line="420" w:lineRule="exact"/>
              <w:jc w:val="center"/>
              <w:rPr>
                <w:rFonts w:ascii="宋体" w:hAnsi="宋体"/>
                <w:sz w:val="24"/>
                <w:highlight w:val="yellow"/>
              </w:rPr>
            </w:pPr>
          </w:p>
        </w:tc>
        <w:tc>
          <w:tcPr>
            <w:tcW w:w="1980" w:type="dxa"/>
            <w:vAlign w:val="center"/>
          </w:tcPr>
          <w:p w14:paraId="1CEC3984">
            <w:pPr>
              <w:spacing w:line="420" w:lineRule="exact"/>
              <w:jc w:val="center"/>
              <w:rPr>
                <w:rFonts w:ascii="宋体" w:hAnsi="宋体"/>
                <w:sz w:val="24"/>
                <w:highlight w:val="yellow"/>
              </w:rPr>
            </w:pPr>
          </w:p>
        </w:tc>
        <w:tc>
          <w:tcPr>
            <w:tcW w:w="2160" w:type="dxa"/>
            <w:tcBorders>
              <w:right w:val="single" w:color="auto" w:sz="4" w:space="0"/>
            </w:tcBorders>
            <w:vAlign w:val="center"/>
          </w:tcPr>
          <w:p w14:paraId="6C2A5F9A">
            <w:pPr>
              <w:spacing w:line="420" w:lineRule="exact"/>
              <w:jc w:val="center"/>
              <w:rPr>
                <w:rFonts w:ascii="宋体" w:hAnsi="宋体"/>
                <w:sz w:val="24"/>
                <w:highlight w:val="yellow"/>
              </w:rPr>
            </w:pPr>
          </w:p>
        </w:tc>
        <w:tc>
          <w:tcPr>
            <w:tcW w:w="1260" w:type="dxa"/>
          </w:tcPr>
          <w:p w14:paraId="6ACC2C18">
            <w:pPr>
              <w:spacing w:line="420" w:lineRule="exact"/>
              <w:jc w:val="center"/>
              <w:rPr>
                <w:rFonts w:ascii="宋体" w:hAnsi="宋体"/>
                <w:sz w:val="24"/>
                <w:highlight w:val="yellow"/>
              </w:rPr>
            </w:pPr>
          </w:p>
        </w:tc>
        <w:tc>
          <w:tcPr>
            <w:tcW w:w="1620" w:type="dxa"/>
            <w:vAlign w:val="center"/>
          </w:tcPr>
          <w:p w14:paraId="71A6A43E">
            <w:pPr>
              <w:spacing w:line="420" w:lineRule="exact"/>
              <w:jc w:val="center"/>
              <w:rPr>
                <w:rFonts w:ascii="宋体" w:hAnsi="宋体"/>
                <w:sz w:val="24"/>
                <w:highlight w:val="yellow"/>
              </w:rPr>
            </w:pPr>
          </w:p>
        </w:tc>
      </w:tr>
      <w:tr w14:paraId="5664BD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tcBorders>
              <w:top w:val="single" w:color="auto" w:sz="6" w:space="0"/>
              <w:left w:val="single" w:color="auto" w:sz="6" w:space="0"/>
              <w:bottom w:val="single" w:color="auto" w:sz="6" w:space="0"/>
              <w:right w:val="single" w:color="auto" w:sz="6" w:space="0"/>
            </w:tcBorders>
            <w:vAlign w:val="center"/>
          </w:tcPr>
          <w:p w14:paraId="34D19D28">
            <w:pPr>
              <w:spacing w:line="420" w:lineRule="exact"/>
              <w:jc w:val="center"/>
              <w:rPr>
                <w:rFonts w:ascii="宋体" w:hAnsi="宋体"/>
                <w:sz w:val="24"/>
                <w:highlight w:val="yellow"/>
              </w:rPr>
            </w:pPr>
          </w:p>
        </w:tc>
        <w:tc>
          <w:tcPr>
            <w:tcW w:w="1620" w:type="dxa"/>
            <w:tcBorders>
              <w:top w:val="single" w:color="auto" w:sz="6" w:space="0"/>
              <w:left w:val="single" w:color="auto" w:sz="6" w:space="0"/>
              <w:bottom w:val="single" w:color="auto" w:sz="6" w:space="0"/>
              <w:right w:val="single" w:color="auto" w:sz="6" w:space="0"/>
            </w:tcBorders>
            <w:vAlign w:val="center"/>
          </w:tcPr>
          <w:p w14:paraId="44F0E9CA">
            <w:pPr>
              <w:spacing w:line="420" w:lineRule="exact"/>
              <w:jc w:val="center"/>
              <w:rPr>
                <w:rFonts w:ascii="宋体" w:hAnsi="宋体"/>
                <w:sz w:val="24"/>
                <w:highlight w:val="yellow"/>
              </w:rPr>
            </w:pPr>
          </w:p>
        </w:tc>
        <w:tc>
          <w:tcPr>
            <w:tcW w:w="1980" w:type="dxa"/>
            <w:tcBorders>
              <w:top w:val="single" w:color="auto" w:sz="6" w:space="0"/>
              <w:left w:val="single" w:color="auto" w:sz="6" w:space="0"/>
              <w:bottom w:val="single" w:color="auto" w:sz="6" w:space="0"/>
              <w:right w:val="single" w:color="auto" w:sz="6" w:space="0"/>
            </w:tcBorders>
            <w:vAlign w:val="center"/>
          </w:tcPr>
          <w:p w14:paraId="5527318B">
            <w:pPr>
              <w:spacing w:line="420" w:lineRule="exact"/>
              <w:jc w:val="center"/>
              <w:rPr>
                <w:rFonts w:ascii="宋体" w:hAnsi="宋体"/>
                <w:sz w:val="24"/>
                <w:highlight w:val="yellow"/>
              </w:rPr>
            </w:pPr>
          </w:p>
        </w:tc>
        <w:tc>
          <w:tcPr>
            <w:tcW w:w="2160" w:type="dxa"/>
            <w:tcBorders>
              <w:top w:val="single" w:color="auto" w:sz="6" w:space="0"/>
              <w:left w:val="single" w:color="auto" w:sz="6" w:space="0"/>
              <w:bottom w:val="single" w:color="auto" w:sz="6" w:space="0"/>
              <w:right w:val="single" w:color="auto" w:sz="4" w:space="0"/>
            </w:tcBorders>
            <w:vAlign w:val="center"/>
          </w:tcPr>
          <w:p w14:paraId="14CEFDC8">
            <w:pPr>
              <w:spacing w:line="420" w:lineRule="exact"/>
              <w:jc w:val="center"/>
              <w:rPr>
                <w:rFonts w:ascii="宋体" w:hAnsi="宋体"/>
                <w:sz w:val="24"/>
                <w:highlight w:val="yellow"/>
              </w:rPr>
            </w:pPr>
          </w:p>
        </w:tc>
        <w:tc>
          <w:tcPr>
            <w:tcW w:w="1260" w:type="dxa"/>
            <w:tcBorders>
              <w:top w:val="single" w:color="auto" w:sz="6" w:space="0"/>
              <w:left w:val="single" w:color="auto" w:sz="6" w:space="0"/>
              <w:bottom w:val="single" w:color="auto" w:sz="6" w:space="0"/>
              <w:right w:val="single" w:color="auto" w:sz="6" w:space="0"/>
            </w:tcBorders>
          </w:tcPr>
          <w:p w14:paraId="10CB7C30">
            <w:pPr>
              <w:spacing w:line="420" w:lineRule="exact"/>
              <w:jc w:val="center"/>
              <w:rPr>
                <w:rFonts w:ascii="宋体" w:hAnsi="宋体"/>
                <w:sz w:val="24"/>
                <w:highlight w:val="yellow"/>
              </w:rPr>
            </w:pPr>
          </w:p>
        </w:tc>
        <w:tc>
          <w:tcPr>
            <w:tcW w:w="1620" w:type="dxa"/>
            <w:tcBorders>
              <w:top w:val="single" w:color="auto" w:sz="6" w:space="0"/>
              <w:left w:val="single" w:color="auto" w:sz="6" w:space="0"/>
              <w:bottom w:val="single" w:color="auto" w:sz="6" w:space="0"/>
              <w:right w:val="single" w:color="auto" w:sz="6" w:space="0"/>
            </w:tcBorders>
            <w:vAlign w:val="center"/>
          </w:tcPr>
          <w:p w14:paraId="50A9FAEC">
            <w:pPr>
              <w:spacing w:line="420" w:lineRule="exact"/>
              <w:jc w:val="center"/>
              <w:rPr>
                <w:rFonts w:ascii="宋体" w:hAnsi="宋体"/>
                <w:sz w:val="24"/>
                <w:highlight w:val="yellow"/>
              </w:rPr>
            </w:pPr>
          </w:p>
        </w:tc>
      </w:tr>
      <w:tr w14:paraId="4E6013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tcBorders>
              <w:top w:val="single" w:color="auto" w:sz="6" w:space="0"/>
              <w:left w:val="single" w:color="auto" w:sz="6" w:space="0"/>
              <w:bottom w:val="single" w:color="auto" w:sz="6" w:space="0"/>
              <w:right w:val="single" w:color="auto" w:sz="6" w:space="0"/>
            </w:tcBorders>
            <w:vAlign w:val="center"/>
          </w:tcPr>
          <w:p w14:paraId="4DF41BB9">
            <w:pPr>
              <w:spacing w:line="420" w:lineRule="exact"/>
              <w:jc w:val="center"/>
              <w:rPr>
                <w:rFonts w:ascii="宋体" w:hAnsi="宋体"/>
                <w:sz w:val="24"/>
                <w:highlight w:val="yellow"/>
              </w:rPr>
            </w:pPr>
          </w:p>
        </w:tc>
        <w:tc>
          <w:tcPr>
            <w:tcW w:w="1620" w:type="dxa"/>
            <w:tcBorders>
              <w:top w:val="single" w:color="auto" w:sz="6" w:space="0"/>
              <w:left w:val="single" w:color="auto" w:sz="6" w:space="0"/>
              <w:bottom w:val="single" w:color="auto" w:sz="6" w:space="0"/>
              <w:right w:val="single" w:color="auto" w:sz="6" w:space="0"/>
            </w:tcBorders>
            <w:vAlign w:val="center"/>
          </w:tcPr>
          <w:p w14:paraId="503C4F20">
            <w:pPr>
              <w:spacing w:line="420" w:lineRule="exact"/>
              <w:jc w:val="center"/>
              <w:rPr>
                <w:rFonts w:ascii="宋体" w:hAnsi="宋体"/>
                <w:sz w:val="24"/>
                <w:highlight w:val="yellow"/>
              </w:rPr>
            </w:pPr>
          </w:p>
        </w:tc>
        <w:tc>
          <w:tcPr>
            <w:tcW w:w="1980" w:type="dxa"/>
            <w:tcBorders>
              <w:top w:val="single" w:color="auto" w:sz="6" w:space="0"/>
              <w:left w:val="single" w:color="auto" w:sz="6" w:space="0"/>
              <w:bottom w:val="single" w:color="auto" w:sz="6" w:space="0"/>
              <w:right w:val="single" w:color="auto" w:sz="6" w:space="0"/>
            </w:tcBorders>
            <w:vAlign w:val="center"/>
          </w:tcPr>
          <w:p w14:paraId="6AC9546C">
            <w:pPr>
              <w:spacing w:line="420" w:lineRule="exact"/>
              <w:jc w:val="center"/>
              <w:rPr>
                <w:rFonts w:ascii="宋体" w:hAnsi="宋体"/>
                <w:sz w:val="24"/>
                <w:highlight w:val="yellow"/>
              </w:rPr>
            </w:pPr>
          </w:p>
        </w:tc>
        <w:tc>
          <w:tcPr>
            <w:tcW w:w="2160" w:type="dxa"/>
            <w:tcBorders>
              <w:top w:val="single" w:color="auto" w:sz="6" w:space="0"/>
              <w:left w:val="single" w:color="auto" w:sz="6" w:space="0"/>
              <w:bottom w:val="single" w:color="auto" w:sz="6" w:space="0"/>
              <w:right w:val="single" w:color="auto" w:sz="4" w:space="0"/>
            </w:tcBorders>
            <w:vAlign w:val="center"/>
          </w:tcPr>
          <w:p w14:paraId="0EE52D96">
            <w:pPr>
              <w:spacing w:line="420" w:lineRule="exact"/>
              <w:jc w:val="center"/>
              <w:rPr>
                <w:rFonts w:ascii="宋体" w:hAnsi="宋体"/>
                <w:sz w:val="24"/>
                <w:highlight w:val="yellow"/>
              </w:rPr>
            </w:pPr>
          </w:p>
        </w:tc>
        <w:tc>
          <w:tcPr>
            <w:tcW w:w="1260" w:type="dxa"/>
            <w:tcBorders>
              <w:top w:val="single" w:color="auto" w:sz="6" w:space="0"/>
              <w:left w:val="single" w:color="auto" w:sz="6" w:space="0"/>
              <w:bottom w:val="single" w:color="auto" w:sz="6" w:space="0"/>
              <w:right w:val="single" w:color="auto" w:sz="6" w:space="0"/>
            </w:tcBorders>
          </w:tcPr>
          <w:p w14:paraId="008A17C7">
            <w:pPr>
              <w:spacing w:line="420" w:lineRule="exact"/>
              <w:jc w:val="center"/>
              <w:rPr>
                <w:rFonts w:ascii="宋体" w:hAnsi="宋体"/>
                <w:sz w:val="24"/>
                <w:highlight w:val="yellow"/>
              </w:rPr>
            </w:pPr>
          </w:p>
        </w:tc>
        <w:tc>
          <w:tcPr>
            <w:tcW w:w="1620" w:type="dxa"/>
            <w:tcBorders>
              <w:top w:val="single" w:color="auto" w:sz="6" w:space="0"/>
              <w:left w:val="single" w:color="auto" w:sz="6" w:space="0"/>
              <w:bottom w:val="single" w:color="auto" w:sz="6" w:space="0"/>
              <w:right w:val="single" w:color="auto" w:sz="6" w:space="0"/>
            </w:tcBorders>
            <w:vAlign w:val="center"/>
          </w:tcPr>
          <w:p w14:paraId="6FABDC5A">
            <w:pPr>
              <w:spacing w:line="420" w:lineRule="exact"/>
              <w:jc w:val="center"/>
              <w:rPr>
                <w:rFonts w:ascii="宋体" w:hAnsi="宋体"/>
                <w:sz w:val="24"/>
                <w:highlight w:val="yellow"/>
              </w:rPr>
            </w:pPr>
          </w:p>
        </w:tc>
      </w:tr>
      <w:tr w14:paraId="62575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tcBorders>
              <w:top w:val="single" w:color="auto" w:sz="6" w:space="0"/>
              <w:left w:val="single" w:color="auto" w:sz="6" w:space="0"/>
              <w:bottom w:val="single" w:color="auto" w:sz="6" w:space="0"/>
              <w:right w:val="single" w:color="auto" w:sz="6" w:space="0"/>
            </w:tcBorders>
            <w:vAlign w:val="center"/>
          </w:tcPr>
          <w:p w14:paraId="743A5679">
            <w:pPr>
              <w:spacing w:line="420" w:lineRule="exact"/>
              <w:jc w:val="center"/>
              <w:rPr>
                <w:rFonts w:ascii="宋体" w:hAnsi="宋体"/>
                <w:sz w:val="24"/>
                <w:highlight w:val="yellow"/>
              </w:rPr>
            </w:pPr>
          </w:p>
        </w:tc>
        <w:tc>
          <w:tcPr>
            <w:tcW w:w="1620" w:type="dxa"/>
            <w:tcBorders>
              <w:top w:val="single" w:color="auto" w:sz="6" w:space="0"/>
              <w:left w:val="single" w:color="auto" w:sz="6" w:space="0"/>
              <w:bottom w:val="single" w:color="auto" w:sz="6" w:space="0"/>
              <w:right w:val="single" w:color="auto" w:sz="6" w:space="0"/>
            </w:tcBorders>
            <w:vAlign w:val="center"/>
          </w:tcPr>
          <w:p w14:paraId="4D739BBD">
            <w:pPr>
              <w:spacing w:line="420" w:lineRule="exact"/>
              <w:jc w:val="center"/>
              <w:rPr>
                <w:rFonts w:ascii="宋体" w:hAnsi="宋体"/>
                <w:sz w:val="24"/>
                <w:highlight w:val="yellow"/>
              </w:rPr>
            </w:pPr>
          </w:p>
        </w:tc>
        <w:tc>
          <w:tcPr>
            <w:tcW w:w="1980" w:type="dxa"/>
            <w:tcBorders>
              <w:top w:val="single" w:color="auto" w:sz="6" w:space="0"/>
              <w:left w:val="single" w:color="auto" w:sz="6" w:space="0"/>
              <w:bottom w:val="single" w:color="auto" w:sz="6" w:space="0"/>
              <w:right w:val="single" w:color="auto" w:sz="6" w:space="0"/>
            </w:tcBorders>
            <w:vAlign w:val="center"/>
          </w:tcPr>
          <w:p w14:paraId="45F881E9">
            <w:pPr>
              <w:spacing w:line="420" w:lineRule="exact"/>
              <w:jc w:val="center"/>
              <w:rPr>
                <w:rFonts w:ascii="宋体" w:hAnsi="宋体"/>
                <w:sz w:val="24"/>
                <w:highlight w:val="yellow"/>
              </w:rPr>
            </w:pPr>
          </w:p>
        </w:tc>
        <w:tc>
          <w:tcPr>
            <w:tcW w:w="2160" w:type="dxa"/>
            <w:tcBorders>
              <w:top w:val="single" w:color="auto" w:sz="6" w:space="0"/>
              <w:left w:val="single" w:color="auto" w:sz="6" w:space="0"/>
              <w:bottom w:val="single" w:color="auto" w:sz="6" w:space="0"/>
              <w:right w:val="single" w:color="auto" w:sz="4" w:space="0"/>
            </w:tcBorders>
            <w:vAlign w:val="center"/>
          </w:tcPr>
          <w:p w14:paraId="6AF70581">
            <w:pPr>
              <w:spacing w:line="420" w:lineRule="exact"/>
              <w:jc w:val="center"/>
              <w:rPr>
                <w:rFonts w:ascii="宋体" w:hAnsi="宋体"/>
                <w:sz w:val="24"/>
                <w:highlight w:val="yellow"/>
              </w:rPr>
            </w:pPr>
          </w:p>
        </w:tc>
        <w:tc>
          <w:tcPr>
            <w:tcW w:w="1260" w:type="dxa"/>
            <w:tcBorders>
              <w:top w:val="single" w:color="auto" w:sz="6" w:space="0"/>
              <w:left w:val="single" w:color="auto" w:sz="6" w:space="0"/>
              <w:bottom w:val="single" w:color="auto" w:sz="6" w:space="0"/>
              <w:right w:val="single" w:color="auto" w:sz="6" w:space="0"/>
            </w:tcBorders>
          </w:tcPr>
          <w:p w14:paraId="73E9B264">
            <w:pPr>
              <w:spacing w:line="420" w:lineRule="exact"/>
              <w:jc w:val="center"/>
              <w:rPr>
                <w:rFonts w:ascii="宋体" w:hAnsi="宋体"/>
                <w:sz w:val="24"/>
                <w:highlight w:val="yellow"/>
              </w:rPr>
            </w:pPr>
          </w:p>
        </w:tc>
        <w:tc>
          <w:tcPr>
            <w:tcW w:w="1620" w:type="dxa"/>
            <w:tcBorders>
              <w:top w:val="single" w:color="auto" w:sz="6" w:space="0"/>
              <w:left w:val="single" w:color="auto" w:sz="6" w:space="0"/>
              <w:bottom w:val="single" w:color="auto" w:sz="6" w:space="0"/>
              <w:right w:val="single" w:color="auto" w:sz="6" w:space="0"/>
            </w:tcBorders>
            <w:vAlign w:val="center"/>
          </w:tcPr>
          <w:p w14:paraId="199FADAE">
            <w:pPr>
              <w:spacing w:line="420" w:lineRule="exact"/>
              <w:jc w:val="center"/>
              <w:rPr>
                <w:rFonts w:ascii="宋体" w:hAnsi="宋体"/>
                <w:sz w:val="24"/>
                <w:highlight w:val="yellow"/>
              </w:rPr>
            </w:pPr>
          </w:p>
        </w:tc>
      </w:tr>
      <w:tr w14:paraId="1CE67F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0" w:hRule="atLeast"/>
        </w:trPr>
        <w:tc>
          <w:tcPr>
            <w:tcW w:w="748" w:type="dxa"/>
            <w:tcBorders>
              <w:top w:val="single" w:color="auto" w:sz="6" w:space="0"/>
              <w:left w:val="single" w:color="auto" w:sz="6" w:space="0"/>
              <w:bottom w:val="single" w:color="auto" w:sz="6" w:space="0"/>
              <w:right w:val="single" w:color="auto" w:sz="6" w:space="0"/>
            </w:tcBorders>
            <w:vAlign w:val="center"/>
          </w:tcPr>
          <w:p w14:paraId="787F408E">
            <w:pPr>
              <w:spacing w:line="420" w:lineRule="exact"/>
              <w:jc w:val="center"/>
              <w:rPr>
                <w:rFonts w:ascii="宋体" w:hAnsi="宋体"/>
                <w:sz w:val="24"/>
                <w:highlight w:val="yellow"/>
              </w:rPr>
            </w:pPr>
          </w:p>
        </w:tc>
        <w:tc>
          <w:tcPr>
            <w:tcW w:w="1620" w:type="dxa"/>
            <w:tcBorders>
              <w:top w:val="single" w:color="auto" w:sz="6" w:space="0"/>
              <w:left w:val="single" w:color="auto" w:sz="6" w:space="0"/>
              <w:bottom w:val="single" w:color="auto" w:sz="6" w:space="0"/>
              <w:right w:val="single" w:color="auto" w:sz="6" w:space="0"/>
            </w:tcBorders>
            <w:vAlign w:val="center"/>
          </w:tcPr>
          <w:p w14:paraId="020ED295">
            <w:pPr>
              <w:spacing w:line="420" w:lineRule="exact"/>
              <w:jc w:val="center"/>
              <w:rPr>
                <w:rFonts w:ascii="宋体" w:hAnsi="宋体"/>
                <w:sz w:val="24"/>
                <w:highlight w:val="yellow"/>
              </w:rPr>
            </w:pPr>
          </w:p>
        </w:tc>
        <w:tc>
          <w:tcPr>
            <w:tcW w:w="1980" w:type="dxa"/>
            <w:tcBorders>
              <w:top w:val="single" w:color="auto" w:sz="6" w:space="0"/>
              <w:left w:val="single" w:color="auto" w:sz="6" w:space="0"/>
              <w:bottom w:val="single" w:color="auto" w:sz="6" w:space="0"/>
              <w:right w:val="single" w:color="auto" w:sz="6" w:space="0"/>
            </w:tcBorders>
            <w:vAlign w:val="center"/>
          </w:tcPr>
          <w:p w14:paraId="753AC860">
            <w:pPr>
              <w:spacing w:line="420" w:lineRule="exact"/>
              <w:jc w:val="center"/>
              <w:rPr>
                <w:rFonts w:ascii="宋体" w:hAnsi="宋体"/>
                <w:sz w:val="24"/>
                <w:highlight w:val="yellow"/>
              </w:rPr>
            </w:pPr>
          </w:p>
        </w:tc>
        <w:tc>
          <w:tcPr>
            <w:tcW w:w="2160" w:type="dxa"/>
            <w:tcBorders>
              <w:top w:val="single" w:color="auto" w:sz="6" w:space="0"/>
              <w:left w:val="single" w:color="auto" w:sz="6" w:space="0"/>
              <w:bottom w:val="single" w:color="auto" w:sz="6" w:space="0"/>
              <w:right w:val="single" w:color="auto" w:sz="4" w:space="0"/>
            </w:tcBorders>
            <w:vAlign w:val="center"/>
          </w:tcPr>
          <w:p w14:paraId="1C8AE07C">
            <w:pPr>
              <w:spacing w:line="420" w:lineRule="exact"/>
              <w:jc w:val="center"/>
              <w:rPr>
                <w:rFonts w:ascii="宋体" w:hAnsi="宋体"/>
                <w:sz w:val="24"/>
                <w:highlight w:val="yellow"/>
              </w:rPr>
            </w:pPr>
          </w:p>
        </w:tc>
        <w:tc>
          <w:tcPr>
            <w:tcW w:w="1260" w:type="dxa"/>
            <w:tcBorders>
              <w:top w:val="single" w:color="auto" w:sz="6" w:space="0"/>
              <w:left w:val="single" w:color="auto" w:sz="6" w:space="0"/>
              <w:bottom w:val="single" w:color="auto" w:sz="6" w:space="0"/>
              <w:right w:val="single" w:color="auto" w:sz="6" w:space="0"/>
            </w:tcBorders>
          </w:tcPr>
          <w:p w14:paraId="18BA0C08">
            <w:pPr>
              <w:spacing w:line="420" w:lineRule="exact"/>
              <w:jc w:val="center"/>
              <w:rPr>
                <w:rFonts w:ascii="宋体" w:hAnsi="宋体"/>
                <w:sz w:val="24"/>
                <w:highlight w:val="yellow"/>
              </w:rPr>
            </w:pPr>
          </w:p>
        </w:tc>
        <w:tc>
          <w:tcPr>
            <w:tcW w:w="1620" w:type="dxa"/>
            <w:tcBorders>
              <w:top w:val="single" w:color="auto" w:sz="6" w:space="0"/>
              <w:left w:val="single" w:color="auto" w:sz="6" w:space="0"/>
              <w:bottom w:val="single" w:color="auto" w:sz="6" w:space="0"/>
              <w:right w:val="single" w:color="auto" w:sz="6" w:space="0"/>
            </w:tcBorders>
            <w:vAlign w:val="center"/>
          </w:tcPr>
          <w:p w14:paraId="6722AAB8">
            <w:pPr>
              <w:spacing w:line="420" w:lineRule="exact"/>
              <w:jc w:val="center"/>
              <w:rPr>
                <w:rFonts w:ascii="宋体" w:hAnsi="宋体"/>
                <w:sz w:val="24"/>
                <w:highlight w:val="yellow"/>
              </w:rPr>
            </w:pPr>
          </w:p>
        </w:tc>
      </w:tr>
    </w:tbl>
    <w:p w14:paraId="3E9A3DD1">
      <w:pPr>
        <w:autoSpaceDE w:val="0"/>
        <w:autoSpaceDN w:val="0"/>
        <w:spacing w:line="560" w:lineRule="exact"/>
        <w:ind w:firstLine="4095" w:firstLineChars="1950"/>
        <w:rPr>
          <w:rFonts w:hAnsi="宋体"/>
          <w:bCs/>
          <w:szCs w:val="28"/>
        </w:rPr>
      </w:pPr>
      <w:r>
        <w:rPr>
          <w:rFonts w:hint="eastAsia" w:hAnsi="宋体"/>
          <w:bCs/>
          <w:szCs w:val="28"/>
        </w:rPr>
        <w:t>投标人</w:t>
      </w:r>
      <w:r>
        <w:rPr>
          <w:rFonts w:hint="eastAsia" w:ascii="宋体" w:hAnsi="宋体"/>
          <w:color w:val="000000"/>
          <w:sz w:val="24"/>
        </w:rPr>
        <w:t>（加盖CA电子签章）</w:t>
      </w:r>
      <w:r>
        <w:rPr>
          <w:rFonts w:hint="eastAsia" w:hAnsi="宋体"/>
          <w:bCs/>
          <w:szCs w:val="28"/>
        </w:rPr>
        <w:t>：</w:t>
      </w:r>
    </w:p>
    <w:p w14:paraId="0F423E14">
      <w:pPr>
        <w:pStyle w:val="7"/>
        <w:spacing w:line="560" w:lineRule="exact"/>
        <w:ind w:left="0" w:right="0" w:firstLine="4340" w:firstLineChars="1550"/>
        <w:rPr>
          <w:rFonts w:hAnsi="宋体"/>
          <w:bCs/>
          <w:sz w:val="28"/>
        </w:rPr>
      </w:pPr>
      <w:r>
        <w:rPr>
          <w:rFonts w:hint="eastAsia" w:hAnsi="宋体"/>
          <w:bCs/>
          <w:sz w:val="28"/>
        </w:rPr>
        <w:t>日期：</w:t>
      </w:r>
      <w:r>
        <w:rPr>
          <w:rFonts w:hAnsi="宋体"/>
          <w:bCs/>
          <w:sz w:val="28"/>
          <w:u w:val="single"/>
        </w:rPr>
        <w:t xml:space="preserve">      </w:t>
      </w:r>
      <w:r>
        <w:rPr>
          <w:rFonts w:hint="eastAsia" w:hAnsi="宋体"/>
          <w:bCs/>
          <w:sz w:val="28"/>
        </w:rPr>
        <w:t>年</w:t>
      </w:r>
      <w:r>
        <w:rPr>
          <w:rFonts w:hAnsi="宋体"/>
          <w:bCs/>
          <w:sz w:val="28"/>
        </w:rPr>
        <w:t xml:space="preserve"> </w:t>
      </w:r>
      <w:r>
        <w:rPr>
          <w:rFonts w:hAnsi="宋体"/>
          <w:bCs/>
          <w:sz w:val="28"/>
          <w:u w:val="single"/>
        </w:rPr>
        <w:t xml:space="preserve">    </w:t>
      </w:r>
      <w:r>
        <w:rPr>
          <w:rFonts w:hint="eastAsia" w:hAnsi="宋体"/>
          <w:bCs/>
          <w:sz w:val="28"/>
        </w:rPr>
        <w:t>月</w:t>
      </w:r>
      <w:r>
        <w:rPr>
          <w:rFonts w:hAnsi="宋体"/>
          <w:bCs/>
          <w:sz w:val="28"/>
        </w:rPr>
        <w:t xml:space="preserve"> </w:t>
      </w:r>
      <w:r>
        <w:rPr>
          <w:rFonts w:hAnsi="宋体"/>
          <w:bCs/>
          <w:sz w:val="28"/>
          <w:u w:val="single"/>
        </w:rPr>
        <w:t xml:space="preserve">    </w:t>
      </w:r>
      <w:r>
        <w:rPr>
          <w:rFonts w:hint="eastAsia" w:hAnsi="宋体"/>
          <w:bCs/>
          <w:sz w:val="28"/>
        </w:rPr>
        <w:t>日</w:t>
      </w:r>
    </w:p>
    <w:p w14:paraId="6EF72BD7">
      <w:pPr>
        <w:autoSpaceDE w:val="0"/>
        <w:autoSpaceDN w:val="0"/>
        <w:adjustRightInd w:val="0"/>
        <w:spacing w:line="420" w:lineRule="auto"/>
        <w:rPr>
          <w:rFonts w:ascii="宋体" w:hAnsi="宋体"/>
          <w:szCs w:val="28"/>
        </w:rPr>
      </w:pPr>
    </w:p>
    <w:p w14:paraId="451A0072">
      <w:pPr>
        <w:jc w:val="center"/>
        <w:outlineLvl w:val="1"/>
        <w:rPr>
          <w:rFonts w:ascii="宋体" w:hAnsi="宋体"/>
          <w:b/>
          <w:sz w:val="32"/>
          <w:szCs w:val="32"/>
        </w:rPr>
      </w:pPr>
      <w:r>
        <w:rPr>
          <w:rFonts w:hint="eastAsia" w:ascii="宋体" w:hAnsi="宋体" w:cs="宋体"/>
          <w:b/>
          <w:bCs/>
          <w:szCs w:val="28"/>
          <w:lang w:val="zh-CN"/>
        </w:rPr>
        <w:t>注：各投标人按照招标文件技术要求逐条列出，并作出详细对比说明；如不全或表述不清，有可能导致后果，则责任自负。</w:t>
      </w:r>
    </w:p>
    <w:p w14:paraId="5D79BDCB">
      <w:pPr>
        <w:rPr>
          <w:rFonts w:ascii="黑体" w:hAnsi="Arial" w:eastAsia="黑体"/>
          <w:color w:val="000000"/>
          <w:sz w:val="32"/>
          <w:szCs w:val="21"/>
        </w:rPr>
      </w:pPr>
    </w:p>
    <w:p w14:paraId="0C259FED">
      <w:pPr>
        <w:pStyle w:val="11"/>
        <w:spacing w:before="120" w:after="120"/>
      </w:pPr>
    </w:p>
    <w:p w14:paraId="6C38D75E"/>
    <w:p w14:paraId="3223E933">
      <w:pPr>
        <w:pStyle w:val="11"/>
        <w:spacing w:before="120" w:after="120"/>
      </w:pPr>
    </w:p>
    <w:p w14:paraId="53F17DB8"/>
    <w:p w14:paraId="396DB79A"/>
    <w:p w14:paraId="5304C24F">
      <w:pPr>
        <w:jc w:val="center"/>
        <w:rPr>
          <w:rFonts w:ascii="黑体" w:hAnsi="黑体" w:eastAsia="黑体"/>
          <w:b/>
          <w:color w:val="000000"/>
          <w:sz w:val="32"/>
          <w:szCs w:val="32"/>
        </w:rPr>
      </w:pPr>
      <w:bookmarkStart w:id="237" w:name="_Hlt26609389"/>
      <w:bookmarkStart w:id="238" w:name="_Toc462564146"/>
      <w:bookmarkStart w:id="239" w:name="_Hlt26955054"/>
      <w:bookmarkStart w:id="240" w:name="_Hlt26955066"/>
      <w:bookmarkStart w:id="241" w:name="_格式2__法定代表人授权书"/>
      <w:bookmarkStart w:id="242" w:name="_Hlt26671374"/>
      <w:r>
        <w:rPr>
          <w:rFonts w:hint="eastAsia" w:ascii="黑体" w:hAnsi="黑体" w:eastAsia="黑体"/>
          <w:b/>
          <w:color w:val="000000"/>
          <w:sz w:val="32"/>
          <w:szCs w:val="32"/>
        </w:rPr>
        <w:t>十二、资格性审查响应对照表</w:t>
      </w:r>
    </w:p>
    <w:tbl>
      <w:tblPr>
        <w:tblStyle w:val="12"/>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2125A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470C9534">
            <w:pPr>
              <w:snapToGrid w:val="0"/>
              <w:spacing w:line="240" w:lineRule="atLeast"/>
              <w:jc w:val="center"/>
              <w:rPr>
                <w:rFonts w:ascii="幼圆" w:eastAsia="幼圆"/>
                <w:b/>
              </w:rPr>
            </w:pPr>
            <w:r>
              <w:rPr>
                <w:rFonts w:hint="eastAsia" w:ascii="幼圆" w:eastAsia="幼圆"/>
                <w:b/>
              </w:rPr>
              <w:t>序号</w:t>
            </w:r>
          </w:p>
        </w:tc>
        <w:tc>
          <w:tcPr>
            <w:tcW w:w="5447" w:type="dxa"/>
            <w:vAlign w:val="center"/>
          </w:tcPr>
          <w:p w14:paraId="3B5F3637">
            <w:pPr>
              <w:snapToGrid w:val="0"/>
              <w:spacing w:line="240" w:lineRule="atLeast"/>
              <w:jc w:val="center"/>
              <w:rPr>
                <w:rFonts w:ascii="幼圆" w:eastAsia="幼圆"/>
                <w:b/>
              </w:rPr>
            </w:pPr>
            <w:r>
              <w:rPr>
                <w:rFonts w:hint="eastAsia" w:ascii="幼圆" w:eastAsia="幼圆"/>
                <w:b/>
              </w:rPr>
              <w:t>资格性审查响应内容</w:t>
            </w:r>
          </w:p>
        </w:tc>
        <w:tc>
          <w:tcPr>
            <w:tcW w:w="1680" w:type="dxa"/>
            <w:vAlign w:val="center"/>
          </w:tcPr>
          <w:p w14:paraId="4A2041F3">
            <w:pPr>
              <w:snapToGrid w:val="0"/>
              <w:spacing w:line="240" w:lineRule="atLeast"/>
              <w:jc w:val="center"/>
              <w:rPr>
                <w:rFonts w:ascii="幼圆" w:eastAsia="幼圆"/>
                <w:b/>
              </w:rPr>
            </w:pPr>
            <w:r>
              <w:rPr>
                <w:rFonts w:hint="eastAsia" w:ascii="幼圆" w:eastAsia="幼圆"/>
                <w:b/>
              </w:rPr>
              <w:t>是否响应</w:t>
            </w:r>
          </w:p>
          <w:p w14:paraId="5587B599">
            <w:pPr>
              <w:snapToGrid w:val="0"/>
              <w:spacing w:line="240" w:lineRule="atLeast"/>
              <w:jc w:val="center"/>
              <w:rPr>
                <w:rFonts w:ascii="幼圆" w:eastAsia="幼圆"/>
                <w:b/>
              </w:rPr>
            </w:pPr>
            <w:r>
              <w:rPr>
                <w:rFonts w:hint="eastAsia" w:ascii="幼圆" w:eastAsia="幼圆"/>
                <w:b/>
              </w:rPr>
              <w:t>（填是或者否）</w:t>
            </w:r>
          </w:p>
        </w:tc>
        <w:tc>
          <w:tcPr>
            <w:tcW w:w="1785" w:type="dxa"/>
            <w:vAlign w:val="center"/>
          </w:tcPr>
          <w:p w14:paraId="412A1B78">
            <w:pPr>
              <w:snapToGrid w:val="0"/>
              <w:spacing w:line="240" w:lineRule="atLeast"/>
              <w:jc w:val="center"/>
              <w:rPr>
                <w:rFonts w:ascii="幼圆" w:eastAsia="幼圆"/>
                <w:b/>
              </w:rPr>
            </w:pPr>
            <w:r>
              <w:rPr>
                <w:rFonts w:hint="eastAsia" w:ascii="幼圆" w:eastAsia="幼圆"/>
                <w:b/>
              </w:rPr>
              <w:t>投标文件中的</w:t>
            </w:r>
          </w:p>
          <w:p w14:paraId="2DD2B2EB">
            <w:pPr>
              <w:snapToGrid w:val="0"/>
              <w:spacing w:line="240" w:lineRule="atLeast"/>
              <w:jc w:val="center"/>
              <w:rPr>
                <w:rFonts w:ascii="幼圆" w:eastAsia="幼圆"/>
                <w:b/>
              </w:rPr>
            </w:pPr>
            <w:r>
              <w:rPr>
                <w:rFonts w:hint="eastAsia" w:ascii="幼圆" w:eastAsia="幼圆"/>
                <w:b/>
              </w:rPr>
              <w:t>页码位置</w:t>
            </w:r>
          </w:p>
        </w:tc>
      </w:tr>
      <w:tr w14:paraId="61A88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B1B856F">
            <w:pPr>
              <w:rPr>
                <w:rFonts w:hAnsi="宋体"/>
                <w:b/>
              </w:rPr>
            </w:pPr>
            <w:r>
              <w:rPr>
                <w:rFonts w:hint="eastAsia" w:hAnsi="宋体"/>
                <w:b/>
              </w:rPr>
              <w:t>1</w:t>
            </w:r>
          </w:p>
        </w:tc>
        <w:tc>
          <w:tcPr>
            <w:tcW w:w="5447" w:type="dxa"/>
          </w:tcPr>
          <w:p w14:paraId="27885C66">
            <w:pPr>
              <w:spacing w:line="340" w:lineRule="exact"/>
              <w:rPr>
                <w:rFonts w:hAnsi="宋体"/>
                <w:iCs/>
                <w:sz w:val="24"/>
              </w:rPr>
            </w:pPr>
            <w:r>
              <w:rPr>
                <w:rFonts w:hint="eastAsia" w:ascii="宋体" w:hAnsi="宋体"/>
                <w:szCs w:val="21"/>
              </w:rPr>
              <w:t>法人或者其他组织的营业执照等证明文件</w:t>
            </w:r>
          </w:p>
        </w:tc>
        <w:tc>
          <w:tcPr>
            <w:tcW w:w="1680" w:type="dxa"/>
            <w:vAlign w:val="center"/>
          </w:tcPr>
          <w:p w14:paraId="2063DBA9">
            <w:pPr>
              <w:rPr>
                <w:rFonts w:hAnsi="宋体"/>
                <w:b/>
              </w:rPr>
            </w:pPr>
          </w:p>
        </w:tc>
        <w:tc>
          <w:tcPr>
            <w:tcW w:w="1785" w:type="dxa"/>
            <w:vAlign w:val="center"/>
          </w:tcPr>
          <w:p w14:paraId="06B1180B">
            <w:pPr>
              <w:rPr>
                <w:rFonts w:hAnsi="宋体"/>
                <w:b/>
              </w:rPr>
            </w:pPr>
          </w:p>
        </w:tc>
      </w:tr>
      <w:tr w14:paraId="55838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7D1CFFDC">
            <w:pPr>
              <w:rPr>
                <w:rFonts w:hAnsi="宋体"/>
              </w:rPr>
            </w:pPr>
            <w:r>
              <w:rPr>
                <w:rFonts w:hint="eastAsia" w:hAnsi="宋体"/>
              </w:rPr>
              <w:t>2</w:t>
            </w:r>
          </w:p>
        </w:tc>
        <w:tc>
          <w:tcPr>
            <w:tcW w:w="5447" w:type="dxa"/>
            <w:vAlign w:val="center"/>
          </w:tcPr>
          <w:p w14:paraId="5EB846A1">
            <w:pPr>
              <w:spacing w:line="340" w:lineRule="exact"/>
              <w:ind w:right="168" w:rightChars="80"/>
              <w:rPr>
                <w:rFonts w:ascii="宋体" w:hAnsi="宋体"/>
                <w:szCs w:val="21"/>
              </w:rPr>
            </w:pPr>
            <w:r>
              <w:rPr>
                <w:rFonts w:hint="eastAsia" w:ascii="宋体" w:hAnsi="宋体"/>
                <w:szCs w:val="21"/>
              </w:rPr>
              <w:t>财务状况报告（表）</w:t>
            </w:r>
          </w:p>
        </w:tc>
        <w:tc>
          <w:tcPr>
            <w:tcW w:w="1680" w:type="dxa"/>
            <w:vAlign w:val="center"/>
          </w:tcPr>
          <w:p w14:paraId="50F00256">
            <w:pPr>
              <w:rPr>
                <w:rFonts w:hAnsi="宋体"/>
              </w:rPr>
            </w:pPr>
          </w:p>
        </w:tc>
        <w:tc>
          <w:tcPr>
            <w:tcW w:w="1785" w:type="dxa"/>
            <w:vAlign w:val="center"/>
          </w:tcPr>
          <w:p w14:paraId="0727AE2C">
            <w:pPr>
              <w:rPr>
                <w:rFonts w:hAnsi="宋体"/>
              </w:rPr>
            </w:pPr>
          </w:p>
        </w:tc>
      </w:tr>
      <w:tr w14:paraId="04076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18F399DC">
            <w:pPr>
              <w:rPr>
                <w:rFonts w:hAnsi="宋体"/>
              </w:rPr>
            </w:pPr>
            <w:r>
              <w:rPr>
                <w:rFonts w:hint="eastAsia" w:hAnsi="宋体"/>
              </w:rPr>
              <w:t>3</w:t>
            </w:r>
          </w:p>
        </w:tc>
        <w:tc>
          <w:tcPr>
            <w:tcW w:w="5447" w:type="dxa"/>
            <w:vAlign w:val="center"/>
          </w:tcPr>
          <w:p w14:paraId="5212767F">
            <w:pPr>
              <w:spacing w:line="340" w:lineRule="exact"/>
              <w:ind w:right="168" w:rightChars="80"/>
              <w:rPr>
                <w:rFonts w:ascii="宋体" w:hAnsi="宋体"/>
                <w:szCs w:val="21"/>
              </w:rPr>
            </w:pPr>
            <w:r>
              <w:rPr>
                <w:rFonts w:hint="eastAsia" w:ascii="宋体" w:hAnsi="宋体"/>
                <w:szCs w:val="21"/>
              </w:rPr>
              <w:t>依法缴纳税收的相关材料</w:t>
            </w:r>
          </w:p>
        </w:tc>
        <w:tc>
          <w:tcPr>
            <w:tcW w:w="1680" w:type="dxa"/>
            <w:vAlign w:val="center"/>
          </w:tcPr>
          <w:p w14:paraId="143AC8F4">
            <w:pPr>
              <w:rPr>
                <w:rFonts w:hAnsi="宋体"/>
              </w:rPr>
            </w:pPr>
          </w:p>
        </w:tc>
        <w:tc>
          <w:tcPr>
            <w:tcW w:w="1785" w:type="dxa"/>
            <w:vAlign w:val="center"/>
          </w:tcPr>
          <w:p w14:paraId="0295CFFF">
            <w:pPr>
              <w:rPr>
                <w:rFonts w:hAnsi="宋体"/>
              </w:rPr>
            </w:pPr>
          </w:p>
        </w:tc>
      </w:tr>
      <w:tr w14:paraId="7CFD0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646" w:type="dxa"/>
            <w:vAlign w:val="center"/>
          </w:tcPr>
          <w:p w14:paraId="6C7752CF">
            <w:pPr>
              <w:rPr>
                <w:rFonts w:hAnsi="宋体"/>
              </w:rPr>
            </w:pPr>
            <w:r>
              <w:rPr>
                <w:rFonts w:hint="eastAsia" w:hAnsi="宋体"/>
              </w:rPr>
              <w:t>4</w:t>
            </w:r>
          </w:p>
        </w:tc>
        <w:tc>
          <w:tcPr>
            <w:tcW w:w="5447" w:type="dxa"/>
            <w:vAlign w:val="center"/>
          </w:tcPr>
          <w:p w14:paraId="0127A215">
            <w:pPr>
              <w:spacing w:line="340" w:lineRule="exact"/>
              <w:ind w:right="168" w:rightChars="80"/>
              <w:rPr>
                <w:rFonts w:ascii="宋体" w:hAnsi="宋体"/>
                <w:szCs w:val="21"/>
              </w:rPr>
            </w:pPr>
            <w:r>
              <w:rPr>
                <w:rFonts w:hint="eastAsia" w:ascii="宋体" w:hAnsi="宋体"/>
                <w:szCs w:val="21"/>
              </w:rPr>
              <w:t>社会保障资金的相关材料</w:t>
            </w:r>
          </w:p>
        </w:tc>
        <w:tc>
          <w:tcPr>
            <w:tcW w:w="1680" w:type="dxa"/>
            <w:vAlign w:val="center"/>
          </w:tcPr>
          <w:p w14:paraId="61FD7E7D">
            <w:pPr>
              <w:rPr>
                <w:rFonts w:hAnsi="宋体"/>
              </w:rPr>
            </w:pPr>
          </w:p>
        </w:tc>
        <w:tc>
          <w:tcPr>
            <w:tcW w:w="1785" w:type="dxa"/>
            <w:vAlign w:val="center"/>
          </w:tcPr>
          <w:p w14:paraId="55221DB4">
            <w:pPr>
              <w:rPr>
                <w:rFonts w:hAnsi="宋体"/>
              </w:rPr>
            </w:pPr>
          </w:p>
        </w:tc>
      </w:tr>
      <w:tr w14:paraId="04FFE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7F447AC2">
            <w:pPr>
              <w:rPr>
                <w:rFonts w:hAnsi="宋体"/>
              </w:rPr>
            </w:pPr>
            <w:r>
              <w:rPr>
                <w:rFonts w:hint="eastAsia" w:hAnsi="宋体"/>
              </w:rPr>
              <w:t>5</w:t>
            </w:r>
          </w:p>
        </w:tc>
        <w:tc>
          <w:tcPr>
            <w:tcW w:w="5447" w:type="dxa"/>
            <w:vAlign w:val="center"/>
          </w:tcPr>
          <w:p w14:paraId="2D450137">
            <w:pPr>
              <w:spacing w:line="340" w:lineRule="exact"/>
              <w:ind w:right="168" w:rightChars="80"/>
              <w:rPr>
                <w:rFonts w:ascii="宋体" w:hAnsi="宋体"/>
                <w:szCs w:val="21"/>
              </w:rPr>
            </w:pPr>
            <w:r>
              <w:rPr>
                <w:rFonts w:hint="eastAsia" w:ascii="宋体" w:hAnsi="宋体"/>
                <w:szCs w:val="21"/>
              </w:rPr>
              <w:t>具备履行合同所必需的设备和专业技术能力的书面声明</w:t>
            </w:r>
          </w:p>
        </w:tc>
        <w:tc>
          <w:tcPr>
            <w:tcW w:w="1680" w:type="dxa"/>
            <w:vAlign w:val="center"/>
          </w:tcPr>
          <w:p w14:paraId="24E93132">
            <w:pPr>
              <w:rPr>
                <w:rFonts w:hAnsi="宋体"/>
              </w:rPr>
            </w:pPr>
          </w:p>
        </w:tc>
        <w:tc>
          <w:tcPr>
            <w:tcW w:w="1785" w:type="dxa"/>
            <w:vAlign w:val="center"/>
          </w:tcPr>
          <w:p w14:paraId="72AF208D">
            <w:pPr>
              <w:rPr>
                <w:rFonts w:hAnsi="宋体"/>
              </w:rPr>
            </w:pPr>
          </w:p>
        </w:tc>
      </w:tr>
      <w:tr w14:paraId="678A6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648B9D20">
            <w:pPr>
              <w:rPr>
                <w:rFonts w:hAnsi="宋体"/>
              </w:rPr>
            </w:pPr>
            <w:r>
              <w:rPr>
                <w:rFonts w:hint="eastAsia" w:hAnsi="宋体"/>
              </w:rPr>
              <w:t>6</w:t>
            </w:r>
          </w:p>
        </w:tc>
        <w:tc>
          <w:tcPr>
            <w:tcW w:w="5447" w:type="dxa"/>
            <w:vAlign w:val="center"/>
          </w:tcPr>
          <w:p w14:paraId="257610B0">
            <w:pPr>
              <w:spacing w:line="340" w:lineRule="exact"/>
              <w:ind w:right="168" w:rightChars="80"/>
              <w:rPr>
                <w:rFonts w:ascii="宋体" w:hAnsi="宋体"/>
                <w:szCs w:val="21"/>
              </w:rPr>
            </w:pPr>
            <w:r>
              <w:rPr>
                <w:rFonts w:hint="eastAsia" w:ascii="宋体" w:hAnsi="宋体"/>
                <w:szCs w:val="21"/>
              </w:rPr>
              <w:t>参加政府采购活动前3年内在经营活动中没有重大违法记录的书面声明</w:t>
            </w:r>
          </w:p>
        </w:tc>
        <w:tc>
          <w:tcPr>
            <w:tcW w:w="1680" w:type="dxa"/>
            <w:vAlign w:val="center"/>
          </w:tcPr>
          <w:p w14:paraId="6B1AE126">
            <w:pPr>
              <w:rPr>
                <w:rFonts w:hAnsi="宋体"/>
              </w:rPr>
            </w:pPr>
          </w:p>
        </w:tc>
        <w:tc>
          <w:tcPr>
            <w:tcW w:w="1785" w:type="dxa"/>
            <w:vAlign w:val="center"/>
          </w:tcPr>
          <w:p w14:paraId="217D133C">
            <w:pPr>
              <w:rPr>
                <w:rFonts w:hAnsi="宋体"/>
              </w:rPr>
            </w:pPr>
          </w:p>
        </w:tc>
      </w:tr>
      <w:tr w14:paraId="1E7B8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222DDF60">
            <w:pPr>
              <w:rPr>
                <w:rFonts w:hAnsi="宋体"/>
              </w:rPr>
            </w:pPr>
            <w:r>
              <w:rPr>
                <w:rFonts w:hint="eastAsia" w:hAnsi="宋体"/>
              </w:rPr>
              <w:t>7</w:t>
            </w:r>
          </w:p>
        </w:tc>
        <w:tc>
          <w:tcPr>
            <w:tcW w:w="5447" w:type="dxa"/>
            <w:vAlign w:val="center"/>
          </w:tcPr>
          <w:p w14:paraId="3BC8AD06">
            <w:pPr>
              <w:spacing w:line="340" w:lineRule="exact"/>
              <w:ind w:right="168" w:rightChars="80"/>
              <w:rPr>
                <w:rFonts w:ascii="宋体" w:hAnsi="宋体"/>
                <w:szCs w:val="21"/>
              </w:rPr>
            </w:pPr>
            <w:r>
              <w:rPr>
                <w:rFonts w:hint="eastAsia" w:ascii="宋体" w:hAnsi="宋体"/>
                <w:szCs w:val="21"/>
              </w:rPr>
              <w:t>单位负责人为同一人或存在控股、管理关系的不同单位，不得同时参加本项目投标，否则相关投标均无效。</w:t>
            </w:r>
          </w:p>
        </w:tc>
        <w:tc>
          <w:tcPr>
            <w:tcW w:w="1680" w:type="dxa"/>
            <w:vAlign w:val="center"/>
          </w:tcPr>
          <w:p w14:paraId="447AA4A6">
            <w:pPr>
              <w:rPr>
                <w:rFonts w:hAnsi="宋体"/>
              </w:rPr>
            </w:pPr>
          </w:p>
        </w:tc>
        <w:tc>
          <w:tcPr>
            <w:tcW w:w="1785" w:type="dxa"/>
            <w:vAlign w:val="center"/>
          </w:tcPr>
          <w:p w14:paraId="19E3BDAD">
            <w:pPr>
              <w:rPr>
                <w:rFonts w:hAnsi="宋体"/>
              </w:rPr>
            </w:pPr>
          </w:p>
        </w:tc>
      </w:tr>
      <w:tr w14:paraId="311D1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050632C2">
            <w:pPr>
              <w:rPr>
                <w:rFonts w:hAnsi="宋体"/>
                <w:highlight w:val="yellow"/>
              </w:rPr>
            </w:pPr>
            <w:r>
              <w:rPr>
                <w:rFonts w:hint="eastAsia" w:hAnsi="宋体"/>
              </w:rPr>
              <w:t>8</w:t>
            </w:r>
          </w:p>
        </w:tc>
        <w:tc>
          <w:tcPr>
            <w:tcW w:w="5447" w:type="dxa"/>
            <w:vAlign w:val="center"/>
          </w:tcPr>
          <w:p w14:paraId="3D2FB746">
            <w:pPr>
              <w:spacing w:line="340" w:lineRule="exact"/>
              <w:ind w:right="168" w:rightChars="80"/>
              <w:rPr>
                <w:rFonts w:ascii="宋体" w:hAnsi="宋体"/>
                <w:szCs w:val="21"/>
              </w:rPr>
            </w:pPr>
            <w:r>
              <w:rPr>
                <w:rFonts w:hint="eastAsia" w:ascii="宋体" w:hAnsi="宋体"/>
                <w:szCs w:val="21"/>
              </w:rPr>
              <w:t>参加本次采购活动前3年，投标人必须为未被列入信用中国网站、中国政府采购网渠道信用记录失信被执行人、重大税收违法案件当事人名单、政府采购严重违法失信行为记录名单。</w:t>
            </w:r>
          </w:p>
        </w:tc>
        <w:tc>
          <w:tcPr>
            <w:tcW w:w="1680" w:type="dxa"/>
            <w:vAlign w:val="center"/>
          </w:tcPr>
          <w:p w14:paraId="2E6F5297">
            <w:pPr>
              <w:rPr>
                <w:rFonts w:hAnsi="宋体"/>
              </w:rPr>
            </w:pPr>
          </w:p>
        </w:tc>
        <w:tc>
          <w:tcPr>
            <w:tcW w:w="1785" w:type="dxa"/>
            <w:vAlign w:val="center"/>
          </w:tcPr>
          <w:p w14:paraId="6DA3A831">
            <w:pPr>
              <w:rPr>
                <w:rFonts w:hAnsi="宋体"/>
              </w:rPr>
            </w:pPr>
          </w:p>
        </w:tc>
      </w:tr>
      <w:tr w14:paraId="53FAF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6A1BE518">
            <w:pPr>
              <w:rPr>
                <w:rFonts w:hAnsi="宋体" w:eastAsia="宋体"/>
              </w:rPr>
            </w:pPr>
            <w:r>
              <w:rPr>
                <w:rFonts w:hint="eastAsia" w:hAnsi="宋体"/>
              </w:rPr>
              <w:t>9</w:t>
            </w:r>
          </w:p>
        </w:tc>
        <w:tc>
          <w:tcPr>
            <w:tcW w:w="5447" w:type="dxa"/>
            <w:vAlign w:val="center"/>
          </w:tcPr>
          <w:p w14:paraId="43E1B214">
            <w:pPr>
              <w:spacing w:line="340" w:lineRule="exact"/>
              <w:ind w:right="168" w:rightChars="80"/>
              <w:rPr>
                <w:rFonts w:ascii="宋体" w:hAnsi="宋体"/>
                <w:szCs w:val="21"/>
              </w:rPr>
            </w:pPr>
            <w:r>
              <w:rPr>
                <w:rFonts w:hint="eastAsia" w:ascii="宋体" w:hAnsi="宋体"/>
                <w:szCs w:val="21"/>
              </w:rPr>
              <w:t>中小企业声明函</w:t>
            </w:r>
          </w:p>
        </w:tc>
        <w:tc>
          <w:tcPr>
            <w:tcW w:w="1680" w:type="dxa"/>
            <w:vAlign w:val="center"/>
          </w:tcPr>
          <w:p w14:paraId="3BBBE656">
            <w:pPr>
              <w:rPr>
                <w:rFonts w:hAnsi="宋体"/>
              </w:rPr>
            </w:pPr>
          </w:p>
        </w:tc>
        <w:tc>
          <w:tcPr>
            <w:tcW w:w="1785" w:type="dxa"/>
            <w:vAlign w:val="center"/>
          </w:tcPr>
          <w:p w14:paraId="2671F2D5">
            <w:pPr>
              <w:rPr>
                <w:rFonts w:hAnsi="宋体"/>
              </w:rPr>
            </w:pPr>
          </w:p>
        </w:tc>
      </w:tr>
      <w:tr w14:paraId="2CDAB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646" w:type="dxa"/>
            <w:vAlign w:val="center"/>
          </w:tcPr>
          <w:p w14:paraId="7D71D58B">
            <w:pPr>
              <w:rPr>
                <w:rFonts w:hAnsi="宋体" w:eastAsia="宋体"/>
              </w:rPr>
            </w:pPr>
          </w:p>
        </w:tc>
        <w:tc>
          <w:tcPr>
            <w:tcW w:w="5447" w:type="dxa"/>
            <w:vAlign w:val="center"/>
          </w:tcPr>
          <w:p w14:paraId="54BB7C0A">
            <w:pPr>
              <w:snapToGrid w:val="0"/>
              <w:spacing w:line="590" w:lineRule="atLeast"/>
              <w:rPr>
                <w:rFonts w:hAnsi="宋体" w:eastAsia="宋体"/>
                <w:iCs/>
                <w:sz w:val="24"/>
              </w:rPr>
            </w:pPr>
          </w:p>
        </w:tc>
        <w:tc>
          <w:tcPr>
            <w:tcW w:w="1680" w:type="dxa"/>
            <w:vAlign w:val="center"/>
          </w:tcPr>
          <w:p w14:paraId="664B70C1">
            <w:pPr>
              <w:rPr>
                <w:rFonts w:hAnsi="宋体"/>
              </w:rPr>
            </w:pPr>
          </w:p>
        </w:tc>
        <w:tc>
          <w:tcPr>
            <w:tcW w:w="1785" w:type="dxa"/>
            <w:vAlign w:val="center"/>
          </w:tcPr>
          <w:p w14:paraId="411C8828">
            <w:pPr>
              <w:rPr>
                <w:rFonts w:hAnsi="宋体"/>
              </w:rPr>
            </w:pPr>
          </w:p>
        </w:tc>
      </w:tr>
      <w:tr w14:paraId="3CA40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646" w:type="dxa"/>
            <w:vAlign w:val="center"/>
          </w:tcPr>
          <w:p w14:paraId="5513A969">
            <w:pPr>
              <w:rPr>
                <w:rFonts w:hAnsi="宋体"/>
              </w:rPr>
            </w:pPr>
          </w:p>
        </w:tc>
        <w:tc>
          <w:tcPr>
            <w:tcW w:w="5447" w:type="dxa"/>
            <w:vAlign w:val="center"/>
          </w:tcPr>
          <w:p w14:paraId="267AD7B8">
            <w:pPr>
              <w:snapToGrid w:val="0"/>
              <w:spacing w:line="590" w:lineRule="atLeast"/>
              <w:rPr>
                <w:rFonts w:hAnsi="宋体"/>
                <w:iCs/>
                <w:sz w:val="24"/>
              </w:rPr>
            </w:pPr>
          </w:p>
        </w:tc>
        <w:tc>
          <w:tcPr>
            <w:tcW w:w="1680" w:type="dxa"/>
            <w:vAlign w:val="center"/>
          </w:tcPr>
          <w:p w14:paraId="1E7A36C8">
            <w:pPr>
              <w:rPr>
                <w:rFonts w:hAnsi="宋体"/>
              </w:rPr>
            </w:pPr>
          </w:p>
        </w:tc>
        <w:tc>
          <w:tcPr>
            <w:tcW w:w="1785" w:type="dxa"/>
            <w:vAlign w:val="center"/>
          </w:tcPr>
          <w:p w14:paraId="2CFA8441">
            <w:pPr>
              <w:rPr>
                <w:rFonts w:hAnsi="宋体"/>
              </w:rPr>
            </w:pPr>
          </w:p>
        </w:tc>
      </w:tr>
    </w:tbl>
    <w:p w14:paraId="255FAD56">
      <w:pPr>
        <w:autoSpaceDE w:val="0"/>
        <w:autoSpaceDN w:val="0"/>
        <w:ind w:firstLine="210"/>
        <w:rPr>
          <w:rFonts w:cs="宋体"/>
          <w:szCs w:val="28"/>
          <w:lang w:val="zh-CN"/>
        </w:rPr>
      </w:pPr>
    </w:p>
    <w:p w14:paraId="06A7F695">
      <w:pPr>
        <w:autoSpaceDE w:val="0"/>
        <w:autoSpaceDN w:val="0"/>
        <w:ind w:firstLine="210"/>
        <w:rPr>
          <w:rFonts w:cs="宋体"/>
          <w:szCs w:val="28"/>
          <w:lang w:val="zh-CN"/>
        </w:rPr>
      </w:pPr>
      <w:r>
        <w:rPr>
          <w:rFonts w:hint="eastAsia" w:cs="宋体"/>
          <w:color w:val="FF0000"/>
          <w:szCs w:val="28"/>
          <w:lang w:val="zh-CN"/>
        </w:rPr>
        <w:t>注：本表须明确填写并按招标文件要求提供材料，否则资格性检查无法通过。</w:t>
      </w:r>
    </w:p>
    <w:p w14:paraId="1F020CCB">
      <w:pPr>
        <w:autoSpaceDE w:val="0"/>
        <w:autoSpaceDN w:val="0"/>
        <w:spacing w:line="360" w:lineRule="auto"/>
        <w:ind w:firstLine="3045" w:firstLineChars="1450"/>
        <w:rPr>
          <w:rFonts w:hAnsi="宋体"/>
          <w:bCs/>
          <w:szCs w:val="28"/>
        </w:rPr>
      </w:pPr>
    </w:p>
    <w:p w14:paraId="314B1E51">
      <w:pPr>
        <w:autoSpaceDE w:val="0"/>
        <w:autoSpaceDN w:val="0"/>
        <w:spacing w:line="360" w:lineRule="auto"/>
        <w:ind w:firstLine="3045" w:firstLineChars="1450"/>
        <w:rPr>
          <w:rFonts w:hAnsi="宋体"/>
          <w:bCs/>
          <w:szCs w:val="28"/>
        </w:rPr>
      </w:pPr>
      <w:r>
        <w:rPr>
          <w:rFonts w:hint="eastAsia" w:hAnsi="宋体"/>
          <w:bCs/>
          <w:szCs w:val="28"/>
        </w:rPr>
        <w:t>投标人</w:t>
      </w:r>
      <w:r>
        <w:rPr>
          <w:rFonts w:hint="eastAsia" w:ascii="宋体" w:hAnsi="宋体"/>
          <w:color w:val="000000"/>
          <w:sz w:val="24"/>
        </w:rPr>
        <w:t>（加盖CA电子签章）</w:t>
      </w:r>
      <w:r>
        <w:rPr>
          <w:rFonts w:hint="eastAsia" w:hAnsi="宋体"/>
          <w:bCs/>
          <w:szCs w:val="28"/>
        </w:rPr>
        <w:t>：</w:t>
      </w:r>
    </w:p>
    <w:p w14:paraId="7BFB1099">
      <w:pPr>
        <w:autoSpaceDE w:val="0"/>
        <w:autoSpaceDN w:val="0"/>
        <w:spacing w:line="360" w:lineRule="auto"/>
        <w:ind w:firstLine="3045" w:firstLineChars="1450"/>
        <w:rPr>
          <w:rFonts w:hAnsi="宋体"/>
          <w:bCs/>
          <w:szCs w:val="28"/>
        </w:rPr>
      </w:pPr>
      <w:r>
        <w:rPr>
          <w:rFonts w:hint="eastAsia" w:hAnsi="宋体"/>
          <w:bCs/>
          <w:szCs w:val="28"/>
        </w:rPr>
        <w:t>日期：   年  月   日</w:t>
      </w:r>
    </w:p>
    <w:p w14:paraId="6602C2ED">
      <w:pPr>
        <w:snapToGrid w:val="0"/>
        <w:spacing w:before="50" w:after="50"/>
        <w:rPr>
          <w:rFonts w:hAnsi="宋体"/>
          <w:b/>
          <w:bCs/>
          <w:sz w:val="32"/>
          <w:szCs w:val="32"/>
        </w:rPr>
      </w:pPr>
    </w:p>
    <w:p w14:paraId="40B76DA1">
      <w:pPr>
        <w:snapToGrid w:val="0"/>
        <w:spacing w:before="50" w:after="50"/>
        <w:rPr>
          <w:rFonts w:hAnsi="宋体"/>
          <w:b/>
          <w:bCs/>
          <w:sz w:val="32"/>
          <w:szCs w:val="32"/>
        </w:rPr>
      </w:pPr>
    </w:p>
    <w:p w14:paraId="18CC03F5">
      <w:pPr>
        <w:snapToGrid w:val="0"/>
        <w:spacing w:before="50" w:after="50"/>
        <w:jc w:val="center"/>
        <w:rPr>
          <w:rFonts w:hAnsi="宋体"/>
          <w:b/>
          <w:bCs/>
          <w:sz w:val="32"/>
          <w:szCs w:val="32"/>
        </w:rPr>
      </w:pPr>
    </w:p>
    <w:p w14:paraId="0F44D226">
      <w:pPr>
        <w:pStyle w:val="4"/>
        <w:rPr>
          <w:rFonts w:hAnsi="宋体"/>
          <w:b/>
          <w:bCs/>
          <w:sz w:val="32"/>
          <w:szCs w:val="32"/>
        </w:rPr>
      </w:pPr>
    </w:p>
    <w:p w14:paraId="1BCA6D8D"/>
    <w:p w14:paraId="1AEC2371">
      <w:pPr>
        <w:snapToGrid w:val="0"/>
        <w:spacing w:before="50" w:after="50"/>
        <w:rPr>
          <w:rFonts w:hAnsi="宋体"/>
          <w:b/>
          <w:bCs/>
          <w:sz w:val="32"/>
          <w:szCs w:val="32"/>
        </w:rPr>
      </w:pPr>
    </w:p>
    <w:p w14:paraId="73C71E43">
      <w:pPr>
        <w:jc w:val="center"/>
        <w:rPr>
          <w:rFonts w:ascii="黑体" w:hAnsi="黑体" w:eastAsia="黑体"/>
          <w:b/>
          <w:color w:val="000000"/>
          <w:sz w:val="32"/>
          <w:szCs w:val="32"/>
        </w:rPr>
      </w:pPr>
      <w:r>
        <w:rPr>
          <w:rFonts w:hint="eastAsia" w:ascii="黑体" w:hAnsi="黑体" w:eastAsia="黑体"/>
          <w:b/>
          <w:color w:val="000000"/>
          <w:sz w:val="32"/>
          <w:szCs w:val="32"/>
        </w:rPr>
        <w:t>十三、符合性检查响应对照表</w:t>
      </w:r>
    </w:p>
    <w:tbl>
      <w:tblPr>
        <w:tblStyle w:val="12"/>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5447"/>
        <w:gridCol w:w="1680"/>
        <w:gridCol w:w="1785"/>
      </w:tblGrid>
      <w:tr w14:paraId="5C2D6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15576369">
            <w:pPr>
              <w:snapToGrid w:val="0"/>
              <w:spacing w:line="240" w:lineRule="atLeast"/>
              <w:jc w:val="center"/>
              <w:rPr>
                <w:rFonts w:ascii="幼圆" w:eastAsia="幼圆"/>
                <w:b/>
              </w:rPr>
            </w:pPr>
            <w:r>
              <w:rPr>
                <w:rFonts w:hint="eastAsia" w:ascii="幼圆" w:eastAsia="幼圆"/>
                <w:b/>
              </w:rPr>
              <w:t>序号</w:t>
            </w:r>
          </w:p>
        </w:tc>
        <w:tc>
          <w:tcPr>
            <w:tcW w:w="5447" w:type="dxa"/>
            <w:vAlign w:val="center"/>
          </w:tcPr>
          <w:p w14:paraId="0B286853">
            <w:pPr>
              <w:snapToGrid w:val="0"/>
              <w:spacing w:line="240" w:lineRule="atLeast"/>
              <w:jc w:val="center"/>
              <w:rPr>
                <w:rFonts w:ascii="幼圆" w:eastAsia="幼圆"/>
                <w:b/>
              </w:rPr>
            </w:pPr>
            <w:r>
              <w:rPr>
                <w:rFonts w:hint="eastAsia" w:ascii="幼圆" w:eastAsia="幼圆"/>
                <w:b/>
              </w:rPr>
              <w:t>符合性检查响应内容</w:t>
            </w:r>
          </w:p>
        </w:tc>
        <w:tc>
          <w:tcPr>
            <w:tcW w:w="1680" w:type="dxa"/>
            <w:vAlign w:val="center"/>
          </w:tcPr>
          <w:p w14:paraId="70CDE671">
            <w:pPr>
              <w:snapToGrid w:val="0"/>
              <w:spacing w:line="240" w:lineRule="atLeast"/>
              <w:jc w:val="center"/>
              <w:rPr>
                <w:rFonts w:ascii="幼圆" w:eastAsia="幼圆"/>
                <w:b/>
              </w:rPr>
            </w:pPr>
            <w:r>
              <w:rPr>
                <w:rFonts w:hint="eastAsia" w:ascii="幼圆" w:eastAsia="幼圆"/>
                <w:b/>
              </w:rPr>
              <w:t>是否响应</w:t>
            </w:r>
          </w:p>
          <w:p w14:paraId="3FD47ADD">
            <w:pPr>
              <w:snapToGrid w:val="0"/>
              <w:spacing w:line="240" w:lineRule="atLeast"/>
              <w:jc w:val="center"/>
              <w:rPr>
                <w:rFonts w:ascii="幼圆" w:eastAsia="幼圆"/>
                <w:b/>
              </w:rPr>
            </w:pPr>
            <w:r>
              <w:rPr>
                <w:rFonts w:hint="eastAsia" w:ascii="幼圆" w:eastAsia="幼圆"/>
                <w:b/>
              </w:rPr>
              <w:t>（填是或者否）</w:t>
            </w:r>
          </w:p>
        </w:tc>
        <w:tc>
          <w:tcPr>
            <w:tcW w:w="1785" w:type="dxa"/>
            <w:vAlign w:val="center"/>
          </w:tcPr>
          <w:p w14:paraId="25935F2A">
            <w:pPr>
              <w:snapToGrid w:val="0"/>
              <w:spacing w:line="240" w:lineRule="atLeast"/>
              <w:jc w:val="center"/>
              <w:rPr>
                <w:rFonts w:ascii="幼圆" w:eastAsia="幼圆"/>
                <w:b/>
              </w:rPr>
            </w:pPr>
            <w:r>
              <w:rPr>
                <w:rFonts w:hint="eastAsia" w:ascii="幼圆" w:eastAsia="幼圆"/>
                <w:b/>
              </w:rPr>
              <w:t>投标文件中的</w:t>
            </w:r>
          </w:p>
          <w:p w14:paraId="74F5A238">
            <w:pPr>
              <w:snapToGrid w:val="0"/>
              <w:spacing w:line="240" w:lineRule="atLeast"/>
              <w:jc w:val="center"/>
              <w:rPr>
                <w:rFonts w:ascii="幼圆" w:eastAsia="幼圆"/>
                <w:b/>
              </w:rPr>
            </w:pPr>
            <w:r>
              <w:rPr>
                <w:rFonts w:hint="eastAsia" w:ascii="幼圆" w:eastAsia="幼圆"/>
                <w:b/>
              </w:rPr>
              <w:t>页码位置</w:t>
            </w:r>
          </w:p>
        </w:tc>
      </w:tr>
      <w:tr w14:paraId="25003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3898B59F">
            <w:pPr>
              <w:rPr>
                <w:rFonts w:hAnsi="宋体"/>
                <w:iCs/>
                <w:sz w:val="24"/>
              </w:rPr>
            </w:pPr>
            <w:r>
              <w:rPr>
                <w:rFonts w:hint="eastAsia" w:hAnsi="宋体"/>
                <w:iCs/>
                <w:sz w:val="24"/>
              </w:rPr>
              <w:t>1</w:t>
            </w:r>
          </w:p>
        </w:tc>
        <w:tc>
          <w:tcPr>
            <w:tcW w:w="5447" w:type="dxa"/>
            <w:vAlign w:val="center"/>
          </w:tcPr>
          <w:p w14:paraId="59D798C6">
            <w:pPr>
              <w:rPr>
                <w:rFonts w:hAnsi="宋体"/>
                <w:iCs/>
                <w:sz w:val="24"/>
              </w:rPr>
            </w:pPr>
            <w:r>
              <w:rPr>
                <w:rFonts w:hint="eastAsia" w:hAnsi="宋体"/>
                <w:iCs/>
                <w:sz w:val="24"/>
              </w:rPr>
              <w:t xml:space="preserve">合同履行期限 </w:t>
            </w:r>
          </w:p>
        </w:tc>
        <w:tc>
          <w:tcPr>
            <w:tcW w:w="1680" w:type="dxa"/>
            <w:vAlign w:val="center"/>
          </w:tcPr>
          <w:p w14:paraId="54183D2F">
            <w:pPr>
              <w:rPr>
                <w:rFonts w:hAnsi="宋体"/>
                <w:b/>
              </w:rPr>
            </w:pPr>
          </w:p>
        </w:tc>
        <w:tc>
          <w:tcPr>
            <w:tcW w:w="1785" w:type="dxa"/>
            <w:vAlign w:val="center"/>
          </w:tcPr>
          <w:p w14:paraId="1C83F02F">
            <w:pPr>
              <w:rPr>
                <w:rFonts w:hAnsi="宋体"/>
                <w:b/>
              </w:rPr>
            </w:pPr>
          </w:p>
        </w:tc>
      </w:tr>
      <w:tr w14:paraId="100BC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3552D1A">
            <w:pPr>
              <w:rPr>
                <w:rFonts w:hAnsi="宋体"/>
                <w:iCs/>
                <w:sz w:val="24"/>
              </w:rPr>
            </w:pPr>
            <w:r>
              <w:rPr>
                <w:rFonts w:hint="eastAsia" w:hAnsi="宋体"/>
                <w:iCs/>
                <w:sz w:val="24"/>
              </w:rPr>
              <w:t>2</w:t>
            </w:r>
          </w:p>
        </w:tc>
        <w:tc>
          <w:tcPr>
            <w:tcW w:w="5447" w:type="dxa"/>
            <w:vAlign w:val="center"/>
          </w:tcPr>
          <w:p w14:paraId="5C8623AA">
            <w:pPr>
              <w:rPr>
                <w:rFonts w:hAnsi="宋体"/>
                <w:iCs/>
                <w:sz w:val="24"/>
              </w:rPr>
            </w:pPr>
            <w:r>
              <w:rPr>
                <w:rFonts w:hint="eastAsia" w:hAnsi="宋体"/>
                <w:iCs/>
                <w:sz w:val="24"/>
              </w:rPr>
              <w:t>质保期</w:t>
            </w:r>
          </w:p>
        </w:tc>
        <w:tc>
          <w:tcPr>
            <w:tcW w:w="1680" w:type="dxa"/>
            <w:vAlign w:val="center"/>
          </w:tcPr>
          <w:p w14:paraId="63EC7BA8">
            <w:pPr>
              <w:rPr>
                <w:rFonts w:hAnsi="宋体"/>
              </w:rPr>
            </w:pPr>
          </w:p>
        </w:tc>
        <w:tc>
          <w:tcPr>
            <w:tcW w:w="1785" w:type="dxa"/>
            <w:vAlign w:val="center"/>
          </w:tcPr>
          <w:p w14:paraId="1BA51063">
            <w:pPr>
              <w:rPr>
                <w:rFonts w:hAnsi="宋体"/>
              </w:rPr>
            </w:pPr>
          </w:p>
        </w:tc>
      </w:tr>
      <w:tr w14:paraId="0420A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300176D">
            <w:pPr>
              <w:rPr>
                <w:rFonts w:hAnsi="宋体"/>
                <w:iCs/>
                <w:sz w:val="24"/>
              </w:rPr>
            </w:pPr>
            <w:r>
              <w:rPr>
                <w:rFonts w:hint="eastAsia" w:hAnsi="宋体"/>
                <w:iCs/>
                <w:sz w:val="24"/>
              </w:rPr>
              <w:t>3</w:t>
            </w:r>
          </w:p>
        </w:tc>
        <w:tc>
          <w:tcPr>
            <w:tcW w:w="5447" w:type="dxa"/>
            <w:vAlign w:val="center"/>
          </w:tcPr>
          <w:p w14:paraId="6F5283F9">
            <w:pPr>
              <w:rPr>
                <w:rFonts w:hAnsi="宋体"/>
                <w:iCs/>
                <w:sz w:val="24"/>
              </w:rPr>
            </w:pPr>
            <w:r>
              <w:rPr>
                <w:rFonts w:hint="eastAsia" w:ascii="宋体" w:hAnsi="宋体" w:eastAsia="宋体" w:cs="Times New Roman"/>
                <w:color w:val="0000FF"/>
                <w:kern w:val="2"/>
                <w:sz w:val="24"/>
                <w:szCs w:val="24"/>
                <w:lang w:val="en-US" w:eastAsia="zh-CN" w:bidi="ar-SA"/>
              </w:rPr>
              <w:t>投标人须在响应文件中承诺中标后供货时提供设备原厂质量合格证明和原厂保修五年证明文件</w:t>
            </w:r>
          </w:p>
        </w:tc>
        <w:tc>
          <w:tcPr>
            <w:tcW w:w="1680" w:type="dxa"/>
            <w:vAlign w:val="center"/>
          </w:tcPr>
          <w:p w14:paraId="4C5B29C2">
            <w:pPr>
              <w:rPr>
                <w:rFonts w:hAnsi="宋体"/>
                <w:iCs/>
                <w:sz w:val="24"/>
              </w:rPr>
            </w:pPr>
          </w:p>
        </w:tc>
        <w:tc>
          <w:tcPr>
            <w:tcW w:w="1785" w:type="dxa"/>
            <w:vAlign w:val="center"/>
          </w:tcPr>
          <w:p w14:paraId="3217FC91">
            <w:pPr>
              <w:rPr>
                <w:rFonts w:hAnsi="宋体"/>
                <w:iCs/>
                <w:sz w:val="24"/>
              </w:rPr>
            </w:pPr>
          </w:p>
        </w:tc>
      </w:tr>
      <w:tr w14:paraId="27345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646" w:type="dxa"/>
            <w:vAlign w:val="center"/>
          </w:tcPr>
          <w:p w14:paraId="289CE795">
            <w:pPr>
              <w:rPr>
                <w:rFonts w:hint="eastAsia" w:hAnsi="宋体" w:eastAsiaTheme="minorEastAsia"/>
                <w:lang w:val="en-US" w:eastAsia="zh-CN"/>
              </w:rPr>
            </w:pPr>
            <w:r>
              <w:rPr>
                <w:rFonts w:hint="eastAsia" w:hAnsi="宋体"/>
                <w:lang w:val="en-US" w:eastAsia="zh-CN"/>
              </w:rPr>
              <w:t>4</w:t>
            </w:r>
          </w:p>
        </w:tc>
        <w:tc>
          <w:tcPr>
            <w:tcW w:w="5447" w:type="dxa"/>
            <w:vAlign w:val="center"/>
          </w:tcPr>
          <w:p w14:paraId="0BAED78B">
            <w:pPr>
              <w:rPr>
                <w:rFonts w:hAnsi="宋体"/>
                <w:iCs/>
                <w:sz w:val="24"/>
              </w:rPr>
            </w:pPr>
            <w:r>
              <w:rPr>
                <w:rFonts w:hint="eastAsia" w:hAnsi="宋体"/>
                <w:iCs/>
                <w:sz w:val="24"/>
              </w:rPr>
              <w:t>其他实质性响应内容</w:t>
            </w:r>
          </w:p>
        </w:tc>
        <w:tc>
          <w:tcPr>
            <w:tcW w:w="1680" w:type="dxa"/>
            <w:vAlign w:val="center"/>
          </w:tcPr>
          <w:p w14:paraId="63D9CBE4">
            <w:pPr>
              <w:rPr>
                <w:rFonts w:hAnsi="宋体"/>
              </w:rPr>
            </w:pPr>
          </w:p>
        </w:tc>
        <w:tc>
          <w:tcPr>
            <w:tcW w:w="1785" w:type="dxa"/>
            <w:vAlign w:val="center"/>
          </w:tcPr>
          <w:p w14:paraId="714AEC20">
            <w:pPr>
              <w:rPr>
                <w:rFonts w:hAnsi="宋体"/>
              </w:rPr>
            </w:pPr>
          </w:p>
        </w:tc>
      </w:tr>
      <w:tr w14:paraId="1C7EA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646" w:type="dxa"/>
            <w:vAlign w:val="center"/>
          </w:tcPr>
          <w:p w14:paraId="0D95D516">
            <w:pPr>
              <w:rPr>
                <w:rFonts w:hAnsi="宋体"/>
              </w:rPr>
            </w:pPr>
          </w:p>
        </w:tc>
        <w:tc>
          <w:tcPr>
            <w:tcW w:w="5447" w:type="dxa"/>
            <w:vAlign w:val="center"/>
          </w:tcPr>
          <w:p w14:paraId="466CAEF3">
            <w:pPr>
              <w:snapToGrid w:val="0"/>
              <w:spacing w:line="590" w:lineRule="atLeast"/>
              <w:rPr>
                <w:rFonts w:hAnsi="宋体"/>
                <w:iCs/>
                <w:sz w:val="24"/>
              </w:rPr>
            </w:pPr>
          </w:p>
        </w:tc>
        <w:tc>
          <w:tcPr>
            <w:tcW w:w="1680" w:type="dxa"/>
            <w:vAlign w:val="center"/>
          </w:tcPr>
          <w:p w14:paraId="5C6315D0">
            <w:pPr>
              <w:rPr>
                <w:rFonts w:hAnsi="宋体"/>
              </w:rPr>
            </w:pPr>
          </w:p>
        </w:tc>
        <w:tc>
          <w:tcPr>
            <w:tcW w:w="1785" w:type="dxa"/>
            <w:vAlign w:val="center"/>
          </w:tcPr>
          <w:p w14:paraId="27104952">
            <w:pPr>
              <w:rPr>
                <w:rFonts w:hAnsi="宋体"/>
              </w:rPr>
            </w:pPr>
          </w:p>
        </w:tc>
      </w:tr>
      <w:tr w14:paraId="15588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6" w:hRule="atLeast"/>
        </w:trPr>
        <w:tc>
          <w:tcPr>
            <w:tcW w:w="646" w:type="dxa"/>
            <w:vAlign w:val="center"/>
          </w:tcPr>
          <w:p w14:paraId="3549799E">
            <w:pPr>
              <w:rPr>
                <w:rFonts w:hAnsi="宋体"/>
              </w:rPr>
            </w:pPr>
          </w:p>
        </w:tc>
        <w:tc>
          <w:tcPr>
            <w:tcW w:w="5447" w:type="dxa"/>
            <w:vAlign w:val="center"/>
          </w:tcPr>
          <w:p w14:paraId="6A61A36E">
            <w:pPr>
              <w:snapToGrid w:val="0"/>
              <w:spacing w:line="590" w:lineRule="atLeast"/>
              <w:rPr>
                <w:rFonts w:hAnsi="宋体"/>
                <w:iCs/>
                <w:sz w:val="24"/>
              </w:rPr>
            </w:pPr>
          </w:p>
        </w:tc>
        <w:tc>
          <w:tcPr>
            <w:tcW w:w="1680" w:type="dxa"/>
            <w:vAlign w:val="center"/>
          </w:tcPr>
          <w:p w14:paraId="308AB080">
            <w:pPr>
              <w:rPr>
                <w:rFonts w:hAnsi="宋体"/>
              </w:rPr>
            </w:pPr>
          </w:p>
        </w:tc>
        <w:tc>
          <w:tcPr>
            <w:tcW w:w="1785" w:type="dxa"/>
            <w:vAlign w:val="center"/>
          </w:tcPr>
          <w:p w14:paraId="07B49660">
            <w:pPr>
              <w:rPr>
                <w:rFonts w:hAnsi="宋体"/>
              </w:rPr>
            </w:pPr>
          </w:p>
        </w:tc>
      </w:tr>
      <w:tr w14:paraId="1C789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0697737A">
            <w:pPr>
              <w:rPr>
                <w:rFonts w:hAnsi="宋体"/>
              </w:rPr>
            </w:pPr>
          </w:p>
        </w:tc>
        <w:tc>
          <w:tcPr>
            <w:tcW w:w="5447" w:type="dxa"/>
            <w:vAlign w:val="center"/>
          </w:tcPr>
          <w:p w14:paraId="4A9F1E62">
            <w:pPr>
              <w:snapToGrid w:val="0"/>
              <w:spacing w:line="590" w:lineRule="atLeast"/>
              <w:rPr>
                <w:rFonts w:hAnsi="宋体"/>
                <w:iCs/>
                <w:sz w:val="24"/>
              </w:rPr>
            </w:pPr>
          </w:p>
        </w:tc>
        <w:tc>
          <w:tcPr>
            <w:tcW w:w="1680" w:type="dxa"/>
            <w:vAlign w:val="center"/>
          </w:tcPr>
          <w:p w14:paraId="416CEB64">
            <w:pPr>
              <w:rPr>
                <w:rFonts w:hAnsi="宋体"/>
              </w:rPr>
            </w:pPr>
          </w:p>
        </w:tc>
        <w:tc>
          <w:tcPr>
            <w:tcW w:w="1785" w:type="dxa"/>
            <w:vAlign w:val="center"/>
          </w:tcPr>
          <w:p w14:paraId="7D40D377">
            <w:pPr>
              <w:rPr>
                <w:rFonts w:hAnsi="宋体"/>
              </w:rPr>
            </w:pPr>
          </w:p>
        </w:tc>
      </w:tr>
    </w:tbl>
    <w:p w14:paraId="66E7AEA6">
      <w:pPr>
        <w:autoSpaceDE w:val="0"/>
        <w:autoSpaceDN w:val="0"/>
        <w:ind w:firstLine="210"/>
        <w:rPr>
          <w:rFonts w:cs="宋体"/>
          <w:szCs w:val="28"/>
          <w:lang w:val="zh-CN"/>
        </w:rPr>
      </w:pPr>
    </w:p>
    <w:p w14:paraId="41F7DD64">
      <w:pPr>
        <w:autoSpaceDE w:val="0"/>
        <w:autoSpaceDN w:val="0"/>
        <w:ind w:firstLine="210"/>
        <w:rPr>
          <w:rFonts w:cs="宋体"/>
          <w:color w:val="FF0000"/>
          <w:szCs w:val="28"/>
          <w:lang w:val="zh-CN"/>
        </w:rPr>
      </w:pPr>
      <w:r>
        <w:rPr>
          <w:rFonts w:hint="eastAsia" w:cs="宋体"/>
          <w:color w:val="FF0000"/>
          <w:szCs w:val="28"/>
          <w:lang w:val="zh-CN"/>
        </w:rPr>
        <w:t>注：本表须明确填写并按招标文件要求提供材料，否则符合性检查无法通过。</w:t>
      </w:r>
    </w:p>
    <w:p w14:paraId="76C874BD">
      <w:pPr>
        <w:autoSpaceDE w:val="0"/>
        <w:autoSpaceDN w:val="0"/>
        <w:ind w:firstLine="210"/>
        <w:rPr>
          <w:rFonts w:cs="宋体"/>
          <w:szCs w:val="28"/>
          <w:lang w:val="zh-CN"/>
        </w:rPr>
      </w:pPr>
    </w:p>
    <w:p w14:paraId="027151A7">
      <w:pPr>
        <w:autoSpaceDE w:val="0"/>
        <w:autoSpaceDN w:val="0"/>
        <w:ind w:firstLine="210"/>
        <w:rPr>
          <w:rFonts w:cs="宋体"/>
          <w:szCs w:val="28"/>
          <w:lang w:val="zh-CN"/>
        </w:rPr>
      </w:pPr>
    </w:p>
    <w:p w14:paraId="6F17EEA9">
      <w:pPr>
        <w:autoSpaceDE w:val="0"/>
        <w:autoSpaceDN w:val="0"/>
        <w:spacing w:line="360" w:lineRule="auto"/>
        <w:ind w:firstLine="3045" w:firstLineChars="1450"/>
        <w:rPr>
          <w:rFonts w:hAnsi="宋体"/>
          <w:bCs/>
          <w:szCs w:val="28"/>
        </w:rPr>
      </w:pPr>
      <w:r>
        <w:rPr>
          <w:rFonts w:hint="eastAsia" w:hAnsi="宋体"/>
          <w:bCs/>
          <w:szCs w:val="28"/>
        </w:rPr>
        <w:t>投标人</w:t>
      </w:r>
      <w:r>
        <w:rPr>
          <w:rFonts w:hint="eastAsia" w:ascii="宋体" w:hAnsi="宋体"/>
          <w:color w:val="000000"/>
          <w:sz w:val="24"/>
        </w:rPr>
        <w:t>（加盖CA电子签章）</w:t>
      </w:r>
      <w:r>
        <w:rPr>
          <w:rFonts w:hint="eastAsia" w:hAnsi="宋体"/>
          <w:bCs/>
          <w:szCs w:val="28"/>
        </w:rPr>
        <w:t>：</w:t>
      </w:r>
    </w:p>
    <w:p w14:paraId="6B6C8532">
      <w:pPr>
        <w:autoSpaceDE w:val="0"/>
        <w:autoSpaceDN w:val="0"/>
        <w:spacing w:line="360" w:lineRule="auto"/>
        <w:ind w:firstLine="3045" w:firstLineChars="1450"/>
        <w:rPr>
          <w:rFonts w:hAnsi="宋体"/>
          <w:bCs/>
          <w:szCs w:val="28"/>
        </w:rPr>
      </w:pPr>
      <w:r>
        <w:rPr>
          <w:rFonts w:hint="eastAsia" w:hAnsi="宋体"/>
          <w:bCs/>
          <w:szCs w:val="28"/>
        </w:rPr>
        <w:t>日期：   年  月   日</w:t>
      </w:r>
    </w:p>
    <w:p w14:paraId="4EF3A646">
      <w:pPr>
        <w:ind w:left="420" w:leftChars="200"/>
        <w:jc w:val="center"/>
        <w:outlineLvl w:val="1"/>
        <w:rPr>
          <w:rFonts w:ascii="宋体" w:hAnsi="宋体"/>
          <w:b/>
          <w:sz w:val="32"/>
          <w:szCs w:val="32"/>
        </w:rPr>
      </w:pPr>
    </w:p>
    <w:p w14:paraId="0B959DC5">
      <w:pPr>
        <w:pStyle w:val="2"/>
        <w:rPr>
          <w:rFonts w:hAnsi="宋体" w:eastAsia="宋体"/>
          <w:b/>
          <w:bCs/>
          <w:sz w:val="32"/>
          <w:szCs w:val="32"/>
        </w:rPr>
      </w:pPr>
    </w:p>
    <w:p w14:paraId="600145D5">
      <w:pPr>
        <w:rPr>
          <w:rFonts w:hAnsi="宋体"/>
          <w:b/>
          <w:bCs/>
          <w:sz w:val="32"/>
          <w:szCs w:val="32"/>
        </w:rPr>
      </w:pPr>
    </w:p>
    <w:p w14:paraId="2C226056">
      <w:pPr>
        <w:pStyle w:val="11"/>
        <w:spacing w:before="120" w:after="120"/>
        <w:ind w:firstLine="643"/>
        <w:rPr>
          <w:b/>
          <w:bCs/>
          <w:sz w:val="32"/>
          <w:szCs w:val="32"/>
        </w:rPr>
      </w:pPr>
    </w:p>
    <w:p w14:paraId="20CAF721"/>
    <w:p w14:paraId="10FADEB0">
      <w:pPr>
        <w:pStyle w:val="11"/>
        <w:spacing w:before="120" w:after="120"/>
      </w:pPr>
    </w:p>
    <w:p w14:paraId="226E8267"/>
    <w:p w14:paraId="718C9F27">
      <w:pPr>
        <w:pStyle w:val="4"/>
      </w:pPr>
    </w:p>
    <w:p w14:paraId="2A68C299">
      <w:pPr>
        <w:pStyle w:val="2"/>
        <w:spacing w:line="360" w:lineRule="auto"/>
        <w:jc w:val="left"/>
        <w:rPr>
          <w:rFonts w:hAnsi="宋体" w:eastAsia="宋体"/>
          <w:b/>
          <w:bCs/>
          <w:sz w:val="32"/>
          <w:szCs w:val="32"/>
        </w:rPr>
      </w:pPr>
      <w:r>
        <w:rPr>
          <w:rFonts w:hint="eastAsia" w:hAnsi="宋体" w:eastAsia="宋体"/>
          <w:b/>
          <w:bCs/>
          <w:sz w:val="32"/>
          <w:szCs w:val="32"/>
        </w:rPr>
        <w:t>附件1、            实质性响应内容</w:t>
      </w:r>
    </w:p>
    <w:p w14:paraId="57B2FE94">
      <w:pPr>
        <w:pStyle w:val="22"/>
        <w:keepNext w:val="0"/>
        <w:keepLines w:val="0"/>
        <w:pageBreakBefore w:val="0"/>
        <w:widowControl w:val="0"/>
        <w:kinsoku/>
        <w:wordWrap/>
        <w:overflowPunct/>
        <w:topLinePunct w:val="0"/>
        <w:autoSpaceDE/>
        <w:autoSpaceDN/>
        <w:bidi w:val="0"/>
        <w:adjustRightInd/>
        <w:snapToGrid w:val="0"/>
        <w:spacing w:line="520" w:lineRule="exact"/>
        <w:ind w:firstLine="482" w:firstLineChars="200"/>
        <w:textAlignment w:val="auto"/>
        <w:outlineLvl w:val="9"/>
        <w:rPr>
          <w:rFonts w:hint="eastAsia" w:ascii="宋体" w:hAnsi="宋体" w:eastAsia="宋体" w:cs="Times New Roman"/>
          <w:b/>
          <w:bCs/>
          <w:color w:val="000000"/>
          <w:kern w:val="2"/>
          <w:sz w:val="24"/>
          <w:szCs w:val="24"/>
          <w:lang w:val="zh-CN" w:eastAsia="zh-CN" w:bidi="ar-SA"/>
        </w:rPr>
      </w:pPr>
      <w:r>
        <w:rPr>
          <w:rFonts w:hint="eastAsia" w:ascii="宋体" w:hAnsi="宋体" w:cs="Times New Roman"/>
          <w:b/>
          <w:bCs/>
          <w:color w:val="000000"/>
          <w:kern w:val="2"/>
          <w:sz w:val="24"/>
          <w:szCs w:val="24"/>
          <w:lang w:val="en-US" w:eastAsia="zh-CN" w:bidi="ar-SA"/>
        </w:rPr>
        <w:t>一</w:t>
      </w:r>
      <w:r>
        <w:rPr>
          <w:rFonts w:hint="eastAsia" w:ascii="宋体" w:hAnsi="宋体" w:eastAsia="宋体" w:cs="Times New Roman"/>
          <w:b/>
          <w:bCs/>
          <w:color w:val="000000"/>
          <w:kern w:val="2"/>
          <w:sz w:val="24"/>
          <w:szCs w:val="24"/>
          <w:lang w:val="zh-CN" w:eastAsia="zh-CN" w:bidi="ar-SA"/>
        </w:rPr>
        <w:t xml:space="preserve">、运行维护技术要求 </w:t>
      </w:r>
    </w:p>
    <w:p w14:paraId="7E5296F8">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一</w:t>
      </w: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总体要求</w:t>
      </w:r>
    </w:p>
    <w:p w14:paraId="678FA558">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中标单位须按照采购人的技术要求和质量控制要求，全面负责水站（站房、采水、所有仪器设备等）的日常运行维护。当采购人依据国家有关规定和技术要求出台新的运维要求时，以新要求为准。</w:t>
      </w:r>
    </w:p>
    <w:p w14:paraId="5E2BB583">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（1）中标单位运行维护期间必须遵守国家的有关法律、法规及其他规定，依照有关规范和技术要求，使水站的运行结果达到采购人的考核指标要求，充分发挥水质自动监测系统的效能；</w:t>
      </w:r>
    </w:p>
    <w:p w14:paraId="6F7A04AE">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（2）运行维护期间，值守人员的相关费用以及采水、供水、供电、通讯、采暖、试剂耗材、仪器设备维修、设施设备的年检保养和水站安全保障所发生的费用等均由中标单位支付；</w:t>
      </w:r>
    </w:p>
    <w:p w14:paraId="1403AE5F">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（3）中标单位须参加采购人组织的技术培训以及运维质量的相互监督检查，接受采购人或其委托相关机构的监管和考核；</w:t>
      </w:r>
    </w:p>
    <w:p w14:paraId="299036DB">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（4）运行维护期间，如遇采购人为水站更换或新增仪器，中标单位须配合做好新仪器的安装、调试和运行维护等工作，以及数据无缝对接到采购人指定的管理平台中；</w:t>
      </w:r>
    </w:p>
    <w:p w14:paraId="32D39DCA">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5）运行维护期间，水站的全部资产（建筑物、设备、软件、配套设施、水质自动监测系统和配套监控系统产生的各类数据信息及相关文档资料等）属采购人所有。未经采购人同意，中标单位不得以任何方式对各类财产进行出售、抵押或转移；</w:t>
      </w:r>
    </w:p>
    <w:p w14:paraId="21464724">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（6）中标单位对水站的监测数据负有保密的责任，不得以任何方式和渠道向外界提供或用于商业用途；</w:t>
      </w:r>
    </w:p>
    <w:p w14:paraId="13DDCD33">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7）运行维护期间，中标单位有责任保证水站全部资产的完整、安全并处于良好状态。每个水站必须配备值守人员，避免出现因被盗、人为破坏等原因造成的资产流失。如出现因中标单位安保措施不当造成的水站资产丢失、破坏的情况，中标单位须复原并尽快恢复运行，所发生的费用由中标单位承担。中标单位须协助采购人做好水站固定资产登记管理等工作；</w:t>
      </w:r>
    </w:p>
    <w:p w14:paraId="510CA51D">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（8）中标单位应至少配备1辆运维车辆，</w:t>
      </w:r>
      <w:r>
        <w:rPr>
          <w:rFonts w:hint="eastAsia" w:ascii="宋体" w:hAnsi="宋体" w:eastAsia="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zh-CN" w:eastAsia="zh-CN" w:bidi="ar-SA"/>
        </w:rPr>
        <w:t>名运维人员。</w:t>
      </w:r>
    </w:p>
    <w:p w14:paraId="63F03A74">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 xml:space="preserve">（9）中标单位相关技术人员应持证上岗，具有相关的专业知识，能独立运行维护水站； </w:t>
      </w:r>
    </w:p>
    <w:p w14:paraId="255645A3">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（10）中标单位运维期满后应保证资产完好，并做好资产交接，交接的仪器设备须满足本标书中的技术要求；</w:t>
      </w:r>
    </w:p>
    <w:p w14:paraId="22E6A24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（二）水站运行维护技术要求</w:t>
      </w:r>
    </w:p>
    <w:p w14:paraId="49C5BB99">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依据《国家地表水水质自动监测站运行管理办法》和《江苏省地表水自动监测站运行管理办法（试行）》及国家《地表水自动监测技术规范》（HJ 915-2017）等相关规定开展运行维护工作，确保水站正常稳定运行。</w:t>
      </w:r>
    </w:p>
    <w:p w14:paraId="3A811FFC">
      <w:pPr>
        <w:keepNext w:val="0"/>
        <w:keepLines w:val="0"/>
        <w:pageBreakBefore w:val="0"/>
        <w:widowControl w:val="0"/>
        <w:kinsoku/>
        <w:wordWrap/>
        <w:overflowPunct/>
        <w:topLinePunct w:val="0"/>
        <w:bidi w:val="0"/>
        <w:snapToGrid/>
        <w:spacing w:line="520" w:lineRule="exact"/>
        <w:ind w:firstLine="480" w:firstLineChars="200"/>
        <w:textAlignment w:val="auto"/>
        <w:outlineLvl w:val="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1、例行维护</w:t>
      </w:r>
    </w:p>
    <w:p w14:paraId="214E6B20">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例行维护包括站房环境检查、仪器与系统检查、易损件更换、耗材更换、试剂更换、管路清洗等工作。运行维护单位定期对水站进行巡检，巡检频次不得低于每周一次，并记录巡检情况。每次对水站巡检时进行下列工作：</w:t>
      </w:r>
    </w:p>
    <w:p w14:paraId="13986DC4">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①查看各台分析仪器及辅助设备的运行状态和主要技术参数，判断运行是否正常；检查仪器供电、过程温度、搅拌电机、传感器、电极以及工作时序等是否正常，检查有无漏液、管路里是否有气泡等；定期清洗常规五参数；</w:t>
      </w:r>
    </w:p>
    <w:p w14:paraId="0C20E3CF">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②依据仪器运行情况、断面水质状况和水站环境条件制定易耗品和消耗品（如泵管、接头、密封件等）的更换周期，并保证在耗材使用到期前完成更换；如果需要更换零配件（如电极等），应备有库存保证及时更换；</w:t>
      </w:r>
    </w:p>
    <w:p w14:paraId="46D415EA">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③检查试剂状况，定期添加、更换试剂。所用纯水和试剂须达到相关技术要求，更换周期不得超过操作规程或仪器说明规定的试剂保质期，室内温度较高时应缩短更换周期。每次更换主要试剂后应按相应操作规程或仪器说明重新校准仪器。试剂配制工作应由有资质的实验室完成，提供试剂来源证明，并张贴标签；</w:t>
      </w:r>
    </w:p>
    <w:p w14:paraId="4CF42B8F">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④及时整理站房及仪器，完成废液收集并按相关规定要求做好处理处置工作，且留档备查； 保持水站站房及各仪器干净整洁，及时关闭门窗，避免日光直射各类分析仪器；</w:t>
      </w:r>
    </w:p>
    <w:p w14:paraId="67496D98">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⑤检查采水系统、配水系统是否正常，如采水浮筒固定情况，自吸泵运行情况等；定期清洗采配水系统，包括采水头、吊桶、泵体、沉砂池、过滤头、样水杯、阀门、相关管路等，对于无法清洗干净的应及时更换；</w:t>
      </w:r>
    </w:p>
    <w:p w14:paraId="2B2463B5">
      <w:pPr>
        <w:keepNext w:val="0"/>
        <w:keepLines w:val="0"/>
        <w:pageBreakBefore w:val="0"/>
        <w:widowControl w:val="0"/>
        <w:kinsoku/>
        <w:wordWrap/>
        <w:overflowPunct/>
        <w:topLinePunct w:val="0"/>
        <w:bidi w:val="0"/>
        <w:snapToGrid/>
        <w:spacing w:line="52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⑥检查水站电路系统是否正常，接地线路是否可靠，检查采样和排液管路是否有漏液或堵塞现象，排水排气装置工作是否正常；</w:t>
      </w:r>
    </w:p>
    <w:p w14:paraId="380BA1BF">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⑦检查站房空调及保温措施，保持温度稳定；检查水泵及空压机固定情况，避免仪器振动； 检查空压机、不间断电源（UPS）、除藻装置、纯水机等辅助设施运行状态，及时更换耗材，并排空空压机积水；</w:t>
      </w:r>
    </w:p>
    <w:p w14:paraId="03B3EBE8">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⑧检查工控机运行状态，有无中毒现象，至少每季度备份一次现场数据及控制软件；检查仪器与系统的通讯线路是否正常，模拟量传输的数据偏差是否符合要求；</w:t>
      </w:r>
    </w:p>
    <w:p w14:paraId="7D22B576">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⑨站房周围的杂草和积水应及时清除，检查防雷设施是否可靠，站房是否有漏雨、锈蚀现象，站房外围的其他设施是否有损坏或被水淹，如遇到以上问题及时处理，保证系统安全运行。在封冻期来临前做好采水管路和站房保温等维护工作；</w:t>
      </w:r>
    </w:p>
    <w:p w14:paraId="4CCBC5B9">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⑩做好日常例行维护工作记录，重要的工作内容拍照存档。</w:t>
      </w:r>
    </w:p>
    <w:p w14:paraId="5F8C44A1">
      <w:pPr>
        <w:keepNext w:val="0"/>
        <w:keepLines w:val="0"/>
        <w:pageBreakBefore w:val="0"/>
        <w:widowControl w:val="0"/>
        <w:kinsoku/>
        <w:wordWrap/>
        <w:overflowPunct/>
        <w:topLinePunct w:val="0"/>
        <w:bidi w:val="0"/>
        <w:snapToGrid/>
        <w:spacing w:line="520" w:lineRule="exact"/>
        <w:ind w:firstLine="480" w:firstLineChars="200"/>
        <w:textAlignment w:val="auto"/>
        <w:outlineLvl w:val="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2、保养检修</w:t>
      </w:r>
    </w:p>
    <w:p w14:paraId="39550665">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根据系统运行的环境状况，在规定的时间对系统正在运行的仪器设备进行预防故障发生的检修。在有备用仪器作为保障时，应用备用仪器将水站中正在运行的监测分析仪器设备替换下来，送往实验室进行保养检修；如没有备用仪器保障时，可在现场进行保养检修。保养检修计划应根据系统仪器设备的配置情况和设备使用手册的要求制定。</w:t>
      </w:r>
    </w:p>
    <w:p w14:paraId="795519AD">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①水站的监测仪器设备每年至少进行 1 次保养检修；</w:t>
      </w:r>
    </w:p>
    <w:p w14:paraId="783C8C4B">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②按厂家提供的使用和维修手册规定的要求，根据使用寿命，更换监测仪器中的灯源、电极、蠕动泵、传感器等关键零部件；</w:t>
      </w:r>
    </w:p>
    <w:p w14:paraId="685E3FF7">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③对仪器进行液路检漏和压力检查；对光路、液路、电路板和各种接头及插座等进行检查和清洁处理；</w:t>
      </w:r>
    </w:p>
    <w:p w14:paraId="7761FAC4">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④对仪器的输出零点和满量程进行检查和校准，并检查仪器的输出线性；</w:t>
      </w:r>
    </w:p>
    <w:p w14:paraId="4BF556C6">
      <w:pPr>
        <w:keepNext w:val="0"/>
        <w:keepLines w:val="0"/>
        <w:pageBreakBefore w:val="0"/>
        <w:widowControl w:val="0"/>
        <w:kinsoku/>
        <w:wordWrap/>
        <w:overflowPunct/>
        <w:topLinePunct w:val="0"/>
        <w:bidi w:val="0"/>
        <w:snapToGrid/>
        <w:spacing w:line="520" w:lineRule="exact"/>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在每次全面保养检修完成后，或更换了仪器中的光源、电极、蠕动泵、传感器等关键零部件后，必须对仪器重新进行校准和检查，并记录检修校准情况。</w:t>
      </w:r>
    </w:p>
    <w:p w14:paraId="46A98AEA">
      <w:pPr>
        <w:keepNext w:val="0"/>
        <w:keepLines w:val="0"/>
        <w:pageBreakBefore w:val="0"/>
        <w:widowControl w:val="0"/>
        <w:kinsoku/>
        <w:wordWrap/>
        <w:overflowPunct/>
        <w:topLinePunct w:val="0"/>
        <w:bidi w:val="0"/>
        <w:snapToGrid/>
        <w:spacing w:line="520" w:lineRule="exact"/>
        <w:ind w:firstLine="480" w:firstLineChars="200"/>
        <w:textAlignment w:val="auto"/>
        <w:outlineLvl w:val="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3、故障检修</w:t>
      </w:r>
    </w:p>
    <w:p w14:paraId="3C24D779">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故障检修是指对出现故障的仪器设备进行针对性检查和维修。故障检修应做到：</w:t>
      </w:r>
    </w:p>
    <w:p w14:paraId="0ACD3B1D">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①根据所使用的仪器特点和厂商提供的维修手册，制定常见故障的判断和检修的作业指导书；</w:t>
      </w:r>
    </w:p>
    <w:p w14:paraId="0D2B8CFF">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②对于在现场能够诊断明确，且可通过更换备件解决的问题（例如电磁阀控制失灵、泵管破裂、液路堵塞和灯源老化等问题），则在现场进行检修；</w:t>
      </w:r>
    </w:p>
    <w:p w14:paraId="342C6CC0">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③对于其他不易诊断和检修的故障，应采用备用仪器替代发生故障的仪器，将发生故障的仪器  或配件送实验室或仪器厂商进行检查和维修；</w:t>
      </w:r>
    </w:p>
    <w:p w14:paraId="0B70E83D">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④在每次故障检修完成后，根据检修内容和更换部件情况，对仪器进行校准。对于普通易损件的维修（如更换泵管、散热风扇、液路接头或接插件等）至少做标液校准；对于关键部件的维修（如对运动的机械部件、光学部件、检测部件和信号处理部件的维修），按仪器标准规范要求进行标准曲线和精密度检查。所有检修内容均按要求做好记录备查。</w:t>
      </w:r>
    </w:p>
    <w:p w14:paraId="7EE9C6D7">
      <w:pPr>
        <w:keepNext w:val="0"/>
        <w:keepLines w:val="0"/>
        <w:pageBreakBefore w:val="0"/>
        <w:widowControl w:val="0"/>
        <w:kinsoku/>
        <w:wordWrap/>
        <w:overflowPunct/>
        <w:topLinePunct w:val="0"/>
        <w:bidi w:val="0"/>
        <w:snapToGrid/>
        <w:spacing w:line="520" w:lineRule="exact"/>
        <w:ind w:firstLine="480" w:firstLineChars="200"/>
        <w:textAlignment w:val="auto"/>
        <w:outlineLvl w:val="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4、数据平台日常管理</w:t>
      </w:r>
    </w:p>
    <w:p w14:paraId="5AED2613">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数据平台必须安排人员对设备运行和水质情况进行了解，每天上午和下午通过数据平台软件远程调看水站监测数据至少各 1 次，根据情况组织开展巡检、核查、维修等工作，保障水站正常、安全运行。数据平台日常管理工作包括：</w:t>
      </w:r>
    </w:p>
    <w:p w14:paraId="3A5C35F4">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①检查各水站数据传输、仪器及相关系统参数数据情况，发现问题，及时处理；</w:t>
      </w:r>
    </w:p>
    <w:p w14:paraId="578B78CF">
      <w:pPr>
        <w:pStyle w:val="17"/>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②发现数据有持续异常值出现时，立即安排技术人员前往现场进行调查，必要时采集实际水样进行人工分析。</w:t>
      </w:r>
    </w:p>
    <w:p w14:paraId="0A4A9D20">
      <w:pPr>
        <w:pStyle w:val="17"/>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③根据相关技术规范，每天中午12时前对前一天水站数据进行审核。</w:t>
      </w:r>
    </w:p>
    <w:p w14:paraId="33BE2BB4">
      <w:pPr>
        <w:keepNext w:val="0"/>
        <w:keepLines w:val="0"/>
        <w:pageBreakBefore w:val="0"/>
        <w:widowControl w:val="0"/>
        <w:kinsoku/>
        <w:wordWrap/>
        <w:overflowPunct/>
        <w:topLinePunct w:val="0"/>
        <w:bidi w:val="0"/>
        <w:snapToGrid/>
        <w:spacing w:line="520" w:lineRule="exact"/>
        <w:ind w:firstLine="480" w:firstLineChars="200"/>
        <w:textAlignment w:val="auto"/>
        <w:outlineLvl w:val="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5、应急措施要求</w:t>
      </w:r>
    </w:p>
    <w:p w14:paraId="3E7C5DC0">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投标人应制定应急事故处理方案，内容包括突发性水质污染、特殊时期（丰水期、枯水期）、自然灾害、水电检修、临时停电或节假日、重大活动或被破坏情况。</w:t>
      </w:r>
    </w:p>
    <w:p w14:paraId="76773950">
      <w:pPr>
        <w:keepNext w:val="0"/>
        <w:keepLines w:val="0"/>
        <w:pageBreakBefore w:val="0"/>
        <w:widowControl w:val="0"/>
        <w:kinsoku/>
        <w:wordWrap/>
        <w:overflowPunct/>
        <w:topLinePunct w:val="0"/>
        <w:bidi w:val="0"/>
        <w:snapToGrid/>
        <w:spacing w:line="520" w:lineRule="exact"/>
        <w:ind w:firstLine="480" w:firstLineChars="200"/>
        <w:textAlignment w:val="auto"/>
        <w:outlineLvl w:val="1"/>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（1）水站监测数据异常处理</w:t>
      </w:r>
    </w:p>
    <w:p w14:paraId="3324E7AB">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当水站监测数据发现异常或发现所在断面发生污染事故时，须2小时内到达站点核查仪器运行状态，保证系统仪器正常运行，监测数据准确，传输畅通，并协助托管站进行手工监测复核。</w:t>
      </w:r>
    </w:p>
    <w:p w14:paraId="6C39819A">
      <w:pPr>
        <w:keepNext w:val="0"/>
        <w:keepLines w:val="0"/>
        <w:pageBreakBefore w:val="0"/>
        <w:widowControl w:val="0"/>
        <w:kinsoku/>
        <w:wordWrap/>
        <w:overflowPunct/>
        <w:topLinePunct w:val="0"/>
        <w:bidi w:val="0"/>
        <w:snapToGrid/>
        <w:spacing w:line="520" w:lineRule="exact"/>
        <w:ind w:firstLine="480" w:firstLineChars="200"/>
        <w:textAlignment w:val="auto"/>
        <w:outlineLvl w:val="1"/>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 水质自动站系统仪器故障</w:t>
      </w:r>
    </w:p>
    <w:p w14:paraId="3863A3D8">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当水质自动站系统仪器出现故障、停运时，中标单位应保证在2小时内到达现场检修，如24小时内无法排除故障，导致水站主要监测指标无法连续监测时，须在48小时内更换备机；因水电中断或采水故障，水站无法正常运行的，应委托有资质的检测机构进行检测以确保数据的完整性，实验室检测数据不少于每周两组（不得为同一天监测）。并及时用电话与书面形式报告业主，协商处理方案。</w:t>
      </w:r>
    </w:p>
    <w:p w14:paraId="3E208C21">
      <w:pPr>
        <w:keepNext w:val="0"/>
        <w:keepLines w:val="0"/>
        <w:pageBreakBefore w:val="0"/>
        <w:widowControl w:val="0"/>
        <w:kinsoku/>
        <w:wordWrap/>
        <w:overflowPunct/>
        <w:topLinePunct w:val="0"/>
        <w:bidi w:val="0"/>
        <w:snapToGrid/>
        <w:spacing w:line="520" w:lineRule="exact"/>
        <w:ind w:firstLine="480" w:firstLineChars="200"/>
        <w:textAlignment w:val="auto"/>
        <w:outlineLvl w:val="1"/>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 应急与数据补测</w:t>
      </w:r>
    </w:p>
    <w:p w14:paraId="6B538DB9">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①中标单位发现数据异常波动并及时核实上报，积极配合污染排查、水站检查工作。</w:t>
      </w:r>
    </w:p>
    <w:p w14:paraId="0907F796">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②中标单位因站点水电中断、采水故障等原因停运，需要委托有资质的检测机构进行检测时，应在上报手工监测数据的同时附有相关检测机构的正式检测报告，相关检测费用由中标人负责。</w:t>
      </w:r>
    </w:p>
    <w:p w14:paraId="40840C73">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③备机应满足国家及省内相关技术规范的要求，并在我省和国内得到广泛应用，适用于我省水环境自动监测系统，投标时应提供仪器彩页和相关使用情况证明材料。</w:t>
      </w:r>
    </w:p>
    <w:p w14:paraId="680BB270">
      <w:pPr>
        <w:keepNext w:val="0"/>
        <w:keepLines w:val="0"/>
        <w:pageBreakBefore w:val="0"/>
        <w:widowControl w:val="0"/>
        <w:kinsoku/>
        <w:wordWrap/>
        <w:overflowPunct/>
        <w:topLinePunct w:val="0"/>
        <w:bidi w:val="0"/>
        <w:snapToGrid/>
        <w:spacing w:line="520" w:lineRule="exact"/>
        <w:ind w:firstLine="480" w:firstLineChars="200"/>
        <w:textAlignment w:val="auto"/>
        <w:outlineLvl w:val="0"/>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6、质量保证与质量控制</w:t>
      </w:r>
    </w:p>
    <w:p w14:paraId="60BFC68A">
      <w:pPr>
        <w:keepNext w:val="0"/>
        <w:keepLines w:val="0"/>
        <w:pageBreakBefore w:val="0"/>
        <w:widowControl w:val="0"/>
        <w:kinsoku/>
        <w:wordWrap/>
        <w:overflowPunct/>
        <w:topLinePunct w:val="0"/>
        <w:bidi w:val="0"/>
        <w:snapToGrid/>
        <w:spacing w:line="520" w:lineRule="exact"/>
        <w:ind w:firstLine="240" w:firstLineChars="100"/>
        <w:textAlignment w:val="auto"/>
        <w:outlineLvl w:val="1"/>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（1）标准的量值传递要求</w:t>
      </w:r>
    </w:p>
    <w:p w14:paraId="3780B88B">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用于校准监测仪器的标准样品，采用有证标准样品或者标准物质进行配制；用于量值传递的分析天平、台秤、温度计、标准万用表、移液管、容量瓶等量器，按照相关规定，定期送有关部门进行检定。</w:t>
      </w:r>
    </w:p>
    <w:p w14:paraId="5BC85B83">
      <w:pPr>
        <w:keepNext w:val="0"/>
        <w:keepLines w:val="0"/>
        <w:pageBreakBefore w:val="0"/>
        <w:widowControl w:val="0"/>
        <w:kinsoku/>
        <w:wordWrap/>
        <w:overflowPunct/>
        <w:topLinePunct w:val="0"/>
        <w:bidi w:val="0"/>
        <w:snapToGrid/>
        <w:spacing w:line="520" w:lineRule="exact"/>
        <w:ind w:firstLine="240" w:firstLineChars="100"/>
        <w:textAlignment w:val="auto"/>
        <w:outlineLvl w:val="1"/>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（2）仪器性能核查内容、要求</w:t>
      </w:r>
    </w:p>
    <w:p w14:paraId="0604CC6E">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①仪器性能核查内容</w:t>
      </w:r>
    </w:p>
    <w:p w14:paraId="12041952">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仪器性能核查是获得有效数据的基本保证和自动监测系统正常运行的关键，包括定期的准确度、精密度、检出限、标准曲线、加标回收率、零点漂移、量程漂移检查及每次仪器维护前后的校准工作。</w:t>
      </w:r>
    </w:p>
    <w:p w14:paraId="4C2D94E7">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②仪器性能核查要求</w:t>
      </w:r>
    </w:p>
    <w:p w14:paraId="14CF36D0">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仪器性能核查要求如下：</w:t>
      </w:r>
    </w:p>
    <w:p w14:paraId="43DBCF25">
      <w:pPr>
        <w:keepNext w:val="0"/>
        <w:keepLines w:val="0"/>
        <w:pageBreakBefore w:val="0"/>
        <w:widowControl w:val="0"/>
        <w:kinsoku/>
        <w:wordWrap/>
        <w:overflowPunct/>
        <w:topLinePunct w:val="0"/>
        <w:bidi w:val="0"/>
        <w:snapToGrid/>
        <w:spacing w:line="520" w:lineRule="exact"/>
        <w:ind w:firstLine="480" w:firstLineChars="20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至少每半年进行一次准确度、精密度、检出限、标准曲线和加标回收率的检查；至少每半年进行一次零点漂移和量程漂移检查；更新检测器后，进行一次标准曲线和精密度检查；更新仪器后，对照相关技术规范要求对所有仪器性能指标进行一次检查；至少每月进行一次仪器校准工作。仪器性能核查的数据采集频次可以调整到小于日常监测数据采集频次，同时保证样品测定不受前一个样品的影响。</w:t>
      </w:r>
    </w:p>
    <w:p w14:paraId="2D8908B3">
      <w:pPr>
        <w:pStyle w:val="17"/>
        <w:keepNext w:val="0"/>
        <w:keepLines w:val="0"/>
        <w:pageBreakBefore w:val="0"/>
        <w:widowControl w:val="0"/>
        <w:kinsoku/>
        <w:wordWrap/>
        <w:overflowPunct/>
        <w:topLinePunct w:val="0"/>
        <w:bidi w:val="0"/>
        <w:snapToGrid/>
        <w:spacing w:line="520" w:lineRule="exact"/>
        <w:ind w:firstLine="240" w:firstLineChars="100"/>
        <w:textAlignment w:val="auto"/>
        <w:outlineLvl w:val="1"/>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（3）实际水样比对</w:t>
      </w:r>
    </w:p>
    <w:p w14:paraId="5A831BE8">
      <w:pPr>
        <w:pStyle w:val="17"/>
        <w:keepNext w:val="0"/>
        <w:keepLines w:val="0"/>
        <w:pageBreakBefore w:val="0"/>
        <w:widowControl w:val="0"/>
        <w:kinsoku/>
        <w:wordWrap/>
        <w:overflowPunct/>
        <w:topLinePunct w:val="0"/>
        <w:bidi w:val="0"/>
        <w:snapToGrid/>
        <w:spacing w:line="520" w:lineRule="exact"/>
        <w:ind w:firstLine="560"/>
        <w:textAlignment w:val="auto"/>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每月至少开展一次实际水样比对工作。</w:t>
      </w:r>
    </w:p>
    <w:p w14:paraId="6B4B9AAF">
      <w:pPr>
        <w:keepNext w:val="0"/>
        <w:keepLines w:val="0"/>
        <w:pageBreakBefore w:val="0"/>
        <w:widowControl w:val="0"/>
        <w:tabs>
          <w:tab w:val="left" w:pos="2280"/>
        </w:tabs>
        <w:kinsoku/>
        <w:wordWrap/>
        <w:overflowPunct/>
        <w:topLinePunct w:val="0"/>
        <w:bidi w:val="0"/>
        <w:snapToGrid/>
        <w:spacing w:line="520" w:lineRule="exact"/>
        <w:ind w:firstLine="480" w:firstLineChars="200"/>
        <w:contextualSpacing/>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（三）水站运维考核办法</w:t>
      </w:r>
    </w:p>
    <w:p w14:paraId="40A7A45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1、考核办法</w:t>
      </w:r>
    </w:p>
    <w:p w14:paraId="4A90E12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射阳生态环境监测站（或委托其他单位）不定期对中标人开展运行维护工作考核，以每个水质自动站为单位进行考核。逐站依据上述维护内容就每周、每月、每年的维护质量和相关指标相结合的方式进行评分，满分为100分，得分大于等于80分为合格。</w:t>
      </w:r>
    </w:p>
    <w:p w14:paraId="031EE2A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2、惩罚办法</w:t>
      </w:r>
    </w:p>
    <w:p w14:paraId="3A6AA1E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2.1 一旦发现虚假数据，射阳生态环境监测站有权终止合同，并按已支付费用的双倍进行经济处罚。</w:t>
      </w:r>
    </w:p>
    <w:p w14:paraId="0887F7E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2.2不定期对各水站开展检查，每个站点单独考核，其中：</w:t>
      </w:r>
    </w:p>
    <w:p w14:paraId="23C355E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（1）单次考核结果在70—79分，扣除该站点当月运维款的10%，并责令整改；</w:t>
      </w:r>
    </w:p>
    <w:p w14:paraId="32FA24D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（2）单次考核结果在60—69分，扣除该站点当月运维款的30%，并责令整改；</w:t>
      </w:r>
    </w:p>
    <w:p w14:paraId="423FFD4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（3）单次核结果在60分以下，扣除该站当月全部运维款。</w:t>
      </w:r>
    </w:p>
    <w:p w14:paraId="4F8D5C1C">
      <w:pPr>
        <w:pStyle w:val="17"/>
        <w:keepNext w:val="0"/>
        <w:keepLines w:val="0"/>
        <w:pageBreakBefore w:val="0"/>
        <w:widowControl w:val="0"/>
        <w:kinsoku/>
        <w:wordWrap/>
        <w:overflowPunct/>
        <w:topLinePunct w:val="0"/>
        <w:bidi w:val="0"/>
        <w:snapToGrid/>
        <w:spacing w:line="520" w:lineRule="exact"/>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（4）单个站点连续3次考核不合格或单个站点全年有5次考核不合格的情况，射阳生态环境监测站有权终止合同，并扣除该站点当年运维款。</w:t>
      </w:r>
    </w:p>
    <w:p w14:paraId="630BE31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2.3如果中标人未经批准擅自更换运维人员，导致无法按质开展运维工作，或发生重大责任事故的，射阳生态环境监测站有权提前取消运维合同。</w:t>
      </w:r>
    </w:p>
    <w:p w14:paraId="69E7B42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2.4如果中标人未能有效开展运维工作，水站有效运行率连续2个月低于80%，射阳生态环境监测站有权提前取消运维合同。</w:t>
      </w:r>
    </w:p>
    <w:p w14:paraId="7AFFCF9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2.5因考核不合格解除合同前，射阳生态环境监测站将对水质自动站进行资产后评估，若达不到考核要求，将由中标人进行限期修复，或由新的托管方进行修复，并对托管站进行验收，所需费用由原中标人承担；如原中标人不配合业主工作，拒绝对水站仪器进行修复或支付费用的，射阳生态环境监测站有权将中标人列入黑名单并在全省生态环境系统内进行通报，并在2年内禁止中标人参与业主的其他所有项目的投标。</w:t>
      </w:r>
    </w:p>
    <w:p w14:paraId="6BF3082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3.其他规定</w:t>
      </w:r>
    </w:p>
    <w:p w14:paraId="4FAB666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运维机构有下列情形之一的，射阳生态环境监测站将扣除相应站点当月运行经费：迟报、漏报或不报审核数据的；拖延、阻碍、拒绝质量检查或飞行检查的；发现采样、分析、数据采集和传输等过程人为干扰，发现非运维人员进出站房，未按要求及时向射阳生态环境监测站报告的；其他不履行规定职责的情形。</w:t>
      </w:r>
    </w:p>
    <w:p w14:paraId="67ED7EA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在各类专项质量检查中，发现运维单位未达到射阳生态环境监测站运维质控要求时，根据对数据质量造成的影响程度，扣减相应站点当季度10%～100%运维经费；如未及时整改，加倍扣款。</w:t>
      </w:r>
    </w:p>
    <w:p w14:paraId="7D9D10B9">
      <w:pPr>
        <w:pStyle w:val="22"/>
        <w:keepNext w:val="0"/>
        <w:keepLines w:val="0"/>
        <w:pageBreakBefore w:val="0"/>
        <w:widowControl w:val="0"/>
        <w:kinsoku/>
        <w:wordWrap/>
        <w:overflowPunct/>
        <w:topLinePunct w:val="0"/>
        <w:autoSpaceDE/>
        <w:autoSpaceDN/>
        <w:bidi w:val="0"/>
        <w:adjustRightInd/>
        <w:snapToGrid w:val="0"/>
        <w:spacing w:line="520" w:lineRule="exact"/>
        <w:ind w:firstLine="482" w:firstLineChars="200"/>
        <w:textAlignment w:val="auto"/>
        <w:outlineLvl w:val="9"/>
        <w:rPr>
          <w:rFonts w:hint="eastAsia" w:ascii="宋体" w:hAnsi="宋体" w:eastAsia="宋体" w:cs="Times New Roman"/>
          <w:b/>
          <w:bCs/>
          <w:color w:val="000000"/>
          <w:kern w:val="2"/>
          <w:sz w:val="24"/>
          <w:szCs w:val="24"/>
          <w:lang w:val="en-US" w:eastAsia="zh-CN" w:bidi="ar-SA"/>
        </w:rPr>
      </w:pPr>
      <w:r>
        <w:rPr>
          <w:rFonts w:hint="eastAsia" w:ascii="宋体" w:hAnsi="宋体" w:cs="Times New Roman"/>
          <w:b/>
          <w:bCs/>
          <w:color w:val="000000"/>
          <w:kern w:val="2"/>
          <w:sz w:val="24"/>
          <w:szCs w:val="24"/>
          <w:lang w:val="en-US" w:eastAsia="zh-CN" w:bidi="ar-SA"/>
        </w:rPr>
        <w:t>二</w:t>
      </w:r>
      <w:r>
        <w:rPr>
          <w:rFonts w:hint="eastAsia" w:ascii="宋体" w:hAnsi="宋体" w:eastAsia="宋体" w:cs="Times New Roman"/>
          <w:b/>
          <w:bCs/>
          <w:color w:val="000000"/>
          <w:kern w:val="2"/>
          <w:sz w:val="24"/>
          <w:szCs w:val="24"/>
          <w:lang w:val="en-US" w:eastAsia="zh-CN" w:bidi="ar-SA"/>
        </w:rPr>
        <w:t>、重要说明</w:t>
      </w:r>
    </w:p>
    <w:p w14:paraId="7D309710">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1、投标方应保证所投标产品是全新未使用过的，并完全符合国家标准规定的质量、规格和性能的要求，</w:t>
      </w:r>
      <w:r>
        <w:rPr>
          <w:rFonts w:hint="eastAsia" w:ascii="宋体" w:hAnsi="宋体" w:eastAsia="宋体" w:cs="Times New Roman"/>
          <w:color w:val="000000"/>
          <w:kern w:val="2"/>
          <w:sz w:val="24"/>
          <w:szCs w:val="24"/>
          <w:lang w:val="en-US" w:eastAsia="zh-CN" w:bidi="ar-SA"/>
        </w:rPr>
        <w:t>所</w:t>
      </w:r>
      <w:r>
        <w:rPr>
          <w:rFonts w:hint="eastAsia" w:ascii="宋体" w:hAnsi="宋体" w:eastAsia="宋体" w:cs="Times New Roman"/>
          <w:color w:val="000000"/>
          <w:kern w:val="2"/>
          <w:sz w:val="24"/>
          <w:szCs w:val="24"/>
          <w:lang w:val="zh-CN" w:eastAsia="zh-CN" w:bidi="ar-SA"/>
        </w:rPr>
        <w:t>报配置为主要配置，其他按标准配置配备；不得在原厂标准配置的基础上减少或降低技术配置。在保质期内，投标方应对由设计、工艺或材料的缺陷而发生的任何不足或故障负责。</w:t>
      </w:r>
    </w:p>
    <w:p w14:paraId="46F43AF8">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2、投标货物技术规范偏离表：投标方根据所提供产品性能填写技术参数明细表，对于本招标文件的技术指标要求中不包含的项目可以在明细表中根据需要添加。技术指标响应情况，应有产品检测报告或者产品彩页证明或官网链接、截图证明等书面依据，这些材料应当扫描后编制在投标文件中。对于只填写“满足”而投标文件未体现相关证明材料的，不作为评审依据。</w:t>
      </w:r>
    </w:p>
    <w:p w14:paraId="2C59945B">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3、以上所投产品的指标项提供产品彩页证明或官网链接、截图证明等，如所提供的相关产品的指标与标书发布之日官网标称的产品指标不符，</w:t>
      </w:r>
      <w:r>
        <w:rPr>
          <w:rFonts w:hint="eastAsia" w:ascii="宋体" w:hAnsi="宋体" w:eastAsia="宋体" w:cs="Times New Roman"/>
          <w:color w:val="000000"/>
          <w:kern w:val="2"/>
          <w:sz w:val="24"/>
          <w:szCs w:val="24"/>
          <w:lang w:val="en-US" w:eastAsia="zh-CN" w:bidi="ar-SA"/>
        </w:rPr>
        <w:t>采购人</w:t>
      </w:r>
      <w:r>
        <w:rPr>
          <w:rFonts w:hint="eastAsia" w:ascii="宋体" w:hAnsi="宋体" w:eastAsia="宋体" w:cs="Times New Roman"/>
          <w:color w:val="000000"/>
          <w:kern w:val="2"/>
          <w:sz w:val="24"/>
          <w:szCs w:val="24"/>
          <w:lang w:val="zh-CN" w:eastAsia="zh-CN" w:bidi="ar-SA"/>
        </w:rPr>
        <w:t>将按照政府采购相关程序进行处理，产生的后果由投标人承担。</w:t>
      </w:r>
    </w:p>
    <w:p w14:paraId="17B8F9A9">
      <w:pPr>
        <w:pStyle w:val="22"/>
        <w:keepNext w:val="0"/>
        <w:keepLines w:val="0"/>
        <w:pageBreakBefore w:val="0"/>
        <w:widowControl w:val="0"/>
        <w:kinsoku/>
        <w:wordWrap/>
        <w:overflowPunct/>
        <w:topLinePunct w:val="0"/>
        <w:autoSpaceDE/>
        <w:autoSpaceDN/>
        <w:bidi w:val="0"/>
        <w:adjustRightInd/>
        <w:snapToGrid w:val="0"/>
        <w:spacing w:line="520" w:lineRule="exact"/>
        <w:ind w:firstLine="482" w:firstLineChars="200"/>
        <w:textAlignment w:val="auto"/>
        <w:outlineLvl w:val="9"/>
        <w:rPr>
          <w:rFonts w:hint="eastAsia" w:ascii="宋体" w:hAnsi="宋体" w:eastAsia="宋体" w:cs="Times New Roman"/>
          <w:b/>
          <w:bCs/>
          <w:color w:val="000000"/>
          <w:kern w:val="2"/>
          <w:sz w:val="24"/>
          <w:szCs w:val="24"/>
          <w:lang w:val="en-US" w:eastAsia="zh-CN" w:bidi="ar-SA"/>
        </w:rPr>
      </w:pPr>
      <w:r>
        <w:rPr>
          <w:rFonts w:hint="eastAsia" w:ascii="宋体" w:hAnsi="宋体" w:cs="Times New Roman"/>
          <w:b/>
          <w:bCs/>
          <w:color w:val="000000"/>
          <w:kern w:val="2"/>
          <w:sz w:val="24"/>
          <w:szCs w:val="24"/>
          <w:lang w:val="en-US" w:eastAsia="zh-CN" w:bidi="ar-SA"/>
        </w:rPr>
        <w:t>三</w:t>
      </w:r>
      <w:r>
        <w:rPr>
          <w:rFonts w:hint="eastAsia" w:ascii="宋体" w:hAnsi="宋体" w:eastAsia="宋体" w:cs="Times New Roman"/>
          <w:b/>
          <w:bCs/>
          <w:color w:val="000000"/>
          <w:kern w:val="2"/>
          <w:sz w:val="24"/>
          <w:szCs w:val="24"/>
          <w:lang w:val="en-US" w:eastAsia="zh-CN" w:bidi="ar-SA"/>
        </w:rPr>
        <w:t>、技术资料与服务</w:t>
      </w:r>
    </w:p>
    <w:p w14:paraId="657B9BCD">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1、各投标单位应对服务方式进行详细阐述，同时对售后时期维修人员到场时间以及回访频次进行明确的说明。</w:t>
      </w:r>
    </w:p>
    <w:p w14:paraId="693C2621">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2、提供产品合格证，质量保证书，仪器设备的安装、操作手册、工作软件说明书、维修保养手册等技术文件中文一份。</w:t>
      </w:r>
    </w:p>
    <w:p w14:paraId="09F563BF">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3、安装、校准与试运行：中标方技术员应按照</w:t>
      </w:r>
      <w:r>
        <w:rPr>
          <w:rFonts w:hint="eastAsia" w:ascii="宋体" w:hAnsi="宋体" w:eastAsia="宋体" w:cs="Times New Roman"/>
          <w:color w:val="000000"/>
          <w:kern w:val="2"/>
          <w:sz w:val="24"/>
          <w:szCs w:val="24"/>
          <w:lang w:val="en-US" w:eastAsia="zh-CN" w:bidi="ar-SA"/>
        </w:rPr>
        <w:t>采购人</w:t>
      </w:r>
      <w:r>
        <w:rPr>
          <w:rFonts w:hint="eastAsia" w:ascii="宋体" w:hAnsi="宋体" w:eastAsia="宋体" w:cs="Times New Roman"/>
          <w:color w:val="000000"/>
          <w:kern w:val="2"/>
          <w:sz w:val="24"/>
          <w:szCs w:val="24"/>
          <w:lang w:val="zh-CN" w:eastAsia="zh-CN" w:bidi="ar-SA"/>
        </w:rPr>
        <w:t>确定的时间在</w:t>
      </w:r>
      <w:r>
        <w:rPr>
          <w:rFonts w:hint="eastAsia" w:ascii="宋体" w:hAnsi="宋体" w:eastAsia="宋体" w:cs="Times New Roman"/>
          <w:color w:val="000000"/>
          <w:kern w:val="2"/>
          <w:sz w:val="24"/>
          <w:szCs w:val="24"/>
          <w:lang w:val="en-US" w:eastAsia="zh-CN" w:bidi="ar-SA"/>
        </w:rPr>
        <w:t>采购人</w:t>
      </w:r>
      <w:r>
        <w:rPr>
          <w:rFonts w:hint="eastAsia" w:ascii="宋体" w:hAnsi="宋体" w:eastAsia="宋体" w:cs="Times New Roman"/>
          <w:color w:val="000000"/>
          <w:kern w:val="2"/>
          <w:sz w:val="24"/>
          <w:szCs w:val="24"/>
          <w:lang w:val="zh-CN" w:eastAsia="zh-CN" w:bidi="ar-SA"/>
        </w:rPr>
        <w:t>所在地现场免费安装调试设备，技术指标合格后出具验收报告。</w:t>
      </w:r>
    </w:p>
    <w:p w14:paraId="2EF17C3F">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4、培训：中标人给采购人的至少两名技术人员提供1个工作日以上的培训（包括基本原理、安装调试、操作使用及日常维修）。</w:t>
      </w:r>
    </w:p>
    <w:p w14:paraId="2122A10B">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5、技术方案：具有健全的安装质量保证体系、切实可行的安装质量保证措施、有与设计配合的相关承诺；项目实施进度计划、项目调试方案针对性强、且切实可行；整套系统设备的验收资料指标体系完整，验收方法具有针对性和可操作性，资料齐全。</w:t>
      </w:r>
    </w:p>
    <w:p w14:paraId="3C986B17">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6、质保与维修：本项目的质量保证期（简称“质保期”）：自项目验收交付之日起总体项目提供不少于</w:t>
      </w:r>
      <w:r>
        <w:rPr>
          <w:rFonts w:hint="eastAsia" w:ascii="宋体" w:hAnsi="宋体" w:cs="Times New Roman"/>
          <w:color w:val="000000"/>
          <w:kern w:val="2"/>
          <w:sz w:val="24"/>
          <w:szCs w:val="24"/>
          <w:lang w:val="en-US" w:eastAsia="zh-CN" w:bidi="ar-SA"/>
        </w:rPr>
        <w:t>5</w:t>
      </w:r>
      <w:r>
        <w:rPr>
          <w:rFonts w:hint="eastAsia" w:ascii="宋体" w:hAnsi="宋体" w:eastAsia="宋体" w:cs="Times New Roman"/>
          <w:color w:val="000000"/>
          <w:kern w:val="2"/>
          <w:sz w:val="24"/>
          <w:szCs w:val="24"/>
          <w:lang w:val="zh-CN" w:eastAsia="zh-CN" w:bidi="ar-SA"/>
        </w:rPr>
        <w:t>年质量保证期（若国家和/或生产厂家对本项目所涉及货物的质量保证期的规定高于本项目的要求，应按国家和/或生产厂家的规定执行）。</w:t>
      </w:r>
    </w:p>
    <w:p w14:paraId="35154BCC">
      <w:pPr>
        <w:pStyle w:val="22"/>
        <w:keepNext w:val="0"/>
        <w:keepLines w:val="0"/>
        <w:pageBreakBefore w:val="0"/>
        <w:widowControl w:val="0"/>
        <w:kinsoku/>
        <w:wordWrap/>
        <w:overflowPunct/>
        <w:topLinePunct w:val="0"/>
        <w:autoSpaceDE/>
        <w:autoSpaceDN/>
        <w:bidi w:val="0"/>
        <w:adjustRightInd/>
        <w:snapToGrid w:val="0"/>
        <w:spacing w:line="520" w:lineRule="exact"/>
        <w:ind w:firstLine="482" w:firstLineChars="200"/>
        <w:textAlignment w:val="auto"/>
        <w:outlineLvl w:val="9"/>
        <w:rPr>
          <w:rFonts w:hint="eastAsia" w:ascii="宋体" w:hAnsi="宋体" w:eastAsia="宋体" w:cs="Times New Roman"/>
          <w:b/>
          <w:bCs/>
          <w:color w:val="000000"/>
          <w:kern w:val="2"/>
          <w:sz w:val="24"/>
          <w:szCs w:val="24"/>
          <w:lang w:val="zh-CN" w:eastAsia="zh-CN" w:bidi="ar-SA"/>
        </w:rPr>
      </w:pPr>
      <w:r>
        <w:rPr>
          <w:rFonts w:hint="eastAsia" w:ascii="宋体" w:hAnsi="宋体" w:cs="Times New Roman"/>
          <w:b/>
          <w:bCs/>
          <w:color w:val="000000"/>
          <w:kern w:val="2"/>
          <w:sz w:val="24"/>
          <w:szCs w:val="24"/>
          <w:lang w:val="en-US" w:eastAsia="zh-CN" w:bidi="ar-SA"/>
        </w:rPr>
        <w:t>四</w:t>
      </w:r>
      <w:r>
        <w:rPr>
          <w:rFonts w:hint="eastAsia" w:ascii="宋体" w:hAnsi="宋体" w:eastAsia="宋体" w:cs="Times New Roman"/>
          <w:b/>
          <w:bCs/>
          <w:color w:val="000000"/>
          <w:kern w:val="2"/>
          <w:sz w:val="24"/>
          <w:szCs w:val="24"/>
          <w:lang w:val="zh-CN" w:eastAsia="zh-CN" w:bidi="ar-SA"/>
        </w:rPr>
        <w:t>、安全管理要求</w:t>
      </w:r>
    </w:p>
    <w:p w14:paraId="41586330">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为贯彻“安全第一，预防为主”方针，中标方在项目安装调试现场施工过程中，必须遵守国家和地方关于劳动安全、劳务用工等法律法规及规章制度，制定严格的安全措施，加强安全监督管理，对工程施工过程中发生的人身伤害、设备损坏事故承担安全责任，并按国家有关规定，为施工人员进行人身保险，配备合格的劳动防护用品、安全用具。</w:t>
      </w:r>
    </w:p>
    <w:p w14:paraId="5F57D13A">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若发生安全问题，由中标方（施工单位）自行负责处理并承担一切经济和法律责任，其与</w:t>
      </w:r>
      <w:r>
        <w:rPr>
          <w:rFonts w:hint="eastAsia" w:ascii="宋体" w:hAnsi="宋体" w:eastAsia="宋体" w:cs="Times New Roman"/>
          <w:color w:val="000000"/>
          <w:kern w:val="2"/>
          <w:sz w:val="24"/>
          <w:szCs w:val="24"/>
          <w:lang w:val="en-US" w:eastAsia="zh-CN" w:bidi="ar-SA"/>
        </w:rPr>
        <w:t>采购人</w:t>
      </w:r>
      <w:r>
        <w:rPr>
          <w:rFonts w:hint="eastAsia" w:ascii="宋体" w:hAnsi="宋体" w:eastAsia="宋体" w:cs="Times New Roman"/>
          <w:color w:val="000000"/>
          <w:kern w:val="2"/>
          <w:sz w:val="24"/>
          <w:szCs w:val="24"/>
          <w:lang w:val="zh-CN" w:eastAsia="zh-CN" w:bidi="ar-SA"/>
        </w:rPr>
        <w:t>一切无关，同时按合同要求保证施工进度，按时完工。</w:t>
      </w:r>
    </w:p>
    <w:p w14:paraId="3C265214">
      <w:pPr>
        <w:pStyle w:val="22"/>
        <w:keepNext w:val="0"/>
        <w:keepLines w:val="0"/>
        <w:pageBreakBefore w:val="0"/>
        <w:widowControl w:val="0"/>
        <w:kinsoku/>
        <w:wordWrap/>
        <w:overflowPunct/>
        <w:topLinePunct w:val="0"/>
        <w:autoSpaceDE/>
        <w:autoSpaceDN/>
        <w:bidi w:val="0"/>
        <w:adjustRightInd/>
        <w:snapToGrid w:val="0"/>
        <w:spacing w:line="520" w:lineRule="exact"/>
        <w:ind w:firstLine="482" w:firstLineChars="200"/>
        <w:textAlignment w:val="auto"/>
        <w:outlineLvl w:val="9"/>
        <w:rPr>
          <w:rFonts w:hint="eastAsia" w:ascii="宋体" w:hAnsi="宋体" w:eastAsia="宋体" w:cs="Times New Roman"/>
          <w:b/>
          <w:bCs/>
          <w:color w:val="000000"/>
          <w:kern w:val="2"/>
          <w:sz w:val="24"/>
          <w:szCs w:val="24"/>
          <w:lang w:val="zh-CN" w:eastAsia="zh-CN" w:bidi="ar-SA"/>
        </w:rPr>
      </w:pPr>
      <w:r>
        <w:rPr>
          <w:rFonts w:hint="eastAsia" w:ascii="宋体" w:hAnsi="宋体" w:cs="Times New Roman"/>
          <w:b/>
          <w:bCs/>
          <w:color w:val="000000"/>
          <w:kern w:val="2"/>
          <w:sz w:val="24"/>
          <w:szCs w:val="24"/>
          <w:lang w:val="en-US" w:eastAsia="zh-CN" w:bidi="ar-SA"/>
        </w:rPr>
        <w:t>五</w:t>
      </w:r>
      <w:r>
        <w:rPr>
          <w:rFonts w:hint="eastAsia" w:ascii="宋体" w:hAnsi="宋体" w:eastAsia="宋体" w:cs="Times New Roman"/>
          <w:b/>
          <w:bCs/>
          <w:color w:val="000000"/>
          <w:kern w:val="2"/>
          <w:sz w:val="24"/>
          <w:szCs w:val="24"/>
          <w:lang w:val="zh-CN" w:eastAsia="zh-CN" w:bidi="ar-SA"/>
        </w:rPr>
        <w:t>、验收要求</w:t>
      </w:r>
    </w:p>
    <w:p w14:paraId="000AAF73">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1、总体要求</w:t>
      </w:r>
    </w:p>
    <w:p w14:paraId="5904439E">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en-US" w:eastAsia="zh-CN" w:bidi="ar-SA"/>
        </w:rPr>
        <w:t>本项目验收主要为</w:t>
      </w:r>
      <w:r>
        <w:rPr>
          <w:rFonts w:hint="eastAsia" w:ascii="宋体" w:hAnsi="宋体" w:eastAsia="宋体" w:cs="Times New Roman"/>
          <w:color w:val="000000"/>
          <w:kern w:val="2"/>
          <w:sz w:val="24"/>
          <w:szCs w:val="24"/>
          <w:lang w:val="zh-CN" w:eastAsia="zh-CN" w:bidi="ar-SA"/>
        </w:rPr>
        <w:t>仪器设备验收，按照国家《地表水自动监测技术规范（HJ</w:t>
      </w:r>
      <w:r>
        <w:rPr>
          <w:rFonts w:hint="eastAsia"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zh-CN" w:eastAsia="zh-CN" w:bidi="ar-SA"/>
        </w:rPr>
        <w:t>915-2017）》进行比对验收，实际水样比对需经过第三方CMA</w:t>
      </w:r>
      <w:r>
        <w:rPr>
          <w:rFonts w:hint="eastAsia" w:ascii="宋体" w:hAnsi="宋体" w:eastAsia="宋体" w:cs="Times New Roman"/>
          <w:color w:val="000000"/>
          <w:kern w:val="2"/>
          <w:sz w:val="24"/>
          <w:szCs w:val="24"/>
          <w:lang w:val="en-US" w:eastAsia="zh-CN" w:bidi="ar-SA"/>
        </w:rPr>
        <w:t>或CNAS</w:t>
      </w:r>
      <w:r>
        <w:rPr>
          <w:rFonts w:hint="eastAsia" w:ascii="宋体" w:hAnsi="宋体" w:eastAsia="宋体" w:cs="Times New Roman"/>
          <w:color w:val="000000"/>
          <w:kern w:val="2"/>
          <w:sz w:val="24"/>
          <w:szCs w:val="24"/>
          <w:lang w:val="zh-CN" w:eastAsia="zh-CN" w:bidi="ar-SA"/>
        </w:rPr>
        <w:t>实验室，并由其出具比对合格报告。</w:t>
      </w:r>
    </w:p>
    <w:p w14:paraId="5713D7C3">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2、验收程序</w:t>
      </w:r>
    </w:p>
    <w:p w14:paraId="78202F65">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1</w:t>
      </w:r>
      <w:r>
        <w:rPr>
          <w:rFonts w:hint="eastAsia" w:ascii="宋体" w:hAnsi="宋体" w:eastAsia="宋体" w:cs="Times New Roman"/>
          <w:color w:val="000000"/>
          <w:kern w:val="2"/>
          <w:sz w:val="24"/>
          <w:szCs w:val="24"/>
          <w:lang w:val="zh-CN" w:eastAsia="zh-CN" w:bidi="ar-SA"/>
        </w:rPr>
        <w:t>）进行仪器性能测试和实验室比对，并按规定时间进行试运行；</w:t>
      </w:r>
    </w:p>
    <w:p w14:paraId="688E69CF">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zh-CN" w:eastAsia="zh-CN" w:bidi="ar-SA"/>
        </w:rPr>
        <w:t>）编制验收报告，提出验收申请；</w:t>
      </w:r>
    </w:p>
    <w:p w14:paraId="6AFD416C">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3</w:t>
      </w:r>
      <w:r>
        <w:rPr>
          <w:rFonts w:hint="eastAsia" w:ascii="宋体" w:hAnsi="宋体" w:eastAsia="宋体" w:cs="Times New Roman"/>
          <w:color w:val="000000"/>
          <w:kern w:val="2"/>
          <w:sz w:val="24"/>
          <w:szCs w:val="24"/>
          <w:lang w:val="zh-CN" w:eastAsia="zh-CN" w:bidi="ar-SA"/>
        </w:rPr>
        <w:t>）检查现场完成情况，组织召开验收会，形成验收意见；</w:t>
      </w:r>
    </w:p>
    <w:p w14:paraId="03C6323D">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4</w:t>
      </w:r>
      <w:r>
        <w:rPr>
          <w:rFonts w:hint="eastAsia" w:ascii="宋体" w:hAnsi="宋体" w:eastAsia="宋体" w:cs="Times New Roman"/>
          <w:color w:val="000000"/>
          <w:kern w:val="2"/>
          <w:sz w:val="24"/>
          <w:szCs w:val="24"/>
          <w:lang w:val="zh-CN" w:eastAsia="zh-CN" w:bidi="ar-SA"/>
        </w:rPr>
        <w:t>）整理验收资料并存档。</w:t>
      </w:r>
    </w:p>
    <w:p w14:paraId="43E125FC">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3、验收基本条件</w:t>
      </w:r>
    </w:p>
    <w:p w14:paraId="179B2265">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en-US" w:eastAsia="zh-CN" w:bidi="ar-SA"/>
        </w:rPr>
        <w:t>项目</w:t>
      </w:r>
      <w:r>
        <w:rPr>
          <w:rFonts w:hint="eastAsia" w:ascii="宋体" w:hAnsi="宋体" w:eastAsia="宋体" w:cs="Times New Roman"/>
          <w:color w:val="000000"/>
          <w:kern w:val="2"/>
          <w:sz w:val="24"/>
          <w:szCs w:val="24"/>
          <w:lang w:val="zh-CN" w:eastAsia="zh-CN" w:bidi="ar-SA"/>
        </w:rPr>
        <w:t>验收应具备以下条件：</w:t>
      </w:r>
    </w:p>
    <w:p w14:paraId="462D8F45">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1</w:t>
      </w:r>
      <w:r>
        <w:rPr>
          <w:rFonts w:hint="eastAsia" w:ascii="宋体" w:hAnsi="宋体" w:eastAsia="宋体" w:cs="Times New Roman"/>
          <w:color w:val="000000"/>
          <w:kern w:val="2"/>
          <w:sz w:val="24"/>
          <w:szCs w:val="24"/>
          <w:lang w:val="zh-CN" w:eastAsia="zh-CN" w:bidi="ar-SA"/>
        </w:rPr>
        <w:t>）监测仪器设备及配件按照合同约定供货，外观无损；</w:t>
      </w:r>
    </w:p>
    <w:p w14:paraId="4EA29B12">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zh-CN" w:eastAsia="zh-CN" w:bidi="ar-SA"/>
        </w:rPr>
        <w:t>）完成仪器性能测试、比对实验，技术指标满足国家相关技术规范和合同的要求；</w:t>
      </w:r>
    </w:p>
    <w:p w14:paraId="0BC2EDDE">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en-US" w:eastAsia="zh-CN" w:bidi="ar-SA"/>
        </w:rPr>
        <w:t>（3）</w:t>
      </w:r>
      <w:r>
        <w:rPr>
          <w:rFonts w:hint="eastAsia" w:ascii="宋体" w:hAnsi="宋体" w:eastAsia="宋体" w:cs="Times New Roman"/>
          <w:color w:val="000000"/>
          <w:kern w:val="2"/>
          <w:sz w:val="24"/>
          <w:szCs w:val="24"/>
          <w:lang w:val="zh-CN" w:eastAsia="zh-CN" w:bidi="ar-SA"/>
        </w:rPr>
        <w:t>完成水质自动监测</w:t>
      </w:r>
      <w:r>
        <w:rPr>
          <w:rFonts w:hint="eastAsia" w:ascii="宋体" w:hAnsi="宋体" w:eastAsia="宋体" w:cs="Times New Roman"/>
          <w:color w:val="000000"/>
          <w:kern w:val="2"/>
          <w:sz w:val="24"/>
          <w:szCs w:val="24"/>
          <w:lang w:val="en-US" w:eastAsia="zh-CN" w:bidi="ar-SA"/>
        </w:rPr>
        <w:t>设备</w:t>
      </w:r>
      <w:r>
        <w:rPr>
          <w:rFonts w:hint="eastAsia" w:ascii="宋体" w:hAnsi="宋体" w:eastAsia="宋体" w:cs="Times New Roman"/>
          <w:color w:val="000000"/>
          <w:kern w:val="2"/>
          <w:sz w:val="24"/>
          <w:szCs w:val="24"/>
          <w:lang w:val="zh-CN" w:eastAsia="zh-CN" w:bidi="ar-SA"/>
        </w:rPr>
        <w:t>的通讯测试，水站数据上传至数据平台；</w:t>
      </w:r>
    </w:p>
    <w:p w14:paraId="1E1B8E02">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4</w:t>
      </w:r>
      <w:r>
        <w:rPr>
          <w:rFonts w:hint="eastAsia" w:ascii="宋体" w:hAnsi="宋体" w:eastAsia="宋体" w:cs="Times New Roman"/>
          <w:color w:val="000000"/>
          <w:kern w:val="2"/>
          <w:sz w:val="24"/>
          <w:szCs w:val="24"/>
          <w:lang w:val="zh-CN" w:eastAsia="zh-CN" w:bidi="ar-SA"/>
        </w:rPr>
        <w:t>）完成地表水水质自动监测系统至少连续 30 天的运行；</w:t>
      </w:r>
    </w:p>
    <w:p w14:paraId="6A7B1D83">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5</w:t>
      </w:r>
      <w:r>
        <w:rPr>
          <w:rFonts w:hint="eastAsia" w:ascii="宋体" w:hAnsi="宋体" w:eastAsia="宋体" w:cs="Times New Roman"/>
          <w:color w:val="000000"/>
          <w:kern w:val="2"/>
          <w:sz w:val="24"/>
          <w:szCs w:val="24"/>
          <w:lang w:val="zh-CN" w:eastAsia="zh-CN" w:bidi="ar-SA"/>
        </w:rPr>
        <w:t>）建立地表水水质自动监测系统档案，编制验收报告。</w:t>
      </w:r>
    </w:p>
    <w:p w14:paraId="4730F0B2">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4、验收内容</w:t>
      </w:r>
    </w:p>
    <w:p w14:paraId="4DC5867D">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1</w:t>
      </w:r>
      <w:r>
        <w:rPr>
          <w:rFonts w:hint="eastAsia" w:ascii="宋体" w:hAnsi="宋体" w:eastAsia="宋体" w:cs="Times New Roman"/>
          <w:color w:val="000000"/>
          <w:kern w:val="2"/>
          <w:sz w:val="24"/>
          <w:szCs w:val="24"/>
          <w:lang w:val="zh-CN" w:eastAsia="zh-CN" w:bidi="ar-SA"/>
        </w:rPr>
        <w:t>）仪器设备到货验收</w:t>
      </w:r>
    </w:p>
    <w:p w14:paraId="7B65A083">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依据合同对每台自动监测仪器设备进行清点；按照装箱单核对具体设备、</w:t>
      </w:r>
      <w:r>
        <w:rPr>
          <w:rFonts w:hint="eastAsia" w:ascii="宋体" w:hAnsi="宋体" w:cs="Times New Roman"/>
          <w:color w:val="000000"/>
          <w:kern w:val="2"/>
          <w:sz w:val="24"/>
          <w:szCs w:val="24"/>
          <w:lang w:val="en-US" w:eastAsia="zh-CN" w:bidi="ar-SA"/>
        </w:rPr>
        <w:t>配</w:t>
      </w:r>
      <w:r>
        <w:rPr>
          <w:rFonts w:hint="eastAsia" w:ascii="宋体" w:hAnsi="宋体" w:eastAsia="宋体" w:cs="Times New Roman"/>
          <w:color w:val="000000"/>
          <w:kern w:val="2"/>
          <w:sz w:val="24"/>
          <w:szCs w:val="24"/>
          <w:lang w:val="zh-CN" w:eastAsia="zh-CN" w:bidi="ar-SA"/>
        </w:rPr>
        <w:t>件的出厂编号和数量；检查设备、</w:t>
      </w:r>
      <w:r>
        <w:rPr>
          <w:rFonts w:hint="eastAsia" w:ascii="宋体" w:hAnsi="宋体" w:cs="Times New Roman"/>
          <w:color w:val="000000"/>
          <w:kern w:val="2"/>
          <w:sz w:val="24"/>
          <w:szCs w:val="24"/>
          <w:lang w:val="en-US" w:eastAsia="zh-CN" w:bidi="ar-SA"/>
        </w:rPr>
        <w:t>配</w:t>
      </w:r>
      <w:r>
        <w:rPr>
          <w:rFonts w:hint="eastAsia" w:ascii="宋体" w:hAnsi="宋体" w:eastAsia="宋体" w:cs="Times New Roman"/>
          <w:color w:val="000000"/>
          <w:kern w:val="2"/>
          <w:sz w:val="24"/>
          <w:szCs w:val="24"/>
          <w:lang w:val="zh-CN" w:eastAsia="zh-CN" w:bidi="ar-SA"/>
        </w:rPr>
        <w:t>件的外观，对出现外观损坏的部位拍照并按合同约定进行处理。</w:t>
      </w:r>
    </w:p>
    <w:p w14:paraId="1DD862E7">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en-US" w:eastAsia="zh-CN" w:bidi="ar-SA"/>
        </w:rPr>
        <w:t>（2）</w:t>
      </w:r>
      <w:r>
        <w:rPr>
          <w:rFonts w:hint="eastAsia" w:ascii="宋体" w:hAnsi="宋体" w:eastAsia="宋体" w:cs="Times New Roman"/>
          <w:color w:val="000000"/>
          <w:kern w:val="2"/>
          <w:sz w:val="24"/>
          <w:szCs w:val="24"/>
          <w:lang w:val="zh-CN" w:eastAsia="zh-CN" w:bidi="ar-SA"/>
        </w:rPr>
        <w:t>仪器设备性能验收</w:t>
      </w:r>
    </w:p>
    <w:p w14:paraId="7B1B7F35">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仪器设备性能验收主要是针对</w:t>
      </w:r>
      <w:r>
        <w:rPr>
          <w:rFonts w:hint="eastAsia" w:ascii="宋体" w:hAnsi="宋体" w:eastAsia="宋体" w:cs="Times New Roman"/>
          <w:color w:val="000000"/>
          <w:kern w:val="2"/>
          <w:sz w:val="24"/>
          <w:szCs w:val="24"/>
          <w:lang w:val="en-US" w:eastAsia="zh-CN" w:bidi="ar-SA"/>
        </w:rPr>
        <w:t>国家</w:t>
      </w:r>
      <w:r>
        <w:rPr>
          <w:rFonts w:hint="eastAsia" w:ascii="宋体" w:hAnsi="宋体" w:eastAsia="宋体" w:cs="Times New Roman"/>
          <w:color w:val="000000"/>
          <w:kern w:val="2"/>
          <w:sz w:val="24"/>
          <w:szCs w:val="24"/>
          <w:lang w:val="zh-CN" w:eastAsia="zh-CN" w:bidi="ar-SA"/>
        </w:rPr>
        <w:t>《地表水自动监测技术规范 HJ</w:t>
      </w:r>
      <w:r>
        <w:rPr>
          <w:rFonts w:hint="eastAsia"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zh-CN" w:eastAsia="zh-CN" w:bidi="ar-SA"/>
        </w:rPr>
        <w:t>915-2017》中规定的仪器设备性能指标进行测试，每台设备都应在符合要求的环境中进行，检验指标和判定标准</w:t>
      </w:r>
      <w:r>
        <w:rPr>
          <w:rFonts w:hint="eastAsia" w:ascii="宋体" w:hAnsi="宋体" w:eastAsia="宋体" w:cs="Times New Roman"/>
          <w:color w:val="000000"/>
          <w:kern w:val="2"/>
          <w:sz w:val="24"/>
          <w:szCs w:val="24"/>
          <w:lang w:val="en-US" w:eastAsia="zh-CN" w:bidi="ar-SA"/>
        </w:rPr>
        <w:t>参照国家</w:t>
      </w:r>
      <w:r>
        <w:rPr>
          <w:rFonts w:hint="eastAsia" w:ascii="宋体" w:hAnsi="宋体" w:eastAsia="宋体" w:cs="Times New Roman"/>
          <w:color w:val="000000"/>
          <w:kern w:val="2"/>
          <w:sz w:val="24"/>
          <w:szCs w:val="24"/>
          <w:lang w:val="zh-CN" w:eastAsia="zh-CN" w:bidi="ar-SA"/>
        </w:rPr>
        <w:t>《地表水自动监测技术规范（ HJ</w:t>
      </w:r>
      <w:r>
        <w:rPr>
          <w:rFonts w:hint="eastAsia"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zh-CN" w:eastAsia="zh-CN" w:bidi="ar-SA"/>
        </w:rPr>
        <w:t>915-2017）》附录 A 表 A.2 中的相关指标</w:t>
      </w:r>
      <w:r>
        <w:rPr>
          <w:rFonts w:hint="eastAsia" w:ascii="宋体" w:hAnsi="宋体" w:eastAsia="宋体" w:cs="Times New Roman"/>
          <w:color w:val="000000"/>
          <w:kern w:val="2"/>
          <w:sz w:val="24"/>
          <w:szCs w:val="24"/>
          <w:lang w:val="en-US" w:eastAsia="zh-CN" w:bidi="ar-SA"/>
        </w:rPr>
        <w:t>执行</w:t>
      </w:r>
      <w:r>
        <w:rPr>
          <w:rFonts w:hint="eastAsia" w:ascii="宋体" w:hAnsi="宋体" w:eastAsia="宋体" w:cs="Times New Roman"/>
          <w:color w:val="000000"/>
          <w:kern w:val="2"/>
          <w:sz w:val="24"/>
          <w:szCs w:val="24"/>
          <w:lang w:val="zh-CN" w:eastAsia="zh-CN" w:bidi="ar-SA"/>
        </w:rPr>
        <w:t>。验收的主要内容包括但不限于以下内容：仪器安装、通电、预热测试，仪器初始化测试，仪器基本功能核查，检出限、准确度、精密度、标准曲线检查，零点漂移、量程漂移和响应时间检查，重复性或重复性误差检查，实际水样比对，记录结果并汇总。</w:t>
      </w:r>
    </w:p>
    <w:p w14:paraId="424AE266">
      <w:pPr>
        <w:pStyle w:val="22"/>
        <w:keepNext w:val="0"/>
        <w:keepLines w:val="0"/>
        <w:pageBreakBefore w:val="0"/>
        <w:widowControl w:val="0"/>
        <w:kinsoku/>
        <w:wordWrap/>
        <w:overflowPunct/>
        <w:topLinePunct w:val="0"/>
        <w:autoSpaceDE/>
        <w:autoSpaceDN/>
        <w:bidi w:val="0"/>
        <w:adjustRightInd/>
        <w:snapToGrid w:val="0"/>
        <w:spacing w:line="520" w:lineRule="exact"/>
        <w:ind w:firstLine="240" w:firstLineChars="1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w:t>
      </w:r>
      <w:r>
        <w:rPr>
          <w:rFonts w:hint="eastAsia" w:ascii="宋体" w:hAnsi="宋体" w:eastAsia="宋体" w:cs="Times New Roman"/>
          <w:color w:val="000000"/>
          <w:kern w:val="2"/>
          <w:sz w:val="24"/>
          <w:szCs w:val="24"/>
          <w:lang w:val="en-US" w:eastAsia="zh-CN" w:bidi="ar-SA"/>
        </w:rPr>
        <w:t>3</w:t>
      </w:r>
      <w:r>
        <w:rPr>
          <w:rFonts w:hint="eastAsia" w:ascii="宋体" w:hAnsi="宋体" w:eastAsia="宋体" w:cs="Times New Roman"/>
          <w:color w:val="000000"/>
          <w:kern w:val="2"/>
          <w:sz w:val="24"/>
          <w:szCs w:val="24"/>
          <w:lang w:val="zh-CN" w:eastAsia="zh-CN" w:bidi="ar-SA"/>
        </w:rPr>
        <w:t>）数据</w:t>
      </w:r>
      <w:r>
        <w:rPr>
          <w:rFonts w:hint="eastAsia" w:ascii="宋体" w:hAnsi="宋体" w:eastAsia="宋体" w:cs="Times New Roman"/>
          <w:color w:val="000000"/>
          <w:kern w:val="2"/>
          <w:sz w:val="24"/>
          <w:szCs w:val="24"/>
          <w:lang w:val="en-US" w:eastAsia="zh-CN" w:bidi="ar-SA"/>
        </w:rPr>
        <w:t>采集</w:t>
      </w:r>
      <w:r>
        <w:rPr>
          <w:rFonts w:hint="eastAsia" w:ascii="宋体" w:hAnsi="宋体" w:eastAsia="宋体" w:cs="Times New Roman"/>
          <w:color w:val="000000"/>
          <w:kern w:val="2"/>
          <w:sz w:val="24"/>
          <w:szCs w:val="24"/>
          <w:lang w:val="zh-CN" w:eastAsia="zh-CN" w:bidi="ar-SA"/>
        </w:rPr>
        <w:t>传输验收</w:t>
      </w:r>
    </w:p>
    <w:p w14:paraId="4AFE17A0">
      <w:pPr>
        <w:pStyle w:val="22"/>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auto"/>
        <w:outlineLvl w:val="9"/>
        <w:rPr>
          <w:rFonts w:hint="eastAsia" w:ascii="宋体" w:hAnsi="宋体" w:eastAsia="宋体" w:cs="Times New Roman"/>
          <w:color w:val="000000"/>
          <w:kern w:val="2"/>
          <w:sz w:val="24"/>
          <w:szCs w:val="24"/>
          <w:lang w:val="zh-CN" w:eastAsia="zh-CN" w:bidi="ar-SA"/>
        </w:rPr>
      </w:pPr>
      <w:r>
        <w:rPr>
          <w:rFonts w:hint="eastAsia" w:ascii="宋体" w:hAnsi="宋体" w:eastAsia="宋体" w:cs="Times New Roman"/>
          <w:color w:val="000000"/>
          <w:kern w:val="2"/>
          <w:sz w:val="24"/>
          <w:szCs w:val="24"/>
          <w:lang w:val="zh-CN" w:eastAsia="zh-CN" w:bidi="ar-SA"/>
        </w:rPr>
        <w:t>在自动监测仪器设备性能验收合格的前提下，检查自动监测</w:t>
      </w:r>
      <w:r>
        <w:rPr>
          <w:rFonts w:hint="eastAsia" w:ascii="宋体" w:hAnsi="宋体" w:eastAsia="宋体" w:cs="Times New Roman"/>
          <w:color w:val="000000"/>
          <w:kern w:val="2"/>
          <w:sz w:val="24"/>
          <w:szCs w:val="24"/>
          <w:lang w:val="en-US" w:eastAsia="zh-CN" w:bidi="ar-SA"/>
        </w:rPr>
        <w:t>仪器</w:t>
      </w:r>
      <w:r>
        <w:rPr>
          <w:rFonts w:hint="eastAsia" w:ascii="宋体" w:hAnsi="宋体" w:eastAsia="宋体" w:cs="Times New Roman"/>
          <w:color w:val="000000"/>
          <w:kern w:val="2"/>
          <w:sz w:val="24"/>
          <w:szCs w:val="24"/>
          <w:lang w:val="zh-CN" w:eastAsia="zh-CN" w:bidi="ar-SA"/>
        </w:rPr>
        <w:t>数据传输是否达到国家标准及合同有关技术指标的要求。</w:t>
      </w:r>
    </w:p>
    <w:p w14:paraId="5FA52D64">
      <w:pPr>
        <w:keepNext w:val="0"/>
        <w:keepLines w:val="0"/>
        <w:pageBreakBefore w:val="0"/>
        <w:widowControl/>
        <w:shd w:val="clear" w:color="auto" w:fill="FFFFFF"/>
        <w:kinsoku/>
        <w:wordWrap/>
        <w:overflowPunct/>
        <w:topLinePunct w:val="0"/>
        <w:autoSpaceDE/>
        <w:autoSpaceDN/>
        <w:bidi w:val="0"/>
        <w:adjustRightInd/>
        <w:spacing w:line="520" w:lineRule="exact"/>
        <w:ind w:firstLine="482" w:firstLineChars="200"/>
        <w:jc w:val="left"/>
        <w:outlineLvl w:val="9"/>
        <w:rPr>
          <w:rFonts w:hint="eastAsia" w:ascii="宋体" w:hAnsi="宋体"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六、合同履行期限及地点：</w:t>
      </w:r>
    </w:p>
    <w:p w14:paraId="50F52F59">
      <w:pPr>
        <w:keepNext w:val="0"/>
        <w:keepLines w:val="0"/>
        <w:pageBreakBefore w:val="0"/>
        <w:kinsoku/>
        <w:wordWrap/>
        <w:overflowPunct/>
        <w:topLinePunct w:val="0"/>
        <w:bidi w:val="0"/>
        <w:spacing w:line="520" w:lineRule="exact"/>
        <w:ind w:firstLine="480" w:firstLineChars="200"/>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合同履行期限：合同签订后30天内供货到采购人指定地点，并经安装调试验收合格。自验收合格日起提供一年免费运维服务。</w:t>
      </w:r>
    </w:p>
    <w:p w14:paraId="538E2FD1">
      <w:pPr>
        <w:keepNext w:val="0"/>
        <w:keepLines w:val="0"/>
        <w:pageBreakBefore w:val="0"/>
        <w:kinsoku/>
        <w:wordWrap/>
        <w:overflowPunct/>
        <w:topLinePunct w:val="0"/>
        <w:autoSpaceDE/>
        <w:autoSpaceDN/>
        <w:bidi w:val="0"/>
        <w:spacing w:line="520" w:lineRule="exact"/>
        <w:ind w:firstLine="480" w:firstLineChars="200"/>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地点：采购方指定地点。</w:t>
      </w:r>
    </w:p>
    <w:p w14:paraId="671E0CA2">
      <w:pPr>
        <w:keepNext w:val="0"/>
        <w:keepLines w:val="0"/>
        <w:pageBreakBefore w:val="0"/>
        <w:kinsoku/>
        <w:wordWrap/>
        <w:overflowPunct/>
        <w:topLinePunct w:val="0"/>
        <w:autoSpaceDE/>
        <w:autoSpaceDN/>
        <w:bidi w:val="0"/>
        <w:spacing w:line="520" w:lineRule="exact"/>
        <w:ind w:firstLine="482" w:firstLineChars="200"/>
        <w:outlineLvl w:val="9"/>
        <w:rPr>
          <w:rFonts w:hint="eastAsia" w:ascii="宋体" w:hAnsi="宋体"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 xml:space="preserve">七、付款方式: </w:t>
      </w:r>
    </w:p>
    <w:p w14:paraId="59ECB097">
      <w:pPr>
        <w:keepNext w:val="0"/>
        <w:keepLines w:val="0"/>
        <w:pageBreakBefore w:val="0"/>
        <w:kinsoku/>
        <w:wordWrap/>
        <w:overflowPunct/>
        <w:topLinePunct w:val="0"/>
        <w:bidi w:val="0"/>
        <w:spacing w:line="520" w:lineRule="exact"/>
        <w:ind w:firstLine="480" w:firstLineChars="200"/>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合同签订时，经甲方与乙方根据实际情况协商一致，支付合同总价的30%作为项目启动预付款（甲方在收到发票后 10个工作日内将预付款支付到合同约定的乙方账户）；</w:t>
      </w:r>
    </w:p>
    <w:p w14:paraId="6349E529">
      <w:pPr>
        <w:keepNext w:val="0"/>
        <w:keepLines w:val="0"/>
        <w:pageBreakBefore w:val="0"/>
        <w:kinsoku/>
        <w:wordWrap/>
        <w:overflowPunct/>
        <w:topLinePunct w:val="0"/>
        <w:bidi w:val="0"/>
        <w:spacing w:line="520" w:lineRule="exact"/>
        <w:ind w:firstLine="480" w:firstLineChars="200"/>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乙方按照甲方的要求将货物送到指定地点并完成安装调试，项目验收合格。</w:t>
      </w:r>
      <w:r>
        <w:rPr>
          <w:rFonts w:hint="eastAsia" w:ascii="宋体" w:hAnsi="宋体" w:eastAsia="宋体" w:cs="宋体"/>
          <w:color w:val="000000"/>
          <w:kern w:val="0"/>
          <w:sz w:val="24"/>
          <w:szCs w:val="24"/>
          <w:lang w:val="en-US" w:eastAsia="zh-CN" w:bidi="ar-SA"/>
        </w:rPr>
        <w:t>甲方收到发票后10个工作日内</w:t>
      </w:r>
      <w:r>
        <w:rPr>
          <w:rFonts w:hint="eastAsia" w:ascii="宋体" w:hAnsi="宋体" w:eastAsia="宋体" w:cs="Times New Roman"/>
          <w:color w:val="000000"/>
          <w:kern w:val="2"/>
          <w:sz w:val="24"/>
          <w:szCs w:val="24"/>
          <w:lang w:val="en-US" w:eastAsia="zh-CN" w:bidi="ar-SA"/>
        </w:rPr>
        <w:t>付至项目总价的70%；自验收合格之日起，服务期满一年后,无任何质量问题并按要求完成服务内容，依据考核结果</w:t>
      </w:r>
      <w:r>
        <w:rPr>
          <w:rFonts w:hint="eastAsia" w:ascii="宋体" w:hAnsi="宋体" w:eastAsia="宋体" w:cs="宋体"/>
          <w:color w:val="000000"/>
          <w:kern w:val="0"/>
          <w:sz w:val="24"/>
          <w:szCs w:val="24"/>
          <w:lang w:val="en-US" w:eastAsia="zh-CN" w:bidi="ar-SA"/>
        </w:rPr>
        <w:t>甲方收到发票后10个工作日内</w:t>
      </w:r>
      <w:r>
        <w:rPr>
          <w:rFonts w:hint="eastAsia" w:ascii="宋体" w:hAnsi="宋体" w:eastAsia="宋体" w:cs="Times New Roman"/>
          <w:color w:val="000000"/>
          <w:kern w:val="2"/>
          <w:sz w:val="24"/>
          <w:szCs w:val="24"/>
          <w:lang w:val="en-US" w:eastAsia="zh-CN" w:bidi="ar-SA"/>
        </w:rPr>
        <w:t>结算余款（无息）。</w:t>
      </w:r>
    </w:p>
    <w:p w14:paraId="287096C9">
      <w:pPr>
        <w:keepNext w:val="0"/>
        <w:keepLines w:val="0"/>
        <w:pageBreakBefore w:val="0"/>
        <w:kinsoku/>
        <w:wordWrap/>
        <w:overflowPunct/>
        <w:topLinePunct w:val="0"/>
        <w:autoSpaceDE/>
        <w:autoSpaceDN/>
        <w:bidi w:val="0"/>
        <w:spacing w:line="520" w:lineRule="exact"/>
        <w:ind w:firstLine="482" w:firstLineChars="200"/>
        <w:outlineLvl w:val="9"/>
        <w:rPr>
          <w:rFonts w:hint="eastAsia" w:ascii="宋体" w:hAnsi="宋体"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八：承诺函</w:t>
      </w:r>
    </w:p>
    <w:p w14:paraId="6F153082">
      <w:pPr>
        <w:keepNext w:val="0"/>
        <w:keepLines w:val="0"/>
        <w:pageBreakBefore w:val="0"/>
        <w:kinsoku/>
        <w:wordWrap/>
        <w:overflowPunct/>
        <w:topLinePunct w:val="0"/>
        <w:bidi w:val="0"/>
        <w:spacing w:line="520" w:lineRule="exact"/>
        <w:ind w:firstLine="480" w:firstLineChars="200"/>
        <w:outlineLvl w:val="9"/>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我公司承诺中标后供货时提供设备原厂质量合格证明和原厂保修五年证明文件。</w:t>
      </w:r>
    </w:p>
    <w:p w14:paraId="2DCEF141">
      <w:pPr>
        <w:pStyle w:val="18"/>
        <w:ind w:firstLine="560"/>
        <w:rPr>
          <w:rFonts w:hAnsi="宋体" w:cs="Times New Roman"/>
          <w:sz w:val="28"/>
          <w:szCs w:val="28"/>
        </w:rPr>
      </w:pPr>
      <w:r>
        <w:rPr>
          <w:rFonts w:hint="eastAsia" w:hAnsi="宋体" w:cs="Times New Roman"/>
          <w:sz w:val="28"/>
          <w:szCs w:val="28"/>
        </w:rPr>
        <w:t>我公司承诺响应上述项目需求内容。</w:t>
      </w:r>
    </w:p>
    <w:p w14:paraId="501800E7">
      <w:pPr>
        <w:autoSpaceDE w:val="0"/>
        <w:autoSpaceDN w:val="0"/>
        <w:spacing w:line="560" w:lineRule="exact"/>
        <w:ind w:firstLine="2835" w:firstLineChars="1350"/>
        <w:rPr>
          <w:rFonts w:hAnsi="宋体"/>
          <w:bCs/>
          <w:szCs w:val="28"/>
        </w:rPr>
      </w:pPr>
      <w:r>
        <w:rPr>
          <w:rFonts w:hint="eastAsia" w:hAnsi="宋体"/>
          <w:bCs/>
          <w:szCs w:val="28"/>
        </w:rPr>
        <w:t>投标人</w:t>
      </w:r>
      <w:r>
        <w:rPr>
          <w:rFonts w:hint="eastAsia" w:ascii="宋体" w:hAnsi="宋体"/>
          <w:color w:val="000000"/>
          <w:sz w:val="24"/>
        </w:rPr>
        <w:t>（加盖CA电子签章）</w:t>
      </w:r>
      <w:r>
        <w:rPr>
          <w:rFonts w:hint="eastAsia" w:hAnsi="宋体"/>
          <w:bCs/>
          <w:szCs w:val="28"/>
        </w:rPr>
        <w:t>：</w:t>
      </w:r>
    </w:p>
    <w:p w14:paraId="0AAFD2DB">
      <w:pPr>
        <w:pStyle w:val="7"/>
        <w:spacing w:line="560" w:lineRule="exact"/>
        <w:ind w:left="0" w:right="0" w:firstLine="4340" w:firstLineChars="1550"/>
        <w:rPr>
          <w:rFonts w:hAnsi="宋体"/>
          <w:bCs/>
          <w:sz w:val="28"/>
        </w:rPr>
      </w:pPr>
      <w:r>
        <w:rPr>
          <w:rFonts w:hint="eastAsia" w:hAnsi="宋体"/>
          <w:bCs/>
          <w:sz w:val="28"/>
        </w:rPr>
        <w:t>日期：</w:t>
      </w:r>
      <w:r>
        <w:rPr>
          <w:rFonts w:hAnsi="宋体"/>
          <w:bCs/>
          <w:sz w:val="28"/>
          <w:u w:val="single"/>
        </w:rPr>
        <w:t xml:space="preserve">      </w:t>
      </w:r>
      <w:r>
        <w:rPr>
          <w:rFonts w:hint="eastAsia" w:hAnsi="宋体"/>
          <w:bCs/>
          <w:sz w:val="28"/>
        </w:rPr>
        <w:t>年</w:t>
      </w:r>
      <w:r>
        <w:rPr>
          <w:rFonts w:hAnsi="宋体"/>
          <w:bCs/>
          <w:sz w:val="28"/>
        </w:rPr>
        <w:t xml:space="preserve"> </w:t>
      </w:r>
      <w:r>
        <w:rPr>
          <w:rFonts w:hAnsi="宋体"/>
          <w:bCs/>
          <w:sz w:val="28"/>
          <w:u w:val="single"/>
        </w:rPr>
        <w:t xml:space="preserve">    </w:t>
      </w:r>
      <w:r>
        <w:rPr>
          <w:rFonts w:hint="eastAsia" w:hAnsi="宋体"/>
          <w:bCs/>
          <w:sz w:val="28"/>
        </w:rPr>
        <w:t>月</w:t>
      </w:r>
      <w:r>
        <w:rPr>
          <w:rFonts w:hAnsi="宋体"/>
          <w:bCs/>
          <w:sz w:val="28"/>
        </w:rPr>
        <w:t xml:space="preserve"> </w:t>
      </w:r>
      <w:r>
        <w:rPr>
          <w:rFonts w:hAnsi="宋体"/>
          <w:bCs/>
          <w:sz w:val="28"/>
          <w:u w:val="single"/>
        </w:rPr>
        <w:t xml:space="preserve">    </w:t>
      </w:r>
      <w:r>
        <w:rPr>
          <w:rFonts w:hint="eastAsia" w:hAnsi="宋体"/>
          <w:bCs/>
          <w:sz w:val="28"/>
        </w:rPr>
        <w:t>日</w:t>
      </w:r>
    </w:p>
    <w:p w14:paraId="2B205D8D">
      <w:pPr>
        <w:pStyle w:val="10"/>
        <w:spacing w:beforeAutospacing="0" w:afterAutospacing="0"/>
        <w:jc w:val="both"/>
      </w:pPr>
      <w:r>
        <w:rPr>
          <w:rFonts w:hint="eastAsia" w:ascii="黑体" w:hAnsi="宋体" w:eastAsia="黑体" w:cs="黑体"/>
          <w:b/>
          <w:i/>
          <w:color w:val="000000"/>
          <w:sz w:val="32"/>
          <w:szCs w:val="32"/>
          <w:u w:val="single"/>
        </w:rPr>
        <w:t>十四、开标一览表</w:t>
      </w:r>
    </w:p>
    <w:p w14:paraId="05C883D6">
      <w:pPr>
        <w:pStyle w:val="10"/>
        <w:spacing w:beforeAutospacing="0" w:afterAutospacing="0"/>
        <w:ind w:firstLine="480"/>
        <w:jc w:val="both"/>
      </w:pPr>
      <w:r>
        <w:rPr>
          <w:rFonts w:hint="eastAsia" w:ascii="宋体" w:hAnsi="宋体" w:eastAsia="宋体" w:cs="宋体"/>
          <w:color w:val="000000"/>
        </w:rPr>
        <w:t>投标人全称（加盖CA电子签章）：</w:t>
      </w:r>
    </w:p>
    <w:p w14:paraId="51D8AFCC">
      <w:pPr>
        <w:pStyle w:val="10"/>
        <w:spacing w:beforeAutospacing="0" w:afterAutospacing="0"/>
        <w:ind w:firstLine="480"/>
        <w:jc w:val="both"/>
      </w:pPr>
      <w:r>
        <w:rPr>
          <w:rFonts w:hint="eastAsia" w:ascii="宋体" w:hAnsi="宋体" w:eastAsia="宋体" w:cs="宋体"/>
          <w:color w:val="000000"/>
        </w:rPr>
        <w:t>项目名称：</w:t>
      </w:r>
    </w:p>
    <w:p w14:paraId="52276F69">
      <w:pPr>
        <w:pStyle w:val="10"/>
        <w:spacing w:beforeAutospacing="0" w:afterAutospacing="0"/>
        <w:ind w:firstLine="480"/>
        <w:jc w:val="both"/>
      </w:pPr>
      <w:r>
        <w:rPr>
          <w:rFonts w:hint="eastAsia" w:ascii="宋体" w:hAnsi="宋体" w:eastAsia="宋体" w:cs="宋体"/>
          <w:color w:val="000000"/>
        </w:rPr>
        <w:t>招标编号：                                   分包号：</w:t>
      </w:r>
    </w:p>
    <w:tbl>
      <w:tblPr>
        <w:tblStyle w:val="12"/>
        <w:tblW w:w="8414" w:type="dxa"/>
        <w:tblCellSpacing w:w="0" w:type="dxa"/>
        <w:tblInd w:w="118" w:type="dxa"/>
        <w:tblLayout w:type="fixed"/>
        <w:tblCellMar>
          <w:top w:w="0" w:type="dxa"/>
          <w:left w:w="108" w:type="dxa"/>
          <w:bottom w:w="0" w:type="dxa"/>
          <w:right w:w="108" w:type="dxa"/>
        </w:tblCellMar>
      </w:tblPr>
      <w:tblGrid>
        <w:gridCol w:w="8414"/>
      </w:tblGrid>
      <w:tr w14:paraId="2B76AE16">
        <w:tblPrEx>
          <w:tblCellMar>
            <w:top w:w="0" w:type="dxa"/>
            <w:left w:w="108" w:type="dxa"/>
            <w:bottom w:w="0" w:type="dxa"/>
            <w:right w:w="108" w:type="dxa"/>
          </w:tblCellMar>
        </w:tblPrEx>
        <w:trPr>
          <w:trHeight w:val="725"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52100">
            <w:pPr>
              <w:pStyle w:val="10"/>
              <w:spacing w:beforeAutospacing="0" w:afterAutospacing="0"/>
              <w:jc w:val="both"/>
            </w:pPr>
            <w:r>
              <w:rPr>
                <w:rFonts w:hint="eastAsia" w:ascii="宋体" w:hAnsi="宋体" w:eastAsia="宋体" w:cs="宋体"/>
                <w:color w:val="000000"/>
              </w:rPr>
              <w:t>                      投标总报价</w:t>
            </w:r>
          </w:p>
        </w:tc>
      </w:tr>
      <w:tr w14:paraId="60AE22AE">
        <w:tblPrEx>
          <w:tblCellMar>
            <w:top w:w="0" w:type="dxa"/>
            <w:left w:w="108" w:type="dxa"/>
            <w:bottom w:w="0" w:type="dxa"/>
            <w:right w:w="108" w:type="dxa"/>
          </w:tblCellMar>
        </w:tblPrEx>
        <w:trPr>
          <w:trHeight w:val="612" w:hRule="atLeast"/>
          <w:tblCellSpacing w:w="0" w:type="dxa"/>
        </w:trPr>
        <w:tc>
          <w:tcPr>
            <w:tcW w:w="84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99512">
            <w:pPr>
              <w:pStyle w:val="10"/>
              <w:spacing w:beforeAutospacing="0" w:afterAutospacing="0" w:line="0" w:lineRule="atLeast"/>
            </w:pPr>
            <w:r>
              <w:rPr>
                <w:rFonts w:hint="eastAsia" w:ascii="宋体" w:hAnsi="宋体" w:eastAsia="宋体" w:cs="宋体"/>
                <w:color w:val="000000"/>
              </w:rPr>
              <w:t>小写：</w:t>
            </w:r>
            <w:r>
              <w:rPr>
                <w:rFonts w:hint="eastAsia" w:ascii="宋体" w:hAnsi="宋体" w:eastAsia="宋体" w:cs="宋体"/>
                <w:color w:val="000000"/>
                <w:u w:val="single"/>
              </w:rPr>
              <w:t> </w:t>
            </w:r>
            <w:r>
              <w:rPr>
                <w:rFonts w:hint="eastAsia" w:ascii="宋体" w:hAnsi="宋体" w:eastAsia="宋体" w:cs="宋体"/>
                <w:color w:val="000000"/>
                <w:u w:val="single"/>
                <w:lang w:val="en-US" w:eastAsia="zh-CN"/>
              </w:rPr>
              <w:t xml:space="preserve">       /人</w:t>
            </w:r>
            <w:r>
              <w:rPr>
                <w:rFonts w:hint="eastAsia" w:ascii="宋体" w:hAnsi="宋体" w:eastAsia="宋体" w:cs="宋体"/>
                <w:color w:val="000000"/>
              </w:rPr>
              <w:t>（人民币：元）</w:t>
            </w:r>
          </w:p>
        </w:tc>
      </w:tr>
    </w:tbl>
    <w:p w14:paraId="78E94948">
      <w:pPr>
        <w:pStyle w:val="10"/>
        <w:spacing w:beforeAutospacing="0" w:afterAutospacing="0"/>
        <w:jc w:val="both"/>
      </w:pPr>
      <w:r>
        <w:t> </w:t>
      </w:r>
    </w:p>
    <w:p w14:paraId="05D6B3FB">
      <w:pPr>
        <w:pStyle w:val="10"/>
        <w:spacing w:beforeAutospacing="0" w:afterAutospacing="0"/>
        <w:ind w:firstLine="480"/>
        <w:jc w:val="both"/>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年</w:t>
      </w:r>
      <w:r>
        <w:rPr>
          <w:rFonts w:hint="eastAsia" w:ascii="宋体" w:hAnsi="宋体" w:eastAsia="宋体" w:cs="宋体"/>
          <w:color w:val="000000"/>
          <w:u w:val="single"/>
        </w:rPr>
        <w:t xml:space="preserve">   </w:t>
      </w:r>
      <w:r>
        <w:rPr>
          <w:rFonts w:hint="eastAsia" w:ascii="宋体" w:hAnsi="宋体" w:eastAsia="宋体" w:cs="宋体"/>
          <w:color w:val="000000"/>
        </w:rPr>
        <w:t>月</w:t>
      </w:r>
      <w:r>
        <w:rPr>
          <w:rFonts w:hint="eastAsia" w:ascii="宋体" w:hAnsi="宋体" w:eastAsia="宋体" w:cs="宋体"/>
          <w:color w:val="000000"/>
          <w:u w:val="single"/>
        </w:rPr>
        <w:t xml:space="preserve">   </w:t>
      </w:r>
      <w:r>
        <w:rPr>
          <w:rFonts w:hint="eastAsia" w:ascii="宋体" w:hAnsi="宋体" w:eastAsia="宋体" w:cs="宋体"/>
          <w:color w:val="000000"/>
        </w:rPr>
        <w:t>日</w:t>
      </w:r>
    </w:p>
    <w:p w14:paraId="550BD96E">
      <w:pPr>
        <w:pStyle w:val="10"/>
        <w:spacing w:beforeAutospacing="0" w:afterAutospacing="0"/>
        <w:ind w:firstLine="480"/>
        <w:jc w:val="both"/>
      </w:pPr>
      <w:r>
        <w:t> </w:t>
      </w:r>
    </w:p>
    <w:p w14:paraId="25ED5731">
      <w:pPr>
        <w:pStyle w:val="10"/>
        <w:spacing w:beforeAutospacing="0" w:afterAutospacing="0"/>
        <w:jc w:val="center"/>
        <w:rPr>
          <w:rFonts w:hint="eastAsia" w:ascii="黑体" w:hAnsi="宋体" w:eastAsia="黑体" w:cs="黑体"/>
          <w:b/>
          <w:color w:val="000000"/>
          <w:sz w:val="32"/>
          <w:szCs w:val="32"/>
        </w:rPr>
      </w:pPr>
      <w:r>
        <w:t> </w:t>
      </w:r>
    </w:p>
    <w:p w14:paraId="3BDD67A5">
      <w:pPr>
        <w:pStyle w:val="10"/>
        <w:spacing w:beforeAutospacing="0" w:afterAutospacing="0"/>
        <w:jc w:val="center"/>
      </w:pPr>
      <w:r>
        <w:rPr>
          <w:rFonts w:hint="eastAsia" w:ascii="黑体" w:hAnsi="宋体" w:eastAsia="黑体" w:cs="黑体"/>
          <w:b/>
          <w:color w:val="000000"/>
          <w:sz w:val="32"/>
          <w:szCs w:val="32"/>
          <w:lang w:val="en-US" w:eastAsia="zh-CN"/>
        </w:rPr>
        <w:t>十五、</w:t>
      </w:r>
      <w:r>
        <w:rPr>
          <w:rFonts w:hint="eastAsia" w:ascii="黑体" w:hAnsi="宋体" w:eastAsia="黑体" w:cs="黑体"/>
          <w:b/>
          <w:color w:val="000000"/>
          <w:sz w:val="32"/>
          <w:szCs w:val="32"/>
        </w:rPr>
        <w:t>投标分项报价表（分包号：***）</w:t>
      </w:r>
    </w:p>
    <w:tbl>
      <w:tblPr>
        <w:tblStyle w:val="12"/>
        <w:tblW w:w="8517" w:type="dxa"/>
        <w:tblCellSpacing w:w="0" w:type="dxa"/>
        <w:tblInd w:w="10" w:type="dxa"/>
        <w:tblLayout w:type="fixed"/>
        <w:tblCellMar>
          <w:top w:w="0" w:type="dxa"/>
          <w:left w:w="108" w:type="dxa"/>
          <w:bottom w:w="0" w:type="dxa"/>
          <w:right w:w="108" w:type="dxa"/>
        </w:tblCellMar>
      </w:tblPr>
      <w:tblGrid>
        <w:gridCol w:w="546"/>
        <w:gridCol w:w="996"/>
        <w:gridCol w:w="905"/>
        <w:gridCol w:w="1298"/>
        <w:gridCol w:w="746"/>
        <w:gridCol w:w="918"/>
        <w:gridCol w:w="696"/>
        <w:gridCol w:w="1261"/>
        <w:gridCol w:w="1151"/>
      </w:tblGrid>
      <w:tr w14:paraId="2EE5733B">
        <w:tblPrEx>
          <w:tblCellMar>
            <w:top w:w="0" w:type="dxa"/>
            <w:left w:w="108" w:type="dxa"/>
            <w:bottom w:w="0" w:type="dxa"/>
            <w:right w:w="108" w:type="dxa"/>
          </w:tblCellMar>
        </w:tblPrEx>
        <w:trPr>
          <w:trHeight w:val="54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1BA78">
            <w:pPr>
              <w:pStyle w:val="10"/>
              <w:spacing w:beforeAutospacing="0" w:afterAutospacing="0" w:line="0" w:lineRule="atLeast"/>
              <w:jc w:val="center"/>
            </w:pPr>
            <w:r>
              <w:rPr>
                <w:rFonts w:hint="eastAsia" w:ascii="宋体" w:hAnsi="宋体" w:eastAsia="宋体" w:cs="宋体"/>
                <w:color w:val="000000"/>
              </w:rPr>
              <w:t>序号</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84B64">
            <w:pPr>
              <w:pStyle w:val="10"/>
              <w:spacing w:beforeAutospacing="0" w:afterAutospacing="0" w:line="0" w:lineRule="atLeast"/>
              <w:jc w:val="center"/>
            </w:pPr>
            <w:r>
              <w:rPr>
                <w:rFonts w:hint="eastAsia" w:ascii="宋体" w:hAnsi="宋体" w:eastAsia="宋体" w:cs="宋体"/>
                <w:color w:val="000000"/>
              </w:rPr>
              <w:t>1</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1B710">
            <w:pPr>
              <w:pStyle w:val="10"/>
              <w:spacing w:beforeAutospacing="0" w:afterAutospacing="0" w:line="0" w:lineRule="atLeast"/>
              <w:jc w:val="center"/>
            </w:pPr>
            <w:r>
              <w:rPr>
                <w:rFonts w:hint="eastAsia" w:ascii="宋体" w:hAnsi="宋体" w:eastAsia="宋体" w:cs="宋体"/>
                <w:color w:val="000000"/>
              </w:rPr>
              <w:t>2</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5073B">
            <w:pPr>
              <w:pStyle w:val="10"/>
              <w:spacing w:beforeAutospacing="0" w:afterAutospacing="0" w:line="0" w:lineRule="atLeast"/>
              <w:jc w:val="center"/>
            </w:pPr>
            <w:r>
              <w:rPr>
                <w:rFonts w:hint="eastAsia" w:ascii="宋体" w:hAnsi="宋体" w:eastAsia="宋体" w:cs="宋体"/>
                <w:color w:val="000000"/>
              </w:rPr>
              <w:t>3</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1181B">
            <w:pPr>
              <w:pStyle w:val="10"/>
              <w:spacing w:beforeAutospacing="0" w:afterAutospacing="0" w:line="0" w:lineRule="atLeast"/>
              <w:jc w:val="center"/>
            </w:pPr>
            <w:r>
              <w:rPr>
                <w:rFonts w:hint="eastAsia" w:ascii="宋体" w:hAnsi="宋体" w:eastAsia="宋体" w:cs="宋体"/>
                <w:color w:val="000000"/>
              </w:rPr>
              <w:t>4</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AFFAE">
            <w:pPr>
              <w:pStyle w:val="10"/>
              <w:spacing w:beforeAutospacing="0" w:afterAutospacing="0" w:line="0" w:lineRule="atLeast"/>
              <w:jc w:val="center"/>
            </w:pPr>
            <w:r>
              <w:rPr>
                <w:rFonts w:hint="eastAsia" w:ascii="宋体" w:hAnsi="宋体" w:eastAsia="宋体" w:cs="宋体"/>
                <w:color w:val="000000"/>
              </w:rPr>
              <w:t>5</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77A2A">
            <w:pPr>
              <w:pStyle w:val="10"/>
              <w:spacing w:beforeAutospacing="0" w:afterAutospacing="0" w:line="0" w:lineRule="atLeast"/>
              <w:jc w:val="center"/>
            </w:pPr>
            <w:r>
              <w:rPr>
                <w:rFonts w:hint="eastAsia" w:ascii="宋体" w:hAnsi="宋体" w:eastAsia="宋体" w:cs="宋体"/>
                <w:color w:val="000000"/>
              </w:rPr>
              <w:t>6</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E12CC">
            <w:pPr>
              <w:pStyle w:val="10"/>
              <w:spacing w:beforeAutospacing="0" w:afterAutospacing="0" w:line="0" w:lineRule="atLeast"/>
              <w:jc w:val="center"/>
            </w:pPr>
            <w:r>
              <w:rPr>
                <w:rFonts w:hint="eastAsia" w:ascii="宋体" w:hAnsi="宋体" w:eastAsia="宋体" w:cs="宋体"/>
                <w:color w:val="000000"/>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7D763">
            <w:pPr>
              <w:pStyle w:val="10"/>
              <w:spacing w:beforeAutospacing="0" w:afterAutospacing="0" w:line="0" w:lineRule="atLeast"/>
              <w:jc w:val="center"/>
            </w:pPr>
            <w:r>
              <w:rPr>
                <w:rFonts w:hint="eastAsia" w:ascii="宋体" w:hAnsi="宋体" w:eastAsia="宋体" w:cs="宋体"/>
                <w:color w:val="000000"/>
              </w:rPr>
              <w:t>8</w:t>
            </w:r>
          </w:p>
        </w:tc>
      </w:tr>
      <w:tr w14:paraId="43ECCE6D">
        <w:tblPrEx>
          <w:tblCellMar>
            <w:top w:w="0" w:type="dxa"/>
            <w:left w:w="108" w:type="dxa"/>
            <w:bottom w:w="0" w:type="dxa"/>
            <w:right w:w="108" w:type="dxa"/>
          </w:tblCellMar>
        </w:tblPrEx>
        <w:trPr>
          <w:trHeight w:val="29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C1D97">
            <w:pPr>
              <w:pStyle w:val="10"/>
              <w:spacing w:beforeAutospacing="0" w:afterAutospacing="0" w:line="0" w:lineRule="atLeast"/>
              <w:jc w:val="center"/>
            </w:pPr>
            <w:r>
              <w:rPr>
                <w:rFonts w:hint="eastAsia" w:ascii="宋体" w:hAnsi="宋体" w:eastAsia="宋体" w:cs="宋体"/>
                <w:color w:val="000000"/>
              </w:rPr>
              <w:t>1</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B1ABE">
            <w:pPr>
              <w:pStyle w:val="10"/>
              <w:spacing w:beforeAutospacing="0" w:afterAutospacing="0" w:line="0" w:lineRule="atLeast"/>
              <w:jc w:val="center"/>
            </w:pPr>
            <w:r>
              <w:rPr>
                <w:rFonts w:hint="eastAsia" w:ascii="宋体" w:hAnsi="宋体" w:eastAsia="宋体" w:cs="宋体"/>
                <w:color w:val="000000"/>
              </w:rPr>
              <w:t>产品</w:t>
            </w:r>
          </w:p>
          <w:p w14:paraId="5A441BD0">
            <w:pPr>
              <w:pStyle w:val="10"/>
              <w:spacing w:beforeAutospacing="0" w:afterAutospacing="0" w:line="0" w:lineRule="atLeast"/>
              <w:jc w:val="center"/>
            </w:pPr>
            <w:r>
              <w:rPr>
                <w:rFonts w:hint="eastAsia" w:ascii="宋体" w:hAnsi="宋体" w:eastAsia="宋体" w:cs="宋体"/>
                <w:color w:val="000000"/>
              </w:rPr>
              <w:t>名称</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C5279">
            <w:pPr>
              <w:pStyle w:val="10"/>
              <w:spacing w:beforeAutospacing="0" w:afterAutospacing="0" w:line="0" w:lineRule="atLeast"/>
              <w:jc w:val="center"/>
            </w:pPr>
            <w:r>
              <w:rPr>
                <w:rFonts w:hint="eastAsia" w:ascii="宋体" w:hAnsi="宋体" w:eastAsia="宋体" w:cs="宋体"/>
                <w:color w:val="000000"/>
              </w:rPr>
              <w:t>品牌</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56191">
            <w:pPr>
              <w:pStyle w:val="10"/>
              <w:spacing w:beforeAutospacing="0" w:afterAutospacing="0" w:line="0" w:lineRule="atLeast"/>
              <w:jc w:val="center"/>
            </w:pPr>
            <w:r>
              <w:rPr>
                <w:rFonts w:hint="eastAsia" w:ascii="宋体" w:hAnsi="宋体" w:eastAsia="宋体" w:cs="宋体"/>
                <w:color w:val="000000"/>
              </w:rPr>
              <w:t>规格</w:t>
            </w:r>
          </w:p>
          <w:p w14:paraId="4CE73939">
            <w:pPr>
              <w:pStyle w:val="10"/>
              <w:spacing w:beforeAutospacing="0" w:afterAutospacing="0" w:line="0" w:lineRule="atLeast"/>
              <w:jc w:val="center"/>
            </w:pPr>
            <w:r>
              <w:rPr>
                <w:rFonts w:hint="eastAsia" w:ascii="宋体" w:hAnsi="宋体" w:eastAsia="宋体" w:cs="宋体"/>
                <w:color w:val="000000"/>
              </w:rPr>
              <w:t>型号</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AA11D">
            <w:pPr>
              <w:pStyle w:val="10"/>
              <w:spacing w:beforeAutospacing="0" w:afterAutospacing="0" w:line="0" w:lineRule="atLeast"/>
              <w:jc w:val="center"/>
            </w:pPr>
            <w:r>
              <w:rPr>
                <w:rFonts w:hint="eastAsia" w:ascii="宋体" w:hAnsi="宋体" w:eastAsia="宋体" w:cs="宋体"/>
                <w:color w:val="000000"/>
              </w:rPr>
              <w:t>产地</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68FA9">
            <w:pPr>
              <w:pStyle w:val="10"/>
              <w:spacing w:beforeAutospacing="0" w:afterAutospacing="0" w:line="0" w:lineRule="atLeast"/>
              <w:jc w:val="center"/>
            </w:pPr>
            <w:r>
              <w:rPr>
                <w:rFonts w:hint="eastAsia" w:ascii="宋体" w:hAnsi="宋体" w:eastAsia="宋体" w:cs="宋体"/>
                <w:color w:val="000000"/>
              </w:rPr>
              <w:t>交付期</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098B2">
            <w:pPr>
              <w:pStyle w:val="10"/>
              <w:spacing w:beforeAutospacing="0" w:afterAutospacing="0" w:line="0" w:lineRule="atLeast"/>
              <w:jc w:val="center"/>
            </w:pPr>
            <w:r>
              <w:rPr>
                <w:rFonts w:hint="eastAsia" w:ascii="宋体" w:hAnsi="宋体" w:eastAsia="宋体" w:cs="宋体"/>
                <w:color w:val="000000"/>
              </w:rPr>
              <w:t>数量</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FCF05">
            <w:pPr>
              <w:pStyle w:val="10"/>
              <w:spacing w:beforeAutospacing="0" w:afterAutospacing="0" w:line="0" w:lineRule="atLeast"/>
              <w:jc w:val="center"/>
            </w:pPr>
            <w:r>
              <w:rPr>
                <w:rFonts w:hint="eastAsia" w:ascii="宋体" w:hAnsi="宋体" w:eastAsia="宋体" w:cs="宋体"/>
                <w:color w:val="000000"/>
              </w:rPr>
              <w:t>分项单价</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7B94A">
            <w:pPr>
              <w:pStyle w:val="10"/>
              <w:spacing w:beforeAutospacing="0" w:afterAutospacing="0" w:line="0" w:lineRule="atLeast"/>
              <w:jc w:val="center"/>
            </w:pPr>
            <w:r>
              <w:rPr>
                <w:rFonts w:hint="eastAsia" w:ascii="宋体" w:hAnsi="宋体" w:eastAsia="宋体" w:cs="宋体"/>
                <w:color w:val="000000"/>
              </w:rPr>
              <w:t>分项总价</w:t>
            </w:r>
          </w:p>
        </w:tc>
      </w:tr>
      <w:tr w14:paraId="5F8C0FD9">
        <w:tblPrEx>
          <w:tblCellMar>
            <w:top w:w="0" w:type="dxa"/>
            <w:left w:w="108" w:type="dxa"/>
            <w:bottom w:w="0" w:type="dxa"/>
            <w:right w:w="108" w:type="dxa"/>
          </w:tblCellMar>
        </w:tblPrEx>
        <w:trPr>
          <w:trHeight w:val="696"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9FFE2">
            <w:pPr>
              <w:pStyle w:val="10"/>
              <w:spacing w:beforeAutospacing="0" w:afterAutospacing="0" w:line="0" w:lineRule="atLeast"/>
              <w:jc w:val="center"/>
            </w:pPr>
            <w:r>
              <w:rPr>
                <w:rFonts w:hint="eastAsia" w:ascii="宋体" w:hAnsi="宋体" w:eastAsia="宋体" w:cs="宋体"/>
                <w:color w:val="000000"/>
              </w:rPr>
              <w:t>2</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EFC50">
            <w:pPr>
              <w:pStyle w:val="10"/>
              <w:spacing w:beforeAutospacing="0" w:afterAutospacing="0" w:line="0" w:lineRule="atLeast"/>
              <w:jc w:val="both"/>
            </w:pPr>
            <w: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5AA5E">
            <w:pPr>
              <w:pStyle w:val="10"/>
              <w:spacing w:beforeAutospacing="0" w:afterAutospacing="0" w:line="0" w:lineRule="atLeast"/>
              <w:jc w:val="both"/>
            </w:pPr>
            <w: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D8FD2">
            <w:pPr>
              <w:pStyle w:val="10"/>
              <w:spacing w:beforeAutospacing="0" w:afterAutospacing="0" w:line="0" w:lineRule="atLeast"/>
              <w:jc w:val="both"/>
            </w:pPr>
            <w: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ECBAF">
            <w:pPr>
              <w:pStyle w:val="10"/>
              <w:spacing w:beforeAutospacing="0" w:afterAutospacing="0" w:line="0" w:lineRule="atLeast"/>
              <w:jc w:val="both"/>
            </w:pPr>
            <w: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A82A3">
            <w:pPr>
              <w:pStyle w:val="10"/>
              <w:spacing w:beforeAutospacing="0" w:afterAutospacing="0" w:line="0" w:lineRule="atLeast"/>
              <w:jc w:val="both"/>
            </w:pPr>
            <w: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44A9F">
            <w:pPr>
              <w:pStyle w:val="10"/>
              <w:spacing w:beforeAutospacing="0" w:afterAutospacing="0" w:line="0" w:lineRule="atLeast"/>
              <w:jc w:val="both"/>
            </w:pPr>
            <w: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583D6">
            <w:pPr>
              <w:pStyle w:val="10"/>
              <w:spacing w:beforeAutospacing="0" w:afterAutospacing="0" w:line="0" w:lineRule="atLeast"/>
              <w:jc w:val="both"/>
            </w:pPr>
            <w: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B3F62">
            <w:pPr>
              <w:pStyle w:val="10"/>
              <w:spacing w:beforeAutospacing="0" w:afterAutospacing="0" w:line="0" w:lineRule="atLeast"/>
              <w:jc w:val="both"/>
            </w:pPr>
            <w:r>
              <w:t> </w:t>
            </w:r>
          </w:p>
        </w:tc>
      </w:tr>
      <w:tr w14:paraId="575819FC">
        <w:tblPrEx>
          <w:tblCellMar>
            <w:top w:w="0" w:type="dxa"/>
            <w:left w:w="108" w:type="dxa"/>
            <w:bottom w:w="0" w:type="dxa"/>
            <w:right w:w="108" w:type="dxa"/>
          </w:tblCellMar>
        </w:tblPrEx>
        <w:trPr>
          <w:trHeight w:val="724"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710A1">
            <w:pPr>
              <w:pStyle w:val="10"/>
              <w:spacing w:beforeAutospacing="0" w:afterAutospacing="0" w:line="0" w:lineRule="atLeast"/>
              <w:jc w:val="center"/>
            </w:pPr>
            <w:r>
              <w:rPr>
                <w:rFonts w:hint="eastAsia" w:ascii="宋体" w:hAnsi="宋体" w:eastAsia="宋体" w:cs="宋体"/>
                <w:color w:val="000000"/>
              </w:rPr>
              <w:t>3</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0EED4">
            <w:pPr>
              <w:pStyle w:val="10"/>
              <w:spacing w:beforeAutospacing="0" w:afterAutospacing="0" w:line="0" w:lineRule="atLeast"/>
              <w:jc w:val="both"/>
            </w:pPr>
            <w: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89AE4">
            <w:pPr>
              <w:pStyle w:val="10"/>
              <w:spacing w:beforeAutospacing="0" w:afterAutospacing="0" w:line="0" w:lineRule="atLeast"/>
              <w:jc w:val="both"/>
            </w:pPr>
            <w: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C447F">
            <w:pPr>
              <w:pStyle w:val="10"/>
              <w:spacing w:beforeAutospacing="0" w:afterAutospacing="0" w:line="0" w:lineRule="atLeast"/>
              <w:jc w:val="both"/>
            </w:pPr>
            <w: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D25A9">
            <w:pPr>
              <w:pStyle w:val="10"/>
              <w:spacing w:beforeAutospacing="0" w:afterAutospacing="0" w:line="0" w:lineRule="atLeast"/>
              <w:jc w:val="both"/>
            </w:pPr>
            <w: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D7509">
            <w:pPr>
              <w:pStyle w:val="10"/>
              <w:spacing w:beforeAutospacing="0" w:afterAutospacing="0" w:line="0" w:lineRule="atLeast"/>
              <w:jc w:val="both"/>
            </w:pPr>
            <w: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92E72">
            <w:pPr>
              <w:pStyle w:val="10"/>
              <w:spacing w:beforeAutospacing="0" w:afterAutospacing="0" w:line="0" w:lineRule="atLeast"/>
              <w:jc w:val="both"/>
            </w:pPr>
            <w: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C705A">
            <w:pPr>
              <w:pStyle w:val="10"/>
              <w:spacing w:beforeAutospacing="0" w:afterAutospacing="0" w:line="0" w:lineRule="atLeast"/>
              <w:jc w:val="both"/>
            </w:pPr>
            <w: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98B97">
            <w:pPr>
              <w:pStyle w:val="10"/>
              <w:spacing w:beforeAutospacing="0" w:afterAutospacing="0" w:line="0" w:lineRule="atLeast"/>
              <w:jc w:val="both"/>
            </w:pPr>
            <w:r>
              <w:t> </w:t>
            </w:r>
          </w:p>
        </w:tc>
      </w:tr>
      <w:tr w14:paraId="78E5778F">
        <w:tblPrEx>
          <w:tblCellMar>
            <w:top w:w="0" w:type="dxa"/>
            <w:left w:w="108" w:type="dxa"/>
            <w:bottom w:w="0" w:type="dxa"/>
            <w:right w:w="108" w:type="dxa"/>
          </w:tblCellMar>
        </w:tblPrEx>
        <w:trPr>
          <w:trHeight w:val="64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FEF49">
            <w:pPr>
              <w:pStyle w:val="10"/>
              <w:spacing w:beforeAutospacing="0" w:afterAutospacing="0" w:line="0" w:lineRule="atLeast"/>
              <w:jc w:val="center"/>
            </w:pPr>
            <w:r>
              <w:rPr>
                <w:rFonts w:hint="eastAsia" w:ascii="宋体" w:hAnsi="宋体" w:eastAsia="宋体" w:cs="宋体"/>
                <w:color w:val="000000"/>
              </w:rPr>
              <w:t>4</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B519C">
            <w:pPr>
              <w:pStyle w:val="10"/>
              <w:spacing w:beforeAutospacing="0" w:afterAutospacing="0" w:line="0" w:lineRule="atLeast"/>
              <w:jc w:val="both"/>
            </w:pPr>
            <w:r>
              <w:t> </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FE94A">
            <w:pPr>
              <w:pStyle w:val="10"/>
              <w:spacing w:beforeAutospacing="0" w:afterAutospacing="0" w:line="0" w:lineRule="atLeast"/>
              <w:jc w:val="both"/>
            </w:pPr>
            <w: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6719D">
            <w:pPr>
              <w:pStyle w:val="10"/>
              <w:spacing w:beforeAutospacing="0" w:afterAutospacing="0" w:line="0" w:lineRule="atLeast"/>
              <w:jc w:val="both"/>
            </w:pPr>
            <w: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52CDA">
            <w:pPr>
              <w:pStyle w:val="10"/>
              <w:spacing w:beforeAutospacing="0" w:afterAutospacing="0" w:line="0" w:lineRule="atLeast"/>
              <w:jc w:val="both"/>
            </w:pPr>
            <w: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A51BE">
            <w:pPr>
              <w:pStyle w:val="10"/>
              <w:spacing w:beforeAutospacing="0" w:afterAutospacing="0" w:line="0" w:lineRule="atLeast"/>
              <w:jc w:val="both"/>
            </w:pPr>
            <w: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E203E">
            <w:pPr>
              <w:pStyle w:val="10"/>
              <w:spacing w:beforeAutospacing="0" w:afterAutospacing="0" w:line="0" w:lineRule="atLeast"/>
              <w:jc w:val="both"/>
            </w:pPr>
            <w: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F9F4E">
            <w:pPr>
              <w:pStyle w:val="10"/>
              <w:spacing w:beforeAutospacing="0" w:afterAutospacing="0" w:line="0" w:lineRule="atLeast"/>
              <w:jc w:val="both"/>
            </w:pPr>
            <w: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508AC">
            <w:pPr>
              <w:pStyle w:val="10"/>
              <w:spacing w:beforeAutospacing="0" w:afterAutospacing="0" w:line="0" w:lineRule="atLeast"/>
              <w:jc w:val="both"/>
            </w:pPr>
            <w:r>
              <w:t> </w:t>
            </w:r>
          </w:p>
        </w:tc>
      </w:tr>
      <w:tr w14:paraId="321EE1C7">
        <w:tblPrEx>
          <w:tblCellMar>
            <w:top w:w="0" w:type="dxa"/>
            <w:left w:w="108" w:type="dxa"/>
            <w:bottom w:w="0" w:type="dxa"/>
            <w:right w:w="108" w:type="dxa"/>
          </w:tblCellMar>
        </w:tblPrEx>
        <w:trPr>
          <w:trHeight w:val="580" w:hRule="atLeast"/>
          <w:tblCellSpacing w:w="0" w:type="dxa"/>
        </w:trPr>
        <w:tc>
          <w:tcPr>
            <w:tcW w:w="5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EB69A">
            <w:pPr>
              <w:pStyle w:val="10"/>
              <w:spacing w:beforeAutospacing="0" w:afterAutospacing="0" w:line="0" w:lineRule="atLeast"/>
              <w:jc w:val="center"/>
            </w:pPr>
            <w:r>
              <w:rPr>
                <w:rFonts w:hint="eastAsia" w:ascii="宋体" w:hAnsi="宋体" w:eastAsia="宋体" w:cs="宋体"/>
                <w:color w:val="000000"/>
              </w:rPr>
              <w:t>…</w:t>
            </w:r>
          </w:p>
        </w:tc>
        <w:tc>
          <w:tcPr>
            <w:tcW w:w="9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93CC1">
            <w:pPr>
              <w:pStyle w:val="10"/>
              <w:spacing w:beforeAutospacing="0" w:afterAutospacing="0" w:line="0" w:lineRule="atLeast"/>
              <w:jc w:val="both"/>
            </w:pPr>
            <w:r>
              <w:rPr>
                <w:rFonts w:hint="eastAsia" w:ascii="宋体" w:hAnsi="宋体" w:eastAsia="宋体" w:cs="宋体"/>
                <w:color w:val="000000"/>
              </w:rPr>
              <w:t>……</w:t>
            </w:r>
          </w:p>
        </w:tc>
        <w:tc>
          <w:tcPr>
            <w:tcW w:w="9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6C834">
            <w:pPr>
              <w:pStyle w:val="10"/>
              <w:spacing w:beforeAutospacing="0" w:afterAutospacing="0" w:line="0" w:lineRule="atLeast"/>
              <w:jc w:val="both"/>
            </w:pPr>
            <w:r>
              <w:t> </w:t>
            </w:r>
          </w:p>
        </w:tc>
        <w:tc>
          <w:tcPr>
            <w:tcW w:w="12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18807">
            <w:pPr>
              <w:pStyle w:val="10"/>
              <w:spacing w:beforeAutospacing="0" w:afterAutospacing="0" w:line="0" w:lineRule="atLeast"/>
              <w:jc w:val="both"/>
            </w:pPr>
            <w:r>
              <w:t> </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6C19D">
            <w:pPr>
              <w:pStyle w:val="10"/>
              <w:spacing w:beforeAutospacing="0" w:afterAutospacing="0" w:line="0" w:lineRule="atLeast"/>
              <w:jc w:val="both"/>
            </w:pPr>
            <w:r>
              <w:t> </w:t>
            </w:r>
          </w:p>
        </w:tc>
        <w:tc>
          <w:tcPr>
            <w:tcW w:w="9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EFF86">
            <w:pPr>
              <w:pStyle w:val="10"/>
              <w:spacing w:beforeAutospacing="0" w:afterAutospacing="0" w:line="0" w:lineRule="atLeast"/>
              <w:jc w:val="both"/>
            </w:pPr>
            <w:r>
              <w:t> </w:t>
            </w:r>
          </w:p>
        </w:tc>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8598A">
            <w:pPr>
              <w:pStyle w:val="10"/>
              <w:spacing w:beforeAutospacing="0" w:afterAutospacing="0" w:line="0" w:lineRule="atLeast"/>
              <w:jc w:val="both"/>
            </w:pPr>
            <w:r>
              <w:t> </w:t>
            </w:r>
          </w:p>
        </w:tc>
        <w:tc>
          <w:tcPr>
            <w:tcW w:w="12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652A9">
            <w:pPr>
              <w:pStyle w:val="10"/>
              <w:spacing w:beforeAutospacing="0" w:afterAutospacing="0" w:line="0" w:lineRule="atLeast"/>
              <w:jc w:val="both"/>
            </w:pPr>
            <w:r>
              <w:t> </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0E562">
            <w:pPr>
              <w:pStyle w:val="10"/>
              <w:spacing w:beforeAutospacing="0" w:afterAutospacing="0" w:line="0" w:lineRule="atLeast"/>
              <w:jc w:val="both"/>
            </w:pPr>
            <w:r>
              <w:t> </w:t>
            </w:r>
          </w:p>
        </w:tc>
      </w:tr>
      <w:tr w14:paraId="7FFCF15A">
        <w:tblPrEx>
          <w:tblCellMar>
            <w:top w:w="0" w:type="dxa"/>
            <w:left w:w="108" w:type="dxa"/>
            <w:bottom w:w="0" w:type="dxa"/>
            <w:right w:w="108" w:type="dxa"/>
          </w:tblCellMar>
        </w:tblPrEx>
        <w:trPr>
          <w:trHeight w:val="1030" w:hRule="atLeast"/>
          <w:tblCellSpacing w:w="0" w:type="dxa"/>
        </w:trPr>
        <w:tc>
          <w:tcPr>
            <w:tcW w:w="736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3B2BB38">
            <w:pPr>
              <w:pStyle w:val="10"/>
              <w:spacing w:beforeAutospacing="0" w:afterAutospacing="0"/>
              <w:jc w:val="center"/>
            </w:pPr>
            <w:r>
              <w:rPr>
                <w:rFonts w:hint="eastAsia" w:ascii="宋体" w:hAnsi="宋体" w:eastAsia="宋体" w:cs="宋体"/>
                <w:color w:val="000000"/>
              </w:rPr>
              <w:t>投标总报价（人民币：元）</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6267F">
            <w:pPr>
              <w:pStyle w:val="10"/>
              <w:spacing w:beforeAutospacing="0" w:afterAutospacing="0"/>
              <w:jc w:val="both"/>
            </w:pPr>
            <w:r>
              <w:t> </w:t>
            </w:r>
          </w:p>
        </w:tc>
      </w:tr>
    </w:tbl>
    <w:p w14:paraId="01ED2569">
      <w:pPr>
        <w:pStyle w:val="10"/>
        <w:spacing w:beforeAutospacing="0" w:afterAutospacing="0"/>
        <w:jc w:val="both"/>
      </w:pPr>
      <w:r>
        <w:rPr>
          <w:rFonts w:hint="eastAsia" w:ascii="宋体" w:hAnsi="宋体" w:eastAsia="宋体" w:cs="宋体"/>
          <w:color w:val="000000"/>
        </w:rPr>
        <w:t>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ascii="Times New Roman" w:hAnsi="Times New Roman"/>
          <w:color w:val="000000"/>
          <w:sz w:val="21"/>
          <w:szCs w:val="21"/>
        </w:rPr>
        <w:t xml:space="preserve"> “</w:t>
      </w:r>
      <w:r>
        <w:rPr>
          <w:rFonts w:hint="eastAsia" w:ascii="宋体" w:hAnsi="宋体" w:eastAsia="宋体" w:cs="宋体"/>
          <w:color w:val="000000"/>
        </w:rPr>
        <w:t>投标分项报价表</w:t>
      </w:r>
      <w:r>
        <w:rPr>
          <w:rFonts w:ascii="Times New Roman" w:hAnsi="Times New Roman"/>
          <w:color w:val="000000"/>
          <w:sz w:val="21"/>
          <w:szCs w:val="21"/>
        </w:rPr>
        <w:t>”</w:t>
      </w:r>
      <w:r>
        <w:rPr>
          <w:rFonts w:hint="eastAsia" w:ascii="宋体" w:hAnsi="宋体" w:eastAsia="宋体" w:cs="宋体"/>
          <w:color w:val="000000"/>
        </w:rPr>
        <w:t>中“投标总报价”数额应当与“开标一览表”中“投标总报价”数额一致。</w:t>
      </w:r>
    </w:p>
    <w:p w14:paraId="5195A4BF">
      <w:pPr>
        <w:pStyle w:val="10"/>
        <w:spacing w:beforeAutospacing="0" w:afterAutospacing="0"/>
        <w:jc w:val="both"/>
      </w:pPr>
      <w:r>
        <w:t> </w:t>
      </w:r>
    </w:p>
    <w:p w14:paraId="50A015D2">
      <w:pPr>
        <w:pStyle w:val="10"/>
        <w:spacing w:beforeAutospacing="0" w:afterAutospacing="0"/>
        <w:jc w:val="both"/>
      </w:pPr>
      <w:r>
        <w:t> </w:t>
      </w:r>
    </w:p>
    <w:p w14:paraId="76C9AE67">
      <w:pPr>
        <w:pStyle w:val="10"/>
        <w:spacing w:beforeAutospacing="0" w:afterAutospacing="0"/>
        <w:jc w:val="both"/>
      </w:pPr>
      <w:r>
        <w:t> </w:t>
      </w:r>
    </w:p>
    <w:p w14:paraId="204D65C7">
      <w:pPr>
        <w:pStyle w:val="10"/>
        <w:spacing w:beforeAutospacing="0" w:afterAutospacing="0"/>
        <w:jc w:val="both"/>
      </w:pPr>
      <w:r>
        <w:t> </w:t>
      </w:r>
    </w:p>
    <w:p w14:paraId="3CCFDFA4">
      <w:pPr>
        <w:pStyle w:val="10"/>
        <w:spacing w:beforeAutospacing="0" w:afterAutospacing="0"/>
        <w:jc w:val="both"/>
      </w:pPr>
      <w:r>
        <w:t> </w:t>
      </w:r>
    </w:p>
    <w:p w14:paraId="02C0117A">
      <w:pPr>
        <w:pStyle w:val="10"/>
        <w:spacing w:beforeAutospacing="0" w:afterAutospacing="0"/>
        <w:ind w:firstLine="480"/>
        <w:jc w:val="both"/>
      </w:pPr>
    </w:p>
    <w:p w14:paraId="614EF97B">
      <w:pPr>
        <w:pStyle w:val="10"/>
        <w:spacing w:beforeAutospacing="0" w:afterAutospacing="0"/>
        <w:ind w:firstLine="480"/>
        <w:jc w:val="both"/>
      </w:pPr>
    </w:p>
    <w:p w14:paraId="0E0D5FFF">
      <w:pPr>
        <w:pStyle w:val="10"/>
        <w:spacing w:beforeAutospacing="0" w:afterAutospacing="0"/>
        <w:ind w:firstLine="480"/>
        <w:jc w:val="both"/>
      </w:pPr>
    </w:p>
    <w:p w14:paraId="4DEC8323">
      <w:pPr>
        <w:pStyle w:val="10"/>
        <w:spacing w:beforeAutospacing="0" w:afterAutospacing="0"/>
        <w:ind w:firstLine="480"/>
        <w:jc w:val="both"/>
      </w:pPr>
    </w:p>
    <w:p w14:paraId="47468F50">
      <w:pPr>
        <w:pStyle w:val="10"/>
        <w:spacing w:beforeAutospacing="0" w:afterAutospacing="0"/>
        <w:ind w:firstLine="480"/>
        <w:jc w:val="both"/>
      </w:pPr>
    </w:p>
    <w:p w14:paraId="5060C589">
      <w:pPr>
        <w:pStyle w:val="10"/>
        <w:spacing w:beforeAutospacing="0" w:afterAutospacing="0"/>
        <w:ind w:firstLine="480"/>
        <w:jc w:val="both"/>
      </w:pPr>
    </w:p>
    <w:p w14:paraId="4C041F9B">
      <w:pPr>
        <w:pStyle w:val="10"/>
        <w:spacing w:beforeAutospacing="0" w:afterAutospacing="0"/>
        <w:ind w:firstLine="480"/>
        <w:jc w:val="both"/>
      </w:pPr>
    </w:p>
    <w:p w14:paraId="3DF9DD05">
      <w:pPr>
        <w:pStyle w:val="10"/>
        <w:spacing w:beforeAutospacing="0" w:afterAutospacing="0"/>
        <w:ind w:firstLine="480"/>
        <w:jc w:val="both"/>
      </w:pPr>
    </w:p>
    <w:p w14:paraId="3ECC5DA7">
      <w:pPr>
        <w:pStyle w:val="10"/>
        <w:spacing w:beforeAutospacing="0" w:afterAutospacing="0"/>
        <w:ind w:firstLine="480"/>
        <w:jc w:val="both"/>
      </w:pPr>
    </w:p>
    <w:p w14:paraId="522119D1">
      <w:pPr>
        <w:pStyle w:val="10"/>
        <w:spacing w:beforeAutospacing="0" w:afterAutospacing="0"/>
        <w:ind w:firstLine="480"/>
        <w:jc w:val="both"/>
      </w:pPr>
    </w:p>
    <w:p w14:paraId="7D7E795F">
      <w:pPr>
        <w:pStyle w:val="10"/>
        <w:spacing w:beforeAutospacing="0" w:afterAutospacing="0"/>
        <w:ind w:firstLine="480"/>
        <w:jc w:val="both"/>
      </w:pPr>
    </w:p>
    <w:p w14:paraId="5B1CB5FF">
      <w:pPr>
        <w:pStyle w:val="10"/>
        <w:spacing w:beforeAutospacing="0" w:afterAutospacing="0"/>
        <w:ind w:firstLine="480"/>
        <w:jc w:val="both"/>
      </w:pPr>
    </w:p>
    <w:p w14:paraId="68B7F4AF">
      <w:pPr>
        <w:pStyle w:val="10"/>
        <w:spacing w:beforeAutospacing="0" w:afterAutospacing="0"/>
        <w:ind w:firstLine="480"/>
        <w:jc w:val="both"/>
      </w:pPr>
    </w:p>
    <w:p w14:paraId="6267EA5B">
      <w:pPr>
        <w:pStyle w:val="10"/>
        <w:spacing w:beforeAutospacing="0" w:afterAutospacing="0"/>
        <w:ind w:firstLine="480"/>
        <w:jc w:val="both"/>
      </w:pPr>
    </w:p>
    <w:p w14:paraId="5F4C38B8">
      <w:pPr>
        <w:widowControl/>
        <w:spacing w:before="50" w:after="50"/>
        <w:jc w:val="center"/>
        <w:rPr>
          <w:rFonts w:ascii="宋体" w:hAnsi="宋体" w:eastAsia="宋体" w:cs="宋体"/>
          <w:sz w:val="24"/>
        </w:rPr>
      </w:pPr>
      <w:r>
        <w:tab/>
      </w:r>
      <w:r>
        <w:rPr>
          <w:rFonts w:hint="eastAsia" w:ascii="宋体" w:hAnsi="宋体" w:eastAsia="宋体" w:cs="宋体"/>
          <w:color w:val="000000"/>
          <w:sz w:val="32"/>
          <w:szCs w:val="32"/>
        </w:rPr>
        <w:t>十</w:t>
      </w:r>
      <w:r>
        <w:rPr>
          <w:rFonts w:hint="eastAsia" w:ascii="宋体" w:hAnsi="宋体" w:eastAsia="宋体" w:cs="宋体"/>
          <w:color w:val="000000"/>
          <w:sz w:val="32"/>
          <w:szCs w:val="32"/>
          <w:lang w:val="en-US" w:eastAsia="zh-CN"/>
        </w:rPr>
        <w:t>六</w:t>
      </w:r>
      <w:r>
        <w:rPr>
          <w:rFonts w:hint="eastAsia" w:ascii="宋体" w:hAnsi="宋体" w:eastAsia="宋体" w:cs="宋体"/>
          <w:color w:val="000000"/>
          <w:sz w:val="32"/>
          <w:szCs w:val="32"/>
        </w:rPr>
        <w:t>、</w:t>
      </w:r>
      <w:r>
        <w:rPr>
          <w:rFonts w:hint="eastAsia" w:ascii="宋体" w:hAnsi="宋体" w:eastAsia="宋体" w:cs="宋体"/>
          <w:color w:val="000000"/>
          <w:sz w:val="32"/>
          <w:szCs w:val="32"/>
          <w:lang w:val="en-US" w:eastAsia="zh-CN"/>
        </w:rPr>
        <w:t>实施方案</w:t>
      </w:r>
      <w:r>
        <w:rPr>
          <w:rFonts w:hint="eastAsia" w:ascii="宋体" w:hAnsi="宋体" w:eastAsia="宋体" w:cs="宋体"/>
          <w:color w:val="000000"/>
          <w:sz w:val="32"/>
          <w:szCs w:val="32"/>
        </w:rPr>
        <w:t>等</w:t>
      </w:r>
    </w:p>
    <w:p w14:paraId="7452FA6F">
      <w:pPr>
        <w:widowControl/>
        <w:spacing w:line="499" w:lineRule="atLeast"/>
        <w:ind w:firstLine="1600"/>
        <w:rPr>
          <w:rFonts w:ascii="宋体" w:hAnsi="宋体" w:eastAsia="宋体" w:cs="宋体"/>
          <w:sz w:val="24"/>
        </w:rPr>
      </w:pPr>
      <w:r>
        <w:rPr>
          <w:rFonts w:hint="eastAsia" w:ascii="宋体" w:hAnsi="宋体" w:eastAsia="宋体" w:cs="宋体"/>
          <w:color w:val="000000"/>
          <w:sz w:val="32"/>
          <w:szCs w:val="32"/>
        </w:rPr>
        <w:t>十</w:t>
      </w:r>
      <w:r>
        <w:rPr>
          <w:rFonts w:hint="eastAsia" w:ascii="宋体" w:hAnsi="宋体" w:eastAsia="宋体" w:cs="宋体"/>
          <w:color w:val="000000"/>
          <w:sz w:val="32"/>
          <w:szCs w:val="32"/>
          <w:lang w:val="en-US" w:eastAsia="zh-CN"/>
        </w:rPr>
        <w:t>七</w:t>
      </w:r>
      <w:r>
        <w:rPr>
          <w:rFonts w:hint="eastAsia" w:ascii="宋体" w:hAnsi="宋体" w:eastAsia="宋体" w:cs="宋体"/>
          <w:color w:val="000000"/>
          <w:sz w:val="32"/>
          <w:szCs w:val="32"/>
        </w:rPr>
        <w:t>、盐城市政府采购事前信用承诺书</w:t>
      </w:r>
    </w:p>
    <w:p w14:paraId="04940EFA">
      <w:pPr>
        <w:widowControl/>
        <w:spacing w:line="499" w:lineRule="atLeast"/>
        <w:ind w:firstLine="640"/>
        <w:jc w:val="left"/>
        <w:rPr>
          <w:rFonts w:ascii="宋体" w:hAnsi="宋体" w:eastAsia="宋体" w:cs="宋体"/>
          <w:sz w:val="24"/>
        </w:rPr>
      </w:pPr>
      <w:r>
        <w:rPr>
          <w:rFonts w:hint="eastAsia" w:ascii="宋体" w:hAnsi="宋体" w:eastAsia="宋体" w:cs="宋体"/>
          <w:color w:val="000000"/>
          <w:sz w:val="32"/>
          <w:szCs w:val="32"/>
        </w:rPr>
        <w:t> </w:t>
      </w: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01E0F831">
      <w:pPr>
        <w:widowControl/>
        <w:spacing w:line="499" w:lineRule="atLeast"/>
        <w:jc w:val="left"/>
        <w:rPr>
          <w:rFonts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5959173B">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1702994">
      <w:pPr>
        <w:widowControl/>
        <w:spacing w:line="499" w:lineRule="atLeast"/>
        <w:jc w:val="left"/>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2D83A6F8">
      <w:pPr>
        <w:widowControl/>
        <w:spacing w:line="499" w:lineRule="atLeast"/>
        <w:jc w:val="left"/>
        <w:rPr>
          <w:rFonts w:ascii="宋体" w:hAnsi="宋体" w:eastAsia="宋体" w:cs="宋体"/>
          <w:sz w:val="24"/>
        </w:rPr>
      </w:pPr>
      <w:r>
        <w:rPr>
          <w:rFonts w:hint="eastAsia" w:ascii="宋体" w:hAnsi="宋体" w:eastAsia="宋体" w:cs="宋体"/>
          <w:color w:val="000000"/>
          <w:sz w:val="24"/>
        </w:rPr>
        <w:t>   （四）严格遵守即时信息公示规定，及时维护和更新维护和更新盐城市政府采购网中与本单位相关的信息；</w:t>
      </w:r>
    </w:p>
    <w:p w14:paraId="1296B7F8">
      <w:pPr>
        <w:widowControl/>
        <w:spacing w:line="499" w:lineRule="atLeast"/>
        <w:jc w:val="left"/>
        <w:rPr>
          <w:rFonts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739FA9B">
      <w:pPr>
        <w:widowControl/>
        <w:spacing w:line="499" w:lineRule="atLeast"/>
        <w:jc w:val="left"/>
        <w:rPr>
          <w:rFonts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17E8E080">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3979501B">
      <w:pPr>
        <w:widowControl/>
        <w:spacing w:line="499" w:lineRule="atLeast"/>
        <w:jc w:val="left"/>
        <w:rPr>
          <w:rFonts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04DCF6A8">
      <w:pPr>
        <w:widowControl/>
        <w:spacing w:line="499" w:lineRule="atLeast"/>
        <w:jc w:val="left"/>
        <w:rPr>
          <w:rFonts w:ascii="宋体" w:hAnsi="宋体" w:eastAsia="宋体" w:cs="宋体"/>
          <w:sz w:val="24"/>
        </w:rPr>
      </w:pPr>
      <w:r>
        <w:rPr>
          <w:rFonts w:hint="eastAsia" w:ascii="宋体" w:hAnsi="宋体" w:eastAsia="宋体" w:cs="宋体"/>
          <w:color w:val="000000"/>
          <w:sz w:val="24"/>
        </w:rPr>
        <w:t>                  法定代表人签名：</w:t>
      </w:r>
    </w:p>
    <w:p w14:paraId="4E0F70F8">
      <w:pPr>
        <w:widowControl/>
        <w:spacing w:line="499" w:lineRule="atLeast"/>
        <w:jc w:val="center"/>
        <w:rPr>
          <w:rFonts w:ascii="宋体" w:hAnsi="宋体" w:eastAsia="宋体" w:cs="宋体"/>
          <w:sz w:val="24"/>
        </w:rPr>
      </w:pPr>
      <w:r>
        <w:rPr>
          <w:rFonts w:hint="eastAsia" w:ascii="宋体" w:hAnsi="宋体" w:eastAsia="宋体" w:cs="宋体"/>
          <w:color w:val="000000"/>
          <w:sz w:val="24"/>
        </w:rPr>
        <w:t>                   单位名称（盖章）：</w:t>
      </w:r>
    </w:p>
    <w:p w14:paraId="2AF9D437">
      <w:pPr>
        <w:widowControl/>
        <w:spacing w:line="499" w:lineRule="atLeast"/>
        <w:jc w:val="center"/>
        <w:rPr>
          <w:rFonts w:ascii="宋体" w:hAnsi="宋体" w:eastAsia="宋体" w:cs="宋体"/>
          <w:sz w:val="24"/>
        </w:rPr>
      </w:pPr>
      <w:r>
        <w:rPr>
          <w:rFonts w:hint="eastAsia" w:ascii="宋体" w:hAnsi="宋体" w:eastAsia="宋体" w:cs="宋体"/>
          <w:color w:val="000000"/>
          <w:sz w:val="24"/>
        </w:rPr>
        <w:t>                      年月日</w:t>
      </w:r>
    </w:p>
    <w:p w14:paraId="12D4A1FA">
      <w:pPr>
        <w:pStyle w:val="10"/>
        <w:spacing w:beforeAutospacing="0" w:afterAutospacing="0"/>
        <w:jc w:val="center"/>
      </w:pPr>
    </w:p>
    <w:bookmarkEnd w:id="6"/>
    <w:bookmarkEnd w:id="52"/>
    <w:bookmarkEnd w:id="99"/>
    <w:bookmarkEnd w:id="100"/>
    <w:bookmarkEnd w:id="101"/>
    <w:bookmarkEnd w:id="102"/>
    <w:bookmarkEnd w:id="103"/>
    <w:bookmarkEnd w:id="104"/>
    <w:bookmarkEnd w:id="105"/>
    <w:bookmarkEnd w:id="106"/>
    <w:bookmarkEnd w:id="115"/>
    <w:bookmarkEnd w:id="116"/>
    <w:bookmarkEnd w:id="123"/>
    <w:bookmarkEnd w:id="178"/>
    <w:bookmarkEnd w:id="227"/>
    <w:bookmarkEnd w:id="230"/>
    <w:bookmarkEnd w:id="231"/>
    <w:bookmarkEnd w:id="232"/>
    <w:bookmarkEnd w:id="233"/>
    <w:bookmarkEnd w:id="234"/>
    <w:bookmarkEnd w:id="235"/>
    <w:bookmarkEnd w:id="236"/>
    <w:bookmarkEnd w:id="237"/>
    <w:bookmarkEnd w:id="238"/>
    <w:bookmarkEnd w:id="239"/>
    <w:bookmarkEnd w:id="240"/>
    <w:bookmarkEnd w:id="241"/>
    <w:bookmarkEnd w:id="242"/>
    <w:p w14:paraId="68D04AC6">
      <w:pPr>
        <w:pStyle w:val="10"/>
        <w:spacing w:beforeAutospacing="0" w:afterAutospacing="0"/>
        <w:jc w:val="center"/>
        <w:rPr>
          <w:rFonts w:ascii="宋体" w:hAnsi="宋体" w:eastAsia="宋体" w:cs="宋体"/>
          <w:b/>
          <w:color w:val="000000"/>
          <w:sz w:val="32"/>
          <w:szCs w:val="32"/>
        </w:rPr>
      </w:pPr>
    </w:p>
    <w:p w14:paraId="3251687F">
      <w:pPr>
        <w:pStyle w:val="10"/>
        <w:spacing w:beforeAutospacing="0" w:afterAutospacing="0"/>
        <w:jc w:val="center"/>
        <w:rPr>
          <w:rFonts w:ascii="宋体" w:hAnsi="宋体" w:eastAsia="宋体" w:cs="宋体"/>
          <w:b/>
          <w:color w:val="000000"/>
          <w:sz w:val="32"/>
          <w:szCs w:val="32"/>
        </w:rPr>
      </w:pPr>
      <w:r>
        <w:rPr>
          <w:rFonts w:hint="eastAsia" w:ascii="宋体" w:hAnsi="宋体" w:eastAsia="宋体" w:cs="宋体"/>
          <w:b/>
          <w:color w:val="000000"/>
          <w:sz w:val="32"/>
          <w:szCs w:val="32"/>
        </w:rPr>
        <w:t>质疑函范本</w:t>
      </w:r>
    </w:p>
    <w:p w14:paraId="27A361FF">
      <w:pPr>
        <w:pStyle w:val="10"/>
        <w:spacing w:before="290" w:beforeAutospacing="0" w:afterAutospacing="0" w:line="360" w:lineRule="auto"/>
        <w:jc w:val="both"/>
        <w:rPr>
          <w:rFonts w:ascii="宋体" w:hAnsi="宋体" w:eastAsia="宋体" w:cs="宋体"/>
        </w:rPr>
      </w:pPr>
      <w:r>
        <w:rPr>
          <w:rFonts w:hint="eastAsia" w:ascii="宋体" w:hAnsi="宋体" w:eastAsia="宋体" w:cs="宋体"/>
          <w:color w:val="000000"/>
        </w:rPr>
        <w:t>一、质疑供应商基本信息</w:t>
      </w:r>
    </w:p>
    <w:p w14:paraId="1561A3B5">
      <w:pPr>
        <w:pStyle w:val="10"/>
        <w:spacing w:beforeAutospacing="0" w:afterAutospacing="0" w:line="360" w:lineRule="auto"/>
        <w:jc w:val="both"/>
        <w:rPr>
          <w:rFonts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341DB2FA">
      <w:pPr>
        <w:pStyle w:val="10"/>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0678AD08">
      <w:pPr>
        <w:pStyle w:val="10"/>
        <w:spacing w:beforeAutospacing="0" w:afterAutospacing="0" w:line="360" w:lineRule="auto"/>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5A63B49">
      <w:pPr>
        <w:pStyle w:val="10"/>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4F142538">
      <w:pPr>
        <w:pStyle w:val="10"/>
        <w:spacing w:beforeAutospacing="0" w:afterAutospacing="0" w:line="360" w:lineRule="auto"/>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7CECC86C">
      <w:pPr>
        <w:pStyle w:val="10"/>
        <w:spacing w:beforeAutospacing="0" w:afterAutospacing="0" w:line="360" w:lineRule="auto"/>
        <w:jc w:val="both"/>
        <w:rPr>
          <w:rFonts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0EA1D980">
      <w:pPr>
        <w:pStyle w:val="10"/>
        <w:spacing w:beforeAutospacing="0" w:afterAutospacing="0" w:line="360" w:lineRule="auto"/>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EBB9285">
      <w:pPr>
        <w:pStyle w:val="10"/>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33458DC">
      <w:pPr>
        <w:pStyle w:val="10"/>
        <w:spacing w:beforeAutospacing="0" w:afterAutospacing="0" w:line="360" w:lineRule="auto"/>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632C2662">
      <w:pPr>
        <w:pStyle w:val="10"/>
        <w:spacing w:beforeAutospacing="0" w:afterAutospacing="0" w:line="360" w:lineRule="auto"/>
        <w:jc w:val="both"/>
        <w:rPr>
          <w:rFonts w:ascii="宋体" w:hAnsi="宋体" w:eastAsia="宋体" w:cs="宋体"/>
        </w:rPr>
      </w:pPr>
      <w:r>
        <w:rPr>
          <w:rFonts w:hint="eastAsia" w:ascii="宋体" w:hAnsi="宋体" w:eastAsia="宋体" w:cs="宋体"/>
          <w:color w:val="000000"/>
        </w:rPr>
        <w:t>二、质疑项目基本情况</w:t>
      </w:r>
    </w:p>
    <w:p w14:paraId="65685134">
      <w:pPr>
        <w:pStyle w:val="10"/>
        <w:spacing w:beforeAutospacing="0" w:afterAutospacing="0" w:line="360" w:lineRule="auto"/>
        <w:jc w:val="both"/>
        <w:rPr>
          <w:rFonts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4DB24C6C">
      <w:pPr>
        <w:pStyle w:val="10"/>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41B3EA1B">
      <w:pPr>
        <w:pStyle w:val="10"/>
        <w:spacing w:beforeAutospacing="0" w:afterAutospacing="0" w:line="360" w:lineRule="auto"/>
        <w:jc w:val="both"/>
        <w:rPr>
          <w:rFonts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1286559">
      <w:pPr>
        <w:pStyle w:val="10"/>
        <w:spacing w:beforeAutospacing="0" w:afterAutospacing="0" w:line="360" w:lineRule="auto"/>
        <w:jc w:val="both"/>
        <w:rPr>
          <w:rFonts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708970F7">
      <w:pPr>
        <w:pStyle w:val="10"/>
        <w:spacing w:beforeAutospacing="0" w:afterAutospacing="0" w:line="360" w:lineRule="auto"/>
        <w:jc w:val="both"/>
        <w:rPr>
          <w:rFonts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xml:space="preserve">                             </w:t>
      </w:r>
    </w:p>
    <w:p w14:paraId="076A471C">
      <w:pPr>
        <w:pStyle w:val="10"/>
        <w:spacing w:beforeAutospacing="0" w:afterAutospacing="0" w:line="360" w:lineRule="auto"/>
        <w:jc w:val="both"/>
        <w:rPr>
          <w:rFonts w:ascii="宋体" w:hAnsi="宋体" w:eastAsia="宋体" w:cs="宋体"/>
        </w:rPr>
      </w:pPr>
      <w:r>
        <w:rPr>
          <w:rFonts w:hint="eastAsia" w:ascii="宋体" w:hAnsi="宋体" w:eastAsia="宋体" w:cs="宋体"/>
          <w:color w:val="000000"/>
        </w:rPr>
        <w:t>三、质疑事项具体内容</w:t>
      </w:r>
    </w:p>
    <w:p w14:paraId="07298441">
      <w:pPr>
        <w:pStyle w:val="10"/>
        <w:spacing w:beforeAutospacing="0" w:afterAutospacing="0" w:line="360" w:lineRule="auto"/>
        <w:jc w:val="both"/>
        <w:rPr>
          <w:rFonts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0A62438A">
      <w:pPr>
        <w:pStyle w:val="10"/>
        <w:spacing w:beforeAutospacing="0" w:afterAutospacing="0" w:line="360" w:lineRule="auto"/>
        <w:rPr>
          <w:rFonts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2D9884B5">
      <w:pPr>
        <w:pStyle w:val="10"/>
        <w:spacing w:beforeAutospacing="0" w:afterAutospacing="0" w:line="360" w:lineRule="auto"/>
        <w:jc w:val="both"/>
        <w:rPr>
          <w:rFonts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6EFCAF74">
      <w:pPr>
        <w:pStyle w:val="10"/>
        <w:spacing w:beforeAutospacing="0" w:afterAutospacing="0" w:line="360" w:lineRule="auto"/>
        <w:jc w:val="both"/>
        <w:rPr>
          <w:rFonts w:ascii="宋体" w:hAnsi="宋体" w:eastAsia="宋体" w:cs="宋体"/>
        </w:rPr>
      </w:pPr>
      <w:r>
        <w:rPr>
          <w:rFonts w:hint="eastAsia" w:ascii="宋体" w:hAnsi="宋体" w:eastAsia="宋体" w:cs="宋体"/>
          <w:color w:val="000000"/>
        </w:rPr>
        <w:t>质疑事项2</w:t>
      </w:r>
    </w:p>
    <w:p w14:paraId="028A34EC">
      <w:pPr>
        <w:pStyle w:val="10"/>
        <w:spacing w:beforeAutospacing="0" w:afterAutospacing="0" w:line="360" w:lineRule="auto"/>
        <w:jc w:val="both"/>
        <w:rPr>
          <w:rFonts w:ascii="宋体" w:hAnsi="宋体" w:eastAsia="宋体" w:cs="宋体"/>
        </w:rPr>
      </w:pPr>
      <w:r>
        <w:rPr>
          <w:rFonts w:hint="eastAsia" w:ascii="宋体" w:hAnsi="宋体" w:eastAsia="宋体" w:cs="宋体"/>
          <w:color w:val="000000"/>
        </w:rPr>
        <w:t>……</w:t>
      </w:r>
    </w:p>
    <w:p w14:paraId="090BD849">
      <w:pPr>
        <w:pStyle w:val="10"/>
        <w:spacing w:beforeAutospacing="0" w:afterAutospacing="0" w:line="360" w:lineRule="auto"/>
        <w:jc w:val="both"/>
        <w:rPr>
          <w:rFonts w:ascii="宋体" w:hAnsi="宋体" w:eastAsia="宋体" w:cs="宋体"/>
        </w:rPr>
      </w:pPr>
      <w:r>
        <w:rPr>
          <w:rFonts w:hint="eastAsia" w:ascii="宋体" w:hAnsi="宋体" w:eastAsia="宋体" w:cs="宋体"/>
          <w:color w:val="000000"/>
        </w:rPr>
        <w:t>四、与质疑事项相关的质疑请求</w:t>
      </w:r>
    </w:p>
    <w:p w14:paraId="56AB9ACD">
      <w:pPr>
        <w:pStyle w:val="10"/>
        <w:spacing w:beforeAutospacing="0" w:afterAutospacing="0" w:line="360" w:lineRule="auto"/>
        <w:jc w:val="both"/>
        <w:rPr>
          <w:rFonts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23D5F4D8">
      <w:pPr>
        <w:pStyle w:val="10"/>
        <w:spacing w:beforeAutospacing="0" w:afterAutospacing="0"/>
        <w:jc w:val="both"/>
        <w:rPr>
          <w:rFonts w:ascii="宋体" w:hAnsi="宋体" w:eastAsia="宋体" w:cs="宋体"/>
        </w:rPr>
      </w:pPr>
      <w:r>
        <w:rPr>
          <w:rFonts w:hint="eastAsia" w:ascii="宋体" w:hAnsi="宋体" w:eastAsia="宋体" w:cs="宋体"/>
          <w:color w:val="000000"/>
        </w:rPr>
        <w:t xml:space="preserve">签字(签章)：                 公章：               日期：    </w:t>
      </w:r>
    </w:p>
    <w:p w14:paraId="427BC5FB">
      <w:pPr>
        <w:pStyle w:val="10"/>
        <w:spacing w:beforeAutospacing="0" w:afterAutospacing="0" w:line="0" w:lineRule="atLeast"/>
        <w:jc w:val="both"/>
        <w:rPr>
          <w:rFonts w:ascii="宋体" w:hAnsi="宋体" w:eastAsia="宋体" w:cs="宋体"/>
        </w:rPr>
      </w:pPr>
      <w:r>
        <w:rPr>
          <w:rFonts w:hint="eastAsia" w:ascii="宋体" w:hAnsi="宋体" w:eastAsia="宋体" w:cs="宋体"/>
          <w:b/>
          <w:color w:val="000000"/>
        </w:rPr>
        <w:t>质疑函制作说明：</w:t>
      </w:r>
    </w:p>
    <w:p w14:paraId="5D01AB3F">
      <w:pPr>
        <w:pStyle w:val="10"/>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1.供应商提出质疑时，应提交质疑函和必要的证明材料。</w:t>
      </w:r>
    </w:p>
    <w:p w14:paraId="378E44DA">
      <w:pPr>
        <w:pStyle w:val="10"/>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E848F05">
      <w:pPr>
        <w:pStyle w:val="10"/>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22631D89">
      <w:pPr>
        <w:pStyle w:val="10"/>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4.质疑函的质疑事项应具体、明确，并有必要的事实依据和法律依据。</w:t>
      </w:r>
    </w:p>
    <w:p w14:paraId="2AB4A9EB">
      <w:pPr>
        <w:pStyle w:val="10"/>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5.质疑函的质疑请求应与质疑事项相关。</w:t>
      </w:r>
    </w:p>
    <w:p w14:paraId="567FD5C4">
      <w:pPr>
        <w:pStyle w:val="10"/>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08FBD19A">
      <w:pPr>
        <w:pStyle w:val="10"/>
        <w:spacing w:beforeAutospacing="0" w:afterAutospacing="0"/>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E24DE">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174688">
                          <w:pPr>
                            <w:pStyle w:val="8"/>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7C174688">
                    <w:pPr>
                      <w:pStyle w:val="8"/>
                    </w:pPr>
                    <w:r>
                      <w:fldChar w:fldCharType="begin"/>
                    </w:r>
                    <w:r>
                      <w:instrText xml:space="preserve"> PAGE  \* MERGEFORMAT </w:instrText>
                    </w:r>
                    <w:r>
                      <w:fldChar w:fldCharType="separate"/>
                    </w:r>
                    <w:r>
                      <w:t>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YyNmJhODhkZGFjODgwNTVjOGIxMzNlNzY5Y2ViOWYifQ=="/>
  </w:docVars>
  <w:rsids>
    <w:rsidRoot w:val="00172A27"/>
    <w:rsid w:val="00027397"/>
    <w:rsid w:val="0008414E"/>
    <w:rsid w:val="000B6FA8"/>
    <w:rsid w:val="000D6064"/>
    <w:rsid w:val="00106EC4"/>
    <w:rsid w:val="00111440"/>
    <w:rsid w:val="00112B63"/>
    <w:rsid w:val="00172A27"/>
    <w:rsid w:val="002B0C85"/>
    <w:rsid w:val="00322C2A"/>
    <w:rsid w:val="00350857"/>
    <w:rsid w:val="003C54BE"/>
    <w:rsid w:val="004125B1"/>
    <w:rsid w:val="00427F98"/>
    <w:rsid w:val="004529E6"/>
    <w:rsid w:val="004B19AD"/>
    <w:rsid w:val="004E0F29"/>
    <w:rsid w:val="005257A0"/>
    <w:rsid w:val="00653BD4"/>
    <w:rsid w:val="006B6476"/>
    <w:rsid w:val="006E10D2"/>
    <w:rsid w:val="006E6883"/>
    <w:rsid w:val="00755D43"/>
    <w:rsid w:val="00777222"/>
    <w:rsid w:val="007A68BB"/>
    <w:rsid w:val="007E3A7B"/>
    <w:rsid w:val="00822248"/>
    <w:rsid w:val="00927A3A"/>
    <w:rsid w:val="009620FE"/>
    <w:rsid w:val="00973C6A"/>
    <w:rsid w:val="009D4169"/>
    <w:rsid w:val="009E04AF"/>
    <w:rsid w:val="00A75D0F"/>
    <w:rsid w:val="00A832F0"/>
    <w:rsid w:val="00BD1A9C"/>
    <w:rsid w:val="00C90FDD"/>
    <w:rsid w:val="00CE1146"/>
    <w:rsid w:val="00CF47B8"/>
    <w:rsid w:val="00D00F3E"/>
    <w:rsid w:val="00D20B29"/>
    <w:rsid w:val="00D24F2F"/>
    <w:rsid w:val="00D3382A"/>
    <w:rsid w:val="00D550E3"/>
    <w:rsid w:val="00D724D7"/>
    <w:rsid w:val="00ED0DA8"/>
    <w:rsid w:val="00EE212F"/>
    <w:rsid w:val="00F04D35"/>
    <w:rsid w:val="00F05E1E"/>
    <w:rsid w:val="00F51BEF"/>
    <w:rsid w:val="00F65A6E"/>
    <w:rsid w:val="00FA4B2E"/>
    <w:rsid w:val="00FE0994"/>
    <w:rsid w:val="01227609"/>
    <w:rsid w:val="014036E0"/>
    <w:rsid w:val="015C3D17"/>
    <w:rsid w:val="018E5B7C"/>
    <w:rsid w:val="01AE0C97"/>
    <w:rsid w:val="02851591"/>
    <w:rsid w:val="02BD5381"/>
    <w:rsid w:val="02D505AD"/>
    <w:rsid w:val="031F2043"/>
    <w:rsid w:val="034115E7"/>
    <w:rsid w:val="034E4AD1"/>
    <w:rsid w:val="037E0789"/>
    <w:rsid w:val="03AC0546"/>
    <w:rsid w:val="03B72067"/>
    <w:rsid w:val="04CF1FA6"/>
    <w:rsid w:val="056E5657"/>
    <w:rsid w:val="05997CAE"/>
    <w:rsid w:val="05F17CC7"/>
    <w:rsid w:val="05F37608"/>
    <w:rsid w:val="062C42CE"/>
    <w:rsid w:val="068A6E34"/>
    <w:rsid w:val="069074E0"/>
    <w:rsid w:val="07893F2F"/>
    <w:rsid w:val="07994E3B"/>
    <w:rsid w:val="07A02A3F"/>
    <w:rsid w:val="07A40F48"/>
    <w:rsid w:val="0854758E"/>
    <w:rsid w:val="08992D34"/>
    <w:rsid w:val="09132265"/>
    <w:rsid w:val="093A65AB"/>
    <w:rsid w:val="095D46A1"/>
    <w:rsid w:val="0A622F41"/>
    <w:rsid w:val="0ABC363A"/>
    <w:rsid w:val="0AD8294B"/>
    <w:rsid w:val="0B4B3B00"/>
    <w:rsid w:val="0B8A23C1"/>
    <w:rsid w:val="0BA60D5B"/>
    <w:rsid w:val="0BAE3813"/>
    <w:rsid w:val="0BE43E2A"/>
    <w:rsid w:val="0C873133"/>
    <w:rsid w:val="0C8A677F"/>
    <w:rsid w:val="0D4D2FC1"/>
    <w:rsid w:val="0DCA1EF5"/>
    <w:rsid w:val="0DD26630"/>
    <w:rsid w:val="0E0362D5"/>
    <w:rsid w:val="0E966A8C"/>
    <w:rsid w:val="0E9C09EC"/>
    <w:rsid w:val="0EE61CD2"/>
    <w:rsid w:val="0F28151E"/>
    <w:rsid w:val="0F6D24BC"/>
    <w:rsid w:val="0F7D537E"/>
    <w:rsid w:val="0F845808"/>
    <w:rsid w:val="0FB3423F"/>
    <w:rsid w:val="10007707"/>
    <w:rsid w:val="11AB711C"/>
    <w:rsid w:val="11F56D91"/>
    <w:rsid w:val="12431559"/>
    <w:rsid w:val="12837EF9"/>
    <w:rsid w:val="12C37AC7"/>
    <w:rsid w:val="12F015A0"/>
    <w:rsid w:val="137D2B9A"/>
    <w:rsid w:val="14477BA7"/>
    <w:rsid w:val="15BF3E2F"/>
    <w:rsid w:val="169263C8"/>
    <w:rsid w:val="16A61788"/>
    <w:rsid w:val="17085A75"/>
    <w:rsid w:val="17666D47"/>
    <w:rsid w:val="1792502D"/>
    <w:rsid w:val="18BC4109"/>
    <w:rsid w:val="192F5D4A"/>
    <w:rsid w:val="193260E4"/>
    <w:rsid w:val="193C52A5"/>
    <w:rsid w:val="19835197"/>
    <w:rsid w:val="1A4F2C83"/>
    <w:rsid w:val="1AD2708F"/>
    <w:rsid w:val="1B5F5046"/>
    <w:rsid w:val="1B9509DF"/>
    <w:rsid w:val="1BA002D8"/>
    <w:rsid w:val="1BA57132"/>
    <w:rsid w:val="1C410B74"/>
    <w:rsid w:val="1CAC4347"/>
    <w:rsid w:val="1CF17983"/>
    <w:rsid w:val="1D1C1092"/>
    <w:rsid w:val="1D2A0B2B"/>
    <w:rsid w:val="1D605A5A"/>
    <w:rsid w:val="1DFD1285"/>
    <w:rsid w:val="1EC70509"/>
    <w:rsid w:val="1EDE0FC5"/>
    <w:rsid w:val="1F4A0271"/>
    <w:rsid w:val="1F5844BB"/>
    <w:rsid w:val="1FC7762D"/>
    <w:rsid w:val="20733730"/>
    <w:rsid w:val="20A83FAF"/>
    <w:rsid w:val="215025DE"/>
    <w:rsid w:val="21AD0AEE"/>
    <w:rsid w:val="21CC717D"/>
    <w:rsid w:val="22424AA4"/>
    <w:rsid w:val="224E7092"/>
    <w:rsid w:val="22E75F1A"/>
    <w:rsid w:val="22F62B8A"/>
    <w:rsid w:val="23092164"/>
    <w:rsid w:val="23254D08"/>
    <w:rsid w:val="23534E2B"/>
    <w:rsid w:val="23C465C3"/>
    <w:rsid w:val="23DF3717"/>
    <w:rsid w:val="240C4129"/>
    <w:rsid w:val="242C02D7"/>
    <w:rsid w:val="24533DC2"/>
    <w:rsid w:val="24545B99"/>
    <w:rsid w:val="2532334D"/>
    <w:rsid w:val="25445C0D"/>
    <w:rsid w:val="26750FF7"/>
    <w:rsid w:val="26E9418F"/>
    <w:rsid w:val="27177FFC"/>
    <w:rsid w:val="27194423"/>
    <w:rsid w:val="27290FC5"/>
    <w:rsid w:val="285C7D55"/>
    <w:rsid w:val="286F4D34"/>
    <w:rsid w:val="28A77F49"/>
    <w:rsid w:val="28FC627B"/>
    <w:rsid w:val="28FE41FC"/>
    <w:rsid w:val="29345C52"/>
    <w:rsid w:val="2996274E"/>
    <w:rsid w:val="2A4648B7"/>
    <w:rsid w:val="2A631C54"/>
    <w:rsid w:val="2B005440"/>
    <w:rsid w:val="2C03574A"/>
    <w:rsid w:val="2C117DB2"/>
    <w:rsid w:val="2C7B3B05"/>
    <w:rsid w:val="2CC277F5"/>
    <w:rsid w:val="2D67525C"/>
    <w:rsid w:val="2D784F24"/>
    <w:rsid w:val="2E0221C2"/>
    <w:rsid w:val="2E5E7AF7"/>
    <w:rsid w:val="2E986024"/>
    <w:rsid w:val="2ED51684"/>
    <w:rsid w:val="2EE73822"/>
    <w:rsid w:val="2F35047D"/>
    <w:rsid w:val="2FAD4FD9"/>
    <w:rsid w:val="2FB346FB"/>
    <w:rsid w:val="2FFA5778"/>
    <w:rsid w:val="30495C84"/>
    <w:rsid w:val="30650005"/>
    <w:rsid w:val="30E80CD0"/>
    <w:rsid w:val="310333AD"/>
    <w:rsid w:val="312B7FCB"/>
    <w:rsid w:val="31522189"/>
    <w:rsid w:val="318A49A8"/>
    <w:rsid w:val="320261C4"/>
    <w:rsid w:val="32382656"/>
    <w:rsid w:val="329E6CD8"/>
    <w:rsid w:val="332F7427"/>
    <w:rsid w:val="33440753"/>
    <w:rsid w:val="33773E42"/>
    <w:rsid w:val="34E14EA2"/>
    <w:rsid w:val="34E346A0"/>
    <w:rsid w:val="359B1151"/>
    <w:rsid w:val="35AD49A2"/>
    <w:rsid w:val="35E37C3A"/>
    <w:rsid w:val="35F8152E"/>
    <w:rsid w:val="36172BC3"/>
    <w:rsid w:val="36527A5E"/>
    <w:rsid w:val="3655697C"/>
    <w:rsid w:val="36CC7C95"/>
    <w:rsid w:val="36EB650A"/>
    <w:rsid w:val="378133A9"/>
    <w:rsid w:val="383A233E"/>
    <w:rsid w:val="38E8179D"/>
    <w:rsid w:val="39101F1B"/>
    <w:rsid w:val="392D7EB3"/>
    <w:rsid w:val="39720FC7"/>
    <w:rsid w:val="39CD52E9"/>
    <w:rsid w:val="3A64388F"/>
    <w:rsid w:val="3B0B043D"/>
    <w:rsid w:val="3BDF2457"/>
    <w:rsid w:val="3C8E39AA"/>
    <w:rsid w:val="3CA53635"/>
    <w:rsid w:val="3D23372C"/>
    <w:rsid w:val="3DF80C94"/>
    <w:rsid w:val="3E064F5A"/>
    <w:rsid w:val="3E161B6B"/>
    <w:rsid w:val="3E7F5998"/>
    <w:rsid w:val="3F0056DB"/>
    <w:rsid w:val="3F1A3023"/>
    <w:rsid w:val="3F243A9D"/>
    <w:rsid w:val="3F6E3069"/>
    <w:rsid w:val="3F895265"/>
    <w:rsid w:val="40350295"/>
    <w:rsid w:val="406E1D8D"/>
    <w:rsid w:val="4081789B"/>
    <w:rsid w:val="41F03ED7"/>
    <w:rsid w:val="41F24775"/>
    <w:rsid w:val="42053C57"/>
    <w:rsid w:val="42214BD9"/>
    <w:rsid w:val="42324DFA"/>
    <w:rsid w:val="431353F3"/>
    <w:rsid w:val="43455446"/>
    <w:rsid w:val="43692E36"/>
    <w:rsid w:val="44DA072F"/>
    <w:rsid w:val="454D0F8E"/>
    <w:rsid w:val="45EB1D4D"/>
    <w:rsid w:val="45FC0A54"/>
    <w:rsid w:val="461D469A"/>
    <w:rsid w:val="466976E6"/>
    <w:rsid w:val="46EA0CE7"/>
    <w:rsid w:val="470D4256"/>
    <w:rsid w:val="47134FE8"/>
    <w:rsid w:val="47197ABA"/>
    <w:rsid w:val="472208AE"/>
    <w:rsid w:val="47704C41"/>
    <w:rsid w:val="47B925F3"/>
    <w:rsid w:val="484F243F"/>
    <w:rsid w:val="48657CE7"/>
    <w:rsid w:val="48910AEC"/>
    <w:rsid w:val="48A40A6E"/>
    <w:rsid w:val="48AB61A3"/>
    <w:rsid w:val="48B3170D"/>
    <w:rsid w:val="48B41562"/>
    <w:rsid w:val="48EE16CF"/>
    <w:rsid w:val="493C7DE9"/>
    <w:rsid w:val="4A1E13B4"/>
    <w:rsid w:val="4A2C49B0"/>
    <w:rsid w:val="4A7D1B0F"/>
    <w:rsid w:val="4A875A97"/>
    <w:rsid w:val="4AAC50D1"/>
    <w:rsid w:val="4AE82438"/>
    <w:rsid w:val="4B871B00"/>
    <w:rsid w:val="4C5A2B74"/>
    <w:rsid w:val="4D2D20D9"/>
    <w:rsid w:val="4DA074F7"/>
    <w:rsid w:val="4DA33F07"/>
    <w:rsid w:val="4DDC38F6"/>
    <w:rsid w:val="4DDE52C0"/>
    <w:rsid w:val="4E6C5709"/>
    <w:rsid w:val="4E7B147D"/>
    <w:rsid w:val="4EE04351"/>
    <w:rsid w:val="4F4E4E0F"/>
    <w:rsid w:val="4F876573"/>
    <w:rsid w:val="50450E16"/>
    <w:rsid w:val="50A1397F"/>
    <w:rsid w:val="50BE2DE9"/>
    <w:rsid w:val="51C75DFE"/>
    <w:rsid w:val="51E57DEC"/>
    <w:rsid w:val="52741FCB"/>
    <w:rsid w:val="52860D64"/>
    <w:rsid w:val="52D06B10"/>
    <w:rsid w:val="53536515"/>
    <w:rsid w:val="536B21BA"/>
    <w:rsid w:val="53A862CC"/>
    <w:rsid w:val="53C14B0D"/>
    <w:rsid w:val="542A0FDA"/>
    <w:rsid w:val="544D7D8B"/>
    <w:rsid w:val="545F1F49"/>
    <w:rsid w:val="54857525"/>
    <w:rsid w:val="54E877FB"/>
    <w:rsid w:val="54ED53D0"/>
    <w:rsid w:val="55091CCC"/>
    <w:rsid w:val="56307253"/>
    <w:rsid w:val="5639278D"/>
    <w:rsid w:val="56453199"/>
    <w:rsid w:val="564B4B24"/>
    <w:rsid w:val="567B69B2"/>
    <w:rsid w:val="57511940"/>
    <w:rsid w:val="5797379E"/>
    <w:rsid w:val="57C86FC8"/>
    <w:rsid w:val="582F6DAB"/>
    <w:rsid w:val="58AD45AF"/>
    <w:rsid w:val="58D4718C"/>
    <w:rsid w:val="59A82CA5"/>
    <w:rsid w:val="5A1804F3"/>
    <w:rsid w:val="5A9E3C26"/>
    <w:rsid w:val="5AD536B4"/>
    <w:rsid w:val="5AEA4CCC"/>
    <w:rsid w:val="5B031B11"/>
    <w:rsid w:val="5B67653B"/>
    <w:rsid w:val="5B96574B"/>
    <w:rsid w:val="5BB1045C"/>
    <w:rsid w:val="5C5A652B"/>
    <w:rsid w:val="5C9863A4"/>
    <w:rsid w:val="5CDE2E19"/>
    <w:rsid w:val="5D320FC0"/>
    <w:rsid w:val="5DAC76CE"/>
    <w:rsid w:val="5DE138D8"/>
    <w:rsid w:val="5E1921ED"/>
    <w:rsid w:val="5F7D5E8E"/>
    <w:rsid w:val="5F7F522A"/>
    <w:rsid w:val="601337BB"/>
    <w:rsid w:val="606A165C"/>
    <w:rsid w:val="60882C6C"/>
    <w:rsid w:val="61562010"/>
    <w:rsid w:val="62A87E16"/>
    <w:rsid w:val="62CA561A"/>
    <w:rsid w:val="6313315F"/>
    <w:rsid w:val="63531AF3"/>
    <w:rsid w:val="63CD6C1F"/>
    <w:rsid w:val="64553C85"/>
    <w:rsid w:val="64A56430"/>
    <w:rsid w:val="64AA08E2"/>
    <w:rsid w:val="65055217"/>
    <w:rsid w:val="6540769E"/>
    <w:rsid w:val="65BB2793"/>
    <w:rsid w:val="667027CF"/>
    <w:rsid w:val="6688694C"/>
    <w:rsid w:val="67112E9A"/>
    <w:rsid w:val="67A410D5"/>
    <w:rsid w:val="68245589"/>
    <w:rsid w:val="68777DD2"/>
    <w:rsid w:val="6918017E"/>
    <w:rsid w:val="69983CE0"/>
    <w:rsid w:val="6A1C1694"/>
    <w:rsid w:val="6A751DB0"/>
    <w:rsid w:val="6AB95533"/>
    <w:rsid w:val="6B037E0E"/>
    <w:rsid w:val="6BDE41BB"/>
    <w:rsid w:val="6C5462A8"/>
    <w:rsid w:val="6C917FD7"/>
    <w:rsid w:val="6CAD1924"/>
    <w:rsid w:val="6D865F2E"/>
    <w:rsid w:val="6E3A2CD6"/>
    <w:rsid w:val="6E3A4A84"/>
    <w:rsid w:val="6E7B6EBD"/>
    <w:rsid w:val="6F5E6CFA"/>
    <w:rsid w:val="70741DD0"/>
    <w:rsid w:val="711D243B"/>
    <w:rsid w:val="71BB7860"/>
    <w:rsid w:val="71E24E80"/>
    <w:rsid w:val="72071122"/>
    <w:rsid w:val="72440385"/>
    <w:rsid w:val="729125E4"/>
    <w:rsid w:val="72C46666"/>
    <w:rsid w:val="73693730"/>
    <w:rsid w:val="73761484"/>
    <w:rsid w:val="740D5DCE"/>
    <w:rsid w:val="743F3C99"/>
    <w:rsid w:val="74835482"/>
    <w:rsid w:val="74877DC7"/>
    <w:rsid w:val="755802CB"/>
    <w:rsid w:val="756A3E90"/>
    <w:rsid w:val="75890D8F"/>
    <w:rsid w:val="75B043EA"/>
    <w:rsid w:val="76D90F68"/>
    <w:rsid w:val="770B3462"/>
    <w:rsid w:val="77C1540B"/>
    <w:rsid w:val="78153E6C"/>
    <w:rsid w:val="78196883"/>
    <w:rsid w:val="783E7320"/>
    <w:rsid w:val="78A60027"/>
    <w:rsid w:val="78CB19C0"/>
    <w:rsid w:val="78F35EFE"/>
    <w:rsid w:val="78FF5669"/>
    <w:rsid w:val="7918780F"/>
    <w:rsid w:val="793275BA"/>
    <w:rsid w:val="79A724F1"/>
    <w:rsid w:val="7A4B7878"/>
    <w:rsid w:val="7A6D100D"/>
    <w:rsid w:val="7C444D20"/>
    <w:rsid w:val="7C5F16F8"/>
    <w:rsid w:val="7C9B4ACC"/>
    <w:rsid w:val="7C9D3E10"/>
    <w:rsid w:val="7CAF2E48"/>
    <w:rsid w:val="7CB122FF"/>
    <w:rsid w:val="7CE73774"/>
    <w:rsid w:val="7CFE3F1B"/>
    <w:rsid w:val="7DBA67DE"/>
    <w:rsid w:val="7DF53ACA"/>
    <w:rsid w:val="7F0E4C61"/>
    <w:rsid w:val="7F476831"/>
    <w:rsid w:val="7F7F4C0B"/>
    <w:rsid w:val="7FE963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jc w:val="center"/>
      <w:outlineLvl w:val="0"/>
    </w:pPr>
    <w:rPr>
      <w:rFonts w:ascii="楷体_GB2312" w:eastAsia="楷体_GB2312"/>
      <w:szCs w:val="28"/>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Body Text"/>
    <w:basedOn w:val="1"/>
    <w:next w:val="1"/>
    <w:qFormat/>
    <w:uiPriority w:val="0"/>
    <w:pPr>
      <w:spacing w:after="120"/>
    </w:pPr>
  </w:style>
  <w:style w:type="paragraph" w:styleId="5">
    <w:name w:val="Body Text Indent"/>
    <w:basedOn w:val="1"/>
    <w:next w:val="6"/>
    <w:qFormat/>
    <w:uiPriority w:val="0"/>
    <w:pPr>
      <w:ind w:firstLine="645"/>
    </w:pPr>
    <w:rPr>
      <w:rFonts w:ascii="楷体_GB2312" w:eastAsia="楷体_GB2312"/>
      <w:sz w:val="32"/>
      <w:szCs w:val="32"/>
    </w:rPr>
  </w:style>
  <w:style w:type="paragraph" w:styleId="6">
    <w:name w:val="envelope return"/>
    <w:basedOn w:val="1"/>
    <w:qFormat/>
    <w:uiPriority w:val="99"/>
    <w:pPr>
      <w:snapToGrid w:val="0"/>
    </w:pPr>
    <w:rPr>
      <w:rFonts w:ascii="Arial" w:hAnsi="Arial" w:cs="Arial"/>
    </w:rPr>
  </w:style>
  <w:style w:type="paragraph" w:styleId="7">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8">
    <w:name w:val="footer"/>
    <w:basedOn w:val="1"/>
    <w:link w:val="16"/>
    <w:qFormat/>
    <w:uiPriority w:val="0"/>
    <w:pPr>
      <w:tabs>
        <w:tab w:val="center" w:pos="4153"/>
        <w:tab w:val="right" w:pos="8306"/>
      </w:tabs>
      <w:snapToGrid w:val="0"/>
      <w:jc w:val="left"/>
    </w:pPr>
    <w:rPr>
      <w:sz w:val="18"/>
      <w:szCs w:val="18"/>
    </w:rPr>
  </w:style>
  <w:style w:type="paragraph" w:styleId="9">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spacing w:beforeAutospacing="1" w:afterAutospacing="1"/>
      <w:jc w:val="left"/>
    </w:pPr>
    <w:rPr>
      <w:rFonts w:cs="Times New Roman"/>
      <w:kern w:val="0"/>
      <w:sz w:val="24"/>
    </w:rPr>
  </w:style>
  <w:style w:type="paragraph" w:styleId="11">
    <w:name w:val="Body Text First Indent 2"/>
    <w:basedOn w:val="5"/>
    <w:next w:val="1"/>
    <w:qFormat/>
    <w:uiPriority w:val="0"/>
    <w:pPr>
      <w:spacing w:line="360" w:lineRule="auto"/>
      <w:ind w:firstLine="420" w:firstLineChars="200"/>
    </w:pPr>
    <w:rPr>
      <w:rFonts w:ascii="宋体" w:hAnsi="宋体" w:eastAsia="宋体"/>
      <w:sz w:val="21"/>
      <w:szCs w:val="20"/>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5">
    <w:name w:val="页眉 Char"/>
    <w:basedOn w:val="14"/>
    <w:link w:val="9"/>
    <w:qFormat/>
    <w:uiPriority w:val="0"/>
    <w:rPr>
      <w:rFonts w:asciiTheme="minorHAnsi" w:hAnsiTheme="minorHAnsi" w:eastAsiaTheme="minorEastAsia" w:cstheme="minorBidi"/>
      <w:kern w:val="2"/>
      <w:sz w:val="18"/>
      <w:szCs w:val="18"/>
    </w:rPr>
  </w:style>
  <w:style w:type="character" w:customStyle="1" w:styleId="16">
    <w:name w:val="页脚 Char"/>
    <w:basedOn w:val="14"/>
    <w:link w:val="8"/>
    <w:qFormat/>
    <w:uiPriority w:val="0"/>
    <w:rPr>
      <w:rFonts w:asciiTheme="minorHAnsi" w:hAnsiTheme="minorHAnsi" w:eastAsiaTheme="minorEastAsia" w:cstheme="minorBidi"/>
      <w:kern w:val="2"/>
      <w:sz w:val="18"/>
      <w:szCs w:val="18"/>
    </w:rPr>
  </w:style>
  <w:style w:type="paragraph" w:customStyle="1" w:styleId="17">
    <w:name w:val="Default"/>
    <w:unhideWhenUsed/>
    <w:qFormat/>
    <w:uiPriority w:val="99"/>
    <w:pPr>
      <w:widowControl w:val="0"/>
      <w:autoSpaceDE w:val="0"/>
      <w:autoSpaceDN w:val="0"/>
      <w:adjustRightInd w:val="0"/>
    </w:pPr>
    <w:rPr>
      <w:rFonts w:hint="eastAsia" w:ascii="仿宋_GB2312" w:hAnsi="仿宋_GB2312" w:eastAsia="仿宋_GB2312" w:cs="Times New Roman"/>
      <w:color w:val="000000"/>
      <w:sz w:val="24"/>
      <w:lang w:val="en-US" w:eastAsia="zh-CN" w:bidi="ar-SA"/>
    </w:rPr>
  </w:style>
  <w:style w:type="paragraph" w:customStyle="1" w:styleId="18">
    <w:name w:val="正文空2格  1."/>
    <w:basedOn w:val="1"/>
    <w:qFormat/>
    <w:uiPriority w:val="0"/>
    <w:pPr>
      <w:ind w:firstLine="480" w:firstLineChars="200"/>
    </w:pPr>
    <w:rPr>
      <w:rFonts w:cs="宋体"/>
      <w:szCs w:val="20"/>
    </w:rPr>
  </w:style>
  <w:style w:type="paragraph" w:customStyle="1" w:styleId="19">
    <w:name w:val="索引 41"/>
    <w:basedOn w:val="1"/>
    <w:next w:val="1"/>
    <w:semiHidden/>
    <w:qFormat/>
    <w:uiPriority w:val="0"/>
    <w:pPr>
      <w:ind w:left="1260"/>
    </w:pPr>
  </w:style>
  <w:style w:type="paragraph" w:customStyle="1" w:styleId="20">
    <w:name w:val="列出段落1"/>
    <w:basedOn w:val="1"/>
    <w:qFormat/>
    <w:uiPriority w:val="34"/>
    <w:pPr>
      <w:ind w:firstLine="420"/>
    </w:pPr>
    <w:rPr>
      <w:rFonts w:cs="Times New Roman"/>
      <w:lang w:eastAsia="en-US"/>
    </w:rPr>
  </w:style>
  <w:style w:type="paragraph" w:customStyle="1" w:styleId="21">
    <w:name w:val="纯文本1"/>
    <w:basedOn w:val="1"/>
    <w:qFormat/>
    <w:uiPriority w:val="0"/>
    <w:pPr>
      <w:widowControl/>
      <w:adjustRightInd w:val="0"/>
      <w:jc w:val="left"/>
      <w:textAlignment w:val="baseline"/>
    </w:pPr>
    <w:rPr>
      <w:rFonts w:ascii="宋体" w:hAnsi="Courier New" w:eastAsia="楷体_GB2312"/>
      <w:sz w:val="26"/>
    </w:rPr>
  </w:style>
  <w:style w:type="paragraph" w:customStyle="1" w:styleId="22">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
    <w:name w:val="Table Paragraph"/>
    <w:basedOn w:val="1"/>
    <w:qFormat/>
    <w:uiPriority w:val="1"/>
    <w:rPr>
      <w:rFonts w:ascii="楷体" w:hAnsi="楷体" w:eastAsia="楷体" w:cs="楷体"/>
      <w:lang w:val="zh-CN" w:eastAsia="zh-CN" w:bidi="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75</Pages>
  <Words>28832</Words>
  <Characters>30572</Characters>
  <Lines>211</Lines>
  <Paragraphs>59</Paragraphs>
  <TotalTime>3</TotalTime>
  <ScaleCrop>false</ScaleCrop>
  <LinksUpToDate>false</LinksUpToDate>
  <CharactersWithSpaces>31134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2024-09-18T06:37:00Z</dcterms:created>
  <dc:creator>正式环境陈艳测试账号</dc:creator>
  <cp:lastModifiedBy>海阔天空</cp:lastModifiedBy>
  <cp:lastPrinted>2025-03-03T01:39:00Z</cp:lastPrinted>
  <dcterms:modified xsi:type="dcterms:W3CDTF">2025-03-13T03:58:24Z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4E159A1075C547A4A0F53ED7D5ACE488_13</vt:lpwstr>
  </property>
  <property fmtid="{D5CDD505-2E9C-101B-9397-08002B2CF9AE}" pid="4" name="KSOTemplateDocerSaveRecord">
    <vt:lpwstr>eyJoZGlkIjoiOWM3ZjgyZWI3YTBmYjAwNGQwNDQzZDUyNDIzMzA0ZWYiLCJ1c2VySWQiOiI1Njc5NTk2ODkifQ==</vt:lpwstr>
  </property>
</Properties>
</file>