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项目名称：南通市食品药品监督检验中心智汇园新址实验</w:t>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t xml:space="preserve">室设备采购项目三</w:t>
      </w:r>
      <w:r/>
    </w:p>
    <w:p>
      <w:pPr>
        <w:spacing w:before="120" w:after="120" w:line="360" w:lineRule="auto"/>
        <w:rPr>
          <w:rFonts w:ascii="Arial" w:hAnsi="Arial"/>
          <w:b/>
          <w:bCs/>
          <w:sz w:val="32"/>
          <w:szCs w:val="24"/>
        </w:rPr>
      </w:pPr>
      <w:r>
        <w:rPr>
          <w:rFonts w:hint="eastAsia" w:ascii="Arial" w:hAnsi="Arial"/>
          <w:b/>
          <w:bCs/>
          <w:sz w:val="32"/>
          <w:szCs w:val="24"/>
        </w:rPr>
        <w:t xml:space="preserve">项目编号：JSZC-320600-JZCG-G2024-0230</w:t>
      </w:r>
      <w:r/>
    </w:p>
    <w:p>
      <w:pPr>
        <w:ind w:left="3012" w:hanging="3012"/>
        <w:rPr>
          <w:b/>
          <w:sz w:val="30"/>
          <w:szCs w:val="30"/>
        </w:rPr>
      </w:pPr>
      <w:r>
        <w:rPr>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16"/>
        <w:ind w:firstLine="0"/>
        <w:rPr>
          <w:rFonts w:ascii="宋体" w:hAnsi="宋体" w:eastAsia="宋体"/>
          <w:sz w:val="24"/>
          <w:szCs w:val="24"/>
          <w:lang w:eastAsia="zh-CN"/>
        </w:rPr>
      </w:pPr>
      <w:r>
        <w:rPr>
          <w:rFonts w:ascii="宋体" w:hAnsi="宋体" w:eastAsia="宋体"/>
          <w:sz w:val="24"/>
          <w:szCs w:val="24"/>
          <w:lang w:eastAsia="zh-CN"/>
        </w:rPr>
      </w:r>
      <w:r/>
    </w:p>
    <w:p>
      <w:pPr>
        <w:pStyle w:val="716"/>
        <w:ind w:firstLine="0"/>
        <w:rPr>
          <w:rFonts w:ascii="宋体" w:hAnsi="宋体" w:eastAsia="宋体"/>
          <w:sz w:val="24"/>
          <w:szCs w:val="24"/>
          <w:lang w:eastAsia="zh-CN"/>
        </w:rPr>
      </w:pPr>
      <w:r>
        <w:rPr>
          <w:rFonts w:ascii="宋体" w:hAnsi="宋体" w:eastAsia="宋体"/>
          <w:sz w:val="24"/>
          <w:szCs w:val="24"/>
          <w:lang w:eastAsia="zh-CN"/>
        </w:rPr>
      </w:r>
      <w:r/>
    </w:p>
    <w:p>
      <w:pPr>
        <w:pStyle w:val="716"/>
        <w:ind w:firstLine="0"/>
        <w:rPr>
          <w:lang w:eastAsia="zh-CN"/>
        </w:rPr>
      </w:pPr>
      <w:r>
        <w:rPr>
          <w:lang w:eastAsia="zh-CN"/>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ind w:firstLine="2400"/>
        <w:spacing w:line="360" w:lineRule="auto"/>
        <w:rPr>
          <w:rFonts w:ascii="宋体" w:hAnsi="宋体"/>
          <w:sz w:val="32"/>
          <w:szCs w:val="20"/>
        </w:rPr>
      </w:pPr>
      <w:r>
        <w:rPr>
          <w:rFonts w:hint="eastAsia" w:ascii="宋体" w:hAnsi="宋体"/>
          <w:sz w:val="32"/>
          <w:szCs w:val="20"/>
        </w:rPr>
        <w:t xml:space="preserve">南通市公共资源交易中心</w:t>
      </w:r>
      <w:r/>
    </w:p>
    <w:p>
      <w:pPr>
        <w:pStyle w:val="716"/>
        <w:ind w:firstLine="2432"/>
        <w:rPr>
          <w:rFonts w:ascii="宋体" w:hAnsi="宋体" w:eastAsia="宋体"/>
          <w:sz w:val="32"/>
          <w:szCs w:val="20"/>
          <w:lang w:eastAsia="zh-CN"/>
        </w:rPr>
      </w:pPr>
      <w:r>
        <w:rPr>
          <w:rFonts w:hint="eastAsia" w:ascii="宋体" w:hAnsi="宋体" w:eastAsia="宋体"/>
          <w:sz w:val="32"/>
          <w:szCs w:val="20"/>
          <w:lang w:eastAsia="zh-CN"/>
        </w:rPr>
        <w:t xml:space="preserve">（南通市政府采购中心）</w:t>
      </w:r>
      <w:r/>
    </w:p>
    <w:p>
      <w:pPr>
        <w:jc w:val="center"/>
        <w:spacing w:before="120" w:after="120" w:line="360" w:lineRule="auto"/>
        <w:rPr>
          <w:rFonts w:ascii="Arial" w:hAnsi="Arial"/>
          <w:bCs/>
          <w:sz w:val="32"/>
          <w:szCs w:val="24"/>
        </w:rPr>
      </w:pPr>
      <w:r>
        <w:rPr>
          <w:rFonts w:hint="eastAsia" w:ascii="Arial" w:hAnsi="Arial"/>
          <w:bCs/>
          <w:sz w:val="32"/>
          <w:szCs w:val="24"/>
        </w:rPr>
        <w:t xml:space="preserve">2024年11月</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……………………………………38</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………………………57</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………………………………68</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16"/>
        <w:rPr>
          <w:lang w:eastAsia="zh-CN"/>
        </w:rPr>
      </w:pPr>
      <w:r>
        <w:rPr>
          <w:lang w:eastAsia="zh-CN"/>
        </w:rPr>
      </w:r>
      <w:r/>
    </w:p>
    <w:p>
      <w:pPr>
        <w:pStyle w:val="716"/>
        <w:rPr>
          <w:lang w:eastAsia="zh-CN"/>
        </w:rPr>
      </w:pPr>
      <w:r>
        <w:rPr>
          <w:lang w:eastAsia="zh-CN"/>
        </w:rPr>
      </w:r>
      <w:r/>
    </w:p>
    <w:p>
      <w:pPr>
        <w:rPr>
          <w:szCs w:val="21"/>
        </w:rPr>
      </w:pPr>
      <w:r>
        <w:rPr>
          <w:szCs w:val="21"/>
        </w:rPr>
      </w:r>
      <w:r/>
    </w:p>
    <w:p>
      <w:pPr>
        <w:rPr>
          <w:szCs w:val="21"/>
        </w:rPr>
      </w:pPr>
      <w:r>
        <w:rPr>
          <w:szCs w:val="21"/>
        </w:rPr>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受南通市食品药品监督检验中心的委托，南通市公共资源交易中心就南通市食品药品监督检验中心智汇园新址实验室设备采购项目</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(JSZC-320600-JZCG-G2024-0230)进行公开招标采购，欢迎符合条件的供应商投标。</w:t>
      </w:r>
      <w:r/>
    </w:p>
    <w:p>
      <w:pPr>
        <w:ind w:firstLine="560"/>
        <w:spacing w:line="48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项目概况</w:t>
      </w:r>
      <w:r/>
    </w:p>
    <w:p>
      <w:pPr>
        <w:ind w:firstLine="560"/>
        <w:spacing w:line="48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南通市食品药品监督检验中心智汇园新址实验室设备采购项目三的潜在投标人可在</w:t>
      </w:r>
      <w:r>
        <w:rPr>
          <w:rFonts w:hint="eastAsia" w:ascii="仿宋" w:hAnsi="仿宋" w:eastAsia="仿宋"/>
          <w:sz w:val="28"/>
          <w:szCs w:val="28"/>
          <w:u w:val="single"/>
        </w:rPr>
        <w:t xml:space="preserve">“江苏政府采购网”自行免费下载</w:t>
      </w:r>
      <w:r>
        <w:rPr>
          <w:rFonts w:hint="eastAsia" w:ascii="仿宋" w:hAnsi="仿宋" w:eastAsia="仿宋"/>
          <w:sz w:val="28"/>
          <w:szCs w:val="28"/>
        </w:rPr>
        <w:t xml:space="preserve">招标文件，并于</w:t>
      </w:r>
      <w:r>
        <w:rPr>
          <w:rFonts w:hint="eastAsia" w:ascii="仿宋" w:hAnsi="仿宋" w:eastAsia="仿宋"/>
          <w:sz w:val="28"/>
          <w:szCs w:val="28"/>
          <w:highlight w:val="none"/>
          <w:u w:val="single"/>
        </w:rPr>
        <w:t xml:space="preserve">2024</w:t>
      </w:r>
      <w:r>
        <w:rPr>
          <w:rFonts w:hint="eastAsia" w:ascii="仿宋" w:hAnsi="仿宋" w:eastAsia="仿宋"/>
          <w:bCs/>
          <w:sz w:val="28"/>
          <w:szCs w:val="28"/>
          <w:highlight w:val="none"/>
          <w:u w:val="single"/>
        </w:rPr>
        <w:t xml:space="preserve">年12月26日</w:t>
      </w:r>
      <w:r>
        <w:rPr>
          <w:rFonts w:hint="eastAsia" w:ascii="仿宋" w:hAnsi="仿宋" w:eastAsia="仿宋"/>
          <w:bCs/>
          <w:sz w:val="28"/>
          <w:szCs w:val="28"/>
          <w:highlight w:val="none"/>
          <w:u w:val="single"/>
          <w:lang w:val="en-US" w:eastAsia="zh-CN"/>
        </w:rPr>
        <w:t xml:space="preserve">10</w:t>
      </w:r>
      <w:r>
        <w:rPr>
          <w:rFonts w:hint="eastAsia" w:ascii="仿宋" w:hAnsi="仿宋" w:eastAsia="仿宋"/>
          <w:bCs/>
          <w:sz w:val="28"/>
          <w:szCs w:val="28"/>
          <w:highlight w:val="none"/>
          <w:u w:val="single"/>
        </w:rPr>
        <w:t xml:space="preserve">点00分（</w:t>
      </w:r>
      <w:r>
        <w:rPr>
          <w:rFonts w:hint="eastAsia" w:ascii="仿宋" w:hAnsi="仿宋" w:eastAsia="仿宋"/>
          <w:bCs/>
          <w:sz w:val="28"/>
          <w:szCs w:val="28"/>
          <w:highlight w:val="none"/>
        </w:rPr>
        <w:t xml:space="preserve">北</w:t>
      </w:r>
      <w:r>
        <w:rPr>
          <w:rFonts w:hint="eastAsia" w:ascii="仿宋" w:hAnsi="仿宋" w:eastAsia="仿宋"/>
          <w:bCs/>
          <w:sz w:val="28"/>
          <w:szCs w:val="28"/>
        </w:rPr>
        <w:t xml:space="preserve">京时间）前递交投标</w:t>
      </w:r>
      <w:r>
        <w:rPr>
          <w:rFonts w:ascii="仿宋" w:hAnsi="仿宋" w:eastAsia="仿宋"/>
          <w:bCs/>
          <w:sz w:val="28"/>
          <w:szCs w:val="28"/>
        </w:rPr>
        <w:t xml:space="preserve">文件</w:t>
      </w:r>
      <w:r>
        <w:rPr>
          <w:rFonts w:hint="eastAsia" w:ascii="仿宋" w:hAnsi="仿宋" w:eastAsia="仿宋"/>
          <w:sz w:val="28"/>
          <w:szCs w:val="28"/>
        </w:rPr>
        <w:t xml:space="preserve">。</w:t>
      </w:r>
      <w:r/>
    </w:p>
    <w:p>
      <w:pPr>
        <w:keepLines/>
        <w:keepNext/>
        <w:spacing w:before="120" w:after="120" w:line="480" w:lineRule="exact"/>
        <w:rPr>
          <w:rFonts w:ascii="仿宋" w:hAnsi="仿宋" w:eastAsia="仿宋"/>
          <w:sz w:val="28"/>
          <w:szCs w:val="28"/>
          <w:highlight w:val="green"/>
        </w:rPr>
        <w:outlineLvl w:val="2"/>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仿宋" w:hAnsi="仿宋" w:eastAsia="仿宋"/>
          <w:b/>
          <w:bCs/>
          <w:sz w:val="28"/>
          <w:szCs w:val="28"/>
        </w:rPr>
        <w:t xml:space="preserve">一、项目基本情况</w:t>
      </w:r>
      <w:bookmarkEnd w:id="6"/>
      <w:r/>
      <w:bookmarkEnd w:id="7"/>
      <w:r/>
      <w:bookmarkEnd w:id="8"/>
      <w:r/>
      <w:bookmarkEnd w:id="9"/>
      <w:r/>
      <w:bookmarkEnd w:id="10"/>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1.项目编号：JSZC-320600-JZCG-G2024-0230</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2.项目名称：</w:t>
      </w:r>
      <w:bookmarkEnd w:id="11"/>
      <w:r>
        <w:rPr>
          <w:rFonts w:hint="eastAsia" w:ascii="仿宋" w:hAnsi="仿宋" w:eastAsia="仿宋"/>
          <w:sz w:val="28"/>
          <w:szCs w:val="28"/>
        </w:rPr>
        <w:t xml:space="preserve">南通市食品药品监督检验中心智汇园新址实验室设备采购项目三</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3.预算金额：383.58 万元</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4.本项目设定最高限价，最高限价为383.58 万元</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5.采购需求（简介）：详细内容见本招标文件第四章</w:t>
      </w:r>
      <w:r/>
    </w:p>
    <w:p>
      <w:pPr>
        <w:ind w:firstLine="504"/>
        <w:spacing w:line="360" w:lineRule="exact"/>
        <w:rPr>
          <w:rFonts w:ascii="仿宋" w:hAnsi="仿宋" w:eastAsia="仿宋"/>
          <w:sz w:val="28"/>
          <w:szCs w:val="28"/>
        </w:rPr>
      </w:pPr>
      <w:r>
        <w:rPr>
          <w:rFonts w:hint="eastAsia" w:ascii="仿宋" w:hAnsi="仿宋" w:eastAsia="仿宋"/>
          <w:sz w:val="28"/>
          <w:szCs w:val="28"/>
        </w:rPr>
        <w:t xml:space="preserve">6.合同履行期限：</w:t>
      </w:r>
      <w:bookmarkStart w:id="12" w:name="_Hlk182817970"/>
      <w:r/>
      <w:bookmarkStart w:id="13" w:name="_Hlk175314915"/>
      <w:r/>
      <w:bookmarkStart w:id="14" w:name="_Toc38985264"/>
      <w:r/>
      <w:bookmarkStart w:id="15" w:name="_Toc35393622"/>
      <w:r/>
      <w:bookmarkStart w:id="16" w:name="_Toc28359080"/>
      <w:r/>
      <w:bookmarkStart w:id="17" w:name="_Toc28359003"/>
      <w:r/>
      <w:bookmarkStart w:id="18" w:name="_Toc35393791"/>
      <w:r>
        <w:rPr>
          <w:rFonts w:hint="eastAsia" w:ascii="仿宋" w:hAnsi="仿宋" w:eastAsia="仿宋"/>
          <w:sz w:val="28"/>
          <w:szCs w:val="28"/>
        </w:rPr>
        <w:t xml:space="preserve">合同签订后90天内将货物送达采购人指定地点、安装调试完毕并验收合格。</w:t>
      </w:r>
      <w:bookmarkEnd w:id="12"/>
      <w:r/>
      <w:bookmarkEnd w:id="13"/>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二、申请人的资格要求：</w:t>
      </w:r>
      <w:bookmarkEnd w:id="14"/>
      <w:r/>
      <w:bookmarkEnd w:id="15"/>
      <w:r/>
      <w:bookmarkEnd w:id="16"/>
      <w:r/>
      <w:bookmarkEnd w:id="17"/>
      <w:r/>
      <w:bookmarkEnd w:id="18"/>
      <w:r/>
      <w:r/>
    </w:p>
    <w:p>
      <w:pPr>
        <w:ind w:firstLine="560"/>
        <w:spacing w:line="480" w:lineRule="exact"/>
        <w:rPr>
          <w:rFonts w:ascii="仿宋" w:hAnsi="仿宋" w:eastAsia="仿宋"/>
          <w:sz w:val="28"/>
          <w:szCs w:val="28"/>
        </w:rPr>
      </w:pPr>
      <w:r/>
      <w:bookmarkStart w:id="19" w:name="_Toc35393792"/>
      <w:r/>
      <w:bookmarkStart w:id="20" w:name="_Toc28359004"/>
      <w:r/>
      <w:bookmarkStart w:id="21" w:name="_Toc35393623"/>
      <w:r/>
      <w:bookmarkStart w:id="22" w:name="_Toc38985265"/>
      <w:r/>
      <w:bookmarkStart w:id="23" w:name="_Toc28359081"/>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通用</w:t>
      </w:r>
      <w:r>
        <w:rPr>
          <w:rFonts w:ascii="仿宋" w:hAnsi="仿宋" w:eastAsia="仿宋"/>
          <w:sz w:val="28"/>
          <w:szCs w:val="28"/>
        </w:rPr>
        <w:t xml:space="preserve">资格要求</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3.落实政府采购政策需满足的资格要求：无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4.本项目不接受联合体投标。</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5.本项目不接受分包。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（二）本项目的特定资格要求：</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投标产品如果为进口产品的，投标时投标人须提供制造商的专项授权书原件扫描件（本次采购接受进口产品投标情况详见采购需求）。</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三、获取招标文件</w:t>
      </w:r>
      <w:bookmarkEnd w:id="19"/>
      <w:r/>
      <w:bookmarkEnd w:id="20"/>
      <w:r/>
      <w:bookmarkEnd w:id="21"/>
      <w:r/>
      <w:bookmarkEnd w:id="22"/>
      <w:r/>
      <w:bookmarkEnd w:id="23"/>
      <w:r/>
      <w:r/>
    </w:p>
    <w:p>
      <w:pPr>
        <w:ind w:firstLine="540"/>
        <w:spacing w:line="480" w:lineRule="exact"/>
        <w:rPr>
          <w:rFonts w:ascii="仿宋" w:hAnsi="仿宋" w:eastAsia="仿宋" w:cs="宋体"/>
          <w:sz w:val="28"/>
          <w:szCs w:val="28"/>
        </w:rPr>
      </w:pPr>
      <w:r/>
      <w:bookmarkStart w:id="24" w:name="_Toc28359005"/>
      <w:r/>
      <w:bookmarkStart w:id="25" w:name="_Toc28359082"/>
      <w:r/>
      <w:bookmarkStart w:id="26" w:name="_Toc35393624"/>
      <w:r/>
      <w:bookmarkStart w:id="27" w:name="_Toc38985266"/>
      <w:r/>
      <w:bookmarkStart w:id="28" w:name="_Toc35393793"/>
      <w:r>
        <w:rPr>
          <w:rFonts w:hint="eastAsia" w:ascii="仿宋" w:hAnsi="仿宋" w:eastAsia="仿宋" w:cs="宋体"/>
          <w:sz w:val="28"/>
          <w:szCs w:val="28"/>
        </w:rPr>
        <w:t xml:space="preserve">1.时间：自招标文件公告发布之日起5个工作日。</w:t>
      </w:r>
      <w:r/>
    </w:p>
    <w:p>
      <w:pPr>
        <w:ind w:firstLine="540"/>
        <w:spacing w:line="480" w:lineRule="exact"/>
        <w:rPr>
          <w:rFonts w:ascii="仿宋" w:hAnsi="仿宋" w:eastAsia="仿宋" w:cs="宋体"/>
          <w:sz w:val="28"/>
          <w:szCs w:val="28"/>
          <w:u w:val="single"/>
        </w:rPr>
      </w:pPr>
      <w:r>
        <w:rPr>
          <w:rFonts w:hint="eastAsia" w:ascii="仿宋" w:hAnsi="仿宋" w:eastAsia="仿宋" w:cs="宋体"/>
          <w:sz w:val="28"/>
          <w:szCs w:val="28"/>
        </w:rPr>
        <w:t xml:space="preserve">2.方式：</w:t>
      </w:r>
      <w:r>
        <w:rPr>
          <w:rFonts w:ascii="仿宋" w:hAnsi="仿宋" w:eastAsia="仿宋" w:cs="宋体"/>
          <w:sz w:val="28"/>
          <w:szCs w:val="28"/>
        </w:rPr>
        <w:t xml:space="preserve">凡有意参与投标的供应商须登录江苏政府采购网首页点击</w:t>
      </w:r>
      <w:r>
        <w:rPr>
          <w:rFonts w:hint="eastAsia" w:ascii="仿宋" w:hAnsi="仿宋" w:eastAsia="仿宋" w:cs="宋体"/>
          <w:sz w:val="28"/>
          <w:szCs w:val="28"/>
        </w:rPr>
        <w:t xml:space="preserve">“</w:t>
      </w:r>
      <w:r>
        <w:rPr>
          <w:rFonts w:ascii="仿宋" w:hAnsi="仿宋" w:eastAsia="仿宋" w:cs="宋体"/>
          <w:sz w:val="28"/>
          <w:szCs w:val="28"/>
        </w:rPr>
        <w:t xml:space="preserve">苏采云</w:t>
      </w:r>
      <w:r>
        <w:rPr>
          <w:rFonts w:hint="eastAsia" w:ascii="仿宋" w:hAnsi="仿宋" w:eastAsia="仿宋" w:cs="宋体"/>
          <w:sz w:val="28"/>
          <w:szCs w:val="28"/>
        </w:rPr>
        <w:t xml:space="preserve">”</w:t>
      </w:r>
      <w:r>
        <w:rPr>
          <w:rFonts w:ascii="仿宋" w:hAnsi="仿宋" w:eastAsia="仿宋" w:cs="宋体"/>
          <w:sz w:val="28"/>
          <w:szCs w:val="28"/>
        </w:rPr>
        <w:t xml:space="preserve">→通过CA锁进行响应确认，并自行在招标文件有效获取期内及时下载获取。</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四、提交投标文件</w:t>
      </w:r>
      <w:bookmarkEnd w:id="24"/>
      <w:r/>
      <w:bookmarkEnd w:id="25"/>
      <w:r>
        <w:rPr>
          <w:rFonts w:hint="eastAsia" w:ascii="仿宋" w:hAnsi="仿宋" w:eastAsia="仿宋"/>
          <w:b/>
          <w:bCs/>
          <w:sz w:val="28"/>
          <w:szCs w:val="28"/>
        </w:rPr>
        <w:t xml:space="preserve">截止时间、开标时间和地点</w:t>
      </w:r>
      <w:bookmarkEnd w:id="26"/>
      <w:r/>
      <w:bookmarkEnd w:id="27"/>
      <w:r/>
      <w:bookmarkEnd w:id="28"/>
      <w:r/>
      <w:r/>
    </w:p>
    <w:p>
      <w:pPr>
        <w:ind w:firstLine="560"/>
        <w:spacing w:line="480" w:lineRule="exact"/>
        <w:rPr>
          <w:rFonts w:ascii="仿宋" w:hAnsi="仿宋" w:eastAsia="仿宋" w:cs="宋体"/>
          <w:i/>
          <w:sz w:val="28"/>
          <w:szCs w:val="28"/>
        </w:rPr>
      </w:pPr>
      <w:r>
        <w:rPr>
          <w:rFonts w:hint="eastAsia" w:ascii="仿宋" w:hAnsi="仿宋" w:eastAsia="仿宋"/>
          <w:bCs/>
          <w:sz w:val="28"/>
          <w:szCs w:val="28"/>
          <w:u w:val="single"/>
        </w:rPr>
        <w:t xml:space="preserve">1.</w:t>
      </w:r>
      <w:r>
        <w:rPr>
          <w:rFonts w:hint="eastAsia" w:ascii="仿宋" w:hAnsi="仿宋" w:eastAsia="仿宋"/>
          <w:sz w:val="28"/>
          <w:szCs w:val="28"/>
          <w:highlight w:val="none"/>
          <w:u w:val="single"/>
        </w:rPr>
        <w:t xml:space="preserve">2024</w:t>
      </w:r>
      <w:r>
        <w:rPr>
          <w:rFonts w:hint="eastAsia" w:ascii="仿宋" w:hAnsi="仿宋" w:eastAsia="仿宋"/>
          <w:bCs/>
          <w:sz w:val="28"/>
          <w:szCs w:val="28"/>
          <w:highlight w:val="none"/>
          <w:u w:val="single"/>
        </w:rPr>
        <w:t xml:space="preserve">年12月26日</w:t>
      </w:r>
      <w:r>
        <w:rPr>
          <w:rFonts w:hint="eastAsia" w:ascii="仿宋" w:hAnsi="仿宋" w:eastAsia="仿宋"/>
          <w:bCs/>
          <w:sz w:val="28"/>
          <w:szCs w:val="28"/>
          <w:highlight w:val="none"/>
          <w:u w:val="single"/>
          <w:lang w:val="en-US" w:eastAsia="zh-CN"/>
        </w:rPr>
        <w:t xml:space="preserve">10</w:t>
      </w:r>
      <w:r>
        <w:rPr>
          <w:rFonts w:hint="eastAsia" w:ascii="仿宋" w:hAnsi="仿宋" w:eastAsia="仿宋"/>
          <w:bCs/>
          <w:sz w:val="28"/>
          <w:szCs w:val="28"/>
          <w:highlight w:val="none"/>
          <w:u w:val="single"/>
        </w:rPr>
        <w:t xml:space="preserve">点00分</w:t>
      </w:r>
      <w:r>
        <w:rPr>
          <w:rFonts w:hint="eastAsia" w:ascii="仿宋" w:hAnsi="仿宋" w:eastAsia="仿宋"/>
          <w:bCs/>
          <w:sz w:val="28"/>
          <w:szCs w:val="28"/>
          <w:highlight w:val="none"/>
        </w:rPr>
        <w:t xml:space="preserve">（北</w:t>
      </w:r>
      <w:r>
        <w:rPr>
          <w:rFonts w:hint="eastAsia" w:ascii="仿宋" w:hAnsi="仿宋" w:eastAsia="仿宋"/>
          <w:bCs/>
          <w:sz w:val="28"/>
          <w:szCs w:val="28"/>
        </w:rPr>
        <w:t xml:space="preserve">京时间）</w:t>
      </w:r>
      <w:r/>
    </w:p>
    <w:p>
      <w:pPr>
        <w:ind w:firstLine="560"/>
        <w:spacing w:line="480" w:lineRule="exact"/>
        <w:rPr>
          <w:rFonts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spacing w:before="120" w:after="120" w:line="480" w:lineRule="exact"/>
        <w:rPr>
          <w:rFonts w:ascii="仿宋" w:hAnsi="仿宋" w:eastAsia="仿宋"/>
          <w:b/>
          <w:bCs/>
          <w:sz w:val="28"/>
          <w:szCs w:val="28"/>
        </w:rPr>
        <w:outlineLvl w:val="2"/>
      </w:pPr>
      <w:r/>
      <w:bookmarkStart w:id="29" w:name="_Toc28359084"/>
      <w:r/>
      <w:bookmarkStart w:id="30" w:name="_Toc38985267"/>
      <w:r/>
      <w:bookmarkStart w:id="31" w:name="_Toc35393794"/>
      <w:r/>
      <w:bookmarkStart w:id="32" w:name="_Toc28359007"/>
      <w:r/>
      <w:bookmarkStart w:id="33" w:name="_Toc35393625"/>
      <w:r>
        <w:rPr>
          <w:rFonts w:hint="eastAsia" w:ascii="仿宋" w:hAnsi="仿宋" w:eastAsia="仿宋"/>
          <w:b/>
          <w:bCs/>
          <w:sz w:val="28"/>
          <w:szCs w:val="28"/>
        </w:rPr>
        <w:t xml:space="preserve">五、公告期限</w:t>
      </w:r>
      <w:bookmarkEnd w:id="29"/>
      <w:r/>
      <w:bookmarkEnd w:id="30"/>
      <w:r/>
      <w:bookmarkEnd w:id="31"/>
      <w:r/>
      <w:bookmarkEnd w:id="32"/>
      <w:r/>
      <w:bookmarkEnd w:id="33"/>
      <w:r/>
      <w:r/>
    </w:p>
    <w:p>
      <w:pPr>
        <w:spacing w:line="480" w:lineRule="exact"/>
        <w:rPr>
          <w:rFonts w:ascii="仿宋" w:hAnsi="仿宋" w:eastAsia="仿宋" w:cs="宋体"/>
          <w:sz w:val="28"/>
          <w:szCs w:val="28"/>
        </w:rPr>
      </w:pPr>
      <w:r/>
      <w:bookmarkStart w:id="34" w:name="_Toc35393626"/>
      <w:r/>
      <w:bookmarkStart w:id="35" w:name="_Toc38985268"/>
      <w:r/>
      <w:bookmarkStart w:id="36" w:name="_Toc35393795"/>
      <w:r>
        <w:rPr>
          <w:rFonts w:hint="eastAsia" w:ascii="仿宋" w:hAnsi="仿宋" w:eastAsia="仿宋" w:cs="宋体"/>
          <w:sz w:val="28"/>
          <w:szCs w:val="28"/>
        </w:rPr>
        <w:t xml:space="preserve">招标公告及招标文件公告期限为自本公告发布之日起5个工作日。</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六、其他补充事宜</w:t>
      </w:r>
      <w:bookmarkEnd w:id="34"/>
      <w:r/>
      <w:bookmarkEnd w:id="35"/>
      <w:r/>
      <w:bookmarkEnd w:id="36"/>
      <w:r/>
      <w:r/>
    </w:p>
    <w:p>
      <w:pPr>
        <w:ind w:right="119" w:firstLine="560"/>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投标保证金：免收</w:t>
      </w:r>
      <w:r/>
    </w:p>
    <w:p>
      <w:pPr>
        <w:ind w:right="119" w:firstLine="560"/>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项目演示、样品、答辩等：</w:t>
      </w:r>
      <w:r>
        <w:rPr>
          <w:rFonts w:hint="eastAsia" w:ascii="仿宋" w:hAnsi="仿宋" w:eastAsia="仿宋" w:cs="宋体"/>
          <w:sz w:val="28"/>
          <w:szCs w:val="28"/>
        </w:rPr>
        <w:t xml:space="preserve">无</w:t>
      </w:r>
      <w:r/>
    </w:p>
    <w:p>
      <w:pPr>
        <w:ind w:right="119" w:firstLine="560"/>
        <w:rPr>
          <w:rFonts w:ascii="仿宋" w:hAnsi="仿宋" w:eastAsia="仿宋" w:cs="宋体"/>
          <w:sz w:val="28"/>
          <w:szCs w:val="28"/>
        </w:rPr>
      </w:pPr>
      <w:r>
        <w:rPr>
          <w:rFonts w:hint="eastAsia" w:ascii="仿宋" w:hAnsi="仿宋" w:eastAsia="仿宋" w:cs="宋体"/>
          <w:sz w:val="28"/>
          <w:szCs w:val="28"/>
        </w:rPr>
        <w:t xml:space="preserve">3.供应商（含潜在供应商）对与本项目有关的所有询问、质疑均请向采购人提出，由采购人负责答复。</w:t>
      </w:r>
      <w:r/>
    </w:p>
    <w:p>
      <w:pPr>
        <w:ind w:right="119" w:firstLine="560"/>
        <w:rPr>
          <w:rFonts w:ascii="仿宋" w:hAnsi="仿宋" w:eastAsia="仿宋" w:cs="宋体"/>
          <w:sz w:val="28"/>
          <w:szCs w:val="28"/>
        </w:rPr>
      </w:pPr>
      <w:r>
        <w:rPr>
          <w:rFonts w:hint="eastAsia" w:ascii="仿宋" w:hAnsi="仿宋" w:eastAsia="仿宋" w:cs="宋体"/>
          <w:sz w:val="28"/>
          <w:szCs w:val="28"/>
        </w:rPr>
        <w:t xml:space="preserve">系统操作过程中如遇问题，请致电“苏采云”客服0519-86722801。</w:t>
      </w:r>
      <w:r/>
    </w:p>
    <w:p>
      <w:pPr>
        <w:ind w:right="119" w:firstLine="560"/>
        <w:rPr>
          <w:rFonts w:ascii="仿宋" w:hAnsi="仿宋" w:eastAsia="仿宋" w:cs="宋体"/>
          <w:sz w:val="28"/>
          <w:szCs w:val="28"/>
        </w:rPr>
      </w:pPr>
      <w:r>
        <w:rPr>
          <w:rFonts w:hint="eastAsia" w:ascii="仿宋" w:hAnsi="仿宋" w:eastAsia="仿宋" w:cs="宋体"/>
          <w:sz w:val="28"/>
          <w:szCs w:val="28"/>
        </w:rPr>
        <w:t xml:space="preserve">4.有关本次招标的事项若存在变动或修改，均以江苏政府采购网发布的更正或补充通知为准，敬请及时关注。</w:t>
      </w:r>
      <w:r/>
    </w:p>
    <w:p>
      <w:pPr>
        <w:ind w:right="119" w:firstLine="560"/>
        <w:rPr>
          <w:rFonts w:ascii="仿宋" w:hAnsi="仿宋" w:eastAsia="仿宋" w:cs="宋体"/>
          <w:sz w:val="28"/>
          <w:szCs w:val="28"/>
        </w:rPr>
      </w:pPr>
      <w:r>
        <w:rPr>
          <w:rFonts w:hint="eastAsia" w:ascii="仿宋" w:hAnsi="仿宋" w:eastAsia="仿宋"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6.“苏采云”系统使用相关提醒</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6.1.根据省财政厅《关</w:t>
      </w:r>
      <w:r>
        <w:rPr>
          <w:rFonts w:hint="eastAsia" w:ascii="仿宋" w:hAnsi="仿宋" w:eastAsia="仿宋" w:cs="宋体"/>
          <w:bCs/>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6.2领取CA和办理电子签章请至南通市政务服务中心裙楼四楼（南通市公共资源交中心）CA办理窗口办理，详见《江苏省政府采购数字证书(供应商)</w:t>
      </w:r>
      <w:r>
        <w:rPr>
          <w:rFonts w:hint="eastAsia" w:ascii="宋体" w:hAnsi="宋体" w:cs="宋体"/>
          <w:bCs/>
          <w:sz w:val="28"/>
          <w:szCs w:val="28"/>
        </w:rPr>
        <w:t xml:space="preserve"> </w:t>
      </w:r>
      <w:r>
        <w:rPr>
          <w:rFonts w:hint="eastAsia" w:ascii="仿宋" w:hAnsi="仿宋" w:eastAsia="仿宋" w:cs="仿宋"/>
          <w:bCs/>
          <w:sz w:val="28"/>
          <w:szCs w:val="28"/>
        </w:rPr>
        <w:t xml:space="preserve">CA</w:t>
      </w:r>
      <w:r>
        <w:rPr>
          <w:rFonts w:hint="eastAsia" w:ascii="仿宋" w:hAnsi="仿宋" w:eastAsia="仿宋" w:cs="宋体"/>
          <w:bCs/>
          <w:sz w:val="28"/>
          <w:szCs w:val="28"/>
        </w:rPr>
        <w:t xml:space="preserve">及电子签章办理指南》），请及时进行注册并按要求制作、上传电子投标文件。</w:t>
      </w:r>
      <w:r/>
    </w:p>
    <w:p>
      <w:pPr>
        <w:ind w:right="119" w:firstLine="560"/>
        <w:rPr>
          <w:rFonts w:ascii="仿宋" w:hAnsi="仿宋" w:eastAsia="仿宋" w:cs="宋体"/>
          <w:b/>
          <w:sz w:val="28"/>
          <w:szCs w:val="28"/>
        </w:rPr>
      </w:pPr>
      <w:r>
        <w:rPr>
          <w:rFonts w:hint="eastAsia" w:ascii="仿宋" w:hAnsi="仿宋" w:eastAsia="仿宋" w:cs="宋体"/>
          <w:bCs/>
          <w:sz w:val="28"/>
          <w:szCs w:val="28"/>
        </w:rPr>
        <w:t xml:space="preserve">6.3开标当天投标供应商应及时登录“苏采云”不见面开标大厅，并在规定时</w:t>
      </w:r>
      <w:r>
        <w:rPr>
          <w:rFonts w:hint="eastAsia" w:ascii="仿宋" w:hAnsi="仿宋" w:eastAsia="仿宋" w:cs="宋体"/>
          <w:bCs/>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480" w:lineRule="exact"/>
        <w:rPr>
          <w:rFonts w:ascii="仿宋" w:hAnsi="仿宋" w:eastAsia="仿宋"/>
          <w:b/>
          <w:bCs/>
          <w:sz w:val="28"/>
          <w:szCs w:val="28"/>
        </w:rPr>
        <w:outlineLvl w:val="2"/>
      </w:pPr>
      <w:r/>
      <w:bookmarkStart w:id="37" w:name="_Toc35393627"/>
      <w:r/>
      <w:bookmarkStart w:id="38" w:name="_Toc28359008"/>
      <w:r/>
      <w:bookmarkStart w:id="39" w:name="_Toc35393796"/>
      <w:r/>
      <w:bookmarkStart w:id="40" w:name="_Toc28359085"/>
      <w:r/>
      <w:bookmarkStart w:id="41" w:name="_Toc38985269"/>
      <w:r>
        <w:rPr>
          <w:rFonts w:hint="eastAsia" w:ascii="仿宋" w:hAnsi="仿宋" w:eastAsia="仿宋"/>
          <w:b/>
          <w:bCs/>
          <w:sz w:val="28"/>
          <w:szCs w:val="28"/>
        </w:rPr>
        <w:t xml:space="preserve">七、本次招标联系方式</w:t>
      </w:r>
      <w:bookmarkEnd w:id="37"/>
      <w:r/>
      <w:bookmarkEnd w:id="38"/>
      <w:r/>
      <w:bookmarkEnd w:id="39"/>
      <w:r/>
      <w:bookmarkEnd w:id="40"/>
      <w:r/>
      <w:bookmarkEnd w:id="41"/>
      <w:r/>
      <w:r/>
    </w:p>
    <w:p>
      <w:pPr>
        <w:jc w:val="left"/>
        <w:spacing w:line="440" w:lineRule="exact"/>
        <w:widowControl/>
        <w:rPr>
          <w:rFonts w:ascii="仿宋" w:hAnsi="仿宋" w:eastAsia="仿宋"/>
          <w:sz w:val="28"/>
          <w:szCs w:val="28"/>
        </w:rPr>
      </w:pPr>
      <w:r>
        <w:rPr>
          <w:rFonts w:hint="eastAsia" w:ascii="仿宋" w:hAnsi="仿宋" w:eastAsia="仿宋" w:cs="宋体"/>
          <w:sz w:val="28"/>
          <w:szCs w:val="28"/>
        </w:rPr>
        <w:t xml:space="preserve">　1.采购人信息</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名 称：南通市食品药品监督检验中心</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地址：南通市崇川区胜利路168号智汇产业园4号楼</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联系人：葛建华</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联系方式：</w:t>
      </w:r>
      <w:bookmarkStart w:id="42" w:name="_Toc28359086"/>
      <w:r/>
      <w:bookmarkStart w:id="43" w:name="_Toc28359009"/>
      <w:r>
        <w:rPr>
          <w:rFonts w:ascii="仿宋" w:hAnsi="仿宋" w:eastAsia="仿宋"/>
          <w:sz w:val="28"/>
          <w:szCs w:val="28"/>
        </w:rPr>
        <w:t xml:space="preserve">13862925576</w:t>
      </w:r>
      <w:r/>
    </w:p>
    <w:p>
      <w:pPr>
        <w:ind w:firstLine="280"/>
        <w:jc w:val="left"/>
        <w:spacing w:line="440" w:lineRule="exact"/>
        <w:rPr>
          <w:rFonts w:ascii="仿宋" w:hAnsi="仿宋" w:eastAsia="仿宋"/>
          <w:sz w:val="28"/>
          <w:szCs w:val="28"/>
        </w:rPr>
      </w:pPr>
      <w:r>
        <w:rPr>
          <w:rFonts w:hint="eastAsia" w:ascii="仿宋" w:hAnsi="仿宋" w:eastAsia="仿宋" w:cs="宋体"/>
          <w:sz w:val="28"/>
          <w:szCs w:val="28"/>
        </w:rPr>
        <w:t xml:space="preserve">2.南通市公共资源交易中心信息</w:t>
      </w:r>
      <w:bookmarkEnd w:id="42"/>
      <w:r/>
      <w:bookmarkEnd w:id="43"/>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地　址：</w:t>
      </w:r>
      <w:r>
        <w:rPr>
          <w:rFonts w:ascii="仿宋" w:hAnsi="仿宋" w:eastAsia="仿宋"/>
          <w:sz w:val="28"/>
          <w:szCs w:val="28"/>
        </w:rPr>
        <w:t xml:space="preserve">南通市工农南路150号</w:t>
      </w:r>
      <w:r/>
    </w:p>
    <w:p>
      <w:pPr>
        <w:ind w:firstLine="280"/>
        <w:spacing w:line="44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val="en-US" w:eastAsia="zh-CN"/>
        </w:rPr>
        <w:t xml:space="preserve">杨女士</w:t>
      </w:r>
      <w:r/>
    </w:p>
    <w:p>
      <w:pPr>
        <w:ind w:firstLine="280"/>
        <w:spacing w:line="44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联系方式：</w:t>
      </w:r>
      <w:bookmarkStart w:id="44" w:name="_Toc28359087"/>
      <w:r/>
      <w:bookmarkStart w:id="45" w:name="_Toc28359010"/>
      <w:r>
        <w:rPr>
          <w:rFonts w:hint="eastAsia" w:ascii="仿宋" w:hAnsi="仿宋" w:eastAsia="仿宋"/>
          <w:sz w:val="28"/>
          <w:szCs w:val="28"/>
        </w:rPr>
        <w:t xml:space="preserve">0513-590019</w:t>
      </w:r>
      <w:r>
        <w:rPr>
          <w:rFonts w:hint="eastAsia" w:ascii="仿宋" w:hAnsi="仿宋" w:eastAsia="仿宋"/>
          <w:sz w:val="28"/>
          <w:szCs w:val="28"/>
          <w:lang w:val="en-US" w:eastAsia="zh-CN"/>
        </w:rPr>
        <w:t xml:space="preserve">86</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3.软件技术支持：0519-86722801</w:t>
      </w:r>
      <w:r/>
    </w:p>
    <w:p>
      <w:pPr>
        <w:ind w:firstLine="1960"/>
        <w:spacing w:line="440" w:lineRule="exact"/>
        <w:rPr>
          <w:rFonts w:ascii="仿宋" w:hAnsi="仿宋" w:eastAsia="仿宋"/>
          <w:sz w:val="28"/>
          <w:szCs w:val="28"/>
        </w:rPr>
      </w:pPr>
      <w:r>
        <w:rPr>
          <w:rFonts w:hint="eastAsia" w:ascii="仿宋" w:hAnsi="仿宋" w:eastAsia="仿宋"/>
          <w:sz w:val="28"/>
          <w:szCs w:val="28"/>
        </w:rPr>
        <w:t xml:space="preserve">那工 0513-59001950</w:t>
      </w:r>
      <w:bookmarkEnd w:id="44"/>
      <w:r/>
      <w:bookmarkEnd w:id="45"/>
      <w:r/>
      <w:r/>
    </w:p>
    <w:p>
      <w:pPr>
        <w:ind w:right="840"/>
        <w:jc w:val="center"/>
        <w:rPr>
          <w:rFonts w:ascii="黑体" w:hAnsi="Arial" w:eastAsia="黑体" w:cs="Arial"/>
          <w:sz w:val="44"/>
          <w:szCs w:val="44"/>
        </w:rPr>
      </w:pPr>
      <w:r>
        <w:rPr>
          <w:rFonts w:ascii="宋体" w:hAnsi="宋体"/>
          <w:sz w:val="24"/>
          <w:szCs w:val="24"/>
        </w:rPr>
        <w:br w:type="page" w:clear="all"/>
      </w:r>
      <w:bookmarkStart w:id="4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6"/>
      <w:r/>
      <w:bookmarkStart w:id="47" w:name="_Toc513029202"/>
      <w:r/>
      <w:bookmarkStart w:id="48" w:name="_Toc16938518"/>
      <w:r/>
      <w:bookmarkStart w:id="49" w:name="_Toc120614213"/>
      <w:r/>
      <w:bookmarkStart w:id="50" w:name="_Toc20823274"/>
      <w:r>
        <w:rPr>
          <w:rFonts w:hint="eastAsia" w:ascii="黑体" w:hAnsi="Arial" w:eastAsia="黑体" w:cs="Arial"/>
          <w:b/>
          <w:bCs/>
          <w:sz w:val="44"/>
          <w:szCs w:val="44"/>
        </w:rPr>
        <w:t xml:space="preserve">投标人须知</w:t>
      </w:r>
      <w:bookmarkEnd w:id="47"/>
      <w:r/>
      <w:bookmarkEnd w:id="48"/>
      <w:r/>
      <w:bookmarkEnd w:id="49"/>
      <w:r/>
      <w:bookmarkEnd w:id="50"/>
      <w:r/>
      <w:r/>
    </w:p>
    <w:p>
      <w:pPr>
        <w:keepLines/>
        <w:keepNext/>
        <w:spacing w:line="480" w:lineRule="exact"/>
        <w:rPr>
          <w:rFonts w:ascii="仿宋" w:hAnsi="仿宋" w:eastAsia="仿宋"/>
          <w:b/>
          <w:bCs/>
          <w:sz w:val="28"/>
          <w:szCs w:val="28"/>
        </w:rPr>
        <w:outlineLvl w:val="2"/>
      </w:pPr>
      <w:r/>
      <w:bookmarkStart w:id="51" w:name="_Toc20823275"/>
      <w:r/>
      <w:bookmarkStart w:id="52" w:name="_Toc513029203"/>
      <w:r/>
      <w:bookmarkStart w:id="53" w:name="_Toc16938519"/>
      <w:r/>
      <w:bookmarkStart w:id="54" w:name="_Toc120614214"/>
      <w:r>
        <w:rPr>
          <w:rFonts w:ascii="仿宋" w:hAnsi="仿宋" w:eastAsia="仿宋"/>
          <w:b/>
          <w:bCs/>
          <w:sz w:val="28"/>
          <w:szCs w:val="28"/>
        </w:rPr>
        <w:t xml:space="preserve">（一）总则</w:t>
      </w:r>
      <w:bookmarkEnd w:id="51"/>
      <w:r/>
      <w:bookmarkEnd w:id="52"/>
      <w:r/>
      <w:bookmarkEnd w:id="53"/>
      <w:r/>
      <w:bookmarkEnd w:id="54"/>
      <w:r/>
      <w:r/>
    </w:p>
    <w:p>
      <w:pPr>
        <w:keepNext/>
        <w:spacing w:line="480" w:lineRule="exact"/>
        <w:rPr>
          <w:rFonts w:ascii="仿宋" w:hAnsi="仿宋" w:eastAsia="仿宋"/>
          <w:b/>
          <w:bCs/>
          <w:sz w:val="28"/>
          <w:szCs w:val="28"/>
        </w:rPr>
        <w:outlineLvl w:val="3"/>
      </w:pPr>
      <w:r/>
      <w:bookmarkStart w:id="55" w:name="_Hlt16619475"/>
      <w:r/>
      <w:bookmarkEnd w:id="55"/>
      <w:r/>
      <w:bookmarkStart w:id="56" w:name="_Toc458694821"/>
      <w:r/>
      <w:bookmarkStart w:id="57" w:name="_Toc513029204"/>
      <w:r/>
      <w:bookmarkStart w:id="58" w:name="_Toc20823276"/>
      <w:r/>
      <w:bookmarkStart w:id="59" w:name="_Toc16938520"/>
      <w:r>
        <w:rPr>
          <w:rFonts w:ascii="仿宋" w:hAnsi="仿宋" w:eastAsia="仿宋"/>
          <w:sz w:val="28"/>
          <w:szCs w:val="28"/>
        </w:rPr>
        <w:t xml:space="preserve">1</w:t>
      </w:r>
      <w:bookmarkEnd w:id="56"/>
      <w:r>
        <w:rPr>
          <w:rFonts w:ascii="仿宋" w:hAnsi="仿宋" w:eastAsia="仿宋"/>
          <w:sz w:val="28"/>
          <w:szCs w:val="28"/>
        </w:rPr>
        <w:t xml:space="preserve">.招标方式</w:t>
      </w:r>
      <w:bookmarkEnd w:id="57"/>
      <w:r/>
      <w:bookmarkEnd w:id="58"/>
      <w:r/>
      <w:bookmarkEnd w:id="59"/>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60" w:name="_Toc513029205"/>
      <w:r/>
      <w:bookmarkStart w:id="61" w:name="_Toc20823277"/>
      <w:r/>
      <w:bookmarkStart w:id="62" w:name="_Toc16938521"/>
      <w:r>
        <w:rPr>
          <w:rFonts w:ascii="仿宋" w:hAnsi="仿宋" w:eastAsia="仿宋"/>
          <w:sz w:val="28"/>
          <w:szCs w:val="28"/>
        </w:rPr>
        <w:t xml:space="preserve">2.合格的投标人</w:t>
      </w:r>
      <w:bookmarkEnd w:id="60"/>
      <w:r/>
      <w:bookmarkEnd w:id="61"/>
      <w:r/>
      <w:bookmarkEnd w:id="62"/>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63" w:name="_Toc20823278"/>
      <w:r/>
      <w:bookmarkStart w:id="64" w:name="_Toc513029206"/>
      <w:r/>
      <w:bookmarkStart w:id="65" w:name="_Toc16938522"/>
      <w:r>
        <w:rPr>
          <w:rFonts w:ascii="仿宋" w:hAnsi="仿宋" w:eastAsia="仿宋"/>
          <w:sz w:val="28"/>
          <w:szCs w:val="28"/>
        </w:rPr>
        <w:t xml:space="preserve">3.适用法律</w:t>
      </w:r>
      <w:bookmarkEnd w:id="63"/>
      <w:r/>
      <w:bookmarkEnd w:id="64"/>
      <w:r/>
      <w:bookmarkEnd w:id="65"/>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66" w:name="_Toc16938523"/>
      <w:r/>
      <w:bookmarkStart w:id="67" w:name="_Toc462564067"/>
      <w:r/>
      <w:bookmarkStart w:id="68" w:name="_Toc20823279"/>
      <w:r/>
      <w:bookmarkStart w:id="69" w:name="_Toc513029207"/>
      <w:r>
        <w:rPr>
          <w:rFonts w:ascii="仿宋" w:hAnsi="仿宋" w:eastAsia="仿宋"/>
          <w:sz w:val="28"/>
          <w:szCs w:val="28"/>
        </w:rPr>
        <w:t xml:space="preserve">4.投标费用</w:t>
      </w:r>
      <w:bookmarkEnd w:id="66"/>
      <w:r/>
      <w:bookmarkEnd w:id="67"/>
      <w:r/>
      <w:bookmarkEnd w:id="68"/>
      <w:r/>
      <w:bookmarkEnd w:id="69"/>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rPr>
        <w:t xml:space="preserve">公共资源交易</w:t>
      </w:r>
      <w:r>
        <w:rPr>
          <w:rFonts w:ascii="仿宋" w:hAnsi="仿宋" w:eastAsia="仿宋"/>
          <w:sz w:val="28"/>
          <w:szCs w:val="28"/>
        </w:rPr>
        <w:t xml:space="preserve">中心（以下简称采购中心）在任何情况下均无义务和责任承担这些费用。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keepLines/>
        <w:keepNext/>
        <w:spacing w:before="120" w:after="120" w:line="480" w:lineRule="exact"/>
        <w:rPr>
          <w:rFonts w:ascii="仿宋" w:hAnsi="仿宋" w:eastAsia="仿宋"/>
          <w:b/>
          <w:bCs/>
          <w:sz w:val="28"/>
          <w:szCs w:val="28"/>
        </w:rPr>
        <w:outlineLvl w:val="2"/>
      </w:pPr>
      <w:r/>
      <w:bookmarkStart w:id="70" w:name="_Toc513029209"/>
      <w:r/>
      <w:bookmarkStart w:id="71" w:name="_Toc20823281"/>
      <w:r/>
      <w:bookmarkStart w:id="72" w:name="_Toc16938525"/>
      <w:r/>
      <w:bookmarkStart w:id="73" w:name="_Toc120614215"/>
      <w:r>
        <w:rPr>
          <w:rFonts w:hint="eastAsia" w:ascii="仿宋" w:hAnsi="仿宋" w:eastAsia="仿宋"/>
          <w:b/>
          <w:bCs/>
          <w:sz w:val="28"/>
          <w:szCs w:val="28"/>
        </w:rPr>
        <w:t xml:space="preserve">二、招标文件</w:t>
      </w:r>
      <w:bookmarkEnd w:id="70"/>
      <w:r/>
      <w:bookmarkEnd w:id="71"/>
      <w:r/>
      <w:bookmarkEnd w:id="72"/>
      <w:r/>
      <w:bookmarkEnd w:id="73"/>
      <w:r/>
      <w:r/>
    </w:p>
    <w:p>
      <w:pPr>
        <w:keepLines/>
        <w:keepNext/>
        <w:spacing w:line="480" w:lineRule="exact"/>
        <w:rPr>
          <w:rFonts w:ascii="仿宋" w:hAnsi="仿宋" w:eastAsia="仿宋" w:cs="Arial"/>
          <w:sz w:val="28"/>
          <w:szCs w:val="28"/>
        </w:rPr>
        <w:outlineLvl w:val="3"/>
      </w:pPr>
      <w:r/>
      <w:bookmarkStart w:id="74" w:name="_Toc20823282"/>
      <w:r/>
      <w:bookmarkStart w:id="75" w:name="_Toc513029210"/>
      <w:r/>
      <w:bookmarkStart w:id="76" w:name="_Toc16938526"/>
      <w:r>
        <w:rPr>
          <w:rFonts w:hint="eastAsia" w:ascii="仿宋" w:hAnsi="仿宋" w:eastAsia="仿宋" w:cs="Arial"/>
          <w:sz w:val="28"/>
          <w:szCs w:val="28"/>
        </w:rPr>
        <w:t xml:space="preserve">6、招标文件构成</w:t>
      </w:r>
      <w:bookmarkEnd w:id="74"/>
      <w:r/>
      <w:bookmarkEnd w:id="75"/>
      <w:r/>
      <w:bookmarkEnd w:id="76"/>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6.1</w:t>
      </w:r>
      <w:r>
        <w:rPr>
          <w:rFonts w:hint="eastAsia" w:ascii="仿宋" w:hAnsi="仿宋" w:eastAsia="仿宋"/>
          <w:sz w:val="28"/>
          <w:szCs w:val="28"/>
        </w:rPr>
        <w:t xml:space="preserve"> 招标文件由以下部分组成：</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（1）投标</w:t>
      </w:r>
      <w:r>
        <w:rPr>
          <w:rFonts w:ascii="仿宋" w:hAnsi="仿宋" w:eastAsia="仿宋"/>
          <w:sz w:val="28"/>
          <w:szCs w:val="28"/>
        </w:rPr>
        <w:t xml:space="preserve">邀请</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（2）投标人须知</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（3）合同文本</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（4）采购需求</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（5）评标方法与评标标准</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（6）投标文件格式</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请仔细检查招标文件是否齐全，如有缺漏请立即与采购中心联系解决。</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6.2</w:t>
      </w:r>
      <w:r>
        <w:rPr>
          <w:rFonts w:hint="eastAsia" w:ascii="仿宋" w:hAnsi="仿宋" w:eastAsia="仿宋"/>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ascii="仿宋" w:hAnsi="仿宋" w:eastAsia="仿宋" w:cs="Arial"/>
          <w:sz w:val="28"/>
          <w:szCs w:val="28"/>
        </w:rPr>
        <w:outlineLvl w:val="3"/>
      </w:pPr>
      <w:r/>
      <w:bookmarkStart w:id="77" w:name="_Toc16938527"/>
      <w:r/>
      <w:bookmarkStart w:id="78" w:name="_Toc20823283"/>
      <w:r/>
      <w:bookmarkStart w:id="79" w:name="_Toc462564070"/>
      <w:r/>
      <w:bookmarkStart w:id="80" w:name="_Toc513029211"/>
      <w:r>
        <w:rPr>
          <w:rFonts w:hint="eastAsia" w:ascii="仿宋" w:hAnsi="仿宋" w:eastAsia="仿宋" w:cs="Arial"/>
          <w:sz w:val="28"/>
          <w:szCs w:val="28"/>
        </w:rPr>
        <w:t xml:space="preserve">7、招标文件的澄清</w:t>
      </w:r>
      <w:bookmarkEnd w:id="77"/>
      <w:r/>
      <w:bookmarkEnd w:id="78"/>
      <w:r/>
      <w:bookmarkEnd w:id="79"/>
      <w:r/>
      <w:bookmarkEnd w:id="80"/>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任何要求对招标文件进行澄清的投标人，应在投标截止期</w:t>
      </w:r>
      <w:r>
        <w:rPr>
          <w:rFonts w:hint="eastAsia" w:ascii="仿宋" w:hAnsi="仿宋" w:eastAsia="仿宋"/>
          <w:b/>
          <w:sz w:val="28"/>
          <w:szCs w:val="28"/>
        </w:rPr>
        <w:t xml:space="preserve">十日</w:t>
      </w:r>
      <w:r>
        <w:rPr>
          <w:rFonts w:hint="eastAsia" w:ascii="仿宋" w:hAnsi="仿宋" w:eastAsia="仿宋"/>
          <w:sz w:val="28"/>
          <w:szCs w:val="28"/>
        </w:rPr>
        <w:t xml:space="preserve">前按招标公告中的通讯地址，以书面形式通知采购中心。采购人有权对发出的招标文件进行必要的澄清或修改。</w:t>
      </w:r>
      <w:r/>
    </w:p>
    <w:p>
      <w:pPr>
        <w:keepLines/>
        <w:keepNext/>
        <w:spacing w:line="480" w:lineRule="exact"/>
        <w:rPr>
          <w:rFonts w:ascii="仿宋" w:hAnsi="仿宋" w:eastAsia="仿宋" w:cs="Arial"/>
          <w:sz w:val="28"/>
          <w:szCs w:val="28"/>
        </w:rPr>
        <w:outlineLvl w:val="3"/>
      </w:pPr>
      <w:r/>
      <w:bookmarkStart w:id="81" w:name="_Toc20823284"/>
      <w:r/>
      <w:bookmarkStart w:id="82" w:name="_Toc16938528"/>
      <w:r/>
      <w:bookmarkStart w:id="83" w:name="_Toc462564071"/>
      <w:r/>
      <w:bookmarkStart w:id="84" w:name="_Toc513029212"/>
      <w:r>
        <w:rPr>
          <w:rFonts w:hint="eastAsia" w:ascii="仿宋" w:hAnsi="仿宋" w:eastAsia="仿宋" w:cs="Arial"/>
          <w:sz w:val="28"/>
          <w:szCs w:val="28"/>
        </w:rPr>
        <w:t xml:space="preserve">8、招标文件的修改</w:t>
      </w:r>
      <w:bookmarkEnd w:id="81"/>
      <w:r/>
      <w:bookmarkEnd w:id="82"/>
      <w:r/>
      <w:bookmarkEnd w:id="83"/>
      <w:r/>
      <w:bookmarkEnd w:id="84"/>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8.1</w:t>
      </w:r>
      <w:r>
        <w:rPr>
          <w:rFonts w:hint="eastAsia" w:ascii="仿宋" w:hAnsi="仿宋" w:eastAsia="仿宋"/>
          <w:sz w:val="28"/>
          <w:szCs w:val="28"/>
        </w:rPr>
        <w:t xml:space="preserve"> 在投标截止时间前，采购中心可以对招标文件进行修改。</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8.2 </w:t>
      </w:r>
      <w:r>
        <w:rPr>
          <w:rFonts w:hint="eastAsia" w:ascii="仿宋" w:hAnsi="仿宋" w:eastAsia="仿宋"/>
          <w:sz w:val="28"/>
          <w:szCs w:val="28"/>
        </w:rPr>
        <w:t xml:space="preserve">采购中心有权按照法定的要求推迟投标截止日期和开标日期。</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8.3 </w:t>
      </w:r>
      <w:r>
        <w:rPr>
          <w:rFonts w:hint="eastAsia" w:ascii="仿宋" w:hAnsi="仿宋" w:eastAsia="仿宋"/>
          <w:sz w:val="28"/>
          <w:szCs w:val="28"/>
        </w:rPr>
        <w:t xml:space="preserve">招标文件的修改将在江苏政府采购网公布，补充文件将作为招标文件的组成部分，并对投标人具有约束力。</w:t>
      </w:r>
      <w:r/>
    </w:p>
    <w:p>
      <w:pPr>
        <w:keepLines/>
        <w:keepNext/>
        <w:spacing w:before="120" w:after="120" w:line="480" w:lineRule="exact"/>
        <w:rPr>
          <w:rFonts w:ascii="仿宋" w:hAnsi="仿宋" w:eastAsia="仿宋"/>
          <w:b/>
          <w:bCs/>
          <w:sz w:val="28"/>
          <w:szCs w:val="28"/>
        </w:rPr>
        <w:outlineLvl w:val="2"/>
      </w:pPr>
      <w:r/>
      <w:bookmarkStart w:id="85" w:name="_Toc20823285"/>
      <w:r/>
      <w:bookmarkStart w:id="86" w:name="_Toc462564072"/>
      <w:r/>
      <w:bookmarkStart w:id="87" w:name="_Toc120614216"/>
      <w:r/>
      <w:bookmarkStart w:id="88" w:name="_Toc16938529"/>
      <w:r/>
      <w:bookmarkStart w:id="89" w:name="_Toc513029213"/>
      <w:r>
        <w:rPr>
          <w:rFonts w:hint="eastAsia" w:ascii="仿宋" w:hAnsi="仿宋" w:eastAsia="仿宋"/>
          <w:b/>
          <w:bCs/>
          <w:sz w:val="28"/>
          <w:szCs w:val="28"/>
        </w:rPr>
        <w:t xml:space="preserve">三、投标文件的编制</w:t>
      </w:r>
      <w:bookmarkEnd w:id="85"/>
      <w:r/>
      <w:bookmarkEnd w:id="86"/>
      <w:r/>
      <w:bookmarkEnd w:id="87"/>
      <w:r/>
      <w:bookmarkEnd w:id="88"/>
      <w:r/>
      <w:bookmarkEnd w:id="89"/>
      <w:r/>
      <w:r/>
    </w:p>
    <w:p>
      <w:pPr>
        <w:keepLines/>
        <w:keepNext/>
        <w:spacing w:line="480" w:lineRule="exact"/>
        <w:rPr>
          <w:rFonts w:ascii="仿宋" w:hAnsi="仿宋" w:eastAsia="仿宋" w:cs="Arial"/>
          <w:b/>
          <w:sz w:val="28"/>
          <w:szCs w:val="28"/>
        </w:rPr>
        <w:outlineLvl w:val="3"/>
      </w:pPr>
      <w:r/>
      <w:bookmarkStart w:id="90" w:name="_Toc462564073"/>
      <w:r/>
      <w:bookmarkStart w:id="91" w:name="_Toc20823286"/>
      <w:r/>
      <w:bookmarkStart w:id="92" w:name="_Toc513029214"/>
      <w:r/>
      <w:bookmarkStart w:id="93" w:name="_Toc16938530"/>
      <w:r>
        <w:rPr>
          <w:rFonts w:hint="eastAsia" w:ascii="仿宋" w:hAnsi="仿宋" w:eastAsia="仿宋" w:cs="Arial"/>
          <w:sz w:val="28"/>
          <w:szCs w:val="28"/>
        </w:rPr>
        <w:t xml:space="preserve">9、投标文件的语言及度量衡单位</w:t>
      </w:r>
      <w:bookmarkEnd w:id="90"/>
      <w:r/>
      <w:bookmarkEnd w:id="91"/>
      <w:r/>
      <w:bookmarkEnd w:id="92"/>
      <w:r/>
      <w:bookmarkEnd w:id="93"/>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 投标人提交的投标文件以及投标人与采购中心就有关投标的所有来往通知、函件和文件均应使用简体中文。</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除技术性能另有规定外，投标文件所使用的度量衡单位，均须采用国家法定计量单位。</w:t>
      </w:r>
      <w:r/>
    </w:p>
    <w:p>
      <w:pPr>
        <w:keepLines/>
        <w:keepNext/>
        <w:spacing w:line="480" w:lineRule="exact"/>
        <w:rPr>
          <w:rFonts w:ascii="仿宋" w:hAnsi="仿宋" w:eastAsia="仿宋" w:cs="Arial"/>
          <w:sz w:val="28"/>
          <w:szCs w:val="28"/>
        </w:rPr>
        <w:outlineLvl w:val="3"/>
      </w:pPr>
      <w:r/>
      <w:bookmarkStart w:id="94" w:name="_Toc462564074"/>
      <w:r/>
      <w:bookmarkStart w:id="95" w:name="_Toc16938531"/>
      <w:r/>
      <w:bookmarkStart w:id="96" w:name="_Toc513029215"/>
      <w:r/>
      <w:bookmarkStart w:id="97" w:name="_Toc20823287"/>
      <w:r>
        <w:rPr>
          <w:rFonts w:hint="eastAsia" w:ascii="仿宋" w:hAnsi="仿宋" w:eastAsia="仿宋" w:cs="Arial"/>
          <w:sz w:val="28"/>
          <w:szCs w:val="28"/>
        </w:rPr>
        <w:t xml:space="preserve">10、投标文件构成</w:t>
      </w:r>
      <w:bookmarkEnd w:id="94"/>
      <w:r/>
      <w:bookmarkEnd w:id="95"/>
      <w:r/>
      <w:bookmarkEnd w:id="96"/>
      <w:r/>
      <w:bookmarkEnd w:id="97"/>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ascii="仿宋" w:hAnsi="仿宋" w:eastAsia="仿宋" w:cs="Arial"/>
          <w:sz w:val="28"/>
          <w:szCs w:val="28"/>
        </w:rPr>
        <w:outlineLvl w:val="3"/>
      </w:pPr>
      <w:r/>
      <w:bookmarkStart w:id="98" w:name="_Hlt26670360"/>
      <w:r/>
      <w:bookmarkEnd w:id="98"/>
      <w:r/>
      <w:bookmarkStart w:id="99" w:name="_Hlt26668975"/>
      <w:r/>
      <w:bookmarkEnd w:id="99"/>
      <w:r/>
      <w:bookmarkStart w:id="100" w:name="_Hlt26954838"/>
      <w:r/>
      <w:bookmarkEnd w:id="100"/>
      <w:r/>
      <w:bookmarkStart w:id="101" w:name="_Toc49090509"/>
      <w:r/>
      <w:bookmarkStart w:id="102" w:name="_Toc513029219"/>
      <w:r/>
      <w:bookmarkStart w:id="103" w:name="_Toc14577357"/>
      <w:r/>
      <w:bookmarkStart w:id="104" w:name="_Toc14577354"/>
      <w:r/>
      <w:bookmarkStart w:id="105" w:name="_Toc49090507"/>
      <w:r/>
      <w:bookmarkStart w:id="106" w:name="_Toc513029216"/>
      <w:r/>
      <w:bookmarkStart w:id="107" w:name="_Toc14577355"/>
      <w:r/>
      <w:bookmarkStart w:id="108" w:name="_Toc49090508"/>
      <w:r>
        <w:rPr>
          <w:rFonts w:hint="eastAsia" w:ascii="仿宋" w:hAnsi="仿宋" w:eastAsia="仿宋" w:cs="Arial"/>
          <w:sz w:val="28"/>
          <w:szCs w:val="28"/>
        </w:rPr>
        <w:t xml:space="preserve">11、证明投标人及投标标的符合招标文件规定的文件</w:t>
      </w:r>
      <w:bookmarkEnd w:id="101"/>
      <w:r/>
      <w:bookmarkEnd w:id="102"/>
      <w:r/>
      <w:bookmarkEnd w:id="103"/>
      <w:r/>
      <w:bookmarkEnd w:id="104"/>
      <w:r/>
      <w:bookmarkEnd w:id="105"/>
      <w:r/>
      <w:bookmarkEnd w:id="106"/>
      <w:r/>
      <w:r/>
    </w:p>
    <w:p>
      <w:pPr>
        <w:spacing w:line="480" w:lineRule="exact"/>
        <w:rPr>
          <w:rFonts w:ascii="仿宋" w:hAnsi="仿宋" w:eastAsia="仿宋"/>
          <w:sz w:val="28"/>
          <w:szCs w:val="28"/>
        </w:rPr>
      </w:pPr>
      <w:r>
        <w:rPr>
          <w:rFonts w:hint="eastAsia" w:ascii="仿宋" w:hAnsi="仿宋" w:eastAsia="仿宋"/>
          <w:sz w:val="28"/>
          <w:szCs w:val="28"/>
        </w:rPr>
        <w:t xml:space="preserve">    11.1 投标人应按照招标文件要求提交证明文件，证明其及投标标的符合招标文件规定。</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11.2招标文件对证明文件无明确形式要求的，证明文件可以以文字资料、图纸和数据等形式提交。</w:t>
      </w:r>
      <w:bookmarkEnd w:id="107"/>
      <w:r/>
      <w:bookmarkEnd w:id="108"/>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12、投标分项报价表</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投标货币。投标文件中的单价和总价无特殊规定的采用人民币报价，以元为单位标注。</w:t>
      </w:r>
      <w:r>
        <w:rPr>
          <w:rFonts w:hint="eastAsia" w:ascii="仿宋" w:hAnsi="仿宋" w:eastAsia="仿宋"/>
          <w:sz w:val="28"/>
          <w:szCs w:val="28"/>
        </w:rPr>
        <w:t xml:space="preserve">招标文件中另有规定的按规定执行。</w:t>
      </w:r>
      <w:r/>
    </w:p>
    <w:p>
      <w:pPr>
        <w:keepLines/>
        <w:keepNext/>
        <w:spacing w:line="480" w:lineRule="exact"/>
        <w:rPr>
          <w:rFonts w:ascii="仿宋" w:hAnsi="仿宋" w:eastAsia="仿宋" w:cs="Arial"/>
          <w:sz w:val="28"/>
          <w:szCs w:val="28"/>
        </w:rPr>
        <w:outlineLvl w:val="3"/>
      </w:pPr>
      <w:r/>
      <w:bookmarkStart w:id="109" w:name="_Hlt26954846"/>
      <w:r/>
      <w:bookmarkEnd w:id="109"/>
      <w:r/>
      <w:bookmarkStart w:id="110" w:name="_Hlt26670486"/>
      <w:r/>
      <w:bookmarkEnd w:id="110"/>
      <w:r/>
      <w:bookmarkStart w:id="111" w:name="_Hlt26670482"/>
      <w:r/>
      <w:bookmarkEnd w:id="111"/>
      <w:r/>
      <w:bookmarkStart w:id="112" w:name="_Hlt26954731"/>
      <w:r/>
      <w:bookmarkEnd w:id="112"/>
      <w:r/>
      <w:bookmarkStart w:id="113" w:name="_Hlt26954848"/>
      <w:r/>
      <w:bookmarkEnd w:id="113"/>
      <w:r>
        <w:rPr>
          <w:rFonts w:hint="eastAsia" w:ascii="仿宋" w:hAnsi="仿宋" w:eastAsia="仿宋" w:cs="Arial"/>
          <w:sz w:val="28"/>
          <w:szCs w:val="28"/>
        </w:rPr>
        <w:t xml:space="preserve">13、技术要求响应及偏离表、商务要求响应及偏离表</w:t>
      </w:r>
      <w:r/>
    </w:p>
    <w:p>
      <w:pPr>
        <w:ind w:firstLine="480"/>
        <w:spacing w:line="480" w:lineRule="exact"/>
        <w:rPr>
          <w:rFonts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.1</w:t>
      </w:r>
      <w:r>
        <w:rPr>
          <w:rFonts w:hint="eastAsia" w:ascii="仿宋" w:hAnsi="仿宋" w:eastAsia="仿宋" w:cs="宋体"/>
          <w:sz w:val="28"/>
          <w:szCs w:val="28"/>
          <w:lang w:val="zh-CN"/>
        </w:rPr>
        <w:t xml:space="preserve">投标人需对招标文件中的技术要求与商务要求逐项作出响应或偏离，并说明原因。</w:t>
      </w:r>
      <w:r/>
    </w:p>
    <w:p>
      <w:pPr>
        <w:ind w:firstLine="480"/>
        <w:spacing w:line="480" w:lineRule="exact"/>
        <w:rPr>
          <w:rFonts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14、服务承诺、培训计划、人员安排及其他</w:t>
      </w:r>
      <w:r/>
    </w:p>
    <w:p>
      <w:pPr>
        <w:ind w:firstLine="480"/>
        <w:spacing w:line="480" w:lineRule="exact"/>
        <w:rPr>
          <w:rFonts w:ascii="仿宋" w:hAnsi="仿宋" w:eastAsia="仿宋"/>
          <w:sz w:val="28"/>
          <w:szCs w:val="28"/>
        </w:rPr>
      </w:pPr>
      <w:r>
        <w:rPr>
          <w:rFonts w:hint="eastAsia" w:ascii="仿宋" w:hAnsi="仿宋" w:eastAsia="仿宋"/>
          <w:bCs/>
          <w:sz w:val="28"/>
          <w:szCs w:val="28"/>
        </w:rPr>
        <w:t xml:space="preserve">14.1 </w:t>
      </w:r>
      <w:r>
        <w:rPr>
          <w:rFonts w:hint="eastAsia" w:ascii="仿宋" w:hAnsi="仿宋" w:eastAsia="仿宋"/>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14.2 投标人需根据招标文件要求提供培训计划。</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14.3投标人需根据招标文件要求提供</w:t>
      </w:r>
      <w:r>
        <w:rPr>
          <w:rFonts w:hint="eastAsia" w:ascii="仿宋" w:hAnsi="仿宋" w:eastAsia="仿宋" w:cs="宋体"/>
          <w:sz w:val="28"/>
          <w:szCs w:val="28"/>
          <w:lang w:val="zh-CN"/>
        </w:rPr>
        <w:t xml:space="preserve">所投标的的主要组成部分、功能设计、实现思路及关键技术等。</w:t>
      </w:r>
      <w:r/>
    </w:p>
    <w:p>
      <w:pPr>
        <w:keepLines/>
        <w:keepNext/>
        <w:spacing w:line="480" w:lineRule="exact"/>
        <w:rPr>
          <w:rFonts w:ascii="仿宋" w:hAnsi="仿宋" w:eastAsia="仿宋" w:cs="Arial"/>
          <w:sz w:val="28"/>
          <w:szCs w:val="28"/>
        </w:rPr>
        <w:outlineLvl w:val="3"/>
      </w:pPr>
      <w:r/>
      <w:bookmarkStart w:id="114" w:name="_Toc49090510"/>
      <w:r/>
      <w:bookmarkStart w:id="115" w:name="_Toc14577359"/>
      <w:r>
        <w:rPr>
          <w:rFonts w:hint="eastAsia" w:ascii="仿宋" w:hAnsi="仿宋" w:eastAsia="仿宋" w:cs="Arial"/>
          <w:sz w:val="28"/>
          <w:szCs w:val="28"/>
        </w:rPr>
        <w:t xml:space="preserve">15、投标函和开标一览表</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15.1</w:t>
      </w:r>
      <w:r>
        <w:rPr>
          <w:rFonts w:hint="eastAsia" w:ascii="仿宋" w:hAnsi="仿宋" w:eastAsia="仿宋"/>
          <w:sz w:val="28"/>
          <w:szCs w:val="28"/>
        </w:rPr>
        <w:t xml:space="preserve"> 投标人应按照招标文件中提供的格式完整、正确填写投标函、开标一览表。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15.2 对于采用货币报价的项目，开标一览表中的投标总报价应与投标分项报价表中的投标总报价一致，如不一致，不作为无效投标处理，但评标时按开标一览表中价格为准。</w:t>
      </w:r>
      <w:bookmarkEnd w:id="114"/>
      <w:r/>
      <w:bookmarkEnd w:id="115"/>
      <w:r/>
      <w:r/>
    </w:p>
    <w:p>
      <w:pPr>
        <w:keepLines/>
        <w:keepNext/>
        <w:spacing w:line="480" w:lineRule="exact"/>
        <w:rPr>
          <w:rFonts w:ascii="仿宋" w:hAnsi="仿宋" w:eastAsia="仿宋" w:cs="Arial"/>
          <w:sz w:val="28"/>
          <w:szCs w:val="28"/>
        </w:rPr>
        <w:outlineLvl w:val="3"/>
      </w:pPr>
      <w:r/>
      <w:bookmarkStart w:id="116" w:name="_Toc49090511"/>
      <w:r/>
      <w:bookmarkStart w:id="117" w:name="_Toc14577360"/>
      <w:r>
        <w:rPr>
          <w:rFonts w:hint="eastAsia" w:ascii="仿宋" w:hAnsi="仿宋" w:eastAsia="仿宋" w:cs="Arial"/>
          <w:sz w:val="28"/>
          <w:szCs w:val="28"/>
        </w:rPr>
        <w:t xml:space="preserve">16、投标有效期</w:t>
      </w:r>
      <w:bookmarkEnd w:id="116"/>
      <w:r/>
      <w:bookmarkEnd w:id="117"/>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16.1投标有效期为采购中心规定的开标之日后</w:t>
      </w:r>
      <w:r>
        <w:rPr>
          <w:rFonts w:hint="eastAsia" w:ascii="仿宋" w:hAnsi="仿宋" w:eastAsia="仿宋"/>
          <w:sz w:val="28"/>
          <w:szCs w:val="28"/>
          <w:u w:val="single"/>
        </w:rPr>
        <w:t xml:space="preserve">九十（90）天</w:t>
      </w:r>
      <w:r>
        <w:rPr>
          <w:rFonts w:hint="eastAsia" w:ascii="仿宋" w:hAnsi="仿宋" w:eastAsia="仿宋"/>
          <w:bCs/>
          <w:sz w:val="28"/>
          <w:szCs w:val="28"/>
        </w:rPr>
        <w:t xml:space="preserve">。投标有效期比规定短的将被视为未实质性响应招标文件而予以拒绝。</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w:t>
      </w:r>
      <w:r>
        <w:rPr>
          <w:rFonts w:ascii="仿宋" w:hAnsi="仿宋" w:eastAsia="仿宋" w:cs="Arial"/>
          <w:sz w:val="28"/>
          <w:szCs w:val="28"/>
        </w:rPr>
        <w:t xml:space="preserve">7</w:t>
      </w:r>
      <w:r>
        <w:rPr>
          <w:rFonts w:hint="eastAsia" w:ascii="仿宋" w:hAnsi="仿宋" w:eastAsia="仿宋" w:cs="Arial"/>
          <w:sz w:val="28"/>
          <w:szCs w:val="28"/>
        </w:rPr>
        <w:t xml:space="preserve">、投标有效期的延长</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sz w:val="28"/>
          <w:szCs w:val="28"/>
        </w:rPr>
        <w:t xml:space="preserve">受投标有效期约束的所有权利与义务均延长至新的有效期</w:t>
      </w:r>
      <w:r>
        <w:rPr>
          <w:rFonts w:hint="eastAsia" w:ascii="仿宋" w:hAnsi="仿宋" w:eastAsia="仿宋"/>
          <w:bCs/>
          <w:sz w:val="28"/>
          <w:szCs w:val="28"/>
        </w:rPr>
        <w:t xml:space="preserve">。</w:t>
      </w:r>
      <w:r/>
    </w:p>
    <w:p>
      <w:pPr>
        <w:keepLines/>
        <w:keepNext/>
        <w:spacing w:before="120" w:after="120" w:line="480" w:lineRule="exact"/>
        <w:rPr>
          <w:rFonts w:ascii="仿宋" w:hAnsi="仿宋" w:eastAsia="仿宋"/>
          <w:b/>
          <w:bCs/>
          <w:sz w:val="28"/>
          <w:szCs w:val="28"/>
        </w:rPr>
        <w:outlineLvl w:val="2"/>
      </w:pPr>
      <w:r/>
      <w:bookmarkStart w:id="118" w:name="_Hlt26954852"/>
      <w:r/>
      <w:bookmarkEnd w:id="118"/>
      <w:r/>
      <w:bookmarkStart w:id="119" w:name="_Hlt26954739"/>
      <w:r/>
      <w:bookmarkEnd w:id="119"/>
      <w:r/>
      <w:bookmarkStart w:id="120" w:name="_Toc20823296"/>
      <w:r/>
      <w:bookmarkStart w:id="121" w:name="_Toc16938540"/>
      <w:r/>
      <w:bookmarkStart w:id="122" w:name="_Toc120614217"/>
      <w:r/>
      <w:bookmarkStart w:id="123" w:name="_Toc513029224"/>
      <w:r>
        <w:rPr>
          <w:rFonts w:hint="eastAsia" w:ascii="仿宋" w:hAnsi="仿宋" w:eastAsia="仿宋"/>
          <w:b/>
          <w:bCs/>
          <w:sz w:val="28"/>
          <w:szCs w:val="28"/>
        </w:rPr>
        <w:t xml:space="preserve">四、投标文件的递交</w:t>
      </w:r>
      <w:bookmarkEnd w:id="120"/>
      <w:r/>
      <w:bookmarkEnd w:id="121"/>
      <w:r/>
      <w:bookmarkEnd w:id="122"/>
      <w:r/>
      <w:bookmarkEnd w:id="123"/>
      <w:r/>
      <w:r/>
    </w:p>
    <w:p>
      <w:pPr>
        <w:keepLines/>
        <w:keepNext/>
        <w:spacing w:line="480" w:lineRule="exact"/>
        <w:rPr>
          <w:rFonts w:ascii="仿宋" w:hAnsi="仿宋" w:eastAsia="仿宋"/>
          <w:bCs/>
          <w:sz w:val="28"/>
          <w:szCs w:val="28"/>
        </w:rPr>
        <w:outlineLvl w:val="3"/>
      </w:pPr>
      <w:r/>
      <w:bookmarkStart w:id="124" w:name="_Toc16938541"/>
      <w:r/>
      <w:bookmarkStart w:id="125" w:name="_Toc20823297"/>
      <w:r/>
      <w:bookmarkStart w:id="126" w:name="_Toc462564084"/>
      <w:r/>
      <w:bookmarkStart w:id="127" w:name="_Toc513029225"/>
      <w:r>
        <w:rPr>
          <w:rFonts w:hint="eastAsia" w:ascii="仿宋" w:hAnsi="仿宋" w:eastAsia="仿宋"/>
          <w:bCs/>
          <w:sz w:val="28"/>
          <w:szCs w:val="28"/>
        </w:rPr>
        <w:t xml:space="preserve">1</w:t>
      </w:r>
      <w:r>
        <w:rPr>
          <w:rFonts w:ascii="仿宋" w:hAnsi="仿宋" w:eastAsia="仿宋"/>
          <w:bCs/>
          <w:sz w:val="28"/>
          <w:szCs w:val="28"/>
        </w:rPr>
        <w:t xml:space="preserve">8</w:t>
      </w:r>
      <w:r>
        <w:rPr>
          <w:rFonts w:hint="eastAsia" w:ascii="仿宋" w:hAnsi="仿宋" w:eastAsia="仿宋"/>
          <w:bCs/>
          <w:sz w:val="28"/>
          <w:szCs w:val="28"/>
        </w:rPr>
        <w:t xml:space="preserve">、电子投标文件</w:t>
      </w:r>
      <w:bookmarkEnd w:id="124"/>
      <w:r/>
      <w:bookmarkEnd w:id="125"/>
      <w:r/>
      <w:bookmarkEnd w:id="126"/>
      <w:r/>
      <w:bookmarkEnd w:id="127"/>
      <w:r>
        <w:rPr>
          <w:rFonts w:hint="eastAsia" w:ascii="仿宋" w:hAnsi="仿宋" w:eastAsia="仿宋"/>
          <w:bCs/>
          <w:sz w:val="28"/>
          <w:szCs w:val="28"/>
        </w:rPr>
        <w:t xml:space="preserve">的递交</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18.1投标人应当按照《操作手册》规定，在投标截止时间前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并上传电子投标文件。</w:t>
      </w:r>
      <w:bookmarkStart w:id="128" w:name="_Toc20823298"/>
      <w:r/>
      <w:bookmarkStart w:id="129" w:name="_Toc513029226"/>
      <w:r/>
      <w:bookmarkStart w:id="130" w:name="_Toc16938542"/>
      <w:r/>
      <w:r/>
    </w:p>
    <w:p>
      <w:pPr>
        <w:keepLines/>
        <w:keepNext/>
        <w:spacing w:line="480" w:lineRule="exact"/>
        <w:rPr>
          <w:rFonts w:ascii="仿宋" w:hAnsi="仿宋" w:eastAsia="仿宋"/>
          <w:bCs/>
          <w:sz w:val="28"/>
          <w:szCs w:val="28"/>
        </w:rPr>
        <w:outlineLvl w:val="3"/>
      </w:pPr>
      <w:r>
        <w:rPr>
          <w:rFonts w:ascii="仿宋" w:hAnsi="仿宋" w:eastAsia="仿宋"/>
          <w:bCs/>
          <w:sz w:val="28"/>
          <w:szCs w:val="28"/>
        </w:rPr>
        <w:t xml:space="preserve">19</w:t>
      </w:r>
      <w:r>
        <w:rPr>
          <w:rFonts w:hint="eastAsia" w:ascii="仿宋" w:hAnsi="仿宋" w:eastAsia="仿宋"/>
          <w:bCs/>
          <w:sz w:val="28"/>
          <w:szCs w:val="28"/>
        </w:rPr>
        <w:t xml:space="preserve">、投标截止日期</w:t>
      </w:r>
      <w:bookmarkEnd w:id="128"/>
      <w:r/>
      <w:bookmarkEnd w:id="129"/>
      <w:r/>
      <w:bookmarkEnd w:id="130"/>
      <w:r/>
      <w:r/>
    </w:p>
    <w:p>
      <w:pPr>
        <w:ind w:firstLine="562"/>
        <w:spacing w:line="480" w:lineRule="exact"/>
        <w:rPr>
          <w:rFonts w:ascii="仿宋" w:hAnsi="仿宋" w:eastAsia="仿宋"/>
          <w:b/>
          <w:bCs/>
          <w:sz w:val="28"/>
          <w:szCs w:val="28"/>
          <w:u w:val="single"/>
        </w:rPr>
      </w:pPr>
      <w:r>
        <w:rPr>
          <w:rFonts w:ascii="仿宋" w:hAnsi="仿宋" w:eastAsia="仿宋"/>
          <w:b/>
          <w:sz w:val="28"/>
          <w:szCs w:val="28"/>
          <w:u w:val="single"/>
        </w:rPr>
        <w:t xml:space="preserve">19</w:t>
      </w:r>
      <w:r>
        <w:rPr>
          <w:rFonts w:hint="eastAsia" w:ascii="仿宋" w:hAnsi="仿宋" w:eastAsia="仿宋"/>
          <w:b/>
          <w:sz w:val="28"/>
          <w:szCs w:val="28"/>
          <w:u w:val="single"/>
        </w:rPr>
        <w:t xml:space="preserve">.1</w:t>
      </w:r>
      <w:r>
        <w:rPr>
          <w:rFonts w:hint="eastAsia" w:ascii="仿宋" w:hAnsi="仿宋" w:eastAsia="仿宋"/>
          <w:b/>
          <w:bCs/>
          <w:sz w:val="28"/>
          <w:szCs w:val="28"/>
          <w:u w:val="single"/>
        </w:rPr>
        <w:t xml:space="preserve"> 投标人上传电子投标文件的时间不得迟于招标公告中规定的投标截止时间。</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480" w:lineRule="exact"/>
        <w:rPr>
          <w:rFonts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w:t>
      </w:r>
      <w:r>
        <w:rPr>
          <w:rFonts w:hint="eastAsia" w:ascii="仿宋" w:hAnsi="仿宋" w:eastAsia="仿宋"/>
          <w:bCs/>
          <w:sz w:val="28"/>
          <w:szCs w:val="28"/>
        </w:rPr>
        <w:t xml:space="preserve"> 采购中心可以按照规定，通过修改招标文件酌情延长投标截止日期，在此情况下，投标人的所有权利和义务以及投标人受制的截止日期均应以延长后新的截止日期为准。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ascii="仿宋" w:hAnsi="仿宋" w:eastAsia="仿宋" w:cs="Arial"/>
          <w:sz w:val="28"/>
          <w:szCs w:val="28"/>
        </w:rPr>
        <w:outlineLvl w:val="3"/>
      </w:pPr>
      <w:r/>
      <w:bookmarkStart w:id="131" w:name="_Toc20823299"/>
      <w:r/>
      <w:bookmarkStart w:id="132" w:name="_Toc513029227"/>
      <w:r/>
      <w:bookmarkStart w:id="133" w:name="_Toc16938543"/>
      <w:r>
        <w:rPr>
          <w:rFonts w:hint="eastAsia" w:ascii="仿宋" w:hAnsi="仿宋" w:eastAsia="仿宋" w:cs="Arial"/>
          <w:sz w:val="28"/>
          <w:szCs w:val="28"/>
        </w:rPr>
        <w:t xml:space="preserve">2</w:t>
      </w:r>
      <w:r>
        <w:rPr>
          <w:rFonts w:ascii="仿宋" w:hAnsi="仿宋" w:eastAsia="仿宋" w:cs="Arial"/>
          <w:sz w:val="28"/>
          <w:szCs w:val="28"/>
        </w:rPr>
        <w:t xml:space="preserve">0</w:t>
      </w:r>
      <w:r>
        <w:rPr>
          <w:rFonts w:hint="eastAsia" w:ascii="仿宋" w:hAnsi="仿宋" w:eastAsia="仿宋" w:cs="Arial"/>
          <w:sz w:val="28"/>
          <w:szCs w:val="28"/>
        </w:rPr>
        <w:t xml:space="preserve">、投标文件</w:t>
      </w:r>
      <w:bookmarkEnd w:id="131"/>
      <w:r/>
      <w:bookmarkEnd w:id="132"/>
      <w:r/>
      <w:bookmarkEnd w:id="133"/>
      <w:r>
        <w:rPr>
          <w:rFonts w:hint="eastAsia" w:ascii="仿宋" w:hAnsi="仿宋" w:eastAsia="仿宋" w:cs="Arial"/>
          <w:sz w:val="28"/>
          <w:szCs w:val="28"/>
        </w:rPr>
        <w:t xml:space="preserve">的拒收</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20.1 采购中心拒绝接收在其规定的投标截止时间后上传的任何投标文件。</w:t>
      </w:r>
      <w:r/>
    </w:p>
    <w:p>
      <w:pPr>
        <w:keepLines/>
        <w:keepNext/>
        <w:spacing w:line="480" w:lineRule="exact"/>
        <w:rPr>
          <w:rFonts w:ascii="仿宋" w:hAnsi="仿宋" w:eastAsia="仿宋" w:cs="Arial"/>
          <w:sz w:val="28"/>
          <w:szCs w:val="28"/>
        </w:rPr>
        <w:outlineLvl w:val="3"/>
      </w:pPr>
      <w:r/>
      <w:bookmarkStart w:id="134" w:name="_Toc513029228"/>
      <w:r/>
      <w:bookmarkStart w:id="135" w:name="_Toc20823300"/>
      <w:r/>
      <w:bookmarkStart w:id="136" w:name="_Toc16938544"/>
      <w:r>
        <w:rPr>
          <w:rFonts w:hint="eastAsia" w:ascii="仿宋" w:hAnsi="仿宋" w:eastAsia="仿宋" w:cs="Arial"/>
          <w:sz w:val="28"/>
          <w:szCs w:val="28"/>
        </w:rPr>
        <w:t xml:space="preserve">2</w:t>
      </w:r>
      <w:r>
        <w:rPr>
          <w:rFonts w:ascii="仿宋" w:hAnsi="仿宋" w:eastAsia="仿宋" w:cs="Arial"/>
          <w:sz w:val="28"/>
          <w:szCs w:val="28"/>
        </w:rPr>
        <w:t xml:space="preserve">1</w:t>
      </w:r>
      <w:r>
        <w:rPr>
          <w:rFonts w:hint="eastAsia" w:ascii="仿宋" w:hAnsi="仿宋" w:eastAsia="仿宋" w:cs="Arial"/>
          <w:sz w:val="28"/>
          <w:szCs w:val="28"/>
        </w:rPr>
        <w:t xml:space="preserve">、投标文件的撤回和修改</w:t>
      </w:r>
      <w:bookmarkEnd w:id="134"/>
      <w:r/>
      <w:bookmarkEnd w:id="135"/>
      <w:r/>
      <w:bookmarkEnd w:id="136"/>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 投标文件的撤回</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.1.1 电子投标文件的撤回</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投标人撤回电子投标文件，则认为其不再参与本项目投标活动。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 投标文件的修改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21.2.1投标人可在投标截止时间前，对其电子投标文件进行修改，具体操作方法见《操作手册》。</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2.2</w:t>
      </w:r>
      <w:r>
        <w:rPr>
          <w:rFonts w:hint="eastAsia" w:ascii="仿宋" w:hAnsi="仿宋" w:eastAsia="仿宋"/>
          <w:bCs/>
          <w:sz w:val="28"/>
          <w:szCs w:val="28"/>
        </w:rPr>
        <w:t xml:space="preserve"> 在投标截止时间之后，投标人不得对其电子投标文件作任何修改。</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bCs/>
          <w:sz w:val="28"/>
          <w:szCs w:val="28"/>
        </w:rPr>
        <w:t xml:space="preserve"> 在投标截止时间至招标文件中规定的投标有效期满之间的这段时间内，投标人不得撤回其投标。</w:t>
      </w:r>
      <w:r/>
    </w:p>
    <w:p>
      <w:pPr>
        <w:keepLines/>
        <w:keepNext/>
        <w:spacing w:before="120" w:after="120" w:line="480" w:lineRule="exact"/>
        <w:rPr>
          <w:rFonts w:ascii="仿宋" w:hAnsi="仿宋" w:eastAsia="仿宋"/>
          <w:b/>
          <w:bCs/>
          <w:sz w:val="28"/>
          <w:szCs w:val="28"/>
        </w:rPr>
        <w:outlineLvl w:val="2"/>
      </w:pPr>
      <w:r/>
      <w:bookmarkStart w:id="137" w:name="_Toc513029229"/>
      <w:r/>
      <w:bookmarkStart w:id="138" w:name="_Toc120614218"/>
      <w:r/>
      <w:bookmarkStart w:id="139" w:name="_Toc20823301"/>
      <w:r/>
      <w:bookmarkStart w:id="140" w:name="_Toc16938545"/>
      <w:r>
        <w:rPr>
          <w:rFonts w:hint="eastAsia" w:ascii="仿宋" w:hAnsi="仿宋" w:eastAsia="仿宋"/>
          <w:b/>
          <w:bCs/>
          <w:sz w:val="28"/>
          <w:szCs w:val="28"/>
        </w:rPr>
        <w:t xml:space="preserve">五、开标与评标</w:t>
      </w:r>
      <w:bookmarkEnd w:id="137"/>
      <w:r/>
      <w:bookmarkEnd w:id="138"/>
      <w:r/>
      <w:bookmarkEnd w:id="139"/>
      <w:r/>
      <w:bookmarkEnd w:id="140"/>
      <w:r/>
      <w:r/>
    </w:p>
    <w:p>
      <w:pPr>
        <w:keepLines/>
        <w:keepNext/>
        <w:spacing w:line="480" w:lineRule="exact"/>
        <w:rPr>
          <w:rFonts w:ascii="仿宋" w:hAnsi="仿宋" w:eastAsia="仿宋" w:cs="Arial"/>
          <w:sz w:val="28"/>
          <w:szCs w:val="28"/>
        </w:rPr>
        <w:outlineLvl w:val="3"/>
      </w:pPr>
      <w:r/>
      <w:bookmarkStart w:id="141" w:name="_Toc20823302"/>
      <w:r/>
      <w:bookmarkStart w:id="142" w:name="_Toc513029230"/>
      <w:r/>
      <w:bookmarkStart w:id="143" w:name="_Toc16938546"/>
      <w:r>
        <w:rPr>
          <w:rFonts w:hint="eastAsia" w:ascii="仿宋" w:hAnsi="仿宋" w:eastAsia="仿宋" w:cs="Arial"/>
          <w:sz w:val="28"/>
          <w:szCs w:val="28"/>
        </w:rPr>
        <w:t xml:space="preserve">22、开标</w:t>
      </w:r>
      <w:bookmarkEnd w:id="141"/>
      <w:r/>
      <w:bookmarkEnd w:id="142"/>
      <w:r/>
      <w:bookmarkEnd w:id="143"/>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ascii="仿宋" w:hAnsi="仿宋" w:eastAsia="仿宋" w:cs="Arial"/>
          <w:sz w:val="28"/>
          <w:szCs w:val="28"/>
        </w:rPr>
        <w:outlineLvl w:val="3"/>
      </w:pPr>
      <w:r/>
      <w:bookmarkStart w:id="144" w:name="_Toc20823303"/>
      <w:r/>
      <w:bookmarkStart w:id="145" w:name="_Toc513029231"/>
      <w:r/>
      <w:bookmarkStart w:id="146" w:name="_Toc16938547"/>
      <w:r>
        <w:rPr>
          <w:rFonts w:hint="eastAsia" w:ascii="仿宋" w:hAnsi="仿宋" w:eastAsia="仿宋" w:cs="Arial"/>
          <w:sz w:val="28"/>
          <w:szCs w:val="28"/>
        </w:rPr>
        <w:t xml:space="preserve">2</w:t>
      </w:r>
      <w:r>
        <w:rPr>
          <w:rFonts w:ascii="仿宋" w:hAnsi="仿宋" w:eastAsia="仿宋" w:cs="Arial"/>
          <w:sz w:val="28"/>
          <w:szCs w:val="28"/>
        </w:rPr>
        <w:t xml:space="preserve">3</w:t>
      </w:r>
      <w:r>
        <w:rPr>
          <w:rFonts w:hint="eastAsia" w:ascii="仿宋" w:hAnsi="仿宋" w:eastAsia="仿宋" w:cs="Arial"/>
          <w:sz w:val="28"/>
          <w:szCs w:val="28"/>
        </w:rPr>
        <w:t xml:space="preserve">、评标委员会</w:t>
      </w:r>
      <w:r/>
    </w:p>
    <w:p>
      <w:pPr>
        <w:spacing w:line="480" w:lineRule="exact"/>
        <w:rPr>
          <w:rFonts w:ascii="仿宋" w:hAnsi="仿宋" w:eastAsia="仿宋"/>
          <w:b/>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.1开标后，采购中心将立即组织评标委员会（以下简称评委会）进行评标。</w:t>
      </w:r>
      <w:r/>
    </w:p>
    <w:p>
      <w:pPr>
        <w:spacing w:line="480" w:lineRule="exact"/>
        <w:rPr>
          <w:rFonts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.2 评委会由采购人代表和有关技术、经济等方面的专家组成，且人员构成符合政府采购有关规定。</w:t>
      </w:r>
      <w:r/>
    </w:p>
    <w:p>
      <w:pPr>
        <w:spacing w:line="480" w:lineRule="exact"/>
        <w:rPr>
          <w:rFonts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.3评委会独立工作，负责评审所有投标文件并确定中标侯选人。</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4</w:t>
      </w:r>
      <w:r>
        <w:rPr>
          <w:rFonts w:hint="eastAsia" w:ascii="仿宋" w:hAnsi="仿宋" w:eastAsia="仿宋" w:cs="Arial"/>
          <w:sz w:val="28"/>
          <w:szCs w:val="28"/>
        </w:rPr>
        <w:t xml:space="preserve">．评标过程的保密与公正</w:t>
      </w:r>
      <w:bookmarkEnd w:id="144"/>
      <w:r/>
      <w:bookmarkEnd w:id="145"/>
      <w:r/>
      <w:bookmarkEnd w:id="146"/>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bCs/>
          <w:sz w:val="28"/>
          <w:szCs w:val="28"/>
        </w:rPr>
        <w:t xml:space="preserve">凡是与审查、澄清、评价和比较投标的有关资料以及授标建议等，采购人、评委、采购中心均不得向投标人或与评标无关的其他人员透露。</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.2在评标过程中，投标人不得以任何行为影响评标过程，否则其投标文件将被作为无效投标文件。</w:t>
      </w:r>
      <w:r/>
    </w:p>
    <w:p>
      <w:pPr>
        <w:ind w:firstLine="560"/>
        <w:spacing w:line="480" w:lineRule="exact"/>
        <w:rPr>
          <w:rFonts w:ascii="仿宋" w:hAnsi="仿宋" w:eastAsia="仿宋"/>
          <w:b/>
          <w:sz w:val="28"/>
          <w:szCs w:val="28"/>
        </w:rPr>
      </w:pPr>
      <w:r>
        <w:rPr>
          <w:rFonts w:ascii="仿宋" w:hAnsi="仿宋" w:eastAsia="仿宋"/>
          <w:sz w:val="28"/>
          <w:szCs w:val="28"/>
        </w:rPr>
        <w:t xml:space="preserve">24</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ascii="仿宋" w:hAnsi="仿宋" w:eastAsia="仿宋" w:cs="Arial"/>
          <w:sz w:val="28"/>
          <w:szCs w:val="28"/>
        </w:rPr>
        <w:outlineLvl w:val="3"/>
      </w:pPr>
      <w:r/>
      <w:bookmarkStart w:id="147" w:name="_Toc20823304"/>
      <w:r/>
      <w:bookmarkStart w:id="148" w:name="_Toc513029232"/>
      <w:r/>
      <w:bookmarkStart w:id="149" w:name="_Toc16938548"/>
      <w:r>
        <w:rPr>
          <w:rFonts w:hint="eastAsia" w:ascii="仿宋" w:hAnsi="仿宋" w:eastAsia="仿宋" w:cs="Arial"/>
          <w:sz w:val="28"/>
          <w:szCs w:val="28"/>
        </w:rPr>
        <w:t xml:space="preserve">2</w:t>
      </w:r>
      <w:r>
        <w:rPr>
          <w:rFonts w:ascii="仿宋" w:hAnsi="仿宋" w:eastAsia="仿宋" w:cs="Arial"/>
          <w:sz w:val="28"/>
          <w:szCs w:val="28"/>
        </w:rPr>
        <w:t xml:space="preserve">5</w:t>
      </w:r>
      <w:r>
        <w:rPr>
          <w:rFonts w:hint="eastAsia" w:ascii="仿宋" w:hAnsi="仿宋" w:eastAsia="仿宋" w:cs="Arial"/>
          <w:sz w:val="28"/>
          <w:szCs w:val="28"/>
        </w:rPr>
        <w:t xml:space="preserve">．投标文件的澄清</w:t>
      </w:r>
      <w:bookmarkEnd w:id="147"/>
      <w:r/>
      <w:bookmarkEnd w:id="148"/>
      <w:r/>
      <w:bookmarkEnd w:id="149"/>
      <w:r/>
      <w:r/>
    </w:p>
    <w:p>
      <w:pPr>
        <w:ind w:firstLine="560"/>
        <w:spacing w:line="480" w:lineRule="exact"/>
        <w:rPr>
          <w:rFonts w:ascii="仿宋" w:hAnsi="仿宋" w:eastAsia="仿宋"/>
          <w:sz w:val="28"/>
          <w:szCs w:val="28"/>
        </w:rPr>
      </w:pPr>
      <w:r/>
      <w:bookmarkStart w:id="150" w:name="_Toc16938549"/>
      <w:r/>
      <w:bookmarkStart w:id="151" w:name="_Toc20823305"/>
      <w:r/>
      <w:bookmarkStart w:id="152" w:name="_Toc513029233"/>
      <w:r>
        <w:rPr>
          <w:rFonts w:ascii="仿宋" w:hAnsi="仿宋" w:eastAsia="仿宋"/>
          <w:sz w:val="28"/>
          <w:szCs w:val="28"/>
        </w:rPr>
        <w:t xml:space="preserve">25</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评标</w:t>
      </w:r>
      <w:r>
        <w:rPr>
          <w:rFonts w:ascii="仿宋" w:hAnsi="仿宋" w:eastAsia="仿宋"/>
          <w:sz w:val="28"/>
          <w:szCs w:val="28"/>
        </w:rPr>
        <w:t xml:space="preserve">委员会并非对每个投标人都做澄清要求</w:t>
      </w:r>
      <w:r>
        <w:rPr>
          <w:rFonts w:hint="eastAsia" w:ascii="仿宋" w:hAnsi="仿宋" w:eastAsia="仿宋"/>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.3 接到评委会澄清、说明和补正要求的投标人如未按规定做出澄清、说明和补正，其风险由投标人自行承担。</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6</w:t>
      </w:r>
      <w:r>
        <w:rPr>
          <w:rFonts w:hint="eastAsia" w:ascii="仿宋" w:hAnsi="仿宋" w:eastAsia="仿宋" w:cs="Arial"/>
          <w:sz w:val="28"/>
          <w:szCs w:val="28"/>
        </w:rPr>
        <w:t xml:space="preserve">、对投标文件的初审</w:t>
      </w:r>
      <w:bookmarkEnd w:id="150"/>
      <w:r/>
      <w:bookmarkEnd w:id="151"/>
      <w:r/>
      <w:bookmarkEnd w:id="152"/>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bCs/>
          <w:sz w:val="28"/>
          <w:szCs w:val="28"/>
        </w:rPr>
        <w:t xml:space="preserve">投标文件初审分为资格审查和符合性审查。</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sz w:val="28"/>
          <w:szCs w:val="28"/>
        </w:rPr>
        <w:t xml:space="preserve">评委决定投标文件的响应性只根据投标文件本身的内容，而不寻求外部的证据。</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w:t>
      </w:r>
      <w:r>
        <w:rPr>
          <w:rFonts w:hint="eastAsia" w:ascii="仿宋" w:hAnsi="仿宋" w:eastAsia="仿宋"/>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w:t>
      </w:r>
      <w:r>
        <w:rPr>
          <w:rFonts w:hint="eastAsia" w:ascii="仿宋" w:hAnsi="仿宋" w:eastAsia="仿宋"/>
          <w:bCs/>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sz w:val="28"/>
          <w:szCs w:val="28"/>
        </w:rPr>
      </w:pPr>
      <w:r/>
      <w:bookmarkStart w:id="153" w:name="_Toc20823306"/>
      <w:r/>
      <w:bookmarkStart w:id="154" w:name="_Toc16938550"/>
      <w:r/>
      <w:bookmarkStart w:id="155" w:name="_Toc513029234"/>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48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420"/>
        <w:spacing w:line="48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ind w:firstLine="420"/>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7</w:t>
      </w:r>
      <w:r>
        <w:rPr>
          <w:rFonts w:hint="eastAsia" w:ascii="仿宋" w:hAnsi="仿宋" w:eastAsia="仿宋" w:cs="Arial"/>
          <w:sz w:val="28"/>
          <w:szCs w:val="28"/>
        </w:rPr>
        <w:t xml:space="preserve">、</w:t>
      </w:r>
      <w:bookmarkEnd w:id="153"/>
      <w:r/>
      <w:bookmarkEnd w:id="154"/>
      <w:r/>
      <w:bookmarkEnd w:id="155"/>
      <w:r>
        <w:rPr>
          <w:rFonts w:hint="eastAsia" w:ascii="仿宋" w:hAnsi="仿宋" w:eastAsia="仿宋" w:cs="Arial"/>
          <w:sz w:val="28"/>
          <w:szCs w:val="28"/>
        </w:rPr>
        <w:t xml:space="preserve">无效投标条款和废标条款</w:t>
      </w:r>
      <w:r/>
    </w:p>
    <w:p>
      <w:pPr>
        <w:ind w:left="479"/>
        <w:spacing w:line="480" w:lineRule="exact"/>
        <w:rPr>
          <w:rFonts w:ascii="仿宋" w:hAnsi="仿宋" w:eastAsia="仿宋"/>
          <w:bCs/>
          <w:sz w:val="28"/>
          <w:szCs w:val="28"/>
        </w:rPr>
      </w:pPr>
      <w:r/>
      <w:bookmarkStart w:id="156" w:name="_Toc513029235"/>
      <w:r/>
      <w:bookmarkStart w:id="157" w:name="_Toc16938551"/>
      <w:r/>
      <w:bookmarkStart w:id="158" w:name="_Toc20823307"/>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.1无效投标条款</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 投标人在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规定的时间内未成功解密电子投标文件的。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 投标人未按照招标文件要求上传电子投标文件的。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3</w:t>
      </w:r>
      <w:r>
        <w:rPr>
          <w:rFonts w:hint="eastAsia" w:ascii="仿宋" w:hAnsi="仿宋" w:eastAsia="仿宋"/>
          <w:bCs/>
          <w:sz w:val="28"/>
          <w:szCs w:val="28"/>
        </w:rPr>
        <w:t xml:space="preserve">投标人同一</w:t>
      </w:r>
      <w:r>
        <w:rPr>
          <w:rFonts w:ascii="仿宋" w:hAnsi="仿宋" w:eastAsia="仿宋"/>
          <w:bCs/>
          <w:sz w:val="28"/>
          <w:szCs w:val="28"/>
        </w:rPr>
        <w:t xml:space="preserve">分包</w:t>
      </w:r>
      <w:r>
        <w:rPr>
          <w:rFonts w:hint="eastAsia" w:ascii="仿宋" w:hAnsi="仿宋" w:eastAsia="仿宋"/>
          <w:bCs/>
          <w:sz w:val="28"/>
          <w:szCs w:val="28"/>
        </w:rPr>
        <w:t xml:space="preserve">提交两个</w:t>
      </w:r>
      <w:r>
        <w:rPr>
          <w:rFonts w:ascii="仿宋" w:hAnsi="仿宋" w:eastAsia="仿宋"/>
          <w:bCs/>
          <w:sz w:val="28"/>
          <w:szCs w:val="28"/>
        </w:rPr>
        <w:t xml:space="preserve">（</w:t>
      </w:r>
      <w:r>
        <w:rPr>
          <w:rFonts w:hint="eastAsia" w:ascii="仿宋" w:hAnsi="仿宋" w:eastAsia="仿宋"/>
          <w:bCs/>
          <w:sz w:val="28"/>
          <w:szCs w:val="28"/>
        </w:rPr>
        <w:t xml:space="preserve">含</w:t>
      </w:r>
      <w:r>
        <w:rPr>
          <w:rFonts w:ascii="仿宋" w:hAnsi="仿宋" w:eastAsia="仿宋"/>
          <w:bCs/>
          <w:sz w:val="28"/>
          <w:szCs w:val="28"/>
        </w:rPr>
        <w:t xml:space="preserve">两个）</w:t>
      </w:r>
      <w:r>
        <w:rPr>
          <w:rFonts w:hint="eastAsia" w:ascii="仿宋" w:hAnsi="仿宋" w:eastAsia="仿宋"/>
          <w:bCs/>
          <w:sz w:val="28"/>
          <w:szCs w:val="28"/>
        </w:rPr>
        <w:t xml:space="preserve">以上不同的</w:t>
      </w:r>
      <w:r>
        <w:rPr>
          <w:rFonts w:ascii="仿宋" w:hAnsi="仿宋" w:eastAsia="仿宋"/>
          <w:bCs/>
          <w:sz w:val="28"/>
          <w:szCs w:val="28"/>
        </w:rPr>
        <w:t xml:space="preserve">投标报价的。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4</w:t>
      </w:r>
      <w:r>
        <w:rPr>
          <w:rFonts w:hint="eastAsia" w:ascii="仿宋" w:hAnsi="仿宋" w:eastAsia="仿宋"/>
          <w:bCs/>
          <w:sz w:val="28"/>
          <w:szCs w:val="28"/>
        </w:rPr>
        <w:t xml:space="preserve">投标人不具备招标文件中规定资格要求的。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5</w:t>
      </w:r>
      <w:r>
        <w:rPr>
          <w:rFonts w:hint="eastAsia" w:ascii="仿宋" w:hAnsi="仿宋" w:eastAsia="仿宋"/>
          <w:bCs/>
          <w:sz w:val="28"/>
          <w:szCs w:val="28"/>
        </w:rPr>
        <w:t xml:space="preserve">投标人的报价超过了采购预算或最高限价的。</w:t>
      </w:r>
      <w:r/>
    </w:p>
    <w:p>
      <w:pPr>
        <w:ind w:firstLine="420"/>
        <w:spacing w:line="480" w:lineRule="exact"/>
        <w:rPr>
          <w:rFonts w:ascii="仿宋" w:hAnsi="仿宋" w:eastAsia="仿宋"/>
          <w:bCs/>
          <w:i/>
          <w:sz w:val="28"/>
          <w:szCs w:val="28"/>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6</w:t>
      </w:r>
      <w:r>
        <w:rPr>
          <w:rFonts w:hint="eastAsia" w:ascii="仿宋" w:hAnsi="仿宋" w:eastAsia="仿宋"/>
          <w:bCs/>
          <w:sz w:val="28"/>
          <w:szCs w:val="28"/>
        </w:rPr>
        <w:t xml:space="preserve">未通过符合性审查的。</w:t>
      </w:r>
      <w:r/>
    </w:p>
    <w:p>
      <w:pPr>
        <w:ind w:firstLine="420"/>
        <w:spacing w:line="480" w:lineRule="exact"/>
        <w:rPr>
          <w:rFonts w:ascii="仿宋" w:hAnsi="仿宋" w:eastAsia="仿宋"/>
          <w:b/>
          <w:bCs/>
          <w:sz w:val="28"/>
          <w:szCs w:val="28"/>
          <w:highlight w:val="red"/>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7</w:t>
      </w:r>
      <w:r>
        <w:rPr>
          <w:rFonts w:hint="eastAsia" w:ascii="仿宋" w:hAnsi="仿宋" w:eastAsia="仿宋"/>
          <w:bCs/>
          <w:sz w:val="28"/>
          <w:szCs w:val="28"/>
        </w:rPr>
        <w:t xml:space="preserve">不符合招标文件中规定的实质性要求的</w:t>
      </w:r>
      <w:r>
        <w:rPr>
          <w:rFonts w:hint="eastAsia" w:ascii="仿宋" w:hAnsi="仿宋" w:eastAsia="仿宋"/>
          <w:b/>
          <w:bCs/>
          <w:sz w:val="28"/>
          <w:szCs w:val="28"/>
        </w:rPr>
        <w:t xml:space="preserve">（详见本招标文件第四章采购需求中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8</w:t>
      </w:r>
      <w:r>
        <w:rPr>
          <w:rFonts w:hint="eastAsia" w:ascii="仿宋" w:hAnsi="仿宋" w:eastAsia="仿宋"/>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9</w:t>
      </w:r>
      <w:r>
        <w:rPr>
          <w:rFonts w:hint="eastAsia" w:ascii="仿宋" w:hAnsi="仿宋" w:eastAsia="仿宋"/>
          <w:bCs/>
          <w:sz w:val="28"/>
          <w:szCs w:val="28"/>
        </w:rPr>
        <w:t xml:space="preserve">投标文件含有采购人不能接受的附加条件的。</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10</w:t>
      </w:r>
      <w:r>
        <w:rPr>
          <w:rFonts w:hint="eastAsia" w:ascii="仿宋" w:hAnsi="仿宋" w:eastAsia="仿宋"/>
          <w:bCs/>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1</w:t>
      </w:r>
      <w:r>
        <w:rPr>
          <w:rFonts w:hint="eastAsia" w:ascii="仿宋" w:hAnsi="仿宋" w:eastAsia="仿宋"/>
          <w:bCs/>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2</w:t>
      </w:r>
      <w:r>
        <w:rPr>
          <w:rFonts w:hint="eastAsia" w:ascii="仿宋" w:hAnsi="仿宋" w:eastAsia="仿宋"/>
          <w:bCs/>
          <w:sz w:val="28"/>
          <w:szCs w:val="28"/>
        </w:rPr>
        <w:t xml:space="preserve"> 投标文件未按照招标文件要求加盖CA电子公章的。</w:t>
      </w:r>
      <w:r/>
    </w:p>
    <w:p>
      <w:pPr>
        <w:ind w:firstLine="560"/>
        <w:spacing w:line="480" w:lineRule="exact"/>
        <w:rPr>
          <w:rFonts w:ascii="仿宋" w:hAnsi="仿宋" w:eastAsia="仿宋"/>
          <w:bCs/>
          <w:sz w:val="28"/>
          <w:szCs w:val="28"/>
          <w:highlight w:val="yellow"/>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3</w:t>
      </w:r>
      <w:r>
        <w:rPr>
          <w:rFonts w:hint="eastAsia" w:ascii="仿宋" w:hAnsi="仿宋" w:eastAsia="仿宋"/>
          <w:bCs/>
          <w:sz w:val="28"/>
          <w:szCs w:val="28"/>
        </w:rPr>
        <w:t xml:space="preserve">其他法律、法规及本招标文件规定的属无效投标的情形。</w:t>
      </w:r>
      <w:r/>
    </w:p>
    <w:p>
      <w:pPr>
        <w:ind w:firstLine="560"/>
        <w:spacing w:line="480" w:lineRule="exact"/>
        <w:rPr>
          <w:rFonts w:ascii="仿宋" w:hAnsi="仿宋" w:eastAsia="仿宋"/>
          <w:bCs/>
          <w:sz w:val="28"/>
          <w:szCs w:val="28"/>
          <w:highlight w:val="green"/>
        </w:rPr>
      </w:pPr>
      <w:r>
        <w:rPr>
          <w:rFonts w:hint="eastAsia" w:ascii="仿宋" w:hAnsi="仿宋" w:eastAsia="仿宋"/>
          <w:bCs/>
          <w:sz w:val="28"/>
          <w:szCs w:val="28"/>
        </w:rPr>
        <w:t xml:space="preserve">27.1.14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.2废标条款</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.2.1符合专业条件的供应商或者对招标文件作实质响应的供应商不足三家的。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.2.2出现影响采购公正的违法、违规行为的。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.2.3因重大变故，采购任务取消的。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.2.4评标委员会认定招标文件存在歧义、重大缺陷导致评审工作无法进行。</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.2.5 因</w:t>
      </w:r>
      <w:r>
        <w:rPr>
          <w:rFonts w:hint="eastAsia" w:ascii="仿宋" w:hAnsi="仿宋" w:eastAsia="仿宋"/>
          <w:sz w:val="28"/>
          <w:szCs w:val="28"/>
        </w:rPr>
        <w:t xml:space="preserve">苏采云系统</w:t>
      </w:r>
      <w:r>
        <w:rPr>
          <w:rFonts w:ascii="仿宋" w:hAnsi="仿宋" w:eastAsia="仿宋"/>
          <w:bCs/>
          <w:sz w:val="28"/>
          <w:szCs w:val="28"/>
        </w:rPr>
        <w:t xml:space="preserve">系统故障原因造成开标不成功</w:t>
      </w:r>
      <w:r>
        <w:rPr>
          <w:rFonts w:hint="eastAsia" w:ascii="仿宋" w:hAnsi="仿宋" w:eastAsia="仿宋"/>
          <w:bCs/>
          <w:sz w:val="28"/>
          <w:szCs w:val="28"/>
        </w:rPr>
        <w:t xml:space="preserve">的</w:t>
      </w:r>
      <w:r>
        <w:rPr>
          <w:rFonts w:ascii="仿宋" w:hAnsi="仿宋" w:eastAsia="仿宋"/>
          <w:bCs/>
          <w:sz w:val="28"/>
          <w:szCs w:val="28"/>
        </w:rPr>
        <w:t xml:space="preserve">。</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.3 投标截止时间结束后参加投标的供应商不足三家的处理：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.3.1如出现投标截止时间结束后参加投标的供应商或者在评标期间对招标文件做出实质响应的供应商不足三家情况，按政府采购相关规定执行。</w:t>
      </w:r>
      <w:r/>
    </w:p>
    <w:p>
      <w:pPr>
        <w:keepLines/>
        <w:keepNext/>
        <w:spacing w:before="120" w:after="120" w:line="480" w:lineRule="exact"/>
        <w:rPr>
          <w:rFonts w:ascii="仿宋" w:hAnsi="仿宋" w:eastAsia="仿宋"/>
          <w:b/>
          <w:bCs/>
          <w:sz w:val="28"/>
          <w:szCs w:val="28"/>
        </w:rPr>
        <w:outlineLvl w:val="2"/>
      </w:pPr>
      <w:r/>
      <w:bookmarkStart w:id="159" w:name="_Toc120614219"/>
      <w:r>
        <w:rPr>
          <w:rFonts w:hint="eastAsia" w:ascii="仿宋" w:hAnsi="仿宋" w:eastAsia="仿宋"/>
          <w:b/>
          <w:bCs/>
          <w:sz w:val="28"/>
          <w:szCs w:val="28"/>
        </w:rPr>
        <w:t xml:space="preserve">六、</w:t>
      </w:r>
      <w:bookmarkEnd w:id="156"/>
      <w:r/>
      <w:bookmarkEnd w:id="157"/>
      <w:r/>
      <w:bookmarkEnd w:id="158"/>
      <w:r>
        <w:rPr>
          <w:rFonts w:hint="eastAsia" w:ascii="仿宋" w:hAnsi="仿宋" w:eastAsia="仿宋"/>
          <w:b/>
          <w:bCs/>
          <w:sz w:val="28"/>
          <w:szCs w:val="28"/>
        </w:rPr>
        <w:t xml:space="preserve">定标</w:t>
      </w:r>
      <w:bookmarkEnd w:id="159"/>
      <w:r/>
      <w:r/>
    </w:p>
    <w:p>
      <w:pPr>
        <w:keepLines/>
        <w:keepNext/>
        <w:spacing w:line="480" w:lineRule="exact"/>
        <w:rPr>
          <w:rFonts w:ascii="仿宋" w:hAnsi="仿宋" w:eastAsia="仿宋"/>
          <w:bCs/>
          <w:sz w:val="28"/>
          <w:szCs w:val="28"/>
        </w:rPr>
        <w:outlineLvl w:val="3"/>
      </w:pPr>
      <w:r/>
      <w:bookmarkStart w:id="160" w:name="_Toc513029238"/>
      <w:r/>
      <w:bookmarkStart w:id="161" w:name="_Toc20823310"/>
      <w:r/>
      <w:bookmarkStart w:id="162" w:name="_Toc16938554"/>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w:t>
      </w:r>
      <w:bookmarkEnd w:id="160"/>
      <w:r>
        <w:rPr>
          <w:rFonts w:hint="eastAsia" w:ascii="仿宋" w:hAnsi="仿宋" w:eastAsia="仿宋"/>
          <w:bCs/>
          <w:sz w:val="28"/>
          <w:szCs w:val="28"/>
        </w:rPr>
        <w:t xml:space="preserve">确定</w:t>
      </w:r>
      <w:bookmarkEnd w:id="161"/>
      <w:r/>
      <w:bookmarkEnd w:id="162"/>
      <w:r>
        <w:rPr>
          <w:rFonts w:hint="eastAsia" w:ascii="仿宋" w:hAnsi="仿宋" w:eastAsia="仿宋"/>
          <w:bCs/>
          <w:sz w:val="28"/>
          <w:szCs w:val="28"/>
        </w:rPr>
        <w:t xml:space="preserve">中标单位</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.1中标候选人的选取原则和数量见招标文件第五章规定。 </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.2 采购人应根据评委会推荐的中标候选人确定中标人。</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.3 </w:t>
      </w:r>
      <w:r>
        <w:rPr>
          <w:rFonts w:hint="eastAsia" w:ascii="仿宋" w:hAnsi="仿宋" w:eastAsia="仿宋"/>
          <w:sz w:val="28"/>
          <w:szCs w:val="28"/>
        </w:rPr>
        <w:t xml:space="preserve">采购中心将在“江苏政府采购网”发布中标公告，公告期限为1个工作日。</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 若有充分证据证明，中标人出现下列情况之一的，一经查实，将被取消中标资格：</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.4.1提供虚假材料谋取中标的。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.4.2向采购人、采购中心行贿或者提供其他不正当利益的。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.4.3属于本文件规定的无效条件，但在评标过程中又未被评委会发现的。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.4.4与采购人或者其他供应商恶意串通的。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.4.5采取不正当手段诋毁、排挤其他供应商的。</w:t>
      </w:r>
      <w:r/>
    </w:p>
    <w:p>
      <w:pPr>
        <w:ind w:firstLine="560"/>
        <w:spacing w:line="480" w:lineRule="exact"/>
        <w:rPr>
          <w:rFonts w:ascii="仿宋" w:hAnsi="仿宋" w:eastAsia="仿宋"/>
          <w:sz w:val="28"/>
          <w:szCs w:val="28"/>
        </w:rPr>
      </w:pPr>
      <w:r/>
      <w:bookmarkStart w:id="163" w:name="_Toc200451960"/>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w:t>
      </w:r>
      <w:r>
        <w:rPr>
          <w:rFonts w:ascii="仿宋" w:hAnsi="仿宋" w:eastAsia="仿宋" w:cs="宋体"/>
          <w:sz w:val="28"/>
          <w:szCs w:val="28"/>
        </w:rPr>
        <w:t xml:space="preserve">有下列情形之一的，</w:t>
      </w:r>
      <w:r>
        <w:rPr>
          <w:rFonts w:hint="eastAsia" w:ascii="仿宋" w:hAnsi="仿宋" w:eastAsia="仿宋" w:cs="宋体"/>
          <w:sz w:val="28"/>
          <w:szCs w:val="28"/>
        </w:rPr>
        <w:t xml:space="preserve">视为投标人</w:t>
      </w:r>
      <w:r>
        <w:rPr>
          <w:rFonts w:ascii="仿宋" w:hAnsi="仿宋" w:eastAsia="仿宋" w:cs="宋体"/>
          <w:sz w:val="28"/>
          <w:szCs w:val="28"/>
        </w:rPr>
        <w:t xml:space="preserve">串通</w:t>
      </w:r>
      <w:r>
        <w:rPr>
          <w:rFonts w:hint="eastAsia" w:ascii="仿宋" w:hAnsi="仿宋" w:eastAsia="仿宋" w:cs="宋体"/>
          <w:sz w:val="28"/>
          <w:szCs w:val="28"/>
        </w:rPr>
        <w:t xml:space="preserve">投标，投标无效：</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.5.1不同投标人的投标文件由同一单位或者个人编制；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.5.2不同投标人委托同一单位或者个人办理投标事宜；</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.5.3 不同投标人的投标文件载明的项目管理成员或者联系人员为同一人；</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.5.4不同投标人的投标文件异常一致或者投标报价呈规律性差异；</w:t>
      </w:r>
      <w:r/>
    </w:p>
    <w:p>
      <w:pPr>
        <w:keepLines/>
        <w:keepNext/>
        <w:spacing w:line="480" w:lineRule="exact"/>
        <w:rPr>
          <w:rFonts w:ascii="仿宋" w:hAnsi="仿宋" w:eastAsia="仿宋"/>
          <w:bCs/>
          <w:sz w:val="28"/>
          <w:szCs w:val="28"/>
        </w:rPr>
        <w:outlineLvl w:val="3"/>
      </w:pPr>
      <w:r>
        <w:rPr>
          <w:rFonts w:ascii="仿宋" w:hAnsi="仿宋" w:eastAsia="仿宋"/>
          <w:bCs/>
          <w:sz w:val="28"/>
          <w:szCs w:val="28"/>
        </w:rPr>
        <w:t xml:space="preserve">29</w:t>
      </w:r>
      <w:r>
        <w:rPr>
          <w:rFonts w:hint="eastAsia" w:ascii="仿宋" w:hAnsi="仿宋" w:eastAsia="仿宋"/>
          <w:bCs/>
          <w:sz w:val="28"/>
          <w:szCs w:val="28"/>
        </w:rPr>
        <w:t xml:space="preserve">、质疑处理</w:t>
      </w:r>
      <w:bookmarkEnd w:id="163"/>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spacing w:line="480" w:lineRule="exact"/>
        <w:rPr>
          <w:rFonts w:ascii="仿宋" w:hAnsi="仿宋" w:eastAsia="仿宋" w:cs="宋体"/>
          <w:sz w:val="28"/>
          <w:szCs w:val="28"/>
        </w:rPr>
      </w:pPr>
      <w:r>
        <w:rPr>
          <w:rFonts w:ascii="仿宋" w:hAnsi="仿宋" w:eastAsia="仿宋"/>
          <w:sz w:val="28"/>
          <w:szCs w:val="28"/>
        </w:rPr>
        <w:t xml:space="preserve">29</w:t>
      </w:r>
      <w:r>
        <w:rPr>
          <w:rFonts w:hint="eastAsia" w:ascii="仿宋" w:hAnsi="仿宋" w:eastAsia="仿宋"/>
          <w:sz w:val="28"/>
          <w:szCs w:val="28"/>
        </w:rPr>
        <w:t xml:space="preserve">.2.1</w:t>
      </w:r>
      <w:r>
        <w:rPr>
          <w:rFonts w:ascii="仿宋" w:hAnsi="仿宋" w:eastAsia="仿宋" w:cs="宋体"/>
          <w:sz w:val="28"/>
          <w:szCs w:val="28"/>
        </w:rPr>
        <w:t xml:space="preserve">对可以质疑的采购文件提出质疑的，为收到采购文件之日或者采购文件公告期限届满之日；</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.2.2</w:t>
      </w:r>
      <w:r>
        <w:rPr>
          <w:rFonts w:ascii="仿宋" w:hAnsi="仿宋" w:eastAsia="仿宋" w:cs="宋体"/>
          <w:sz w:val="28"/>
          <w:szCs w:val="28"/>
        </w:rPr>
        <w:t xml:space="preserve">对采购过程提出质疑的，为各采购程序环节结束之日；</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.2.3</w:t>
      </w:r>
      <w:r>
        <w:rPr>
          <w:rFonts w:ascii="仿宋" w:hAnsi="仿宋" w:eastAsia="仿宋" w:cs="宋体"/>
          <w:sz w:val="28"/>
          <w:szCs w:val="28"/>
        </w:rPr>
        <w:t xml:space="preserve">对中标或者成交结果提出质疑的，为中标或者成交结果公告期限届满之日。</w:t>
      </w:r>
      <w:r/>
    </w:p>
    <w:p>
      <w:pPr>
        <w:ind w:firstLine="560"/>
        <w:spacing w:line="480" w:lineRule="exact"/>
        <w:rPr>
          <w:rFonts w:ascii="仿宋" w:hAnsi="仿宋" w:eastAsia="仿宋" w:cs="宋体"/>
          <w:sz w:val="28"/>
          <w:szCs w:val="28"/>
        </w:rPr>
      </w:pPr>
      <w:r>
        <w:rPr>
          <w:rFonts w:hint="eastAsia" w:ascii="仿宋" w:hAnsi="仿宋" w:eastAsia="仿宋" w:cs="宋体"/>
          <w:sz w:val="28"/>
          <w:szCs w:val="28"/>
        </w:rPr>
        <w:t xml:space="preserve">供应商应当在法定质疑期内一次性提出针对同一采购程序环节的质疑。供应商如在法定期限内对同一采购程序环节提出多次质疑的，</w:t>
      </w:r>
      <w:r>
        <w:rPr>
          <w:rFonts w:ascii="仿宋" w:hAnsi="仿宋" w:eastAsia="仿宋" w:cs="宋体"/>
          <w:sz w:val="28"/>
          <w:szCs w:val="28"/>
        </w:rPr>
        <w:t xml:space="preserve">采购人</w:t>
      </w:r>
      <w:r>
        <w:rPr>
          <w:rFonts w:hint="eastAsia" w:ascii="仿宋" w:hAnsi="仿宋" w:eastAsia="仿宋" w:cs="宋体"/>
          <w:sz w:val="28"/>
          <w:szCs w:val="28"/>
        </w:rPr>
        <w:t xml:space="preserve">将只对供应商第一次质疑作出答复。</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.4</w:t>
      </w:r>
      <w:r>
        <w:rPr>
          <w:rFonts w:hint="eastAsia" w:ascii="仿宋" w:hAnsi="仿宋" w:eastAsia="仿宋" w:cs="宋体"/>
          <w:sz w:val="28"/>
          <w:szCs w:val="28"/>
        </w:rPr>
        <w:t xml:space="preserve">供应商（含潜在供应商）对与本项目有关的所有询问、质疑均请向采购人提出，由采购人负责答复。</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采购人只接收以纸质原件形式送达的质疑,建议供应商尽量通过邮寄方式提交质疑（采购人不接受无快递运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采购人质疑接收人及联系方式见招标文件第一章。</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 以下情形的质疑不予受理</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.5.1 内容不符合《政府采购质疑和投诉办法》第十二条规定的质疑。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.5.2 超出政府采购法定期限的质疑。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.5.3 以传真、电子邮件等方式递交的非原件形式的质疑。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.5.4 未参加投标活动的供应商或在投标活动中自身权益未受到损害的供应商所提出的质疑。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.5.5供应商组成联合体参加投标，联合体中任何一方或多方未按要求签字、盖章、加盖公章的质疑。</w:t>
      </w:r>
      <w:r/>
    </w:p>
    <w:p>
      <w:pPr>
        <w:ind w:firstLine="546"/>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keepLines/>
        <w:keepNext/>
        <w:spacing w:line="480" w:lineRule="exact"/>
        <w:rPr>
          <w:rFonts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0</w:t>
      </w:r>
      <w:r>
        <w:rPr>
          <w:rFonts w:hint="eastAsia" w:ascii="仿宋" w:hAnsi="仿宋" w:eastAsia="仿宋"/>
          <w:bCs/>
          <w:sz w:val="28"/>
          <w:szCs w:val="28"/>
        </w:rPr>
        <w:t xml:space="preserve">、中标通知书</w:t>
      </w:r>
      <w:r/>
    </w:p>
    <w:p>
      <w:pPr>
        <w:ind w:firstLine="560"/>
        <w:spacing w:line="480" w:lineRule="exact"/>
        <w:rPr>
          <w:rFonts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80" w:lineRule="exact"/>
        <w:rPr>
          <w:rFonts w:ascii="仿宋" w:hAnsi="仿宋" w:eastAsia="仿宋"/>
          <w:b/>
          <w:bCs/>
          <w:sz w:val="28"/>
          <w:szCs w:val="28"/>
        </w:rPr>
        <w:outlineLvl w:val="2"/>
      </w:pPr>
      <w:r/>
      <w:bookmarkStart w:id="164" w:name="_Toc120614220"/>
      <w:r/>
      <w:bookmarkStart w:id="165" w:name="_Toc16938552"/>
      <w:r/>
      <w:bookmarkStart w:id="166" w:name="_Toc513029236"/>
      <w:r/>
      <w:bookmarkStart w:id="167" w:name="_Toc20823308"/>
      <w:r>
        <w:rPr>
          <w:rFonts w:hint="eastAsia" w:ascii="仿宋" w:hAnsi="仿宋" w:eastAsia="仿宋"/>
          <w:b/>
          <w:bCs/>
          <w:sz w:val="28"/>
          <w:szCs w:val="28"/>
        </w:rPr>
        <w:t xml:space="preserve">七、授予合同</w:t>
      </w:r>
      <w:bookmarkEnd w:id="164"/>
      <w:r/>
      <w:bookmarkEnd w:id="165"/>
      <w:r/>
      <w:bookmarkEnd w:id="166"/>
      <w:r/>
      <w:bookmarkEnd w:id="167"/>
      <w:r/>
      <w:r/>
    </w:p>
    <w:p>
      <w:pPr>
        <w:keepLines/>
        <w:keepNext/>
        <w:spacing w:line="480" w:lineRule="exact"/>
        <w:rPr>
          <w:rFonts w:ascii="仿宋" w:hAnsi="仿宋" w:eastAsia="仿宋"/>
          <w:bCs/>
          <w:sz w:val="28"/>
          <w:szCs w:val="28"/>
        </w:rPr>
        <w:outlineLvl w:val="3"/>
      </w:pPr>
      <w:r/>
      <w:bookmarkStart w:id="168" w:name="_Toc20823309"/>
      <w:r/>
      <w:bookmarkStart w:id="169" w:name="_Toc513029237"/>
      <w:r/>
      <w:bookmarkStart w:id="170" w:name="_Toc16938553"/>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bCs/>
          <w:sz w:val="28"/>
          <w:szCs w:val="28"/>
        </w:rPr>
        <w:t xml:space="preserve">. 签订合同</w:t>
      </w:r>
      <w:r/>
    </w:p>
    <w:p>
      <w:pPr>
        <w:ind w:firstLine="700"/>
        <w:spacing w:line="480" w:lineRule="exact"/>
        <w:rPr>
          <w:rFonts w:ascii="仿宋" w:hAnsi="仿宋" w:eastAsia="仿宋"/>
          <w:sz w:val="28"/>
          <w:szCs w:val="28"/>
        </w:rPr>
      </w:pPr>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sz w:val="28"/>
          <w:szCs w:val="28"/>
        </w:rPr>
        <w:t xml:space="preserve">.l中标人应当在中标通知书发出之日起三十日内，按照招标文件确定的事项与采购人签订政府采购合同。</w:t>
      </w:r>
      <w:r/>
    </w:p>
    <w:p>
      <w:pPr>
        <w:ind w:firstLine="70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700"/>
        <w:spacing w:line="480" w:lineRule="exact"/>
        <w:rPr>
          <w:rFonts w:ascii="仿宋" w:hAnsi="仿宋" w:eastAsia="仿宋"/>
          <w:sz w:val="28"/>
          <w:szCs w:val="28"/>
        </w:rPr>
      </w:pPr>
      <w:r>
        <w:rPr>
          <w:rFonts w:hint="eastAsia" w:ascii="仿宋" w:hAnsi="仿宋" w:eastAsia="仿宋"/>
          <w:sz w:val="28"/>
          <w:szCs w:val="28"/>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480" w:lineRule="exact"/>
        <w:rPr>
          <w:rFonts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2</w:t>
      </w:r>
      <w:r>
        <w:rPr>
          <w:rFonts w:hint="eastAsia" w:ascii="仿宋" w:hAnsi="仿宋" w:eastAsia="仿宋"/>
          <w:bCs/>
          <w:sz w:val="28"/>
          <w:szCs w:val="28"/>
        </w:rPr>
        <w:t xml:space="preserve">、货物（包含与货物相关的服务）的追加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bookmarkEnd w:id="169"/>
      <w:r/>
      <w:bookmarkEnd w:id="170"/>
      <w:r/>
      <w:r/>
    </w:p>
    <w:p>
      <w:pPr>
        <w:keepLines/>
        <w:keepNext/>
        <w:spacing w:line="480" w:lineRule="exact"/>
        <w:rPr>
          <w:rFonts w:ascii="仿宋" w:hAnsi="仿宋" w:eastAsia="仿宋"/>
          <w:bCs/>
          <w:sz w:val="28"/>
          <w:szCs w:val="28"/>
        </w:rPr>
        <w:outlineLvl w:val="3"/>
      </w:pPr>
      <w:r/>
      <w:bookmarkStart w:id="171" w:name="_Toc479757207"/>
      <w:r/>
      <w:bookmarkStart w:id="172" w:name="_Toc513029242"/>
      <w:r/>
      <w:bookmarkStart w:id="173" w:name="_Toc120614221"/>
      <w:r/>
      <w:bookmarkStart w:id="174" w:name="_Toc20823314"/>
      <w:r/>
      <w:bookmarkStart w:id="175" w:name="_Toc16938558"/>
      <w:r>
        <w:rPr>
          <w:rFonts w:hint="eastAsia" w:ascii="仿宋" w:hAnsi="仿宋" w:eastAsia="仿宋"/>
          <w:bCs/>
          <w:sz w:val="28"/>
          <w:szCs w:val="28"/>
        </w:rPr>
        <w:t xml:space="preserve">3</w:t>
      </w:r>
      <w:r>
        <w:rPr>
          <w:rFonts w:ascii="仿宋" w:hAnsi="仿宋" w:eastAsia="仿宋"/>
          <w:bCs/>
          <w:sz w:val="28"/>
          <w:szCs w:val="28"/>
        </w:rPr>
        <w:t xml:space="preserve">3</w:t>
      </w:r>
      <w:r>
        <w:rPr>
          <w:rFonts w:hint="eastAsia" w:ascii="仿宋" w:hAnsi="仿宋" w:eastAsia="仿宋"/>
          <w:bCs/>
          <w:sz w:val="28"/>
          <w:szCs w:val="28"/>
        </w:rPr>
        <w:t xml:space="preserve">、政府采购履约资金扶持政策</w:t>
      </w:r>
      <w:r/>
    </w:p>
    <w:p>
      <w:pPr>
        <w:ind w:firstLine="555"/>
        <w:spacing w:line="480" w:lineRule="exact"/>
        <w:rPr>
          <w:rFonts w:ascii="仿宋" w:hAnsi="仿宋" w:eastAsia="仿宋"/>
          <w:bCs/>
          <w:sz w:val="28"/>
          <w:szCs w:val="28"/>
        </w:rPr>
      </w:pPr>
      <w:r>
        <w:rPr>
          <w:rFonts w:hint="eastAsia" w:ascii="仿宋" w:hAnsi="仿宋" w:eastAsia="仿宋"/>
          <w:bCs/>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60"/>
        <w:spacing w:line="440" w:lineRule="exact"/>
        <w:rPr>
          <w:rFonts w:ascii="仿宋" w:hAnsi="仿宋" w:eastAsia="仿宋"/>
          <w:bCs/>
          <w:sz w:val="28"/>
          <w:szCs w:val="28"/>
        </w:rPr>
      </w:pPr>
      <w:r>
        <w:rPr>
          <w:rFonts w:hint="eastAsia" w:ascii="仿宋" w:hAnsi="仿宋" w:eastAsia="仿宋"/>
          <w:bCs/>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171"/>
      <w:r/>
      <w:bookmarkEnd w:id="172"/>
      <w:r/>
      <w:bookmarkEnd w:id="173"/>
      <w:r/>
      <w:bookmarkEnd w:id="174"/>
      <w:r/>
      <w:bookmarkEnd w:id="175"/>
      <w:r/>
      <w:r/>
    </w:p>
    <w:p>
      <w:pPr>
        <w:jc w:val="center"/>
        <w:keepNext/>
        <w:rPr>
          <w:rFonts w:ascii="黑体" w:eastAsia="黑体"/>
          <w:bCs/>
          <w:color w:val="000000"/>
          <w:sz w:val="44"/>
          <w:szCs w:val="28"/>
        </w:rPr>
        <w:outlineLvl w:val="0"/>
      </w:pPr>
      <w:r/>
      <w:bookmarkStart w:id="176" w:name="_Toc49090575"/>
      <w:r/>
      <w:bookmarkStart w:id="177" w:name="_Toc26554093"/>
      <w:r/>
      <w:bookmarkStart w:id="178" w:name="_Toc120614281"/>
      <w:r/>
      <w:bookmarkStart w:id="179" w:name="_Toc479757211"/>
      <w:r/>
      <w:bookmarkStart w:id="180" w:name="_Toc462564139"/>
      <w:r>
        <w:rPr>
          <w:rFonts w:hint="eastAsia" w:ascii="黑体" w:eastAsia="黑体"/>
          <w:bCs/>
          <w:color w:val="000000"/>
          <w:sz w:val="44"/>
          <w:szCs w:val="28"/>
        </w:rPr>
        <w:t xml:space="preserve">第三章  合同文本</w:t>
      </w:r>
      <w:r/>
    </w:p>
    <w:p>
      <w:pPr>
        <w:ind w:firstLine="50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以下为中标后签定本项目合同的通用条款，中标人不得提出实质性的修改。</w:t>
      </w:r>
      <w:bookmarkStart w:id="181" w:name="_Toc3995"/>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spacing w:line="278" w:lineRule="auto"/>
        <w:rPr>
          <w:szCs w:val="24"/>
        </w:rPr>
      </w:pPr>
      <w:r>
        <w:rPr>
          <w:szCs w:val="24"/>
        </w:rPr>
      </w:r>
      <w:r/>
    </w:p>
    <w:p>
      <w:pPr>
        <w:spacing w:line="278" w:lineRule="auto"/>
        <w:rPr>
          <w:rFonts w:eastAsia="黑体"/>
          <w:sz w:val="44"/>
          <w:szCs w:val="44"/>
        </w:rPr>
      </w:pPr>
      <w:r>
        <w:rPr>
          <w:rFonts w:eastAsia="黑体"/>
          <w:sz w:val="44"/>
          <w:szCs w:val="44"/>
        </w:rPr>
        <w:br w:type="page" w:clear="all"/>
      </w:r>
      <w:r/>
    </w:p>
    <w:p>
      <w:pPr>
        <w:ind w:firstLine="880"/>
        <w:spacing w:line="278" w:lineRule="auto"/>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bookmarkEnd w:id="181"/>
      <w:r/>
      <w:r/>
    </w:p>
    <w:p>
      <w:pPr>
        <w:jc w:val="center"/>
        <w:keepLines/>
        <w:keepNext/>
        <w:spacing w:line="400" w:lineRule="exact"/>
        <w:rPr>
          <w:rFonts w:hint="eastAsia" w:ascii="黑体" w:hAnsi="黑体" w:eastAsia="黑体"/>
          <w:b/>
          <w:bCs/>
          <w:sz w:val="28"/>
          <w:szCs w:val="28"/>
        </w:rPr>
        <w:outlineLvl w:val="1"/>
      </w:pPr>
      <w:r/>
      <w:bookmarkStart w:id="18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2"/>
      <w:r/>
      <w:r/>
    </w:p>
    <w:p>
      <w:pPr>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szCs w:val="24"/>
        </w:rPr>
      </w:pPr>
      <w:r>
        <w:rPr>
          <w:szCs w:val="24"/>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6"/>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numPr>
          <w:ilvl w:val="255"/>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cs="宋体"/>
          <w:szCs w:val="24"/>
        </w:rPr>
      </w:pPr>
      <w:r>
        <w:rPr>
          <w:rFonts w:hint="eastAsia" w:ascii="宋体" w:hAnsi="宋体"/>
          <w:szCs w:val="21"/>
        </w:rPr>
        <w:t xml:space="preserve">    </w:t>
      </w:r>
      <w:r/>
    </w:p>
    <w:tbl>
      <w:tblPr>
        <w:tblStyle w:val="715"/>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jc w:val="center"/>
          <w:trHeight w:val="653"/>
        </w:trPr>
        <w:tc>
          <w:tcPr>
            <w:tcW w:w="1129"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序号</w:t>
            </w:r>
            <w:r/>
          </w:p>
        </w:tc>
        <w:tc>
          <w:tcPr>
            <w:tcW w:w="2155"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货物名称</w:t>
            </w:r>
            <w:r/>
          </w:p>
        </w:tc>
        <w:tc>
          <w:tcPr>
            <w:tcW w:w="4022"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规格、型号</w:t>
            </w:r>
            <w:r/>
          </w:p>
        </w:tc>
        <w:tc>
          <w:tcPr>
            <w:tcW w:w="914"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单位</w:t>
            </w:r>
            <w:r/>
          </w:p>
        </w:tc>
        <w:tc>
          <w:tcPr>
            <w:tcW w:w="1050"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数量</w:t>
            </w:r>
            <w:r/>
          </w:p>
        </w:tc>
        <w:tc>
          <w:tcPr>
            <w:tcW w:w="1050"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品牌</w:t>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bl>
    <w:p>
      <w:pPr>
        <w:ind w:firstLine="420"/>
        <w:spacing w:line="400" w:lineRule="exact"/>
        <w:rPr>
          <w:rFonts w:hint="eastAsia" w:ascii="宋体" w:hAnsi="宋体" w:cs="宋体"/>
          <w:szCs w:val="24"/>
        </w:rPr>
      </w:pPr>
      <w:r>
        <w:rPr>
          <w:rFonts w:hint="eastAsia" w:ascii="宋体" w:hAnsi="宋体" w:cs="宋体"/>
          <w:szCs w:val="24"/>
        </w:rPr>
      </w:r>
      <w:r/>
    </w:p>
    <w:p>
      <w:pPr>
        <w:numPr>
          <w:ilvl w:val="255"/>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þ</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numPr>
          <w:ilvl w:val="255"/>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szCs w:val="24"/>
        </w:rPr>
        <w:t xml:space="preserve">         若本项目不专门面向中小企业采购，是否给予小微企业评审优惠：</w:t>
      </w:r>
      <w:bookmarkStart w:id="183" w:name="OLE_LINK25"/>
      <w:r>
        <w:rPr>
          <w:rFonts w:ascii="Wingdings" w:hAnsi="Wingdings" w:eastAsia="Wingdings" w:cs="Wingdings"/>
          <w:iCs/>
          <w:szCs w:val="21"/>
        </w:rPr>
        <w:t xml:space="preserve">¨</w:t>
      </w:r>
      <w:bookmarkEnd w:id="183"/>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184" w:name="OLE_LINK2"/>
      <w:r>
        <w:rPr>
          <w:rFonts w:ascii="Wingdings" w:hAnsi="Wingdings" w:eastAsia="Wingdings" w:cs="Wingdings"/>
          <w:szCs w:val="24"/>
        </w:rPr>
        <w:t xml:space="preserve">þ</w:t>
      </w:r>
      <w:bookmarkEnd w:id="184"/>
      <w:r>
        <w:rPr>
          <w:rFonts w:hint="eastAsia" w:ascii="宋体" w:hAnsi="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4"/>
        </w:rPr>
        <w:t xml:space="preserve">þ</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p>
    <w:p>
      <w:pPr>
        <w:numPr>
          <w:ilvl w:val="255"/>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4"/>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p>
    <w:p>
      <w:pPr>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szCs w:val="24"/>
        </w:rPr>
        <w:t xml:space="preserve">      þ</w:t>
      </w:r>
      <w:r>
        <w:rPr>
          <w:rFonts w:hint="eastAsia" w:ascii="宋体" w:hAnsi="宋体"/>
          <w:szCs w:val="21"/>
        </w:rPr>
        <w:t xml:space="preserve">分期付款：</w:t>
      </w:r>
      <w:r>
        <w:rPr>
          <w:rFonts w:hint="eastAsia" w:ascii="宋体" w:hAnsi="宋体"/>
          <w:u w:val="single"/>
        </w:rPr>
        <w:t xml:space="preserve">合同签订并收到乙方开具的发票后</w:t>
      </w:r>
      <w:r>
        <w:rPr>
          <w:rFonts w:hint="eastAsia" w:ascii="宋体" w:hAnsi="宋体"/>
          <w:u w:val="single"/>
        </w:rPr>
        <w:t xml:space="preserve">10</w:t>
      </w:r>
      <w:r>
        <w:rPr>
          <w:rFonts w:hint="eastAsia" w:ascii="宋体" w:hAnsi="宋体"/>
          <w:u w:val="single"/>
        </w:rPr>
        <w:t xml:space="preserve">个工作日内支付本合同总价款的</w:t>
      </w:r>
      <w:r>
        <w:rPr>
          <w:rFonts w:hint="eastAsia" w:ascii="宋体" w:hAnsi="宋体"/>
          <w:u w:val="single"/>
        </w:rPr>
        <w:t xml:space="preserve">30%</w:t>
      </w:r>
      <w:r>
        <w:rPr>
          <w:rFonts w:hint="eastAsia" w:ascii="宋体" w:hAnsi="宋体"/>
          <w:u w:val="single"/>
        </w:rPr>
        <w:t xml:space="preserve">（人民币         元）；货物交付安装、调试完成、验收合格，并收到乙方开具的发票后</w:t>
      </w:r>
      <w:r>
        <w:rPr>
          <w:rFonts w:hint="eastAsia" w:ascii="宋体" w:hAnsi="宋体"/>
          <w:u w:val="single"/>
        </w:rPr>
        <w:t xml:space="preserve">10</w:t>
      </w:r>
      <w:r>
        <w:rPr>
          <w:rFonts w:hint="eastAsia" w:ascii="宋体" w:hAnsi="宋体"/>
          <w:u w:val="single"/>
        </w:rPr>
        <w:t xml:space="preserve">个工作日内再支付本合同总价款的</w:t>
      </w:r>
      <w:r>
        <w:rPr>
          <w:rFonts w:hint="eastAsia" w:ascii="宋体" w:hAnsi="宋体"/>
          <w:u w:val="single"/>
        </w:rPr>
        <w:t xml:space="preserve">15%</w:t>
      </w:r>
      <w:r>
        <w:rPr>
          <w:rFonts w:hint="eastAsia" w:ascii="宋体" w:hAnsi="宋体"/>
          <w:u w:val="single"/>
        </w:rPr>
        <w:t xml:space="preserve">（人民币         元）；余款（人民币           元）在货物质保期满并收到乙方开具的发票后</w:t>
      </w:r>
      <w:r>
        <w:rPr>
          <w:rFonts w:hint="eastAsia" w:ascii="宋体" w:hAnsi="宋体"/>
          <w:u w:val="single"/>
        </w:rPr>
        <w:t xml:space="preserve">10</w:t>
      </w:r>
      <w:r>
        <w:rPr>
          <w:rFonts w:hint="eastAsia" w:ascii="宋体" w:hAnsi="宋体"/>
          <w:u w:val="single"/>
        </w:rPr>
        <w:t xml:space="preserve">个工作日内付清。以上付款均通过银行转账，不计利息</w:t>
      </w:r>
      <w:r>
        <w:rPr>
          <w:rFonts w:hint="eastAsia" w:ascii="宋体" w:hAnsi="宋体"/>
          <w:szCs w:val="21"/>
          <w:u w:val="single"/>
        </w:rPr>
        <w:t xml:space="preserve">。</w:t>
      </w:r>
      <w:r/>
      <w:r>
        <w:rPr>
          <w:sz w:val="21"/>
        </w:rP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p>
    <w:p>
      <w:pPr>
        <w:numPr>
          <w:ilvl w:val="0"/>
          <w:numId w:val="5"/>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185" w:name="OLE_LINK40"/>
      <w:r>
        <w:rPr>
          <w:rFonts w:hint="eastAsia" w:ascii="宋体" w:hAnsi="宋体" w:cs="宋体"/>
          <w:bCs/>
          <w:szCs w:val="21"/>
          <w:u w:val="single"/>
        </w:rPr>
        <w:t xml:space="preserve">以支票、汇票、本票或者金融机构、担保机构出具的保函等非现金形式提交</w:t>
      </w:r>
      <w:bookmarkEnd w:id="185"/>
      <w:r>
        <w:rPr>
          <w:rFonts w:hint="eastAsia" w:ascii="宋体" w:hAnsi="宋体" w:cs="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p>
    <w:p>
      <w:pPr>
        <w:ind w:firstLine="420"/>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w:t>
      </w:r>
      <w:bookmarkStart w:id="186" w:name="_Hlk182778972"/>
      <w:r>
        <w:rPr>
          <w:rFonts w:hint="eastAsia" w:ascii="宋体" w:hAnsi="宋体" w:cs="宋体"/>
          <w:bCs/>
          <w:szCs w:val="21"/>
          <w:u w:val="single"/>
        </w:rPr>
        <w:t xml:space="preserve">提交履约保证金之日起至货物验收合格之日止。</w:t>
      </w:r>
      <w:bookmarkEnd w:id="186"/>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p>
    <w:p>
      <w:pPr>
        <w:numPr>
          <w:ilvl w:val="0"/>
          <w:numId w:val="5"/>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187" w:name="_Hlk171087831"/>
      <w:r>
        <w:rPr>
          <w:rFonts w:ascii="Wingdings" w:hAnsi="Wingdings" w:eastAsia="Wingdings" w:cs="Wingdings"/>
          <w:szCs w:val="21"/>
        </w:rPr>
        <w:t xml:space="preserve">þ</w:t>
      </w:r>
      <w:bookmarkEnd w:id="187"/>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bookmarkStart w:id="188" w:name="_Hlk171087968"/>
      <w:r>
        <w:rPr>
          <w:rFonts w:ascii="Wingdings" w:hAnsi="Wingdings" w:eastAsia="Wingdings" w:cs="Wingdings"/>
          <w:szCs w:val="21"/>
        </w:rPr>
        <w:t xml:space="preserve">þ</w:t>
      </w:r>
      <w:bookmarkEnd w:id="188"/>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p>
    <w:p>
      <w:pPr>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422"/>
        <w:spacing w:line="400" w:lineRule="exact"/>
        <w:rPr>
          <w:rFonts w:hint="eastAsia" w:ascii="宋体" w:hAnsi="宋体"/>
          <w:b/>
          <w:szCs w:val="21"/>
        </w:rPr>
      </w:pPr>
      <w:r>
        <w:rPr>
          <w:rFonts w:hint="eastAsia" w:ascii="宋体" w:hAnsi="宋体"/>
          <w:b/>
          <w:szCs w:val="21"/>
        </w:rPr>
        <w:t xml:space="preserve">5. 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numPr>
          <w:ilvl w:val="0"/>
          <w:numId w:val="8"/>
        </w:numPr>
        <w:jc w:val="left"/>
        <w:spacing w:line="400" w:lineRule="exact"/>
        <w:widowControl/>
        <w:rPr>
          <w:rFonts w:hint="eastAsia" w:ascii="宋体" w:hAnsi="宋体" w:cs="宋体"/>
          <w:szCs w:val="21"/>
        </w:rPr>
      </w:pPr>
      <w:r>
        <w:rPr>
          <w:rFonts w:hint="eastAsia" w:ascii="宋体" w:hAnsi="宋体" w:cs="宋体"/>
          <w:color w:val="000000"/>
          <w:szCs w:val="21"/>
        </w:rPr>
        <w:t xml:space="preserve">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 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ind w:left="422"/>
        <w:spacing w:line="400" w:lineRule="exact"/>
        <w:rPr>
          <w:rFonts w:hint="eastAsia" w:ascii="宋体" w:hAnsi="宋体"/>
          <w:b/>
          <w:szCs w:val="21"/>
        </w:rPr>
      </w:pPr>
      <w:r>
        <w:rPr>
          <w:rFonts w:hint="eastAsia" w:ascii="宋体" w:hAnsi="宋体"/>
          <w:b/>
          <w:szCs w:val="21"/>
        </w:rPr>
        <w:t xml:space="preserve">7. 合同份数</w:t>
      </w:r>
      <w:r/>
    </w:p>
    <w:p>
      <w:pPr>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spacing w:line="278" w:lineRule="auto"/>
        <w:rPr>
          <w:szCs w:val="24"/>
        </w:rPr>
      </w:pPr>
      <w:r>
        <w:rPr>
          <w:rFonts w:hint="eastAsia"/>
          <w:szCs w:val="24"/>
        </w:rPr>
        <w:br w:type="page" w:clear="all"/>
      </w:r>
      <w:r/>
    </w:p>
    <w:p>
      <w:pPr>
        <w:ind w:firstLine="420"/>
        <w:spacing w:line="278" w:lineRule="auto"/>
        <w:rPr>
          <w:szCs w:val="21"/>
        </w:rPr>
      </w:pPr>
      <w:r>
        <w:rPr>
          <w:szCs w:val="21"/>
        </w:rPr>
      </w:r>
      <w:r/>
    </w:p>
    <w:tbl>
      <w:tblPr>
        <w:tblStyle w:val="71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szCs w:val="24"/>
              </w:rPr>
            </w:pPr>
            <w:r>
              <w:rPr>
                <w:szCs w:val="21"/>
              </w:rPr>
              <w:t xml:space="preserve">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szCs w:val="24"/>
              </w:rPr>
            </w:pPr>
            <w:r>
              <w:rPr>
                <w:szCs w:val="21"/>
              </w:rPr>
              <w:t xml:space="preserve">乙方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rFonts w:hint="eastAsia"/>
                <w:szCs w:val="21"/>
              </w:rPr>
              <w:t xml:space="preserve">南通市食品药品监督检验中心</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rFonts w:hint="eastAsia"/>
                <w:szCs w:val="21"/>
              </w:rPr>
              <w:t xml:space="preserve">南通市胜利路168号4幢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bl>
    <w:p>
      <w:pPr>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189" w:name="_Toc27624"/>
      <w:r>
        <w:rPr>
          <w:rFonts w:hint="eastAsia" w:ascii="黑体" w:hAnsi="黑体" w:eastAsia="黑体"/>
          <w:sz w:val="28"/>
          <w:szCs w:val="28"/>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10"/>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bookmarkStart w:id="190" w:name="OLE_LINK7"/>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190"/>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szCs w:val="21"/>
        </w:rPr>
        <w:t xml:space="preserve">。</w:t>
      </w:r>
      <w:r/>
    </w:p>
    <w:p>
      <w:pPr>
        <w:jc w:val="left"/>
        <w:spacing w:line="400" w:lineRule="exact"/>
        <w:rPr>
          <w:rFonts w:hint="eastAsia" w:ascii="宋体" w:hAnsi="宋体"/>
          <w:b/>
          <w:bCs/>
          <w:sz w:val="24"/>
          <w:szCs w:val="24"/>
        </w:rPr>
      </w:pPr>
      <w:r>
        <w:rPr>
          <w:rFonts w:hint="eastAsia" w:ascii="宋体" w:hAnsi="宋体"/>
          <w:b/>
          <w:bCs/>
          <w:sz w:val="24"/>
          <w:szCs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szCs w:val="24"/>
        </w:rPr>
      </w:pPr>
      <w:r>
        <w:rPr>
          <w:rFonts w:hint="eastAsia" w:ascii="宋体" w:hAnsi="宋体"/>
          <w:b/>
          <w:bCs/>
          <w:sz w:val="24"/>
          <w:szCs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szCs w:val="24"/>
        </w:rPr>
      </w:pPr>
      <w:r>
        <w:rPr>
          <w:rFonts w:hint="eastAsia" w:ascii="宋体" w:hAnsi="宋体"/>
          <w:b/>
          <w:bCs/>
          <w:sz w:val="24"/>
          <w:szCs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szCs w:val="24"/>
        </w:rPr>
      </w:pPr>
      <w:r>
        <w:rPr>
          <w:rFonts w:hint="eastAsia" w:ascii="宋体" w:hAnsi="宋体"/>
          <w:b/>
          <w:bCs/>
          <w:sz w:val="24"/>
          <w:szCs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szCs w:val="24"/>
        </w:rPr>
      </w:pPr>
      <w:r>
        <w:rPr>
          <w:rFonts w:hint="eastAsia" w:ascii="宋体" w:hAnsi="宋体"/>
          <w:b/>
          <w:sz w:val="24"/>
          <w:szCs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szCs w:val="24"/>
        </w:rPr>
      </w:pPr>
      <w:r>
        <w:rPr>
          <w:rFonts w:hint="eastAsia" w:ascii="宋体" w:hAnsi="宋体"/>
          <w:b/>
          <w:sz w:val="24"/>
          <w:szCs w:val="24"/>
        </w:rPr>
        <w:t xml:space="preserve">21. 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szCs w:val="24"/>
        </w:rPr>
      </w:pPr>
      <w:r>
        <w:rPr>
          <w:rFonts w:hint="eastAsia" w:ascii="宋体" w:hAnsi="宋体"/>
          <w:b/>
          <w:sz w:val="24"/>
          <w:szCs w:val="24"/>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92" w:name="_Toc20313"/>
      <w:r/>
      <w:r/>
    </w:p>
    <w:p>
      <w:pPr>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92"/>
      <w:r/>
      <w:r/>
    </w:p>
    <w:tbl>
      <w:tblPr>
        <w:tblStyle w:val="71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pStyle w:val="716"/>
              <w:ind w:firstLine="0"/>
              <w:spacing w:after="0"/>
            </w:pPr>
            <w:r>
              <w:rPr>
                <w:rFonts w:hint="eastAsia" w:asciiTheme="minorEastAsia" w:hAnsiTheme="minorEastAsia" w:eastAsiaTheme="minorEastAsia"/>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szCs w:val="24"/>
              </w:rPr>
            </w:pPr>
            <w:r>
              <w:rPr>
                <w:rFonts w:hint="eastAsia" w:ascii="宋体" w:hAnsi="宋体"/>
                <w:szCs w:val="21"/>
              </w:rPr>
              <w:t xml:space="preserve">第5.4款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2.仪器设备到达后，乙方在5个工作日内安排有经验的工程师到达设备使用现场，免费安装调试设备，并在3天内安装、调试完毕。</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4.保修期内乙方按投标承诺提供免费维护和质量保证，所有货物保修服务方式均为乙方上门保修，即由乙方派员到货物使用现场维修，保修费用计入合同总价，不再另行收取。</w:t>
            </w:r>
            <w:r/>
          </w:p>
          <w:p>
            <w:pPr>
              <w:pStyle w:val="716"/>
              <w:ind w:firstLine="0"/>
              <w:rPr>
                <w:rFonts w:hint="eastAsia" w:asciiTheme="minorEastAsia" w:hAnsiTheme="minorEastAsia" w:eastAsiaTheme="minorEastAsia"/>
              </w:rPr>
            </w:pPr>
            <w:r>
              <w:rPr>
                <w:rFonts w:hint="eastAsia" w:asciiTheme="minorEastAsia" w:hAnsiTheme="minorEastAsia" w:eastAsiaTheme="minorEastAsia"/>
              </w:rPr>
              <w:t xml:space="preserve">5.售后服务4小时内响应，2个工作日内上门。保修期内每年提供一次原厂技术维护。乙方提供设备终身维修保养服务。</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7.如果设备交付使用后，缺陷多次反复出现，乙方必</w:t>
            </w:r>
            <w:bookmarkStart w:id="193" w:name="OLE_LINK3"/>
            <w:r>
              <w:rPr>
                <w:rFonts w:hint="eastAsia" w:asciiTheme="minorEastAsia" w:hAnsiTheme="minorEastAsia" w:eastAsiaTheme="minorEastAsia"/>
                <w:szCs w:val="21"/>
              </w:rPr>
              <w:t xml:space="preserve">须提出分析报告和解决方案，更换该产品，直到最后纠正缺陷、乙方提供质保从纠正之日起重新计算质保期。</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8.如乙方提供的设备设有维修软件密码，乙方应保证无条件地为甲方永久免费打开。</w:t>
            </w:r>
            <w:r/>
          </w:p>
          <w:p>
            <w:pPr>
              <w:jc w:val="left"/>
              <w:spacing w:line="278" w:lineRule="auto"/>
              <w:rPr>
                <w:rFonts w:hint="eastAsia" w:ascii="宋体" w:hAnsi="宋体"/>
                <w:szCs w:val="21"/>
              </w:rPr>
            </w:pPr>
            <w:r>
              <w:rPr>
                <w:rFonts w:hint="eastAsia" w:asciiTheme="minorEastAsia" w:hAnsiTheme="minorEastAsia" w:eastAsiaTheme="minorEastAsia"/>
                <w:szCs w:val="21"/>
              </w:rPr>
              <w:t xml:space="preserve">9.仪器设备安装后，乙方需长期提供技术支持和维修服务，包括软件的免费升级、为甲方提供需要的方法开发及应用资料。</w:t>
            </w:r>
            <w:bookmarkEnd w:id="193"/>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67"/>
        </w:trPr>
        <w:tc>
          <w:tcPr>
            <w:tcW w:w="1607" w:type="dxa"/>
            <w:vAlign w:val="center"/>
            <w:vMerge w:val="restart"/>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line="278" w:lineRule="auto"/>
              <w:rPr>
                <w:rFonts w:hint="eastAsia" w:asciiTheme="minorEastAsia" w:hAnsiTheme="minorEastAsia" w:eastAsiaTheme="minorEastAsia"/>
                <w:szCs w:val="24"/>
              </w:rPr>
            </w:pPr>
            <w:r/>
            <w:bookmarkStart w:id="194" w:name="_Hlk175612562"/>
            <w:r>
              <w:rPr>
                <w:rFonts w:hint="eastAsia" w:asciiTheme="minorEastAsia" w:hAnsiTheme="minorEastAsia" w:eastAsiaTheme="minorEastAsia"/>
                <w:szCs w:val="24"/>
              </w:rPr>
              <w:t xml:space="preserve">商品包装和快递包装要求执行财办库【2020】123号，具体如下：</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1.1商品包装环保要求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1.1.1商品包装层数不得超过3层，空隙率不大于40%；</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1.1.2商品包装尽可能使用单一材质的包装材料，如因功能需求必需使用不同材质，不同材质间应便于分离；</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1.1.3商品包装中铅、汞、镉、六价铬的总含量应不大于100mg/kg；</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1.1.4商品包装印刷使用的油墨中挥发性有机化合物(VOCs)含量应不大于5%（以重量计）；</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1.1.5塑料材质商品包装上呈现的印刷颜色不得超过6 色；</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1.1.6纸质商品包装应使用75%以上的可再生纤维原料生产；</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1.1.7木质商品包装的原料应来源于可持续性森林。</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1.2快递包装环保要求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1.2.1快递包装中重金属（铅、汞、镉、六价铬）总量应不大于100mg/kg；</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1.2.2快递包装印刷使用的油墨中不应添加邻苯二甲酸酯，其挥发性有机化合物(VOCs)含量应不大于5%（以重量计）；</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1.2.3快递包装中使用纸基材的包装材料，纸基材中的有机氯的含量应不大于150 mg/kg；</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1.2.5快递中使用的塑料包装袋不得使用聚氯乙烯作为原料，且原料应为单一材质制成，生物分解率大于</w:t>
            </w:r>
            <w:bookmarkEnd w:id="194"/>
            <w:r/>
            <w:bookmarkStart w:id="195" w:name="_Hlk175612636"/>
            <w:r>
              <w:rPr>
                <w:rFonts w:hint="eastAsia" w:asciiTheme="minorEastAsia" w:hAnsiTheme="minorEastAsia" w:eastAsiaTheme="minorEastAsia"/>
                <w:szCs w:val="24"/>
              </w:rPr>
              <w:t xml:space="preserve">60%；</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1.2.6快递中使用的充气类填充物不得使用聚氯乙烯作为原料，且原料为单一材质制成，生物分解率大于60%；</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1.2.7快递中使用的集装袋应为单一材质制成，其重复使用次数应不小于80次；</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1.2.8快递中应使用幅宽不大于45mm的生物降解胶带；</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1.2.9快递包装中不得使用溶剂型胶粘剂；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1.2.10快递应使用电子面单；</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1.2.11直接使用商品包装作为快递包装的商品，其商品包装满足《商品包装政府采购需求标准（试行）》即可；</w:t>
            </w:r>
            <w:r/>
          </w:p>
          <w:p>
            <w:pPr>
              <w:spacing w:line="278" w:lineRule="auto"/>
              <w:rPr>
                <w:szCs w:val="24"/>
              </w:rPr>
            </w:pPr>
            <w:r>
              <w:rPr>
                <w:rFonts w:hint="eastAsia" w:asciiTheme="minorEastAsia" w:hAnsiTheme="minorEastAsia" w:eastAsiaTheme="minorEastAsia"/>
                <w:szCs w:val="24"/>
              </w:rPr>
              <w:t xml:space="preserve">1.2.12快递包装产品质量和封装方式应符合相关国家或行业标准技术指标要求。</w:t>
            </w:r>
            <w:bookmarkEnd w:id="195"/>
            <w:r/>
            <w:r/>
          </w:p>
        </w:tc>
      </w:tr>
      <w:tr>
        <w:trPr>
          <w:trHeight w:val="667"/>
        </w:trPr>
        <w:tc>
          <w:tcPr>
            <w:tcW w:w="1607" w:type="dxa"/>
            <w:vAlign w:val="center"/>
            <w:vMerge w:val="continue"/>
            <w:textDirection w:val="lrTb"/>
            <w:noWrap w:val="false"/>
          </w:tcPr>
          <w:p>
            <w:pPr>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line="278" w:lineRule="auto"/>
              <w:rPr>
                <w:szCs w:val="24"/>
              </w:rPr>
            </w:pPr>
            <w:r>
              <w:rPr>
                <w:rFonts w:hint="eastAsia" w:asciiTheme="minorEastAsia" w:hAnsiTheme="minorEastAsia" w:eastAsiaTheme="minorEastAsia"/>
                <w:szCs w:val="24"/>
              </w:rPr>
              <w:t xml:space="preserve">采购人指定地点</w:t>
            </w:r>
            <w:r/>
          </w:p>
        </w:tc>
      </w:tr>
      <w:tr>
        <w:trPr>
          <w:trHeight w:val="772"/>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spacing w:line="278" w:lineRule="auto"/>
              <w:rPr>
                <w:szCs w:val="24"/>
              </w:rPr>
            </w:pPr>
            <w:r>
              <w:rPr>
                <w:rFonts w:hint="eastAsia" w:asciiTheme="minorEastAsia" w:hAnsiTheme="minorEastAsia" w:eastAsiaTheme="minorEastAsia"/>
                <w:szCs w:val="24"/>
              </w:rPr>
              <w:t xml:space="preserve">2.乙方发货到甲方指定地点，并送达甲方指定楼层的安装位置。</w:t>
            </w:r>
            <w:r/>
          </w:p>
        </w:tc>
      </w:tr>
      <w:tr>
        <w:trPr>
          <w:trHeight w:val="66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line="278" w:lineRule="auto"/>
              <w:rPr>
                <w:szCs w:val="24"/>
              </w:rPr>
            </w:pPr>
            <w:r>
              <w:rPr>
                <w:rFonts w:hint="eastAsia"/>
                <w:szCs w:val="24"/>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spacing w:line="278" w:lineRule="auto"/>
              <w:rPr>
                <w:rFonts w:hint="eastAsia" w:ascii="宋体" w:hAnsi="宋体"/>
                <w:szCs w:val="21"/>
              </w:rPr>
            </w:pPr>
            <w:r/>
            <w:bookmarkStart w:id="196" w:name="OLE_LINK10"/>
            <w:r>
              <w:rPr>
                <w:rFonts w:hint="eastAsia" w:asciiTheme="minorEastAsia" w:hAnsiTheme="minorEastAsia" w:eastAsiaTheme="minorEastAsia"/>
                <w:szCs w:val="21"/>
              </w:rPr>
              <w:t xml:space="preserve">质保期  年，质保期内维修、零配件更换、人工、差旅等所有费用由乙方承担。</w:t>
            </w:r>
            <w:bookmarkStart w:id="197" w:name="OLE_LINK9"/>
            <w:r>
              <w:rPr>
                <w:rFonts w:hint="eastAsia" w:asciiTheme="minorEastAsia" w:hAnsiTheme="minorEastAsia" w:eastAsiaTheme="minorEastAsia"/>
                <w:szCs w:val="21"/>
              </w:rPr>
              <w:t xml:space="preserve">乙方提供设备终身维修保养服务。</w:t>
            </w:r>
            <w:bookmarkEnd w:id="196"/>
            <w:r/>
            <w:bookmarkEnd w:id="197"/>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bookmarkStart w:id="198" w:name="_Hlk174700718"/>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货物质量缺陷</w:t>
            </w:r>
            <w:r/>
          </w:p>
          <w:p>
            <w:pPr>
              <w:jc w:val="left"/>
              <w:spacing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bookmarkStart w:id="199" w:name="OLE_LINK13"/>
            <w:r>
              <w:rPr>
                <w:rFonts w:hint="eastAsia" w:asciiTheme="minorEastAsia" w:hAnsiTheme="minorEastAsia" w:eastAsiaTheme="minorEastAsia"/>
                <w:szCs w:val="21"/>
              </w:rPr>
              <w:t xml:space="preserve">1.乙方维修的响应时间为4小时，2个工作日内到达现场维修。</w:t>
            </w:r>
            <w:bookmarkEnd w:id="199"/>
            <w:r/>
            <w:r/>
          </w:p>
          <w:p>
            <w:pPr>
              <w:pStyle w:val="716"/>
              <w:ind w:firstLine="0"/>
              <w:jc w:val="left"/>
              <w:spacing w:after="0"/>
            </w:pPr>
            <w:r>
              <w:rPr>
                <w:rFonts w:asciiTheme="minorEastAsia" w:hAnsiTheme="minorEastAsia" w:eastAsiaTheme="minorEastAsia"/>
              </w:rPr>
              <w:t xml:space="preserve">2.</w:t>
            </w:r>
            <w:r>
              <w:rPr>
                <w:rFonts w:hint="eastAsia" w:asciiTheme="minorEastAsia" w:hAnsiTheme="minorEastAsia" w:eastAsiaTheme="minorEastAsia"/>
              </w:rPr>
              <w:t xml:space="preserve">乙方应于</w:t>
            </w:r>
            <w:r>
              <w:rPr>
                <w:rFonts w:asciiTheme="minorEastAsia" w:hAnsiTheme="minorEastAsia" w:eastAsiaTheme="minorEastAsia"/>
              </w:rPr>
              <w:t xml:space="preserve">15</w:t>
            </w:r>
            <w:r>
              <w:rPr>
                <w:rFonts w:hint="eastAsia" w:asciiTheme="minorEastAsia" w:hAnsiTheme="minorEastAsia" w:eastAsiaTheme="minorEastAsia"/>
              </w:rPr>
              <w:t xml:space="preserve">日内更换有缺陷的货物或部件。</w:t>
            </w:r>
            <w:bookmarkEnd w:id="198"/>
            <w:r/>
            <w:r/>
          </w:p>
        </w:tc>
      </w:tr>
      <w:tr>
        <w:trPr>
          <w:trHeight w:val="736"/>
        </w:trPr>
        <w:tc>
          <w:tcPr>
            <w:tcW w:w="1607" w:type="dxa"/>
            <w:vAlign w:val="center"/>
            <w:textDirection w:val="lrTb"/>
            <w:noWrap w:val="false"/>
          </w:tcPr>
          <w:p>
            <w:pPr>
              <w:jc w:val="center"/>
              <w:spacing w:line="278" w:lineRule="auto"/>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bookmarkStart w:id="200" w:name="OLE_LINK5"/>
            <w:r>
              <w:rPr>
                <w:rFonts w:hint="eastAsia" w:asciiTheme="minorEastAsia" w:hAnsiTheme="minorEastAsia" w:eastAsiaTheme="minorEastAsia"/>
                <w:szCs w:val="21"/>
              </w:rPr>
              <w:t xml:space="preserve">1.乙方有权依据合同约定和项目需要，向甲方了解有关情况，调阅有关资料等，甲方应予积极配合；</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2.乙方有义务妥善保管和保护由甲方提供的前款信息和资料等；</w:t>
            </w:r>
            <w:r/>
          </w:p>
          <w:p>
            <w:pPr>
              <w:jc w:val="left"/>
              <w:spacing w:line="278" w:lineRule="auto"/>
              <w:rPr>
                <w:rFonts w:hint="eastAsia" w:ascii="宋体" w:hAnsi="宋体"/>
                <w:szCs w:val="21"/>
              </w:rPr>
            </w:pPr>
            <w:r>
              <w:rPr>
                <w:rFonts w:hint="eastAsia" w:asciiTheme="minorEastAsia" w:hAnsiTheme="minorEastAsia" w:eastAsiaTheme="minorEastAsia"/>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200"/>
            <w:r>
              <w:rPr>
                <w:rFonts w:hint="eastAsia" w:asciiTheme="minorEastAsia" w:hAnsiTheme="minorEastAsia" w:eastAsiaTheme="minorEastAsia"/>
                <w:szCs w:val="21"/>
              </w:rPr>
              <w:t xml:space="preserve">信息和资料。</w:t>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spacing w:line="278" w:lineRule="auto"/>
              <w:rPr>
                <w:rFonts w:hint="eastAsia" w:ascii="宋体" w:hAnsi="宋体"/>
                <w:szCs w:val="21"/>
              </w:rPr>
            </w:pPr>
            <w:r/>
            <w:bookmarkStart w:id="201" w:name="_Hlk177935615"/>
            <w:r>
              <w:rPr>
                <w:rFonts w:hint="eastAsia" w:ascii="宋体" w:hAnsi="宋体"/>
                <w:szCs w:val="21"/>
                <w:u w:val="single"/>
              </w:rPr>
              <w:t xml:space="preserve">合同签订并收到乙方开具的发票后10个工作日内支付本合同总价款的30%（人民币         元）；货物交付安装、调试完成、验收合格，并收到乙方开具的发票后10个工作日内再支付本合同总价款的15%（人民币         元）；余款（人民币           元）在货物质保期满并收到乙方开具的发票后10个工作日内付清。以上付款均通过银行转账，不计利息。</w:t>
            </w:r>
            <w:bookmarkEnd w:id="201"/>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发生以下情况的，履约保证金不予退还或部分退还：</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a.签订合同后，乙方不履行合同义务的，甲方有权全额扣除履约保证金，全额不予退还，同时甲方亦有权终止合同，乙方还须承担相应的法律赔偿责任。</w:t>
            </w:r>
            <w:r/>
          </w:p>
          <w:p>
            <w:pPr>
              <w:jc w:val="left"/>
              <w:spacing w:line="400" w:lineRule="exact"/>
              <w:widowControl/>
              <w:rPr>
                <w:rFonts w:hint="eastAsia" w:ascii="华文楷体" w:hAnsi="华文楷体" w:eastAsia="华文楷体" w:cs="华文楷体"/>
                <w:sz w:val="22"/>
                <w:szCs w:val="21"/>
              </w:rPr>
            </w:pPr>
            <w:r>
              <w:rPr>
                <w:rFonts w:hint="eastAsia" w:asciiTheme="minorEastAsia" w:hAnsiTheme="minorEastAsia" w:eastAsiaTheme="minorEastAsia"/>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rPr>
              <w:t xml:space="preserve">以现金形式提交履约保证金的，乙方全部履行合同义务，经甲方验收合格无质量、进度等问题的，甲方在验收合格后</w:t>
            </w:r>
            <w:r>
              <w:rPr>
                <w:rFonts w:asciiTheme="minorEastAsia" w:hAnsiTheme="minorEastAsia" w:eastAsiaTheme="minorEastAsia"/>
              </w:rPr>
              <w:t xml:space="preserve">10</w:t>
            </w:r>
            <w:r>
              <w:rPr>
                <w:rFonts w:hint="eastAsia" w:asciiTheme="minorEastAsia" w:hAnsiTheme="minorEastAsia" w:eastAsiaTheme="minorEastAsia"/>
              </w:rPr>
              <w:t xml:space="preserve">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szCs w:val="21"/>
              </w:rPr>
              <w:t xml:space="preserve">质保期  年，质保期内维修、零配件更换、人工、差旅等所有费用由乙方承担。</w:t>
            </w:r>
            <w:bookmarkStart w:id="202" w:name="OLE_LINK12"/>
            <w:r>
              <w:rPr>
                <w:rFonts w:hint="eastAsia" w:asciiTheme="minorEastAsia" w:hAnsiTheme="minorEastAsia" w:eastAsiaTheme="minorEastAsia"/>
                <w:szCs w:val="21"/>
              </w:rPr>
              <w:t xml:space="preserve">乙方提供设备终身维修保养服务</w:t>
            </w:r>
            <w:bookmarkEnd w:id="202"/>
            <w:r/>
            <w:bookmarkStart w:id="203" w:name="OLE_LINK33"/>
            <w:r>
              <w:rPr>
                <w:rFonts w:hint="eastAsia" w:asciiTheme="minorEastAsia" w:hAnsiTheme="minorEastAsia" w:eastAsiaTheme="minorEastAsia"/>
                <w:szCs w:val="21"/>
              </w:rPr>
              <w:t xml:space="preserve">。</w:t>
            </w:r>
            <w:bookmarkEnd w:id="203"/>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szCs w:val="21"/>
              </w:rPr>
              <w:t xml:space="preserve">如果设备交付使用后，缺陷多次反复出现，乙方必须提出分析报告和解决方案，更换该产品，直到最后纠正缺陷、乙方提供质保从纠正之日起重新计算质保期。</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bookmarkStart w:id="204" w:name="OLE_LINK6"/>
            <w:r>
              <w:rPr>
                <w:rFonts w:hint="eastAsia" w:asciiTheme="minorEastAsia" w:hAnsiTheme="minorEastAsia" w:eastAsiaTheme="minorEastAsia"/>
                <w:szCs w:val="21"/>
              </w:rPr>
              <w:t xml:space="preserve">甲方未按合同规定的期限向乙方支付货款的，每逾期1天甲方向乙方偿付逾期款的万分之一作为逾期付款违约金，</w:t>
            </w:r>
            <w:bookmarkEnd w:id="204"/>
            <w:r>
              <w:rPr>
                <w:rFonts w:hint="eastAsia" w:asciiTheme="minorEastAsia" w:hAnsiTheme="minorEastAsia" w:eastAsiaTheme="minorEastAsia"/>
                <w:szCs w:val="21"/>
              </w:rPr>
              <w:t xml:space="preserve">但累计违约金总额不超过逾期款的5%。</w:t>
            </w:r>
            <w:r/>
          </w:p>
          <w:p>
            <w:pPr>
              <w:jc w:val="left"/>
              <w:spacing w:line="278" w:lineRule="auto"/>
              <w:rPr>
                <w:rFonts w:hint="eastAsia" w:ascii="宋体" w:hAnsi="宋体"/>
                <w:szCs w:val="21"/>
              </w:rPr>
            </w:pPr>
            <w:r>
              <w:rPr>
                <w:rFonts w:hint="eastAsia" w:ascii="宋体" w:hAnsi="宋体"/>
                <w:szCs w:val="21"/>
              </w:rPr>
              <w:t xml:space="preserve">但因财政支付审批流程等客观原因导致付款滞后的，甲方出具书面证明材料后免责。</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1.甲方无正当理由拒收货物、拒付货物款的，由甲方向乙方偿付本合同总价款5%的违约金。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2.如乙方不能按期交付货物、完成安装调试并验收通过的，甲方有权扣留全部履约保证金；同时乙方应向甲方支付本合同总价款5%的违约金。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4.乙方所交付的货物品种、型号、规格不符合合同规定的，甲方有权拒收并扣留乙方全部履约保证金。甲方拒收的，乙方应向甲方支付本合同总价款5%的违约金。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6.乙方未按本合同的规定和“服务承诺”提供伴随服务/售后服务的，应承担甲方另行采购相关服务而支付的费用，并按本合同总价款的5%向甲方承担违约责任。</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p>
          <w:p>
            <w:pPr>
              <w:jc w:val="left"/>
              <w:spacing w:line="278" w:lineRule="auto"/>
              <w:rPr>
                <w:rFonts w:hint="eastAsia" w:ascii="宋体" w:hAnsi="宋体"/>
                <w:szCs w:val="21"/>
              </w:rPr>
            </w:pPr>
            <w:r>
              <w:rPr>
                <w:rFonts w:hint="eastAsia" w:asciiTheme="minorEastAsia" w:hAnsiTheme="minorEastAsia" w:eastAsiaTheme="minorEastAsia"/>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因本合同及合同有关事项发生的争议，按下列第</w:t>
            </w:r>
            <w:r>
              <w:rPr>
                <w:rFonts w:hint="eastAsia" w:cs="宋体" w:asciiTheme="minorEastAsia" w:hAnsiTheme="minorEastAsia" w:eastAsiaTheme="minorEastAsia"/>
                <w:iCs/>
                <w:szCs w:val="21"/>
                <w:u w:val="single"/>
              </w:rPr>
              <w:t xml:space="preserve">（1）</w:t>
            </w:r>
            <w:r>
              <w:rPr>
                <w:rFonts w:hint="eastAsia" w:cs="宋体" w:asciiTheme="minorEastAsia" w:hAnsiTheme="minorEastAsia" w:eastAsiaTheme="minorEastAsia"/>
                <w:iCs/>
                <w:szCs w:val="21"/>
              </w:rPr>
              <w:t xml:space="preserve">种方式解决：</w:t>
            </w:r>
            <w:r/>
          </w:p>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（1）向</w:t>
            </w:r>
            <w:r>
              <w:rPr>
                <w:rFonts w:hint="eastAsia" w:cs="宋体" w:asciiTheme="minorEastAsia" w:hAnsiTheme="minorEastAsia" w:eastAsiaTheme="minorEastAsia"/>
                <w:iCs/>
                <w:szCs w:val="21"/>
                <w:u w:val="single"/>
              </w:rPr>
              <w:t xml:space="preserve">南通市</w:t>
            </w:r>
            <w:r>
              <w:rPr>
                <w:rFonts w:hint="eastAsia" w:cs="宋体" w:asciiTheme="minorEastAsia" w:hAnsiTheme="minorEastAsia" w:eastAsiaTheme="minorEastAsia"/>
                <w:iCs/>
                <w:szCs w:val="21"/>
              </w:rPr>
              <w:t xml:space="preserve">仲裁委员会申请仲裁，仲裁地点为</w:t>
            </w:r>
            <w:r>
              <w:rPr>
                <w:rFonts w:hint="eastAsia" w:cs="宋体" w:asciiTheme="minorEastAsia" w:hAnsiTheme="minorEastAsia" w:eastAsiaTheme="minorEastAsia"/>
                <w:iCs/>
                <w:szCs w:val="21"/>
                <w:u w:val="single"/>
              </w:rPr>
              <w:t xml:space="preserve">  南通市   </w:t>
            </w:r>
            <w:r>
              <w:rPr>
                <w:rFonts w:hint="eastAsia" w:cs="宋体" w:asciiTheme="minorEastAsia" w:hAnsiTheme="minorEastAsia" w:eastAsiaTheme="minorEastAsia"/>
                <w:iCs/>
                <w:szCs w:val="21"/>
              </w:rPr>
              <w:t xml:space="preserve">；</w:t>
            </w:r>
            <w:r/>
          </w:p>
          <w:p>
            <w:pPr>
              <w:jc w:val="left"/>
              <w:spacing w:line="278" w:lineRule="auto"/>
              <w:rPr>
                <w:rFonts w:hint="eastAsia" w:ascii="宋体" w:hAnsi="宋体"/>
                <w:szCs w:val="21"/>
                <w:u w:val="single"/>
              </w:rPr>
            </w:pPr>
            <w:r>
              <w:rPr>
                <w:rFonts w:hint="eastAsia" w:cs="宋体" w:asciiTheme="minorEastAsia" w:hAnsiTheme="minorEastAsia" w:eastAsiaTheme="minorEastAsia"/>
                <w:iCs/>
                <w:szCs w:val="21"/>
              </w:rPr>
              <w:t xml:space="preserve">（2）向甲方所在地有管辖权的人民法院起诉。</w:t>
            </w:r>
            <w:r/>
          </w:p>
        </w:tc>
      </w:tr>
      <w:tr>
        <w:trPr>
          <w:trHeight w:val="770"/>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spacing w:line="278" w:lineRule="auto"/>
              <w:rPr>
                <w:szCs w:val="24"/>
              </w:rPr>
            </w:pPr>
            <w:r>
              <w:rPr>
                <w:rFonts w:hint="eastAsia" w:asciiTheme="minorEastAsia" w:hAnsiTheme="minorEastAsia" w:eastAsiaTheme="minorEastAsia"/>
                <w:szCs w:val="21"/>
              </w:rPr>
              <w:t xml:space="preserve">因货物的质量问题发生争议的，应当邀请国家认可的质量检测机构对货物质量进行鉴定。货物符合标准的，鉴定费由甲方承担；货物不符合质量标准的，鉴定费由乙方承担。</w:t>
            </w:r>
            <w:r/>
          </w:p>
        </w:tc>
      </w:tr>
    </w:tbl>
    <w:p>
      <w:pPr>
        <w:spacing w:line="278" w:lineRule="auto"/>
        <w:rPr>
          <w:szCs w:val="24"/>
        </w:rPr>
      </w:pPr>
      <w:r>
        <w:rPr>
          <w:szCs w:val="24"/>
        </w:rPr>
      </w:r>
      <w:r/>
    </w:p>
    <w:p>
      <w:pPr>
        <w:jc w:val="center"/>
        <w:spacing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项目属性:货物类项目。</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p>
    <w:tbl>
      <w:tblPr>
        <w:tblStyle w:val="715"/>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60"/>
        <w:gridCol w:w="2410"/>
        <w:gridCol w:w="850"/>
        <w:gridCol w:w="1985"/>
      </w:tblGrid>
      <w:tr>
        <w:trPr>
          <w:cantSplit/>
          <w:jc w:val="center"/>
        </w:trPr>
        <w:tc>
          <w:tcPr>
            <w:tcW w:w="846"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bookmarkStart w:id="205" w:name="_Hlk175314267"/>
            <w:r>
              <w:rPr>
                <w:rFonts w:hint="eastAsia" w:asciiTheme="majorEastAsia" w:hAnsiTheme="majorEastAsia" w:eastAsiaTheme="majorEastAsia" w:cstheme="majorEastAsia"/>
                <w:sz w:val="28"/>
                <w:szCs w:val="28"/>
              </w:rPr>
              <w:t xml:space="preserve">序号</w:t>
            </w:r>
            <w:r/>
          </w:p>
        </w:tc>
        <w:tc>
          <w:tcPr>
            <w:tcW w:w="3260"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采购标的</w:t>
            </w:r>
            <w:r/>
          </w:p>
        </w:tc>
        <w:tc>
          <w:tcPr>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对应中小企业划分标准所属行业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数量</w:t>
            </w:r>
            <w:r/>
          </w:p>
        </w:tc>
        <w:tc>
          <w:tcPr>
            <w:tcW w:w="1985"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是否属于强制环保节能产品</w:t>
            </w:r>
            <w:r/>
          </w:p>
        </w:tc>
      </w:tr>
      <w:tr>
        <w:trPr>
          <w:cantSplit/>
          <w:jc w:val="center"/>
          <w:trHeight w:val="291"/>
        </w:trPr>
        <w:tc>
          <w:tcPr>
            <w:tcW w:w="846" w:type="dxa"/>
            <w:vAlign w:val="center"/>
            <w:textDirection w:val="lrTb"/>
            <w:noWrap w:val="false"/>
          </w:tcPr>
          <w:p>
            <w:pPr>
              <w:jc w:val="center"/>
              <w:spacing w:line="480" w:lineRule="exact"/>
              <w:rPr>
                <w:rFonts w:hint="eastAsia" w:ascii="仿宋" w:hAnsi="仿宋" w:eastAsia="仿宋"/>
                <w:sz w:val="24"/>
                <w:szCs w:val="24"/>
              </w:rPr>
            </w:pPr>
            <w:r/>
            <w:bookmarkStart w:id="206" w:name="OLE_LINK34"/>
            <w:r/>
            <w:bookmarkStart w:id="207" w:name="_Hlk174624518"/>
            <w:r>
              <w:rPr>
                <w:rFonts w:hint="eastAsia" w:ascii="仿宋" w:hAnsi="仿宋" w:eastAsia="仿宋"/>
                <w:sz w:val="24"/>
                <w:szCs w:val="24"/>
              </w:rPr>
              <w:t xml:space="preserve">1</w:t>
            </w:r>
            <w:r/>
          </w:p>
        </w:tc>
        <w:tc>
          <w:tcPr>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高效液相色谱仪</w:t>
            </w:r>
            <w:r/>
          </w:p>
        </w:tc>
        <w:tc>
          <w:tcPr>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否</w:t>
            </w:r>
            <w:bookmarkEnd w:id="206"/>
            <w:r/>
            <w:bookmarkEnd w:id="207"/>
            <w:r/>
            <w:r/>
          </w:p>
        </w:tc>
      </w:tr>
      <w:tr>
        <w:trPr>
          <w:cantSplit/>
          <w:jc w:val="center"/>
          <w:trHeight w:val="235"/>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2</w:t>
            </w:r>
            <w:r/>
          </w:p>
        </w:tc>
        <w:tc>
          <w:tcPr>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全二维液相色谱系统</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222"/>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3</w:t>
            </w:r>
            <w:r/>
          </w:p>
        </w:tc>
        <w:tc>
          <w:tcPr>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超高效液相色谱仪</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222"/>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4</w:t>
            </w:r>
            <w:r/>
          </w:p>
        </w:tc>
        <w:tc>
          <w:tcPr>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电感耦合等离子体质谱仪</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473"/>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5</w:t>
            </w:r>
            <w:r/>
          </w:p>
        </w:tc>
        <w:tc>
          <w:tcPr>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紫外可见分光光度计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473"/>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6</w:t>
            </w:r>
            <w:r/>
          </w:p>
        </w:tc>
        <w:tc>
          <w:tcPr>
            <w:tcW w:w="326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石蜡切片机</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否</w:t>
            </w:r>
            <w:bookmarkEnd w:id="205"/>
            <w:r/>
            <w:r/>
          </w:p>
        </w:tc>
      </w:tr>
    </w:tbl>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技术要求是指对采购标的功能和质量要求，包括性能、材料、结构、外观、安全，或者服务内容和标准等。</w:t>
      </w:r>
      <w:r/>
    </w:p>
    <w:p>
      <w:pPr>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本次采购需切实履行绿色采购，参照《</w:t>
      </w:r>
      <w:bookmarkStart w:id="208" w:name="OLE_LINK18"/>
      <w:r>
        <w:rPr>
          <w:rFonts w:hint="eastAsia" w:ascii="仿宋" w:hAnsi="仿宋" w:eastAsia="仿宋" w:cs="仿宋"/>
          <w:bCs/>
          <w:color w:val="000000"/>
          <w:sz w:val="28"/>
          <w:szCs w:val="28"/>
        </w:rPr>
        <w:t xml:space="preserve">江苏省财政厅关于加强政府绿色采购有关事项的通知</w:t>
      </w:r>
      <w:bookmarkEnd w:id="208"/>
      <w:r>
        <w:rPr>
          <w:rFonts w:hint="eastAsia" w:ascii="仿宋" w:hAnsi="仿宋" w:eastAsia="仿宋" w:cs="仿宋"/>
          <w:bCs/>
          <w:color w:val="000000"/>
          <w:sz w:val="28"/>
          <w:szCs w:val="28"/>
        </w:rPr>
        <w:t xml:space="preserve">》（苏财购〔2023〕65号），严格落实节能环保产品采购政策，严格执行绿色采购需求标准，推广使用低挥发性有机化合物产品，确保绿色采购落实到位。</w:t>
      </w:r>
      <w:bookmarkStart w:id="253" w:name="_GoBack"/>
      <w:r/>
      <w:bookmarkEnd w:id="253"/>
      <w:r/>
      <w:r/>
    </w:p>
    <w:p>
      <w:pPr>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品目清单见《</w:t>
      </w:r>
      <w:bookmarkStart w:id="209" w:name="OLE_LINK14"/>
      <w:r>
        <w:rPr>
          <w:rFonts w:hint="eastAsia" w:ascii="仿宋" w:hAnsi="仿宋" w:eastAsia="仿宋" w:cs="仿宋"/>
          <w:bCs/>
          <w:color w:val="000000"/>
          <w:sz w:val="28"/>
          <w:szCs w:val="28"/>
        </w:rPr>
        <w:t xml:space="preserve">关于印发环境标志产品政府采购品目清单的通知</w:t>
      </w:r>
      <w:bookmarkEnd w:id="209"/>
      <w:r>
        <w:rPr>
          <w:rFonts w:hint="eastAsia" w:ascii="仿宋" w:hAnsi="仿宋" w:eastAsia="仿宋" w:cs="仿宋"/>
          <w:bCs/>
          <w:color w:val="000000"/>
          <w:sz w:val="28"/>
          <w:szCs w:val="28"/>
        </w:rPr>
        <w:t xml:space="preserve">》（</w:t>
      </w:r>
      <w:bookmarkStart w:id="210" w:name="OLE_LINK15"/>
      <w:r>
        <w:rPr>
          <w:rFonts w:hint="eastAsia" w:ascii="仿宋" w:hAnsi="仿宋" w:eastAsia="仿宋" w:cs="仿宋"/>
          <w:bCs/>
          <w:color w:val="000000"/>
          <w:sz w:val="28"/>
          <w:szCs w:val="28"/>
        </w:rPr>
        <w:t xml:space="preserve">财库〔2019〕18号</w:t>
      </w:r>
      <w:bookmarkEnd w:id="210"/>
      <w:r>
        <w:rPr>
          <w:rFonts w:hint="eastAsia" w:ascii="仿宋" w:hAnsi="仿宋" w:eastAsia="仿宋" w:cs="仿宋"/>
          <w:bCs/>
          <w:color w:val="000000"/>
          <w:sz w:val="28"/>
          <w:szCs w:val="28"/>
        </w:rPr>
        <w:t xml:space="preserve">）、《</w:t>
      </w:r>
      <w:bookmarkStart w:id="211" w:name="OLE_LINK16"/>
      <w:r>
        <w:rPr>
          <w:rFonts w:hint="eastAsia" w:ascii="仿宋" w:hAnsi="仿宋" w:eastAsia="仿宋" w:cs="仿宋"/>
          <w:bCs/>
          <w:color w:val="000000"/>
          <w:sz w:val="28"/>
          <w:szCs w:val="28"/>
        </w:rPr>
        <w:t xml:space="preserve">关于印发节能产品政府采购品目清单的通知</w:t>
      </w:r>
      <w:bookmarkEnd w:id="211"/>
      <w:r>
        <w:rPr>
          <w:rFonts w:hint="eastAsia" w:ascii="仿宋" w:hAnsi="仿宋" w:eastAsia="仿宋" w:cs="仿宋"/>
          <w:bCs/>
          <w:color w:val="000000"/>
          <w:sz w:val="28"/>
          <w:szCs w:val="28"/>
        </w:rPr>
        <w:t xml:space="preserve">》（</w:t>
      </w:r>
      <w:bookmarkStart w:id="212" w:name="OLE_LINK17"/>
      <w:r>
        <w:rPr>
          <w:rFonts w:hint="eastAsia" w:ascii="仿宋" w:hAnsi="仿宋" w:eastAsia="仿宋" w:cs="仿宋"/>
          <w:bCs/>
          <w:color w:val="000000"/>
          <w:sz w:val="28"/>
          <w:szCs w:val="28"/>
        </w:rPr>
        <w:t xml:space="preserve">财库〔2019〕19号</w:t>
      </w:r>
      <w:bookmarkEnd w:id="212"/>
      <w:r>
        <w:rPr>
          <w:rFonts w:hint="eastAsia" w:ascii="仿宋" w:hAnsi="仿宋" w:eastAsia="仿宋" w:cs="仿宋"/>
          <w:bCs/>
          <w:color w:val="000000"/>
          <w:sz w:val="28"/>
          <w:szCs w:val="28"/>
        </w:rPr>
        <w:t xml:space="preserve">）。</w:t>
      </w:r>
      <w:r/>
    </w:p>
    <w:p>
      <w:pPr>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需求标准见《商品包装政府采购需求标准（试行）》《快递包装政府采购需求标准（试行）》（财办库〔2020〕123号）、《绿色数据中心政府采购需求标准（试行）》（财库〔2023〕7号）。</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品目一：高效液相色谱仪 1台</w:t>
      </w:r>
      <w:r/>
    </w:p>
    <w:p>
      <w:pPr>
        <w:spacing w:line="360" w:lineRule="auto"/>
        <w:rPr>
          <w:rFonts w:hint="eastAsia" w:ascii="宋体" w:hAnsi="宋体" w:cs="宋体"/>
          <w:b/>
          <w:bCs/>
          <w:sz w:val="24"/>
          <w:szCs w:val="24"/>
        </w:rPr>
      </w:pPr>
      <w:r>
        <w:rPr>
          <w:rFonts w:hint="eastAsia" w:ascii="宋体" w:hAnsi="宋体" w:cs="宋体"/>
          <w:b/>
          <w:bCs/>
          <w:sz w:val="24"/>
          <w:szCs w:val="24"/>
        </w:rPr>
        <w:t xml:space="preserve">1.技术指标</w:t>
      </w:r>
      <w:r/>
    </w:p>
    <w:p>
      <w:pPr>
        <w:spacing w:line="360" w:lineRule="auto"/>
        <w:rPr>
          <w:rFonts w:hint="eastAsia" w:ascii="宋体" w:hAnsi="宋体" w:cs="宋体"/>
          <w:sz w:val="24"/>
          <w:szCs w:val="24"/>
        </w:rPr>
      </w:pPr>
      <w:r>
        <w:rPr>
          <w:rFonts w:hint="eastAsia" w:ascii="宋体" w:hAnsi="宋体" w:cs="宋体"/>
          <w:sz w:val="24"/>
          <w:szCs w:val="24"/>
        </w:rPr>
        <w:t xml:space="preserve">1.1液相四元溶剂梯度泵</w:t>
      </w:r>
      <w:r/>
    </w:p>
    <w:p>
      <w:pPr>
        <w:spacing w:line="360" w:lineRule="auto"/>
        <w:rPr>
          <w:rFonts w:hint="eastAsia" w:ascii="宋体" w:hAnsi="宋体" w:cs="宋体"/>
          <w:sz w:val="24"/>
          <w:szCs w:val="24"/>
        </w:rPr>
      </w:pPr>
      <w:r>
        <w:rPr>
          <w:rFonts w:hint="eastAsia" w:ascii="宋体" w:hAnsi="宋体" w:cs="宋体"/>
          <w:sz w:val="24"/>
          <w:szCs w:val="24"/>
        </w:rPr>
        <w:t xml:space="preserve">▲1.1.1色谱泵：一体式独立柱塞，数控直线驱动色谱泵技术，压力传感器反馈回路≥2，无需阻尼器。</w:t>
      </w:r>
      <w:r/>
    </w:p>
    <w:p>
      <w:pPr>
        <w:spacing w:line="360" w:lineRule="auto"/>
        <w:rPr>
          <w:rFonts w:hint="eastAsia" w:ascii="宋体" w:hAnsi="宋体" w:cs="宋体"/>
          <w:sz w:val="24"/>
          <w:szCs w:val="24"/>
        </w:rPr>
      </w:pPr>
      <w:r>
        <w:rPr>
          <w:rFonts w:hint="eastAsia" w:ascii="宋体" w:hAnsi="宋体" w:cs="宋体"/>
          <w:sz w:val="24"/>
          <w:szCs w:val="24"/>
        </w:rPr>
        <w:t xml:space="preserve">1.1.2最高范围：流速≤5mL/min. 以0.001mL/min为增量。</w:t>
      </w:r>
      <w:r/>
    </w:p>
    <w:p>
      <w:pPr>
        <w:spacing w:line="360" w:lineRule="auto"/>
        <w:rPr>
          <w:rFonts w:hint="eastAsia" w:ascii="宋体" w:hAnsi="宋体" w:cs="宋体"/>
          <w:sz w:val="24"/>
          <w:szCs w:val="24"/>
        </w:rPr>
      </w:pPr>
      <w:r>
        <w:rPr>
          <w:rFonts w:hint="eastAsia" w:ascii="宋体" w:hAnsi="宋体" w:cs="宋体"/>
          <w:sz w:val="24"/>
          <w:szCs w:val="24"/>
        </w:rPr>
        <w:t xml:space="preserve">1.1.3 流量精度：＜0.075%</w:t>
      </w:r>
      <w:r/>
    </w:p>
    <w:p>
      <w:pPr>
        <w:spacing w:line="360" w:lineRule="auto"/>
        <w:rPr>
          <w:rFonts w:hint="eastAsia" w:ascii="宋体" w:hAnsi="宋体" w:cs="宋体"/>
          <w:sz w:val="24"/>
          <w:szCs w:val="24"/>
        </w:rPr>
      </w:pPr>
      <w:r>
        <w:rPr>
          <w:rFonts w:hint="eastAsia" w:ascii="宋体" w:hAnsi="宋体" w:cs="宋体"/>
          <w:sz w:val="24"/>
          <w:szCs w:val="24"/>
        </w:rPr>
        <w:t xml:space="preserve">▲1.1.4最高操作压力：≥650 bar，预设梯度曲线：≥10条，包括线性、凹线、凸线和步进梯度变化，无需模拟即可实现；可根据要求改变系统延迟体积，重现不同品牌不同型号的液相色谱方法。</w:t>
      </w:r>
      <w:r/>
    </w:p>
    <w:p>
      <w:pPr>
        <w:spacing w:line="360" w:lineRule="auto"/>
        <w:rPr>
          <w:rFonts w:hint="eastAsia" w:ascii="宋体" w:hAnsi="宋体" w:cs="宋体"/>
          <w:sz w:val="24"/>
          <w:szCs w:val="24"/>
        </w:rPr>
      </w:pPr>
      <w:r>
        <w:rPr>
          <w:rFonts w:hint="eastAsia" w:ascii="宋体" w:hAnsi="宋体" w:cs="宋体"/>
          <w:sz w:val="24"/>
          <w:szCs w:val="24"/>
        </w:rPr>
        <w:t xml:space="preserve">1.1.5 真空脱气机：四通道在线脱气机</w:t>
      </w:r>
      <w:r/>
    </w:p>
    <w:p>
      <w:pPr>
        <w:spacing w:line="360" w:lineRule="auto"/>
        <w:rPr>
          <w:rFonts w:hint="eastAsia" w:ascii="宋体" w:hAnsi="宋体" w:cs="宋体"/>
          <w:sz w:val="24"/>
          <w:szCs w:val="24"/>
        </w:rPr>
      </w:pPr>
      <w:r>
        <w:rPr>
          <w:rFonts w:hint="eastAsia" w:ascii="宋体" w:hAnsi="宋体" w:cs="宋体"/>
          <w:sz w:val="24"/>
          <w:szCs w:val="24"/>
        </w:rPr>
        <w:t xml:space="preserve">1.1.6流速准确度：±1.0%；梯度准确度：±0.5%，不随反压变化</w:t>
      </w:r>
      <w:r/>
    </w:p>
    <w:p>
      <w:pPr>
        <w:spacing w:line="360" w:lineRule="auto"/>
        <w:rPr>
          <w:rFonts w:hint="eastAsia" w:ascii="宋体" w:hAnsi="宋体" w:cs="宋体"/>
          <w:sz w:val="24"/>
          <w:szCs w:val="24"/>
        </w:rPr>
      </w:pPr>
      <w:r>
        <w:rPr>
          <w:rFonts w:hint="eastAsia" w:ascii="宋体" w:hAnsi="宋体" w:cs="宋体"/>
          <w:sz w:val="24"/>
          <w:szCs w:val="24"/>
        </w:rPr>
        <w:t xml:space="preserve">1.2带制冷功能的超高效自动进样器</w:t>
      </w:r>
      <w:r/>
    </w:p>
    <w:p>
      <w:pPr>
        <w:spacing w:line="360" w:lineRule="auto"/>
        <w:rPr>
          <w:rFonts w:hint="eastAsia" w:ascii="宋体" w:hAnsi="宋体" w:cs="宋体"/>
          <w:sz w:val="24"/>
          <w:szCs w:val="24"/>
        </w:rPr>
      </w:pPr>
      <w:r>
        <w:rPr>
          <w:rFonts w:hint="eastAsia" w:ascii="宋体" w:hAnsi="宋体" w:cs="宋体"/>
          <w:sz w:val="24"/>
          <w:szCs w:val="24"/>
        </w:rPr>
        <w:t xml:space="preserve">1.2.1样品盘：2mL样品瓶,≥90位</w:t>
      </w:r>
      <w:r/>
    </w:p>
    <w:p>
      <w:pPr>
        <w:spacing w:line="360" w:lineRule="auto"/>
        <w:rPr>
          <w:rFonts w:hint="eastAsia" w:ascii="宋体" w:hAnsi="宋体" w:cs="宋体"/>
          <w:sz w:val="24"/>
          <w:szCs w:val="24"/>
        </w:rPr>
      </w:pPr>
      <w:r>
        <w:rPr>
          <w:rFonts w:hint="eastAsia" w:ascii="宋体" w:hAnsi="宋体" w:cs="宋体"/>
          <w:sz w:val="24"/>
          <w:szCs w:val="24"/>
        </w:rPr>
        <w:t xml:space="preserve">1.2.2进样范围：0.1～50μL；进样精度：＜0.2%RSD</w:t>
      </w:r>
      <w:r/>
    </w:p>
    <w:p>
      <w:pPr>
        <w:spacing w:line="360" w:lineRule="auto"/>
        <w:rPr>
          <w:rFonts w:hint="eastAsia" w:ascii="宋体" w:hAnsi="宋体" w:cs="宋体"/>
          <w:sz w:val="24"/>
          <w:szCs w:val="24"/>
        </w:rPr>
      </w:pPr>
      <w:r>
        <w:rPr>
          <w:rFonts w:hint="eastAsia" w:ascii="宋体" w:hAnsi="宋体" w:cs="宋体"/>
          <w:sz w:val="24"/>
          <w:szCs w:val="24"/>
        </w:rPr>
        <w:t xml:space="preserve">1.2.3样品交叉污染：≤0.002%</w:t>
      </w:r>
      <w:r/>
    </w:p>
    <w:p>
      <w:pPr>
        <w:spacing w:line="360" w:lineRule="auto"/>
        <w:rPr>
          <w:rFonts w:hint="eastAsia" w:ascii="宋体" w:hAnsi="宋体" w:cs="宋体"/>
          <w:sz w:val="24"/>
          <w:szCs w:val="24"/>
        </w:rPr>
      </w:pPr>
      <w:r>
        <w:rPr>
          <w:rFonts w:hint="eastAsia" w:ascii="宋体" w:hAnsi="宋体" w:cs="宋体"/>
          <w:sz w:val="24"/>
          <w:szCs w:val="24"/>
        </w:rPr>
        <w:t xml:space="preserve">1.2.4自动进样器温控范围：4</w:t>
      </w:r>
      <w:r>
        <w:rPr>
          <w:rFonts w:ascii="Symbol" w:hAnsi="Symbol" w:eastAsia="Symbol" w:cs="Symbol"/>
          <w:sz w:val="24"/>
          <w:szCs w:val="24"/>
        </w:rPr>
        <w:t xml:space="preserve">°</w:t>
      </w:r>
      <w:r>
        <w:rPr>
          <w:rFonts w:hint="eastAsia" w:ascii="宋体" w:hAnsi="宋体" w:cs="宋体"/>
          <w:sz w:val="24"/>
          <w:szCs w:val="24"/>
        </w:rPr>
        <w:t xml:space="preserve">C～40</w:t>
      </w:r>
      <w:r>
        <w:rPr>
          <w:rFonts w:ascii="Symbol" w:hAnsi="Symbol" w:eastAsia="Symbol" w:cs="Symbol"/>
          <w:sz w:val="24"/>
          <w:szCs w:val="24"/>
        </w:rPr>
        <w:t xml:space="preserve">°</w:t>
      </w:r>
      <w:r>
        <w:rPr>
          <w:rFonts w:hint="eastAsia" w:ascii="宋体" w:hAnsi="宋体" w:cs="宋体"/>
          <w:sz w:val="24"/>
          <w:szCs w:val="24"/>
        </w:rPr>
        <w:t xml:space="preserve">C</w:t>
      </w:r>
      <w:r/>
    </w:p>
    <w:p>
      <w:pPr>
        <w:spacing w:line="360" w:lineRule="auto"/>
        <w:rPr>
          <w:rFonts w:hint="eastAsia" w:ascii="宋体" w:hAnsi="宋体" w:cs="宋体"/>
          <w:sz w:val="24"/>
          <w:szCs w:val="24"/>
        </w:rPr>
      </w:pPr>
      <w:r>
        <w:rPr>
          <w:rFonts w:hint="eastAsia" w:ascii="宋体" w:hAnsi="宋体" w:cs="宋体"/>
          <w:sz w:val="24"/>
          <w:szCs w:val="24"/>
        </w:rPr>
        <w:t xml:space="preserve">1.3 柱温箱</w:t>
      </w:r>
      <w:r/>
    </w:p>
    <w:p>
      <w:pPr>
        <w:spacing w:line="360" w:lineRule="auto"/>
        <w:rPr>
          <w:rFonts w:hint="eastAsia" w:ascii="宋体" w:hAnsi="宋体" w:cs="宋体"/>
          <w:sz w:val="24"/>
          <w:szCs w:val="24"/>
        </w:rPr>
      </w:pPr>
      <w:r>
        <w:rPr>
          <w:rFonts w:hint="eastAsia" w:ascii="宋体" w:hAnsi="宋体" w:cs="宋体"/>
          <w:sz w:val="24"/>
          <w:szCs w:val="24"/>
        </w:rPr>
        <w:t xml:space="preserve">1.3.1控温范围：20℃～65℃</w:t>
      </w:r>
      <w:r/>
    </w:p>
    <w:p>
      <w:pPr>
        <w:spacing w:line="360" w:lineRule="auto"/>
        <w:rPr>
          <w:rFonts w:hint="eastAsia" w:ascii="宋体" w:hAnsi="宋体" w:cs="宋体"/>
          <w:sz w:val="24"/>
          <w:szCs w:val="24"/>
        </w:rPr>
      </w:pPr>
      <w:r>
        <w:rPr>
          <w:rFonts w:hint="eastAsia" w:ascii="宋体" w:hAnsi="宋体" w:cs="宋体"/>
          <w:sz w:val="24"/>
          <w:szCs w:val="24"/>
        </w:rPr>
        <w:t xml:space="preserve">1.3.2温度稳定性: </w:t>
      </w:r>
      <w:r>
        <w:rPr>
          <w:rFonts w:ascii="Symbol" w:hAnsi="Symbol" w:eastAsia="Symbol" w:cs="Symbol"/>
          <w:sz w:val="24"/>
          <w:szCs w:val="24"/>
        </w:rPr>
        <w:t xml:space="preserve">±</w:t>
      </w:r>
      <w:r>
        <w:rPr>
          <w:rFonts w:hint="eastAsia" w:ascii="宋体" w:hAnsi="宋体" w:cs="宋体"/>
          <w:sz w:val="24"/>
          <w:szCs w:val="24"/>
        </w:rPr>
        <w:t xml:space="preserve">0.1 ℃</w:t>
      </w:r>
      <w:r/>
    </w:p>
    <w:p>
      <w:pPr>
        <w:spacing w:line="360" w:lineRule="auto"/>
        <w:rPr>
          <w:rFonts w:hint="eastAsia" w:ascii="宋体" w:hAnsi="宋体" w:cs="宋体"/>
          <w:sz w:val="24"/>
          <w:szCs w:val="24"/>
        </w:rPr>
      </w:pPr>
      <w:r>
        <w:rPr>
          <w:rFonts w:hint="eastAsia" w:ascii="宋体" w:hAnsi="宋体" w:cs="宋体"/>
          <w:sz w:val="24"/>
          <w:szCs w:val="24"/>
        </w:rPr>
        <w:t xml:space="preserve">1.4二极管阵列检测器</w:t>
      </w:r>
      <w:r/>
    </w:p>
    <w:p>
      <w:pPr>
        <w:spacing w:line="360" w:lineRule="auto"/>
        <w:rPr>
          <w:rFonts w:hint="eastAsia" w:ascii="宋体" w:hAnsi="宋体" w:cs="宋体"/>
          <w:sz w:val="24"/>
          <w:szCs w:val="24"/>
        </w:rPr>
      </w:pPr>
      <w:r/>
      <w:bookmarkStart w:id="213" w:name="OLE_LINK8"/>
      <w:r>
        <w:rPr>
          <w:rFonts w:hint="eastAsia" w:ascii="宋体" w:hAnsi="宋体" w:cs="宋体"/>
          <w:sz w:val="24"/>
          <w:szCs w:val="24"/>
        </w:rPr>
        <w:t xml:space="preserve">1.4.1</w:t>
      </w:r>
      <w:bookmarkEnd w:id="213"/>
      <w:r>
        <w:rPr>
          <w:rFonts w:hint="eastAsia" w:ascii="宋体" w:hAnsi="宋体" w:cs="宋体"/>
          <w:sz w:val="24"/>
          <w:szCs w:val="24"/>
        </w:rPr>
        <w:t xml:space="preserve">波长范围：190～800nm或更宽</w:t>
      </w:r>
      <w:r/>
    </w:p>
    <w:p>
      <w:pPr>
        <w:spacing w:line="360" w:lineRule="auto"/>
        <w:rPr>
          <w:rFonts w:hint="eastAsia" w:ascii="宋体" w:hAnsi="宋体" w:cs="宋体"/>
          <w:sz w:val="24"/>
          <w:szCs w:val="24"/>
        </w:rPr>
      </w:pPr>
      <w:r>
        <w:rPr>
          <w:rFonts w:hint="eastAsia" w:ascii="宋体" w:hAnsi="宋体" w:cs="宋体"/>
          <w:sz w:val="24"/>
          <w:szCs w:val="24"/>
        </w:rPr>
        <w:t xml:space="preserve">▲1.4.2光源：全程仅使用氘灯作为光源，便于更换维护</w:t>
      </w:r>
      <w:r/>
    </w:p>
    <w:p>
      <w:pPr>
        <w:spacing w:line="360" w:lineRule="auto"/>
        <w:rPr>
          <w:rFonts w:hint="eastAsia" w:ascii="宋体" w:hAnsi="宋体" w:cs="宋体"/>
          <w:sz w:val="24"/>
          <w:szCs w:val="24"/>
        </w:rPr>
      </w:pPr>
      <w:r>
        <w:rPr>
          <w:rFonts w:hint="eastAsia" w:ascii="宋体" w:hAnsi="宋体" w:cs="宋体"/>
          <w:sz w:val="24"/>
          <w:szCs w:val="24"/>
        </w:rPr>
        <w:t xml:space="preserve">1.4.3扫描速率：≥80Hz</w:t>
      </w:r>
      <w:r/>
    </w:p>
    <w:p>
      <w:pPr>
        <w:spacing w:line="360" w:lineRule="auto"/>
        <w:rPr>
          <w:rFonts w:hint="eastAsia" w:ascii="宋体" w:hAnsi="宋体" w:cs="宋体"/>
          <w:sz w:val="24"/>
          <w:szCs w:val="24"/>
        </w:rPr>
      </w:pPr>
      <w:r>
        <w:rPr>
          <w:rFonts w:hint="eastAsia" w:ascii="宋体" w:hAnsi="宋体" w:cs="宋体"/>
          <w:sz w:val="24"/>
          <w:szCs w:val="24"/>
        </w:rPr>
        <w:t xml:space="preserve">1.4.4噪声：≤±1.0×10</w:t>
      </w:r>
      <w:r>
        <w:rPr>
          <w:rFonts w:hint="eastAsia" w:ascii="宋体" w:hAnsi="宋体" w:cs="宋体"/>
          <w:sz w:val="24"/>
          <w:szCs w:val="24"/>
          <w:vertAlign w:val="superscript"/>
        </w:rPr>
        <w:t xml:space="preserve">-5</w:t>
      </w:r>
      <w:r>
        <w:rPr>
          <w:rFonts w:hint="eastAsia" w:ascii="宋体" w:hAnsi="宋体" w:cs="宋体"/>
          <w:sz w:val="24"/>
          <w:szCs w:val="24"/>
        </w:rPr>
        <w:t xml:space="preserve">AU</w:t>
      </w:r>
      <w:r/>
    </w:p>
    <w:p>
      <w:pPr>
        <w:spacing w:line="360" w:lineRule="auto"/>
        <w:rPr>
          <w:rFonts w:hint="eastAsia" w:ascii="宋体" w:hAnsi="宋体" w:cs="宋体"/>
          <w:sz w:val="24"/>
          <w:szCs w:val="24"/>
        </w:rPr>
      </w:pPr>
      <w:r>
        <w:rPr>
          <w:rFonts w:hint="eastAsia" w:ascii="宋体" w:hAnsi="宋体" w:cs="宋体"/>
          <w:sz w:val="24"/>
          <w:szCs w:val="24"/>
        </w:rPr>
        <w:t xml:space="preserve">1.4.5数据采集：≥8通道</w:t>
      </w:r>
      <w:r/>
    </w:p>
    <w:p>
      <w:pPr>
        <w:spacing w:line="360" w:lineRule="auto"/>
        <w:rPr>
          <w:rFonts w:hint="eastAsia" w:ascii="宋体" w:hAnsi="宋体" w:cs="宋体"/>
          <w:b/>
          <w:bCs/>
          <w:sz w:val="24"/>
          <w:szCs w:val="24"/>
        </w:rPr>
      </w:pPr>
      <w:r>
        <w:rPr>
          <w:rFonts w:hint="eastAsia" w:ascii="宋体" w:hAnsi="宋体" w:cs="宋体"/>
          <w:b/>
          <w:bCs/>
          <w:sz w:val="24"/>
          <w:szCs w:val="24"/>
        </w:rPr>
        <w:t xml:space="preserve">2.原厂培训要求</w:t>
      </w:r>
      <w:r/>
    </w:p>
    <w:p>
      <w:pPr>
        <w:spacing w:line="360" w:lineRule="auto"/>
        <w:rPr>
          <w:rFonts w:hint="eastAsia" w:ascii="宋体" w:hAnsi="宋体" w:cs="宋体"/>
          <w:sz w:val="24"/>
          <w:szCs w:val="24"/>
        </w:rPr>
      </w:pPr>
      <w:r>
        <w:rPr>
          <w:rFonts w:hint="eastAsia" w:ascii="宋体" w:hAnsi="宋体" w:cs="宋体"/>
          <w:sz w:val="24"/>
          <w:szCs w:val="24"/>
        </w:rPr>
        <w:t xml:space="preserve">2.1每台仪器提供2个名额，参加原厂组织的实操培训。</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品目二：全二维液相色谱系统 1台</w:t>
      </w:r>
      <w:r/>
    </w:p>
    <w:p>
      <w:pPr>
        <w:jc w:val="left"/>
        <w:spacing w:line="360" w:lineRule="auto"/>
        <w:widowControl/>
        <w:rPr>
          <w:rFonts w:hint="eastAsia" w:ascii="宋体" w:hAnsi="宋体" w:cs="宋体"/>
          <w:b/>
          <w:bCs/>
          <w:color w:val="000000"/>
          <w:sz w:val="24"/>
          <w:szCs w:val="24"/>
        </w:rPr>
      </w:pPr>
      <w:r/>
      <w:bookmarkStart w:id="214" w:name="_Hlk170071998"/>
      <w:r>
        <w:rPr>
          <w:rFonts w:hint="eastAsia" w:ascii="宋体" w:hAnsi="宋体" w:cs="宋体"/>
          <w:b/>
          <w:bCs/>
          <w:color w:val="000000"/>
          <w:sz w:val="24"/>
          <w:szCs w:val="24"/>
        </w:rPr>
        <w:t xml:space="preserve">1.技术指标</w:t>
      </w:r>
      <w:r/>
    </w:p>
    <w:p>
      <w:pPr>
        <w:spacing w:line="360" w:lineRule="auto"/>
        <w:rPr>
          <w:rFonts w:hint="eastAsia" w:ascii="宋体" w:hAnsi="宋体"/>
          <w:bCs/>
          <w:sz w:val="24"/>
          <w:szCs w:val="24"/>
        </w:rPr>
      </w:pPr>
      <w:r>
        <w:rPr>
          <w:rFonts w:hint="eastAsia" w:ascii="宋体" w:hAnsi="宋体"/>
          <w:bCs/>
          <w:sz w:val="24"/>
          <w:szCs w:val="24"/>
        </w:rPr>
        <w:t xml:space="preserve">1.1四元溶剂泵</w:t>
      </w:r>
      <w:r/>
    </w:p>
    <w:p>
      <w:pPr>
        <w:spacing w:line="360" w:lineRule="auto"/>
        <w:rPr>
          <w:rFonts w:hint="eastAsia" w:ascii="宋体" w:hAnsi="宋体"/>
          <w:bCs/>
          <w:sz w:val="24"/>
          <w:szCs w:val="24"/>
        </w:rPr>
      </w:pPr>
      <w:r>
        <w:rPr>
          <w:rFonts w:hint="eastAsia" w:ascii="宋体" w:hAnsi="宋体"/>
          <w:bCs/>
          <w:sz w:val="24"/>
          <w:szCs w:val="24"/>
        </w:rPr>
        <w:t xml:space="preserve">▲1.1.1色谱泵：一体式独立柱塞，数控直线驱动色谱泵技术，压力传感器反馈回路≥2路，无需阻尼器。</w:t>
      </w:r>
      <w:r/>
    </w:p>
    <w:p>
      <w:pPr>
        <w:spacing w:line="360" w:lineRule="auto"/>
        <w:rPr>
          <w:rFonts w:hint="eastAsia" w:ascii="宋体" w:hAnsi="宋体"/>
          <w:bCs/>
          <w:sz w:val="24"/>
          <w:szCs w:val="24"/>
        </w:rPr>
      </w:pPr>
      <w:r>
        <w:rPr>
          <w:rFonts w:hint="eastAsia" w:ascii="宋体" w:hAnsi="宋体"/>
          <w:bCs/>
          <w:sz w:val="24"/>
          <w:szCs w:val="24"/>
        </w:rPr>
        <w:t xml:space="preserve">1.1.2 集成式漏液管理：漏液传感器（标配）与安全漏液处理。</w:t>
      </w:r>
      <w:r/>
    </w:p>
    <w:p>
      <w:pPr>
        <w:spacing w:line="360" w:lineRule="auto"/>
        <w:rPr>
          <w:rFonts w:hint="eastAsia" w:ascii="宋体" w:hAnsi="宋体"/>
          <w:bCs/>
          <w:sz w:val="24"/>
          <w:szCs w:val="24"/>
        </w:rPr>
      </w:pPr>
      <w:r>
        <w:rPr>
          <w:rFonts w:hint="eastAsia" w:ascii="宋体" w:hAnsi="宋体"/>
          <w:bCs/>
          <w:sz w:val="24"/>
          <w:szCs w:val="24"/>
        </w:rPr>
        <w:t xml:space="preserve">1.1.3梯度模式：低压混合，四元梯度，1～4路溶剂任意混合。</w:t>
      </w:r>
      <w:r/>
    </w:p>
    <w:p>
      <w:pPr>
        <w:spacing w:line="360" w:lineRule="auto"/>
        <w:rPr>
          <w:rFonts w:hint="eastAsia" w:ascii="宋体" w:hAnsi="宋体"/>
          <w:bCs/>
          <w:sz w:val="24"/>
          <w:szCs w:val="24"/>
        </w:rPr>
      </w:pPr>
      <w:r>
        <w:rPr>
          <w:rFonts w:hint="eastAsia" w:ascii="宋体" w:hAnsi="宋体"/>
          <w:bCs/>
          <w:sz w:val="24"/>
          <w:szCs w:val="24"/>
        </w:rPr>
        <w:t xml:space="preserve">1.1.4 最高流速：可达5.000 mL/min，增量为0.001mL，具有硬件多流路切换功能，且系统延迟体积可调，由软件控制自由切换，重现其他液相系统延迟体积。</w:t>
      </w:r>
      <w:r/>
    </w:p>
    <w:p>
      <w:pPr>
        <w:spacing w:line="360" w:lineRule="auto"/>
        <w:rPr>
          <w:rFonts w:hint="eastAsia" w:ascii="宋体" w:hAnsi="宋体"/>
          <w:bCs/>
          <w:sz w:val="24"/>
          <w:szCs w:val="24"/>
        </w:rPr>
      </w:pPr>
      <w:r>
        <w:rPr>
          <w:rFonts w:hint="eastAsia" w:ascii="宋体" w:hAnsi="宋体"/>
          <w:bCs/>
          <w:sz w:val="24"/>
          <w:szCs w:val="24"/>
        </w:rPr>
        <w:t xml:space="preserve">1.1.5脱气：集成式真空脱气，至少4个排气仓。</w:t>
      </w:r>
      <w:r/>
    </w:p>
    <w:p>
      <w:pPr>
        <w:spacing w:line="360" w:lineRule="auto"/>
        <w:rPr>
          <w:rFonts w:hint="eastAsia" w:ascii="宋体" w:hAnsi="宋体"/>
          <w:bCs/>
          <w:sz w:val="24"/>
          <w:szCs w:val="24"/>
        </w:rPr>
      </w:pPr>
      <w:r>
        <w:rPr>
          <w:rFonts w:hint="eastAsia" w:ascii="宋体" w:hAnsi="宋体"/>
          <w:bCs/>
          <w:sz w:val="24"/>
          <w:szCs w:val="24"/>
        </w:rPr>
        <w:t xml:space="preserve">1.1.6最大操作压力：≥650 bar，预设梯度曲线≥10条，包括线性、凹线、凸线和步进梯度变化，无需模拟即可实现。</w:t>
      </w:r>
      <w:r/>
    </w:p>
    <w:p>
      <w:pPr>
        <w:spacing w:line="360" w:lineRule="auto"/>
        <w:rPr>
          <w:rFonts w:hint="eastAsia" w:ascii="宋体" w:hAnsi="宋体"/>
          <w:bCs/>
          <w:sz w:val="24"/>
          <w:szCs w:val="24"/>
        </w:rPr>
      </w:pPr>
      <w:r>
        <w:rPr>
          <w:rFonts w:hint="eastAsia" w:ascii="宋体" w:hAnsi="宋体"/>
          <w:bCs/>
          <w:sz w:val="24"/>
          <w:szCs w:val="24"/>
        </w:rPr>
        <w:t xml:space="preserve">1.1.7梯度延迟体积：≤1050μL，不随反压变化。</w:t>
      </w:r>
      <w:r/>
    </w:p>
    <w:p>
      <w:pPr>
        <w:spacing w:line="360" w:lineRule="auto"/>
        <w:rPr>
          <w:rFonts w:hint="eastAsia" w:ascii="宋体" w:hAnsi="宋体"/>
          <w:bCs/>
          <w:sz w:val="24"/>
          <w:szCs w:val="24"/>
        </w:rPr>
      </w:pPr>
      <w:r>
        <w:rPr>
          <w:rFonts w:hint="eastAsia" w:ascii="宋体" w:hAnsi="宋体"/>
          <w:bCs/>
          <w:sz w:val="24"/>
          <w:szCs w:val="24"/>
        </w:rPr>
        <w:t xml:space="preserve">1.1.8流速准确度：准确度为±1.0%</w:t>
      </w:r>
      <w:r/>
    </w:p>
    <w:p>
      <w:pPr>
        <w:spacing w:line="360" w:lineRule="auto"/>
        <w:rPr>
          <w:rFonts w:hint="eastAsia" w:ascii="宋体" w:hAnsi="宋体"/>
          <w:bCs/>
          <w:sz w:val="24"/>
          <w:szCs w:val="24"/>
        </w:rPr>
      </w:pPr>
      <w:r>
        <w:rPr>
          <w:rFonts w:hint="eastAsia" w:ascii="宋体" w:hAnsi="宋体"/>
          <w:bCs/>
          <w:sz w:val="24"/>
          <w:szCs w:val="24"/>
        </w:rPr>
        <w:t xml:space="preserve">1.1.9混合准确度：±0.5%，不随反压变化 </w:t>
      </w:r>
      <w:r/>
    </w:p>
    <w:p>
      <w:pPr>
        <w:spacing w:line="360" w:lineRule="auto"/>
        <w:rPr>
          <w:rFonts w:hint="eastAsia" w:ascii="宋体" w:hAnsi="宋体"/>
          <w:bCs/>
          <w:sz w:val="24"/>
          <w:szCs w:val="24"/>
        </w:rPr>
      </w:pPr>
      <w:r>
        <w:rPr>
          <w:rFonts w:hint="eastAsia" w:ascii="宋体" w:hAnsi="宋体"/>
          <w:bCs/>
          <w:sz w:val="24"/>
          <w:szCs w:val="24"/>
        </w:rPr>
        <w:t xml:space="preserve">1.1.10混合精度：±0.15% RSD，基于6次重复进样的结果，不随反压变化</w:t>
      </w:r>
      <w:r/>
    </w:p>
    <w:p>
      <w:pPr>
        <w:spacing w:line="360" w:lineRule="auto"/>
        <w:rPr>
          <w:rFonts w:hint="eastAsia" w:ascii="宋体" w:hAnsi="宋体"/>
          <w:bCs/>
          <w:sz w:val="24"/>
          <w:szCs w:val="24"/>
        </w:rPr>
      </w:pPr>
      <w:r>
        <w:rPr>
          <w:rFonts w:hint="eastAsia" w:ascii="宋体" w:hAnsi="宋体"/>
          <w:bCs/>
          <w:sz w:val="24"/>
          <w:szCs w:val="24"/>
        </w:rPr>
        <w:t xml:space="preserve">1.1.11 梯度起始模式：≥3（进样前，进样后，进样同步），内置自动缓冲盐配置功能：可实现自动配置缓冲盐浓度和pH值梯度变化。</w:t>
      </w:r>
      <w:r/>
    </w:p>
    <w:p>
      <w:pPr>
        <w:spacing w:line="360" w:lineRule="auto"/>
        <w:rPr>
          <w:rFonts w:hint="eastAsia" w:ascii="宋体" w:hAnsi="宋体"/>
          <w:bCs/>
          <w:sz w:val="24"/>
          <w:szCs w:val="24"/>
        </w:rPr>
      </w:pPr>
      <w:r>
        <w:rPr>
          <w:rFonts w:hint="eastAsia" w:ascii="宋体" w:hAnsi="宋体"/>
          <w:bCs/>
          <w:sz w:val="24"/>
          <w:szCs w:val="24"/>
        </w:rPr>
        <w:t xml:space="preserve">1.2 自动进样器</w:t>
      </w:r>
      <w:r/>
    </w:p>
    <w:p>
      <w:pPr>
        <w:spacing w:line="360" w:lineRule="auto"/>
        <w:rPr>
          <w:rFonts w:hint="eastAsia" w:ascii="宋体" w:hAnsi="宋体"/>
          <w:bCs/>
          <w:sz w:val="24"/>
          <w:szCs w:val="24"/>
        </w:rPr>
      </w:pPr>
      <w:r>
        <w:rPr>
          <w:rFonts w:hint="eastAsia" w:ascii="宋体" w:hAnsi="宋体"/>
          <w:bCs/>
          <w:sz w:val="24"/>
          <w:szCs w:val="24"/>
        </w:rPr>
        <w:t xml:space="preserve">1.2.1样品容量：≥96（2mL样品瓶架）</w:t>
      </w:r>
      <w:r/>
    </w:p>
    <w:p>
      <w:pPr>
        <w:spacing w:line="360" w:lineRule="auto"/>
        <w:rPr>
          <w:rFonts w:hint="eastAsia" w:ascii="宋体" w:hAnsi="宋体"/>
          <w:bCs/>
          <w:sz w:val="24"/>
          <w:szCs w:val="24"/>
        </w:rPr>
      </w:pPr>
      <w:r>
        <w:rPr>
          <w:rFonts w:hint="eastAsia" w:ascii="宋体" w:hAnsi="宋体"/>
          <w:bCs/>
          <w:sz w:val="24"/>
          <w:szCs w:val="24"/>
        </w:rPr>
        <w:t xml:space="preserve">1.2.2进样精度：＜0.25% RSD</w:t>
      </w:r>
      <w:r/>
    </w:p>
    <w:p>
      <w:pPr>
        <w:spacing w:line="360" w:lineRule="auto"/>
        <w:rPr>
          <w:rFonts w:hint="eastAsia" w:ascii="宋体" w:hAnsi="宋体"/>
          <w:bCs/>
          <w:sz w:val="24"/>
          <w:szCs w:val="24"/>
        </w:rPr>
      </w:pPr>
      <w:r>
        <w:rPr>
          <w:rFonts w:hint="eastAsia" w:ascii="宋体" w:hAnsi="宋体"/>
          <w:bCs/>
          <w:sz w:val="24"/>
          <w:szCs w:val="24"/>
        </w:rPr>
        <w:t xml:space="preserve">1.2.3进样准确度：±0.2μL</w:t>
      </w:r>
      <w:r/>
    </w:p>
    <w:p>
      <w:pPr>
        <w:spacing w:line="360" w:lineRule="auto"/>
        <w:rPr>
          <w:rFonts w:hint="eastAsia" w:ascii="宋体" w:hAnsi="宋体"/>
          <w:bCs/>
          <w:sz w:val="24"/>
          <w:szCs w:val="24"/>
        </w:rPr>
      </w:pPr>
      <w:r>
        <w:rPr>
          <w:rFonts w:hint="eastAsia" w:ascii="宋体" w:hAnsi="宋体"/>
          <w:bCs/>
          <w:sz w:val="24"/>
          <w:szCs w:val="24"/>
        </w:rPr>
        <w:t xml:space="preserve">1.2.4样品交叉污染/样品残留：＜0.002%（咖啡因），UV条件下</w:t>
      </w:r>
      <w:r/>
    </w:p>
    <w:p>
      <w:pPr>
        <w:spacing w:line="360" w:lineRule="auto"/>
        <w:rPr>
          <w:rFonts w:hint="eastAsia" w:ascii="宋体" w:hAnsi="宋体"/>
          <w:bCs/>
          <w:sz w:val="24"/>
          <w:szCs w:val="24"/>
        </w:rPr>
      </w:pPr>
      <w:r>
        <w:rPr>
          <w:rFonts w:hint="eastAsia" w:ascii="宋体" w:hAnsi="宋体"/>
          <w:bCs/>
          <w:sz w:val="24"/>
          <w:szCs w:val="24"/>
        </w:rPr>
        <w:t xml:space="preserve">1.2.5进样体积：0.1～250μL。</w:t>
      </w:r>
      <w:r/>
    </w:p>
    <w:p>
      <w:pPr>
        <w:spacing w:line="360" w:lineRule="auto"/>
        <w:rPr>
          <w:rFonts w:hint="eastAsia" w:ascii="宋体" w:hAnsi="宋体"/>
          <w:bCs/>
          <w:sz w:val="24"/>
          <w:szCs w:val="24"/>
        </w:rPr>
      </w:pPr>
      <w:r>
        <w:rPr>
          <w:rFonts w:hint="eastAsia" w:ascii="宋体" w:hAnsi="宋体"/>
          <w:bCs/>
          <w:sz w:val="24"/>
          <w:szCs w:val="24"/>
        </w:rPr>
        <w:t xml:space="preserve">1.2.6样品室温度范围：4℃～40℃。</w:t>
      </w:r>
      <w:r/>
    </w:p>
    <w:p>
      <w:pPr>
        <w:spacing w:line="360" w:lineRule="auto"/>
        <w:rPr>
          <w:rFonts w:hint="eastAsia" w:ascii="宋体" w:hAnsi="宋体"/>
          <w:bCs/>
          <w:sz w:val="24"/>
          <w:szCs w:val="24"/>
        </w:rPr>
      </w:pPr>
      <w:r>
        <w:rPr>
          <w:rFonts w:hint="eastAsia" w:ascii="宋体" w:hAnsi="宋体"/>
          <w:bCs/>
          <w:sz w:val="24"/>
          <w:szCs w:val="24"/>
        </w:rPr>
        <w:t xml:space="preserve">1.3柱温箱 </w:t>
      </w:r>
      <w:r/>
    </w:p>
    <w:p>
      <w:pPr>
        <w:spacing w:line="360" w:lineRule="auto"/>
        <w:rPr>
          <w:rFonts w:hint="eastAsia" w:ascii="宋体" w:hAnsi="宋体"/>
          <w:bCs/>
          <w:sz w:val="24"/>
          <w:szCs w:val="24"/>
        </w:rPr>
      </w:pPr>
      <w:r>
        <w:rPr>
          <w:rFonts w:hint="eastAsia" w:ascii="宋体" w:hAnsi="宋体"/>
          <w:bCs/>
          <w:sz w:val="24"/>
          <w:szCs w:val="24"/>
        </w:rPr>
        <w:t xml:space="preserve">1.3.1 色谱柱容量：支持使用两支150 mm长的色谱柱或四支50 mm长的色谱柱。两根色谱柱均可实现独立温控，为正交分离提供多功能性。色谱柱管理器标准化简单接口，小系统体积。</w:t>
      </w:r>
      <w:r/>
    </w:p>
    <w:p>
      <w:pPr>
        <w:spacing w:line="360" w:lineRule="auto"/>
        <w:rPr>
          <w:rFonts w:hint="eastAsia" w:ascii="宋体" w:hAnsi="宋体"/>
          <w:bCs/>
          <w:sz w:val="24"/>
          <w:szCs w:val="24"/>
        </w:rPr>
      </w:pPr>
      <w:r>
        <w:rPr>
          <w:rFonts w:hint="eastAsia" w:ascii="宋体" w:hAnsi="宋体"/>
          <w:bCs/>
          <w:sz w:val="24"/>
          <w:szCs w:val="24"/>
        </w:rPr>
        <w:t xml:space="preserve">1.3.2两位六通阀</w:t>
      </w:r>
      <w:r/>
    </w:p>
    <w:p>
      <w:pPr>
        <w:spacing w:line="360" w:lineRule="auto"/>
        <w:rPr>
          <w:rFonts w:hint="eastAsia" w:ascii="宋体" w:hAnsi="宋体"/>
          <w:bCs/>
          <w:sz w:val="24"/>
          <w:szCs w:val="24"/>
        </w:rPr>
      </w:pPr>
      <w:r>
        <w:rPr>
          <w:rFonts w:hint="eastAsia" w:ascii="宋体" w:hAnsi="宋体"/>
          <w:bCs/>
          <w:sz w:val="24"/>
          <w:szCs w:val="24"/>
        </w:rPr>
        <w:t xml:space="preserve">1.3.3在线稀释功能：保证在一维高有机相梯度下出的峰，切至二维体系时也可以很好的保留。</w:t>
      </w:r>
      <w:r/>
    </w:p>
    <w:p>
      <w:pPr>
        <w:spacing w:line="360" w:lineRule="auto"/>
        <w:rPr>
          <w:rFonts w:hint="eastAsia" w:ascii="宋体" w:hAnsi="宋体"/>
          <w:bCs/>
          <w:sz w:val="24"/>
          <w:szCs w:val="24"/>
        </w:rPr>
      </w:pPr>
      <w:r>
        <w:rPr>
          <w:rFonts w:hint="eastAsia" w:ascii="宋体" w:hAnsi="宋体"/>
          <w:bCs/>
          <w:sz w:val="24"/>
          <w:szCs w:val="24"/>
        </w:rPr>
        <w:t xml:space="preserve">1.3.4温度范围：4℃～90℃。</w:t>
      </w:r>
      <w:r/>
    </w:p>
    <w:p>
      <w:pPr>
        <w:spacing w:line="360" w:lineRule="auto"/>
        <w:rPr>
          <w:rFonts w:hint="eastAsia" w:ascii="宋体" w:hAnsi="宋体"/>
          <w:bCs/>
          <w:sz w:val="24"/>
          <w:szCs w:val="24"/>
        </w:rPr>
      </w:pPr>
      <w:r>
        <w:rPr>
          <w:rFonts w:hint="eastAsia" w:ascii="宋体" w:hAnsi="宋体"/>
          <w:bCs/>
          <w:sz w:val="24"/>
          <w:szCs w:val="24"/>
        </w:rPr>
        <w:t xml:space="preserve">1.4二极管阵列检测器</w:t>
      </w:r>
      <w:r/>
    </w:p>
    <w:p>
      <w:pPr>
        <w:spacing w:line="360" w:lineRule="auto"/>
        <w:rPr>
          <w:rFonts w:hint="eastAsia" w:ascii="宋体" w:hAnsi="宋体"/>
          <w:bCs/>
          <w:sz w:val="24"/>
          <w:szCs w:val="24"/>
        </w:rPr>
      </w:pPr>
      <w:r>
        <w:rPr>
          <w:rFonts w:hint="eastAsia" w:ascii="宋体" w:hAnsi="宋体"/>
          <w:bCs/>
          <w:sz w:val="24"/>
          <w:szCs w:val="24"/>
        </w:rPr>
        <w:t xml:space="preserve">1.4.1波长范围：190～800nm或更宽。</w:t>
      </w:r>
      <w:r/>
    </w:p>
    <w:p>
      <w:pPr>
        <w:spacing w:line="360" w:lineRule="auto"/>
        <w:rPr>
          <w:rFonts w:hint="eastAsia" w:ascii="宋体" w:hAnsi="宋体"/>
          <w:bCs/>
          <w:sz w:val="24"/>
          <w:szCs w:val="24"/>
        </w:rPr>
      </w:pPr>
      <w:r>
        <w:rPr>
          <w:rFonts w:hint="eastAsia" w:ascii="宋体" w:hAnsi="宋体"/>
          <w:bCs/>
          <w:sz w:val="24"/>
          <w:szCs w:val="24"/>
        </w:rPr>
        <w:t xml:space="preserve">▲1.4.2光源：全程仅使用氘灯作为光源，便于更换维护。</w:t>
      </w:r>
      <w:r/>
    </w:p>
    <w:p>
      <w:pPr>
        <w:spacing w:line="360" w:lineRule="auto"/>
        <w:rPr>
          <w:rFonts w:hint="eastAsia" w:ascii="宋体" w:hAnsi="宋体"/>
          <w:bCs/>
          <w:sz w:val="24"/>
          <w:szCs w:val="24"/>
        </w:rPr>
      </w:pPr>
      <w:r>
        <w:rPr>
          <w:rFonts w:hint="eastAsia" w:ascii="宋体" w:hAnsi="宋体"/>
          <w:bCs/>
          <w:sz w:val="24"/>
          <w:szCs w:val="24"/>
        </w:rPr>
        <w:t xml:space="preserve">1.4.3扫描速率：≥80Hz</w:t>
      </w:r>
      <w:r/>
    </w:p>
    <w:p>
      <w:pPr>
        <w:spacing w:line="360" w:lineRule="auto"/>
        <w:rPr>
          <w:rFonts w:hint="eastAsia" w:ascii="宋体" w:hAnsi="宋体"/>
          <w:bCs/>
          <w:sz w:val="24"/>
          <w:szCs w:val="24"/>
        </w:rPr>
      </w:pPr>
      <w:r>
        <w:rPr>
          <w:rFonts w:hint="eastAsia" w:ascii="宋体" w:hAnsi="宋体"/>
          <w:bCs/>
          <w:sz w:val="24"/>
          <w:szCs w:val="24"/>
        </w:rPr>
        <w:t xml:space="preserve">1.4.4噪声：≤±1.0×10</w:t>
      </w:r>
      <w:r>
        <w:rPr>
          <w:rFonts w:hint="eastAsia" w:ascii="宋体" w:hAnsi="宋体"/>
          <w:bCs/>
          <w:sz w:val="24"/>
          <w:szCs w:val="24"/>
          <w:vertAlign w:val="superscript"/>
        </w:rPr>
        <w:t xml:space="preserve">-5</w:t>
      </w:r>
      <w:r>
        <w:rPr>
          <w:rFonts w:hint="eastAsia" w:ascii="宋体" w:hAnsi="宋体"/>
          <w:bCs/>
          <w:sz w:val="24"/>
          <w:szCs w:val="24"/>
        </w:rPr>
        <w:t xml:space="preserve">AU</w:t>
      </w:r>
      <w:r/>
    </w:p>
    <w:p>
      <w:pPr>
        <w:spacing w:line="360" w:lineRule="auto"/>
        <w:rPr>
          <w:rFonts w:hint="eastAsia" w:ascii="宋体" w:hAnsi="宋体"/>
          <w:bCs/>
          <w:sz w:val="24"/>
          <w:szCs w:val="24"/>
        </w:rPr>
      </w:pPr>
      <w:r>
        <w:rPr>
          <w:rFonts w:hint="eastAsia" w:ascii="宋体" w:hAnsi="宋体"/>
          <w:bCs/>
          <w:sz w:val="24"/>
          <w:szCs w:val="24"/>
        </w:rPr>
        <w:t xml:space="preserve">1.4.5数据采集：</w:t>
      </w:r>
      <w:bookmarkStart w:id="215" w:name="OLE_LINK11"/>
      <w:r>
        <w:rPr>
          <w:rFonts w:hint="eastAsia" w:ascii="宋体" w:hAnsi="宋体"/>
          <w:bCs/>
          <w:sz w:val="24"/>
          <w:szCs w:val="24"/>
        </w:rPr>
        <w:t xml:space="preserve">≥8通道</w:t>
      </w:r>
      <w:bookmarkEnd w:id="215"/>
      <w:r/>
      <w:r/>
    </w:p>
    <w:p>
      <w:pPr>
        <w:spacing w:line="360" w:lineRule="auto"/>
        <w:rPr>
          <w:rFonts w:hint="eastAsia" w:ascii="宋体" w:hAnsi="宋体"/>
          <w:bCs/>
          <w:sz w:val="24"/>
          <w:szCs w:val="24"/>
        </w:rPr>
      </w:pPr>
      <w:r>
        <w:rPr>
          <w:rFonts w:hint="eastAsia" w:ascii="宋体" w:hAnsi="宋体"/>
          <w:bCs/>
          <w:sz w:val="24"/>
          <w:szCs w:val="24"/>
        </w:rPr>
        <w:t xml:space="preserve">1.5 馏分收集器</w:t>
      </w:r>
      <w:r/>
    </w:p>
    <w:p>
      <w:pPr>
        <w:spacing w:line="360" w:lineRule="auto"/>
        <w:rPr>
          <w:rFonts w:hint="eastAsia" w:ascii="宋体" w:hAnsi="宋体"/>
          <w:bCs/>
          <w:sz w:val="24"/>
          <w:szCs w:val="24"/>
        </w:rPr>
      </w:pPr>
      <w:r>
        <w:rPr>
          <w:rFonts w:hint="eastAsia" w:ascii="宋体" w:hAnsi="宋体"/>
          <w:bCs/>
          <w:sz w:val="24"/>
          <w:szCs w:val="24"/>
        </w:rPr>
        <w:t xml:space="preserve">1.5.1 流速：标准收集针支持高达2.2mL/min的流速，可选的最高流速收集针则支持高达5mL/min的流速</w:t>
      </w:r>
      <w:r/>
    </w:p>
    <w:p>
      <w:pPr>
        <w:spacing w:line="360" w:lineRule="auto"/>
        <w:rPr>
          <w:rFonts w:hint="eastAsia" w:ascii="宋体" w:hAnsi="宋体"/>
          <w:bCs/>
          <w:sz w:val="24"/>
          <w:szCs w:val="24"/>
        </w:rPr>
      </w:pPr>
      <w:r>
        <w:rPr>
          <w:rFonts w:hint="eastAsia" w:ascii="宋体" w:hAnsi="宋体"/>
          <w:bCs/>
          <w:sz w:val="24"/>
          <w:szCs w:val="24"/>
        </w:rPr>
        <w:t xml:space="preserve">1.5.2 温度控制：4～40℃，以1℃为增量</w:t>
      </w:r>
      <w:r/>
    </w:p>
    <w:p>
      <w:pPr>
        <w:spacing w:line="360" w:lineRule="auto"/>
        <w:rPr>
          <w:rFonts w:hint="eastAsia" w:ascii="宋体" w:hAnsi="宋体"/>
          <w:bCs/>
          <w:sz w:val="24"/>
          <w:szCs w:val="24"/>
        </w:rPr>
      </w:pPr>
      <w:r>
        <w:rPr>
          <w:rFonts w:hint="eastAsia" w:ascii="宋体" w:hAnsi="宋体"/>
          <w:bCs/>
          <w:sz w:val="24"/>
          <w:szCs w:val="24"/>
        </w:rPr>
        <w:t xml:space="preserve">1.5.3 最大反压：＜300psi</w:t>
      </w:r>
      <w:r/>
    </w:p>
    <w:p>
      <w:pPr>
        <w:spacing w:line="360" w:lineRule="auto"/>
        <w:rPr>
          <w:rFonts w:hint="eastAsia" w:ascii="宋体" w:hAnsi="宋体"/>
          <w:bCs/>
          <w:sz w:val="24"/>
          <w:szCs w:val="24"/>
        </w:rPr>
      </w:pPr>
      <w:r>
        <w:rPr>
          <w:rFonts w:hint="eastAsia" w:ascii="宋体" w:hAnsi="宋体"/>
          <w:bCs/>
          <w:sz w:val="24"/>
          <w:szCs w:val="24"/>
        </w:rPr>
        <w:t xml:space="preserve">1.5.4 残留：＜0.1%</w:t>
      </w:r>
      <w:r/>
    </w:p>
    <w:p>
      <w:pPr>
        <w:spacing w:line="360" w:lineRule="auto"/>
        <w:rPr>
          <w:rFonts w:hint="eastAsia" w:ascii="宋体" w:hAnsi="宋体"/>
          <w:bCs/>
          <w:sz w:val="24"/>
          <w:szCs w:val="24"/>
        </w:rPr>
      </w:pPr>
      <w:r>
        <w:rPr>
          <w:rFonts w:hint="eastAsia" w:ascii="宋体" w:hAnsi="宋体"/>
          <w:bCs/>
          <w:sz w:val="24"/>
          <w:szCs w:val="24"/>
        </w:rPr>
        <w:t xml:space="preserve">1.6 原装色谱网络版数据工作软件 </w:t>
      </w:r>
      <w:r/>
    </w:p>
    <w:p>
      <w:pPr>
        <w:spacing w:line="360" w:lineRule="auto"/>
        <w:rPr>
          <w:rFonts w:hint="eastAsia" w:ascii="宋体" w:hAnsi="宋体"/>
          <w:bCs/>
          <w:sz w:val="24"/>
          <w:szCs w:val="24"/>
        </w:rPr>
      </w:pPr>
      <w:r>
        <w:rPr>
          <w:rFonts w:hint="eastAsia" w:ascii="宋体" w:hAnsi="宋体"/>
          <w:bCs/>
          <w:sz w:val="24"/>
          <w:szCs w:val="24"/>
        </w:rPr>
        <w:t xml:space="preserve">▲1.6.1 符合数据完整性法规要求，内置Oracle数据库作为软件数据管理系统核心，保证数据的完整性和安全性，易于操作，中英文版本可选；通过 Ethernet 与主机，自动进样器和检测器等连接，为了保证数据库系统的标准化可靠性，Oracle 数据库和应用程序安装时自动安装。（投标文件中提供ORACLE公司授权作为证明文件） </w:t>
      </w:r>
      <w:r/>
    </w:p>
    <w:p>
      <w:pPr>
        <w:spacing w:line="360" w:lineRule="auto"/>
        <w:rPr>
          <w:rFonts w:hint="eastAsia" w:ascii="宋体" w:hAnsi="宋体"/>
          <w:bCs/>
          <w:sz w:val="24"/>
          <w:szCs w:val="24"/>
        </w:rPr>
      </w:pPr>
      <w:r>
        <w:rPr>
          <w:rFonts w:hint="eastAsia" w:ascii="宋体" w:hAnsi="宋体"/>
          <w:bCs/>
          <w:sz w:val="24"/>
          <w:szCs w:val="24"/>
        </w:rPr>
        <w:t xml:space="preserve">1.6.2 数据备份：系统的数据库备份必须有可视化的数据库备份界面供管理员进行操作。不得通过手动代码或者复制粘贴命令进行。必须支持不停机备份和增量备份。必须提供数据备份管理界面的截图。 </w:t>
      </w:r>
      <w:r/>
    </w:p>
    <w:p>
      <w:pPr>
        <w:spacing w:line="360" w:lineRule="auto"/>
        <w:rPr>
          <w:rFonts w:hint="eastAsia" w:ascii="宋体" w:hAnsi="宋体"/>
          <w:bCs/>
          <w:sz w:val="24"/>
          <w:szCs w:val="24"/>
        </w:rPr>
      </w:pPr>
      <w:r>
        <w:rPr>
          <w:rFonts w:hint="eastAsia" w:ascii="宋体" w:hAnsi="宋体"/>
          <w:bCs/>
          <w:sz w:val="24"/>
          <w:szCs w:val="24"/>
        </w:rPr>
        <w:t xml:space="preserve">1.6.3 提供网络色谱系统的完全反控以及统一的数据，分级权限管理。</w:t>
      </w:r>
      <w:r/>
    </w:p>
    <w:p>
      <w:pPr>
        <w:spacing w:line="360" w:lineRule="auto"/>
        <w:rPr>
          <w:rFonts w:hint="eastAsia" w:ascii="宋体" w:hAnsi="宋体"/>
          <w:bCs/>
          <w:sz w:val="24"/>
          <w:szCs w:val="24"/>
        </w:rPr>
      </w:pPr>
      <w:r>
        <w:rPr>
          <w:rFonts w:hint="eastAsia" w:ascii="宋体" w:hAnsi="宋体"/>
          <w:bCs/>
          <w:sz w:val="24"/>
          <w:szCs w:val="24"/>
        </w:rPr>
        <w:t xml:space="preserve">1.6.4 采集服务器：该网络版色谱工作站系统应当包括作为数据缓冲作用的采集服务器，采集服务器的形式必须是能够放在实验室直接与仪器连接的计算机硬件，而不是虚拟化形式的虚拟服务器。</w:t>
      </w:r>
      <w:r/>
    </w:p>
    <w:p>
      <w:pPr>
        <w:spacing w:line="360" w:lineRule="auto"/>
        <w:rPr>
          <w:rFonts w:hint="eastAsia" w:ascii="宋体" w:hAnsi="宋体"/>
          <w:b/>
          <w:sz w:val="24"/>
          <w:szCs w:val="24"/>
        </w:rPr>
      </w:pPr>
      <w:r>
        <w:rPr>
          <w:rFonts w:hint="eastAsia" w:ascii="宋体" w:hAnsi="宋体"/>
          <w:b/>
          <w:sz w:val="24"/>
          <w:szCs w:val="24"/>
        </w:rPr>
        <w:t xml:space="preserve">2.培训要求</w:t>
      </w:r>
      <w:r/>
    </w:p>
    <w:p>
      <w:pPr>
        <w:spacing w:line="360" w:lineRule="auto"/>
        <w:rPr>
          <w:rFonts w:hint="eastAsia" w:ascii="宋体" w:hAnsi="宋体"/>
          <w:bCs/>
          <w:sz w:val="24"/>
          <w:szCs w:val="24"/>
        </w:rPr>
      </w:pPr>
      <w:r>
        <w:rPr>
          <w:rFonts w:hint="eastAsia" w:ascii="宋体" w:hAnsi="宋体"/>
          <w:bCs/>
          <w:sz w:val="24"/>
          <w:szCs w:val="24"/>
        </w:rPr>
        <w:t xml:space="preserve">2.1维生素A、D、E检测方法现场培训 1次 </w:t>
      </w:r>
      <w:r/>
    </w:p>
    <w:p>
      <w:pPr>
        <w:spacing w:line="360" w:lineRule="auto"/>
        <w:rPr>
          <w:rFonts w:hint="eastAsia" w:ascii="宋体" w:hAnsi="宋体"/>
          <w:bCs/>
          <w:sz w:val="24"/>
          <w:szCs w:val="24"/>
        </w:rPr>
      </w:pPr>
      <w:r>
        <w:rPr>
          <w:rFonts w:hint="eastAsia" w:ascii="宋体" w:hAnsi="宋体"/>
          <w:bCs/>
          <w:sz w:val="24"/>
          <w:szCs w:val="24"/>
        </w:rPr>
        <w:t xml:space="preserve">2.2每台仪器提供2个名额，参加原厂组织的实操培训。</w:t>
      </w:r>
      <w:bookmarkEnd w:id="214"/>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品目三：超高效液相色谱仪 1台</w:t>
      </w:r>
      <w:r/>
    </w:p>
    <w:p>
      <w:pPr>
        <w:jc w:val="left"/>
        <w:spacing w:line="360" w:lineRule="auto"/>
        <w:widowControl/>
        <w:rPr>
          <w:rFonts w:hint="eastAsia" w:ascii="宋体" w:hAnsi="宋体" w:cs="宋体"/>
          <w:b/>
          <w:bCs/>
          <w:color w:val="000000"/>
          <w:sz w:val="24"/>
          <w:szCs w:val="24"/>
        </w:rPr>
      </w:pPr>
      <w:r/>
      <w:bookmarkStart w:id="216" w:name="_Hlk170072452"/>
      <w:r>
        <w:rPr>
          <w:rFonts w:hint="eastAsia" w:ascii="宋体" w:hAnsi="宋体" w:cs="宋体"/>
          <w:b/>
          <w:bCs/>
          <w:color w:val="000000"/>
          <w:sz w:val="24"/>
          <w:szCs w:val="24"/>
        </w:rPr>
        <w:t xml:space="preserve">1.技术指标</w:t>
      </w:r>
      <w:r/>
    </w:p>
    <w:p>
      <w:pPr>
        <w:spacing w:line="360" w:lineRule="auto"/>
        <w:rPr>
          <w:rFonts w:hint="eastAsia" w:ascii="宋体" w:hAnsi="宋体"/>
          <w:bCs/>
          <w:sz w:val="24"/>
          <w:szCs w:val="24"/>
        </w:rPr>
      </w:pPr>
      <w:r>
        <w:rPr>
          <w:rFonts w:hint="eastAsia" w:ascii="宋体" w:hAnsi="宋体"/>
          <w:bCs/>
          <w:sz w:val="24"/>
          <w:szCs w:val="24"/>
        </w:rPr>
        <w:t xml:space="preserve">1.1超高效液相二元溶剂梯度泵</w:t>
      </w:r>
      <w:r/>
    </w:p>
    <w:p>
      <w:pPr>
        <w:jc w:val="left"/>
        <w:spacing w:line="360" w:lineRule="auto"/>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bCs/>
          <w:sz w:val="24"/>
          <w:szCs w:val="24"/>
        </w:rPr>
        <w:t xml:space="preserve">1.1.1最高流速范围：≤2 mL/min，以 0.001mL/min 为增量，</w:t>
      </w:r>
      <w:r>
        <w:rPr>
          <w:rFonts w:hint="eastAsia" w:ascii="宋体" w:hAnsi="宋体" w:cs="宋体"/>
          <w:color w:val="000000"/>
          <w:sz w:val="24"/>
          <w:szCs w:val="24"/>
        </w:rPr>
        <w:t xml:space="preserve">流量精度：＜0.075%</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1.1.2最高操作压力：</w:t>
      </w:r>
      <w:r>
        <w:rPr>
          <w:rFonts w:hint="eastAsia" w:ascii="宋体" w:hAnsi="宋体" w:cs="宋体"/>
          <w:sz w:val="24"/>
          <w:szCs w:val="24"/>
        </w:rPr>
        <w:t xml:space="preserve">≥</w:t>
      </w:r>
      <w:r>
        <w:rPr>
          <w:rFonts w:hint="eastAsia" w:ascii="宋体" w:hAnsi="宋体" w:cs="宋体"/>
          <w:color w:val="000000"/>
          <w:sz w:val="24"/>
          <w:szCs w:val="24"/>
        </w:rPr>
        <w:t xml:space="preserve">1200Bar，预设梯度曲线：</w:t>
      </w:r>
      <w:r>
        <w:rPr>
          <w:rFonts w:hint="eastAsia" w:ascii="宋体" w:hAnsi="宋体" w:cs="宋体"/>
          <w:sz w:val="24"/>
          <w:szCs w:val="24"/>
        </w:rPr>
        <w:t xml:space="preserve">≥</w:t>
      </w:r>
      <w:r>
        <w:rPr>
          <w:rFonts w:hint="eastAsia" w:ascii="宋体" w:hAnsi="宋体" w:cs="宋体"/>
          <w:color w:val="000000"/>
          <w:sz w:val="24"/>
          <w:szCs w:val="24"/>
        </w:rPr>
        <w:t xml:space="preserve">10条，包括线性、凹线、凸线和步进梯度变化，无需模拟即可实现</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1.1.3 流速准确度：</w:t>
      </w:r>
      <w:r>
        <w:rPr>
          <w:rFonts w:ascii="宋体" w:hAnsi="宋体" w:cs="宋体"/>
          <w:color w:val="000000"/>
          <w:sz w:val="24"/>
          <w:szCs w:val="24"/>
        </w:rPr>
        <w:t xml:space="preserve">±1.0%</w:t>
      </w:r>
      <w:r>
        <w:rPr>
          <w:rFonts w:hint="eastAsia" w:ascii="宋体" w:hAnsi="宋体" w:cs="宋体"/>
          <w:color w:val="000000"/>
          <w:sz w:val="24"/>
          <w:szCs w:val="24"/>
        </w:rPr>
        <w:t xml:space="preserve">；梯度准确度：</w:t>
      </w:r>
      <w:r>
        <w:rPr>
          <w:rFonts w:ascii="宋体" w:hAnsi="宋体" w:cs="宋体"/>
          <w:color w:val="000000"/>
          <w:sz w:val="24"/>
          <w:szCs w:val="24"/>
        </w:rPr>
        <w:t xml:space="preserve">±0.5%</w:t>
      </w:r>
      <w:r>
        <w:rPr>
          <w:rFonts w:hint="eastAsia" w:ascii="宋体" w:hAnsi="宋体" w:cs="宋体"/>
          <w:color w:val="000000"/>
          <w:sz w:val="24"/>
          <w:szCs w:val="24"/>
        </w:rPr>
        <w:t xml:space="preserve">，不随反压变化</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1.2超高效自动进样器</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1.2.1样品容量：≥96位2mL样品瓶</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1.2.2进样范围：</w:t>
      </w:r>
      <w:r>
        <w:rPr>
          <w:rFonts w:ascii="宋体" w:hAnsi="宋体" w:cs="宋体"/>
          <w:color w:val="000000"/>
          <w:sz w:val="24"/>
          <w:szCs w:val="24"/>
        </w:rPr>
        <w:t xml:space="preserve">0.1</w:t>
      </w:r>
      <w:r>
        <w:rPr>
          <w:rFonts w:hint="eastAsia" w:ascii="宋体" w:hAnsi="宋体" w:cs="宋体"/>
          <w:color w:val="000000"/>
          <w:sz w:val="24"/>
          <w:szCs w:val="24"/>
        </w:rPr>
        <w:t xml:space="preserve">～10μ</w:t>
      </w:r>
      <w:r>
        <w:rPr>
          <w:rFonts w:ascii="宋体" w:hAnsi="宋体" w:cs="宋体"/>
          <w:color w:val="000000"/>
          <w:sz w:val="24"/>
          <w:szCs w:val="24"/>
        </w:rPr>
        <w:t xml:space="preserve">L</w:t>
      </w:r>
      <w:r>
        <w:rPr>
          <w:rFonts w:hint="eastAsia" w:ascii="宋体" w:hAnsi="宋体" w:cs="宋体"/>
          <w:color w:val="000000"/>
          <w:sz w:val="24"/>
          <w:szCs w:val="24"/>
        </w:rPr>
        <w:t xml:space="preserve">或更宽；进样精度：＜</w:t>
      </w:r>
      <w:r>
        <w:rPr>
          <w:rFonts w:ascii="宋体" w:hAnsi="宋体" w:cs="宋体"/>
          <w:color w:val="000000"/>
          <w:sz w:val="24"/>
          <w:szCs w:val="24"/>
        </w:rPr>
        <w:t xml:space="preserve">0.</w:t>
      </w:r>
      <w:r>
        <w:rPr>
          <w:rFonts w:hint="eastAsia" w:ascii="宋体" w:hAnsi="宋体" w:cs="宋体"/>
          <w:color w:val="000000"/>
          <w:sz w:val="24"/>
          <w:szCs w:val="24"/>
        </w:rPr>
        <w:t xml:space="preserve">2</w:t>
      </w:r>
      <w:r>
        <w:rPr>
          <w:rFonts w:ascii="宋体" w:hAnsi="宋体" w:cs="宋体"/>
          <w:color w:val="000000"/>
          <w:sz w:val="24"/>
          <w:szCs w:val="24"/>
        </w:rPr>
        <w:t xml:space="preserve">%RSD</w:t>
      </w:r>
      <w:r/>
    </w:p>
    <w:p>
      <w:pPr>
        <w:jc w:val="left"/>
        <w:spacing w:line="360" w:lineRule="auto"/>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1.2.3样品交叉污染：≤</w:t>
      </w:r>
      <w:r>
        <w:rPr>
          <w:rFonts w:ascii="宋体" w:hAnsi="宋体" w:cs="宋体"/>
          <w:color w:val="000000"/>
          <w:sz w:val="24"/>
          <w:szCs w:val="24"/>
        </w:rPr>
        <w:t xml:space="preserve">0.</w:t>
      </w:r>
      <w:r>
        <w:rPr>
          <w:rFonts w:hint="eastAsia" w:ascii="宋体" w:hAnsi="宋体" w:cs="宋体"/>
          <w:color w:val="000000"/>
          <w:sz w:val="24"/>
          <w:szCs w:val="24"/>
        </w:rPr>
        <w:t xml:space="preserve">0002</w:t>
      </w:r>
      <w:r>
        <w:rPr>
          <w:rFonts w:ascii="宋体" w:hAnsi="宋体" w:cs="宋体"/>
          <w:color w:val="000000"/>
          <w:sz w:val="24"/>
          <w:szCs w:val="24"/>
        </w:rPr>
        <w:t xml:space="preserve">%</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1.2.4自动进样器温控范围：4℃～40℃或更宽</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1.3柱温箱 </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1.3.1 控温范围：20</w:t>
      </w:r>
      <w:r>
        <w:rPr>
          <w:rFonts w:ascii="宋体" w:hAnsi="宋体" w:cs="宋体"/>
          <w:color w:val="000000"/>
          <w:sz w:val="24"/>
          <w:szCs w:val="24"/>
        </w:rPr>
        <w:t xml:space="preserve">℃</w:t>
      </w:r>
      <w:r>
        <w:rPr>
          <w:rFonts w:hint="eastAsia" w:ascii="宋体" w:hAnsi="宋体" w:cs="宋体"/>
          <w:color w:val="000000"/>
          <w:sz w:val="24"/>
          <w:szCs w:val="24"/>
        </w:rPr>
        <w:t xml:space="preserve">～90</w:t>
      </w:r>
      <w:r>
        <w:rPr>
          <w:rFonts w:ascii="宋体" w:hAnsi="宋体" w:cs="宋体"/>
          <w:color w:val="000000"/>
          <w:sz w:val="24"/>
          <w:szCs w:val="24"/>
        </w:rPr>
        <w:t xml:space="preserve">℃</w:t>
      </w:r>
      <w:r>
        <w:rPr>
          <w:rFonts w:hint="eastAsia" w:ascii="宋体" w:hAnsi="宋体" w:cs="宋体"/>
          <w:color w:val="000000"/>
          <w:sz w:val="24"/>
          <w:szCs w:val="24"/>
        </w:rPr>
        <w:t xml:space="preserve">或更宽</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1.3.2控温精度：±0.5</w:t>
      </w:r>
      <w:r>
        <w:rPr>
          <w:rFonts w:ascii="宋体" w:hAnsi="宋体" w:cs="宋体"/>
          <w:color w:val="000000"/>
          <w:sz w:val="24"/>
          <w:szCs w:val="24"/>
        </w:rPr>
        <w:t xml:space="preserve">℃</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1.4超高效二极管阵列检测器</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1.4.1波长范围：</w:t>
      </w:r>
      <w:r>
        <w:rPr>
          <w:rFonts w:ascii="宋体" w:hAnsi="宋体" w:cs="宋体"/>
          <w:color w:val="000000"/>
          <w:sz w:val="24"/>
          <w:szCs w:val="24"/>
        </w:rPr>
        <w:t xml:space="preserve">190～800nm</w:t>
      </w:r>
      <w:r>
        <w:rPr>
          <w:rFonts w:hint="eastAsia" w:ascii="宋体" w:hAnsi="宋体" w:cs="宋体"/>
          <w:color w:val="000000"/>
          <w:sz w:val="24"/>
          <w:szCs w:val="24"/>
        </w:rPr>
        <w:t xml:space="preserve">或更宽</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1.4.2光源：仅使用氘灯，便于更换维护</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1.4.2扫描速率：</w:t>
      </w:r>
      <w:r>
        <w:rPr>
          <w:rFonts w:ascii="宋体" w:hAnsi="宋体" w:cs="宋体"/>
          <w:color w:val="000000"/>
          <w:sz w:val="24"/>
          <w:szCs w:val="24"/>
        </w:rPr>
        <w:t xml:space="preserve">≥</w:t>
      </w:r>
      <w:r>
        <w:rPr>
          <w:rFonts w:hint="eastAsia" w:ascii="宋体" w:hAnsi="宋体" w:cs="宋体"/>
          <w:color w:val="000000"/>
          <w:sz w:val="24"/>
          <w:szCs w:val="24"/>
        </w:rPr>
        <w:t xml:space="preserve">80Hz</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1.4.3</w:t>
      </w:r>
      <w:r>
        <w:rPr>
          <w:rFonts w:ascii="宋体" w:hAnsi="宋体" w:cs="宋体"/>
          <w:sz w:val="24"/>
          <w:szCs w:val="24"/>
        </w:rPr>
        <w:t xml:space="preserve">噪声</w:t>
      </w:r>
      <w:r>
        <w:rPr>
          <w:rFonts w:hint="eastAsia" w:ascii="宋体" w:hAnsi="宋体" w:cs="宋体"/>
          <w:sz w:val="24"/>
          <w:szCs w:val="24"/>
        </w:rPr>
        <w:t xml:space="preserve">：</w:t>
      </w:r>
      <w:r>
        <w:rPr>
          <w:rFonts w:ascii="宋体" w:hAnsi="宋体" w:cs="宋体"/>
          <w:sz w:val="24"/>
          <w:szCs w:val="24"/>
        </w:rPr>
        <w:t xml:space="preserve">≤±1.0×10</w:t>
      </w:r>
      <w:r>
        <w:rPr>
          <w:rFonts w:ascii="宋体" w:hAnsi="宋体" w:cs="宋体"/>
          <w:sz w:val="24"/>
          <w:szCs w:val="24"/>
          <w:vertAlign w:val="superscript"/>
        </w:rPr>
        <w:t xml:space="preserve">-5</w:t>
      </w:r>
      <w:r>
        <w:rPr>
          <w:rFonts w:ascii="宋体" w:hAnsi="宋体" w:cs="宋体"/>
          <w:sz w:val="24"/>
          <w:szCs w:val="24"/>
        </w:rPr>
        <w:t xml:space="preserve">AU</w:t>
      </w:r>
      <w:r/>
    </w:p>
    <w:p>
      <w:pP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1.4.4流通池</w:t>
      </w:r>
      <w:r>
        <w:rPr>
          <w:rFonts w:ascii="宋体" w:hAnsi="宋体" w:cs="宋体"/>
          <w:color w:val="000000"/>
          <w:sz w:val="24"/>
          <w:szCs w:val="24"/>
        </w:rPr>
        <w:t xml:space="preserve">最大耐压</w:t>
      </w:r>
      <w:r>
        <w:rPr>
          <w:rFonts w:hint="eastAsia" w:ascii="宋体" w:hAnsi="宋体" w:cs="宋体"/>
          <w:color w:val="000000"/>
          <w:sz w:val="24"/>
          <w:szCs w:val="24"/>
        </w:rPr>
        <w:t xml:space="preserve">：</w:t>
      </w:r>
      <w:r>
        <w:rPr>
          <w:rFonts w:ascii="宋体" w:hAnsi="宋体" w:cs="宋体"/>
          <w:color w:val="000000"/>
          <w:sz w:val="24"/>
          <w:szCs w:val="24"/>
        </w:rPr>
        <w:t xml:space="preserve">≥1000psi</w:t>
      </w:r>
      <w:r>
        <w:rPr>
          <w:rFonts w:hint="eastAsia" w:ascii="宋体" w:hAnsi="宋体" w:cs="宋体"/>
          <w:color w:val="000000"/>
          <w:sz w:val="24"/>
          <w:szCs w:val="24"/>
        </w:rPr>
        <w:t xml:space="preserve">，流通池体积≤510n</w:t>
      </w:r>
      <w:r>
        <w:rPr>
          <w:rFonts w:ascii="宋体" w:hAnsi="宋体" w:cs="宋体"/>
          <w:color w:val="000000"/>
          <w:sz w:val="24"/>
          <w:szCs w:val="24"/>
        </w:rPr>
        <w:t xml:space="preserve">L</w:t>
      </w:r>
      <w:r/>
    </w:p>
    <w:p>
      <w:pPr>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2.原厂培训要求</w:t>
      </w:r>
      <w:r>
        <w:rPr>
          <w:rFonts w:hint="eastAsia" w:ascii="宋体" w:hAnsi="宋体" w:cs="宋体"/>
          <w:color w:val="000000"/>
          <w:sz w:val="24"/>
          <w:szCs w:val="24"/>
        </w:rPr>
        <w:t xml:space="preserve"> </w:t>
      </w:r>
      <w:r/>
    </w:p>
    <w:p>
      <w:pPr>
        <w:jc w:val="left"/>
        <w:spacing w:line="360" w:lineRule="auto"/>
        <w:widowControl/>
        <w:rPr>
          <w:rFonts w:hint="eastAsia" w:ascii="宋体" w:hAnsi="宋体" w:cs="宋体"/>
          <w:color w:val="000000"/>
          <w:sz w:val="24"/>
          <w:szCs w:val="24"/>
        </w:rPr>
      </w:pPr>
      <w:r/>
      <w:bookmarkStart w:id="217" w:name="_Hlk181035557"/>
      <w:r>
        <w:rPr>
          <w:rFonts w:hint="eastAsia" w:ascii="宋体" w:hAnsi="宋体" w:cs="宋体"/>
          <w:color w:val="000000"/>
          <w:sz w:val="24"/>
          <w:szCs w:val="24"/>
        </w:rPr>
        <w:t xml:space="preserve">2.1每台仪器提供2个名额，参加原厂组织的实操培训。</w:t>
      </w:r>
      <w:bookmarkEnd w:id="217"/>
      <w:r/>
      <w:r/>
    </w:p>
    <w:p>
      <w:pPr>
        <w:spacing w:line="360" w:lineRule="auto"/>
        <w:rPr>
          <w:rFonts w:hint="eastAsia" w:ascii="宋体" w:hAnsi="宋体" w:cs="宋体"/>
          <w:sz w:val="24"/>
          <w:szCs w:val="24"/>
        </w:rPr>
      </w:pPr>
      <w:r>
        <w:rPr>
          <w:rFonts w:hint="eastAsia" w:ascii="宋体" w:hAnsi="宋体"/>
          <w:bCs/>
          <w:sz w:val="24"/>
          <w:szCs w:val="24"/>
        </w:rPr>
        <w:t xml:space="preserve"> </w:t>
      </w:r>
      <w:bookmarkEnd w:id="216"/>
      <w:r/>
      <w:r/>
    </w:p>
    <w:p>
      <w:pPr>
        <w:spacing w:line="360" w:lineRule="auto"/>
        <w:rPr>
          <w:rFonts w:hint="eastAsia" w:ascii="宋体" w:hAnsi="宋体" w:cs="宋体"/>
          <w:b/>
          <w:bCs/>
          <w:sz w:val="24"/>
          <w:szCs w:val="24"/>
        </w:rPr>
      </w:pPr>
      <w:r>
        <w:rPr>
          <w:rFonts w:hint="eastAsia" w:ascii="宋体" w:hAnsi="宋体" w:cs="宋体"/>
          <w:b/>
          <w:bCs/>
          <w:sz w:val="24"/>
          <w:szCs w:val="24"/>
        </w:rPr>
        <w:t xml:space="preserve">品目四：电感耦合等离子体质谱仪 1台</w:t>
      </w:r>
      <w:r/>
    </w:p>
    <w:p>
      <w:pPr>
        <w:spacing w:line="360" w:lineRule="auto"/>
        <w:tabs>
          <w:tab w:val="left" w:pos="180" w:leader="none"/>
          <w:tab w:val="left" w:pos="525" w:leader="none"/>
        </w:tabs>
        <w:rPr>
          <w:rFonts w:hint="eastAsia" w:ascii="宋体" w:hAnsi="宋体"/>
          <w:b/>
          <w:sz w:val="24"/>
          <w:szCs w:val="24"/>
        </w:rPr>
      </w:pPr>
      <w:r>
        <w:rPr>
          <w:rFonts w:hint="eastAsia" w:ascii="宋体" w:hAnsi="宋体"/>
          <w:b/>
          <w:sz w:val="24"/>
          <w:szCs w:val="24"/>
        </w:rPr>
        <w:t xml:space="preserve">1.技术指标</w:t>
      </w:r>
      <w:r/>
    </w:p>
    <w:p>
      <w:pPr>
        <w:spacing w:line="360" w:lineRule="auto"/>
        <w:rPr>
          <w:rFonts w:hint="eastAsia" w:ascii="宋体" w:hAnsi="宋体"/>
          <w:bCs/>
          <w:sz w:val="24"/>
          <w:szCs w:val="24"/>
        </w:rPr>
      </w:pPr>
      <w:r>
        <w:rPr>
          <w:rFonts w:hint="eastAsia" w:ascii="宋体" w:hAnsi="宋体"/>
          <w:bCs/>
          <w:sz w:val="24"/>
          <w:szCs w:val="24"/>
        </w:rPr>
        <w:t xml:space="preserve">1.1进样系统：</w:t>
      </w:r>
      <w:r/>
    </w:p>
    <w:p>
      <w:pPr>
        <w:spacing w:line="360" w:lineRule="auto"/>
        <w:rPr>
          <w:rFonts w:hint="eastAsia" w:ascii="宋体" w:hAnsi="宋体"/>
          <w:bCs/>
          <w:sz w:val="24"/>
          <w:szCs w:val="24"/>
        </w:rPr>
      </w:pPr>
      <w:r>
        <w:rPr>
          <w:rFonts w:hint="eastAsia"/>
          <w:szCs w:val="24"/>
        </w:rPr>
        <w:t xml:space="preserve">▲</w:t>
      </w:r>
      <w:r>
        <w:rPr>
          <w:rFonts w:hint="eastAsia" w:ascii="宋体" w:hAnsi="宋体"/>
          <w:bCs/>
          <w:sz w:val="24"/>
          <w:szCs w:val="24"/>
        </w:rPr>
        <w:t xml:space="preserve">1.1.1配置高灵敏度同心雾化器和小体积旋流雾室进样系统。</w:t>
      </w:r>
      <w:r/>
    </w:p>
    <w:p>
      <w:pPr>
        <w:spacing w:line="360" w:lineRule="auto"/>
        <w:rPr>
          <w:rFonts w:hint="eastAsia" w:ascii="宋体" w:hAnsi="宋体"/>
          <w:bCs/>
          <w:sz w:val="24"/>
          <w:szCs w:val="24"/>
        </w:rPr>
      </w:pPr>
      <w:r>
        <w:rPr>
          <w:rFonts w:hint="eastAsia" w:ascii="宋体" w:hAnsi="宋体"/>
          <w:bCs/>
          <w:sz w:val="24"/>
          <w:szCs w:val="24"/>
        </w:rPr>
        <w:t xml:space="preserve">1.1.2可实时监测锥孔及喷射管孔样品沉积。</w:t>
      </w:r>
      <w:r/>
    </w:p>
    <w:p>
      <w:pPr>
        <w:spacing w:line="360" w:lineRule="auto"/>
        <w:rPr>
          <w:rFonts w:hint="eastAsia" w:ascii="宋体" w:hAnsi="宋体"/>
          <w:bCs/>
          <w:sz w:val="24"/>
          <w:szCs w:val="24"/>
        </w:rPr>
      </w:pPr>
      <w:r>
        <w:rPr>
          <w:rFonts w:hint="eastAsia" w:ascii="宋体" w:hAnsi="宋体"/>
          <w:bCs/>
          <w:sz w:val="24"/>
          <w:szCs w:val="24"/>
        </w:rPr>
        <w:t xml:space="preserve">1.1.3可实现样品气体稀释，稀释倍数＞25倍。</w:t>
      </w:r>
      <w:r/>
    </w:p>
    <w:p>
      <w:pPr>
        <w:spacing w:line="360" w:lineRule="auto"/>
        <w:rPr>
          <w:rFonts w:hint="eastAsia" w:ascii="宋体" w:hAnsi="宋体"/>
          <w:bCs/>
          <w:sz w:val="24"/>
          <w:szCs w:val="24"/>
        </w:rPr>
      </w:pPr>
      <w:r>
        <w:rPr>
          <w:rFonts w:hint="eastAsia"/>
          <w:szCs w:val="24"/>
        </w:rPr>
        <w:t xml:space="preserve">▲</w:t>
      </w:r>
      <w:r>
        <w:rPr>
          <w:rFonts w:hint="eastAsia" w:ascii="宋体" w:hAnsi="宋体"/>
          <w:bCs/>
          <w:sz w:val="24"/>
          <w:szCs w:val="24"/>
        </w:rPr>
        <w:t xml:space="preserve">1.1.4 蠕动泵4通道设计，可实现在线溶液稀释等应用需要。</w:t>
      </w:r>
      <w:r/>
    </w:p>
    <w:p>
      <w:pPr>
        <w:spacing w:line="360" w:lineRule="auto"/>
        <w:rPr>
          <w:rFonts w:hint="eastAsia" w:ascii="宋体" w:hAnsi="宋体"/>
          <w:bCs/>
          <w:sz w:val="24"/>
          <w:szCs w:val="24"/>
        </w:rPr>
      </w:pPr>
      <w:r>
        <w:rPr>
          <w:rFonts w:hint="eastAsia" w:ascii="宋体" w:hAnsi="宋体"/>
          <w:bCs/>
          <w:sz w:val="24"/>
          <w:szCs w:val="24"/>
        </w:rPr>
        <w:t xml:space="preserve">1.1.5 锥口：截取锥孔径≥0.5mm。</w:t>
      </w:r>
      <w:r/>
    </w:p>
    <w:p>
      <w:pPr>
        <w:spacing w:line="360" w:lineRule="auto"/>
        <w:rPr>
          <w:rFonts w:hint="eastAsia" w:ascii="宋体" w:hAnsi="宋体"/>
          <w:bCs/>
          <w:sz w:val="24"/>
          <w:szCs w:val="24"/>
        </w:rPr>
      </w:pPr>
      <w:r>
        <w:rPr>
          <w:rFonts w:hint="eastAsia" w:ascii="宋体" w:hAnsi="宋体"/>
          <w:bCs/>
          <w:sz w:val="24"/>
          <w:szCs w:val="24"/>
        </w:rPr>
        <w:t xml:space="preserve">1.2射频发生器：</w:t>
      </w:r>
      <w:r/>
    </w:p>
    <w:p>
      <w:pPr>
        <w:spacing w:line="360" w:lineRule="auto"/>
        <w:rPr>
          <w:rFonts w:hint="eastAsia" w:ascii="宋体" w:hAnsi="宋体"/>
          <w:bCs/>
          <w:sz w:val="24"/>
          <w:szCs w:val="24"/>
        </w:rPr>
      </w:pPr>
      <w:r>
        <w:rPr>
          <w:rFonts w:hint="eastAsia" w:ascii="宋体" w:hAnsi="宋体"/>
          <w:bCs/>
          <w:sz w:val="24"/>
          <w:szCs w:val="24"/>
        </w:rPr>
        <w:t xml:space="preserve">1.2.1固态射频发生器，频率≥27 MHz。</w:t>
      </w:r>
      <w:r/>
    </w:p>
    <w:p>
      <w:pPr>
        <w:spacing w:line="360" w:lineRule="auto"/>
        <w:rPr>
          <w:rFonts w:hint="eastAsia" w:ascii="宋体" w:hAnsi="宋体"/>
          <w:bCs/>
          <w:sz w:val="24"/>
          <w:szCs w:val="24"/>
        </w:rPr>
      </w:pPr>
      <w:r>
        <w:rPr>
          <w:rFonts w:hint="eastAsia" w:ascii="宋体" w:hAnsi="宋体"/>
          <w:bCs/>
          <w:sz w:val="24"/>
          <w:szCs w:val="24"/>
        </w:rPr>
        <w:t xml:space="preserve">1.2.2等离子体炬位XYZ三轴计算机全自动调节。</w:t>
      </w:r>
      <w:r/>
    </w:p>
    <w:p>
      <w:pPr>
        <w:spacing w:line="360" w:lineRule="auto"/>
        <w:rPr>
          <w:rFonts w:hint="eastAsia" w:ascii="宋体" w:hAnsi="宋体"/>
          <w:bCs/>
          <w:sz w:val="24"/>
          <w:szCs w:val="24"/>
        </w:rPr>
      </w:pPr>
      <w:r>
        <w:rPr>
          <w:rFonts w:hint="eastAsia" w:ascii="宋体" w:hAnsi="宋体"/>
          <w:bCs/>
          <w:sz w:val="24"/>
          <w:szCs w:val="24"/>
        </w:rPr>
        <w:t xml:space="preserve">1.3气体控制：</w:t>
      </w:r>
      <w:r/>
    </w:p>
    <w:p>
      <w:pPr>
        <w:spacing w:line="360" w:lineRule="auto"/>
        <w:rPr>
          <w:rFonts w:hint="eastAsia" w:ascii="宋体" w:hAnsi="宋体"/>
          <w:bCs/>
          <w:sz w:val="24"/>
          <w:szCs w:val="24"/>
        </w:rPr>
      </w:pPr>
      <w:r>
        <w:rPr>
          <w:rFonts w:hint="eastAsia" w:ascii="宋体" w:hAnsi="宋体"/>
          <w:bCs/>
          <w:sz w:val="24"/>
          <w:szCs w:val="24"/>
        </w:rPr>
        <w:t xml:space="preserve">1.3.1使用不少于5个高精度气体质量流量控制器，控制包含等离子体气、辅助气、雾化气、全基体进样系统气和碰撞反应气等五路气体流量；</w:t>
      </w:r>
      <w:r/>
    </w:p>
    <w:p>
      <w:pPr>
        <w:spacing w:line="360" w:lineRule="auto"/>
        <w:rPr>
          <w:rFonts w:hint="eastAsia" w:ascii="宋体" w:hAnsi="宋体"/>
          <w:bCs/>
          <w:sz w:val="24"/>
          <w:szCs w:val="24"/>
        </w:rPr>
      </w:pPr>
      <w:r>
        <w:rPr>
          <w:rFonts w:hint="eastAsia" w:ascii="宋体" w:hAnsi="宋体"/>
          <w:bCs/>
          <w:sz w:val="24"/>
          <w:szCs w:val="24"/>
        </w:rPr>
        <w:t xml:space="preserve">1.4离子偏转器：</w:t>
      </w:r>
      <w:r/>
    </w:p>
    <w:p>
      <w:pPr>
        <w:spacing w:line="360" w:lineRule="auto"/>
        <w:rPr>
          <w:rFonts w:hint="eastAsia" w:ascii="宋体" w:hAnsi="宋体"/>
          <w:bCs/>
          <w:sz w:val="24"/>
          <w:szCs w:val="24"/>
        </w:rPr>
      </w:pPr>
      <w:r>
        <w:rPr>
          <w:rFonts w:hint="eastAsia" w:ascii="宋体" w:hAnsi="宋体"/>
          <w:bCs/>
          <w:sz w:val="24"/>
          <w:szCs w:val="24"/>
        </w:rPr>
        <w:t xml:space="preserve">1.4.1可实现分析离子与未电离的中性粒子和光子彻底分离。</w:t>
      </w:r>
      <w:r/>
    </w:p>
    <w:p>
      <w:pPr>
        <w:spacing w:line="360" w:lineRule="auto"/>
        <w:rPr>
          <w:rFonts w:hint="eastAsia" w:ascii="宋体" w:hAnsi="宋体"/>
          <w:bCs/>
          <w:sz w:val="24"/>
          <w:szCs w:val="24"/>
        </w:rPr>
      </w:pPr>
      <w:r>
        <w:rPr>
          <w:rFonts w:hint="eastAsia" w:ascii="宋体" w:hAnsi="宋体"/>
          <w:bCs/>
          <w:sz w:val="24"/>
          <w:szCs w:val="24"/>
        </w:rPr>
        <w:t xml:space="preserve">1.4.2 离子透镜免维护。</w:t>
      </w:r>
      <w:r/>
    </w:p>
    <w:p>
      <w:pPr>
        <w:spacing w:line="360" w:lineRule="auto"/>
        <w:rPr>
          <w:rFonts w:hint="eastAsia" w:ascii="宋体" w:hAnsi="宋体"/>
          <w:bCs/>
          <w:sz w:val="24"/>
          <w:szCs w:val="24"/>
        </w:rPr>
      </w:pPr>
      <w:r>
        <w:rPr>
          <w:rFonts w:hint="eastAsia" w:ascii="宋体" w:hAnsi="宋体"/>
          <w:bCs/>
          <w:sz w:val="24"/>
          <w:szCs w:val="24"/>
        </w:rPr>
        <w:t xml:space="preserve">1.5碰撞反应池：</w:t>
      </w:r>
      <w:r/>
    </w:p>
    <w:p>
      <w:pPr>
        <w:spacing w:line="360" w:lineRule="auto"/>
        <w:rPr>
          <w:rFonts w:hint="eastAsia" w:ascii="宋体" w:hAnsi="宋体"/>
          <w:bCs/>
          <w:sz w:val="24"/>
          <w:szCs w:val="24"/>
        </w:rPr>
      </w:pPr>
      <w:r>
        <w:rPr>
          <w:rFonts w:hint="eastAsia" w:ascii="宋体" w:hAnsi="宋体"/>
          <w:bCs/>
          <w:sz w:val="24"/>
          <w:szCs w:val="24"/>
        </w:rPr>
        <w:t xml:space="preserve">1.5.1具有消除干扰模式。</w:t>
      </w:r>
      <w:r/>
    </w:p>
    <w:p>
      <w:pPr>
        <w:spacing w:line="360" w:lineRule="auto"/>
        <w:rPr>
          <w:rFonts w:hint="eastAsia" w:ascii="宋体" w:hAnsi="宋体"/>
          <w:bCs/>
          <w:sz w:val="24"/>
          <w:szCs w:val="24"/>
        </w:rPr>
      </w:pPr>
      <w:r>
        <w:rPr>
          <w:rFonts w:hint="eastAsia" w:ascii="宋体" w:hAnsi="宋体"/>
          <w:bCs/>
          <w:sz w:val="24"/>
          <w:szCs w:val="24"/>
        </w:rPr>
        <w:t xml:space="preserve">1.5.2可以使用包括氦气，氢气，甲烷，氧气等多种碰撞或反应气体及混合气。</w:t>
      </w:r>
      <w:r/>
    </w:p>
    <w:p>
      <w:pPr>
        <w:spacing w:line="360" w:lineRule="auto"/>
        <w:rPr>
          <w:rFonts w:hint="eastAsia" w:ascii="宋体" w:hAnsi="宋体"/>
          <w:bCs/>
          <w:sz w:val="24"/>
          <w:szCs w:val="24"/>
        </w:rPr>
      </w:pPr>
      <w:r>
        <w:rPr>
          <w:rFonts w:hint="eastAsia" w:ascii="宋体" w:hAnsi="宋体"/>
          <w:bCs/>
          <w:sz w:val="24"/>
          <w:szCs w:val="24"/>
        </w:rPr>
        <w:t xml:space="preserve">1.6质量分析器：</w:t>
      </w:r>
      <w:r/>
    </w:p>
    <w:p>
      <w:pPr>
        <w:spacing w:line="360" w:lineRule="auto"/>
        <w:rPr>
          <w:rFonts w:hint="eastAsia" w:ascii="宋体" w:hAnsi="宋体"/>
          <w:bCs/>
          <w:sz w:val="24"/>
          <w:szCs w:val="24"/>
        </w:rPr>
      </w:pPr>
      <w:r>
        <w:rPr>
          <w:rFonts w:hint="eastAsia" w:ascii="宋体" w:hAnsi="宋体"/>
          <w:bCs/>
          <w:sz w:val="24"/>
          <w:szCs w:val="24"/>
        </w:rPr>
        <w:t xml:space="preserve">1.6.1质量范围：2～258 amu或更宽。</w:t>
      </w:r>
      <w:r/>
    </w:p>
    <w:p>
      <w:pPr>
        <w:spacing w:line="360" w:lineRule="auto"/>
        <w:rPr>
          <w:rFonts w:hint="eastAsia" w:ascii="宋体" w:hAnsi="宋体"/>
          <w:bCs/>
          <w:sz w:val="24"/>
          <w:szCs w:val="24"/>
        </w:rPr>
      </w:pPr>
      <w:r>
        <w:rPr>
          <w:rFonts w:hint="eastAsia" w:ascii="宋体" w:hAnsi="宋体"/>
          <w:bCs/>
          <w:sz w:val="24"/>
          <w:szCs w:val="24"/>
        </w:rPr>
        <w:t xml:space="preserve">1.6.2分辨率：0.3～1.0 amu可调或更宽。</w:t>
      </w:r>
      <w:r/>
    </w:p>
    <w:p>
      <w:pPr>
        <w:spacing w:line="360" w:lineRule="auto"/>
        <w:rPr>
          <w:rFonts w:hint="eastAsia" w:ascii="宋体" w:hAnsi="宋体"/>
          <w:bCs/>
          <w:sz w:val="24"/>
          <w:szCs w:val="24"/>
        </w:rPr>
      </w:pPr>
      <w:r>
        <w:rPr>
          <w:rFonts w:hint="eastAsia"/>
          <w:szCs w:val="24"/>
        </w:rPr>
        <w:t xml:space="preserve">▲</w:t>
      </w:r>
      <w:r>
        <w:rPr>
          <w:rFonts w:hint="eastAsia" w:ascii="宋体" w:hAnsi="宋体"/>
          <w:bCs/>
          <w:sz w:val="24"/>
          <w:szCs w:val="24"/>
        </w:rPr>
        <w:t xml:space="preserve">1.6.3驱动频率 ≥ 2.5 MHz。</w:t>
      </w:r>
      <w:r/>
    </w:p>
    <w:p>
      <w:pPr>
        <w:spacing w:line="360" w:lineRule="auto"/>
        <w:rPr>
          <w:rFonts w:hint="eastAsia" w:ascii="宋体" w:hAnsi="宋体"/>
          <w:bCs/>
          <w:sz w:val="24"/>
          <w:szCs w:val="24"/>
        </w:rPr>
      </w:pPr>
      <w:r>
        <w:rPr>
          <w:rFonts w:hint="eastAsia" w:ascii="宋体" w:hAnsi="宋体"/>
          <w:bCs/>
          <w:sz w:val="24"/>
          <w:szCs w:val="24"/>
        </w:rPr>
        <w:t xml:space="preserve">1.7检测器： </w:t>
      </w:r>
      <w:r/>
    </w:p>
    <w:p>
      <w:pPr>
        <w:spacing w:line="360" w:lineRule="auto"/>
        <w:rPr>
          <w:rFonts w:hint="eastAsia" w:ascii="宋体" w:hAnsi="宋体"/>
          <w:bCs/>
          <w:sz w:val="24"/>
          <w:szCs w:val="24"/>
        </w:rPr>
      </w:pPr>
      <w:r>
        <w:rPr>
          <w:rFonts w:hint="eastAsia" w:ascii="宋体" w:hAnsi="宋体"/>
          <w:bCs/>
          <w:sz w:val="24"/>
          <w:szCs w:val="24"/>
        </w:rPr>
        <w:t xml:space="preserve">1.7.1长寿命、双模式（脉冲方式和模拟方式检测）检测器。</w:t>
      </w:r>
      <w:r/>
    </w:p>
    <w:p>
      <w:pPr>
        <w:spacing w:line="360" w:lineRule="auto"/>
        <w:rPr>
          <w:rFonts w:hint="eastAsia" w:ascii="宋体" w:hAnsi="宋体"/>
          <w:bCs/>
          <w:sz w:val="24"/>
          <w:szCs w:val="24"/>
        </w:rPr>
      </w:pPr>
      <w:r>
        <w:rPr>
          <w:rFonts w:hint="eastAsia" w:ascii="宋体" w:hAnsi="宋体"/>
          <w:bCs/>
          <w:sz w:val="24"/>
          <w:szCs w:val="24"/>
        </w:rPr>
        <w:t xml:space="preserve">1.7.2动态线性范围10个数量级。</w:t>
      </w:r>
      <w:r/>
    </w:p>
    <w:p>
      <w:pPr>
        <w:spacing w:line="360" w:lineRule="auto"/>
        <w:rPr>
          <w:rFonts w:hint="eastAsia" w:ascii="宋体" w:hAnsi="宋体"/>
          <w:bCs/>
          <w:sz w:val="24"/>
          <w:szCs w:val="24"/>
        </w:rPr>
      </w:pPr>
      <w:r>
        <w:rPr>
          <w:rFonts w:hint="eastAsia" w:ascii="宋体" w:hAnsi="宋体"/>
          <w:bCs/>
          <w:sz w:val="24"/>
          <w:szCs w:val="24"/>
        </w:rPr>
        <w:t xml:space="preserve">1.8真空系统：关机后24小时冷启动至工作所需要的真空度时间≤60分钟，真空度最高可达10</w:t>
      </w:r>
      <w:r>
        <w:rPr>
          <w:rFonts w:hint="eastAsia" w:ascii="宋体" w:hAnsi="宋体"/>
          <w:bCs/>
          <w:sz w:val="24"/>
          <w:szCs w:val="24"/>
          <w:vertAlign w:val="superscript"/>
        </w:rPr>
        <w:t xml:space="preserve">-8</w:t>
      </w:r>
      <w:r>
        <w:rPr>
          <w:rFonts w:hint="eastAsia" w:ascii="宋体" w:hAnsi="宋体"/>
          <w:bCs/>
          <w:sz w:val="24"/>
          <w:szCs w:val="24"/>
        </w:rPr>
        <w:t xml:space="preserve">Tor。</w:t>
      </w:r>
      <w:r/>
    </w:p>
    <w:p>
      <w:pPr>
        <w:spacing w:line="360" w:lineRule="auto"/>
        <w:rPr>
          <w:rFonts w:hint="eastAsia" w:ascii="宋体" w:hAnsi="宋体"/>
          <w:bCs/>
          <w:sz w:val="24"/>
          <w:szCs w:val="24"/>
        </w:rPr>
      </w:pPr>
      <w:r>
        <w:rPr>
          <w:rFonts w:hint="eastAsia" w:ascii="宋体" w:hAnsi="宋体"/>
          <w:bCs/>
          <w:sz w:val="24"/>
          <w:szCs w:val="24"/>
        </w:rPr>
        <w:t xml:space="preserve">1.9软件：可实现仪器自动开机、自动优化、自动分析和自动关机的无人值守分析。</w:t>
      </w:r>
      <w:r/>
    </w:p>
    <w:p>
      <w:pPr>
        <w:spacing w:line="360" w:lineRule="auto"/>
        <w:rPr>
          <w:rFonts w:hint="eastAsia" w:ascii="宋体" w:hAnsi="宋体"/>
          <w:bCs/>
          <w:sz w:val="24"/>
          <w:szCs w:val="24"/>
        </w:rPr>
      </w:pPr>
      <w:r>
        <w:rPr>
          <w:rFonts w:hint="eastAsia" w:ascii="宋体" w:hAnsi="宋体"/>
          <w:bCs/>
          <w:sz w:val="24"/>
          <w:szCs w:val="24"/>
        </w:rPr>
        <w:t xml:space="preserve">1.10仪器整体性能</w:t>
      </w:r>
      <w:r/>
    </w:p>
    <w:p>
      <w:pPr>
        <w:spacing w:line="360" w:lineRule="auto"/>
        <w:rPr>
          <w:rFonts w:hint="eastAsia" w:ascii="宋体" w:hAnsi="宋体"/>
          <w:bCs/>
          <w:sz w:val="24"/>
          <w:szCs w:val="24"/>
        </w:rPr>
      </w:pPr>
      <w:r>
        <w:rPr>
          <w:rFonts w:hint="eastAsia" w:ascii="宋体" w:hAnsi="宋体"/>
          <w:bCs/>
          <w:sz w:val="24"/>
          <w:szCs w:val="24"/>
        </w:rPr>
        <w:t xml:space="preserve">1.10.1灵敏度：</w:t>
      </w:r>
      <w:r/>
    </w:p>
    <w:p>
      <w:pPr>
        <w:spacing w:line="360" w:lineRule="auto"/>
        <w:rPr>
          <w:rFonts w:hint="eastAsia" w:ascii="宋体" w:hAnsi="宋体"/>
          <w:bCs/>
          <w:sz w:val="24"/>
          <w:szCs w:val="24"/>
        </w:rPr>
      </w:pPr>
      <w:r>
        <w:rPr>
          <w:rFonts w:hint="eastAsia" w:ascii="宋体" w:hAnsi="宋体"/>
          <w:bCs/>
          <w:sz w:val="24"/>
          <w:szCs w:val="24"/>
        </w:rPr>
        <w:t xml:space="preserve">低质量数：≥ 50M cps/ppm；</w:t>
      </w:r>
      <w:r/>
    </w:p>
    <w:p>
      <w:pPr>
        <w:spacing w:line="360" w:lineRule="auto"/>
        <w:rPr>
          <w:rFonts w:hint="eastAsia" w:ascii="宋体" w:hAnsi="宋体"/>
          <w:bCs/>
          <w:sz w:val="24"/>
          <w:szCs w:val="24"/>
        </w:rPr>
      </w:pPr>
      <w:r>
        <w:rPr>
          <w:rFonts w:hint="eastAsia" w:ascii="宋体" w:hAnsi="宋体"/>
          <w:bCs/>
          <w:sz w:val="24"/>
          <w:szCs w:val="24"/>
        </w:rPr>
        <w:t xml:space="preserve">中质量数：≥100M cps/ppm；</w:t>
      </w:r>
      <w:r/>
    </w:p>
    <w:p>
      <w:pPr>
        <w:spacing w:line="360" w:lineRule="auto"/>
        <w:rPr>
          <w:rFonts w:hint="eastAsia" w:ascii="宋体" w:hAnsi="宋体"/>
          <w:bCs/>
          <w:sz w:val="24"/>
          <w:szCs w:val="24"/>
        </w:rPr>
      </w:pPr>
      <w:r>
        <w:rPr>
          <w:rFonts w:hint="eastAsia" w:ascii="宋体" w:hAnsi="宋体"/>
          <w:bCs/>
          <w:sz w:val="24"/>
          <w:szCs w:val="24"/>
        </w:rPr>
        <w:t xml:space="preserve">高质量数：≥ 80M cps/ppm </w:t>
      </w:r>
      <w:r/>
    </w:p>
    <w:p>
      <w:pPr>
        <w:spacing w:line="360" w:lineRule="auto"/>
        <w:rPr>
          <w:rFonts w:hint="eastAsia" w:ascii="宋体" w:hAnsi="宋体"/>
          <w:bCs/>
          <w:sz w:val="24"/>
          <w:szCs w:val="24"/>
        </w:rPr>
      </w:pPr>
      <w:r>
        <w:rPr>
          <w:rFonts w:hint="eastAsia" w:ascii="宋体" w:hAnsi="宋体"/>
          <w:bCs/>
          <w:sz w:val="24"/>
          <w:szCs w:val="24"/>
        </w:rPr>
        <w:t xml:space="preserve">1.10.2随机背景： ＜1 cps</w:t>
      </w:r>
      <w:r/>
    </w:p>
    <w:p>
      <w:pPr>
        <w:spacing w:line="360" w:lineRule="auto"/>
        <w:rPr>
          <w:rFonts w:hint="eastAsia" w:ascii="宋体" w:hAnsi="宋体"/>
          <w:bCs/>
          <w:sz w:val="24"/>
          <w:szCs w:val="24"/>
        </w:rPr>
      </w:pPr>
      <w:r>
        <w:rPr>
          <w:rFonts w:hint="eastAsia" w:ascii="宋体" w:hAnsi="宋体"/>
          <w:bCs/>
          <w:sz w:val="24"/>
          <w:szCs w:val="24"/>
        </w:rPr>
        <w:t xml:space="preserve">1.10.3氧化物离子(CeO</w:t>
      </w:r>
      <w:r>
        <w:rPr>
          <w:rFonts w:hint="eastAsia" w:ascii="宋体" w:hAnsi="宋体"/>
          <w:bCs/>
          <w:sz w:val="24"/>
          <w:szCs w:val="24"/>
          <w:vertAlign w:val="superscript"/>
        </w:rPr>
        <w:t xml:space="preserve">+</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 2.5%；双电荷离子(Ce</w:t>
      </w:r>
      <w:r>
        <w:rPr>
          <w:rFonts w:hint="eastAsia" w:ascii="宋体" w:hAnsi="宋体"/>
          <w:bCs/>
          <w:sz w:val="24"/>
          <w:szCs w:val="24"/>
          <w:vertAlign w:val="superscript"/>
        </w:rPr>
        <w:t xml:space="preserve">2+</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≤3.0 %</w:t>
      </w:r>
      <w:r/>
    </w:p>
    <w:p>
      <w:pPr>
        <w:spacing w:line="360" w:lineRule="auto"/>
        <w:rPr>
          <w:rFonts w:hint="eastAsia" w:ascii="宋体" w:hAnsi="宋体"/>
          <w:bCs/>
          <w:sz w:val="24"/>
          <w:szCs w:val="24"/>
        </w:rPr>
      </w:pPr>
      <w:r>
        <w:rPr>
          <w:rFonts w:hint="eastAsia" w:ascii="宋体" w:hAnsi="宋体"/>
          <w:bCs/>
          <w:sz w:val="24"/>
          <w:szCs w:val="24"/>
        </w:rPr>
        <w:t xml:space="preserve">1.10.4检出限：Be（9）：＜0.5ppt；In (115)：＜0.1ppt；U (238)：＜0.1 ppt</w:t>
      </w:r>
      <w:r/>
    </w:p>
    <w:p>
      <w:pPr>
        <w:spacing w:line="360" w:lineRule="auto"/>
        <w:rPr>
          <w:rFonts w:hint="eastAsia" w:ascii="宋体" w:hAnsi="宋体"/>
          <w:bCs/>
          <w:sz w:val="24"/>
          <w:szCs w:val="24"/>
        </w:rPr>
      </w:pPr>
      <w:r>
        <w:rPr>
          <w:rFonts w:hint="eastAsia" w:ascii="宋体" w:hAnsi="宋体"/>
          <w:bCs/>
          <w:sz w:val="24"/>
          <w:szCs w:val="24"/>
        </w:rPr>
        <w:t xml:space="preserve">1.10.5稳定性：≤ 4%RSD（4小时）。不加内标，每10分钟测量一次。</w:t>
      </w:r>
      <w:r/>
    </w:p>
    <w:p>
      <w:pPr>
        <w:spacing w:line="360" w:lineRule="auto"/>
        <w:rPr>
          <w:rFonts w:hint="eastAsia" w:ascii="宋体" w:hAnsi="宋体"/>
          <w:b/>
          <w:sz w:val="24"/>
          <w:szCs w:val="24"/>
        </w:rPr>
      </w:pPr>
      <w:r/>
      <w:bookmarkStart w:id="218" w:name="_Hlk181035827"/>
      <w:r>
        <w:rPr>
          <w:rFonts w:hint="eastAsia" w:ascii="宋体" w:hAnsi="宋体"/>
          <w:b/>
          <w:sz w:val="24"/>
          <w:szCs w:val="24"/>
        </w:rPr>
        <w:t xml:space="preserve">2.培训及技术支持要求</w:t>
      </w:r>
      <w:r/>
    </w:p>
    <w:p>
      <w:pPr>
        <w:spacing w:line="360" w:lineRule="auto"/>
        <w:rPr>
          <w:rFonts w:hint="eastAsia" w:ascii="宋体" w:hAnsi="宋体"/>
          <w:bCs/>
          <w:sz w:val="24"/>
          <w:szCs w:val="24"/>
        </w:rPr>
      </w:pPr>
      <w:r>
        <w:rPr>
          <w:rFonts w:hint="eastAsia" w:ascii="宋体" w:hAnsi="宋体"/>
          <w:bCs/>
          <w:sz w:val="24"/>
          <w:szCs w:val="24"/>
        </w:rPr>
        <w:t xml:space="preserve">2.1</w:t>
      </w:r>
      <w:r>
        <w:rPr>
          <w:rFonts w:ascii="宋体" w:hAnsi="宋体"/>
          <w:bCs/>
          <w:sz w:val="24"/>
          <w:szCs w:val="24"/>
        </w:rPr>
        <w:t xml:space="preserve"> </w:t>
      </w:r>
      <w:r>
        <w:rPr>
          <w:rFonts w:hint="eastAsia" w:ascii="宋体" w:hAnsi="宋体"/>
          <w:bCs/>
          <w:sz w:val="24"/>
          <w:szCs w:val="24"/>
        </w:rPr>
        <w:t xml:space="preserve">每台仪器提供2个名额，参加原厂组织的实操培训，培训时间不少于4天。</w:t>
      </w:r>
      <w:r/>
    </w:p>
    <w:p>
      <w:pPr>
        <w:spacing w:line="360" w:lineRule="auto"/>
        <w:rPr>
          <w:rFonts w:hint="eastAsia" w:ascii="宋体" w:hAnsi="宋体"/>
          <w:bCs/>
          <w:sz w:val="24"/>
          <w:szCs w:val="24"/>
        </w:rPr>
      </w:pPr>
      <w:r>
        <w:rPr>
          <w:rFonts w:hint="eastAsia" w:ascii="宋体" w:hAnsi="宋体"/>
          <w:bCs/>
          <w:sz w:val="24"/>
          <w:szCs w:val="24"/>
        </w:rPr>
        <w:t xml:space="preserve">2.2提供终身的技术支持。在客户遇到困难，可及时提供方法开发和应用支持的指导。</w:t>
      </w:r>
      <w:bookmarkEnd w:id="218"/>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品目五：紫外可见分光光度计 1台</w:t>
      </w:r>
      <w:r/>
    </w:p>
    <w:p>
      <w:pPr>
        <w:spacing w:line="360" w:lineRule="auto"/>
        <w:rPr>
          <w:rFonts w:hint="eastAsia" w:ascii="宋体" w:hAnsi="宋体"/>
          <w:b/>
          <w:bCs/>
          <w:sz w:val="24"/>
          <w:szCs w:val="24"/>
        </w:rPr>
      </w:pPr>
      <w:r>
        <w:rPr>
          <w:rFonts w:hint="eastAsia" w:ascii="宋体" w:hAnsi="宋体"/>
          <w:b/>
          <w:bCs/>
          <w:sz w:val="24"/>
          <w:szCs w:val="24"/>
        </w:rPr>
        <w:t xml:space="preserve">1.技术指标</w:t>
      </w:r>
      <w:r/>
    </w:p>
    <w:p>
      <w:pPr>
        <w:spacing w:line="360" w:lineRule="auto"/>
        <w:tabs>
          <w:tab w:val="left" w:pos="6120" w:leader="none"/>
        </w:tabs>
        <w:rPr>
          <w:rFonts w:hint="eastAsia" w:ascii="宋体" w:hAnsi="宋体"/>
          <w:sz w:val="24"/>
          <w:szCs w:val="24"/>
          <w:lang w:val="de-DE"/>
        </w:rPr>
      </w:pPr>
      <w:r>
        <w:rPr>
          <w:rFonts w:hint="eastAsia" w:ascii="宋体" w:hAnsi="宋体"/>
          <w:sz w:val="24"/>
          <w:szCs w:val="24"/>
        </w:rPr>
        <w:t xml:space="preserve">1.1光学系统：双光束；波长范围：190～1100nm</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1.2光源：钨灯和氘灯，软件控制光源自动切换，可选择切换位置。</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1.3带宽：至少包含0.5、1.0、2.0、5.0nm</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1.4杂散光：≤0.5%（198nm KCl）</w:t>
      </w:r>
      <w:r/>
    </w:p>
    <w:p>
      <w:pPr>
        <w:ind w:firstLine="1440"/>
        <w:spacing w:line="360" w:lineRule="auto"/>
        <w:tabs>
          <w:tab w:val="left" w:pos="6120" w:leader="none"/>
        </w:tabs>
        <w:rPr>
          <w:rFonts w:hint="eastAsia" w:ascii="宋体" w:hAnsi="宋体"/>
          <w:sz w:val="24"/>
          <w:szCs w:val="24"/>
        </w:rPr>
      </w:pPr>
      <w:r>
        <w:rPr>
          <w:rFonts w:hint="eastAsia" w:ascii="宋体" w:hAnsi="宋体"/>
          <w:sz w:val="24"/>
          <w:szCs w:val="24"/>
        </w:rPr>
        <w:t xml:space="preserve">≤0.01%（220nm NaCl）</w:t>
      </w:r>
      <w:r/>
    </w:p>
    <w:p>
      <w:pPr>
        <w:ind w:firstLine="1440"/>
        <w:spacing w:line="360" w:lineRule="auto"/>
        <w:tabs>
          <w:tab w:val="left" w:pos="6120" w:leader="none"/>
        </w:tabs>
        <w:rPr>
          <w:rFonts w:hint="eastAsia" w:ascii="宋体" w:hAnsi="宋体"/>
          <w:sz w:val="24"/>
          <w:szCs w:val="24"/>
        </w:rPr>
      </w:pPr>
      <w:r>
        <w:rPr>
          <w:rFonts w:hint="eastAsia" w:ascii="宋体" w:hAnsi="宋体"/>
          <w:sz w:val="24"/>
          <w:szCs w:val="24"/>
        </w:rPr>
        <w:t xml:space="preserve">≤0.01%T（340nm，370nm NaNO</w:t>
      </w:r>
      <w:r>
        <w:rPr>
          <w:rFonts w:hint="eastAsia" w:ascii="宋体" w:hAnsi="宋体"/>
          <w:sz w:val="24"/>
          <w:szCs w:val="24"/>
          <w:vertAlign w:val="subscript"/>
        </w:rPr>
        <w:t xml:space="preserve">2</w:t>
      </w:r>
      <w:r>
        <w:rPr>
          <w:rFonts w:hint="eastAsia" w:ascii="宋体" w:hAnsi="宋体"/>
          <w:sz w:val="24"/>
          <w:szCs w:val="24"/>
        </w:rPr>
        <w:t xml:space="preserve">）                        </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1.5波长精度：≤±0.1nm；波长重复性：≤±0.05nm（6次测量SD值）</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1.6光度计精度：≤±0.006Abs（在1A，用NIST930滤光片测量）；光度计重复性：≤0.0001A（在0.5A，1A）</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1.7稳定性：≤0.0005A/h</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1.8基线平直：≤±0.0005A</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1.9噪声水平：≤0.0002A</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1.10扫描速度：最高可达12000nm/min，可调</w:t>
      </w:r>
      <w:r/>
    </w:p>
    <w:p>
      <w:pPr>
        <w:spacing w:line="360" w:lineRule="auto"/>
        <w:tabs>
          <w:tab w:val="left" w:pos="6120" w:leader="none"/>
        </w:tabs>
        <w:rPr>
          <w:rFonts w:hint="eastAsia" w:ascii="宋体" w:hAnsi="宋体"/>
          <w:sz w:val="24"/>
          <w:szCs w:val="24"/>
        </w:rPr>
      </w:pPr>
      <w:r>
        <w:rPr>
          <w:rFonts w:hint="eastAsia" w:ascii="宋体" w:hAnsi="宋体"/>
          <w:sz w:val="24"/>
          <w:szCs w:val="24"/>
        </w:rPr>
        <w:t xml:space="preserve">1.11光度范围：±4A</w:t>
      </w:r>
      <w:r/>
    </w:p>
    <w:p>
      <w:pPr>
        <w:spacing w:line="360" w:lineRule="auto"/>
        <w:rPr>
          <w:rFonts w:hint="eastAsia" w:ascii="宋体" w:hAnsi="宋体"/>
          <w:b/>
          <w:sz w:val="24"/>
          <w:szCs w:val="24"/>
        </w:rPr>
      </w:pPr>
      <w:r>
        <w:rPr>
          <w:rFonts w:hint="eastAsia" w:ascii="宋体" w:hAnsi="宋体"/>
          <w:b/>
          <w:sz w:val="24"/>
          <w:szCs w:val="24"/>
        </w:rPr>
        <w:t xml:space="preserve">2.原厂培训要求</w:t>
      </w:r>
      <w:r/>
    </w:p>
    <w:p>
      <w:pPr>
        <w:spacing w:line="360" w:lineRule="auto"/>
        <w:rPr>
          <w:rFonts w:hint="eastAsia" w:ascii="宋体" w:hAnsi="宋体"/>
          <w:bCs/>
          <w:sz w:val="24"/>
          <w:szCs w:val="24"/>
        </w:rPr>
      </w:pPr>
      <w:r>
        <w:rPr>
          <w:rFonts w:hint="eastAsia" w:ascii="宋体" w:hAnsi="宋体"/>
          <w:bCs/>
          <w:sz w:val="24"/>
          <w:szCs w:val="24"/>
        </w:rPr>
        <w:t xml:space="preserve">2.1</w:t>
      </w:r>
      <w:r>
        <w:rPr>
          <w:rFonts w:ascii="宋体" w:hAnsi="宋体"/>
          <w:bCs/>
          <w:sz w:val="24"/>
          <w:szCs w:val="24"/>
        </w:rPr>
        <w:t xml:space="preserve"> </w:t>
      </w:r>
      <w:r>
        <w:rPr>
          <w:rFonts w:hint="eastAsia" w:ascii="宋体" w:hAnsi="宋体"/>
          <w:bCs/>
          <w:sz w:val="24"/>
          <w:szCs w:val="24"/>
        </w:rPr>
        <w:t xml:space="preserve">每台仪器提供2个名额，参加原厂组织的实操培训，培训时间不少于4天。</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color w:val="000000"/>
          <w:sz w:val="24"/>
          <w:szCs w:val="24"/>
        </w:rPr>
      </w:pPr>
      <w:r>
        <w:rPr>
          <w:rFonts w:hint="eastAsia" w:ascii="宋体" w:hAnsi="宋体" w:cs="宋体"/>
          <w:b/>
          <w:bCs/>
          <w:sz w:val="24"/>
          <w:szCs w:val="24"/>
        </w:rPr>
        <w:t xml:space="preserve">品目六：</w:t>
      </w:r>
      <w:r>
        <w:rPr>
          <w:rFonts w:hint="eastAsia" w:ascii="宋体" w:hAnsi="宋体" w:cs="宋体"/>
          <w:b/>
          <w:color w:val="000000"/>
          <w:sz w:val="24"/>
          <w:szCs w:val="24"/>
        </w:rPr>
        <w:t xml:space="preserve">石蜡切片机 1台</w:t>
      </w:r>
      <w:r/>
    </w:p>
    <w:p>
      <w:pPr>
        <w:jc w:val="left"/>
        <w:keepLines/>
        <w:keepNext/>
        <w:spacing w:line="360" w:lineRule="auto"/>
        <w:rPr>
          <w:rFonts w:hint="eastAsia" w:ascii="宋体" w:hAnsi="宋体"/>
          <w:b/>
          <w:bCs/>
          <w:sz w:val="24"/>
          <w:szCs w:val="44"/>
        </w:rPr>
        <w:outlineLvl w:val="0"/>
      </w:pPr>
      <w:r>
        <w:rPr>
          <w:rFonts w:hint="eastAsia" w:ascii="宋体" w:hAnsi="宋体"/>
          <w:b/>
          <w:bCs/>
          <w:sz w:val="24"/>
          <w:szCs w:val="44"/>
        </w:rPr>
        <w:t xml:space="preserve">1.技术指标</w:t>
      </w:r>
      <w:r/>
    </w:p>
    <w:p>
      <w:pPr>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.1</w:t>
      </w:r>
      <w:r>
        <w:rPr>
          <w:rFonts w:hint="eastAsia" w:ascii="宋体" w:hAnsi="宋体" w:cs="宋体"/>
          <w:sz w:val="24"/>
          <w:szCs w:val="24"/>
        </w:rPr>
        <w:t xml:space="preserve"> 具备</w:t>
      </w:r>
      <w:r>
        <w:rPr>
          <w:rFonts w:hint="eastAsia" w:ascii="宋体" w:hAnsi="宋体" w:cs="宋体"/>
          <w:sz w:val="24"/>
          <w:szCs w:val="24"/>
          <w:lang w:val="zh-CN"/>
        </w:rPr>
        <w:t xml:space="preserve">电动切片功能，切削速度可达到450mm/s，多种切片模式：单次、连续、</w:t>
      </w:r>
      <w:r>
        <w:rPr>
          <w:rFonts w:hint="eastAsia" w:ascii="宋体" w:hAnsi="宋体" w:cs="宋体"/>
          <w:sz w:val="24"/>
          <w:szCs w:val="24"/>
        </w:rPr>
        <w:t xml:space="preserve">步进</w:t>
      </w:r>
      <w:r>
        <w:rPr>
          <w:rFonts w:hint="eastAsia" w:ascii="宋体" w:hAnsi="宋体" w:cs="宋体"/>
          <w:sz w:val="24"/>
          <w:szCs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2 可以切取常规石蜡包埋组织以及木头块，同时配备一次性刀片刀架、钢刀刀架以及相应刀片；</w:t>
      </w:r>
      <w:r/>
    </w:p>
    <w:p>
      <w:pPr>
        <w:spacing w:line="360" w:lineRule="auto"/>
        <w:rPr>
          <w:rFonts w:hint="eastAsia" w:ascii="宋体" w:hAnsi="宋体" w:cs="宋体"/>
          <w:sz w:val="24"/>
          <w:szCs w:val="24"/>
        </w:rPr>
      </w:pPr>
      <w:r>
        <w:rPr>
          <w:rFonts w:hint="eastAsia" w:ascii="宋体" w:hAnsi="宋体" w:cs="宋体"/>
          <w:sz w:val="24"/>
          <w:szCs w:val="24"/>
        </w:rPr>
        <w:t xml:space="preserve">1.3 刀架双导轨设计，固定更稳定；中空的弧形废屑槽，便于清洁废屑；</w:t>
      </w:r>
      <w:r/>
    </w:p>
    <w:p>
      <w:pPr>
        <w:spacing w:line="360" w:lineRule="auto"/>
        <w:rPr>
          <w:rFonts w:hint="eastAsia" w:ascii="宋体" w:hAnsi="宋体" w:cs="宋体"/>
          <w:sz w:val="24"/>
          <w:szCs w:val="24"/>
        </w:rPr>
      </w:pPr>
      <w:r>
        <w:rPr>
          <w:rFonts w:hint="eastAsia" w:ascii="宋体" w:hAnsi="宋体" w:cs="宋体"/>
          <w:sz w:val="24"/>
          <w:szCs w:val="24"/>
        </w:rPr>
        <w:t xml:space="preserve">1.5 X/Y轴8°样本定位，Z轴360°旋转定位；</w:t>
      </w:r>
      <w:r/>
    </w:p>
    <w:p>
      <w:pPr>
        <w:spacing w:line="360" w:lineRule="auto"/>
        <w:rPr>
          <w:rFonts w:hint="eastAsia" w:ascii="宋体" w:hAnsi="宋体" w:cs="宋体"/>
          <w:sz w:val="24"/>
          <w:szCs w:val="24"/>
        </w:rPr>
      </w:pPr>
      <w:r>
        <w:rPr>
          <w:rFonts w:hint="eastAsia" w:ascii="宋体" w:hAnsi="宋体" w:cs="宋体"/>
          <w:sz w:val="24"/>
          <w:szCs w:val="24"/>
        </w:rPr>
        <w:t xml:space="preserve">▲1.4 样本头垂直行程≥70mm；样本头水平行程≥25mm；</w:t>
      </w:r>
      <w:r/>
    </w:p>
    <w:p>
      <w:pPr>
        <w:jc w:val="left"/>
        <w:spacing w:line="360" w:lineRule="auto"/>
        <w:rPr>
          <w:rFonts w:hint="eastAsia" w:ascii="宋体" w:hAnsi="宋体" w:cs="宋体"/>
          <w:sz w:val="24"/>
          <w:szCs w:val="24"/>
        </w:rPr>
      </w:pPr>
      <w:r>
        <w:rPr>
          <w:rFonts w:hint="eastAsia" w:ascii="宋体" w:hAnsi="宋体" w:cs="宋体"/>
          <w:sz w:val="24"/>
          <w:szCs w:val="24"/>
        </w:rPr>
        <w:t xml:space="preserve">1.6 具备切片位置记忆功能、切片计数功能以及切片厚度总计功能；</w:t>
      </w:r>
      <w:r/>
    </w:p>
    <w:p>
      <w:pPr>
        <w:spacing w:line="360" w:lineRule="auto"/>
        <w:rPr>
          <w:rFonts w:hint="eastAsia" w:ascii="宋体" w:hAnsi="宋体" w:cs="宋体"/>
          <w:sz w:val="24"/>
          <w:szCs w:val="24"/>
          <w:lang w:val="zh-CN"/>
        </w:rPr>
      </w:pPr>
      <w:r>
        <w:rPr>
          <w:rFonts w:hint="eastAsia" w:ascii="宋体" w:hAnsi="宋体" w:cs="宋体"/>
          <w:sz w:val="24"/>
          <w:szCs w:val="24"/>
        </w:rPr>
        <w:t xml:space="preserve">1.7 </w:t>
      </w:r>
      <w:r>
        <w:rPr>
          <w:rFonts w:hint="eastAsia" w:ascii="宋体" w:hAnsi="宋体" w:cs="宋体"/>
          <w:sz w:val="24"/>
          <w:szCs w:val="24"/>
          <w:lang w:val="zh-CN"/>
        </w:rPr>
        <w:t xml:space="preserve">控制面板整合在切片机机身上</w:t>
      </w:r>
      <w:r>
        <w:rPr>
          <w:rFonts w:hint="eastAsia" w:ascii="宋体" w:hAnsi="宋体" w:cs="宋体"/>
          <w:sz w:val="24"/>
          <w:szCs w:val="24"/>
        </w:rPr>
        <w:t xml:space="preserve">，</w:t>
      </w:r>
      <w:r>
        <w:rPr>
          <w:rFonts w:hint="eastAsia" w:ascii="宋体" w:hAnsi="宋体" w:cs="宋体"/>
          <w:sz w:val="24"/>
          <w:szCs w:val="24"/>
          <w:lang w:val="zh-CN"/>
        </w:rPr>
        <w:t xml:space="preserve">节省空间；</w:t>
      </w:r>
      <w:r/>
    </w:p>
    <w:p>
      <w:pPr>
        <w:spacing w:line="360" w:lineRule="auto"/>
        <w:rPr>
          <w:rFonts w:hint="eastAsia" w:ascii="宋体" w:hAnsi="宋体" w:cs="宋体"/>
          <w:sz w:val="24"/>
          <w:szCs w:val="24"/>
        </w:rPr>
      </w:pPr>
      <w:r>
        <w:rPr>
          <w:rFonts w:hint="eastAsia" w:ascii="宋体" w:hAnsi="宋体" w:cs="宋体"/>
          <w:sz w:val="24"/>
          <w:szCs w:val="24"/>
        </w:rPr>
        <w:t xml:space="preserve">1.8 切片范围不小于</w:t>
      </w:r>
      <w:r>
        <w:rPr>
          <w:rFonts w:hint="eastAsia" w:ascii="宋体" w:hAnsi="宋体" w:cs="宋体"/>
          <w:sz w:val="24"/>
          <w:szCs w:val="24"/>
          <w:lang w:val="zh-CN"/>
        </w:rPr>
        <w:t xml:space="preserve">0.5～100</w:t>
      </w:r>
      <w:r>
        <w:rPr>
          <w:rFonts w:hint="eastAsia" w:ascii="宋体" w:hAnsi="宋体" w:cs="宋体"/>
          <w:sz w:val="24"/>
          <w:szCs w:val="24"/>
        </w:rPr>
        <w:t xml:space="preserve">μm；</w:t>
      </w:r>
      <w:r/>
    </w:p>
    <w:p>
      <w:pPr>
        <w:spacing w:line="360" w:lineRule="auto"/>
        <w:rPr>
          <w:rFonts w:hint="eastAsia" w:ascii="宋体" w:hAnsi="宋体" w:cs="宋体"/>
          <w:sz w:val="24"/>
          <w:szCs w:val="24"/>
        </w:rPr>
      </w:pPr>
      <w:r>
        <w:rPr>
          <w:rFonts w:hint="eastAsia" w:ascii="宋体" w:hAnsi="宋体" w:cs="宋体"/>
          <w:sz w:val="24"/>
          <w:szCs w:val="24"/>
        </w:rPr>
        <w:t xml:space="preserve">1.9 修片范围不小于5</w:t>
      </w:r>
      <w:r>
        <w:rPr>
          <w:rFonts w:hint="eastAsia" w:ascii="宋体" w:hAnsi="宋体" w:cs="宋体"/>
          <w:sz w:val="24"/>
          <w:szCs w:val="24"/>
          <w:lang w:val="zh-CN"/>
        </w:rPr>
        <w:t xml:space="preserve">～</w:t>
      </w:r>
      <w:r>
        <w:rPr>
          <w:rFonts w:hint="eastAsia" w:ascii="宋体" w:hAnsi="宋体" w:cs="宋体"/>
          <w:sz w:val="24"/>
          <w:szCs w:val="24"/>
        </w:rPr>
        <w:t xml:space="preserve">500μm；</w:t>
      </w:r>
      <w:r/>
    </w:p>
    <w:p>
      <w:pPr>
        <w:spacing w:line="360" w:lineRule="auto"/>
        <w:rPr>
          <w:rFonts w:hint="eastAsia" w:ascii="宋体" w:hAnsi="宋体" w:cs="宋体"/>
          <w:sz w:val="24"/>
          <w:szCs w:val="24"/>
        </w:rPr>
      </w:pPr>
      <w:r>
        <w:rPr>
          <w:rFonts w:hint="eastAsia" w:ascii="宋体" w:hAnsi="宋体" w:cs="宋体"/>
          <w:sz w:val="24"/>
          <w:szCs w:val="24"/>
        </w:rPr>
        <w:t xml:space="preserve">1.10 回缩值：≥40μm；</w:t>
      </w:r>
      <w:r/>
    </w:p>
    <w:p>
      <w:pPr>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 急停按钮、手轮电子手刹</w:t>
      </w:r>
      <w:r>
        <w:rPr>
          <w:rFonts w:hint="eastAsia" w:ascii="宋体" w:hAnsi="宋体" w:cs="宋体"/>
          <w:sz w:val="24"/>
          <w:szCs w:val="24"/>
        </w:rPr>
        <w:t xml:space="preserve">和</w:t>
      </w:r>
      <w:r>
        <w:rPr>
          <w:rFonts w:hint="eastAsia" w:ascii="宋体" w:hAnsi="宋体" w:cs="宋体"/>
          <w:sz w:val="24"/>
          <w:szCs w:val="24"/>
          <w:lang w:val="zh-CN"/>
        </w:rPr>
        <w:t xml:space="preserve">手轮折叠功能，确保操作安全。</w:t>
      </w:r>
      <w:r/>
    </w:p>
    <w:p>
      <w:p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1、采购标的需实现的功能或者目标，以及为落实政府采购政策需满足的要求：</w:t>
      </w:r>
      <w:r/>
    </w:p>
    <w:p>
      <w:pPr>
        <w:pStyle w:val="716"/>
        <w:spacing w:after="0" w:line="360" w:lineRule="exact"/>
      </w:pPr>
      <w:r>
        <w:rPr>
          <w:rFonts w:hint="eastAsia"/>
        </w:rPr>
        <w:t xml:space="preserve">投标产品能够充分满足采购人开展药品、化妆品监督检验工作的应用需求。</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、采购标的需执行的国家相关标准、行业标准、地方标准或者其他标准、规范：</w:t>
      </w:r>
      <w:r/>
    </w:p>
    <w:p>
      <w:pPr>
        <w:pStyle w:val="716"/>
        <w:spacing w:after="0" w:line="360" w:lineRule="exact"/>
      </w:pPr>
      <w:r>
        <w:rPr>
          <w:rFonts w:hint="eastAsia"/>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、采购标的需满足的质量、安全、技术规格、物理特性等要求：</w:t>
      </w:r>
      <w:r/>
    </w:p>
    <w:p>
      <w:pPr>
        <w:pStyle w:val="716"/>
        <w:spacing w:after="0" w:line="360" w:lineRule="exact"/>
      </w:pPr>
      <w:r>
        <w:rPr>
          <w:rFonts w:hint="eastAsia"/>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p>
    <w:p>
      <w:pPr>
        <w:pStyle w:val="716"/>
        <w:spacing w:after="0" w:line="360" w:lineRule="exact"/>
      </w:pPr>
      <w:r>
        <w:rPr>
          <w:rFonts w:hint="eastAsia"/>
        </w:rPr>
        <w:t xml:space="preserve">3.2确保设备质保期内开机率为95%，如设备故障停机率超过5%（一年按365天计算，每年18天），每超过一天，质保期延长两周。</w:t>
      </w:r>
      <w:r/>
    </w:p>
    <w:p>
      <w:pPr>
        <w:pStyle w:val="716"/>
        <w:spacing w:after="0" w:line="360" w:lineRule="exact"/>
      </w:pPr>
      <w:r>
        <w:rPr>
          <w:rFonts w:hint="eastAsia"/>
        </w:rPr>
        <w:t xml:space="preserve">3.3本次所投产品的年限为10年，设备使用年限内中标人承诺保证配件、耗材的供应。</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、采购标的的数量、采购项目交付或者实施的时间和地点：</w:t>
      </w:r>
      <w:r/>
    </w:p>
    <w:p>
      <w:pPr>
        <w:pStyle w:val="716"/>
        <w:spacing w:after="0" w:line="360" w:lineRule="exact"/>
      </w:pPr>
      <w:r>
        <w:rPr>
          <w:rFonts w:hint="eastAsia"/>
        </w:rPr>
        <w:t xml:space="preserve">4.1采购标的数量：</w:t>
      </w:r>
      <w:bookmarkStart w:id="219" w:name="_Hlk181037486"/>
      <w:r>
        <w:rPr>
          <w:rFonts w:hint="eastAsia"/>
        </w:rPr>
        <w:t xml:space="preserve">高效液相色谱仪1台、全二维液相色谱系统1台、超高效液相色谱仪1台、电感耦合等离子体质谱仪1台、紫外可见分光光度计1台、石蜡切片机1台。</w:t>
      </w:r>
      <w:bookmarkEnd w:id="219"/>
      <w:r/>
      <w:r/>
    </w:p>
    <w:p>
      <w:pPr>
        <w:pStyle w:val="716"/>
        <w:spacing w:after="0" w:line="360" w:lineRule="exact"/>
      </w:pPr>
      <w:r>
        <w:rPr>
          <w:rFonts w:hint="eastAsia"/>
        </w:rPr>
        <w:t xml:space="preserve">4.2产品配置要求</w:t>
      </w:r>
      <w:r/>
    </w:p>
    <w:p>
      <w:pPr>
        <w:ind w:firstLine="422"/>
        <w:spacing w:line="360" w:lineRule="auto"/>
        <w:rPr>
          <w:rFonts w:hint="eastAsia" w:cs="宋体" w:asciiTheme="minorEastAsia" w:hAnsiTheme="minorEastAsia" w:eastAsiaTheme="minorEastAsia"/>
          <w:szCs w:val="21"/>
        </w:rPr>
      </w:pPr>
      <w:r>
        <w:rPr>
          <w:rFonts w:hint="eastAsia"/>
        </w:rPr>
        <w:t xml:space="preserve">4.2.1</w:t>
      </w:r>
      <w:r>
        <w:rPr>
          <w:rFonts w:hint="eastAsia" w:cs="宋体" w:asciiTheme="minorEastAsia" w:hAnsiTheme="minorEastAsia" w:eastAsiaTheme="minorEastAsia"/>
          <w:szCs w:val="21"/>
        </w:rPr>
        <w:t xml:space="preserve">品目一：高效液相色谱仪1台</w:t>
      </w:r>
      <w:r/>
    </w:p>
    <w:p>
      <w:pPr>
        <w:ind w:firstLine="422"/>
        <w:spacing w:line="360" w:lineRule="auto"/>
        <w:rPr>
          <w:rFonts w:hint="eastAsia" w:cs="宋体" w:asciiTheme="minorEastAsia" w:hAnsiTheme="minorEastAsia" w:eastAsiaTheme="minorEastAsia"/>
          <w:szCs w:val="21"/>
        </w:rPr>
      </w:pPr>
      <w:r>
        <w:rPr>
          <w:rFonts w:hint="eastAsia"/>
        </w:rPr>
        <w:t xml:space="preserve">4.2.1.1</w:t>
      </w:r>
      <w:r>
        <w:rPr>
          <w:rFonts w:hint="eastAsia" w:cs="宋体" w:asciiTheme="minorEastAsia" w:hAnsiTheme="minorEastAsia" w:eastAsiaTheme="minorEastAsia"/>
          <w:szCs w:val="21"/>
        </w:rPr>
        <w:t xml:space="preserve">液相四元溶剂梯度泵 1套 </w:t>
      </w:r>
      <w:r/>
    </w:p>
    <w:p>
      <w:pPr>
        <w:ind w:firstLine="422"/>
        <w:spacing w:line="360" w:lineRule="auto"/>
        <w:rPr>
          <w:rFonts w:hint="eastAsia" w:cs="宋体" w:asciiTheme="minorEastAsia" w:hAnsiTheme="minorEastAsia" w:eastAsiaTheme="minorEastAsia"/>
          <w:szCs w:val="21"/>
        </w:rPr>
      </w:pPr>
      <w:r>
        <w:rPr>
          <w:rFonts w:hint="eastAsia"/>
        </w:rPr>
        <w:t xml:space="preserve">4.2.1.2</w:t>
      </w:r>
      <w:r>
        <w:rPr>
          <w:rFonts w:hint="eastAsia" w:cs="宋体" w:asciiTheme="minorEastAsia" w:hAnsiTheme="minorEastAsia" w:eastAsiaTheme="minorEastAsia"/>
          <w:szCs w:val="21"/>
        </w:rPr>
        <w:t xml:space="preserve">带制冷功能的超高效自动进样器 1套 </w:t>
      </w:r>
      <w:r/>
    </w:p>
    <w:p>
      <w:pPr>
        <w:ind w:firstLine="422"/>
        <w:spacing w:line="360" w:lineRule="auto"/>
        <w:rPr>
          <w:rFonts w:hint="eastAsia" w:cs="宋体" w:asciiTheme="minorEastAsia" w:hAnsiTheme="minorEastAsia" w:eastAsiaTheme="minorEastAsia"/>
          <w:szCs w:val="21"/>
        </w:rPr>
      </w:pPr>
      <w:r>
        <w:rPr>
          <w:rFonts w:hint="eastAsia"/>
        </w:rPr>
        <w:t xml:space="preserve">4.2.1.3</w:t>
      </w:r>
      <w:r>
        <w:rPr>
          <w:rFonts w:hint="eastAsia" w:cs="宋体" w:asciiTheme="minorEastAsia" w:hAnsiTheme="minorEastAsia" w:eastAsiaTheme="minorEastAsia"/>
          <w:szCs w:val="21"/>
        </w:rPr>
        <w:t xml:space="preserve">柱温箱 1套</w:t>
      </w:r>
      <w:r/>
    </w:p>
    <w:p>
      <w:pPr>
        <w:ind w:firstLine="422"/>
        <w:spacing w:line="360" w:lineRule="auto"/>
        <w:rPr>
          <w:rFonts w:hint="eastAsia" w:cs="宋体" w:asciiTheme="minorEastAsia" w:hAnsiTheme="minorEastAsia" w:eastAsiaTheme="minorEastAsia"/>
          <w:szCs w:val="21"/>
        </w:rPr>
      </w:pPr>
      <w:r>
        <w:rPr>
          <w:rFonts w:hint="eastAsia"/>
        </w:rPr>
        <w:t xml:space="preserve">4.2.1.4</w:t>
      </w:r>
      <w:r>
        <w:rPr>
          <w:rFonts w:hint="eastAsia" w:cs="宋体" w:asciiTheme="minorEastAsia" w:hAnsiTheme="minorEastAsia" w:eastAsiaTheme="minorEastAsia"/>
          <w:szCs w:val="21"/>
        </w:rPr>
        <w:t xml:space="preserve">二极管阵列检测器 1套</w:t>
      </w:r>
      <w:r/>
    </w:p>
    <w:p>
      <w:pPr>
        <w:ind w:firstLine="422"/>
        <w:spacing w:line="360" w:lineRule="auto"/>
        <w:rPr>
          <w:rFonts w:hint="eastAsia" w:cs="宋体" w:asciiTheme="minorEastAsia" w:hAnsiTheme="minorEastAsia" w:eastAsiaTheme="minorEastAsia"/>
          <w:szCs w:val="21"/>
        </w:rPr>
      </w:pPr>
      <w:r>
        <w:rPr>
          <w:rFonts w:hint="eastAsia"/>
        </w:rPr>
        <w:t xml:space="preserve">4.2.1.5</w:t>
      </w:r>
      <w:r>
        <w:rPr>
          <w:rFonts w:hint="eastAsia" w:cs="宋体" w:asciiTheme="minorEastAsia" w:hAnsiTheme="minorEastAsia" w:eastAsiaTheme="minorEastAsia"/>
          <w:szCs w:val="21"/>
        </w:rPr>
        <w:t xml:space="preserve">进口高效液相专用溶剂瓶 8个 </w:t>
      </w:r>
      <w:r/>
    </w:p>
    <w:p>
      <w:pPr>
        <w:ind w:firstLine="422"/>
        <w:spacing w:line="360" w:lineRule="auto"/>
        <w:rPr>
          <w:rFonts w:hint="eastAsia" w:cs="宋体" w:asciiTheme="minorEastAsia" w:hAnsiTheme="minorEastAsia" w:eastAsiaTheme="minorEastAsia"/>
          <w:szCs w:val="21"/>
        </w:rPr>
      </w:pPr>
      <w:r>
        <w:rPr>
          <w:rFonts w:hint="eastAsia"/>
        </w:rPr>
        <w:t xml:space="preserve">4.2.1.6</w:t>
      </w:r>
      <w:r>
        <w:rPr>
          <w:rFonts w:hint="eastAsia" w:cs="宋体" w:asciiTheme="minorEastAsia" w:hAnsiTheme="minorEastAsia" w:eastAsiaTheme="minorEastAsia"/>
          <w:szCs w:val="21"/>
        </w:rPr>
        <w:t xml:space="preserve">仪器控制和数据处理系统（DVDRW，≥16GB内存，≥256GB固态盘，≥1TB普通盘，≥22寸屏</w:t>
      </w:r>
      <w:r>
        <w:rPr>
          <w:rFonts w:hint="eastAsia" w:asciiTheme="minorEastAsia" w:hAnsiTheme="minorEastAsia" w:eastAsiaTheme="minorEastAsia"/>
          <w:szCs w:val="21"/>
        </w:rPr>
        <w:t xml:space="preserve">，配置满足工作站软件运行的要求</w:t>
      </w:r>
      <w:r>
        <w:rPr>
          <w:rFonts w:hint="eastAsia" w:cs="宋体" w:asciiTheme="minorEastAsia" w:hAnsiTheme="minorEastAsia" w:eastAsiaTheme="minorEastAsia"/>
          <w:szCs w:val="21"/>
        </w:rPr>
        <w:t xml:space="preserve">） 1套 </w:t>
      </w:r>
      <w:r/>
    </w:p>
    <w:p>
      <w:pPr>
        <w:ind w:firstLine="422"/>
        <w:spacing w:line="360" w:lineRule="auto"/>
        <w:rPr>
          <w:rFonts w:hint="eastAsia" w:cs="宋体" w:asciiTheme="minorEastAsia" w:hAnsiTheme="minorEastAsia" w:eastAsiaTheme="minorEastAsia"/>
          <w:szCs w:val="21"/>
        </w:rPr>
      </w:pPr>
      <w:r>
        <w:rPr>
          <w:rFonts w:hint="eastAsia"/>
        </w:rPr>
        <w:t xml:space="preserve">4.2.1.7</w:t>
      </w:r>
      <w:r>
        <w:rPr>
          <w:rFonts w:hint="eastAsia" w:cs="宋体" w:asciiTheme="minorEastAsia" w:hAnsiTheme="minorEastAsia" w:eastAsiaTheme="minorEastAsia"/>
          <w:szCs w:val="21"/>
          <w:highlight w:val="none"/>
        </w:rPr>
        <w:t xml:space="preserve">色谱柱 1根</w:t>
      </w:r>
      <w:r>
        <w:rPr>
          <w:rFonts w:hint="eastAsia" w:cs="宋体" w:asciiTheme="minorEastAsia" w:hAnsiTheme="minorEastAsia" w:eastAsiaTheme="minorEastAsia"/>
          <w:szCs w:val="21"/>
        </w:rPr>
        <w:t xml:space="preserve"> </w:t>
      </w:r>
      <w:r/>
    </w:p>
    <w:p>
      <w:pPr>
        <w:ind w:firstLine="422"/>
        <w:spacing w:line="360" w:lineRule="auto"/>
        <w:rPr>
          <w:rFonts w:hint="eastAsia" w:cs="宋体" w:asciiTheme="minorEastAsia" w:hAnsiTheme="minorEastAsia" w:eastAsiaTheme="minorEastAsia"/>
          <w:szCs w:val="21"/>
        </w:rPr>
      </w:pPr>
      <w:r>
        <w:rPr>
          <w:rFonts w:hint="eastAsia"/>
        </w:rPr>
        <w:t xml:space="preserve">4.2.1.8</w:t>
      </w:r>
      <w:r>
        <w:rPr>
          <w:rFonts w:hint="eastAsia" w:cs="宋体" w:asciiTheme="minorEastAsia" w:hAnsiTheme="minorEastAsia" w:eastAsiaTheme="minorEastAsia"/>
          <w:szCs w:val="21"/>
        </w:rPr>
        <w:t xml:space="preserve">仪器安装调试所必备的管路，接头，过滤头等可供使用2年的零备件 1套 </w:t>
      </w:r>
      <w:r/>
    </w:p>
    <w:p>
      <w:pPr>
        <w:ind w:firstLine="422"/>
        <w:spacing w:line="360" w:lineRule="auto"/>
        <w:rPr>
          <w:rFonts w:hint="eastAsia" w:cs="宋体" w:asciiTheme="minorEastAsia" w:hAnsiTheme="minorEastAsia" w:eastAsiaTheme="minorEastAsia"/>
          <w:szCs w:val="21"/>
        </w:rPr>
      </w:pPr>
      <w:r>
        <w:rPr>
          <w:rFonts w:hint="eastAsia"/>
        </w:rPr>
        <w:t xml:space="preserve">4.2.2</w:t>
      </w:r>
      <w:r>
        <w:rPr>
          <w:rFonts w:hint="eastAsia" w:cs="宋体" w:asciiTheme="minorEastAsia" w:hAnsiTheme="minorEastAsia" w:eastAsiaTheme="minorEastAsia"/>
          <w:szCs w:val="21"/>
        </w:rPr>
        <w:t xml:space="preserve">品目二：全二维液相色谱系统1台</w:t>
      </w:r>
      <w:r/>
    </w:p>
    <w:p>
      <w:pPr>
        <w:ind w:firstLine="422"/>
        <w:spacing w:line="360" w:lineRule="auto"/>
        <w:rPr>
          <w:rFonts w:hint="eastAsia" w:cs="宋体" w:asciiTheme="minorEastAsia" w:hAnsiTheme="minorEastAsia" w:eastAsiaTheme="minorEastAsia"/>
          <w:szCs w:val="21"/>
        </w:rPr>
      </w:pPr>
      <w:r>
        <w:rPr>
          <w:rFonts w:hint="eastAsia"/>
        </w:rPr>
        <w:t xml:space="preserve">4.2.2.1</w:t>
      </w:r>
      <w:r>
        <w:rPr>
          <w:rFonts w:hint="eastAsia" w:cs="宋体" w:asciiTheme="minorEastAsia" w:hAnsiTheme="minorEastAsia" w:eastAsiaTheme="minorEastAsia"/>
          <w:szCs w:val="21"/>
        </w:rPr>
        <w:t xml:space="preserve">液相四元溶剂梯度泵 2套 </w:t>
      </w:r>
      <w:r/>
    </w:p>
    <w:p>
      <w:pPr>
        <w:ind w:firstLine="422"/>
        <w:spacing w:line="360" w:lineRule="auto"/>
        <w:rPr>
          <w:rFonts w:hint="eastAsia" w:cs="宋体" w:asciiTheme="minorEastAsia" w:hAnsiTheme="minorEastAsia" w:eastAsiaTheme="minorEastAsia"/>
          <w:szCs w:val="21"/>
        </w:rPr>
      </w:pPr>
      <w:r>
        <w:rPr>
          <w:rFonts w:hint="eastAsia"/>
        </w:rPr>
        <w:t xml:space="preserve">4.2.2.2</w:t>
      </w:r>
      <w:r>
        <w:rPr>
          <w:rFonts w:hint="eastAsia" w:cs="宋体" w:asciiTheme="minorEastAsia" w:hAnsiTheme="minorEastAsia" w:eastAsiaTheme="minorEastAsia"/>
          <w:szCs w:val="21"/>
        </w:rPr>
        <w:t xml:space="preserve">带制冷功能的超高效自动进样器 1套 </w:t>
      </w:r>
      <w:r/>
    </w:p>
    <w:p>
      <w:pPr>
        <w:ind w:firstLine="422"/>
        <w:spacing w:line="360" w:lineRule="auto"/>
        <w:rPr>
          <w:rFonts w:hint="eastAsia" w:cs="宋体" w:asciiTheme="minorEastAsia" w:hAnsiTheme="minorEastAsia" w:eastAsiaTheme="minorEastAsia"/>
          <w:szCs w:val="21"/>
        </w:rPr>
      </w:pPr>
      <w:r>
        <w:rPr>
          <w:rFonts w:hint="eastAsia"/>
        </w:rPr>
        <w:t xml:space="preserve">4.2.2.3</w:t>
      </w:r>
      <w:r>
        <w:rPr>
          <w:rFonts w:hint="eastAsia" w:cs="宋体" w:asciiTheme="minorEastAsia" w:hAnsiTheme="minorEastAsia" w:eastAsiaTheme="minorEastAsia"/>
          <w:szCs w:val="21"/>
        </w:rPr>
        <w:t xml:space="preserve">带制冷功能的柱温箱 1套 </w:t>
      </w:r>
      <w:r/>
    </w:p>
    <w:p>
      <w:pPr>
        <w:ind w:firstLine="422"/>
        <w:spacing w:line="360" w:lineRule="auto"/>
        <w:rPr>
          <w:rFonts w:hint="eastAsia" w:cs="宋体" w:asciiTheme="minorEastAsia" w:hAnsiTheme="minorEastAsia" w:eastAsiaTheme="minorEastAsia"/>
          <w:szCs w:val="21"/>
        </w:rPr>
      </w:pPr>
      <w:r>
        <w:rPr>
          <w:rFonts w:hint="eastAsia"/>
        </w:rPr>
        <w:t xml:space="preserve">4.2.2.4</w:t>
      </w:r>
      <w:r>
        <w:rPr>
          <w:rFonts w:hint="eastAsia" w:cs="宋体" w:asciiTheme="minorEastAsia" w:hAnsiTheme="minorEastAsia" w:eastAsiaTheme="minorEastAsia"/>
          <w:szCs w:val="21"/>
        </w:rPr>
        <w:t xml:space="preserve">二极管阵列检测器 1套 </w:t>
      </w:r>
      <w:r/>
    </w:p>
    <w:p>
      <w:pPr>
        <w:ind w:firstLine="422"/>
        <w:spacing w:line="360" w:lineRule="auto"/>
        <w:rPr>
          <w:rFonts w:hint="eastAsia" w:cs="宋体" w:asciiTheme="minorEastAsia" w:hAnsiTheme="minorEastAsia" w:eastAsiaTheme="minorEastAsia"/>
          <w:szCs w:val="21"/>
        </w:rPr>
      </w:pPr>
      <w:r>
        <w:rPr>
          <w:rFonts w:hint="eastAsia"/>
        </w:rPr>
        <w:t xml:space="preserve">4.2.2.5</w:t>
      </w:r>
      <w:r>
        <w:rPr>
          <w:rFonts w:hint="eastAsia" w:cs="宋体" w:asciiTheme="minorEastAsia" w:hAnsiTheme="minorEastAsia" w:eastAsiaTheme="minorEastAsia"/>
          <w:szCs w:val="21"/>
        </w:rPr>
        <w:t xml:space="preserve">馏分收集器 1套 </w:t>
      </w:r>
      <w:r/>
    </w:p>
    <w:p>
      <w:pPr>
        <w:ind w:firstLine="422"/>
        <w:spacing w:line="360" w:lineRule="auto"/>
        <w:rPr>
          <w:rFonts w:hint="eastAsia" w:asciiTheme="minorEastAsia" w:hAnsiTheme="minorEastAsia" w:eastAsiaTheme="minorEastAsia"/>
          <w:szCs w:val="21"/>
        </w:rPr>
      </w:pPr>
      <w:r>
        <w:rPr>
          <w:rFonts w:hint="eastAsia"/>
        </w:rPr>
        <w:t xml:space="preserve">4.2.2.6</w:t>
      </w:r>
      <w:r>
        <w:rPr>
          <w:rFonts w:hint="eastAsia" w:asciiTheme="minorEastAsia" w:hAnsiTheme="minorEastAsia" w:eastAsiaTheme="minorEastAsia"/>
          <w:szCs w:val="21"/>
        </w:rPr>
        <w:t xml:space="preserve">原装色谱网络版数据工作软件 1套 </w:t>
      </w:r>
      <w:r/>
    </w:p>
    <w:p>
      <w:pPr>
        <w:ind w:firstLine="422"/>
        <w:spacing w:line="360" w:lineRule="auto"/>
        <w:rPr>
          <w:rFonts w:hint="eastAsia" w:asciiTheme="minorEastAsia" w:hAnsiTheme="minorEastAsia" w:eastAsiaTheme="minorEastAsia"/>
          <w:szCs w:val="21"/>
        </w:rPr>
      </w:pPr>
      <w:r>
        <w:rPr>
          <w:rFonts w:hint="eastAsia"/>
        </w:rPr>
        <w:t xml:space="preserve">4.2.2.6.1</w:t>
      </w:r>
      <w:r>
        <w:rPr>
          <w:rFonts w:hint="eastAsia" w:asciiTheme="minorEastAsia" w:hAnsiTheme="minorEastAsia" w:eastAsiaTheme="minorEastAsia"/>
          <w:szCs w:val="21"/>
        </w:rPr>
        <w:t xml:space="preserve">液相控制许可数量 10套 </w:t>
      </w:r>
      <w:r/>
    </w:p>
    <w:p>
      <w:pPr>
        <w:ind w:firstLine="422"/>
        <w:spacing w:line="360" w:lineRule="auto"/>
        <w:rPr>
          <w:rFonts w:hint="eastAsia" w:asciiTheme="minorEastAsia" w:hAnsiTheme="minorEastAsia" w:eastAsiaTheme="minorEastAsia"/>
          <w:szCs w:val="21"/>
        </w:rPr>
      </w:pPr>
      <w:r>
        <w:rPr>
          <w:rFonts w:hint="eastAsia"/>
        </w:rPr>
        <w:t xml:space="preserve">4.2.2.6.2</w:t>
      </w:r>
      <w:r>
        <w:rPr>
          <w:rFonts w:hint="eastAsia" w:asciiTheme="minorEastAsia" w:hAnsiTheme="minorEastAsia" w:eastAsiaTheme="minorEastAsia"/>
          <w:szCs w:val="21"/>
        </w:rPr>
        <w:t xml:space="preserve">采集服务器（eLACE）数量 5套 </w:t>
      </w:r>
      <w:r/>
    </w:p>
    <w:p>
      <w:pPr>
        <w:ind w:firstLine="422"/>
        <w:spacing w:line="360" w:lineRule="auto"/>
        <w:rPr>
          <w:rFonts w:hint="eastAsia" w:asciiTheme="minorEastAsia" w:hAnsiTheme="minorEastAsia" w:eastAsiaTheme="minorEastAsia"/>
          <w:szCs w:val="21"/>
        </w:rPr>
      </w:pPr>
      <w:r>
        <w:rPr>
          <w:rFonts w:hint="eastAsia"/>
        </w:rPr>
        <w:t xml:space="preserve">4.2.2.6.3</w:t>
      </w:r>
      <w:r>
        <w:rPr>
          <w:rFonts w:hint="eastAsia" w:asciiTheme="minorEastAsia" w:hAnsiTheme="minorEastAsia" w:eastAsiaTheme="minorEastAsia"/>
          <w:szCs w:val="21"/>
        </w:rPr>
        <w:t xml:space="preserve">用户名数量 15个 </w:t>
      </w:r>
      <w:r/>
    </w:p>
    <w:p>
      <w:pPr>
        <w:ind w:firstLine="422"/>
        <w:spacing w:line="360" w:lineRule="auto"/>
        <w:rPr>
          <w:rFonts w:hint="eastAsia" w:asciiTheme="minorEastAsia" w:hAnsiTheme="minorEastAsia" w:eastAsiaTheme="minorEastAsia"/>
          <w:szCs w:val="21"/>
        </w:rPr>
      </w:pPr>
      <w:r>
        <w:rPr>
          <w:rFonts w:hint="eastAsia"/>
        </w:rPr>
        <w:t xml:space="preserve">4.2.2.6.4</w:t>
      </w:r>
      <w:r>
        <w:rPr>
          <w:rFonts w:hint="eastAsia" w:asciiTheme="minorEastAsia" w:hAnsiTheme="minorEastAsia" w:eastAsiaTheme="minorEastAsia"/>
          <w:szCs w:val="21"/>
        </w:rPr>
        <w:t xml:space="preserve"> 满足色谱软件使用的服务器 1套 </w:t>
      </w:r>
      <w:r/>
    </w:p>
    <w:p>
      <w:pPr>
        <w:ind w:firstLine="422"/>
        <w:spacing w:line="360" w:lineRule="auto"/>
        <w:rPr>
          <w:rFonts w:hint="eastAsia" w:asciiTheme="minorEastAsia" w:hAnsiTheme="minorEastAsia" w:eastAsiaTheme="minorEastAsia"/>
          <w:szCs w:val="21"/>
        </w:rPr>
      </w:pPr>
      <w:r>
        <w:rPr>
          <w:rFonts w:hint="eastAsia"/>
        </w:rPr>
        <w:t xml:space="preserve">4.2.2.7  </w:t>
      </w:r>
      <w:r>
        <w:rPr>
          <w:rFonts w:hint="eastAsia" w:asciiTheme="minorEastAsia" w:hAnsiTheme="minorEastAsia" w:eastAsiaTheme="minorEastAsia"/>
          <w:szCs w:val="21"/>
        </w:rPr>
        <w:t xml:space="preserve">250</w:t>
      </w:r>
      <w:r>
        <w:rPr>
          <w:rFonts w:asciiTheme="minorEastAsia" w:hAnsiTheme="minorEastAsia" w:eastAsiaTheme="minorEastAsia"/>
          <w:szCs w:val="21"/>
        </w:rPr>
        <w:t xml:space="preserve">μL</w:t>
      </w:r>
      <w:r>
        <w:rPr>
          <w:rFonts w:hint="eastAsia" w:asciiTheme="minorEastAsia" w:hAnsiTheme="minorEastAsia" w:eastAsiaTheme="minorEastAsia"/>
          <w:szCs w:val="21"/>
        </w:rPr>
        <w:t xml:space="preserve">定量环（含针筒） 1套 </w:t>
      </w:r>
      <w:r/>
    </w:p>
    <w:p>
      <w:pPr>
        <w:ind w:firstLine="422"/>
        <w:spacing w:line="360" w:lineRule="auto"/>
        <w:rPr>
          <w:rFonts w:hint="eastAsia" w:asciiTheme="minorEastAsia" w:hAnsiTheme="minorEastAsia" w:eastAsiaTheme="minorEastAsia"/>
          <w:szCs w:val="21"/>
        </w:rPr>
      </w:pPr>
      <w:r>
        <w:rPr>
          <w:rFonts w:hint="eastAsia"/>
        </w:rPr>
        <w:t xml:space="preserve">4.2.2.8</w:t>
      </w:r>
      <w:r>
        <w:rPr>
          <w:rFonts w:hint="eastAsia" w:asciiTheme="minorEastAsia" w:hAnsiTheme="minorEastAsia" w:eastAsiaTheme="minorEastAsia"/>
          <w:szCs w:val="21"/>
        </w:rPr>
        <w:t xml:space="preserve">进口高效液相专用溶剂瓶 8个 </w:t>
      </w:r>
      <w:r/>
    </w:p>
    <w:p>
      <w:pPr>
        <w:ind w:firstLine="422"/>
        <w:spacing w:line="360" w:lineRule="auto"/>
        <w:rPr>
          <w:rFonts w:hint="eastAsia" w:asciiTheme="minorEastAsia" w:hAnsiTheme="minorEastAsia" w:eastAsiaTheme="minorEastAsia"/>
          <w:szCs w:val="21"/>
        </w:rPr>
      </w:pPr>
      <w:r>
        <w:rPr>
          <w:rFonts w:hint="eastAsia"/>
        </w:rPr>
        <w:t xml:space="preserve">4.2.2.9</w:t>
      </w:r>
      <w:r>
        <w:rPr>
          <w:rFonts w:hint="eastAsia" w:asciiTheme="minorEastAsia" w:hAnsiTheme="minorEastAsia" w:eastAsiaTheme="minorEastAsia"/>
          <w:szCs w:val="21"/>
        </w:rPr>
        <w:t xml:space="preserve">仪器控制和数据处理系统(</w:t>
      </w:r>
      <w:r>
        <w:rPr>
          <w:rFonts w:hint="eastAsia" w:cs="宋体" w:asciiTheme="minorEastAsia" w:hAnsiTheme="minorEastAsia" w:eastAsiaTheme="minorEastAsia"/>
          <w:szCs w:val="21"/>
        </w:rPr>
        <w:t xml:space="preserve">DVDRW，≥16GB内存，≥256GB固态盘，≥1TB普盘，≥22寸屏，</w:t>
      </w:r>
      <w:r>
        <w:rPr>
          <w:rFonts w:hint="eastAsia" w:asciiTheme="minorEastAsia" w:hAnsiTheme="minorEastAsia" w:eastAsiaTheme="minorEastAsia"/>
          <w:szCs w:val="21"/>
        </w:rPr>
        <w:t xml:space="preserve">配置满足工作站软件运行的要求) 1套  </w:t>
      </w:r>
      <w:r/>
    </w:p>
    <w:p>
      <w:pPr>
        <w:ind w:firstLine="422"/>
        <w:spacing w:line="360" w:lineRule="auto"/>
        <w:rPr>
          <w:rFonts w:hint="eastAsia" w:asciiTheme="minorEastAsia" w:hAnsiTheme="minorEastAsia" w:eastAsiaTheme="minorEastAsia"/>
          <w:szCs w:val="21"/>
        </w:rPr>
      </w:pPr>
      <w:r>
        <w:rPr>
          <w:rFonts w:hint="eastAsia"/>
        </w:rPr>
        <w:t xml:space="preserve">4.2.2.10</w:t>
      </w:r>
      <w:r>
        <w:rPr>
          <w:rFonts w:hint="eastAsia" w:asciiTheme="minorEastAsia" w:hAnsiTheme="minorEastAsia" w:eastAsiaTheme="minorEastAsia"/>
          <w:szCs w:val="21"/>
          <w:highlight w:val="none"/>
        </w:rPr>
        <w:t xml:space="preserve">色谱柱 3根</w:t>
      </w:r>
      <w:r>
        <w:rPr>
          <w:rFonts w:hint="eastAsia" w:asciiTheme="minorEastAsia" w:hAnsiTheme="minorEastAsia" w:eastAsiaTheme="minorEastAsia"/>
          <w:szCs w:val="21"/>
        </w:rPr>
        <w:t xml:space="preserve"> </w:t>
      </w:r>
      <w:r/>
    </w:p>
    <w:p>
      <w:pPr>
        <w:ind w:firstLine="422"/>
        <w:rPr>
          <w:rFonts w:hint="eastAsia" w:asciiTheme="minorEastAsia" w:hAnsiTheme="minorEastAsia" w:eastAsiaTheme="minorEastAsia"/>
          <w:szCs w:val="21"/>
        </w:rPr>
      </w:pPr>
      <w:r>
        <w:rPr>
          <w:rFonts w:hint="eastAsia"/>
        </w:rPr>
        <w:t xml:space="preserve">4.2.2.11</w:t>
      </w:r>
      <w:r>
        <w:rPr>
          <w:rFonts w:hint="eastAsia" w:asciiTheme="minorEastAsia" w:hAnsiTheme="minorEastAsia" w:eastAsiaTheme="minorEastAsia"/>
          <w:szCs w:val="21"/>
        </w:rPr>
        <w:t xml:space="preserve">仪器安装调试所必备的管路，接头，过滤头等可供使用2年的零备件 1套</w:t>
      </w:r>
      <w:r/>
    </w:p>
    <w:p>
      <w:pPr>
        <w:ind w:firstLine="422"/>
        <w:rPr>
          <w:rFonts w:hint="eastAsia" w:cs="宋体" w:asciiTheme="minorEastAsia" w:hAnsiTheme="minorEastAsia" w:eastAsiaTheme="minorEastAsia"/>
          <w:szCs w:val="21"/>
        </w:rPr>
      </w:pPr>
      <w:r>
        <w:rPr>
          <w:rFonts w:hint="eastAsia"/>
        </w:rPr>
        <w:t xml:space="preserve">4.2.3</w:t>
      </w:r>
      <w:r>
        <w:rPr>
          <w:rFonts w:hint="eastAsia" w:cs="宋体" w:asciiTheme="minorEastAsia" w:hAnsiTheme="minorEastAsia" w:eastAsiaTheme="minorEastAsia"/>
          <w:szCs w:val="21"/>
        </w:rPr>
        <w:t xml:space="preserve">品目三：超高效液相色谱仪1台</w:t>
      </w:r>
      <w:r/>
    </w:p>
    <w:p>
      <w:pPr>
        <w:ind w:firstLine="422"/>
        <w:jc w:val="left"/>
        <w:spacing w:line="360" w:lineRule="auto"/>
        <w:widowControl/>
        <w:rPr>
          <w:rFonts w:hint="eastAsia" w:cs="宋体" w:asciiTheme="minorEastAsia" w:hAnsiTheme="minorEastAsia" w:eastAsiaTheme="minorEastAsia"/>
          <w:color w:val="000000"/>
          <w:szCs w:val="21"/>
        </w:rPr>
      </w:pPr>
      <w:r>
        <w:rPr>
          <w:rFonts w:hint="eastAsia"/>
        </w:rPr>
        <w:t xml:space="preserve">4.2.3.1</w:t>
      </w:r>
      <w:r>
        <w:rPr>
          <w:rFonts w:hint="eastAsia" w:cs="宋体" w:asciiTheme="minorEastAsia" w:hAnsiTheme="minorEastAsia" w:eastAsiaTheme="minorEastAsia"/>
          <w:color w:val="000000"/>
          <w:szCs w:val="21"/>
        </w:rPr>
        <w:t xml:space="preserve">超高效液相二元梯度色谱泵 1套 </w:t>
      </w:r>
      <w:r/>
    </w:p>
    <w:p>
      <w:pPr>
        <w:ind w:firstLine="422"/>
        <w:jc w:val="left"/>
        <w:spacing w:line="360" w:lineRule="auto"/>
        <w:widowControl/>
        <w:rPr>
          <w:rFonts w:hint="eastAsia" w:cs="宋体" w:asciiTheme="minorEastAsia" w:hAnsiTheme="minorEastAsia" w:eastAsiaTheme="minorEastAsia"/>
          <w:color w:val="000000"/>
          <w:szCs w:val="21"/>
        </w:rPr>
      </w:pPr>
      <w:r>
        <w:rPr>
          <w:rFonts w:hint="eastAsia"/>
        </w:rPr>
        <w:t xml:space="preserve">4.2.3.2</w:t>
      </w:r>
      <w:r>
        <w:rPr>
          <w:rFonts w:hint="eastAsia" w:cs="宋体" w:asciiTheme="minorEastAsia" w:hAnsiTheme="minorEastAsia" w:eastAsiaTheme="minorEastAsia"/>
          <w:color w:val="000000"/>
          <w:szCs w:val="21"/>
        </w:rPr>
        <w:t xml:space="preserve">超高效自动进样器 1套 </w:t>
      </w:r>
      <w:r/>
    </w:p>
    <w:p>
      <w:pPr>
        <w:ind w:firstLine="422"/>
        <w:jc w:val="left"/>
        <w:spacing w:line="360" w:lineRule="auto"/>
        <w:widowControl/>
        <w:rPr>
          <w:rFonts w:hint="eastAsia" w:cs="宋体" w:asciiTheme="minorEastAsia" w:hAnsiTheme="minorEastAsia" w:eastAsiaTheme="minorEastAsia"/>
          <w:color w:val="000000"/>
          <w:szCs w:val="21"/>
        </w:rPr>
      </w:pPr>
      <w:r>
        <w:rPr>
          <w:rFonts w:hint="eastAsia"/>
        </w:rPr>
        <w:t xml:space="preserve">4.2.3.3</w:t>
      </w:r>
      <w:r>
        <w:rPr>
          <w:rFonts w:hint="eastAsia" w:cs="宋体" w:asciiTheme="minorEastAsia" w:hAnsiTheme="minorEastAsia" w:eastAsiaTheme="minorEastAsia"/>
          <w:color w:val="000000"/>
          <w:szCs w:val="21"/>
        </w:rPr>
        <w:t xml:space="preserve">超高效柱温箱 1套 </w:t>
      </w:r>
      <w:r/>
    </w:p>
    <w:p>
      <w:pPr>
        <w:ind w:firstLine="422"/>
        <w:jc w:val="left"/>
        <w:spacing w:line="360" w:lineRule="auto"/>
        <w:widowControl/>
        <w:rPr>
          <w:rFonts w:hint="eastAsia" w:cs="宋体" w:asciiTheme="minorEastAsia" w:hAnsiTheme="minorEastAsia" w:eastAsiaTheme="minorEastAsia"/>
          <w:color w:val="000000"/>
          <w:szCs w:val="21"/>
        </w:rPr>
      </w:pPr>
      <w:r>
        <w:rPr>
          <w:rFonts w:hint="eastAsia"/>
        </w:rPr>
        <w:t xml:space="preserve">4.2.3.4</w:t>
      </w:r>
      <w:r>
        <w:rPr>
          <w:rFonts w:hint="eastAsia" w:cs="宋体" w:asciiTheme="minorEastAsia" w:hAnsiTheme="minorEastAsia" w:eastAsiaTheme="minorEastAsia"/>
          <w:color w:val="000000"/>
          <w:szCs w:val="21"/>
        </w:rPr>
        <w:t xml:space="preserve">超高效二极管阵列检测器 1套 </w:t>
      </w:r>
      <w:r/>
    </w:p>
    <w:p>
      <w:pPr>
        <w:ind w:firstLine="422"/>
        <w:jc w:val="left"/>
        <w:spacing w:line="360" w:lineRule="auto"/>
        <w:widowControl/>
        <w:rPr>
          <w:rFonts w:hint="eastAsia" w:cs="宋体" w:asciiTheme="minorEastAsia" w:hAnsiTheme="minorEastAsia" w:eastAsiaTheme="minorEastAsia"/>
          <w:color w:val="000000"/>
          <w:szCs w:val="21"/>
        </w:rPr>
      </w:pPr>
      <w:r>
        <w:rPr>
          <w:rFonts w:hint="eastAsia"/>
        </w:rPr>
        <w:t xml:space="preserve">4.2.3.5 C</w:t>
      </w:r>
      <w:r>
        <w:rPr>
          <w:rFonts w:hint="eastAsia"/>
          <w:vertAlign w:val="subscript"/>
        </w:rPr>
        <w:t xml:space="preserve">18</w:t>
      </w:r>
      <w:r>
        <w:rPr>
          <w:rFonts w:hint="eastAsia" w:cs="宋体" w:asciiTheme="minorEastAsia" w:hAnsiTheme="minorEastAsia" w:eastAsiaTheme="minorEastAsia"/>
          <w:color w:val="000000"/>
          <w:szCs w:val="21"/>
        </w:rPr>
        <w:t xml:space="preserve">超高效液相色谱柱 1根 </w:t>
      </w:r>
      <w:r/>
    </w:p>
    <w:p>
      <w:pPr>
        <w:ind w:firstLine="422"/>
        <w:spacing w:line="360" w:lineRule="auto"/>
        <w:rPr>
          <w:rFonts w:hint="eastAsia" w:cs="宋体" w:asciiTheme="minorEastAsia" w:hAnsiTheme="minorEastAsia" w:eastAsiaTheme="minorEastAsia"/>
          <w:color w:val="000000"/>
          <w:szCs w:val="21"/>
        </w:rPr>
      </w:pPr>
      <w:r>
        <w:rPr>
          <w:rFonts w:hint="eastAsia"/>
        </w:rPr>
        <w:t xml:space="preserve">4.2.3.6</w:t>
      </w:r>
      <w:r>
        <w:rPr>
          <w:rFonts w:hint="eastAsia" w:cs="宋体" w:asciiTheme="minorEastAsia" w:hAnsiTheme="minorEastAsia" w:eastAsiaTheme="minorEastAsia"/>
          <w:color w:val="000000"/>
          <w:szCs w:val="21"/>
        </w:rPr>
        <w:t xml:space="preserve">数据输出系统 1台</w:t>
      </w:r>
      <w:r/>
    </w:p>
    <w:p>
      <w:pPr>
        <w:ind w:firstLine="422"/>
        <w:spacing w:line="360" w:lineRule="auto"/>
        <w:rPr>
          <w:rFonts w:hint="eastAsia" w:asciiTheme="minorEastAsia" w:hAnsiTheme="minorEastAsia" w:eastAsiaTheme="minorEastAsia"/>
          <w:szCs w:val="21"/>
        </w:rPr>
      </w:pPr>
      <w:r>
        <w:rPr>
          <w:rFonts w:hint="eastAsia"/>
        </w:rPr>
        <w:t xml:space="preserve">4.2.3.7</w:t>
      </w:r>
      <w:r>
        <w:rPr>
          <w:rFonts w:hint="eastAsia" w:asciiTheme="minorEastAsia" w:hAnsiTheme="minorEastAsia" w:eastAsiaTheme="minorEastAsia"/>
          <w:szCs w:val="21"/>
        </w:rPr>
        <w:t xml:space="preserve">仪器控制和数据处理系统（</w:t>
      </w:r>
      <w:r>
        <w:rPr>
          <w:rFonts w:hint="eastAsia" w:cs="宋体" w:asciiTheme="minorEastAsia" w:hAnsiTheme="minorEastAsia" w:eastAsiaTheme="minorEastAsia"/>
          <w:szCs w:val="21"/>
        </w:rPr>
        <w:t xml:space="preserve">DVDRW，≥16GB内存，≥256GB固态盘，≥1TB普通盘，≥22寸屏</w:t>
      </w:r>
      <w:r>
        <w:rPr>
          <w:rFonts w:hint="eastAsia" w:asciiTheme="minorEastAsia" w:hAnsiTheme="minorEastAsia" w:eastAsiaTheme="minorEastAsia"/>
          <w:szCs w:val="21"/>
        </w:rPr>
        <w:t xml:space="preserve">，配置满足工作站软件运行的要求） 1套  </w:t>
      </w:r>
      <w:r/>
    </w:p>
    <w:p>
      <w:pPr>
        <w:ind w:firstLine="422"/>
        <w:rPr>
          <w:rFonts w:hint="eastAsia" w:cs="宋体" w:asciiTheme="minorEastAsia" w:hAnsiTheme="minorEastAsia" w:eastAsiaTheme="minorEastAsia"/>
          <w:szCs w:val="21"/>
        </w:rPr>
      </w:pPr>
      <w:r>
        <w:rPr>
          <w:rFonts w:hint="eastAsia"/>
        </w:rPr>
        <w:t xml:space="preserve">4.2.4</w:t>
      </w:r>
      <w:r>
        <w:rPr>
          <w:rFonts w:hint="eastAsia" w:cs="宋体" w:asciiTheme="minorEastAsia" w:hAnsiTheme="minorEastAsia" w:eastAsiaTheme="minorEastAsia"/>
          <w:szCs w:val="21"/>
        </w:rPr>
        <w:t xml:space="preserve">品目四：电感耦合等离子体质谱仪1台</w:t>
      </w:r>
      <w:r/>
    </w:p>
    <w:p>
      <w:pPr>
        <w:ind w:firstLine="422"/>
        <w:spacing w:line="360" w:lineRule="auto"/>
        <w:rPr>
          <w:rFonts w:hint="eastAsia" w:asciiTheme="minorEastAsia" w:hAnsiTheme="minorEastAsia" w:eastAsiaTheme="minorEastAsia"/>
          <w:szCs w:val="21"/>
        </w:rPr>
      </w:pPr>
      <w:r>
        <w:rPr>
          <w:rFonts w:hint="eastAsia"/>
        </w:rPr>
        <w:t xml:space="preserve">4.2.4.1</w:t>
      </w:r>
      <w:r>
        <w:rPr>
          <w:rFonts w:hint="eastAsia" w:asciiTheme="minorEastAsia" w:hAnsiTheme="minorEastAsia" w:eastAsiaTheme="minorEastAsia"/>
          <w:szCs w:val="21"/>
        </w:rPr>
        <w:t xml:space="preserve">电感耦合等离子体质谱仪主机以及安装工具包1套</w:t>
      </w:r>
      <w:r/>
    </w:p>
    <w:p>
      <w:pPr>
        <w:ind w:firstLine="422"/>
        <w:spacing w:line="360" w:lineRule="auto"/>
        <w:rPr>
          <w:rFonts w:hint="eastAsia" w:asciiTheme="minorEastAsia" w:hAnsiTheme="minorEastAsia" w:eastAsiaTheme="minorEastAsia"/>
          <w:szCs w:val="21"/>
        </w:rPr>
      </w:pPr>
      <w:r>
        <w:rPr>
          <w:rFonts w:hint="eastAsia"/>
        </w:rPr>
        <w:t xml:space="preserve">4.2.4.2</w:t>
      </w:r>
      <w:r>
        <w:rPr>
          <w:rFonts w:hint="eastAsia" w:asciiTheme="minorEastAsia" w:hAnsiTheme="minorEastAsia" w:eastAsiaTheme="minorEastAsia"/>
          <w:szCs w:val="21"/>
        </w:rPr>
        <w:t xml:space="preserve">循环冷却水1套</w:t>
      </w:r>
      <w:r/>
    </w:p>
    <w:p>
      <w:pPr>
        <w:ind w:firstLine="422"/>
        <w:spacing w:line="360" w:lineRule="auto"/>
        <w:rPr>
          <w:rFonts w:hint="eastAsia" w:asciiTheme="minorEastAsia" w:hAnsiTheme="minorEastAsia" w:eastAsiaTheme="minorEastAsia"/>
          <w:szCs w:val="21"/>
        </w:rPr>
      </w:pPr>
      <w:r>
        <w:rPr>
          <w:rFonts w:hint="eastAsia"/>
        </w:rPr>
        <w:t xml:space="preserve">4.2.4.3</w:t>
      </w:r>
      <w:r>
        <w:rPr>
          <w:rFonts w:hint="eastAsia" w:asciiTheme="minorEastAsia" w:hAnsiTheme="minorEastAsia" w:eastAsiaTheme="minorEastAsia"/>
          <w:szCs w:val="21"/>
        </w:rPr>
        <w:t xml:space="preserve">仪器调试溶液1套</w:t>
      </w:r>
      <w:r/>
    </w:p>
    <w:p>
      <w:pPr>
        <w:ind w:firstLine="422"/>
        <w:spacing w:line="360" w:lineRule="auto"/>
        <w:rPr>
          <w:rFonts w:hint="eastAsia" w:asciiTheme="minorEastAsia" w:hAnsiTheme="minorEastAsia" w:eastAsiaTheme="minorEastAsia"/>
          <w:szCs w:val="21"/>
        </w:rPr>
      </w:pPr>
      <w:r>
        <w:rPr>
          <w:rFonts w:hint="eastAsia"/>
        </w:rPr>
        <w:t xml:space="preserve">4.2.4.4</w:t>
      </w:r>
      <w:r>
        <w:rPr>
          <w:rFonts w:hint="eastAsia" w:asciiTheme="minorEastAsia" w:hAnsiTheme="minorEastAsia" w:eastAsiaTheme="minorEastAsia"/>
          <w:szCs w:val="21"/>
        </w:rPr>
        <w:t xml:space="preserve">仪器控制和数据处理系统（</w:t>
      </w:r>
      <w:r>
        <w:rPr>
          <w:rFonts w:hint="eastAsia" w:cs="宋体" w:asciiTheme="minorEastAsia" w:hAnsiTheme="minorEastAsia" w:eastAsiaTheme="minorEastAsia"/>
          <w:szCs w:val="21"/>
        </w:rPr>
        <w:t xml:space="preserve">DVDRW，≥32GB内存，≥256GB固态盘，≥1TB普通盘，≥27寸屏，</w:t>
      </w:r>
      <w:r>
        <w:rPr>
          <w:rFonts w:hint="eastAsia" w:asciiTheme="minorEastAsia" w:hAnsiTheme="minorEastAsia" w:eastAsiaTheme="minorEastAsia"/>
          <w:szCs w:val="21"/>
        </w:rPr>
        <w:t xml:space="preserve">配置满足工作站软件运行的要求）1套</w:t>
      </w:r>
      <w:r/>
    </w:p>
    <w:p>
      <w:pPr>
        <w:ind w:firstLine="422"/>
        <w:rPr>
          <w:rFonts w:hint="eastAsia" w:cs="宋体" w:asciiTheme="minorEastAsia" w:hAnsiTheme="minorEastAsia" w:eastAsiaTheme="minorEastAsia"/>
          <w:szCs w:val="21"/>
        </w:rPr>
      </w:pPr>
      <w:r>
        <w:rPr>
          <w:rFonts w:hint="eastAsia"/>
        </w:rPr>
        <w:t xml:space="preserve">4.2.5</w:t>
      </w:r>
      <w:r>
        <w:rPr>
          <w:rFonts w:hint="eastAsia" w:cs="宋体" w:asciiTheme="minorEastAsia" w:hAnsiTheme="minorEastAsia" w:eastAsiaTheme="minorEastAsia"/>
          <w:szCs w:val="21"/>
        </w:rPr>
        <w:t xml:space="preserve">品目五：</w:t>
      </w:r>
      <w:bookmarkStart w:id="220" w:name="_Hlk181037286"/>
      <w:r>
        <w:rPr>
          <w:rFonts w:hint="eastAsia" w:cs="宋体" w:asciiTheme="minorEastAsia" w:hAnsiTheme="minorEastAsia" w:eastAsiaTheme="minorEastAsia"/>
          <w:szCs w:val="21"/>
        </w:rPr>
        <w:t xml:space="preserve">紫外可见分光光度计</w:t>
      </w:r>
      <w:bookmarkEnd w:id="220"/>
      <w:r>
        <w:rPr>
          <w:rFonts w:hint="eastAsia" w:cs="宋体" w:asciiTheme="minorEastAsia" w:hAnsiTheme="minorEastAsia" w:eastAsiaTheme="minorEastAsia"/>
          <w:szCs w:val="21"/>
        </w:rPr>
        <w:t xml:space="preserve">1台</w:t>
      </w:r>
      <w:r/>
    </w:p>
    <w:p>
      <w:pPr>
        <w:ind w:firstLine="422"/>
        <w:spacing w:line="360" w:lineRule="auto"/>
        <w:tabs>
          <w:tab w:val="left" w:pos="6120" w:leader="none"/>
        </w:tabs>
        <w:rPr>
          <w:rFonts w:hint="eastAsia" w:asciiTheme="minorEastAsia" w:hAnsiTheme="minorEastAsia" w:eastAsiaTheme="minorEastAsia"/>
          <w:szCs w:val="21"/>
        </w:rPr>
      </w:pPr>
      <w:r>
        <w:rPr>
          <w:rFonts w:hint="eastAsia"/>
        </w:rPr>
        <w:t xml:space="preserve">4.2.5.1</w:t>
      </w:r>
      <w:r>
        <w:rPr>
          <w:rFonts w:hint="eastAsia" w:asciiTheme="minorEastAsia" w:hAnsiTheme="minorEastAsia" w:eastAsiaTheme="minorEastAsia"/>
          <w:szCs w:val="21"/>
        </w:rPr>
        <w:t xml:space="preserve">紫外可见光分光光度计主机 1套</w:t>
      </w:r>
      <w:r/>
    </w:p>
    <w:p>
      <w:pPr>
        <w:ind w:firstLine="422"/>
        <w:spacing w:line="360" w:lineRule="auto"/>
        <w:tabs>
          <w:tab w:val="left" w:pos="6120" w:leader="none"/>
        </w:tabs>
        <w:rPr>
          <w:rFonts w:hint="eastAsia" w:asciiTheme="minorEastAsia" w:hAnsiTheme="minorEastAsia" w:eastAsiaTheme="minorEastAsia"/>
          <w:szCs w:val="21"/>
        </w:rPr>
      </w:pPr>
      <w:r>
        <w:rPr>
          <w:rFonts w:hint="eastAsia"/>
        </w:rPr>
        <w:t xml:space="preserve">4.2.5.2</w:t>
      </w:r>
      <w:r>
        <w:rPr>
          <w:rFonts w:hint="eastAsia" w:asciiTheme="minorEastAsia" w:hAnsiTheme="minorEastAsia" w:eastAsiaTheme="minorEastAsia"/>
          <w:szCs w:val="21"/>
        </w:rPr>
        <w:t xml:space="preserve">带盖10mm光程石英比色皿 3对</w:t>
      </w:r>
      <w:r/>
    </w:p>
    <w:p>
      <w:pPr>
        <w:ind w:firstLine="422"/>
        <w:spacing w:line="360" w:lineRule="auto"/>
        <w:tabs>
          <w:tab w:val="left" w:pos="6120" w:leader="none"/>
        </w:tabs>
        <w:rPr>
          <w:rFonts w:hint="eastAsia" w:asciiTheme="minorEastAsia" w:hAnsiTheme="minorEastAsia" w:eastAsiaTheme="minorEastAsia"/>
          <w:szCs w:val="21"/>
        </w:rPr>
      </w:pPr>
      <w:r>
        <w:rPr>
          <w:rFonts w:hint="eastAsia"/>
        </w:rPr>
        <w:t xml:space="preserve">4.2.5.3</w:t>
      </w:r>
      <w:r>
        <w:rPr>
          <w:rFonts w:hint="eastAsia" w:asciiTheme="minorEastAsia" w:hAnsiTheme="minorEastAsia" w:eastAsiaTheme="minorEastAsia"/>
          <w:szCs w:val="21"/>
        </w:rPr>
        <w:t xml:space="preserve">紫外可见光分光光度计工作站软件1套</w:t>
      </w:r>
      <w:r/>
    </w:p>
    <w:p>
      <w:pPr>
        <w:ind w:firstLine="422"/>
        <w:spacing w:line="360" w:lineRule="auto"/>
        <w:rPr>
          <w:rFonts w:hint="eastAsia" w:asciiTheme="minorEastAsia" w:hAnsiTheme="minorEastAsia" w:eastAsiaTheme="minorEastAsia"/>
          <w:szCs w:val="21"/>
        </w:rPr>
      </w:pPr>
      <w:r>
        <w:rPr>
          <w:rFonts w:hint="eastAsia"/>
        </w:rPr>
        <w:t xml:space="preserve">4.2.5.4</w:t>
      </w:r>
      <w:r>
        <w:rPr>
          <w:rFonts w:hint="eastAsia" w:asciiTheme="minorEastAsia" w:hAnsiTheme="minorEastAsia" w:eastAsiaTheme="minorEastAsia"/>
          <w:szCs w:val="21"/>
        </w:rPr>
        <w:t xml:space="preserve">仪器控制和数据处理系统（</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32G内存，</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1T硬盘，配置满足工作站软件运行的要求）1套。</w:t>
      </w:r>
      <w:r/>
    </w:p>
    <w:p>
      <w:pPr>
        <w:ind w:firstLine="422"/>
        <w:rPr>
          <w:rFonts w:hint="eastAsia" w:cs="宋体" w:asciiTheme="minorEastAsia" w:hAnsiTheme="minorEastAsia" w:eastAsiaTheme="minorEastAsia"/>
          <w:color w:val="000000"/>
          <w:szCs w:val="21"/>
        </w:rPr>
      </w:pPr>
      <w:r>
        <w:rPr>
          <w:rFonts w:hint="eastAsia"/>
        </w:rPr>
        <w:t xml:space="preserve">4.2.6</w:t>
      </w:r>
      <w:r>
        <w:rPr>
          <w:rFonts w:hint="eastAsia" w:cs="宋体" w:asciiTheme="minorEastAsia" w:hAnsiTheme="minorEastAsia" w:eastAsiaTheme="minorEastAsia"/>
          <w:szCs w:val="21"/>
        </w:rPr>
        <w:t xml:space="preserve">品目六：</w:t>
      </w:r>
      <w:r>
        <w:rPr>
          <w:rFonts w:hint="eastAsia" w:cs="宋体" w:asciiTheme="minorEastAsia" w:hAnsiTheme="minorEastAsia" w:eastAsiaTheme="minorEastAsia"/>
          <w:color w:val="000000"/>
          <w:szCs w:val="21"/>
        </w:rPr>
        <w:t xml:space="preserve">石蜡切片机1台</w:t>
      </w:r>
      <w:r/>
    </w:p>
    <w:p>
      <w:pPr>
        <w:ind w:firstLine="422"/>
        <w:jc w:val="left"/>
        <w:spacing w:line="360" w:lineRule="auto"/>
        <w:rPr>
          <w:rFonts w:hint="eastAsia" w:cs="宋体" w:asciiTheme="minorEastAsia" w:hAnsiTheme="minorEastAsia" w:eastAsiaTheme="minorEastAsia"/>
          <w:szCs w:val="21"/>
        </w:rPr>
      </w:pPr>
      <w:r>
        <w:rPr>
          <w:rFonts w:hint="eastAsia"/>
        </w:rPr>
        <w:t xml:space="preserve">4.2.6.1</w:t>
      </w:r>
      <w:r>
        <w:rPr>
          <w:rFonts w:hint="eastAsia" w:cs="宋体" w:asciiTheme="minorEastAsia" w:hAnsiTheme="minorEastAsia" w:eastAsiaTheme="minorEastAsia"/>
          <w:szCs w:val="21"/>
        </w:rPr>
        <w:t xml:space="preserve">主机1台</w:t>
      </w:r>
      <w:r/>
    </w:p>
    <w:p>
      <w:pPr>
        <w:ind w:firstLine="422"/>
        <w:jc w:val="left"/>
        <w:spacing w:line="360" w:lineRule="auto"/>
        <w:rPr>
          <w:rFonts w:hint="eastAsia" w:cs="宋体" w:asciiTheme="minorEastAsia" w:hAnsiTheme="minorEastAsia" w:eastAsiaTheme="minorEastAsia"/>
          <w:szCs w:val="21"/>
        </w:rPr>
      </w:pPr>
      <w:r>
        <w:rPr>
          <w:rFonts w:hint="eastAsia"/>
        </w:rPr>
        <w:t xml:space="preserve">4.2.6.2</w:t>
      </w:r>
      <w:r>
        <w:rPr>
          <w:rFonts w:hint="eastAsia" w:cs="宋体" w:asciiTheme="minorEastAsia" w:hAnsiTheme="minorEastAsia" w:eastAsiaTheme="minorEastAsia"/>
          <w:szCs w:val="21"/>
        </w:rPr>
        <w:t xml:space="preserve">通用样本夹1套</w:t>
      </w:r>
      <w:r/>
    </w:p>
    <w:p>
      <w:pPr>
        <w:ind w:firstLine="422"/>
        <w:jc w:val="left"/>
        <w:spacing w:line="360" w:lineRule="auto"/>
        <w:rPr>
          <w:rFonts w:hint="eastAsia" w:cs="宋体" w:asciiTheme="minorEastAsia" w:hAnsiTheme="minorEastAsia" w:eastAsiaTheme="minorEastAsia"/>
          <w:szCs w:val="21"/>
        </w:rPr>
      </w:pPr>
      <w:r>
        <w:rPr>
          <w:rFonts w:hint="eastAsia"/>
        </w:rPr>
        <w:t xml:space="preserve">4.2.6.3</w:t>
      </w:r>
      <w:r>
        <w:rPr>
          <w:rFonts w:hint="eastAsia" w:cs="宋体" w:asciiTheme="minorEastAsia" w:hAnsiTheme="minorEastAsia" w:eastAsiaTheme="minorEastAsia"/>
          <w:szCs w:val="21"/>
        </w:rPr>
        <w:t xml:space="preserve">标准样本夹1套</w:t>
      </w:r>
      <w:r/>
    </w:p>
    <w:p>
      <w:pPr>
        <w:ind w:firstLine="422"/>
        <w:jc w:val="left"/>
        <w:spacing w:line="360" w:lineRule="auto"/>
        <w:rPr>
          <w:rFonts w:hint="eastAsia" w:cs="宋体" w:asciiTheme="minorEastAsia" w:hAnsiTheme="minorEastAsia" w:eastAsiaTheme="minorEastAsia"/>
          <w:szCs w:val="21"/>
        </w:rPr>
      </w:pPr>
      <w:r>
        <w:rPr>
          <w:rFonts w:hint="eastAsia"/>
        </w:rPr>
        <w:t xml:space="preserve">4.2.6.4</w:t>
      </w:r>
      <w:r>
        <w:rPr>
          <w:rFonts w:hint="eastAsia" w:cs="宋体" w:asciiTheme="minorEastAsia" w:hAnsiTheme="minorEastAsia" w:eastAsiaTheme="minorEastAsia"/>
          <w:szCs w:val="21"/>
        </w:rPr>
        <w:t xml:space="preserve">钢刀刀架（含钢刀）1套</w:t>
      </w:r>
      <w:r/>
    </w:p>
    <w:p>
      <w:pPr>
        <w:ind w:firstLine="422"/>
        <w:jc w:val="left"/>
        <w:spacing w:line="360" w:lineRule="auto"/>
        <w:rPr>
          <w:rFonts w:hint="eastAsia" w:cs="宋体" w:asciiTheme="minorEastAsia" w:hAnsiTheme="minorEastAsia" w:eastAsiaTheme="minorEastAsia"/>
          <w:szCs w:val="21"/>
        </w:rPr>
      </w:pPr>
      <w:r>
        <w:rPr>
          <w:rFonts w:hint="eastAsia"/>
        </w:rPr>
        <w:t xml:space="preserve">4.2.6.5</w:t>
      </w:r>
      <w:r>
        <w:rPr>
          <w:rFonts w:hint="eastAsia" w:cs="宋体" w:asciiTheme="minorEastAsia" w:hAnsiTheme="minorEastAsia" w:eastAsiaTheme="minorEastAsia"/>
          <w:szCs w:val="21"/>
        </w:rPr>
        <w:t xml:space="preserve">一次性刀片刀架1套</w:t>
      </w:r>
      <w:r/>
    </w:p>
    <w:p>
      <w:pPr>
        <w:pStyle w:val="716"/>
        <w:spacing w:after="0" w:line="360" w:lineRule="exact"/>
      </w:pPr>
      <w:r>
        <w:rPr>
          <w:rFonts w:hint="eastAsia"/>
        </w:rPr>
        <w:t xml:space="preserve">4.3主要标的：</w:t>
      </w:r>
      <w:bookmarkStart w:id="221" w:name="_Hlk181037424"/>
      <w:r>
        <w:rPr>
          <w:rFonts w:hint="eastAsia"/>
        </w:rPr>
        <w:t xml:space="preserve">紫外可见分光光度计</w:t>
      </w:r>
      <w:bookmarkEnd w:id="221"/>
      <w:r>
        <w:rPr>
          <w:rFonts w:hint="eastAsia"/>
        </w:rPr>
        <w:t xml:space="preserve">。</w:t>
      </w:r>
      <w:r/>
    </w:p>
    <w:p>
      <w:pPr>
        <w:pStyle w:val="716"/>
        <w:spacing w:line="360" w:lineRule="exact"/>
      </w:pPr>
      <w:r>
        <w:rPr>
          <w:rFonts w:hint="eastAsia"/>
        </w:rPr>
        <w:t xml:space="preserve">4.4交货期：合同签订后90天内将货物送达采购人指定地点、安装调试完毕并验收合格。</w:t>
      </w:r>
      <w:r/>
    </w:p>
    <w:p>
      <w:pPr>
        <w:pStyle w:val="716"/>
        <w:spacing w:after="0" w:line="360" w:lineRule="exact"/>
      </w:pPr>
      <w:r>
        <w:rPr>
          <w:rFonts w:hint="eastAsia"/>
        </w:rPr>
        <w:t xml:space="preserve">4.5交货地点：采购人指定地点指定楼层的安装位置。</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、采购标的需满足的服务标准、期限、效率等要求：</w:t>
      </w:r>
      <w:r/>
    </w:p>
    <w:p>
      <w:pPr>
        <w:pStyle w:val="716"/>
        <w:spacing w:after="0" w:line="360" w:lineRule="exact"/>
      </w:pPr>
      <w:r>
        <w:rPr>
          <w:rFonts w:hint="eastAsia"/>
        </w:rPr>
        <w:t xml:space="preserve">5.1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pStyle w:val="716"/>
        <w:spacing w:after="0" w:line="360" w:lineRule="exact"/>
      </w:pPr>
      <w:r>
        <w:rPr>
          <w:rFonts w:hint="eastAsia"/>
        </w:rPr>
        <w:t xml:space="preserve">5.2仪器设备到达后，中标人在5个工作日内安排有经验的工程师到达设备使用现场，免费安装调试设备，并在3天内安装、调试完毕。</w:t>
      </w:r>
      <w:r/>
    </w:p>
    <w:p>
      <w:pPr>
        <w:pStyle w:val="716"/>
        <w:spacing w:after="0" w:line="360" w:lineRule="exact"/>
      </w:pPr>
      <w:r>
        <w:rPr>
          <w:rFonts w:hint="eastAsia"/>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p>
    <w:p>
      <w:pPr>
        <w:pStyle w:val="716"/>
        <w:spacing w:after="0" w:line="360" w:lineRule="exact"/>
      </w:pPr>
      <w:r>
        <w:rPr>
          <w:rFonts w:hint="eastAsia"/>
        </w:rPr>
        <w:t xml:space="preserve">5.4 保修期内中标人按投标承诺提供免费维护和质量保证，所有货物保修服务方式均为中标人上门保修，即由中标人派员到货物使用现场维修，保修费用计入投标总价，不再另行收取。</w:t>
      </w:r>
      <w:r/>
    </w:p>
    <w:p>
      <w:pPr>
        <w:pStyle w:val="716"/>
        <w:spacing w:after="0" w:line="360" w:lineRule="exact"/>
      </w:pPr>
      <w:r>
        <w:rPr>
          <w:rFonts w:hint="eastAsia"/>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p>
    <w:p>
      <w:pPr>
        <w:pStyle w:val="716"/>
        <w:spacing w:after="0" w:line="360" w:lineRule="exact"/>
      </w:pPr>
      <w:r>
        <w:rPr>
          <w:rFonts w:hint="eastAsia"/>
        </w:rPr>
        <w:t xml:space="preserve">5.6如果设备交付使用后，缺陷多次反复出现，中标人必须提出分析报告和解决方案，更换该产品，直到最后纠正缺陷、中标人提供质保从纠正之日起重新计算质保期。</w:t>
      </w:r>
      <w:r/>
    </w:p>
    <w:p>
      <w:pPr>
        <w:pStyle w:val="716"/>
        <w:spacing w:after="0" w:line="360" w:lineRule="exact"/>
      </w:pPr>
      <w:r>
        <w:rPr>
          <w:rFonts w:hint="eastAsia"/>
        </w:rPr>
        <w:t xml:space="preserve">5.7如中标人提供的设备设有维修软件密码，中标人应保证无条件地为采购人永久免费打开。</w:t>
      </w:r>
      <w:r/>
    </w:p>
    <w:p>
      <w:pPr>
        <w:pStyle w:val="716"/>
        <w:spacing w:after="0" w:line="360" w:lineRule="exact"/>
      </w:pPr>
      <w:r>
        <w:rPr>
          <w:rFonts w:hint="eastAsia"/>
        </w:rPr>
        <w:t xml:space="preserve">5.8仪器设备安装后，需长期提供技术支持和维修服务，包括软件的免费升级、为采购人提供需要的方法开发及应用资料。</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6、采购标的的验收标准：</w:t>
      </w:r>
      <w:r/>
    </w:p>
    <w:p>
      <w:pPr>
        <w:pStyle w:val="716"/>
        <w:spacing w:after="0" w:line="360" w:lineRule="exact"/>
      </w:pPr>
      <w:r>
        <w:rPr>
          <w:rFonts w:hint="eastAsia"/>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p>
    <w:p>
      <w:pPr>
        <w:pStyle w:val="716"/>
        <w:spacing w:after="0" w:line="360" w:lineRule="exact"/>
      </w:pPr>
      <w:r>
        <w:rPr>
          <w:rFonts w:hint="eastAsia"/>
        </w:rPr>
        <w:t xml:space="preserve">6.2中标人在货物运输到达之前应提前通知采购人，并提示货物运输装卸的注意事项，采购人配合中标人做好货物的交接工作。</w:t>
      </w:r>
      <w:r/>
    </w:p>
    <w:p>
      <w:pPr>
        <w:pStyle w:val="716"/>
        <w:spacing w:after="0" w:line="360" w:lineRule="exact"/>
      </w:pPr>
      <w:r>
        <w:rPr>
          <w:rFonts w:hint="eastAsia"/>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pStyle w:val="716"/>
        <w:spacing w:after="0" w:line="360" w:lineRule="exact"/>
      </w:pPr>
      <w:r>
        <w:rPr>
          <w:rFonts w:hint="eastAsia"/>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pStyle w:val="716"/>
        <w:spacing w:after="0" w:line="360" w:lineRule="exact"/>
      </w:pPr>
      <w:r>
        <w:rPr>
          <w:rFonts w:hint="eastAsia"/>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pStyle w:val="716"/>
        <w:spacing w:after="0" w:line="360" w:lineRule="exact"/>
      </w:pPr>
      <w:r>
        <w:rPr>
          <w:rFonts w:hint="eastAsia"/>
        </w:rPr>
        <w:t xml:space="preserve">6.6如果验收过程中发现数量不足或有质量、技术等问题的，采购人有权拒收。中标人应在30天内按照采购人的要求，采取补足、更换或退货等处理措施，并承担由此发生的一切损失和费用。</w:t>
      </w:r>
      <w:r/>
    </w:p>
    <w:p>
      <w:pPr>
        <w:spacing w:line="480" w:lineRule="exact"/>
        <w:rPr>
          <w:rFonts w:hint="eastAsia" w:ascii="仿宋" w:hAnsi="仿宋" w:eastAsia="仿宋"/>
          <w:color w:val="000000"/>
          <w:sz w:val="28"/>
          <w:szCs w:val="28"/>
        </w:rPr>
      </w:pPr>
      <w:r/>
      <w:bookmarkStart w:id="222" w:name="_Hlk176806128"/>
      <w:r/>
      <w:bookmarkStart w:id="223" w:name="_Hlk174696087"/>
      <w:r>
        <w:rPr>
          <w:rFonts w:hint="eastAsia" w:ascii="仿宋" w:hAnsi="仿宋" w:eastAsia="仿宋"/>
          <w:color w:val="000000"/>
          <w:sz w:val="28"/>
          <w:szCs w:val="28"/>
        </w:rPr>
        <w:t xml:space="preserve">7、非单一产品采购项目，采购标的中的核心产品：</w:t>
      </w:r>
      <w:bookmarkEnd w:id="222"/>
      <w:r/>
      <w:r/>
    </w:p>
    <w:p>
      <w:pPr>
        <w:spacing w:line="480" w:lineRule="exact"/>
      </w:pPr>
      <w:r/>
      <w:bookmarkStart w:id="224" w:name="_Hlk176806351"/>
      <w:r/>
      <w:bookmarkStart w:id="225" w:name="_Hlk176806190"/>
      <w:r>
        <w:rPr>
          <w:rFonts w:hint="eastAsia"/>
        </w:rPr>
        <w:t xml:space="preserve">紫外可见分光光度计</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8、付款方式：</w:t>
      </w:r>
      <w:r/>
    </w:p>
    <w:p>
      <w:pPr>
        <w:pStyle w:val="716"/>
        <w:spacing w:after="0" w:line="360" w:lineRule="exact"/>
        <w:rPr>
          <w:rFonts w:hint="eastAsia"/>
          <w14:ligatures w14:val="none"/>
        </w:rPr>
      </w:pPr>
      <w:r>
        <w:rPr>
          <w:rFonts w:hint="eastAsia"/>
        </w:rPr>
        <w:t xml:space="preserve"> </w:t>
      </w:r>
      <w:r>
        <w:rPr>
          <w:rFonts w:hint="eastAsia"/>
        </w:rPr>
        <w:t xml:space="preserve"> 合同签订后支付合同总价款的30%；货物交付安装、调试完成、验收合格后再支付合同总价款的15%；余款在货物质保期满并收到中标人开具的发票后10个工作日内付清。以上付款均通过银行转账，不计利息。</w:t>
      </w:r>
      <w:r>
        <w:rPr>
          <w:rFonts w:hint="eastAsia"/>
        </w:rPr>
      </w:r>
      <w:bookmarkEnd w:id="224"/>
      <w:r>
        <w:rPr>
          <w:rFonts w:hint="eastAsia"/>
        </w:rPr>
      </w:r>
      <w:r>
        <w:rPr>
          <w:rFonts w:hint="eastAsia"/>
        </w:rPr>
      </w:r>
    </w:p>
    <w:p>
      <w:pPr>
        <w:pStyle w:val="716"/>
        <w:ind w:firstLine="0"/>
        <w:spacing w:after="0"/>
        <w:rPr>
          <w:rFonts w:hint="eastAsia" w:ascii="仿宋" w:hAnsi="仿宋" w:eastAsia="仿宋"/>
          <w:sz w:val="28"/>
          <w:szCs w:val="28"/>
        </w:rPr>
      </w:pPr>
      <w:r/>
      <w:bookmarkStart w:id="226" w:name="_Hlk176806378"/>
      <w:r>
        <w:rPr>
          <w:rFonts w:hint="eastAsia" w:ascii="仿宋" w:hAnsi="仿宋" w:eastAsia="仿宋"/>
          <w:sz w:val="28"/>
          <w:szCs w:val="28"/>
        </w:rPr>
        <w:t xml:space="preserve">9、关于进口产品投标：</w:t>
      </w:r>
      <w:bookmarkEnd w:id="223"/>
      <w:r/>
      <w:r/>
    </w:p>
    <w:p>
      <w:pPr>
        <w:ind w:firstLine="420"/>
        <w:spacing w:line="278" w:lineRule="auto"/>
      </w:pPr>
      <w:r>
        <w:rPr>
          <w:rFonts w:hint="eastAsia"/>
        </w:rPr>
        <w:t xml:space="preserve">本项目高效液相色谱仪、全二维液相色谱系统、超高效液相色谱仪、紫外可见分光光度计、石蜡切片机接受进口产品投标，电感耦合等离子体质谱仪不接受进口产品投标。投标产品如果为进口产品的，投标时投标人须提供制造商的专项授权书原件扫描件。</w:t>
      </w:r>
      <w:bookmarkEnd w:id="226"/>
      <w:r/>
      <w:r/>
    </w:p>
    <w:p>
      <w:pPr>
        <w:spacing w:line="278" w:lineRule="auto"/>
        <w:rPr>
          <w:rFonts w:hint="eastAsia" w:ascii="仿宋" w:hAnsi="仿宋" w:eastAsia="仿宋"/>
          <w:color w:val="000000"/>
          <w:sz w:val="28"/>
          <w:szCs w:val="28"/>
        </w:rPr>
      </w:pPr>
      <w:r/>
      <w:bookmarkStart w:id="227" w:name="_Hlk176806561"/>
      <w:r>
        <w:rPr>
          <w:rFonts w:hint="eastAsia" w:ascii="仿宋" w:hAnsi="仿宋" w:eastAsia="仿宋"/>
          <w:color w:val="000000"/>
          <w:sz w:val="28"/>
          <w:szCs w:val="28"/>
        </w:rPr>
        <w:t xml:space="preserve">10、商品包装和快递包装要求执行财办库【2020】123号，具体如下：</w:t>
      </w:r>
      <w:r/>
    </w:p>
    <w:p>
      <w:pPr>
        <w:pStyle w:val="716"/>
        <w:spacing w:after="0" w:line="360" w:lineRule="exact"/>
      </w:pPr>
      <w:r/>
      <w:bookmarkStart w:id="228" w:name="_Hlk175617619"/>
      <w:r>
        <w:rPr>
          <w:rFonts w:hint="eastAsia"/>
        </w:rPr>
        <w:t xml:space="preserve">10.1商品包装环保要求</w:t>
      </w:r>
      <w:r/>
    </w:p>
    <w:p>
      <w:pPr>
        <w:pStyle w:val="716"/>
        <w:spacing w:after="0" w:line="360" w:lineRule="exact"/>
      </w:pPr>
      <w:r>
        <w:rPr>
          <w:rFonts w:hint="eastAsia"/>
        </w:rPr>
        <w:t xml:space="preserve">10.1.1商品包装层数不得超过3层，空隙率不大于40%；</w:t>
      </w:r>
      <w:r/>
    </w:p>
    <w:p>
      <w:pPr>
        <w:pStyle w:val="716"/>
        <w:spacing w:after="0" w:line="360" w:lineRule="exact"/>
      </w:pPr>
      <w:r>
        <w:rPr>
          <w:rFonts w:hint="eastAsia"/>
        </w:rPr>
        <w:t xml:space="preserve">10.1.2商品包装尽可能使用单一材质的包装材料，如因功能需求必需使用不同材质，不同材质间应便于分离；</w:t>
      </w:r>
      <w:r/>
    </w:p>
    <w:p>
      <w:pPr>
        <w:pStyle w:val="716"/>
        <w:spacing w:after="0" w:line="360" w:lineRule="exact"/>
      </w:pPr>
      <w:r>
        <w:rPr>
          <w:rFonts w:hint="eastAsia"/>
        </w:rPr>
        <w:t xml:space="preserve">10.1.3商品包装中铅、汞、镉、六价铬的总含量应不大于100mg/kg；</w:t>
      </w:r>
      <w:r/>
    </w:p>
    <w:p>
      <w:pPr>
        <w:pStyle w:val="716"/>
        <w:spacing w:after="0" w:line="360" w:lineRule="exact"/>
      </w:pPr>
      <w:r>
        <w:rPr>
          <w:rFonts w:hint="eastAsia"/>
        </w:rPr>
        <w:t xml:space="preserve">10.1.4商品包装印刷使用的油墨中挥发性有机化合物(VOCs)含量应不大于5%（以重量计）；</w:t>
      </w:r>
      <w:r/>
    </w:p>
    <w:p>
      <w:pPr>
        <w:pStyle w:val="716"/>
        <w:spacing w:after="0" w:line="360" w:lineRule="exact"/>
      </w:pPr>
      <w:r>
        <w:rPr>
          <w:rFonts w:hint="eastAsia"/>
        </w:rPr>
        <w:t xml:space="preserve">10.1.5塑料材质商品包装上呈现的印刷颜色不得超过6 色；</w:t>
      </w:r>
      <w:r/>
    </w:p>
    <w:p>
      <w:pPr>
        <w:pStyle w:val="716"/>
        <w:spacing w:after="0" w:line="360" w:lineRule="exact"/>
      </w:pPr>
      <w:r>
        <w:rPr>
          <w:rFonts w:hint="eastAsia"/>
        </w:rPr>
        <w:t xml:space="preserve">10.1.6纸质商品包装应使用75%以上的可再生纤维原料生产；</w:t>
      </w:r>
      <w:r/>
    </w:p>
    <w:p>
      <w:pPr>
        <w:pStyle w:val="716"/>
        <w:spacing w:after="0" w:line="360" w:lineRule="exact"/>
      </w:pPr>
      <w:r>
        <w:rPr>
          <w:rFonts w:hint="eastAsia"/>
        </w:rPr>
        <w:t xml:space="preserve">10.1.7木质商品包装的原料应来源于可持续性森林。</w:t>
      </w:r>
      <w:r/>
    </w:p>
    <w:p>
      <w:pPr>
        <w:pStyle w:val="716"/>
        <w:spacing w:after="0" w:line="360" w:lineRule="exact"/>
      </w:pPr>
      <w:r>
        <w:rPr>
          <w:rFonts w:hint="eastAsia"/>
        </w:rPr>
        <w:t xml:space="preserve">10.2快递包装环保要求</w:t>
      </w:r>
      <w:r/>
    </w:p>
    <w:p>
      <w:pPr>
        <w:pStyle w:val="716"/>
        <w:spacing w:after="0" w:line="360" w:lineRule="exact"/>
      </w:pPr>
      <w:r>
        <w:rPr>
          <w:rFonts w:hint="eastAsia"/>
        </w:rPr>
        <w:t xml:space="preserve">10.2.1快递包装中重金属（铅、汞、镉、六价铬）总量应不大于100mg/kg；</w:t>
      </w:r>
      <w:r/>
    </w:p>
    <w:p>
      <w:pPr>
        <w:pStyle w:val="716"/>
        <w:spacing w:after="0" w:line="360" w:lineRule="exact"/>
      </w:pPr>
      <w:r>
        <w:rPr>
          <w:rFonts w:hint="eastAsia"/>
        </w:rPr>
        <w:t xml:space="preserve">10.2.2快递包装印刷使用的油墨中不应添加邻苯二甲酸酯，其挥发性有机化合物(VOCs)含量应不大于5%（以重量计）；</w:t>
      </w:r>
      <w:r/>
    </w:p>
    <w:p>
      <w:pPr>
        <w:pStyle w:val="716"/>
        <w:spacing w:after="0" w:line="360" w:lineRule="exact"/>
      </w:pPr>
      <w:r>
        <w:rPr>
          <w:rFonts w:hint="eastAsia"/>
        </w:rPr>
        <w:t xml:space="preserve">10.2.3快递包装中使用纸基材的包装材料，纸基材中的有机氯的含量应不大于150 mg/kg；</w:t>
      </w:r>
      <w:r/>
    </w:p>
    <w:p>
      <w:pPr>
        <w:pStyle w:val="716"/>
        <w:spacing w:after="0" w:line="360" w:lineRule="exact"/>
      </w:pPr>
      <w:r>
        <w:rPr>
          <w:rFonts w:hint="eastAsia"/>
        </w:rPr>
        <w:t xml:space="preserve">10.2.4快递包装中使用塑料基材的包装材料不得使用邻苯二甲酸二异壬酯、邻苯二甲酸二正辛酯、邻苯二甲酸二(2-乙基)己酯、邻苯二甲酸二异癸酯、邻苯二甲酸丁基苄基酯、邻苯二甲酸二丁酯等作为增塑剂；</w:t>
      </w:r>
      <w:r/>
    </w:p>
    <w:p>
      <w:pPr>
        <w:pStyle w:val="716"/>
        <w:spacing w:after="0" w:line="360" w:lineRule="exact"/>
      </w:pPr>
      <w:r>
        <w:rPr>
          <w:rFonts w:hint="eastAsia"/>
        </w:rPr>
        <w:t xml:space="preserve">10.2.5快递中使用的塑料包装袋不得使用聚氯乙烯作为原料，且原料应为单一材质制成，生物分解率大于60%；</w:t>
      </w:r>
      <w:r/>
    </w:p>
    <w:p>
      <w:pPr>
        <w:pStyle w:val="716"/>
        <w:spacing w:after="0" w:line="360" w:lineRule="exact"/>
      </w:pPr>
      <w:r>
        <w:rPr>
          <w:rFonts w:hint="eastAsia"/>
        </w:rPr>
        <w:t xml:space="preserve">10.2.6快递中使用的充气类填充物不得使用聚氯乙烯作为原料，且原料为单一材质制成，生物分解率大于60%；</w:t>
      </w:r>
      <w:r/>
    </w:p>
    <w:p>
      <w:pPr>
        <w:pStyle w:val="716"/>
        <w:spacing w:after="0" w:line="360" w:lineRule="exact"/>
      </w:pPr>
      <w:r>
        <w:rPr>
          <w:rFonts w:hint="eastAsia"/>
        </w:rPr>
        <w:t xml:space="preserve">10.2.7快递中使用的集装袋应为单一材质制成，其重复使用次数应不小于80次；</w:t>
      </w:r>
      <w:r/>
    </w:p>
    <w:p>
      <w:pPr>
        <w:pStyle w:val="716"/>
        <w:spacing w:after="0" w:line="360" w:lineRule="exact"/>
      </w:pPr>
      <w:r>
        <w:rPr>
          <w:rFonts w:hint="eastAsia"/>
        </w:rPr>
        <w:t xml:space="preserve">10.2.8快递中应使用幅宽不大于45mm的生物降解胶带；</w:t>
      </w:r>
      <w:r/>
    </w:p>
    <w:p>
      <w:pPr>
        <w:pStyle w:val="716"/>
        <w:spacing w:after="0" w:line="360" w:lineRule="exact"/>
      </w:pPr>
      <w:r>
        <w:rPr>
          <w:rFonts w:hint="eastAsia"/>
        </w:rPr>
        <w:t xml:space="preserve">10.2.9快递包装中不得使用溶剂型胶粘剂；</w:t>
      </w:r>
      <w:r/>
    </w:p>
    <w:p>
      <w:pPr>
        <w:pStyle w:val="716"/>
        <w:spacing w:after="0" w:line="360" w:lineRule="exact"/>
      </w:pPr>
      <w:r>
        <w:rPr>
          <w:rFonts w:hint="eastAsia"/>
        </w:rPr>
        <w:t xml:space="preserve">10.2.10快递应使用电子面单；</w:t>
      </w:r>
      <w:r/>
    </w:p>
    <w:p>
      <w:pPr>
        <w:pStyle w:val="716"/>
        <w:spacing w:after="0" w:line="360" w:lineRule="exact"/>
      </w:pPr>
      <w:r>
        <w:rPr>
          <w:rFonts w:hint="eastAsia"/>
        </w:rPr>
        <w:t xml:space="preserve">10.2.11直接使用商品包装作为快递包装的商品，其商品包装满足《商品包装政府采购需求标准（试行）》即可；</w:t>
      </w:r>
      <w:r/>
    </w:p>
    <w:p>
      <w:pPr>
        <w:pStyle w:val="716"/>
        <w:spacing w:after="0" w:line="360" w:lineRule="exact"/>
      </w:pPr>
      <w:r>
        <w:rPr>
          <w:rFonts w:hint="eastAsia"/>
        </w:rPr>
        <w:t xml:space="preserve">10.2.12快递包装产品质量和封装方式应符合相关国家或行业标准技术指标要求</w:t>
      </w:r>
      <w:bookmarkEnd w:id="228"/>
      <w:r>
        <w:rPr>
          <w:rFonts w:hint="eastAsia"/>
        </w:rPr>
        <w:t xml:space="preserve">。</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11、履约保证金：</w:t>
      </w:r>
      <w:r/>
    </w:p>
    <w:p>
      <w:pPr>
        <w:pStyle w:val="716"/>
        <w:spacing w:after="0" w:line="360" w:lineRule="exact"/>
      </w:pPr>
      <w:r>
        <w:rPr>
          <w:rFonts w:hint="eastAsia"/>
        </w:rPr>
        <w:t xml:space="preserve">11.1本项目成交后的履约保证金为项目成交价的10%，中标供应商的履约保证金须在</w:t>
      </w:r>
      <w:bookmarkStart w:id="229" w:name="_Hlk175318062"/>
      <w:r>
        <w:rPr>
          <w:rFonts w:hint="eastAsia"/>
        </w:rPr>
        <w:t xml:space="preserve">成交通知书发出之日起</w:t>
      </w:r>
      <w:bookmarkEnd w:id="229"/>
      <w:r>
        <w:rPr>
          <w:rFonts w:hint="eastAsia"/>
        </w:rPr>
        <w:t xml:space="preserve">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r/>
    </w:p>
    <w:p>
      <w:pPr>
        <w:pStyle w:val="716"/>
        <w:spacing w:after="0" w:line="360" w:lineRule="exact"/>
      </w:pPr>
      <w:r>
        <w:rPr>
          <w:rFonts w:hint="eastAsia"/>
        </w:rPr>
        <w:t xml:space="preserve">11.2</w:t>
      </w:r>
      <w:bookmarkStart w:id="230" w:name="_Hlk182779295"/>
      <w:r>
        <w:rPr>
          <w:rFonts w:hint="eastAsia"/>
        </w:rPr>
        <w:t xml:space="preserve">以现金形式提交履约保证金的，</w:t>
      </w:r>
      <w:bookmarkEnd w:id="230"/>
      <w:r>
        <w:rPr>
          <w:rFonts w:hint="eastAsia"/>
        </w:rPr>
        <w:t xml:space="preserve">中标人全部履行合同义务，经采购人验收合格无质量、进度等问题的，采购人在验收合格后10个工作日内一次性退还履约保证金（无息），采购人若逾期退还履约保证金的，按照逾期部分的每日万分之一支付违约金</w:t>
      </w:r>
      <w:bookmarkStart w:id="231" w:name="_Hlk182779320"/>
      <w:r>
        <w:rPr>
          <w:rFonts w:hint="eastAsia"/>
        </w:rPr>
        <w:t xml:space="preserve">；以履约保函等非现金形式提交履约保证金的，中标人全部履行合同义务，经采购人验收合格无质量、进度等问题的，履约保函等文件到期后自动失效，无逾期退还情形</w:t>
      </w:r>
      <w:bookmarkEnd w:id="231"/>
      <w:r>
        <w:rPr>
          <w:rFonts w:hint="eastAsia"/>
        </w:rPr>
        <w:t xml:space="preserve">。</w:t>
      </w:r>
      <w:r/>
    </w:p>
    <w:p>
      <w:pPr>
        <w:pStyle w:val="716"/>
        <w:spacing w:after="0" w:line="360" w:lineRule="exact"/>
      </w:pPr>
      <w:r>
        <w:rPr>
          <w:rFonts w:hint="eastAsia"/>
        </w:rPr>
        <w:t xml:space="preserve">11.3发生以下情况的，履约保证金不予退还或部分退还：</w:t>
      </w:r>
      <w:r/>
    </w:p>
    <w:p>
      <w:pPr>
        <w:pStyle w:val="716"/>
        <w:spacing w:after="0" w:line="360" w:lineRule="exact"/>
      </w:pPr>
      <w:r>
        <w:rPr>
          <w:rFonts w:hint="eastAsia"/>
        </w:rPr>
        <w:t xml:space="preserve">a.签订合同后，中标供应商不履行合同义务的，采购人有权全额扣除履约保证金，全额不予退还，同时采购人亦有权终止合同，中标供应商还须承担相应的法律赔偿责任。</w:t>
      </w:r>
      <w:r/>
    </w:p>
    <w:p>
      <w:pPr>
        <w:pStyle w:val="716"/>
        <w:spacing w:after="0" w:line="360" w:lineRule="exact"/>
      </w:pPr>
      <w:r>
        <w:rPr>
          <w:rFonts w:hint="eastAsia"/>
        </w:rPr>
        <w:t xml:space="preserve">b.中标供应商在履约过程中发生违约行为，给采购人造成损失的，采购人有权在中标供应商缴纳的履约保证金中予以扣款，以弥补采购人经济损失，不足的部分中标供应商另外补齐。</w:t>
      </w:r>
      <w:r/>
    </w:p>
    <w:p>
      <w:pPr>
        <w:pStyle w:val="716"/>
        <w:spacing w:after="0" w:line="360" w:lineRule="exact"/>
      </w:pPr>
      <w:r>
        <w:rPr>
          <w:rFonts w:hint="eastAsia"/>
        </w:rPr>
        <w:t xml:space="preserve">11.4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225"/>
      <w:r/>
      <w:bookmarkEnd w:id="227"/>
      <w:r/>
      <w:r/>
    </w:p>
    <w:p>
      <w:pPr>
        <w:pStyle w:val="716"/>
        <w:spacing w:after="0" w:line="360" w:lineRule="exact"/>
      </w:pPr>
      <w:r/>
      <w:r/>
    </w:p>
    <w:p>
      <w:pPr>
        <w:spacing w:line="480" w:lineRule="exact"/>
        <w:rPr>
          <w:rFonts w:hint="eastAsia" w:ascii="仿宋" w:hAnsi="仿宋" w:eastAsia="仿宋"/>
          <w:b/>
          <w:bCs/>
          <w:i/>
          <w:color w:val="000000"/>
          <w:sz w:val="28"/>
          <w:szCs w:val="28"/>
          <w:u w:val="single"/>
        </w:rPr>
      </w:pPr>
      <w:r/>
      <w:bookmarkStart w:id="232" w:name="_Hlk182776751"/>
      <w:r>
        <w:rPr>
          <w:rFonts w:hint="eastAsia" w:ascii="仿宋" w:hAnsi="仿宋" w:eastAsia="仿宋"/>
          <w:b/>
          <w:bCs/>
          <w:color w:val="000000"/>
          <w:sz w:val="28"/>
          <w:szCs w:val="28"/>
        </w:rPr>
        <w:t xml:space="preserve">四、</w:t>
      </w:r>
      <w:bookmarkStart w:id="233" w:name="_Hlk175527870"/>
      <w:r>
        <w:rPr>
          <w:rFonts w:hint="eastAsia" w:ascii="仿宋" w:hAnsi="仿宋" w:eastAsia="仿宋"/>
          <w:b/>
          <w:bCs/>
          <w:iCs/>
          <w:color w:val="000000"/>
          <w:sz w:val="28"/>
          <w:szCs w:val="28"/>
        </w:rPr>
        <w:t xml:space="preserve">采购需求中必须满足的实质性要求</w:t>
      </w:r>
      <w:bookmarkEnd w:id="233"/>
      <w:r>
        <w:rPr>
          <w:rFonts w:hint="eastAsia" w:ascii="仿宋" w:hAnsi="仿宋" w:eastAsia="仿宋"/>
          <w:b/>
          <w:bCs/>
          <w:iCs/>
          <w:color w:val="000000"/>
          <w:sz w:val="28"/>
          <w:szCs w:val="28"/>
        </w:rPr>
        <w:t xml:space="preserve">。</w:t>
      </w:r>
      <w:bookmarkEnd w:id="232"/>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t xml:space="preserve">4.1技术部分实质性要求</w:t>
      </w:r>
      <w:r/>
    </w:p>
    <w:p>
      <w:pPr>
        <w:pStyle w:val="716"/>
        <w:spacing w:after="0" w:line="360" w:lineRule="exact"/>
        <w:rPr>
          <w:i/>
          <w:iCs/>
          <w:u w:val="single"/>
        </w:rPr>
      </w:pPr>
      <w:r>
        <w:rPr>
          <w:rFonts w:hint="eastAsia"/>
          <w:i/>
          <w:iCs/>
          <w:u w:val="single"/>
        </w:rPr>
        <w:t xml:space="preserve">4.1.1投标参数应客观真实，保证不虚假应标。</w:t>
      </w:r>
      <w:r/>
    </w:p>
    <w:p>
      <w:pPr>
        <w:pStyle w:val="716"/>
        <w:spacing w:after="0" w:line="360" w:lineRule="exact"/>
        <w:rPr>
          <w:i/>
          <w:iCs/>
          <w:u w:val="single"/>
        </w:rPr>
      </w:pPr>
      <w:r/>
      <w:bookmarkStart w:id="234" w:name="_Hlk175436534"/>
      <w:r>
        <w:rPr>
          <w:rFonts w:hint="eastAsia"/>
          <w:i/>
          <w:iCs/>
          <w:u w:val="single"/>
        </w:rPr>
        <w:t xml:space="preserve">4.1.2投标人在投标时须填写并提交技术要求响应及偏离表，</w:t>
      </w:r>
      <w:bookmarkStart w:id="235" w:name="_Hlk177951190"/>
      <w:r>
        <w:rPr>
          <w:rFonts w:hint="eastAsia"/>
          <w:i/>
          <w:iCs/>
          <w:u w:val="single"/>
        </w:rPr>
        <w:t xml:space="preserve">每条均注明</w:t>
      </w:r>
      <w:bookmarkStart w:id="236" w:name="_Hlk177936345"/>
      <w:r>
        <w:rPr>
          <w:rFonts w:hint="eastAsia"/>
          <w:i/>
          <w:iCs/>
          <w:u w:val="single"/>
        </w:rPr>
        <w:t xml:space="preserve">“超出”、“符合”或“偏离”。</w:t>
      </w:r>
      <w:bookmarkEnd w:id="236"/>
      <w:r/>
      <w:bookmarkStart w:id="237" w:name="_Hlk177937273"/>
      <w:r>
        <w:rPr>
          <w:rFonts w:hint="eastAsia"/>
          <w:i/>
          <w:iCs/>
          <w:u w:val="single"/>
        </w:rPr>
        <w:t xml:space="preserve">未提交者作无效投标处理。</w:t>
      </w:r>
      <w:bookmarkEnd w:id="234"/>
      <w:r/>
      <w:bookmarkEnd w:id="235"/>
      <w:r/>
      <w:bookmarkEnd w:id="237"/>
      <w:r/>
      <w:r/>
    </w:p>
    <w:p>
      <w:pPr>
        <w:ind w:firstLine="560"/>
        <w:spacing w:line="480" w:lineRule="exact"/>
        <w:rPr>
          <w:rFonts w:hint="eastAsia" w:ascii="仿宋" w:hAnsi="仿宋" w:eastAsia="仿宋"/>
          <w:b/>
          <w:i/>
          <w:color w:val="000000"/>
          <w:sz w:val="28"/>
          <w:szCs w:val="28"/>
          <w:u w:val="single"/>
        </w:rPr>
      </w:pPr>
      <w:r>
        <w:rPr>
          <w:rFonts w:hint="eastAsia" w:ascii="仿宋" w:hAnsi="仿宋" w:eastAsia="仿宋"/>
          <w:i/>
          <w:sz w:val="28"/>
          <w:szCs w:val="28"/>
          <w:u w:val="single"/>
        </w:rPr>
        <w:t xml:space="preserve">4.2商务部分实质性要求</w:t>
      </w:r>
      <w:r/>
    </w:p>
    <w:p>
      <w:pPr>
        <w:pStyle w:val="716"/>
        <w:spacing w:after="0" w:line="360" w:lineRule="exact"/>
        <w:rPr>
          <w:i/>
          <w:iCs/>
          <w:u w:val="single"/>
        </w:rPr>
      </w:pPr>
      <w:r/>
      <w:bookmarkStart w:id="238" w:name="OLE_LINK1"/>
      <w:r>
        <w:rPr>
          <w:rFonts w:hint="eastAsia"/>
          <w:i/>
          <w:iCs/>
          <w:u w:val="single"/>
        </w:rPr>
        <w:t xml:space="preserve">4.2.1中标人在中标通知书发出后30日内凭履约保证金缴纳凭证，按照招标文件确定的事项与采购人签订合同，超期视为自动放弃成交资格。</w:t>
      </w:r>
      <w:r/>
    </w:p>
    <w:p>
      <w:pPr>
        <w:pStyle w:val="716"/>
        <w:spacing w:after="0" w:line="360" w:lineRule="exact"/>
        <w:rPr>
          <w:i/>
          <w:iCs/>
          <w:u w:val="single"/>
        </w:rPr>
      </w:pPr>
      <w:r/>
      <w:bookmarkStart w:id="239" w:name="_Hlk180779940"/>
      <w:r>
        <w:rPr>
          <w:rFonts w:hint="eastAsia"/>
          <w:i/>
          <w:iCs/>
          <w:u w:val="single"/>
        </w:rPr>
        <w:t xml:space="preserve">4.2.2中标人承诺严格按“商务要求：4.2产品配置要求”配置供货。</w:t>
      </w:r>
      <w:bookmarkEnd w:id="239"/>
      <w:r/>
      <w:r/>
    </w:p>
    <w:p>
      <w:pPr>
        <w:pStyle w:val="716"/>
        <w:spacing w:after="0" w:line="360" w:lineRule="exact"/>
        <w:rPr>
          <w:i/>
          <w:iCs/>
          <w:u w:val="single"/>
        </w:rPr>
      </w:pPr>
      <w:r>
        <w:rPr>
          <w:rFonts w:hint="eastAsia"/>
          <w:i/>
          <w:iCs/>
          <w:u w:val="single"/>
        </w:rPr>
        <w:t xml:space="preserve">4.2.3中标人保证所供应的产品是全新、未使用过的原装合格正品，</w:t>
      </w:r>
      <w:bookmarkStart w:id="240" w:name="_Hlk175617714"/>
      <w:r>
        <w:rPr>
          <w:rFonts w:hint="eastAsia"/>
          <w:i/>
          <w:iCs/>
          <w:u w:val="single"/>
        </w:rPr>
        <w:t xml:space="preserve">严禁供应改装、翻新产品。</w:t>
      </w:r>
      <w:bookmarkEnd w:id="240"/>
      <w:r/>
      <w:r/>
    </w:p>
    <w:p>
      <w:pPr>
        <w:pStyle w:val="716"/>
        <w:spacing w:after="0" w:line="360" w:lineRule="exact"/>
        <w:rPr>
          <w:i/>
          <w:iCs/>
          <w:u w:val="single"/>
        </w:rPr>
      </w:pPr>
      <w:r>
        <w:rPr>
          <w:rFonts w:hint="eastAsia"/>
          <w:i/>
          <w:iCs/>
          <w:u w:val="single"/>
        </w:rPr>
        <w:t xml:space="preserve">4.2.4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p>
    <w:p>
      <w:pPr>
        <w:pStyle w:val="716"/>
        <w:spacing w:after="0" w:line="360" w:lineRule="exact"/>
        <w:rPr>
          <w:i/>
          <w:iCs/>
          <w:u w:val="single"/>
        </w:rPr>
      </w:pPr>
      <w:r>
        <w:rPr>
          <w:rFonts w:hint="eastAsia"/>
          <w:i/>
          <w:iCs/>
          <w:u w:val="single"/>
        </w:rPr>
        <w:t xml:space="preserve">4.2.5货物到货后，需报采购人后方可进场，保证绝不将不合格的货物使用到本项目，否则一切损失及后果由中标人自行承担。</w:t>
      </w:r>
      <w:r/>
    </w:p>
    <w:p>
      <w:pPr>
        <w:pStyle w:val="716"/>
        <w:spacing w:after="0" w:line="360" w:lineRule="exact"/>
        <w:rPr>
          <w:i/>
          <w:iCs/>
          <w:u w:val="single"/>
        </w:rPr>
      </w:pPr>
      <w:r>
        <w:rPr>
          <w:rFonts w:hint="eastAsia"/>
          <w:i/>
          <w:iCs/>
          <w:u w:val="single"/>
        </w:rPr>
        <w:t xml:space="preserve">4.2.6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20%的赔偿金。</w:t>
      </w:r>
      <w:r/>
    </w:p>
    <w:p>
      <w:pPr>
        <w:pStyle w:val="716"/>
        <w:spacing w:after="0" w:line="360" w:lineRule="exact"/>
        <w:rPr>
          <w:i/>
          <w:iCs/>
          <w:u w:val="single"/>
        </w:rPr>
      </w:pPr>
      <w:r>
        <w:rPr>
          <w:rFonts w:hint="eastAsia"/>
          <w:i/>
          <w:iCs/>
          <w:u w:val="single"/>
        </w:rPr>
        <w:t xml:space="preserve">4.2.7中标人保证设备报修后4小时内响应，2个工作日内到达现场维修。</w:t>
      </w:r>
      <w:r/>
    </w:p>
    <w:p>
      <w:pPr>
        <w:pStyle w:val="716"/>
        <w:spacing w:after="0" w:line="360" w:lineRule="exact"/>
        <w:rPr>
          <w:i/>
          <w:iCs/>
          <w:u w:val="single"/>
        </w:rPr>
      </w:pPr>
      <w:r>
        <w:rPr>
          <w:rFonts w:hint="eastAsia"/>
          <w:i/>
          <w:iCs/>
          <w:u w:val="single"/>
        </w:rPr>
        <w:t xml:space="preserve">4.2.8如果货物的质量或规格与合同不符，或证实货物是有缺陷的，包括潜在的缺陷或使用不符合要求的材料等，中标人承担违约责任。</w:t>
      </w:r>
      <w:r/>
    </w:p>
    <w:p>
      <w:pPr>
        <w:pStyle w:val="716"/>
        <w:spacing w:after="0" w:line="360" w:lineRule="exact"/>
        <w:rPr>
          <w:i/>
          <w:iCs/>
          <w:u w:val="single"/>
        </w:rPr>
      </w:pPr>
      <w:r>
        <w:rPr>
          <w:rFonts w:hint="eastAsia"/>
          <w:i/>
          <w:iCs/>
          <w:u w:val="single"/>
        </w:rPr>
        <w:t xml:space="preserve">4.2.9投标人在投标时须填写并提交商务要求响应及偏离表，每条均注明“超出”、“符合”或“偏离”。未提交者作无效投标处理。</w:t>
      </w:r>
      <w:bookmarkEnd w:id="238"/>
      <w:r/>
      <w:r/>
    </w:p>
    <w:p>
      <w:pPr>
        <w:ind w:firstLine="560"/>
        <w:spacing w:line="480" w:lineRule="exact"/>
        <w:rPr>
          <w:rFonts w:hint="eastAsia" w:ascii="仿宋" w:hAnsi="仿宋" w:eastAsia="仿宋"/>
          <w:i/>
          <w:iCs/>
          <w:sz w:val="28"/>
          <w:szCs w:val="28"/>
          <w:u w:val="single"/>
        </w:rPr>
      </w:pPr>
      <w:r>
        <w:rPr>
          <w:rFonts w:hint="eastAsia" w:ascii="仿宋" w:hAnsi="仿宋" w:eastAsia="仿宋"/>
          <w:i/>
          <w:iCs/>
          <w:sz w:val="28"/>
          <w:szCs w:val="28"/>
          <w:u w:val="single"/>
        </w:rPr>
        <w:t xml:space="preserve">4.3报价部分实质性要求</w:t>
      </w:r>
      <w:r/>
    </w:p>
    <w:p>
      <w:pPr>
        <w:pStyle w:val="716"/>
        <w:spacing w:after="0" w:line="360" w:lineRule="exact"/>
        <w:rPr>
          <w:i/>
          <w:iCs/>
          <w:u w:val="single"/>
        </w:rPr>
      </w:pPr>
      <w:r>
        <w:rPr>
          <w:rFonts w:hint="eastAsia"/>
          <w:i/>
          <w:iCs/>
          <w:u w:val="single"/>
        </w:rPr>
        <w:t xml:space="preserve">4.3.1本项目报价包含但不限于投标、货物供应、运输、安装调试、培训、质保等各方面产生的全部费用，中标人不得要求采购人支付除合同价款以外的其他任何费用。</w:t>
      </w:r>
      <w:r/>
    </w:p>
    <w:p>
      <w:pPr>
        <w:pStyle w:val="716"/>
        <w:spacing w:after="0" w:line="360" w:lineRule="exact"/>
        <w:rPr>
          <w:i/>
          <w:iCs/>
          <w:u w:val="single"/>
        </w:rPr>
      </w:pPr>
      <w:r>
        <w:rPr>
          <w:i/>
          <w:iCs/>
          <w:u w:val="single"/>
        </w:rPr>
      </w:r>
      <w:r/>
    </w:p>
    <w:p>
      <w:pPr>
        <w:pStyle w:val="716"/>
        <w:spacing w:after="0" w:line="360" w:lineRule="exact"/>
        <w:rPr>
          <w:i/>
          <w:iCs/>
          <w:u w:val="single"/>
        </w:rPr>
      </w:pPr>
      <w:r>
        <w:rPr>
          <w:i/>
          <w:iCs/>
          <w:u w:val="single"/>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bookmarkStart w:id="241" w:name="_Hlk175090407"/>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41"/>
      <w:r/>
      <w:r/>
    </w:p>
    <w:p>
      <w:pPr>
        <w:ind w:firstLine="512"/>
        <w:jc w:val="left"/>
        <w:spacing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p>
    <w:p>
      <w:pPr>
        <w:ind w:firstLine="562"/>
        <w:jc w:val="left"/>
        <w:spacing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p>
    <w:p>
      <w:pPr>
        <w:pStyle w:val="956"/>
        <w:numPr>
          <w:ilvl w:val="0"/>
          <w:numId w:val="13"/>
        </w:numPr>
        <w:ind w:firstLine="562"/>
        <w:spacing w:before="0" w:after="0" w:line="480" w:lineRule="exact"/>
        <w:rPr>
          <w:rFonts w:hint="eastAsia" w:ascii="仿宋" w:hAnsi="仿宋" w:eastAsia="仿宋"/>
          <w:b/>
          <w:sz w:val="28"/>
          <w:szCs w:val="28"/>
        </w:rPr>
      </w:pPr>
      <w:r/>
      <w:bookmarkStart w:id="242" w:name="OLE_LINK19"/>
      <w:r>
        <w:rPr>
          <w:rFonts w:hint="eastAsia" w:ascii="仿宋" w:hAnsi="仿宋" w:eastAsia="仿宋"/>
          <w:b/>
          <w:sz w:val="28"/>
          <w:szCs w:val="28"/>
        </w:rPr>
        <w:t xml:space="preserve">价格分：35分</w:t>
      </w:r>
      <w:r/>
    </w:p>
    <w:p>
      <w:pPr>
        <w:ind w:firstLine="562"/>
        <w:spacing w:line="500" w:lineRule="exact"/>
        <w:rPr>
          <w:rFonts w:eastAsia="方正仿宋_GBK"/>
          <w:sz w:val="28"/>
          <w:szCs w:val="28"/>
        </w:rPr>
      </w:pPr>
      <w:r/>
      <w:bookmarkStart w:id="243" w:name="_Hlk176807078"/>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bookmarkEnd w:id="243"/>
      <w:r/>
      <w:r/>
    </w:p>
    <w:p>
      <w:pPr>
        <w:pStyle w:val="956"/>
        <w:ind w:left="562" w:firstLine="0"/>
        <w:spacing w:before="0" w:after="0" w:line="480" w:lineRule="exact"/>
        <w:rPr>
          <w:rFonts w:hint="eastAsia" w:ascii="仿宋" w:hAnsi="仿宋" w:eastAsia="仿宋"/>
          <w:b/>
          <w:sz w:val="28"/>
          <w:szCs w:val="28"/>
        </w:rPr>
      </w:pPr>
      <w:r>
        <w:rPr>
          <w:rFonts w:hint="eastAsia" w:ascii="仿宋" w:hAnsi="仿宋" w:eastAsia="仿宋"/>
          <w:b/>
          <w:sz w:val="28"/>
          <w:szCs w:val="28"/>
        </w:rPr>
      </w:r>
      <w:r/>
    </w:p>
    <w:p>
      <w:pPr>
        <w:numPr>
          <w:ilvl w:val="0"/>
          <w:numId w:val="13"/>
        </w:numPr>
        <w:ind w:firstLine="562"/>
        <w:jc w:val="left"/>
        <w:spacing w:line="480" w:lineRule="exact"/>
        <w:rPr>
          <w:rFonts w:hint="eastAsia" w:ascii="仿宋" w:hAnsi="仿宋" w:eastAsia="仿宋"/>
          <w:b/>
          <w:sz w:val="28"/>
          <w:szCs w:val="28"/>
        </w:rPr>
      </w:pPr>
      <w:r/>
      <w:bookmarkStart w:id="244" w:name="_Hlk176807159"/>
      <w:r>
        <w:rPr>
          <w:rFonts w:hint="eastAsia" w:ascii="仿宋" w:hAnsi="仿宋" w:eastAsia="仿宋"/>
          <w:b/>
          <w:sz w:val="28"/>
          <w:szCs w:val="28"/>
        </w:rPr>
        <w:t xml:space="preserve">技术分：46分</w:t>
      </w:r>
      <w:r/>
    </w:p>
    <w:tbl>
      <w:tblPr>
        <w:tblStyle w:val="71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p>
        </w:tc>
        <w:tc>
          <w:tcPr>
            <w:tcW w:w="2835" w:type="dxa"/>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p>
        </w:tc>
      </w:tr>
      <w:tr>
        <w:trPr/>
        <w:tc>
          <w:tcPr>
            <w:tcW w:w="959" w:type="dxa"/>
            <w:vAlign w:val="center"/>
            <w:textDirection w:val="lrTb"/>
            <w:noWrap w:val="false"/>
          </w:tcPr>
          <w:p>
            <w:pPr>
              <w:jc w:val="center"/>
              <w:spacing w:line="48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1</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rPr>
              <w:t xml:space="preserve">技术要求响应</w:t>
            </w:r>
            <w:r/>
          </w:p>
        </w:tc>
        <w:tc>
          <w:tcPr>
            <w:tcW w:w="2835"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评委根据投标文件《技术要求响应及偏离表》中相关内容，结合投标文件提供的佐证材料等进行打分。其中：完全满足招标文件技术参数要求的得40分；招标文件中标注“▲”的内容为关键参数要求，有一项偏离的，扣2分；其他参数为常规参数，有一项偏离的，扣0.5分；扣完为止。</w:t>
            </w:r>
            <w:r/>
          </w:p>
          <w:p>
            <w:pPr>
              <w:jc w:val="left"/>
              <w:spacing w:line="480" w:lineRule="exact"/>
              <w:rPr>
                <w:rFonts w:hint="eastAsia" w:ascii="仿宋" w:hAnsi="仿宋" w:eastAsia="仿宋"/>
                <w:b/>
                <w:sz w:val="28"/>
                <w:szCs w:val="28"/>
              </w:rPr>
            </w:pPr>
            <w:r>
              <w:rPr>
                <w:rFonts w:hint="eastAsia" w:ascii="宋体" w:hAnsi="宋体" w:cs="宋体"/>
                <w:sz w:val="24"/>
                <w:szCs w:val="24"/>
              </w:rPr>
              <w:t xml:space="preserve">注：1、投标产品为进口产品的，标注“▲”的参数，投标时必须提供相关证明材料（如产品彩页、技术白皮书、检测报告等，并加盖制造商公章）扫描件，否则视为偏离；未标注“▲”的参数，如参数项下标明投标时须提供相关证明材料的，也须按要求提供，否则视为偏离。2、技术要求响应及偏离表中技术要求条目须与招标文件严格对应，如有缺漏、删减或自行修改的，则视为偏离。</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40</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客观分</w:t>
            </w:r>
            <w:r/>
          </w:p>
        </w:tc>
      </w:tr>
      <w:tr>
        <w:trPr/>
        <w:tc>
          <w:tcPr>
            <w:tcW w:w="959" w:type="dxa"/>
            <w:vAlign w:val="center"/>
            <w:textDirection w:val="lrTb"/>
            <w:noWrap w:val="false"/>
          </w:tcPr>
          <w:p>
            <w:pPr>
              <w:jc w:val="center"/>
              <w:spacing w:line="48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产品质量性能</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投标时投标人应提供《</w:t>
            </w:r>
            <w:bookmarkStart w:id="245" w:name="_Hlk180766683"/>
            <w:r>
              <w:rPr>
                <w:rFonts w:hint="eastAsia" w:ascii="宋体" w:hAnsi="宋体"/>
                <w:sz w:val="24"/>
              </w:rPr>
              <w:t xml:space="preserve">投标产品配置选型一览表</w:t>
            </w:r>
            <w:bookmarkEnd w:id="245"/>
            <w:r>
              <w:rPr>
                <w:rFonts w:hint="eastAsia" w:ascii="宋体" w:hAnsi="宋体"/>
                <w:sz w:val="24"/>
              </w:rPr>
              <w:t xml:space="preserve">》（表1），注明技术先进性、产品稳定性、品牌性能口碑（诸如既往用户满意度评价、第三方市场占有率的调查数据、在知名杂志发表的专业类文献等）等产品质量性能参数。评委根据投标人所投产品的整体配置选型情况进行打分：</w:t>
            </w:r>
            <w:r/>
          </w:p>
          <w:p>
            <w:pPr>
              <w:jc w:val="left"/>
              <w:spacing w:line="360" w:lineRule="auto"/>
              <w:rPr>
                <w:rFonts w:hint="eastAsia" w:ascii="宋体" w:hAnsi="宋体"/>
                <w:sz w:val="24"/>
              </w:rPr>
            </w:pPr>
            <w:r>
              <w:rPr>
                <w:rFonts w:hint="eastAsia" w:ascii="宋体" w:hAnsi="宋体"/>
                <w:sz w:val="24"/>
              </w:rPr>
              <w:t xml:space="preserve">1、配置选型方面，展现出高度的合理性，充分考虑了实际应用的需求与场景，确保所选配置能够充分发挥效用，不造成资源浪费。技术层面，紧跟行业前沿，采用了先进的技术架构和设计理念，产品具备较高的可扩展性。稳定性方面，产品经过严格的质量控制和测试验证，确保了在高强度、高负载的运行环境下依然能够保持稳定的运行状态。品牌性能口碑方面，该品牌在市场上享有良好的声誉，占有率高，其产品在性能、质量、可靠性等方面均得到了广泛认可和好评，得6分。</w:t>
            </w:r>
            <w:r/>
          </w:p>
          <w:p>
            <w:pPr>
              <w:jc w:val="left"/>
              <w:spacing w:line="360" w:lineRule="auto"/>
              <w:rPr>
                <w:rFonts w:hint="eastAsia" w:ascii="宋体" w:hAnsi="宋体"/>
                <w:sz w:val="24"/>
              </w:rPr>
            </w:pPr>
            <w:r>
              <w:rPr>
                <w:rFonts w:hint="eastAsia" w:ascii="宋体" w:hAnsi="宋体"/>
                <w:sz w:val="24"/>
              </w:rPr>
              <w:t xml:space="preserve">2、配置选型方面，具有一定合理性，能够考虑到实际应用的需求与场景。技术层面，采用了较为成熟的技术架构和设计理念，产品具备一定可扩展性。稳定性方面，产品经过质量控制和测试验证，保证在正常运行环境下能够保持稳定的运行状态。品牌性能口碑方面，该品牌在市场上具备一定声誉和占有率，其产品在性能、质量、可靠性等方面被用户认可，得3分。</w:t>
            </w:r>
            <w:r/>
          </w:p>
          <w:p>
            <w:pPr>
              <w:jc w:val="left"/>
              <w:spacing w:line="360" w:lineRule="auto"/>
              <w:rPr>
                <w:rFonts w:hint="eastAsia" w:ascii="宋体" w:hAnsi="宋体"/>
                <w:sz w:val="24"/>
              </w:rPr>
            </w:pPr>
            <w:r>
              <w:rPr>
                <w:rFonts w:hint="eastAsia" w:ascii="宋体" w:hAnsi="宋体"/>
                <w:sz w:val="24"/>
              </w:rPr>
              <w:t xml:space="preserve">3、配置选型方面，与实际应用的需求和场景不相匹配，合理性较差。技术层面，采用了较为落后的技术架构和设计理念，产品不具备可扩展性。稳定性方面，未能证明产品在正常运行环境下能够保持稳定的运行状态。品牌性能口碑方面，该品牌在市场上占有率较小，声誉较差，其产品在性能、质量或可靠性等方面认可度低，得1分；</w:t>
            </w:r>
            <w:r/>
          </w:p>
          <w:p>
            <w:pPr>
              <w:jc w:val="left"/>
              <w:spacing w:line="480" w:lineRule="exact"/>
              <w:rPr>
                <w:rFonts w:hint="eastAsia" w:ascii="仿宋" w:hAnsi="仿宋" w:eastAsia="仿宋"/>
                <w:b/>
                <w:sz w:val="28"/>
                <w:szCs w:val="28"/>
              </w:rPr>
            </w:pPr>
            <w:r>
              <w:rPr>
                <w:rFonts w:hint="eastAsia" w:ascii="宋体" w:hAnsi="宋体"/>
                <w:sz w:val="24"/>
              </w:rPr>
              <w:t xml:space="preserve">4、投标时未提供相关信息的不得分。</w:t>
            </w:r>
            <w:r/>
          </w:p>
        </w:tc>
        <w:tc>
          <w:tcPr>
            <w:tcW w:w="124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6</w:t>
            </w:r>
            <w:r/>
          </w:p>
        </w:tc>
        <w:tc>
          <w:tcPr>
            <w:tcW w:w="1110"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主观分</w:t>
            </w:r>
            <w:r/>
          </w:p>
        </w:tc>
      </w:tr>
    </w:tbl>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center"/>
        <w:widowControl/>
        <w:rPr>
          <w:rFonts w:hint="eastAsia" w:ascii="仿宋" w:hAnsi="仿宋" w:eastAsia="仿宋"/>
          <w:b/>
          <w:bCs/>
          <w:sz w:val="28"/>
          <w:szCs w:val="28"/>
        </w:rPr>
        <w:pBdr>
          <w:top w:val="none" w:color="000000" w:sz="0" w:space="0"/>
          <w:left w:val="none" w:color="000000" w:sz="0" w:space="0"/>
          <w:bottom w:val="none" w:color="000000" w:sz="0" w:space="0"/>
          <w:right w:val="none" w:color="000000" w:sz="0" w:space="0"/>
        </w:pBdr>
      </w:pPr>
      <w:r/>
      <w:bookmarkStart w:id="246" w:name="_Hlk180780886"/>
      <w:r>
        <w:rPr>
          <w:rFonts w:hint="eastAsia" w:ascii="仿宋" w:hAnsi="仿宋" w:eastAsia="仿宋"/>
          <w:b/>
          <w:sz w:val="28"/>
          <w:szCs w:val="28"/>
        </w:rPr>
        <w:t xml:space="preserve">表1.</w:t>
      </w:r>
      <w:r>
        <w:rPr>
          <w:rFonts w:hint="eastAsia" w:ascii="仿宋" w:hAnsi="仿宋" w:eastAsia="仿宋"/>
          <w:b/>
          <w:bCs/>
          <w:sz w:val="28"/>
          <w:szCs w:val="28"/>
        </w:rPr>
        <w:t xml:space="preserve">投标产品配置选型一览表</w:t>
      </w:r>
      <w:r/>
    </w:p>
    <w:tbl>
      <w:tblPr>
        <w:tblStyle w:val="990"/>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559"/>
        <w:gridCol w:w="1276"/>
        <w:gridCol w:w="1417"/>
        <w:gridCol w:w="1843"/>
        <w:gridCol w:w="1843"/>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设备名称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品牌规格型号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生产厂家</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产品质量性能参数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是否进口</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eastAsiaTheme="minorEastAsia"/>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rFonts w:hint="eastAsia" w:eastAsiaTheme="minorEastAsia"/>
                <w:color w:val="000000"/>
                <w:sz w:val="28"/>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bookmarkEnd w:id="246"/>
            <w:r/>
            <w:r/>
          </w:p>
        </w:tc>
      </w:tr>
    </w:tbl>
    <w:p>
      <w:pPr>
        <w:jc w:val="left"/>
        <w:widowControl/>
        <w:rPr>
          <w:sz w:val="20"/>
          <w:szCs w:val="20"/>
        </w:rPr>
        <w:pBdr>
          <w:top w:val="none" w:color="000000" w:sz="0" w:space="0"/>
          <w:left w:val="none" w:color="000000" w:sz="0" w:space="0"/>
          <w:bottom w:val="none" w:color="000000" w:sz="0" w:space="0"/>
          <w:right w:val="none" w:color="000000" w:sz="0" w:space="0"/>
        </w:pBdr>
      </w:pPr>
      <w:r>
        <w:rPr>
          <w:sz w:val="20"/>
          <w:szCs w:val="20"/>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numPr>
          <w:ilvl w:val="0"/>
          <w:numId w:val="13"/>
        </w:numPr>
        <w:ind w:firstLine="562"/>
        <w:jc w:val="left"/>
        <w:spacing w:line="480" w:lineRule="exact"/>
        <w:rPr>
          <w:rFonts w:hint="eastAsia" w:ascii="仿宋" w:hAnsi="仿宋" w:eastAsia="仿宋"/>
          <w:sz w:val="28"/>
          <w:szCs w:val="28"/>
        </w:rPr>
      </w:pPr>
      <w:r>
        <w:rPr>
          <w:rFonts w:hint="eastAsia" w:ascii="仿宋" w:hAnsi="仿宋" w:eastAsia="仿宋"/>
          <w:b/>
          <w:sz w:val="28"/>
          <w:szCs w:val="28"/>
        </w:rPr>
        <w:t xml:space="preserve">商务分：19分</w:t>
      </w:r>
      <w:r/>
    </w:p>
    <w:tbl>
      <w:tblPr>
        <w:tblStyle w:val="71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W w:w="1701"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p>
        </w:tc>
        <w:tc>
          <w:tcPr>
            <w:tcW w:w="2835" w:type="dxa"/>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p>
        </w:tc>
        <w:tc>
          <w:tcPr>
            <w:tcW w:w="1241"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p>
        </w:tc>
        <w:tc>
          <w:tcPr>
            <w:tcW w:w="1110"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p>
        </w:tc>
        <w:tc>
          <w:tcPr>
            <w:tcW w:w="1618"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1</w:t>
            </w:r>
            <w:r/>
          </w:p>
        </w:tc>
        <w:tc>
          <w:tcPr>
            <w:tcW w:w="170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安装调试方案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安装调试方案，内容包括但不限于①工作目标、②程序和步骤、③人员构架、④管理和协调、⑤时间进度、⑥关键要点。评委根据投标人提供的具体安装调试方案进行打分：</w:t>
            </w:r>
            <w:r/>
          </w:p>
          <w:p>
            <w:pPr>
              <w:jc w:val="left"/>
              <w:spacing w:line="360" w:lineRule="auto"/>
              <w:rPr>
                <w:rFonts w:hint="eastAsia" w:ascii="宋体" w:hAnsi="宋体"/>
                <w:sz w:val="24"/>
              </w:rPr>
            </w:pPr>
            <w:r>
              <w:rPr>
                <w:rFonts w:hint="eastAsia" w:ascii="宋体" w:hAnsi="宋体"/>
                <w:sz w:val="24"/>
              </w:rPr>
              <w:t xml:space="preserve">1、方案内容均阐述到位，详细周全，方案各步骤均经过设计，以确保安装目标顺利实现，同时方案还充分预见到各种情况并提出具体应对措施以保证整体可行性，得6分；</w:t>
            </w:r>
            <w:r/>
          </w:p>
          <w:p>
            <w:pPr>
              <w:jc w:val="left"/>
              <w:spacing w:line="360" w:lineRule="auto"/>
              <w:rPr>
                <w:rFonts w:hint="eastAsia" w:ascii="宋体" w:hAnsi="宋体"/>
                <w:sz w:val="24"/>
              </w:rPr>
            </w:pPr>
            <w:r>
              <w:rPr>
                <w:rFonts w:hint="eastAsia" w:ascii="宋体" w:hAnsi="宋体"/>
                <w:sz w:val="24"/>
              </w:rPr>
              <w:t xml:space="preserve">2、方案内容均有所阐述，但部分内容阐述不到位，方案预见到一些情况并提出了应对措施，方案具有可行性，得3分；</w:t>
            </w:r>
            <w:r/>
          </w:p>
          <w:p>
            <w:pPr>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3、方案内容不全，或均有所阐述，但大部分内容阐述不到位，各类情况预见性不强，应对措施不具体，方案可行性较差，得1分；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6</w:t>
            </w:r>
            <w:r/>
          </w:p>
        </w:tc>
        <w:tc>
          <w:tcPr>
            <w:tcW w:w="1110"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主观分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2</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sz w:val="24"/>
              </w:rPr>
              <w:t xml:space="preserve">验收方案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投标时投标人应对本项目提供完整、详细、可行的验收方案，内容包括但不限于①工作目标、②程序和步骤、③组织和协调、④应急预案。评委根据投标人提供的具体验收方案进行打分：</w:t>
            </w:r>
            <w:r/>
          </w:p>
          <w:p>
            <w:pPr>
              <w:jc w:val="left"/>
              <w:spacing w:line="360" w:lineRule="auto"/>
              <w:rPr>
                <w:rFonts w:hint="eastAsia" w:ascii="宋体" w:hAnsi="宋体"/>
                <w:sz w:val="24"/>
              </w:rPr>
            </w:pPr>
            <w:r>
              <w:rPr>
                <w:rFonts w:hint="eastAsia" w:ascii="宋体" w:hAnsi="宋体"/>
                <w:sz w:val="24"/>
              </w:rPr>
              <w:t xml:space="preserve">1、方案内容均阐述到位，验收流程清晰，步骤明确，可按照流程开展正确验收操作，并制定个性化合理化应急预案，得3分；</w:t>
            </w:r>
            <w:r/>
          </w:p>
          <w:p>
            <w:pPr>
              <w:jc w:val="left"/>
              <w:spacing w:line="360" w:lineRule="auto"/>
              <w:rPr>
                <w:rFonts w:hint="eastAsia" w:ascii="宋体" w:hAnsi="宋体"/>
                <w:sz w:val="24"/>
              </w:rPr>
            </w:pPr>
            <w:r>
              <w:rPr>
                <w:rFonts w:hint="eastAsia" w:ascii="宋体" w:hAnsi="宋体"/>
                <w:sz w:val="24"/>
              </w:rPr>
              <w:t xml:space="preserve">2、方案内容均有所阐述，但部分内容阐述不到位，验收流程与步骤不够清晰，应急预案针对性不够强，得2分；</w:t>
            </w:r>
            <w:r/>
          </w:p>
          <w:p>
            <w:pPr>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3、方案内容不全，或均有所阐述，但大部分内容阐述不到位，验收流程与步骤不合理，应急预案不具备针对性，得1分；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3</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bookmarkStart w:id="247" w:name="_Hlk175328100"/>
            <w:r>
              <w:rPr>
                <w:rFonts w:hint="eastAsia" w:ascii="宋体" w:hAnsi="宋体" w:cs="宋体"/>
                <w:sz w:val="28"/>
                <w:szCs w:val="28"/>
              </w:rPr>
              <w:t xml:space="preserve">3</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sz w:val="24"/>
              </w:rPr>
              <w:t xml:space="preserve">培训方案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培训方案，内容包括但不限于①培训内容和目标、②时间地点安排、③方法要点、④师资和人次、⑤管理和协调、⑥效果评价。评委根据投标人提供的具体培训方案进行打分：</w:t>
            </w:r>
            <w:r/>
          </w:p>
          <w:p>
            <w:pPr>
              <w:jc w:val="left"/>
              <w:spacing w:line="360" w:lineRule="auto"/>
              <w:rPr>
                <w:rFonts w:hint="eastAsia" w:ascii="宋体" w:hAnsi="宋体"/>
                <w:sz w:val="24"/>
              </w:rPr>
            </w:pPr>
            <w:r>
              <w:rPr>
                <w:rFonts w:hint="eastAsia" w:ascii="宋体" w:hAnsi="宋体"/>
                <w:sz w:val="24"/>
              </w:rPr>
              <w:t xml:space="preserve">1、方案内容包含上述要点，能够根据货物特点安排有针对性并符合业主要求的培训内容，由富有经验的师资力量开展培训活动，具有详细培训课程安排和个性化的培训效果评价计划，得4分；</w:t>
            </w:r>
            <w:r/>
          </w:p>
          <w:p>
            <w:pPr>
              <w:jc w:val="left"/>
              <w:spacing w:line="360" w:lineRule="auto"/>
              <w:rPr>
                <w:rFonts w:hint="eastAsia" w:ascii="宋体" w:hAnsi="宋体"/>
                <w:sz w:val="24"/>
              </w:rPr>
            </w:pPr>
            <w:r>
              <w:rPr>
                <w:rFonts w:hint="eastAsia" w:ascii="宋体" w:hAnsi="宋体"/>
                <w:sz w:val="24"/>
              </w:rPr>
              <w:t xml:space="preserve">2、方案内容包含上述要点，能够根据货物特点安排有针对性的培训内容，但师资力量较弱，培训课程安排不够详细，培训效果评价计划不够有针对性，得2分； </w:t>
            </w:r>
            <w:r/>
          </w:p>
          <w:p>
            <w:pPr>
              <w:jc w:val="left"/>
              <w:spacing w:line="360" w:lineRule="auto"/>
              <w:rPr>
                <w:rFonts w:hint="eastAsia" w:ascii="宋体" w:hAnsi="宋体"/>
                <w:sz w:val="24"/>
              </w:rPr>
            </w:pPr>
            <w:r>
              <w:rPr>
                <w:rFonts w:hint="eastAsia" w:ascii="宋体" w:hAnsi="宋体"/>
                <w:sz w:val="24"/>
              </w:rPr>
              <w:t xml:space="preserve">3、方案内容不全，或包含上述要点，但缺少根据货物特点和业主要求的个性化内容，师资力量较弱，无具体课程安排和培训效果评价计划，得1分；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bookmarkEnd w:id="247"/>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4</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sz w:val="24"/>
              </w:rPr>
              <w:t xml:space="preserve">售后服务方案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后方案进行打分：</w:t>
            </w:r>
            <w:r/>
          </w:p>
          <w:p>
            <w:pPr>
              <w:jc w:val="left"/>
              <w:spacing w:line="360" w:lineRule="auto"/>
              <w:rPr>
                <w:rFonts w:hint="eastAsia" w:ascii="宋体" w:hAnsi="宋体"/>
                <w:sz w:val="24"/>
              </w:rPr>
            </w:pPr>
            <w:r>
              <w:rPr>
                <w:rFonts w:hint="eastAsia" w:ascii="宋体" w:hAnsi="宋体"/>
                <w:sz w:val="24"/>
              </w:rPr>
              <w:t xml:space="preserve">1、方案详尽列出上述所有要点所涉具体内容，能够根据业主要求提供个性化服务，保修时间≥2年，得4分；</w:t>
            </w:r>
            <w:r/>
          </w:p>
          <w:p>
            <w:pPr>
              <w:jc w:val="left"/>
              <w:spacing w:line="360" w:lineRule="auto"/>
              <w:rPr>
                <w:rFonts w:hint="eastAsia" w:ascii="宋体" w:hAnsi="宋体"/>
                <w:sz w:val="24"/>
              </w:rPr>
            </w:pPr>
            <w:r>
              <w:rPr>
                <w:rFonts w:hint="eastAsia" w:ascii="宋体" w:hAnsi="宋体"/>
                <w:sz w:val="24"/>
              </w:rPr>
              <w:t xml:space="preserve">2、方案详尽列出上述所有要点所涉具体内容，能够提供个性化服务，保修时间1年，得2分； </w:t>
            </w:r>
            <w:r/>
          </w:p>
          <w:p>
            <w:pPr>
              <w:jc w:val="left"/>
              <w:spacing w:line="360" w:lineRule="auto"/>
              <w:rPr>
                <w:rFonts w:hint="eastAsia" w:ascii="宋体" w:hAnsi="宋体"/>
                <w:sz w:val="24"/>
              </w:rPr>
            </w:pPr>
            <w:r>
              <w:rPr>
                <w:rFonts w:hint="eastAsia" w:ascii="宋体" w:hAnsi="宋体"/>
                <w:sz w:val="24"/>
              </w:rPr>
              <w:t xml:space="preserve">3、方案不能详尽列出上述要点所涉具体内容，仅能提供通用化服务，保修时间1年，得1分；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5</w:t>
            </w:r>
            <w:r/>
          </w:p>
        </w:tc>
        <w:tc>
          <w:tcPr>
            <w:tcW w:w="1701"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节能环保</w:t>
            </w:r>
            <w:r/>
          </w:p>
        </w:tc>
        <w:tc>
          <w:tcPr>
            <w:tcW w:w="2835" w:type="dxa"/>
            <w:textDirection w:val="lrTb"/>
            <w:noWrap w:val="false"/>
          </w:tcPr>
          <w:p>
            <w:pPr>
              <w:spacing w:line="480" w:lineRule="exact"/>
              <w:rPr>
                <w:rFonts w:hint="eastAsia" w:ascii="宋体" w:hAnsi="宋体"/>
                <w:sz w:val="24"/>
              </w:rPr>
            </w:pPr>
            <w:r>
              <w:rPr>
                <w:rFonts w:hint="eastAsia" w:ascii="宋体" w:hAnsi="宋体"/>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480" w:lineRule="exact"/>
              <w:rPr>
                <w:rFonts w:hint="eastAsia" w:ascii="宋体" w:hAnsi="宋体"/>
                <w:sz w:val="24"/>
              </w:rPr>
            </w:pPr>
            <w:r>
              <w:rPr>
                <w:rFonts w:hint="eastAsia" w:ascii="宋体" w:hAnsi="宋体"/>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p>
            <w:pPr>
              <w:jc w:val="left"/>
              <w:spacing w:line="360" w:lineRule="auto"/>
              <w:rPr>
                <w:rFonts w:hint="eastAsia" w:ascii="宋体" w:hAnsi="宋体"/>
                <w:sz w:val="24"/>
              </w:rPr>
            </w:pPr>
            <w:r>
              <w:rPr>
                <w:rFonts w:hint="eastAsia" w:ascii="宋体" w:hAnsi="宋体"/>
                <w:sz w:val="24"/>
              </w:rPr>
            </w:r>
            <w:r/>
          </w:p>
        </w:tc>
        <w:tc>
          <w:tcPr>
            <w:tcW w:w="124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2</w:t>
            </w:r>
            <w:r/>
          </w:p>
        </w:tc>
        <w:tc>
          <w:tcPr>
            <w:tcW w:w="1110"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客观分</w:t>
            </w:r>
            <w:bookmarkEnd w:id="242"/>
            <w:r/>
            <w:r/>
          </w:p>
        </w:tc>
      </w:tr>
    </w:tbl>
    <w:p>
      <w:pPr>
        <w:pStyle w:val="716"/>
        <w:ind w:firstLine="640"/>
        <w:rPr>
          <w:sz w:val="32"/>
          <w:szCs w:val="32"/>
        </w:rPr>
      </w:pPr>
      <w:r>
        <w:rPr>
          <w:sz w:val="32"/>
          <w:szCs w:val="32"/>
        </w:rPr>
      </w:r>
      <w:bookmarkEnd w:id="244"/>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pStyle w:val="716"/>
        <w:rPr>
          <w:lang w:eastAsia="zh-CN"/>
        </w:rPr>
      </w:pPr>
      <w:r>
        <w:rPr>
          <w:lang w:eastAsia="zh-CN"/>
        </w:rPr>
      </w:r>
      <w:r/>
    </w:p>
    <w:p>
      <w:pPr>
        <w:jc w:val="center"/>
        <w:keepNext/>
        <w:rPr>
          <w:rFonts w:ascii="黑体" w:eastAsia="黑体"/>
          <w:bCs/>
          <w:sz w:val="44"/>
          <w:szCs w:val="28"/>
        </w:rPr>
        <w:outlineLvl w:val="0"/>
      </w:pPr>
      <w:r>
        <w:rPr>
          <w:rFonts w:hint="eastAsia" w:ascii="黑体" w:eastAsia="黑体"/>
          <w:bCs/>
          <w:sz w:val="44"/>
          <w:szCs w:val="28"/>
        </w:rPr>
        <w:t xml:space="preserve">第六章  投标</w:t>
      </w:r>
      <w:bookmarkEnd w:id="176"/>
      <w:r/>
      <w:bookmarkEnd w:id="177"/>
      <w:r/>
      <w:bookmarkEnd w:id="178"/>
      <w:r>
        <w:rPr>
          <w:rFonts w:hint="eastAsia" w:ascii="黑体" w:eastAsia="黑体"/>
          <w:bCs/>
          <w:sz w:val="44"/>
          <w:szCs w:val="28"/>
        </w:rPr>
        <w:t xml:space="preserve">文件格式 </w:t>
      </w:r>
      <w:r/>
    </w:p>
    <w:p>
      <w:pPr>
        <w:jc w:val="center"/>
        <w:rPr>
          <w:rFonts w:ascii="宋体" w:hAnsi="宋体"/>
          <w:b/>
          <w:sz w:val="72"/>
          <w:szCs w:val="21"/>
        </w:rPr>
      </w:pPr>
      <w:r/>
      <w:bookmarkStart w:id="248" w:name="_Hlt26955039"/>
      <w:r/>
      <w:bookmarkEnd w:id="248"/>
      <w:r/>
      <w:bookmarkStart w:id="249" w:name="_Hlt26671244"/>
      <w:r/>
      <w:bookmarkEnd w:id="249"/>
      <w:r/>
      <w:bookmarkStart w:id="250" w:name="_Toc49090576"/>
      <w:r/>
      <w:bookmarkStart w:id="251" w:name="_Toc26554094"/>
      <w:r/>
      <w:bookmarkStart w:id="252" w:name="_Toc120614282"/>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firstLine="420"/>
        <w:spacing w:line="48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投标人符合《政府采购法》第二十二条规定条件的声明函（格式见附件5）</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spacing w:line="480" w:lineRule="exact"/>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b/>
          <w:bCs/>
          <w:sz w:val="28"/>
          <w:szCs w:val="28"/>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，否则做无效投标处理（</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10）</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pStyle w:val="716"/>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ascii="仿宋" w:hAnsi="仿宋" w:eastAsia="仿宋"/>
          <w:sz w:val="28"/>
          <w:szCs w:val="28"/>
        </w:rPr>
      </w:pPr>
      <w:r>
        <w:rPr>
          <w:rFonts w:hint="eastAsia" w:ascii="仿宋" w:hAnsi="仿宋" w:eastAsia="仿宋"/>
          <w:b/>
          <w:sz w:val="28"/>
          <w:szCs w:val="28"/>
        </w:rPr>
        <w:t xml:space="preserve">开标一览表</w:t>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项目编号：项目编号 </w:t>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投标人名称（公章）：货币单位：人民币元</w:t>
      </w:r>
      <w:r/>
    </w:p>
    <w:tbl>
      <w:tblPr>
        <w:tblStyle w:val="715"/>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6"/>
      </w:tblGrid>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项目名称</w:t>
            </w:r>
            <w:r/>
          </w:p>
        </w:tc>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项目内容</w:t>
            </w:r>
            <w:r/>
          </w:p>
        </w:tc>
        <w:tc>
          <w:tcPr>
            <w:tcW w:w="3056" w:type="dxa"/>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总价（小写）</w:t>
            </w:r>
            <w:r/>
          </w:p>
        </w:tc>
      </w:tr>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项目名称 </w:t>
            </w:r>
            <w:r/>
          </w:p>
        </w:tc>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详见投标文件</w:t>
            </w:r>
            <w:r/>
          </w:p>
        </w:tc>
        <w:tc>
          <w:tcPr>
            <w:tcW w:w="3056" w:type="dxa"/>
            <w:textDirection w:val="lrTb"/>
            <w:noWrap w:val="false"/>
          </w:tcPr>
          <w:p>
            <w:pPr>
              <w:ind w:firstLine="1680"/>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元</w:t>
            </w:r>
            <w:r/>
          </w:p>
        </w:tc>
      </w:tr>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总价（大写）：</w:t>
            </w:r>
            <w:r/>
          </w:p>
        </w:tc>
        <w:tc>
          <w:tcPr>
            <w:gridSpan w:val="2"/>
            <w:tcW w:w="6112" w:type="dxa"/>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金额大写 </w:t>
            </w:r>
            <w:r/>
          </w:p>
        </w:tc>
      </w:tr>
    </w:tbl>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盖章（公章）：</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2</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投标分项报价表（分包号：**）</w:t>
      </w:r>
      <w:r/>
    </w:p>
    <w:tbl>
      <w:tblPr>
        <w:tblStyle w:val="715"/>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93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98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110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5</w:t>
            </w:r>
            <w:r/>
          </w:p>
        </w:tc>
        <w:tc>
          <w:tcPr>
            <w:tcW w:w="138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6</w:t>
            </w:r>
            <w:r/>
          </w:p>
        </w:tc>
        <w:tc>
          <w:tcPr>
            <w:tcW w:w="92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7</w:t>
            </w:r>
            <w:r/>
          </w:p>
        </w:tc>
        <w:tc>
          <w:tcPr>
            <w:tcW w:w="100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8</w:t>
            </w:r>
            <w:r/>
          </w:p>
        </w:tc>
        <w:tc>
          <w:tcPr>
            <w:tcW w:w="96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9</w:t>
            </w:r>
            <w:r/>
          </w:p>
        </w:tc>
      </w:tr>
      <w:tr>
        <w:trPr>
          <w:cantSplit/>
          <w:trHeight w:val="294"/>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产品</w:t>
            </w:r>
            <w:r/>
          </w:p>
          <w:p>
            <w:pPr>
              <w:jc w:val="center"/>
              <w:spacing w:line="480" w:lineRule="exact"/>
              <w:rPr>
                <w:rFonts w:ascii="仿宋" w:hAnsi="仿宋" w:eastAsia="仿宋"/>
                <w:sz w:val="28"/>
                <w:szCs w:val="28"/>
              </w:rPr>
            </w:pPr>
            <w:r>
              <w:rPr>
                <w:rFonts w:hint="eastAsia" w:ascii="仿宋" w:hAnsi="仿宋" w:eastAsia="仿宋"/>
                <w:sz w:val="28"/>
                <w:szCs w:val="28"/>
              </w:rPr>
              <w:t xml:space="preserve">名称</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品牌（如有）</w:t>
            </w:r>
            <w:r/>
          </w:p>
        </w:tc>
        <w:tc>
          <w:tcPr>
            <w:tcW w:w="93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规格</w:t>
            </w:r>
            <w:r/>
          </w:p>
          <w:p>
            <w:pPr>
              <w:jc w:val="center"/>
              <w:spacing w:line="480" w:lineRule="exact"/>
              <w:rPr>
                <w:rFonts w:ascii="仿宋" w:hAnsi="仿宋" w:eastAsia="仿宋"/>
                <w:sz w:val="28"/>
                <w:szCs w:val="28"/>
              </w:rPr>
            </w:pPr>
            <w:r>
              <w:rPr>
                <w:rFonts w:hint="eastAsia" w:ascii="仿宋" w:hAnsi="仿宋" w:eastAsia="仿宋"/>
                <w:sz w:val="28"/>
                <w:szCs w:val="28"/>
              </w:rPr>
              <w:t xml:space="preserve">型号</w:t>
            </w:r>
            <w:r/>
          </w:p>
        </w:tc>
        <w:tc>
          <w:tcPr>
            <w:tcW w:w="98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制造商名称</w:t>
            </w:r>
            <w:r/>
          </w:p>
        </w:tc>
        <w:tc>
          <w:tcPr>
            <w:tcW w:w="110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产地</w:t>
            </w:r>
            <w:r/>
          </w:p>
        </w:tc>
        <w:tc>
          <w:tcPr>
            <w:tcW w:w="138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交付期</w:t>
            </w:r>
            <w:r/>
          </w:p>
        </w:tc>
        <w:tc>
          <w:tcPr>
            <w:tcW w:w="92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数量</w:t>
            </w:r>
            <w:r/>
          </w:p>
        </w:tc>
        <w:tc>
          <w:tcPr>
            <w:tcW w:w="100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单价</w:t>
            </w:r>
            <w:r/>
          </w:p>
        </w:tc>
        <w:tc>
          <w:tcPr>
            <w:tcW w:w="96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总价</w:t>
            </w:r>
            <w:r/>
          </w:p>
        </w:tc>
      </w:tr>
      <w:tr>
        <w:trPr>
          <w:cantSplit/>
          <w:trHeight w:val="696"/>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highlight w:val="cyan"/>
              </w:rPr>
            </w:pPr>
            <w:r>
              <w:rPr>
                <w:rFonts w:ascii="仿宋" w:hAnsi="仿宋" w:eastAsia="仿宋"/>
                <w:sz w:val="28"/>
                <w:szCs w:val="28"/>
                <w:highlight w:val="cyan"/>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u w:val="single"/>
              </w:rPr>
            </w:pPr>
            <w:r>
              <w:rPr>
                <w:rFonts w:hint="eastAsia" w:ascii="仿宋" w:hAnsi="仿宋" w:eastAsia="仿宋"/>
                <w:sz w:val="28"/>
                <w:szCs w:val="28"/>
              </w:rPr>
              <w:t xml:space="preserve">合同签订后日</w:t>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724"/>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580"/>
        </w:trPr>
        <w:tc>
          <w:tcPr>
            <w:tcW w:w="50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249"/>
        </w:trPr>
        <w:tc>
          <w:tcPr>
            <w:tcW w:w="500"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gridSpan w:val="8"/>
            <w:tcW w:w="7797"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投标总报价（人民币：元）</w:t>
            </w:r>
            <w:r/>
          </w:p>
        </w:tc>
        <w:tc>
          <w:tcPr>
            <w:tcW w:w="966" w:type="dxa"/>
            <w:textDirection w:val="lrTb"/>
            <w:noWrap/>
          </w:tcPr>
          <w:p>
            <w:pP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备注：</w:t>
      </w:r>
      <w:r/>
    </w:p>
    <w:p>
      <w:pPr>
        <w:spacing w:line="480" w:lineRule="exact"/>
        <w:rPr>
          <w:rFonts w:ascii="仿宋" w:hAnsi="仿宋" w:eastAsia="仿宋"/>
          <w:sz w:val="28"/>
          <w:szCs w:val="28"/>
        </w:rPr>
      </w:pPr>
      <w:r>
        <w:rPr>
          <w:rFonts w:hint="eastAsia" w:ascii="仿宋" w:hAnsi="仿宋" w:eastAsia="仿宋"/>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sz w:val="28"/>
          <w:szCs w:val="28"/>
        </w:rPr>
        <w:t xml:space="preserve">有</w:t>
      </w:r>
      <w:r>
        <w:rPr>
          <w:rFonts w:hint="eastAsia" w:ascii="仿宋" w:hAnsi="仿宋" w:eastAsia="仿宋"/>
          <w:sz w:val="28"/>
          <w:szCs w:val="28"/>
        </w:rPr>
        <w:t xml:space="preserve">）国内运输保险、报关清关（如果</w:t>
      </w:r>
      <w:r>
        <w:rPr>
          <w:rFonts w:ascii="仿宋" w:hAnsi="仿宋" w:eastAsia="仿宋"/>
          <w:sz w:val="28"/>
          <w:szCs w:val="28"/>
        </w:rPr>
        <w:t xml:space="preserve">有</w:t>
      </w:r>
      <w:r>
        <w:rPr>
          <w:rFonts w:hint="eastAsia" w:ascii="仿宋" w:hAnsi="仿宋" w:eastAsia="仿宋"/>
          <w:sz w:val="28"/>
          <w:szCs w:val="28"/>
        </w:rPr>
        <w:t xml:space="preserve">）、开证（如果</w:t>
      </w:r>
      <w:r>
        <w:rPr>
          <w:rFonts w:ascii="仿宋" w:hAnsi="仿宋" w:eastAsia="仿宋"/>
          <w:sz w:val="28"/>
          <w:szCs w:val="28"/>
        </w:rPr>
        <w:t xml:space="preserve">有</w:t>
      </w:r>
      <w:r>
        <w:rPr>
          <w:rFonts w:hint="eastAsia" w:ascii="仿宋" w:hAnsi="仿宋" w:eastAsia="仿宋"/>
          <w:sz w:val="28"/>
          <w:szCs w:val="28"/>
        </w:rPr>
        <w:t xml:space="preserve">）、办理全套免税手续费用（如果</w:t>
      </w:r>
      <w:r>
        <w:rPr>
          <w:rFonts w:ascii="仿宋" w:hAnsi="仿宋" w:eastAsia="仿宋"/>
          <w:sz w:val="28"/>
          <w:szCs w:val="28"/>
        </w:rPr>
        <w:t xml:space="preserve">有</w:t>
      </w:r>
      <w:r>
        <w:rPr>
          <w:rFonts w:hint="eastAsia" w:ascii="仿宋" w:hAnsi="仿宋" w:eastAsia="仿宋"/>
          <w:sz w:val="28"/>
          <w:szCs w:val="28"/>
        </w:rPr>
        <w:t xml:space="preserve">）及其他有关的为完成本项目发生的所有费用，招标文件中另有规定的除外。</w:t>
      </w:r>
      <w:r/>
    </w:p>
    <w:p>
      <w:pPr>
        <w:spacing w:line="480" w:lineRule="exact"/>
        <w:rPr>
          <w:rFonts w:ascii="仿宋" w:hAnsi="仿宋" w:eastAsia="仿宋"/>
          <w:sz w:val="28"/>
          <w:szCs w:val="28"/>
        </w:rPr>
      </w:pPr>
      <w:r>
        <w:rPr>
          <w:rFonts w:hint="eastAsia" w:ascii="仿宋" w:hAnsi="仿宋" w:eastAsia="仿宋"/>
          <w:sz w:val="28"/>
          <w:szCs w:val="28"/>
        </w:rPr>
        <w:t xml:space="preserve">2.“投标分项报价表”中“投标总报价”数额应当与“开标一览表”中“投标总报价”数额一致。</w:t>
      </w:r>
      <w:r/>
    </w:p>
    <w:p>
      <w:pPr>
        <w:spacing w:line="480" w:lineRule="exact"/>
        <w:rPr>
          <w:rFonts w:ascii="仿宋" w:hAnsi="仿宋" w:eastAsia="仿宋"/>
          <w:sz w:val="28"/>
          <w:szCs w:val="28"/>
        </w:rPr>
      </w:pPr>
      <w:r>
        <w:rPr>
          <w:rFonts w:hint="eastAsia" w:ascii="仿宋" w:hAnsi="仿宋" w:eastAsia="仿宋"/>
          <w:sz w:val="28"/>
          <w:szCs w:val="28"/>
        </w:rPr>
        <w:t xml:space="preserve">3.投标人需认真填写本报价表，尤其注意规格型号的准确填写。</w:t>
      </w:r>
      <w:r/>
    </w:p>
    <w:p>
      <w:pPr>
        <w:spacing w:line="480" w:lineRule="exact"/>
        <w:rPr>
          <w:rFonts w:ascii="仿宋" w:hAnsi="仿宋" w:eastAsia="仿宋"/>
          <w:sz w:val="28"/>
          <w:szCs w:val="28"/>
        </w:rPr>
      </w:pPr>
      <w:r>
        <w:rPr>
          <w:rFonts w:hint="eastAsia" w:ascii="仿宋" w:hAnsi="仿宋" w:eastAsia="仿宋"/>
          <w:sz w:val="28"/>
          <w:szCs w:val="28"/>
        </w:rPr>
        <w:t xml:space="preserve">4.项目</w:t>
      </w:r>
      <w:r>
        <w:rPr>
          <w:rFonts w:ascii="仿宋" w:hAnsi="仿宋" w:eastAsia="仿宋"/>
          <w:sz w:val="28"/>
          <w:szCs w:val="28"/>
        </w:rPr>
        <w:t xml:space="preserve">经办人可以根据</w:t>
      </w:r>
      <w:r>
        <w:rPr>
          <w:rFonts w:hint="eastAsia" w:ascii="仿宋" w:hAnsi="仿宋" w:eastAsia="仿宋"/>
          <w:sz w:val="28"/>
          <w:szCs w:val="28"/>
        </w:rPr>
        <w:t xml:space="preserve">项目</w:t>
      </w:r>
      <w:r>
        <w:rPr>
          <w:rFonts w:ascii="仿宋" w:hAnsi="仿宋" w:eastAsia="仿宋"/>
          <w:sz w:val="28"/>
          <w:szCs w:val="28"/>
        </w:rPr>
        <w:t xml:space="preserve">实际需要</w:t>
      </w:r>
      <w:r>
        <w:rPr>
          <w:rFonts w:hint="eastAsia" w:ascii="仿宋" w:hAnsi="仿宋" w:eastAsia="仿宋"/>
          <w:sz w:val="28"/>
          <w:szCs w:val="28"/>
        </w:rPr>
        <w:t xml:space="preserve">对</w:t>
      </w:r>
      <w:r>
        <w:rPr>
          <w:rFonts w:ascii="仿宋" w:hAnsi="仿宋" w:eastAsia="仿宋"/>
          <w:sz w:val="28"/>
          <w:szCs w:val="28"/>
        </w:rPr>
        <w:t xml:space="preserve">表格结构进行</w:t>
      </w:r>
      <w:r>
        <w:rPr>
          <w:rFonts w:hint="eastAsia" w:ascii="仿宋" w:hAnsi="仿宋" w:eastAsia="仿宋"/>
          <w:sz w:val="28"/>
          <w:szCs w:val="28"/>
        </w:rPr>
        <w:t xml:space="preserve">调整</w:t>
      </w:r>
      <w:r>
        <w:rPr>
          <w:rFonts w:ascii="仿宋" w:hAnsi="仿宋" w:eastAsia="仿宋"/>
          <w:sz w:val="28"/>
          <w:szCs w:val="28"/>
        </w:rPr>
        <w:t xml:space="preserve">。</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3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技术要求响应及偏离表（分包号：**）</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3</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pStyle w:val="716"/>
        <w:ind w:firstLine="0"/>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4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商务要求响应及偏离表（分包号：**）</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4</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5</w:t>
      </w:r>
      <w:r/>
    </w:p>
    <w:p>
      <w:pPr>
        <w:jc w:val="center"/>
        <w:rPr>
          <w:rFonts w:ascii="宋体" w:hAnsi="宋体"/>
          <w:b/>
          <w:sz w:val="30"/>
          <w:szCs w:val="30"/>
          <w:highlight w:val="green"/>
        </w:rPr>
      </w:pPr>
      <w:r>
        <w:rPr>
          <w:rFonts w:hint="eastAsia" w:ascii="宋体" w:hAnsi="宋体"/>
          <w:b/>
          <w:sz w:val="30"/>
          <w:szCs w:val="30"/>
        </w:rPr>
        <w:t xml:space="preserve">投标人符合《政府采购法》第二十二条规定条件的声明函</w:t>
      </w:r>
      <w:r/>
    </w:p>
    <w:p>
      <w:pPr>
        <w:spacing w:line="460" w:lineRule="exact"/>
        <w:rPr>
          <w:rFonts w:ascii="宋体" w:hAnsi="宋体"/>
          <w:b/>
          <w:bCs/>
          <w:sz w:val="44"/>
          <w:szCs w:val="44"/>
        </w:rPr>
      </w:pPr>
      <w:r>
        <w:rPr>
          <w:rFonts w:ascii="宋体" w:hAnsi="宋体"/>
          <w:b/>
          <w:bCs/>
          <w:sz w:val="44"/>
          <w:szCs w:val="44"/>
        </w:rPr>
      </w:r>
      <w:r/>
    </w:p>
    <w:p>
      <w:pPr>
        <w:ind w:firstLine="480"/>
        <w:spacing w:line="520" w:lineRule="exact"/>
        <w:rPr>
          <w:rFonts w:ascii="宋体" w:hAnsi="宋体"/>
          <w:b/>
          <w:bCs/>
          <w:sz w:val="24"/>
        </w:rPr>
      </w:pPr>
      <w:r>
        <w:rPr>
          <w:rFonts w:hint="eastAsia" w:ascii="宋体" w:hAnsi="宋体"/>
          <w:bCs/>
          <w:sz w:val="24"/>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ascii="宋体" w:hAnsi="宋体"/>
          <w:bCs/>
          <w:sz w:val="24"/>
          <w:szCs w:val="21"/>
        </w:rPr>
      </w:r>
      <w:r/>
    </w:p>
    <w:p>
      <w:pPr>
        <w:jc w:val="right"/>
        <w:spacing w:line="460" w:lineRule="exac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__</w:t>
      </w:r>
      <w:r>
        <w:rPr>
          <w:rFonts w:hint="eastAsia" w:ascii="宋体" w:hAnsi="宋体"/>
          <w:bCs/>
          <w:sz w:val="24"/>
          <w:szCs w:val="21"/>
        </w:rPr>
        <w:t xml:space="preserve">月</w:t>
      </w:r>
      <w:r>
        <w:rPr>
          <w:rFonts w:hint="eastAsia" w:ascii="宋体" w:hAnsi="宋体"/>
          <w:bCs/>
          <w:sz w:val="24"/>
          <w:szCs w:val="21"/>
          <w:u w:val="single"/>
        </w:rPr>
        <w:t xml:space="preserve">__</w:t>
      </w:r>
      <w:r>
        <w:rPr>
          <w:rFonts w:hint="eastAsia" w:ascii="宋体" w:hAnsi="宋体"/>
          <w:bCs/>
          <w:sz w:val="24"/>
          <w:szCs w:val="21"/>
        </w:rPr>
        <w:t xml:space="preserve">日</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附件6</w:t>
      </w:r>
      <w:r/>
    </w:p>
    <w:p>
      <w:pPr>
        <w:ind w:firstLine="480"/>
        <w:jc w:val="center"/>
        <w:spacing w:line="480" w:lineRule="exact"/>
        <w:rPr>
          <w:rFonts w:ascii="仿宋" w:hAnsi="仿宋" w:eastAsia="仿宋"/>
          <w:bCs/>
          <w:sz w:val="28"/>
          <w:szCs w:val="28"/>
        </w:rPr>
      </w:pPr>
      <w:r>
        <w:rPr>
          <w:rFonts w:hint="eastAsia" w:ascii="仿宋" w:hAnsi="仿宋" w:eastAsia="仿宋"/>
          <w:b/>
          <w:sz w:val="28"/>
          <w:szCs w:val="28"/>
        </w:rPr>
        <w:t xml:space="preserve">法人授权书</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本授权书声明：____________（投标人名称）授权________________（被授权人的姓名）为我方就JSZC-</w:t>
      </w:r>
      <w:r>
        <w:rPr>
          <w:rFonts w:ascii="仿宋" w:hAnsi="仿宋" w:eastAsia="仿宋"/>
          <w:sz w:val="28"/>
          <w:szCs w:val="28"/>
        </w:rPr>
        <w:t xml:space="preserve">320000-</w:t>
      </w:r>
      <w:r>
        <w:rPr>
          <w:rFonts w:ascii="仿宋" w:hAnsi="仿宋" w:eastAsia="仿宋"/>
          <w:sz w:val="28"/>
          <w:szCs w:val="28"/>
          <w:u w:val="single"/>
        </w:rPr>
        <w:t xml:space="preserve">***</w:t>
      </w:r>
      <w:r>
        <w:rPr>
          <w:rFonts w:hint="eastAsia" w:ascii="仿宋" w:hAnsi="仿宋" w:eastAsia="仿宋"/>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本授权书于______年____月____日起生效，特此声明。</w:t>
      </w:r>
      <w:r/>
    </w:p>
    <w:p>
      <w:pPr>
        <w:spacing w:line="480" w:lineRule="exact"/>
        <w:tabs>
          <w:tab w:val="left" w:pos="360" w:leader="none"/>
        </w:tabs>
        <w:rPr>
          <w:rFonts w:ascii="仿宋" w:hAnsi="仿宋" w:eastAsia="仿宋"/>
          <w:sz w:val="28"/>
          <w:szCs w:val="28"/>
          <w:u w:val="single"/>
        </w:rPr>
      </w:pPr>
      <w:r>
        <w:rPr>
          <w:rFonts w:hint="eastAsia" w:ascii="仿宋" w:hAnsi="仿宋" w:eastAsia="仿宋"/>
          <w:sz w:val="28"/>
          <w:szCs w:val="28"/>
        </w:rPr>
        <w:t xml:space="preserve">被授权人身份证号码：______</w:t>
      </w:r>
      <w:r/>
    </w:p>
    <w:p>
      <w:pPr>
        <w:spacing w:line="480" w:lineRule="exact"/>
        <w:tabs>
          <w:tab w:val="left" w:pos="360" w:leader="none"/>
        </w:tabs>
        <w:rPr>
          <w:rFonts w:ascii="仿宋" w:hAnsi="仿宋" w:eastAsia="仿宋"/>
          <w:sz w:val="28"/>
          <w:szCs w:val="28"/>
          <w:u w:val="single"/>
        </w:rPr>
      </w:pPr>
      <w:r>
        <w:rPr>
          <w:rFonts w:hint="eastAsia" w:ascii="仿宋" w:hAnsi="仿宋" w:eastAsia="仿宋"/>
          <w:sz w:val="28"/>
          <w:szCs w:val="28"/>
        </w:rPr>
        <w:t xml:space="preserve">被授权人联系电话：（手机）______</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授权单位名称：</w:t>
      </w:r>
      <w:r>
        <w:rPr>
          <w:rFonts w:hint="eastAsia" w:ascii="仿宋" w:hAnsi="仿宋" w:eastAsia="仿宋"/>
          <w:sz w:val="28"/>
          <w:szCs w:val="28"/>
          <w:u w:val="single"/>
        </w:rPr>
        <w:t xml:space="preserve">（加盖CA电子公章）</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单位地址：______</w:t>
      </w:r>
      <w:r/>
    </w:p>
    <w:p>
      <w:pPr>
        <w:ind w:firstLine="560"/>
        <w:jc w:val="left"/>
        <w:spacing w:line="480" w:lineRule="exact"/>
        <w:tabs>
          <w:tab w:val="left" w:pos="360" w:leader="none"/>
        </w:tabs>
        <w:rPr>
          <w:rFonts w:ascii="仿宋" w:hAnsi="仿宋" w:eastAsia="仿宋"/>
          <w:b/>
          <w:sz w:val="28"/>
          <w:szCs w:val="28"/>
        </w:rPr>
      </w:pPr>
      <w:r>
        <w:rPr>
          <w:rFonts w:hint="eastAsia" w:ascii="仿宋" w:hAnsi="仿宋" w:eastAsia="仿宋"/>
          <w:sz w:val="28"/>
          <w:szCs w:val="28"/>
        </w:rPr>
        <w:t xml:space="preserve">日期：__________</w:t>
      </w:r>
      <w:r>
        <w:rPr>
          <w:rFonts w:ascii="仿宋" w:hAnsi="仿宋" w:eastAsia="仿宋" w:cs="Arial"/>
          <w:b/>
          <w:sz w:val="28"/>
          <w:szCs w:val="28"/>
        </w:rPr>
        <w:br w:type="page" w:clear="all"/>
      </w:r>
      <w:r>
        <w:rPr>
          <w:rFonts w:hint="eastAsia" w:ascii="仿宋" w:hAnsi="仿宋" w:eastAsia="仿宋"/>
          <w:b/>
          <w:sz w:val="28"/>
          <w:szCs w:val="28"/>
        </w:rPr>
        <w:t xml:space="preserve">附件7                          </w:t>
      </w:r>
      <w:r/>
    </w:p>
    <w:p>
      <w:pPr>
        <w:jc w:val="center"/>
        <w:spacing w:line="480" w:lineRule="exact"/>
        <w:tabs>
          <w:tab w:val="left" w:pos="360" w:leader="none"/>
        </w:tabs>
        <w:rPr>
          <w:rFonts w:ascii="仿宋" w:hAnsi="仿宋" w:eastAsia="仿宋"/>
          <w:sz w:val="28"/>
          <w:szCs w:val="28"/>
        </w:rPr>
      </w:pPr>
      <w:r>
        <w:rPr>
          <w:rFonts w:hint="eastAsia" w:ascii="仿宋" w:hAnsi="仿宋" w:eastAsia="仿宋"/>
          <w:b/>
          <w:sz w:val="28"/>
          <w:szCs w:val="28"/>
        </w:rPr>
        <w:t xml:space="preserve">投标函</w:t>
      </w:r>
      <w:r/>
    </w:p>
    <w:p>
      <w:pPr>
        <w:jc w:val="left"/>
        <w:spacing w:line="480" w:lineRule="exact"/>
        <w:rPr>
          <w:rFonts w:ascii="仿宋" w:hAnsi="仿宋" w:eastAsia="仿宋"/>
          <w:sz w:val="28"/>
          <w:szCs w:val="28"/>
        </w:rPr>
      </w:pPr>
      <w:r>
        <w:rPr>
          <w:rFonts w:hint="eastAsia" w:ascii="仿宋" w:hAnsi="仿宋" w:eastAsia="仿宋"/>
          <w:sz w:val="28"/>
          <w:szCs w:val="28"/>
        </w:rPr>
        <w:t xml:space="preserve">致：南通市公共资源交易中心</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根据贵方的JSZC-</w:t>
      </w:r>
      <w:r>
        <w:rPr>
          <w:rFonts w:ascii="仿宋" w:hAnsi="仿宋" w:eastAsia="仿宋"/>
          <w:sz w:val="28"/>
          <w:szCs w:val="28"/>
        </w:rPr>
        <w:t xml:space="preserve">320000-</w:t>
      </w:r>
      <w:r>
        <w:rPr>
          <w:rFonts w:ascii="仿宋" w:hAnsi="仿宋" w:eastAsia="仿宋"/>
          <w:sz w:val="28"/>
          <w:szCs w:val="28"/>
          <w:u w:val="single"/>
        </w:rPr>
        <w:t xml:space="preserve">****</w:t>
      </w:r>
      <w:r>
        <w:rPr>
          <w:rFonts w:hint="eastAsia" w:ascii="仿宋" w:hAnsi="仿宋" w:eastAsia="仿宋"/>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据此函，__________签字人兹宣布同意如下：</w:t>
      </w:r>
      <w:r/>
    </w:p>
    <w:p>
      <w:pPr>
        <w:ind w:firstLine="480"/>
        <w:jc w:val="left"/>
        <w:spacing w:line="480" w:lineRule="exact"/>
        <w:rPr>
          <w:rFonts w:ascii="仿宋" w:hAnsi="仿宋" w:eastAsia="仿宋"/>
          <w:sz w:val="28"/>
          <w:szCs w:val="28"/>
        </w:rPr>
      </w:pPr>
      <w:r>
        <w:rPr>
          <w:rFonts w:hint="eastAsia" w:ascii="仿宋" w:hAnsi="仿宋" w:eastAsia="仿宋"/>
          <w:sz w:val="28"/>
          <w:szCs w:val="28"/>
        </w:rPr>
        <w:t xml:space="preserve">1.按招标文件规定的各项要求，向买方提供所需货物（包含与货物相关的服务）。</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2.我们完全理解贵方不一定将合同授予最低报价的投标人。</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ascii="仿宋" w:hAnsi="仿宋" w:eastAsia="仿宋"/>
          <w:sz w:val="28"/>
          <w:szCs w:val="28"/>
        </w:rPr>
      </w:pPr>
      <w:r>
        <w:rPr>
          <w:rFonts w:hint="eastAsia" w:ascii="仿宋" w:hAnsi="仿宋"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.一旦我方中标,我方将根据招标文件的规定，严格履行合同的责任和义务,并保证在招标文件规定的时间完成项目，交付买方验收、使用。</w:t>
      </w:r>
      <w:r/>
    </w:p>
    <w:p>
      <w:pPr>
        <w:ind w:left="425"/>
        <w:jc w:val="left"/>
        <w:spacing w:line="480" w:lineRule="exact"/>
        <w:rPr>
          <w:rFonts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.与本投标有关的正式通讯地址为：</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地          址：</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邮          编：</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电          话：</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传          真：</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投标人开户行：</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账          号： </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日           期：________年____月____日</w:t>
      </w:r>
      <w:r/>
    </w:p>
    <w:p>
      <w:pPr>
        <w:jc w:val="left"/>
        <w:spacing w:line="480" w:lineRule="exact"/>
        <w:rPr>
          <w:rFonts w:ascii="仿宋" w:hAnsi="仿宋" w:eastAsia="仿宋"/>
          <w:bCs/>
          <w:sz w:val="28"/>
          <w:szCs w:val="28"/>
        </w:rPr>
      </w:pPr>
      <w:r>
        <w:rPr>
          <w:rFonts w:ascii="仿宋" w:hAnsi="仿宋" w:eastAsia="仿宋"/>
          <w:bCs/>
          <w:sz w:val="28"/>
          <w:szCs w:val="28"/>
        </w:rPr>
      </w:r>
      <w:r/>
    </w:p>
    <w:p>
      <w:pPr>
        <w:jc w:val="left"/>
        <w:spacing w:line="480" w:lineRule="exact"/>
        <w:rPr>
          <w:rFonts w:ascii="仿宋" w:hAnsi="仿宋" w:eastAsia="仿宋"/>
          <w:bCs/>
          <w:sz w:val="28"/>
          <w:szCs w:val="28"/>
        </w:rPr>
      </w:pPr>
      <w:r>
        <w:rPr>
          <w:rFonts w:ascii="仿宋" w:hAnsi="仿宋" w:eastAsia="仿宋"/>
          <w:bCs/>
          <w:sz w:val="28"/>
          <w:szCs w:val="28"/>
        </w:rPr>
      </w:r>
      <w:r/>
    </w:p>
    <w:p>
      <w:pPr>
        <w:jc w:val="left"/>
        <w:spacing w:line="480" w:lineRule="exact"/>
        <w:rPr>
          <w:rFonts w:ascii="仿宋" w:hAnsi="仿宋" w:eastAsia="仿宋"/>
          <w:bCs/>
          <w:sz w:val="28"/>
          <w:szCs w:val="28"/>
        </w:rPr>
      </w:pPr>
      <w:r>
        <w:rPr>
          <w:rFonts w:ascii="仿宋" w:hAnsi="仿宋" w:eastAsia="仿宋"/>
          <w:bCs/>
          <w:sz w:val="28"/>
          <w:szCs w:val="28"/>
        </w:rPr>
      </w:r>
      <w:r/>
    </w:p>
    <w:p>
      <w:pPr>
        <w:pStyle w:val="716"/>
        <w:ind w:firstLine="0"/>
        <w:rPr>
          <w:lang w:eastAsia="zh-CN"/>
        </w:rPr>
      </w:pPr>
      <w:r>
        <w:rPr>
          <w:lang w:eastAsia="zh-CN"/>
        </w:rPr>
      </w:r>
      <w:r/>
    </w:p>
    <w:p>
      <w:pPr>
        <w:jc w:val="left"/>
        <w:spacing w:line="480" w:lineRule="exact"/>
        <w:rPr>
          <w:rFonts w:ascii="仿宋" w:hAnsi="仿宋" w:eastAsia="仿宋"/>
          <w:b/>
          <w:sz w:val="28"/>
          <w:szCs w:val="28"/>
        </w:rPr>
      </w:pPr>
      <w:r>
        <w:rPr>
          <w:rFonts w:hint="eastAsia" w:ascii="仿宋" w:hAnsi="仿宋" w:eastAsia="仿宋"/>
          <w:b/>
          <w:sz w:val="28"/>
          <w:szCs w:val="28"/>
        </w:rPr>
        <w:t xml:space="preserve">附件8 </w:t>
      </w:r>
      <w:r/>
    </w:p>
    <w:p>
      <w:pPr>
        <w:ind w:firstLine="281"/>
        <w:jc w:val="center"/>
        <w:spacing w:line="480" w:lineRule="exact"/>
        <w:rPr>
          <w:rFonts w:ascii="仿宋" w:hAnsi="仿宋" w:eastAsia="仿宋"/>
          <w:b/>
          <w:sz w:val="28"/>
          <w:szCs w:val="28"/>
        </w:rPr>
      </w:pPr>
      <w:r>
        <w:rPr>
          <w:rFonts w:hint="eastAsia" w:ascii="仿宋" w:hAnsi="仿宋" w:eastAsia="仿宋"/>
          <w:b/>
          <w:sz w:val="28"/>
          <w:szCs w:val="28"/>
        </w:rPr>
        <w:t xml:space="preserve">中小微企业声明函（货物类项目）</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本公司（联合体）郑重声明，根据《政府采购促进中小企业发展管理办法》(财库[2020]46号)的规定，本公司（联合体）参加南通市公共资源交易中心组织的</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-320000-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u w:val="single"/>
        </w:rPr>
        <w:t xml:space="preserve">（项目名称）（分包号：**）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180" w:firstLine="420"/>
        <w:jc w:val="right"/>
        <w:spacing w:line="480" w:lineRule="exact"/>
        <w:rPr>
          <w:rFonts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ascii="仿宋" w:hAnsi="仿宋" w:eastAsia="仿宋"/>
          <w:sz w:val="28"/>
          <w:szCs w:val="28"/>
        </w:rPr>
      </w:pPr>
      <w:r>
        <w:rPr>
          <w:rFonts w:hint="eastAsia" w:ascii="仿宋" w:hAnsi="仿宋" w:eastAsia="仿宋"/>
          <w:sz w:val="28"/>
          <w:szCs w:val="28"/>
        </w:rPr>
        <w:t xml:space="preserve">日  期：</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2.专门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供应商如不提供此声明函，则</w:t>
      </w:r>
      <w:r>
        <w:rPr>
          <w:rFonts w:ascii="仿宋" w:hAnsi="仿宋" w:eastAsia="仿宋"/>
          <w:b/>
          <w:sz w:val="28"/>
          <w:szCs w:val="28"/>
        </w:rPr>
        <w:t xml:space="preserve">不能通过资格审查；</w:t>
      </w:r>
      <w:r>
        <w:rPr>
          <w:rFonts w:hint="eastAsia" w:ascii="仿宋" w:hAnsi="仿宋" w:eastAsia="仿宋"/>
          <w:b/>
          <w:sz w:val="28"/>
          <w:szCs w:val="28"/>
        </w:rPr>
        <w:t xml:space="preserve">非专门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供应商如不提供此声明函，价格将不做相应扣除。</w:t>
      </w:r>
      <w:r/>
    </w:p>
    <w:p>
      <w:pPr>
        <w:ind w:left="561"/>
        <w:spacing w:line="480" w:lineRule="exact"/>
        <w:rPr>
          <w:rFonts w:ascii="仿宋" w:hAnsi="仿宋" w:eastAsia="仿宋"/>
          <w:sz w:val="28"/>
          <w:szCs w:val="28"/>
        </w:rPr>
      </w:pPr>
      <w:r>
        <w:rPr>
          <w:rFonts w:hint="eastAsia" w:ascii="仿宋" w:hAnsi="仿宋" w:eastAsia="仿宋"/>
          <w:sz w:val="28"/>
          <w:szCs w:val="28"/>
        </w:rPr>
        <w:t xml:space="preserve">3.供应商</w:t>
      </w:r>
      <w:r>
        <w:rPr>
          <w:rFonts w:ascii="仿宋" w:hAnsi="仿宋" w:eastAsia="仿宋"/>
          <w:sz w:val="28"/>
          <w:szCs w:val="28"/>
        </w:rPr>
        <w:t xml:space="preserve">自行勾选</w:t>
      </w:r>
      <w:r>
        <w:rPr>
          <w:rFonts w:hint="eastAsia" w:ascii="仿宋" w:hAnsi="仿宋" w:eastAsia="仿宋"/>
          <w:sz w:val="28"/>
          <w:szCs w:val="28"/>
        </w:rPr>
        <w:t xml:space="preserve">制造商</w:t>
      </w:r>
      <w:r>
        <w:rPr>
          <w:rFonts w:ascii="仿宋" w:hAnsi="仿宋" w:eastAsia="仿宋"/>
          <w:sz w:val="28"/>
          <w:szCs w:val="28"/>
        </w:rPr>
        <w:t xml:space="preserve">的企业</w:t>
      </w:r>
      <w:r>
        <w:rPr>
          <w:rFonts w:hint="eastAsia" w:ascii="仿宋" w:hAnsi="仿宋" w:eastAsia="仿宋"/>
          <w:sz w:val="28"/>
          <w:szCs w:val="28"/>
        </w:rPr>
        <w:t xml:space="preserve">规模类型</w:t>
      </w:r>
      <w:r>
        <w:rPr>
          <w:rFonts w:ascii="仿宋" w:hAnsi="仿宋" w:eastAsia="仿宋"/>
          <w:sz w:val="28"/>
          <w:szCs w:val="28"/>
        </w:rPr>
        <w:t xml:space="preserve">。</w:t>
      </w:r>
      <w:r/>
    </w:p>
    <w:p>
      <w:pPr>
        <w:pStyle w:val="716"/>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附件9</w:t>
      </w:r>
      <w:r/>
    </w:p>
    <w:p>
      <w:pPr>
        <w:ind w:left="561" w:hanging="141"/>
        <w:jc w:val="center"/>
        <w:spacing w:line="480" w:lineRule="exact"/>
        <w:rPr>
          <w:rFonts w:ascii="仿宋" w:hAnsi="仿宋" w:eastAsia="仿宋"/>
          <w:sz w:val="28"/>
          <w:szCs w:val="28"/>
        </w:rPr>
      </w:pPr>
      <w:r>
        <w:rPr>
          <w:rFonts w:hint="eastAsia" w:ascii="仿宋" w:hAnsi="仿宋" w:eastAsia="仿宋"/>
          <w:b/>
          <w:sz w:val="28"/>
          <w:szCs w:val="28"/>
        </w:rPr>
        <w:t xml:space="preserve">残疾人福利性单位声明函（货物类项目）</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sz w:val="28"/>
          <w:szCs w:val="28"/>
        </w:rPr>
        <w:t xml:space="preserve">JSZC-320000-</w:t>
      </w:r>
      <w:r>
        <w:rPr>
          <w:rFonts w:ascii="仿宋" w:hAnsi="仿宋" w:eastAsia="仿宋"/>
          <w:sz w:val="28"/>
          <w:szCs w:val="28"/>
          <w:u w:val="single"/>
        </w:rPr>
        <w:t xml:space="preserve">****</w:t>
      </w:r>
      <w:r>
        <w:rPr>
          <w:rFonts w:hint="eastAsia" w:ascii="仿宋" w:hAnsi="仿宋" w:eastAsia="仿宋"/>
          <w:sz w:val="28"/>
          <w:szCs w:val="28"/>
        </w:rPr>
        <w:t xml:space="preserve">的_____项目（分包号：**）采购活动提供本单位制造的货物，或者提供其他残疾人福利性单位制造的货物（不包括使用非残疾人福利性单位注册商标的货物）。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w:t>
      </w:r>
      <w:r>
        <w:rPr>
          <w:rFonts w:hint="eastAsia" w:ascii="仿宋" w:hAnsi="仿宋" w:eastAsia="仿宋"/>
          <w:b/>
          <w:sz w:val="28"/>
          <w:szCs w:val="28"/>
        </w:rPr>
        <w:t xml:space="preserve">专门面向中小微型企业采购的</w:t>
      </w:r>
      <w:r>
        <w:rPr>
          <w:rFonts w:ascii="仿宋" w:hAnsi="仿宋" w:eastAsia="仿宋"/>
          <w:b/>
          <w:sz w:val="28"/>
          <w:szCs w:val="28"/>
        </w:rPr>
        <w:t xml:space="preserve">项目</w:t>
      </w:r>
      <w:r>
        <w:rPr>
          <w:rFonts w:hint="eastAsia" w:ascii="仿宋" w:hAnsi="仿宋" w:eastAsia="仿宋"/>
          <w:b/>
          <w:sz w:val="28"/>
          <w:szCs w:val="28"/>
        </w:rPr>
        <w:t xml:space="preserve">，供应商为残疾人福利性单位并提供本单位制造的货物，或者提供其他残疾人福利性单位制造的货物，必须提供此</w:t>
      </w:r>
      <w:r>
        <w:rPr>
          <w:rFonts w:ascii="仿宋" w:hAnsi="仿宋" w:eastAsia="仿宋"/>
          <w:b/>
          <w:sz w:val="28"/>
          <w:szCs w:val="28"/>
        </w:rPr>
        <w:t xml:space="preserve">声明函</w:t>
      </w:r>
      <w:r>
        <w:rPr>
          <w:rFonts w:hint="eastAsia" w:ascii="仿宋" w:hAnsi="仿宋" w:eastAsia="仿宋"/>
          <w:b/>
          <w:sz w:val="28"/>
          <w:szCs w:val="28"/>
        </w:rPr>
        <w:t xml:space="preserve">，</w:t>
      </w:r>
      <w:r>
        <w:rPr>
          <w:rFonts w:ascii="仿宋" w:hAnsi="仿宋" w:eastAsia="仿宋"/>
          <w:b/>
          <w:sz w:val="28"/>
          <w:szCs w:val="28"/>
        </w:rPr>
        <w:t xml:space="preserve">否则将</w:t>
      </w:r>
      <w:r>
        <w:rPr>
          <w:rFonts w:hint="eastAsia" w:ascii="仿宋" w:hAnsi="仿宋" w:eastAsia="仿宋"/>
          <w:b/>
          <w:sz w:val="28"/>
          <w:szCs w:val="28"/>
        </w:rPr>
        <w:t xml:space="preserve">不能</w:t>
      </w:r>
      <w:r>
        <w:rPr>
          <w:rFonts w:ascii="仿宋" w:hAnsi="仿宋" w:eastAsia="仿宋"/>
          <w:b/>
          <w:sz w:val="28"/>
          <w:szCs w:val="28"/>
        </w:rPr>
        <w:t xml:space="preserve">通过资格审查</w:t>
      </w:r>
      <w:r>
        <w:rPr>
          <w:rFonts w:hint="eastAsia" w:ascii="仿宋" w:hAnsi="仿宋" w:eastAsia="仿宋"/>
          <w:b/>
          <w:sz w:val="28"/>
          <w:szCs w:val="28"/>
        </w:rPr>
        <w:t xml:space="preserve">。</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 非专门面向中小微型企业采购的</w:t>
      </w:r>
      <w:r>
        <w:rPr>
          <w:rFonts w:ascii="仿宋" w:hAnsi="仿宋" w:eastAsia="仿宋"/>
          <w:sz w:val="28"/>
          <w:szCs w:val="28"/>
        </w:rPr>
        <w:t xml:space="preserve">项目</w:t>
      </w:r>
      <w:r>
        <w:rPr>
          <w:rFonts w:hint="eastAsia" w:ascii="仿宋" w:hAnsi="仿宋" w:eastAsia="仿宋"/>
          <w:sz w:val="28"/>
          <w:szCs w:val="28"/>
        </w:rPr>
        <w:t xml:space="preserve">，供应商如不提供此声明函，价格将不做相应扣除。</w:t>
      </w:r>
      <w:r/>
    </w:p>
    <w:p>
      <w:pPr>
        <w:ind w:firstLine="56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spacing w:val="6"/>
          <w:sz w:val="28"/>
          <w:szCs w:val="28"/>
        </w:rPr>
      </w:pPr>
      <w:r>
        <w:rPr>
          <w:rFonts w:ascii="仿宋" w:hAnsi="仿宋" w:eastAsia="仿宋"/>
          <w:spacing w:val="6"/>
          <w:sz w:val="28"/>
          <w:szCs w:val="28"/>
        </w:rPr>
      </w:r>
      <w:r/>
    </w:p>
    <w:p>
      <w:pPr>
        <w:pStyle w:val="716"/>
        <w:ind w:firstLine="600"/>
        <w:rPr>
          <w:lang w:eastAsia="zh-CN"/>
        </w:rPr>
      </w:pPr>
      <w:r>
        <w:rPr>
          <w:lang w:eastAsia="zh-CN"/>
        </w:rPr>
      </w:r>
      <w:r/>
    </w:p>
    <w:p>
      <w:pPr>
        <w:pStyle w:val="716"/>
        <w:ind w:firstLine="600"/>
        <w:rPr>
          <w:lang w:eastAsia="zh-CN"/>
        </w:rPr>
      </w:pPr>
      <w:r>
        <w:rPr>
          <w:lang w:eastAsia="zh-CN"/>
        </w:rPr>
      </w:r>
      <w:r/>
    </w:p>
    <w:p>
      <w:pPr>
        <w:pStyle w:val="716"/>
        <w:ind w:firstLine="600"/>
        <w:rPr>
          <w:lang w:eastAsia="zh-CN"/>
        </w:rPr>
      </w:pPr>
      <w:r>
        <w:rPr>
          <w:lang w:eastAsia="zh-CN"/>
        </w:rPr>
      </w:r>
      <w:r/>
    </w:p>
    <w:p>
      <w:pPr>
        <w:ind w:right="1559" w:firstLine="584"/>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供应商全称（加盖CA电子公章）：</w:t>
      </w:r>
      <w:r/>
    </w:p>
    <w:p>
      <w:pPr>
        <w:ind w:right="1559" w:firstLine="560"/>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jc w:val="center"/>
        <w:spacing w:line="480" w:lineRule="exact"/>
        <w:rPr>
          <w:rFonts w:ascii="仿宋" w:hAnsi="仿宋" w:eastAsia="仿宋"/>
          <w:b/>
          <w:sz w:val="28"/>
          <w:szCs w:val="28"/>
        </w:rPr>
      </w:pPr>
      <w:r>
        <w:rPr>
          <w:rFonts w:ascii="仿宋" w:hAnsi="仿宋" w:eastAsia="仿宋"/>
          <w:b/>
          <w:sz w:val="28"/>
          <w:szCs w:val="28"/>
        </w:rPr>
      </w:r>
      <w:r/>
    </w:p>
    <w:p>
      <w:pPr>
        <w:pStyle w:val="716"/>
        <w:rPr>
          <w:lang w:eastAsia="zh-CN"/>
        </w:rPr>
      </w:pPr>
      <w:r>
        <w:rPr>
          <w:lang w:eastAsia="zh-CN"/>
        </w:rPr>
      </w:r>
      <w:bookmarkEnd w:id="179"/>
      <w:r/>
      <w:bookmarkEnd w:id="180"/>
      <w:r/>
      <w:bookmarkEnd w:id="250"/>
      <w:r/>
      <w:bookmarkEnd w:id="251"/>
      <w:r/>
      <w:bookmarkEnd w:id="252"/>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w:t>
      </w:r>
      <w:r>
        <w:rPr>
          <w:rFonts w:hint="eastAsia" w:ascii="仿宋" w:hAnsi="仿宋" w:eastAsia="仿宋"/>
          <w:b/>
          <w:sz w:val="28"/>
          <w:szCs w:val="28"/>
        </w:rPr>
        <w:t xml:space="preserve">0</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实质性要求响应及偏离表</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spacing w:line="480" w:lineRule="exact"/>
        <w:rPr>
          <w:rFonts w:ascii="仿宋_GB2312" w:eastAsia="仿宋_GB2312"/>
          <w:sz w:val="30"/>
          <w:szCs w:val="30"/>
        </w:rPr>
      </w:pPr>
      <w:r>
        <w:rPr>
          <w:rFonts w:ascii="仿宋_GB2312" w:eastAsia="仿宋_GB2312"/>
          <w:sz w:val="30"/>
          <w:szCs w:val="30"/>
        </w:rPr>
      </w:r>
      <w:r/>
    </w:p>
    <w:p>
      <w:pPr>
        <w:pStyle w:val="716"/>
        <w:rPr>
          <w:lang w:eastAsia="zh-CN"/>
        </w:rPr>
      </w:pPr>
      <w:r>
        <w:rPr>
          <w:lang w:eastAsia="zh-CN"/>
        </w:rPr>
      </w:r>
      <w:r/>
    </w:p>
    <w:p>
      <w:pPr>
        <w:pStyle w:val="716"/>
        <w:rPr>
          <w:lang w:eastAsia="zh-CN"/>
        </w:rPr>
      </w:pPr>
      <w:r>
        <w:rPr>
          <w:lang w:eastAsia="zh-CN"/>
        </w:rPr>
      </w:r>
      <w:r/>
    </w:p>
    <w:p>
      <w:pPr>
        <w:pStyle w:val="716"/>
        <w:rPr>
          <w:lang w:eastAsia="zh-CN"/>
        </w:rPr>
      </w:pPr>
      <w:r>
        <w:rPr>
          <w:lang w:eastAsia="zh-CN"/>
        </w:rPr>
      </w:r>
      <w:r/>
    </w:p>
    <w:p>
      <w:pPr>
        <w:pStyle w:val="716"/>
        <w:rPr>
          <w:lang w:eastAsia="zh-CN"/>
        </w:rPr>
      </w:pPr>
      <w:r>
        <w:rPr>
          <w:lang w:eastAsia="zh-CN"/>
        </w:rPr>
      </w:r>
      <w:r/>
    </w:p>
    <w:p>
      <w:pPr>
        <w:pStyle w:val="716"/>
        <w:rPr>
          <w:lang w:eastAsia="zh-CN"/>
        </w:rPr>
      </w:pPr>
      <w:r>
        <w:rPr>
          <w:lang w:eastAsia="zh-CN"/>
        </w:rPr>
      </w:r>
      <w:r/>
    </w:p>
    <w:p>
      <w:pPr>
        <w:jc w:val="cente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48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80" w:lineRule="exact"/>
        <w:rPr>
          <w:rFonts w:ascii="仿宋" w:hAnsi="仿宋" w:eastAsia="仿宋" w:cs="仿宋"/>
          <w:sz w:val="28"/>
          <w:szCs w:val="28"/>
          <w:u w:val="single"/>
        </w:rPr>
      </w:pPr>
      <w:r>
        <w:rPr>
          <w:rFonts w:ascii="仿宋" w:hAnsi="仿宋" w:eastAsia="仿宋" w:cs="仿宋"/>
          <w:sz w:val="28"/>
          <w:szCs w:val="28"/>
          <w:u w:val="single"/>
        </w:rPr>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80" w:lineRule="exact"/>
        <w:rPr>
          <w:rFonts w:ascii="仿宋" w:hAnsi="仿宋" w:eastAsia="仿宋"/>
          <w:sz w:val="28"/>
          <w:szCs w:val="28"/>
        </w:rPr>
      </w:pPr>
      <w:r>
        <w:rPr>
          <w:rFonts w:hint="eastAsia" w:ascii="仿宋" w:hAnsi="仿宋" w:eastAsia="仿宋"/>
          <w:sz w:val="28"/>
          <w:szCs w:val="28"/>
        </w:rPr>
        <w:t xml:space="preserve">签字(签章)：                   公章：                      </w:t>
      </w:r>
      <w:r/>
    </w:p>
    <w:p>
      <w:pPr>
        <w:spacing w:line="480" w:lineRule="exact"/>
        <w:rPr>
          <w:rFonts w:ascii="仿宋" w:hAnsi="仿宋" w:eastAsia="仿宋"/>
          <w:sz w:val="28"/>
          <w:szCs w:val="28"/>
        </w:rPr>
      </w:pPr>
      <w:r>
        <w:rPr>
          <w:rFonts w:hint="eastAsia" w:ascii="仿宋" w:hAnsi="仿宋" w:eastAsia="仿宋"/>
          <w:sz w:val="28"/>
          <w:szCs w:val="28"/>
        </w:rPr>
        <w:t xml:space="preserve">日期：    </w:t>
      </w:r>
      <w:r/>
    </w:p>
    <w:p>
      <w:pPr>
        <w:spacing w:line="480" w:lineRule="exact"/>
        <w:rPr>
          <w:rFonts w:ascii="仿宋" w:hAnsi="仿宋" w:eastAsia="仿宋"/>
          <w:b/>
          <w:sz w:val="28"/>
          <w:szCs w:val="28"/>
        </w:rPr>
      </w:pPr>
      <w:r>
        <w:rPr>
          <w:rFonts w:hint="eastAsia" w:ascii="仿宋" w:hAnsi="仿宋" w:eastAsia="仿宋"/>
          <w:b/>
          <w:sz w:val="28"/>
          <w:szCs w:val="28"/>
        </w:rPr>
        <w:t xml:space="preserve">质疑函制作说明：</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6.质疑供应商为自然人的，质疑函应由本人签字；质疑供应商为法人或者其他组织的，质疑函应由法定代表人、主要负责人，或者其授权代表签字或者盖章，并加盖公章。</w:t>
      </w:r>
      <w:r/>
    </w:p>
    <w:p>
      <w:pPr>
        <w:rPr>
          <w:sz w:val="24"/>
          <w:szCs w:val="24"/>
        </w:rPr>
      </w:pPr>
      <w:r>
        <w:rPr>
          <w:sz w:val="24"/>
          <w:szCs w:val="24"/>
        </w:rPr>
      </w:r>
      <w:r/>
    </w:p>
    <w:p>
      <w:pPr>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10"/>
      <w:isLgl w:val="false"/>
      <w:suff w:val="nothing"/>
      <w:lvlText w:val=""/>
      <w:lvlJc w:val="left"/>
      <w:pPr>
        <w:ind w:left="0" w:firstLine="0"/>
      </w:pPr>
      <w:rPr>
        <w:rFonts w:hint="eastAsia"/>
      </w:rPr>
    </w:lvl>
    <w:lvl w:ilvl="6">
      <w:start w:val="1"/>
      <w:numFmt w:val="decimal"/>
      <w:pStyle w:val="711"/>
      <w:isLgl w:val="false"/>
      <w:suff w:val="nothing"/>
      <w:lvlText w:val=""/>
      <w:lvlJc w:val="left"/>
      <w:pPr>
        <w:ind w:left="0" w:firstLine="0"/>
      </w:pPr>
      <w:rPr>
        <w:rFonts w:hint="eastAsia"/>
      </w:rPr>
    </w:lvl>
    <w:lvl w:ilvl="7">
      <w:start w:val="1"/>
      <w:numFmt w:val="decimal"/>
      <w:pStyle w:val="712"/>
      <w:isLgl w:val="false"/>
      <w:suff w:val="nothing"/>
      <w:lvlText w:val=""/>
      <w:lvlJc w:val="left"/>
      <w:pPr>
        <w:ind w:left="0" w:firstLine="0"/>
      </w:pPr>
      <w:rPr>
        <w:rFonts w:hint="eastAsia"/>
      </w:rPr>
    </w:lvl>
    <w:lvl w:ilvl="8">
      <w:start w:val="1"/>
      <w:numFmt w:val="decimal"/>
      <w:pStyle w:val="713"/>
      <w:isLgl w:val="false"/>
      <w:suff w:val="nothing"/>
      <w:lvlText w:val=""/>
      <w:lvlJc w:val="left"/>
      <w:pPr>
        <w:ind w:left="0" w:firstLine="0"/>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1"/>
  </w:num>
  <w:num w:numId="4">
    <w:abstractNumId w:val="6"/>
  </w:num>
  <w:num w:numId="5">
    <w:abstractNumId w:val="0"/>
  </w:num>
  <w:num w:numId="6">
    <w:abstractNumId w:val="7"/>
  </w:num>
  <w:num w:numId="7">
    <w:abstractNumId w:val="8"/>
  </w:num>
  <w:num w:numId="8">
    <w:abstractNumId w:val="4"/>
  </w:num>
  <w:num w:numId="9">
    <w:abstractNumId w:val="5"/>
  </w:num>
  <w:num w:numId="10">
    <w:abstractNumId w:val="1"/>
  </w:num>
  <w:num w:numId="11">
    <w:abstractNumId w:val="12"/>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Title Char"/>
    <w:basedOn w:val="714"/>
    <w:link w:val="749"/>
    <w:uiPriority w:val="10"/>
    <w:rPr>
      <w:sz w:val="48"/>
      <w:szCs w:val="48"/>
    </w:rPr>
  </w:style>
  <w:style w:type="character" w:styleId="699">
    <w:name w:val="Subtitle Char"/>
    <w:basedOn w:val="714"/>
    <w:link w:val="738"/>
    <w:uiPriority w:val="11"/>
    <w:rPr>
      <w:sz w:val="24"/>
      <w:szCs w:val="24"/>
    </w:rPr>
  </w:style>
  <w:style w:type="character" w:styleId="700">
    <w:name w:val="Quote Char"/>
    <w:link w:val="782"/>
    <w:uiPriority w:val="29"/>
    <w:rPr>
      <w:i/>
    </w:rPr>
  </w:style>
  <w:style w:type="character" w:styleId="701">
    <w:name w:val="Intense Quote Char"/>
    <w:link w:val="784"/>
    <w:uiPriority w:val="30"/>
    <w:rPr>
      <w:i/>
    </w:rPr>
  </w:style>
  <w:style w:type="character" w:styleId="702">
    <w:name w:val="Footnote Text Char"/>
    <w:link w:val="740"/>
    <w:uiPriority w:val="99"/>
    <w:rPr>
      <w:sz w:val="18"/>
    </w:rPr>
  </w:style>
  <w:style w:type="character" w:styleId="703">
    <w:name w:val="Endnote Text Char"/>
    <w:link w:val="732"/>
    <w:uiPriority w:val="99"/>
    <w:rPr>
      <w:sz w:val="20"/>
    </w:rPr>
  </w:style>
  <w:style w:type="paragraph" w:styleId="704" w:default="1">
    <w:name w:val="Normal"/>
    <w:next w:val="716"/>
    <w:uiPriority w:val="0"/>
    <w:qFormat/>
    <w:pPr>
      <w:jc w:val="both"/>
      <w:widowControl w:val="off"/>
    </w:pPr>
    <w:rPr>
      <w:rFonts w:ascii="Times New Roman" w:hAnsi="Times New Roman" w:eastAsia="宋体" w:cs="Times New Roman"/>
      <w:sz w:val="21"/>
      <w:szCs w:val="22"/>
      <w:lang w:val="en-US" w:eastAsia="zh-CN" w:bidi="ar-SA"/>
    </w:rPr>
  </w:style>
  <w:style w:type="paragraph" w:styleId="705">
    <w:name w:val="Heading 1"/>
    <w:basedOn w:val="704"/>
    <w:next w:val="704"/>
    <w:link w:val="922"/>
    <w:uiPriority w:val="0"/>
    <w:qFormat/>
    <w:pPr>
      <w:jc w:val="center"/>
      <w:keepNext/>
      <w:outlineLvl w:val="0"/>
    </w:pPr>
    <w:rPr>
      <w:rFonts w:ascii="楷体_GB2312" w:eastAsia="楷体_GB2312"/>
      <w:sz w:val="28"/>
      <w:szCs w:val="28"/>
      <w:lang w:eastAsia="en-US"/>
    </w:rPr>
  </w:style>
  <w:style w:type="paragraph" w:styleId="706">
    <w:name w:val="Heading 2"/>
    <w:basedOn w:val="704"/>
    <w:next w:val="718"/>
    <w:link w:val="92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07">
    <w:name w:val="Heading 3"/>
    <w:basedOn w:val="704"/>
    <w:next w:val="718"/>
    <w:link w:val="925"/>
    <w:uiPriority w:val="0"/>
    <w:qFormat/>
    <w:pPr>
      <w:keepLines/>
      <w:keepNext/>
      <w:spacing w:before="260" w:after="260" w:line="416" w:lineRule="auto"/>
      <w:outlineLvl w:val="2"/>
    </w:pPr>
    <w:rPr>
      <w:b/>
      <w:bCs/>
      <w:sz w:val="32"/>
      <w:szCs w:val="32"/>
      <w:lang w:eastAsia="en-US"/>
    </w:rPr>
  </w:style>
  <w:style w:type="paragraph" w:styleId="708">
    <w:name w:val="Heading 4"/>
    <w:basedOn w:val="704"/>
    <w:next w:val="718"/>
    <w:link w:val="926"/>
    <w:uiPriority w:val="0"/>
    <w:qFormat/>
    <w:pPr>
      <w:keepLines/>
      <w:keepNext/>
      <w:spacing w:before="280" w:after="290" w:line="376" w:lineRule="auto"/>
      <w:outlineLvl w:val="3"/>
    </w:pPr>
    <w:rPr>
      <w:rFonts w:ascii="Arial" w:hAnsi="Arial" w:eastAsia="黑体"/>
      <w:b/>
      <w:bCs/>
      <w:sz w:val="28"/>
      <w:szCs w:val="28"/>
      <w:lang w:eastAsia="en-US"/>
    </w:rPr>
  </w:style>
  <w:style w:type="paragraph" w:styleId="709">
    <w:name w:val="Heading 5"/>
    <w:basedOn w:val="704"/>
    <w:next w:val="718"/>
    <w:link w:val="927"/>
    <w:uiPriority w:val="0"/>
    <w:qFormat/>
    <w:pPr>
      <w:keepNext/>
      <w:outlineLvl w:val="4"/>
    </w:pPr>
    <w:rPr>
      <w:rFonts w:ascii="宋体"/>
      <w:color w:val="000000"/>
      <w:sz w:val="28"/>
      <w:szCs w:val="28"/>
      <w:lang w:eastAsia="en-US"/>
    </w:rPr>
  </w:style>
  <w:style w:type="paragraph" w:styleId="710">
    <w:name w:val="Heading 6"/>
    <w:basedOn w:val="704"/>
    <w:next w:val="704"/>
    <w:link w:val="92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11">
    <w:name w:val="Heading 7"/>
    <w:basedOn w:val="704"/>
    <w:next w:val="704"/>
    <w:link w:val="929"/>
    <w:uiPriority w:val="0"/>
    <w:qFormat/>
    <w:pPr>
      <w:numPr>
        <w:ilvl w:val="6"/>
        <w:numId w:val="1"/>
      </w:numPr>
      <w:keepLines/>
      <w:keepNext/>
      <w:spacing w:before="240" w:after="64" w:line="320" w:lineRule="auto"/>
      <w:outlineLvl w:val="6"/>
    </w:pPr>
    <w:rPr>
      <w:b/>
      <w:bCs/>
      <w:sz w:val="24"/>
      <w:szCs w:val="24"/>
      <w:lang w:eastAsia="en-US"/>
    </w:rPr>
  </w:style>
  <w:style w:type="paragraph" w:styleId="712">
    <w:name w:val="Heading 8"/>
    <w:basedOn w:val="704"/>
    <w:next w:val="704"/>
    <w:link w:val="93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13">
    <w:name w:val="Heading 9"/>
    <w:basedOn w:val="704"/>
    <w:next w:val="704"/>
    <w:link w:val="931"/>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First Indent"/>
    <w:basedOn w:val="717"/>
    <w:link w:val="921"/>
    <w:uiPriority w:val="99"/>
    <w:qFormat/>
    <w:pPr>
      <w:ind w:firstLine="200"/>
      <w:spacing w:line="360" w:lineRule="auto"/>
    </w:pPr>
    <w:rPr>
      <w:rFonts w:ascii="仿宋_GB2312" w:hAnsi="Times New Roman" w:eastAsia="仿宋_GB2312"/>
      <w:sz w:val="30"/>
      <w:szCs w:val="30"/>
    </w:rPr>
  </w:style>
  <w:style w:type="paragraph" w:styleId="717">
    <w:name w:val="Body Text"/>
    <w:basedOn w:val="704"/>
    <w:next w:val="704"/>
    <w:link w:val="920"/>
    <w:uiPriority w:val="99"/>
    <w:qFormat/>
    <w:rPr>
      <w:rFonts w:ascii="楷体_GB2312" w:hAnsi="Arial" w:eastAsia="楷体_GB2312"/>
      <w:sz w:val="28"/>
      <w:szCs w:val="28"/>
      <w:lang w:eastAsia="en-US"/>
    </w:rPr>
  </w:style>
  <w:style w:type="paragraph" w:styleId="718">
    <w:name w:val="Normal Indent"/>
    <w:basedOn w:val="704"/>
    <w:link w:val="924"/>
    <w:uiPriority w:val="0"/>
    <w:qFormat/>
    <w:pPr>
      <w:ind w:firstLine="420"/>
    </w:pPr>
    <w:rPr>
      <w:sz w:val="20"/>
      <w:szCs w:val="21"/>
      <w:lang w:eastAsia="en-US"/>
    </w:rPr>
  </w:style>
  <w:style w:type="paragraph" w:styleId="719">
    <w:name w:val="List 3"/>
    <w:basedOn w:val="704"/>
    <w:uiPriority w:val="0"/>
    <w:qFormat/>
    <w:pPr>
      <w:ind w:left="100" w:hanging="200"/>
    </w:pPr>
    <w:rPr>
      <w:szCs w:val="21"/>
    </w:rPr>
  </w:style>
  <w:style w:type="paragraph" w:styleId="720">
    <w:name w:val="toc 7"/>
    <w:basedOn w:val="704"/>
    <w:next w:val="704"/>
    <w:uiPriority w:val="39"/>
    <w:qFormat/>
    <w:pPr>
      <w:ind w:left="1260"/>
      <w:jc w:val="left"/>
    </w:pPr>
    <w:rPr>
      <w:szCs w:val="21"/>
    </w:rPr>
  </w:style>
  <w:style w:type="paragraph" w:styleId="721">
    <w:name w:val="Document Map"/>
    <w:basedOn w:val="704"/>
    <w:link w:val="932"/>
    <w:uiPriority w:val="0"/>
    <w:semiHidden/>
    <w:qFormat/>
    <w:pPr>
      <w:shd w:val="clear" w:color="auto" w:fill="000080"/>
    </w:pPr>
    <w:rPr>
      <w:sz w:val="20"/>
      <w:szCs w:val="21"/>
      <w:lang w:eastAsia="en-US"/>
    </w:rPr>
  </w:style>
  <w:style w:type="paragraph" w:styleId="722">
    <w:name w:val="annotation text"/>
    <w:basedOn w:val="704"/>
    <w:link w:val="933"/>
    <w:uiPriority w:val="99"/>
    <w:unhideWhenUsed/>
    <w:qFormat/>
    <w:pPr>
      <w:jc w:val="left"/>
    </w:pPr>
  </w:style>
  <w:style w:type="paragraph" w:styleId="723">
    <w:name w:val="Body Text 3"/>
    <w:basedOn w:val="704"/>
    <w:link w:val="934"/>
    <w:uiPriority w:val="0"/>
    <w:qFormat/>
    <w:rPr>
      <w:rFonts w:ascii="仿宋_GB2312" w:hAnsi="Arial" w:eastAsia="仿宋_GB2312"/>
      <w:sz w:val="32"/>
      <w:szCs w:val="32"/>
      <w:lang w:eastAsia="en-US"/>
    </w:rPr>
  </w:style>
  <w:style w:type="paragraph" w:styleId="724">
    <w:name w:val="Body Text Indent"/>
    <w:basedOn w:val="704"/>
    <w:link w:val="935"/>
    <w:uiPriority w:val="99"/>
    <w:unhideWhenUsed/>
    <w:qFormat/>
    <w:pPr>
      <w:ind w:left="420"/>
      <w:spacing w:after="120"/>
    </w:pPr>
  </w:style>
  <w:style w:type="paragraph" w:styleId="725">
    <w:name w:val="List 2"/>
    <w:basedOn w:val="704"/>
    <w:uiPriority w:val="0"/>
    <w:qFormat/>
    <w:pPr>
      <w:ind w:left="100" w:hanging="200"/>
    </w:pPr>
    <w:rPr>
      <w:szCs w:val="21"/>
    </w:rPr>
  </w:style>
  <w:style w:type="paragraph" w:styleId="726">
    <w:name w:val="toc 5"/>
    <w:basedOn w:val="704"/>
    <w:next w:val="704"/>
    <w:uiPriority w:val="39"/>
    <w:qFormat/>
    <w:pPr>
      <w:ind w:left="840"/>
      <w:jc w:val="left"/>
    </w:pPr>
    <w:rPr>
      <w:szCs w:val="21"/>
    </w:rPr>
  </w:style>
  <w:style w:type="paragraph" w:styleId="727">
    <w:name w:val="toc 3"/>
    <w:basedOn w:val="704"/>
    <w:next w:val="704"/>
    <w:uiPriority w:val="39"/>
    <w:qFormat/>
    <w:pPr>
      <w:ind w:left="420"/>
      <w:jc w:val="left"/>
    </w:pPr>
    <w:rPr>
      <w:i/>
      <w:iCs/>
      <w:szCs w:val="24"/>
    </w:rPr>
  </w:style>
  <w:style w:type="paragraph" w:styleId="728">
    <w:name w:val="Plain Text"/>
    <w:basedOn w:val="704"/>
    <w:link w:val="936"/>
    <w:uiPriority w:val="0"/>
    <w:qFormat/>
    <w:rPr>
      <w:rFonts w:ascii="宋体" w:hAnsi="Courier New"/>
      <w:sz w:val="20"/>
      <w:szCs w:val="21"/>
      <w:lang w:eastAsia="en-US"/>
    </w:rPr>
  </w:style>
  <w:style w:type="paragraph" w:styleId="729">
    <w:name w:val="toc 8"/>
    <w:basedOn w:val="704"/>
    <w:next w:val="704"/>
    <w:uiPriority w:val="39"/>
    <w:qFormat/>
    <w:pPr>
      <w:ind w:left="1470"/>
      <w:jc w:val="left"/>
    </w:pPr>
    <w:rPr>
      <w:szCs w:val="21"/>
    </w:rPr>
  </w:style>
  <w:style w:type="paragraph" w:styleId="730">
    <w:name w:val="Date"/>
    <w:basedOn w:val="704"/>
    <w:next w:val="704"/>
    <w:link w:val="937"/>
    <w:uiPriority w:val="0"/>
    <w:qFormat/>
    <w:rPr>
      <w:sz w:val="24"/>
      <w:szCs w:val="24"/>
      <w:lang w:eastAsia="en-US"/>
    </w:rPr>
  </w:style>
  <w:style w:type="paragraph" w:styleId="731">
    <w:name w:val="Body Text Indent 2"/>
    <w:basedOn w:val="704"/>
    <w:link w:val="938"/>
    <w:uiPriority w:val="0"/>
    <w:qFormat/>
    <w:pPr>
      <w:ind w:left="630" w:firstLine="645"/>
    </w:pPr>
    <w:rPr>
      <w:rFonts w:ascii="Arial" w:hAnsi="Arial" w:eastAsia="仿宋_GB2312"/>
      <w:sz w:val="32"/>
      <w:szCs w:val="32"/>
      <w:lang w:eastAsia="en-US"/>
    </w:rPr>
  </w:style>
  <w:style w:type="paragraph" w:styleId="732">
    <w:name w:val="endnote text"/>
    <w:basedOn w:val="704"/>
    <w:link w:val="918"/>
    <w:uiPriority w:val="99"/>
    <w:semiHidden/>
    <w:unhideWhenUsed/>
    <w:qFormat/>
    <w:rPr>
      <w:sz w:val="20"/>
    </w:rPr>
  </w:style>
  <w:style w:type="paragraph" w:styleId="733">
    <w:name w:val="Balloon Text"/>
    <w:basedOn w:val="704"/>
    <w:link w:val="939"/>
    <w:uiPriority w:val="99"/>
    <w:semiHidden/>
    <w:qFormat/>
    <w:rPr>
      <w:sz w:val="18"/>
      <w:szCs w:val="18"/>
      <w:lang w:eastAsia="en-US"/>
    </w:rPr>
  </w:style>
  <w:style w:type="paragraph" w:styleId="734">
    <w:name w:val="Footer"/>
    <w:basedOn w:val="704"/>
    <w:link w:val="940"/>
    <w:uiPriority w:val="99"/>
    <w:qFormat/>
    <w:pPr>
      <w:jc w:val="left"/>
      <w:tabs>
        <w:tab w:val="center" w:pos="4153" w:leader="none"/>
        <w:tab w:val="right" w:pos="8306" w:leader="none"/>
      </w:tabs>
    </w:pPr>
    <w:rPr>
      <w:sz w:val="18"/>
      <w:szCs w:val="18"/>
      <w:lang w:eastAsia="en-US"/>
    </w:rPr>
  </w:style>
  <w:style w:type="paragraph" w:styleId="735">
    <w:name w:val="Header"/>
    <w:basedOn w:val="704"/>
    <w:link w:val="941"/>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736">
    <w:name w:val="toc 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737">
    <w:name w:val="toc 4"/>
    <w:basedOn w:val="704"/>
    <w:next w:val="704"/>
    <w:uiPriority w:val="39"/>
    <w:qFormat/>
    <w:pPr>
      <w:ind w:left="630"/>
      <w:jc w:val="left"/>
    </w:pPr>
    <w:rPr>
      <w:szCs w:val="21"/>
    </w:rPr>
  </w:style>
  <w:style w:type="paragraph" w:styleId="738">
    <w:name w:val="Subtitle"/>
    <w:basedOn w:val="704"/>
    <w:next w:val="704"/>
    <w:link w:val="781"/>
    <w:uiPriority w:val="11"/>
    <w:qFormat/>
    <w:pPr>
      <w:spacing w:before="200" w:after="200"/>
    </w:pPr>
    <w:rPr>
      <w:sz w:val="24"/>
      <w:szCs w:val="24"/>
    </w:rPr>
  </w:style>
  <w:style w:type="paragraph" w:styleId="739">
    <w:name w:val="List"/>
    <w:basedOn w:val="704"/>
    <w:uiPriority w:val="0"/>
    <w:qFormat/>
    <w:pPr>
      <w:ind w:left="200" w:hanging="200"/>
    </w:pPr>
    <w:rPr>
      <w:szCs w:val="21"/>
    </w:rPr>
  </w:style>
  <w:style w:type="paragraph" w:styleId="740">
    <w:name w:val="footnote text"/>
    <w:basedOn w:val="704"/>
    <w:link w:val="917"/>
    <w:uiPriority w:val="99"/>
    <w:semiHidden/>
    <w:unhideWhenUsed/>
    <w:qFormat/>
    <w:pPr>
      <w:spacing w:after="40"/>
    </w:pPr>
    <w:rPr>
      <w:sz w:val="18"/>
    </w:rPr>
  </w:style>
  <w:style w:type="paragraph" w:styleId="741">
    <w:name w:val="toc 6"/>
    <w:basedOn w:val="704"/>
    <w:next w:val="704"/>
    <w:uiPriority w:val="39"/>
    <w:qFormat/>
    <w:pPr>
      <w:ind w:left="1050"/>
      <w:jc w:val="left"/>
    </w:pPr>
    <w:rPr>
      <w:szCs w:val="21"/>
    </w:rPr>
  </w:style>
  <w:style w:type="paragraph" w:styleId="742">
    <w:name w:val="Body Text Indent 3"/>
    <w:basedOn w:val="704"/>
    <w:link w:val="942"/>
    <w:uiPriority w:val="0"/>
    <w:qFormat/>
    <w:pPr>
      <w:ind w:left="645" w:firstLine="645"/>
    </w:pPr>
    <w:rPr>
      <w:rFonts w:ascii="Arial" w:hAnsi="Arial" w:eastAsia="仿宋_GB2312"/>
      <w:color w:val="ffff00"/>
      <w:sz w:val="32"/>
      <w:szCs w:val="32"/>
      <w:lang w:eastAsia="en-US"/>
    </w:rPr>
  </w:style>
  <w:style w:type="paragraph" w:styleId="743">
    <w:name w:val="table of figures"/>
    <w:basedOn w:val="704"/>
    <w:next w:val="704"/>
    <w:uiPriority w:val="99"/>
    <w:qFormat/>
    <w:pPr>
      <w:ind w:left="840" w:hanging="420"/>
    </w:pPr>
    <w:rPr>
      <w:szCs w:val="21"/>
    </w:rPr>
  </w:style>
  <w:style w:type="paragraph" w:styleId="744">
    <w:name w:val="toc 2"/>
    <w:basedOn w:val="704"/>
    <w:next w:val="704"/>
    <w:uiPriority w:val="39"/>
    <w:qFormat/>
    <w:pPr>
      <w:ind w:left="210"/>
      <w:jc w:val="left"/>
    </w:pPr>
    <w:rPr>
      <w:smallCaps/>
      <w:szCs w:val="24"/>
    </w:rPr>
  </w:style>
  <w:style w:type="paragraph" w:styleId="745">
    <w:name w:val="toc 9"/>
    <w:basedOn w:val="704"/>
    <w:next w:val="704"/>
    <w:uiPriority w:val="39"/>
    <w:qFormat/>
    <w:pPr>
      <w:ind w:left="1680"/>
      <w:jc w:val="left"/>
    </w:pPr>
    <w:rPr>
      <w:szCs w:val="21"/>
    </w:rPr>
  </w:style>
  <w:style w:type="paragraph" w:styleId="746">
    <w:name w:val="Body Text 2"/>
    <w:basedOn w:val="704"/>
    <w:link w:val="943"/>
    <w:uiPriority w:val="0"/>
    <w:qFormat/>
    <w:pPr>
      <w:jc w:val="center"/>
      <w:widowControl/>
    </w:pPr>
    <w:rPr>
      <w:rFonts w:ascii="楷体_GB2312" w:eastAsia="楷体_GB2312"/>
      <w:sz w:val="28"/>
      <w:szCs w:val="28"/>
      <w:lang w:eastAsia="en-US"/>
    </w:rPr>
  </w:style>
  <w:style w:type="paragraph" w:styleId="747">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48">
    <w:name w:val="index 1"/>
    <w:basedOn w:val="704"/>
    <w:next w:val="704"/>
    <w:uiPriority w:val="0"/>
    <w:semiHidden/>
    <w:qFormat/>
    <w:pPr>
      <w:spacing w:line="240" w:lineRule="atLeast"/>
    </w:pPr>
    <w:rPr>
      <w:b/>
      <w:bCs/>
      <w:szCs w:val="21"/>
    </w:rPr>
  </w:style>
  <w:style w:type="paragraph" w:styleId="749">
    <w:name w:val="Title"/>
    <w:basedOn w:val="704"/>
    <w:next w:val="704"/>
    <w:link w:val="780"/>
    <w:uiPriority w:val="10"/>
    <w:qFormat/>
    <w:pPr>
      <w:contextualSpacing/>
      <w:spacing w:before="300" w:after="200"/>
    </w:pPr>
    <w:rPr>
      <w:sz w:val="48"/>
      <w:szCs w:val="48"/>
    </w:rPr>
  </w:style>
  <w:style w:type="paragraph" w:styleId="750">
    <w:name w:val="annotation subject"/>
    <w:basedOn w:val="722"/>
    <w:next w:val="722"/>
    <w:link w:val="944"/>
    <w:uiPriority w:val="0"/>
    <w:semiHidden/>
    <w:qFormat/>
    <w:rPr>
      <w:b/>
      <w:bCs/>
      <w:sz w:val="20"/>
      <w:szCs w:val="21"/>
      <w:lang w:eastAsia="en-US"/>
    </w:rPr>
  </w:style>
  <w:style w:type="paragraph" w:styleId="751">
    <w:name w:val="Body Text First Indent 2"/>
    <w:basedOn w:val="724"/>
    <w:link w:val="945"/>
    <w:uiPriority w:val="0"/>
    <w:qFormat/>
    <w:pPr>
      <w:ind w:left="0" w:firstLine="420"/>
      <w:spacing w:after="0" w:line="360" w:lineRule="auto"/>
    </w:pPr>
    <w:rPr>
      <w:rFonts w:ascii="宋体" w:hAnsi="宋体"/>
      <w:sz w:val="20"/>
      <w:szCs w:val="20"/>
      <w:lang w:eastAsia="en-US"/>
    </w:rPr>
  </w:style>
  <w:style w:type="table" w:styleId="752">
    <w:name w:val="Table Grid"/>
    <w:basedOn w:val="715"/>
    <w:uiPriority w:val="0"/>
    <w:qFormat/>
    <w:pPr>
      <w:jc w:val="both"/>
      <w:widowControl w:val="off"/>
    </w:pPr>
    <w:tblPr>
      <w:tblCellMar>
        <w:left w:w="108" w:type="dxa"/>
        <w:top w:w="0" w:type="dxa"/>
        <w:right w:w="108" w:type="dxa"/>
        <w:bottom w:w="0" w:type="dxa"/>
      </w:tblCellMar>
    </w:tblPr>
  </w:style>
  <w:style w:type="character" w:styleId="753">
    <w:name w:val="Strong"/>
    <w:uiPriority w:val="0"/>
    <w:qFormat/>
    <w:rPr>
      <w:b/>
      <w:bCs/>
    </w:rPr>
  </w:style>
  <w:style w:type="character" w:styleId="754">
    <w:name w:val="endnote reference"/>
    <w:uiPriority w:val="99"/>
    <w:semiHidden/>
    <w:unhideWhenUsed/>
    <w:qFormat/>
    <w:rPr>
      <w:vertAlign w:val="superscript"/>
    </w:rPr>
  </w:style>
  <w:style w:type="character" w:styleId="755">
    <w:name w:val="page number"/>
    <w:uiPriority w:val="0"/>
    <w:qFormat/>
  </w:style>
  <w:style w:type="character" w:styleId="756">
    <w:name w:val="FollowedHyperlink"/>
    <w:uiPriority w:val="0"/>
    <w:qFormat/>
    <w:rPr>
      <w:color w:val="800080"/>
      <w:u w:val="single"/>
    </w:rPr>
  </w:style>
  <w:style w:type="character" w:styleId="757">
    <w:name w:val="Hyperlink"/>
    <w:uiPriority w:val="99"/>
    <w:qFormat/>
    <w:rPr>
      <w:color w:val="0000ff"/>
      <w:u w:val="single"/>
    </w:rPr>
  </w:style>
  <w:style w:type="character" w:styleId="758">
    <w:name w:val="annotation reference"/>
    <w:uiPriority w:val="0"/>
    <w:semiHidden/>
    <w:qFormat/>
    <w:rPr>
      <w:sz w:val="21"/>
      <w:szCs w:val="21"/>
    </w:rPr>
  </w:style>
  <w:style w:type="character" w:styleId="759">
    <w:name w:val="footnote reference"/>
    <w:uiPriority w:val="99"/>
    <w:unhideWhenUsed/>
    <w:qFormat/>
    <w:rPr>
      <w:vertAlign w:val="superscript"/>
    </w:rPr>
  </w:style>
  <w:style w:type="paragraph" w:styleId="760" w:customStyle="1">
    <w:name w:val="Heading 1"/>
    <w:basedOn w:val="704"/>
    <w:next w:val="704"/>
    <w:link w:val="761"/>
    <w:uiPriority w:val="9"/>
    <w:qFormat/>
    <w:pPr>
      <w:keepLines/>
      <w:keepNext/>
      <w:spacing w:before="480" w:after="200"/>
      <w:outlineLvl w:val="0"/>
    </w:pPr>
    <w:rPr>
      <w:rFonts w:ascii="Arial" w:hAnsi="Arial" w:eastAsia="Arial" w:cs="Arial"/>
      <w:sz w:val="40"/>
      <w:szCs w:val="40"/>
    </w:rPr>
  </w:style>
  <w:style w:type="character" w:styleId="761" w:customStyle="1">
    <w:name w:val="Heading 1 Char"/>
    <w:link w:val="760"/>
    <w:uiPriority w:val="9"/>
    <w:qFormat/>
    <w:rPr>
      <w:rFonts w:ascii="Arial" w:hAnsi="Arial" w:eastAsia="Arial" w:cs="Arial"/>
      <w:sz w:val="40"/>
      <w:szCs w:val="40"/>
    </w:rPr>
  </w:style>
  <w:style w:type="paragraph" w:styleId="762" w:customStyle="1">
    <w:name w:val="Heading 2"/>
    <w:basedOn w:val="704"/>
    <w:next w:val="704"/>
    <w:link w:val="763"/>
    <w:uiPriority w:val="9"/>
    <w:unhideWhenUsed/>
    <w:qFormat/>
    <w:pPr>
      <w:keepLines/>
      <w:keepNext/>
      <w:spacing w:before="360" w:after="200"/>
      <w:outlineLvl w:val="1"/>
    </w:pPr>
    <w:rPr>
      <w:rFonts w:ascii="Arial" w:hAnsi="Arial" w:eastAsia="Arial" w:cs="Arial"/>
      <w:sz w:val="34"/>
    </w:rPr>
  </w:style>
  <w:style w:type="character" w:styleId="763" w:customStyle="1">
    <w:name w:val="Heading 2 Char"/>
    <w:link w:val="762"/>
    <w:uiPriority w:val="9"/>
    <w:qFormat/>
    <w:rPr>
      <w:rFonts w:ascii="Arial" w:hAnsi="Arial" w:eastAsia="Arial" w:cs="Arial"/>
      <w:sz w:val="34"/>
    </w:rPr>
  </w:style>
  <w:style w:type="paragraph" w:styleId="764" w:customStyle="1">
    <w:name w:val="Heading 3"/>
    <w:basedOn w:val="704"/>
    <w:next w:val="704"/>
    <w:link w:val="765"/>
    <w:uiPriority w:val="9"/>
    <w:unhideWhenUsed/>
    <w:qFormat/>
    <w:pPr>
      <w:keepLines/>
      <w:keepNext/>
      <w:spacing w:before="320" w:after="200"/>
      <w:outlineLvl w:val="2"/>
    </w:pPr>
    <w:rPr>
      <w:rFonts w:ascii="Arial" w:hAnsi="Arial" w:eastAsia="Arial" w:cs="Arial"/>
      <w:sz w:val="30"/>
      <w:szCs w:val="30"/>
    </w:rPr>
  </w:style>
  <w:style w:type="character" w:styleId="765" w:customStyle="1">
    <w:name w:val="Heading 3 Char"/>
    <w:link w:val="764"/>
    <w:uiPriority w:val="9"/>
    <w:qFormat/>
    <w:rPr>
      <w:rFonts w:ascii="Arial" w:hAnsi="Arial" w:eastAsia="Arial" w:cs="Arial"/>
      <w:sz w:val="30"/>
      <w:szCs w:val="30"/>
    </w:rPr>
  </w:style>
  <w:style w:type="paragraph" w:styleId="766" w:customStyle="1">
    <w:name w:val="Heading 4"/>
    <w:basedOn w:val="704"/>
    <w:next w:val="704"/>
    <w:link w:val="767"/>
    <w:uiPriority w:val="9"/>
    <w:unhideWhenUsed/>
    <w:qFormat/>
    <w:pPr>
      <w:keepLines/>
      <w:keepNext/>
      <w:spacing w:before="320" w:after="200"/>
      <w:outlineLvl w:val="3"/>
    </w:pPr>
    <w:rPr>
      <w:rFonts w:ascii="Arial" w:hAnsi="Arial" w:eastAsia="Arial" w:cs="Arial"/>
      <w:b/>
      <w:bCs/>
      <w:sz w:val="26"/>
      <w:szCs w:val="26"/>
    </w:rPr>
  </w:style>
  <w:style w:type="character" w:styleId="767" w:customStyle="1">
    <w:name w:val="Heading 4 Char"/>
    <w:link w:val="766"/>
    <w:uiPriority w:val="9"/>
    <w:qFormat/>
    <w:rPr>
      <w:rFonts w:ascii="Arial" w:hAnsi="Arial" w:eastAsia="Arial" w:cs="Arial"/>
      <w:b/>
      <w:bCs/>
      <w:sz w:val="26"/>
      <w:szCs w:val="26"/>
    </w:rPr>
  </w:style>
  <w:style w:type="paragraph" w:styleId="768" w:customStyle="1">
    <w:name w:val="Heading 5"/>
    <w:basedOn w:val="704"/>
    <w:next w:val="704"/>
    <w:link w:val="769"/>
    <w:uiPriority w:val="9"/>
    <w:unhideWhenUsed/>
    <w:qFormat/>
    <w:pPr>
      <w:keepLines/>
      <w:keepNext/>
      <w:spacing w:before="320" w:after="200"/>
      <w:outlineLvl w:val="4"/>
    </w:pPr>
    <w:rPr>
      <w:rFonts w:ascii="Arial" w:hAnsi="Arial" w:eastAsia="Arial" w:cs="Arial"/>
      <w:b/>
      <w:bCs/>
      <w:sz w:val="24"/>
      <w:szCs w:val="24"/>
    </w:rPr>
  </w:style>
  <w:style w:type="character" w:styleId="769" w:customStyle="1">
    <w:name w:val="Heading 5 Char"/>
    <w:link w:val="768"/>
    <w:uiPriority w:val="9"/>
    <w:qFormat/>
    <w:rPr>
      <w:rFonts w:ascii="Arial" w:hAnsi="Arial" w:eastAsia="Arial" w:cs="Arial"/>
      <w:b/>
      <w:bCs/>
      <w:sz w:val="24"/>
      <w:szCs w:val="24"/>
    </w:rPr>
  </w:style>
  <w:style w:type="paragraph" w:styleId="770" w:customStyle="1">
    <w:name w:val="Heading 6"/>
    <w:basedOn w:val="704"/>
    <w:next w:val="704"/>
    <w:link w:val="771"/>
    <w:uiPriority w:val="9"/>
    <w:unhideWhenUsed/>
    <w:qFormat/>
    <w:pPr>
      <w:keepLines/>
      <w:keepNext/>
      <w:spacing w:before="320" w:after="200"/>
      <w:outlineLvl w:val="5"/>
    </w:pPr>
    <w:rPr>
      <w:rFonts w:ascii="Arial" w:hAnsi="Arial" w:eastAsia="Arial" w:cs="Arial"/>
      <w:b/>
      <w:bCs/>
      <w:sz w:val="22"/>
    </w:rPr>
  </w:style>
  <w:style w:type="character" w:styleId="771" w:customStyle="1">
    <w:name w:val="Heading 6 Char"/>
    <w:link w:val="770"/>
    <w:uiPriority w:val="9"/>
    <w:qFormat/>
    <w:rPr>
      <w:rFonts w:ascii="Arial" w:hAnsi="Arial" w:eastAsia="Arial" w:cs="Arial"/>
      <w:b/>
      <w:bCs/>
      <w:sz w:val="22"/>
      <w:szCs w:val="22"/>
    </w:rPr>
  </w:style>
  <w:style w:type="paragraph" w:styleId="772" w:customStyle="1">
    <w:name w:val="Heading 7"/>
    <w:basedOn w:val="704"/>
    <w:next w:val="704"/>
    <w:link w:val="773"/>
    <w:uiPriority w:val="9"/>
    <w:unhideWhenUsed/>
    <w:qFormat/>
    <w:pPr>
      <w:keepLines/>
      <w:keepNext/>
      <w:spacing w:before="320" w:after="200"/>
      <w:outlineLvl w:val="6"/>
    </w:pPr>
    <w:rPr>
      <w:rFonts w:ascii="Arial" w:hAnsi="Arial" w:eastAsia="Arial" w:cs="Arial"/>
      <w:b/>
      <w:bCs/>
      <w:i/>
      <w:iCs/>
      <w:sz w:val="22"/>
    </w:rPr>
  </w:style>
  <w:style w:type="character" w:styleId="773" w:customStyle="1">
    <w:name w:val="Heading 7 Char"/>
    <w:link w:val="772"/>
    <w:uiPriority w:val="9"/>
    <w:qFormat/>
    <w:rPr>
      <w:rFonts w:ascii="Arial" w:hAnsi="Arial" w:eastAsia="Arial" w:cs="Arial"/>
      <w:b/>
      <w:bCs/>
      <w:i/>
      <w:iCs/>
      <w:sz w:val="22"/>
      <w:szCs w:val="22"/>
    </w:rPr>
  </w:style>
  <w:style w:type="paragraph" w:styleId="774" w:customStyle="1">
    <w:name w:val="Heading 8"/>
    <w:basedOn w:val="704"/>
    <w:next w:val="704"/>
    <w:link w:val="775"/>
    <w:uiPriority w:val="9"/>
    <w:unhideWhenUsed/>
    <w:qFormat/>
    <w:pPr>
      <w:keepLines/>
      <w:keepNext/>
      <w:spacing w:before="320" w:after="200"/>
      <w:outlineLvl w:val="7"/>
    </w:pPr>
    <w:rPr>
      <w:rFonts w:ascii="Arial" w:hAnsi="Arial" w:eastAsia="Arial" w:cs="Arial"/>
      <w:i/>
      <w:iCs/>
      <w:sz w:val="22"/>
    </w:rPr>
  </w:style>
  <w:style w:type="character" w:styleId="775" w:customStyle="1">
    <w:name w:val="Heading 8 Char"/>
    <w:link w:val="774"/>
    <w:uiPriority w:val="9"/>
    <w:qFormat/>
    <w:rPr>
      <w:rFonts w:ascii="Arial" w:hAnsi="Arial" w:eastAsia="Arial" w:cs="Arial"/>
      <w:i/>
      <w:iCs/>
      <w:sz w:val="22"/>
      <w:szCs w:val="22"/>
    </w:rPr>
  </w:style>
  <w:style w:type="paragraph" w:styleId="776" w:customStyle="1">
    <w:name w:val="Heading 9"/>
    <w:basedOn w:val="704"/>
    <w:next w:val="704"/>
    <w:link w:val="777"/>
    <w:uiPriority w:val="9"/>
    <w:unhideWhenUsed/>
    <w:qFormat/>
    <w:pPr>
      <w:keepLines/>
      <w:keepNext/>
      <w:spacing w:before="320" w:after="200"/>
      <w:outlineLvl w:val="8"/>
    </w:pPr>
    <w:rPr>
      <w:rFonts w:ascii="Arial" w:hAnsi="Arial" w:eastAsia="Arial" w:cs="Arial"/>
      <w:i/>
      <w:iCs/>
      <w:szCs w:val="21"/>
    </w:rPr>
  </w:style>
  <w:style w:type="character" w:styleId="777" w:customStyle="1">
    <w:name w:val="Heading 9 Char"/>
    <w:link w:val="776"/>
    <w:uiPriority w:val="9"/>
    <w:qFormat/>
    <w:rPr>
      <w:rFonts w:ascii="Arial" w:hAnsi="Arial" w:eastAsia="Arial" w:cs="Arial"/>
      <w:i/>
      <w:iCs/>
      <w:sz w:val="21"/>
      <w:szCs w:val="21"/>
    </w:rPr>
  </w:style>
  <w:style w:type="paragraph" w:styleId="778">
    <w:name w:val="List Paragraph"/>
    <w:basedOn w:val="704"/>
    <w:uiPriority w:val="34"/>
    <w:qFormat/>
    <w:pPr>
      <w:contextualSpacing/>
      <w:ind w:left="720"/>
      <w:jc w:val="left"/>
      <w:widowControl/>
    </w:pPr>
    <w:rPr>
      <w:rFonts w:ascii="Calibri" w:hAnsi="Calibri"/>
      <w:sz w:val="24"/>
      <w:szCs w:val="24"/>
      <w:lang w:eastAsia="en-US" w:bidi="en-US"/>
    </w:rPr>
  </w:style>
  <w:style w:type="paragraph" w:styleId="779">
    <w:name w:val="No Spacing"/>
    <w:uiPriority w:val="1"/>
    <w:qFormat/>
    <w:pPr>
      <w:jc w:val="both"/>
      <w:widowControl w:val="off"/>
    </w:pPr>
    <w:rPr>
      <w:rFonts w:ascii="Times New Roman" w:hAnsi="Times New Roman" w:eastAsia="宋体" w:cs="Times New Roman"/>
      <w:sz w:val="21"/>
      <w:szCs w:val="21"/>
      <w:lang w:val="en-US" w:eastAsia="zh-CN" w:bidi="ar-SA"/>
    </w:rPr>
  </w:style>
  <w:style w:type="character" w:styleId="780" w:customStyle="1">
    <w:name w:val="标题 Char"/>
    <w:link w:val="749"/>
    <w:uiPriority w:val="10"/>
    <w:rPr>
      <w:sz w:val="48"/>
      <w:szCs w:val="48"/>
    </w:rPr>
  </w:style>
  <w:style w:type="character" w:styleId="781" w:customStyle="1">
    <w:name w:val="副标题 Char"/>
    <w:link w:val="738"/>
    <w:uiPriority w:val="11"/>
    <w:rPr>
      <w:sz w:val="24"/>
      <w:szCs w:val="24"/>
    </w:rPr>
  </w:style>
  <w:style w:type="paragraph" w:styleId="782">
    <w:name w:val="Quote"/>
    <w:basedOn w:val="704"/>
    <w:next w:val="704"/>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04"/>
    <w:next w:val="704"/>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paragraph" w:styleId="786" w:customStyle="1">
    <w:name w:val="Header"/>
    <w:basedOn w:val="704"/>
    <w:link w:val="787"/>
    <w:uiPriority w:val="99"/>
    <w:unhideWhenUsed/>
    <w:qFormat/>
    <w:pPr>
      <w:tabs>
        <w:tab w:val="center" w:pos="7143" w:leader="none"/>
        <w:tab w:val="right" w:pos="14287" w:leader="none"/>
      </w:tabs>
    </w:pPr>
  </w:style>
  <w:style w:type="character" w:styleId="787" w:customStyle="1">
    <w:name w:val="Header Char"/>
    <w:link w:val="786"/>
    <w:uiPriority w:val="99"/>
    <w:qFormat/>
  </w:style>
  <w:style w:type="paragraph" w:styleId="788" w:customStyle="1">
    <w:name w:val="Footer"/>
    <w:basedOn w:val="704"/>
    <w:link w:val="791"/>
    <w:uiPriority w:val="99"/>
    <w:unhideWhenUsed/>
    <w:qFormat/>
    <w:pPr>
      <w:tabs>
        <w:tab w:val="center" w:pos="7143" w:leader="none"/>
        <w:tab w:val="right" w:pos="14287" w:leader="none"/>
      </w:tabs>
    </w:pPr>
  </w:style>
  <w:style w:type="character" w:styleId="789" w:customStyle="1">
    <w:name w:val="Footer Char"/>
    <w:link w:val="788"/>
    <w:uiPriority w:val="99"/>
    <w:qFormat/>
  </w:style>
  <w:style w:type="paragraph" w:styleId="790" w:customStyle="1">
    <w:name w:val="Caption"/>
    <w:basedOn w:val="704"/>
    <w:next w:val="704"/>
    <w:uiPriority w:val="35"/>
    <w:semiHidden/>
    <w:unhideWhenUsed/>
    <w:qFormat/>
    <w:pPr>
      <w:spacing w:line="276" w:lineRule="auto"/>
    </w:pPr>
    <w:rPr>
      <w:b/>
      <w:bCs/>
      <w:color w:val="4f81bd" w:themeColor="accent1"/>
      <w:sz w:val="18"/>
      <w:szCs w:val="18"/>
    </w:rPr>
  </w:style>
  <w:style w:type="character" w:styleId="791" w:customStyle="1">
    <w:name w:val="Caption Char"/>
    <w:link w:val="788"/>
    <w:uiPriority w:val="99"/>
    <w:qFormat/>
  </w:style>
  <w:style w:type="table" w:styleId="7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Char"/>
    <w:link w:val="740"/>
    <w:uiPriority w:val="99"/>
    <w:qFormat/>
    <w:rPr>
      <w:sz w:val="18"/>
    </w:rPr>
  </w:style>
  <w:style w:type="character" w:styleId="918" w:customStyle="1">
    <w:name w:val="尾注文本 Char"/>
    <w:link w:val="732"/>
    <w:uiPriority w:val="99"/>
    <w:qFormat/>
    <w:rPr>
      <w:sz w:val="20"/>
    </w:rPr>
  </w:style>
  <w:style w:type="paragraph" w:styleId="919" w:customStyle="1">
    <w:name w:val="TOC Heading"/>
    <w:uiPriority w:val="39"/>
    <w:unhideWhenUsed/>
    <w:qFormat/>
    <w:rPr>
      <w:rFonts w:ascii="Times New Roman" w:hAnsi="Times New Roman" w:eastAsia="宋体" w:cs="Times New Roman"/>
      <w:lang w:val="en-US" w:eastAsia="zh-CN" w:bidi="ar-SA"/>
    </w:rPr>
  </w:style>
  <w:style w:type="character" w:styleId="920" w:customStyle="1">
    <w:name w:val="正文文本 Char"/>
    <w:link w:val="717"/>
    <w:uiPriority w:val="99"/>
    <w:qFormat/>
    <w:rPr>
      <w:rFonts w:ascii="楷体_GB2312" w:hAnsi="Arial" w:eastAsia="楷体_GB2312" w:cs="Times New Roman"/>
      <w:sz w:val="28"/>
      <w:szCs w:val="28"/>
    </w:rPr>
  </w:style>
  <w:style w:type="character" w:styleId="921" w:customStyle="1">
    <w:name w:val="正文首行缩进 Char"/>
    <w:link w:val="716"/>
    <w:uiPriority w:val="99"/>
    <w:qFormat/>
    <w:rPr>
      <w:rFonts w:ascii="仿宋_GB2312" w:hAnsi="Times New Roman" w:eastAsia="仿宋_GB2312" w:cs="Times New Roman"/>
      <w:sz w:val="30"/>
      <w:szCs w:val="30"/>
    </w:rPr>
  </w:style>
  <w:style w:type="character" w:styleId="922" w:customStyle="1">
    <w:name w:val="标题 1 Char"/>
    <w:link w:val="705"/>
    <w:uiPriority w:val="0"/>
    <w:qFormat/>
    <w:rPr>
      <w:rFonts w:ascii="楷体_GB2312" w:hAnsi="Times New Roman" w:eastAsia="楷体_GB2312" w:cs="Times New Roman"/>
      <w:sz w:val="28"/>
      <w:szCs w:val="28"/>
    </w:rPr>
  </w:style>
  <w:style w:type="character" w:styleId="923" w:customStyle="1">
    <w:name w:val="标题 2 Char"/>
    <w:link w:val="706"/>
    <w:uiPriority w:val="0"/>
    <w:qFormat/>
    <w:rPr>
      <w:rFonts w:ascii="Arial" w:hAnsi="Arial" w:eastAsia="幼圆" w:cs="Arial"/>
      <w:b/>
      <w:bCs/>
      <w:sz w:val="44"/>
      <w:szCs w:val="44"/>
    </w:rPr>
  </w:style>
  <w:style w:type="character" w:styleId="924" w:customStyle="1">
    <w:name w:val="正文缩进 Char"/>
    <w:link w:val="718"/>
    <w:uiPriority w:val="0"/>
    <w:qFormat/>
    <w:rPr>
      <w:szCs w:val="21"/>
    </w:rPr>
  </w:style>
  <w:style w:type="character" w:styleId="925" w:customStyle="1">
    <w:name w:val="标题 3 Char"/>
    <w:link w:val="707"/>
    <w:uiPriority w:val="0"/>
    <w:qFormat/>
    <w:rPr>
      <w:rFonts w:ascii="Times New Roman" w:hAnsi="Times New Roman" w:eastAsia="宋体" w:cs="Times New Roman"/>
      <w:b/>
      <w:bCs/>
      <w:sz w:val="32"/>
      <w:szCs w:val="32"/>
    </w:rPr>
  </w:style>
  <w:style w:type="character" w:styleId="926" w:customStyle="1">
    <w:name w:val="标题 4 Char"/>
    <w:link w:val="708"/>
    <w:uiPriority w:val="0"/>
    <w:qFormat/>
    <w:rPr>
      <w:rFonts w:ascii="Arial" w:hAnsi="Arial" w:eastAsia="黑体" w:cs="Arial"/>
      <w:b/>
      <w:bCs/>
      <w:sz w:val="28"/>
      <w:szCs w:val="28"/>
    </w:rPr>
  </w:style>
  <w:style w:type="character" w:styleId="927" w:customStyle="1">
    <w:name w:val="标题 5 Char"/>
    <w:link w:val="709"/>
    <w:uiPriority w:val="0"/>
    <w:qFormat/>
    <w:rPr>
      <w:rFonts w:ascii="宋体" w:hAnsi="Times New Roman" w:eastAsia="宋体" w:cs="Times New Roman"/>
      <w:color w:val="000000"/>
      <w:sz w:val="28"/>
      <w:szCs w:val="28"/>
    </w:rPr>
  </w:style>
  <w:style w:type="character" w:styleId="928" w:customStyle="1">
    <w:name w:val="标题 6 Char"/>
    <w:link w:val="710"/>
    <w:uiPriority w:val="0"/>
    <w:qFormat/>
    <w:rPr>
      <w:rFonts w:ascii="Arial" w:hAnsi="Arial" w:eastAsia="黑体" w:cs="Times New Roman"/>
      <w:b/>
      <w:bCs/>
      <w:sz w:val="24"/>
      <w:szCs w:val="24"/>
    </w:rPr>
  </w:style>
  <w:style w:type="character" w:styleId="929" w:customStyle="1">
    <w:name w:val="标题 7 Char"/>
    <w:link w:val="711"/>
    <w:uiPriority w:val="0"/>
    <w:qFormat/>
    <w:rPr>
      <w:rFonts w:ascii="Times New Roman" w:hAnsi="Times New Roman" w:eastAsia="宋体" w:cs="Times New Roman"/>
      <w:b/>
      <w:bCs/>
      <w:sz w:val="24"/>
      <w:szCs w:val="24"/>
    </w:rPr>
  </w:style>
  <w:style w:type="character" w:styleId="930" w:customStyle="1">
    <w:name w:val="标题 8 Char"/>
    <w:link w:val="712"/>
    <w:uiPriority w:val="0"/>
    <w:qFormat/>
    <w:rPr>
      <w:rFonts w:ascii="Arial" w:hAnsi="Arial" w:eastAsia="黑体" w:cs="Times New Roman"/>
      <w:sz w:val="24"/>
      <w:szCs w:val="24"/>
    </w:rPr>
  </w:style>
  <w:style w:type="character" w:styleId="931" w:customStyle="1">
    <w:name w:val="标题 9 Char"/>
    <w:link w:val="713"/>
    <w:uiPriority w:val="0"/>
    <w:qFormat/>
    <w:rPr>
      <w:rFonts w:ascii="Arial" w:hAnsi="Arial" w:eastAsia="黑体" w:cs="Times New Roman"/>
      <w:szCs w:val="21"/>
    </w:rPr>
  </w:style>
  <w:style w:type="character" w:styleId="932" w:customStyle="1">
    <w:name w:val="文档结构图 Char"/>
    <w:link w:val="721"/>
    <w:uiPriority w:val="0"/>
    <w:semiHidden/>
    <w:qFormat/>
    <w:rPr>
      <w:rFonts w:ascii="Times New Roman" w:hAnsi="Times New Roman" w:eastAsia="宋体" w:cs="Times New Roman"/>
      <w:szCs w:val="21"/>
      <w:shd w:val="clear" w:color="auto" w:fill="000080"/>
    </w:rPr>
  </w:style>
  <w:style w:type="character" w:styleId="933" w:customStyle="1">
    <w:name w:val="批注文字 Char"/>
    <w:link w:val="722"/>
    <w:uiPriority w:val="99"/>
    <w:semiHidden/>
    <w:qFormat/>
  </w:style>
  <w:style w:type="character" w:styleId="934" w:customStyle="1">
    <w:name w:val="正文文本 3 Char"/>
    <w:link w:val="723"/>
    <w:uiPriority w:val="0"/>
    <w:qFormat/>
    <w:rPr>
      <w:rFonts w:ascii="仿宋_GB2312" w:hAnsi="Arial" w:eastAsia="仿宋_GB2312" w:cs="Times New Roman"/>
      <w:sz w:val="32"/>
      <w:szCs w:val="32"/>
    </w:rPr>
  </w:style>
  <w:style w:type="character" w:styleId="935" w:customStyle="1">
    <w:name w:val="正文文本缩进 Char"/>
    <w:link w:val="724"/>
    <w:uiPriority w:val="99"/>
    <w:semiHidden/>
    <w:qFormat/>
  </w:style>
  <w:style w:type="character" w:styleId="936" w:customStyle="1">
    <w:name w:val="纯文本 Char"/>
    <w:link w:val="728"/>
    <w:uiPriority w:val="0"/>
    <w:qFormat/>
    <w:rPr>
      <w:rFonts w:ascii="宋体" w:hAnsi="Courier New" w:eastAsia="宋体" w:cs="Courier New"/>
      <w:szCs w:val="21"/>
    </w:rPr>
  </w:style>
  <w:style w:type="character" w:styleId="937" w:customStyle="1">
    <w:name w:val="日期 Char"/>
    <w:link w:val="730"/>
    <w:uiPriority w:val="0"/>
    <w:qFormat/>
    <w:rPr>
      <w:rFonts w:ascii="Times New Roman" w:hAnsi="Times New Roman" w:eastAsia="宋体" w:cs="Times New Roman"/>
      <w:sz w:val="24"/>
      <w:szCs w:val="24"/>
    </w:rPr>
  </w:style>
  <w:style w:type="character" w:styleId="938" w:customStyle="1">
    <w:name w:val="正文文本缩进 2 Char"/>
    <w:link w:val="731"/>
    <w:uiPriority w:val="0"/>
    <w:qFormat/>
    <w:rPr>
      <w:rFonts w:ascii="Arial" w:hAnsi="Arial" w:eastAsia="仿宋_GB2312" w:cs="Arial"/>
      <w:sz w:val="32"/>
      <w:szCs w:val="32"/>
    </w:rPr>
  </w:style>
  <w:style w:type="character" w:styleId="939" w:customStyle="1">
    <w:name w:val="批注框文本 Char"/>
    <w:link w:val="733"/>
    <w:uiPriority w:val="99"/>
    <w:semiHidden/>
    <w:qFormat/>
    <w:rPr>
      <w:rFonts w:ascii="Times New Roman" w:hAnsi="Times New Roman" w:eastAsia="宋体" w:cs="Times New Roman"/>
      <w:sz w:val="18"/>
      <w:szCs w:val="18"/>
    </w:rPr>
  </w:style>
  <w:style w:type="character" w:styleId="940" w:customStyle="1">
    <w:name w:val="页脚 Char"/>
    <w:link w:val="734"/>
    <w:uiPriority w:val="99"/>
    <w:qFormat/>
    <w:rPr>
      <w:rFonts w:ascii="Times New Roman" w:hAnsi="Times New Roman" w:eastAsia="宋体" w:cs="Times New Roman"/>
      <w:sz w:val="18"/>
      <w:szCs w:val="18"/>
    </w:rPr>
  </w:style>
  <w:style w:type="character" w:styleId="941" w:customStyle="1">
    <w:name w:val="页眉 Char"/>
    <w:link w:val="735"/>
    <w:uiPriority w:val="99"/>
    <w:qFormat/>
    <w:rPr>
      <w:rFonts w:ascii="Times New Roman" w:hAnsi="Times New Roman" w:eastAsia="宋体" w:cs="Times New Roman"/>
      <w:sz w:val="18"/>
      <w:szCs w:val="18"/>
    </w:rPr>
  </w:style>
  <w:style w:type="character" w:styleId="942" w:customStyle="1">
    <w:name w:val="正文文本缩进 3 Char"/>
    <w:link w:val="742"/>
    <w:uiPriority w:val="0"/>
    <w:qFormat/>
    <w:rPr>
      <w:rFonts w:ascii="Arial" w:hAnsi="Arial" w:eastAsia="仿宋_GB2312" w:cs="Arial"/>
      <w:color w:val="ffff00"/>
      <w:sz w:val="32"/>
      <w:szCs w:val="32"/>
    </w:rPr>
  </w:style>
  <w:style w:type="character" w:styleId="943" w:customStyle="1">
    <w:name w:val="正文文本 2 Char"/>
    <w:link w:val="746"/>
    <w:uiPriority w:val="0"/>
    <w:qFormat/>
    <w:rPr>
      <w:rFonts w:ascii="楷体_GB2312" w:hAnsi="Times New Roman" w:eastAsia="楷体_GB2312" w:cs="Times New Roman"/>
      <w:sz w:val="28"/>
      <w:szCs w:val="28"/>
    </w:rPr>
  </w:style>
  <w:style w:type="character" w:styleId="944" w:customStyle="1">
    <w:name w:val="批注主题 Char"/>
    <w:link w:val="750"/>
    <w:uiPriority w:val="0"/>
    <w:semiHidden/>
    <w:qFormat/>
    <w:rPr>
      <w:rFonts w:ascii="Times New Roman" w:hAnsi="Times New Roman" w:eastAsia="宋体" w:cs="Times New Roman"/>
      <w:b/>
      <w:bCs/>
      <w:szCs w:val="21"/>
    </w:rPr>
  </w:style>
  <w:style w:type="character" w:styleId="945" w:customStyle="1">
    <w:name w:val="正文首行缩进 2 Char"/>
    <w:link w:val="751"/>
    <w:uiPriority w:val="0"/>
    <w:qFormat/>
    <w:rPr>
      <w:rFonts w:ascii="宋体" w:hAnsi="宋体" w:eastAsia="宋体" w:cs="Times New Roman"/>
      <w:szCs w:val="20"/>
    </w:rPr>
  </w:style>
  <w:style w:type="character" w:styleId="946" w:customStyle="1">
    <w:name w:val="font5 Char"/>
    <w:uiPriority w:val="0"/>
    <w:qFormat/>
    <w:rPr>
      <w:rFonts w:ascii="宋体" w:hAnsi="宋体" w:eastAsia="宋体"/>
      <w:sz w:val="28"/>
      <w:szCs w:val="28"/>
      <w:lang w:val="en-US" w:eastAsia="zh-CN" w:bidi="ar-SA"/>
    </w:rPr>
  </w:style>
  <w:style w:type="character" w:styleId="947" w:customStyle="1">
    <w:name w:val="二级目录 Char"/>
    <w:link w:val="948"/>
    <w:uiPriority w:val="0"/>
    <w:qFormat/>
    <w:rPr>
      <w:b/>
      <w:sz w:val="30"/>
      <w:szCs w:val="28"/>
      <w:lang w:val="en-US" w:eastAsia="zh-CN" w:bidi="ar-SA"/>
    </w:rPr>
  </w:style>
  <w:style w:type="paragraph" w:styleId="948" w:customStyle="1">
    <w:name w:val="二级目录"/>
    <w:next w:val="704"/>
    <w:link w:val="94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704"/>
    <w:link w:val="949"/>
    <w:uiPriority w:val="0"/>
    <w:qFormat/>
    <w:pPr>
      <w:contextualSpacing/>
      <w:ind w:left="720"/>
      <w:jc w:val="left"/>
      <w:widowControl/>
    </w:pPr>
    <w:rPr>
      <w:rFonts w:ascii="Calibri" w:hAnsi="Calibri"/>
      <w:sz w:val="24"/>
      <w:szCs w:val="24"/>
      <w:lang w:eastAsia="en-US" w:bidi="en-US"/>
    </w:rPr>
  </w:style>
  <w:style w:type="paragraph" w:styleId="951" w:customStyle="1">
    <w:name w:val="Body Text(ch)"/>
    <w:basedOn w:val="704"/>
    <w:next w:val="717"/>
    <w:uiPriority w:val="0"/>
    <w:qFormat/>
    <w:pPr>
      <w:spacing w:after="120"/>
    </w:pPr>
    <w:rPr>
      <w:rFonts w:ascii="宋体" w:hAnsi="Arial"/>
      <w:bCs/>
      <w:iCs/>
      <w:szCs w:val="24"/>
    </w:rPr>
  </w:style>
  <w:style w:type="paragraph" w:styleId="952"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4" w:customStyle="1">
    <w:name w:val="Char"/>
    <w:basedOn w:val="704"/>
    <w:uiPriority w:val="0"/>
    <w:qFormat/>
    <w:pPr>
      <w:ind w:firstLine="200"/>
      <w:tabs>
        <w:tab w:val="left" w:pos="360" w:leader="none"/>
      </w:tabs>
    </w:pPr>
    <w:rPr>
      <w:sz w:val="28"/>
      <w:szCs w:val="30"/>
    </w:rPr>
  </w:style>
  <w:style w:type="paragraph" w:styleId="955" w:customStyle="1">
    <w:name w:val="Char1"/>
    <w:basedOn w:val="721"/>
    <w:uiPriority w:val="0"/>
    <w:qFormat/>
    <w:rPr>
      <w:rFonts w:ascii="Tahoma" w:hAnsi="Tahoma"/>
      <w:sz w:val="24"/>
      <w:szCs w:val="24"/>
    </w:rPr>
  </w:style>
  <w:style w:type="paragraph" w:styleId="956"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57" w:customStyle="1">
    <w:name w:val="table_lines"/>
    <w:basedOn w:val="704"/>
    <w:uiPriority w:val="0"/>
    <w:qFormat/>
    <w:pPr>
      <w:jc w:val="left"/>
      <w:widowControl/>
    </w:pPr>
    <w:rPr>
      <w:sz w:val="20"/>
      <w:szCs w:val="20"/>
      <w:lang w:val="de-DE" w:eastAsia="de-DE"/>
    </w:rPr>
  </w:style>
  <w:style w:type="paragraph" w:styleId="95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9"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Char Char Char Char"/>
    <w:basedOn w:val="721"/>
    <w:uiPriority w:val="0"/>
    <w:qFormat/>
    <w:pPr>
      <w:spacing w:line="360" w:lineRule="auto"/>
    </w:pPr>
    <w:rPr>
      <w:rFonts w:ascii="Tahoma" w:hAnsi="Tahoma"/>
      <w:sz w:val="24"/>
      <w:szCs w:val="24"/>
    </w:rPr>
  </w:style>
  <w:style w:type="paragraph" w:styleId="961" w:customStyle="1">
    <w:name w:val="4"/>
    <w:basedOn w:val="704"/>
    <w:next w:val="742"/>
    <w:uiPriority w:val="0"/>
    <w:qFormat/>
    <w:pPr>
      <w:ind w:firstLine="420"/>
      <w:spacing w:line="360" w:lineRule="auto"/>
    </w:pPr>
    <w:rPr>
      <w:color w:val="ff0000"/>
      <w:sz w:val="24"/>
      <w:szCs w:val="24"/>
    </w:rPr>
  </w:style>
  <w:style w:type="paragraph" w:styleId="962"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63" w:customStyle="1">
    <w:name w:val="Char Char Char Char Char Char Char Char Char Char"/>
    <w:basedOn w:val="704"/>
    <w:uiPriority w:val="0"/>
    <w:qFormat/>
    <w:pPr>
      <w:spacing w:line="360" w:lineRule="auto"/>
    </w:pPr>
    <w:rPr>
      <w:sz w:val="24"/>
      <w:szCs w:val="20"/>
    </w:rPr>
  </w:style>
  <w:style w:type="paragraph" w:styleId="964" w:customStyle="1">
    <w:name w:val="样式1"/>
    <w:basedOn w:val="704"/>
    <w:uiPriority w:val="0"/>
    <w:qFormat/>
    <w:pPr>
      <w:numPr>
        <w:ilvl w:val="0"/>
        <w:numId w:val="3"/>
      </w:numPr>
    </w:pPr>
    <w:rPr>
      <w:rFonts w:ascii="宋体" w:hAnsi="宋体"/>
      <w:szCs w:val="21"/>
    </w:rPr>
  </w:style>
  <w:style w:type="paragraph" w:styleId="965"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704"/>
    <w:next w:val="704"/>
    <w:uiPriority w:val="0"/>
    <w:pPr>
      <w:ind w:firstLine="624"/>
      <w:spacing w:line="590" w:lineRule="atLeast"/>
    </w:pPr>
    <w:rPr>
      <w:rFonts w:ascii="方正黑体_GBK" w:eastAsia="方正黑体_GBK"/>
      <w:sz w:val="32"/>
      <w:szCs w:val="32"/>
    </w:rPr>
  </w:style>
  <w:style w:type="paragraph" w:styleId="969" w:customStyle="1">
    <w:name w:val="xl24"/>
    <w:basedOn w:val="70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9"/>
    <w:basedOn w:val="70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2" w:customStyle="1">
    <w:name w:val="xl28"/>
    <w:basedOn w:val="70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3" w:customStyle="1">
    <w:name w:val="Char Char Char Char Char Char Char Char1"/>
    <w:basedOn w:val="704"/>
    <w:uiPriority w:val="0"/>
    <w:pPr>
      <w:jc w:val="left"/>
      <w:spacing w:after="160" w:line="240" w:lineRule="exact"/>
      <w:widowControl/>
    </w:pPr>
    <w:rPr>
      <w:rFonts w:ascii="Verdana" w:hAnsi="Verdana"/>
      <w:sz w:val="20"/>
      <w:szCs w:val="20"/>
      <w:lang w:eastAsia="en-US"/>
    </w:rPr>
  </w:style>
  <w:style w:type="paragraph" w:styleId="974" w:customStyle="1">
    <w:name w:val="xl30"/>
    <w:basedOn w:val="704"/>
    <w:uiPriority w:val="0"/>
    <w:pPr>
      <w:jc w:val="center"/>
      <w:spacing w:before="100" w:beforeAutospacing="1" w:after="100" w:afterAutospacing="1"/>
      <w:widowControl/>
    </w:pPr>
    <w:rPr>
      <w:rFonts w:ascii="宋体" w:hAnsi="宋体"/>
      <w:b/>
      <w:bCs/>
      <w:sz w:val="36"/>
      <w:szCs w:val="36"/>
    </w:rPr>
  </w:style>
  <w:style w:type="paragraph" w:styleId="975" w:customStyle="1">
    <w:name w:val="Char Char Char Char1"/>
    <w:basedOn w:val="721"/>
    <w:uiPriority w:val="0"/>
    <w:pPr>
      <w:spacing w:line="360" w:lineRule="auto"/>
    </w:pPr>
    <w:rPr>
      <w:rFonts w:ascii="Tahoma" w:hAnsi="Tahoma"/>
      <w:sz w:val="24"/>
      <w:szCs w:val="24"/>
    </w:rPr>
  </w:style>
  <w:style w:type="paragraph" w:styleId="976" w:customStyle="1">
    <w:name w:val="table_1stline"/>
    <w:basedOn w:val="704"/>
    <w:uiPriority w:val="0"/>
    <w:qFormat/>
    <w:pPr>
      <w:jc w:val="left"/>
      <w:spacing w:before="120"/>
      <w:widowControl/>
    </w:pPr>
    <w:rPr>
      <w:bCs/>
      <w:sz w:val="20"/>
      <w:szCs w:val="20"/>
      <w:lang w:val="de-DE" w:eastAsia="de-DE"/>
    </w:rPr>
  </w:style>
  <w:style w:type="paragraph" w:styleId="977"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704"/>
    <w:next w:val="70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Revision"/>
    <w:uiPriority w:val="99"/>
    <w:qFormat/>
    <w:rPr>
      <w:rFonts w:ascii="Times New Roman" w:hAnsi="Times New Roman" w:eastAsia="宋体" w:cs="Times New Roman"/>
      <w:sz w:val="21"/>
      <w:szCs w:val="21"/>
      <w:lang w:val="en-US" w:eastAsia="zh-CN" w:bidi="ar-SA"/>
    </w:rPr>
  </w:style>
  <w:style w:type="paragraph" w:styleId="980" w:customStyle="1">
    <w:name w:val="引文目录标题1"/>
    <w:basedOn w:val="704"/>
    <w:next w:val="704"/>
    <w:uiPriority w:val="0"/>
    <w:qFormat/>
    <w:pPr>
      <w:spacing w:before="120"/>
    </w:pPr>
    <w:rPr>
      <w:rFonts w:ascii="Arial" w:hAnsi="Arial"/>
      <w:sz w:val="24"/>
    </w:rPr>
  </w:style>
  <w:style w:type="paragraph" w:styleId="981" w:customStyle="1">
    <w:name w:val="段"/>
    <w:next w:val="704"/>
    <w:uiPriority w:val="0"/>
    <w:qFormat/>
    <w:pPr>
      <w:ind w:firstLine="200"/>
      <w:jc w:val="both"/>
    </w:pPr>
    <w:rPr>
      <w:rFonts w:ascii="宋体" w:hAnsi="Times New Roman" w:eastAsia="Times New Roman" w:cs="Times New Roman"/>
      <w:sz w:val="21"/>
      <w:lang w:val="en-US" w:eastAsia="zh-CN" w:bidi="ar-SA"/>
    </w:rPr>
  </w:style>
  <w:style w:type="character" w:styleId="982" w:customStyle="1">
    <w:name w:val="超链接1"/>
    <w:uiPriority w:val="0"/>
    <w:qFormat/>
    <w:rPr>
      <w:rFonts w:ascii="Times New Roman" w:hAnsi="Times New Roman" w:eastAsia="宋体" w:cs="Times New Roman"/>
      <w:sz w:val="21"/>
      <w:szCs w:val="24"/>
      <w:lang w:val="en-US" w:eastAsia="zh-CN" w:bidi="ar-SA"/>
    </w:rPr>
  </w:style>
  <w:style w:type="paragraph" w:styleId="983" w:customStyle="1">
    <w:name w:val="正文首行缩进1"/>
    <w:basedOn w:val="984"/>
    <w:uiPriority w:val="0"/>
    <w:qFormat/>
    <w:pPr>
      <w:ind w:firstLine="200"/>
      <w:spacing w:line="360" w:lineRule="auto"/>
    </w:pPr>
    <w:rPr>
      <w:rFonts w:ascii="仿宋_GB2312" w:hAnsi="Times New Roman" w:eastAsia="仿宋_GB2312"/>
      <w:sz w:val="30"/>
      <w:szCs w:val="30"/>
    </w:rPr>
  </w:style>
  <w:style w:type="paragraph" w:styleId="984" w:customStyle="1">
    <w:name w:val="正文文本1"/>
    <w:basedOn w:val="704"/>
    <w:next w:val="704"/>
    <w:uiPriority w:val="0"/>
    <w:qFormat/>
    <w:rPr>
      <w:rFonts w:ascii="楷体_GB2312" w:hAnsi="Arial" w:eastAsia="楷体_GB2312"/>
      <w:sz w:val="28"/>
      <w:szCs w:val="28"/>
      <w:lang w:eastAsia="en-US"/>
    </w:rPr>
  </w:style>
  <w:style w:type="paragraph" w:styleId="985" w:customStyle="1">
    <w:name w:val="正文缩进2格"/>
    <w:basedOn w:val="704"/>
    <w:uiPriority w:val="0"/>
    <w:qFormat/>
    <w:pPr>
      <w:ind w:firstLine="639"/>
      <w:spacing w:line="600" w:lineRule="exact"/>
    </w:pPr>
    <w:rPr>
      <w:rFonts w:ascii="仿宋_GB2312" w:hAnsi="宋体" w:eastAsia="仿宋_GB2312"/>
      <w:sz w:val="31"/>
      <w:szCs w:val="28"/>
      <w:lang w:eastAsia="en-US"/>
    </w:rPr>
  </w:style>
  <w:style w:type="paragraph" w:styleId="9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987" w:customStyle="1">
    <w:name w:val="Table Normal"/>
    <w:uiPriority w:val="0"/>
    <w:semiHidden/>
    <w:unhideWhenUsed/>
    <w:qFormat/>
    <w:tblPr>
      <w:tblCellMar>
        <w:left w:w="0" w:type="dxa"/>
        <w:top w:w="0" w:type="dxa"/>
        <w:right w:w="0" w:type="dxa"/>
        <w:bottom w:w="0" w:type="dxa"/>
      </w:tblCellMar>
    </w:tblPr>
  </w:style>
  <w:style w:type="paragraph" w:styleId="988" w:customStyle="1">
    <w:name w:val="*正文"/>
    <w:basedOn w:val="704"/>
    <w:uiPriority w:val="99"/>
    <w:qFormat/>
    <w:pPr>
      <w:ind w:firstLine="482"/>
      <w:spacing w:line="360" w:lineRule="auto"/>
    </w:pPr>
    <w:rPr>
      <w:rFonts w:eastAsia="仿宋_GB2312"/>
      <w:sz w:val="28"/>
    </w:rPr>
  </w:style>
  <w:style w:type="table" w:styleId="989" w:customStyle="1">
    <w:name w:val="Grid Table 6 Colorful - Accent 31"/>
    <w:uiPriority w:val="99"/>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customStyle="1">
    <w:name w:val="Table Grid Light1"/>
    <w:basedOn w:val="715"/>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2" w:customStyle="1">
    <w:name w:val="Plain Table 11"/>
    <w:basedOn w:val="715"/>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1"/>
    <w:basedOn w:val="715"/>
    <w:uiPriority w:val="59"/>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1"/>
    <w:basedOn w:val="715"/>
    <w:uiPriority w:val="99"/>
    <w:rPr>
      <w:rFonts w:ascii="Calibri" w:hAnsi="Calibri"/>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1"/>
    <w:basedOn w:val="715"/>
    <w:uiPriority w:val="99"/>
    <w:rPr>
      <w:rFonts w:ascii="Calibri" w:hAnsi="Calibri"/>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1"/>
    <w:basedOn w:val="715"/>
    <w:uiPriority w:val="99"/>
    <w:qFormat/>
    <w:rPr>
      <w:rFonts w:ascii="Calibri" w:hAnsi="Calibri"/>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1"/>
    <w:basedOn w:val="715"/>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98" w:customStyle="1">
    <w:name w:val="Grid Table 1 Light - Accent 11"/>
    <w:basedOn w:val="715"/>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99" w:customStyle="1">
    <w:name w:val="Grid Table 1 Light - Accent 21"/>
    <w:basedOn w:val="715"/>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00" w:customStyle="1">
    <w:name w:val="Grid Table 1 Light - Accent 31"/>
    <w:basedOn w:val="715"/>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01" w:customStyle="1">
    <w:name w:val="Grid Table 1 Light - Accent 41"/>
    <w:basedOn w:val="715"/>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02" w:customStyle="1">
    <w:name w:val="Grid Table 1 Light - Accent 51"/>
    <w:basedOn w:val="715"/>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03" w:customStyle="1">
    <w:name w:val="Grid Table 1 Light - Accent 61"/>
    <w:basedOn w:val="715"/>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04" w:customStyle="1">
    <w:name w:val="Grid Table 21"/>
    <w:basedOn w:val="715"/>
    <w:uiPriority w:val="99"/>
    <w:qFormat/>
    <w:rPr>
      <w:rFonts w:ascii="Calibri" w:hAnsi="Calibri"/>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05" w:customStyle="1">
    <w:name w:val="Grid Table 2 - Accent 11"/>
    <w:basedOn w:val="715"/>
    <w:uiPriority w:val="99"/>
    <w:qFormat/>
    <w:rPr>
      <w:rFonts w:ascii="Calibri" w:hAnsi="Calibri"/>
    </w:rPr>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06" w:customStyle="1">
    <w:name w:val="Grid Table 2 - Accent 21"/>
    <w:basedOn w:val="715"/>
    <w:uiPriority w:val="99"/>
    <w:rPr>
      <w:rFonts w:ascii="Calibri" w:hAnsi="Calibri"/>
    </w:rPr>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07" w:customStyle="1">
    <w:name w:val="Grid Table 2 - Accent 31"/>
    <w:basedOn w:val="715"/>
    <w:uiPriority w:val="99"/>
    <w:qFormat/>
    <w:rPr>
      <w:rFonts w:ascii="Calibri" w:hAnsi="Calibri"/>
    </w:rPr>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08" w:customStyle="1">
    <w:name w:val="Grid Table 2 - Accent 41"/>
    <w:basedOn w:val="715"/>
    <w:uiPriority w:val="99"/>
    <w:qFormat/>
    <w:rPr>
      <w:rFonts w:ascii="Calibri" w:hAnsi="Calibri"/>
    </w:rPr>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09" w:customStyle="1">
    <w:name w:val="Grid Table 2 - Accent 51"/>
    <w:basedOn w:val="715"/>
    <w:uiPriority w:val="99"/>
    <w:rPr>
      <w:rFonts w:ascii="Calibri" w:hAnsi="Calibri"/>
    </w:rPr>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10" w:customStyle="1">
    <w:name w:val="Grid Table 2 - Accent 61"/>
    <w:basedOn w:val="715"/>
    <w:uiPriority w:val="99"/>
    <w:rPr>
      <w:rFonts w:ascii="Calibri" w:hAnsi="Calibri"/>
    </w:rPr>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11" w:customStyle="1">
    <w:name w:val="Grid Table 31"/>
    <w:basedOn w:val="715"/>
    <w:uiPriority w:val="99"/>
    <w:qFormat/>
    <w:rPr>
      <w:rFonts w:ascii="Calibri" w:hAnsi="Calibri"/>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1"/>
    <w:basedOn w:val="715"/>
    <w:uiPriority w:val="99"/>
    <w:qFormat/>
    <w:rPr>
      <w:rFonts w:ascii="Calibri" w:hAnsi="Calibri"/>
    </w:rPr>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1"/>
    <w:basedOn w:val="715"/>
    <w:uiPriority w:val="99"/>
    <w:qFormat/>
    <w:rPr>
      <w:rFonts w:ascii="Calibri" w:hAnsi="Calibri"/>
    </w:rPr>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1"/>
    <w:basedOn w:val="715"/>
    <w:uiPriority w:val="99"/>
    <w:qFormat/>
    <w:rPr>
      <w:rFonts w:ascii="Calibri" w:hAnsi="Calibri"/>
    </w:rPr>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1"/>
    <w:basedOn w:val="715"/>
    <w:uiPriority w:val="99"/>
    <w:qFormat/>
    <w:rPr>
      <w:rFonts w:ascii="Calibri" w:hAnsi="Calibri"/>
    </w:rPr>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1"/>
    <w:basedOn w:val="715"/>
    <w:uiPriority w:val="99"/>
    <w:qFormat/>
    <w:rPr>
      <w:rFonts w:ascii="Calibri" w:hAnsi="Calibri"/>
    </w:rPr>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1"/>
    <w:basedOn w:val="715"/>
    <w:uiPriority w:val="99"/>
    <w:qFormat/>
    <w:rPr>
      <w:rFonts w:ascii="Calibri" w:hAnsi="Calibri"/>
    </w:rPr>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1"/>
    <w:basedOn w:val="715"/>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19" w:customStyle="1">
    <w:name w:val="Grid Table 4 - Accent 11"/>
    <w:basedOn w:val="715"/>
    <w:uiPriority w:val="59"/>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20" w:customStyle="1">
    <w:name w:val="Grid Table 4 - Accent 21"/>
    <w:basedOn w:val="715"/>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21" w:customStyle="1">
    <w:name w:val="Grid Table 4 - Accent 31"/>
    <w:basedOn w:val="715"/>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22" w:customStyle="1">
    <w:name w:val="Grid Table 4 - Accent 41"/>
    <w:basedOn w:val="715"/>
    <w:uiPriority w:val="59"/>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23" w:customStyle="1">
    <w:name w:val="Grid Table 4 - Accent 51"/>
    <w:basedOn w:val="715"/>
    <w:uiPriority w:val="59"/>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24" w:customStyle="1">
    <w:name w:val="Grid Table 4 - Accent 61"/>
    <w:basedOn w:val="715"/>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25" w:customStyle="1">
    <w:name w:val="Grid Table 5 Dark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26" w:customStyle="1">
    <w:name w:val="Grid Table 5 Dark- Accent 11"/>
    <w:basedOn w:val="715"/>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27" w:customStyle="1">
    <w:name w:val="Grid Table 5 Dark - Accent 2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28" w:customStyle="1">
    <w:name w:val="Grid Table 5 Dark - Accent 31"/>
    <w:basedOn w:val="715"/>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29" w:customStyle="1">
    <w:name w:val="Grid Table 5 Dark- Accent 4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30" w:customStyle="1">
    <w:name w:val="Grid Table 5 Dark - Accent 5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31" w:customStyle="1">
    <w:name w:val="Grid Table 5 Dark - Accent 6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32" w:customStyle="1">
    <w:name w:val="Grid Table 6 Colorful1"/>
    <w:basedOn w:val="715"/>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33" w:customStyle="1">
    <w:name w:val="Grid Table 6 Colorful - Accent 11"/>
    <w:basedOn w:val="715"/>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34" w:customStyle="1">
    <w:name w:val="Grid Table 6 Colorful - Accent 21"/>
    <w:basedOn w:val="715"/>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35" w:customStyle="1">
    <w:name w:val="Grid Table 6 Colorful - Accent 32"/>
    <w:basedOn w:val="715"/>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036" w:customStyle="1">
    <w:name w:val="Grid Table 6 Colorful - Accent 41"/>
    <w:basedOn w:val="715"/>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037" w:customStyle="1">
    <w:name w:val="Grid Table 6 Colorful - Accent 51"/>
    <w:basedOn w:val="715"/>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038" w:customStyle="1">
    <w:name w:val="Grid Table 6 Colorful - Accent 61"/>
    <w:basedOn w:val="715"/>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039" w:customStyle="1">
    <w:name w:val="Grid Table 7 Colorful1"/>
    <w:basedOn w:val="715"/>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0" w:customStyle="1">
    <w:name w:val="Grid Table 7 Colorful - Accent 11"/>
    <w:basedOn w:val="715"/>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1" w:customStyle="1">
    <w:name w:val="Grid Table 7 Colorful - Accent 21"/>
    <w:basedOn w:val="715"/>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42" w:customStyle="1">
    <w:name w:val="Grid Table 7 Colorful - Accent 31"/>
    <w:basedOn w:val="715"/>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43" w:customStyle="1">
    <w:name w:val="Grid Table 7 Colorful - Accent 41"/>
    <w:basedOn w:val="715"/>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44" w:customStyle="1">
    <w:name w:val="Grid Table 7 Colorful - Accent 51"/>
    <w:basedOn w:val="715"/>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45" w:customStyle="1">
    <w:name w:val="Grid Table 7 Colorful - Accent 61"/>
    <w:basedOn w:val="715"/>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46" w:customStyle="1">
    <w:name w:val="List Table 1 Light1"/>
    <w:basedOn w:val="715"/>
    <w:uiPriority w:val="99"/>
    <w:qFormat/>
    <w:rPr>
      <w:rFonts w:ascii="Calibri" w:hAnsi="Calibri"/>
    </w:rPr>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47" w:customStyle="1">
    <w:name w:val="List Table 1 Light - Accent 11"/>
    <w:basedOn w:val="715"/>
    <w:uiPriority w:val="99"/>
    <w:qFormat/>
    <w:rPr>
      <w:rFonts w:ascii="Calibri" w:hAnsi="Calibri"/>
    </w:rPr>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48" w:customStyle="1">
    <w:name w:val="List Table 1 Light - Accent 21"/>
    <w:basedOn w:val="715"/>
    <w:uiPriority w:val="99"/>
    <w:qFormat/>
    <w:rPr>
      <w:rFonts w:ascii="Calibri" w:hAnsi="Calibri"/>
    </w:rPr>
    <w:tblPr>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49" w:customStyle="1">
    <w:name w:val="List Table 1 Light - Accent 31"/>
    <w:basedOn w:val="715"/>
    <w:uiPriority w:val="99"/>
    <w:qFormat/>
    <w:rPr>
      <w:rFonts w:ascii="Calibri" w:hAnsi="Calibri"/>
    </w:rPr>
    <w:tblPr>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50" w:customStyle="1">
    <w:name w:val="List Table 1 Light - Accent 41"/>
    <w:basedOn w:val="715"/>
    <w:uiPriority w:val="99"/>
    <w:qFormat/>
    <w:rPr>
      <w:rFonts w:ascii="Calibri" w:hAnsi="Calibri"/>
    </w:rPr>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51" w:customStyle="1">
    <w:name w:val="List Table 1 Light - Accent 51"/>
    <w:basedOn w:val="715"/>
    <w:uiPriority w:val="99"/>
    <w:qFormat/>
    <w:rPr>
      <w:rFonts w:ascii="Calibri" w:hAnsi="Calibri"/>
    </w:rPr>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52" w:customStyle="1">
    <w:name w:val="List Table 1 Light - Accent 61"/>
    <w:basedOn w:val="715"/>
    <w:uiPriority w:val="99"/>
    <w:qFormat/>
    <w:rPr>
      <w:rFonts w:ascii="Calibri" w:hAnsi="Calibri"/>
    </w:rPr>
    <w:tblPr>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53" w:customStyle="1">
    <w:name w:val="List Table 21"/>
    <w:basedOn w:val="715"/>
    <w:uiPriority w:val="99"/>
    <w:qFormat/>
    <w:rPr>
      <w:rFonts w:ascii="Calibri" w:hAnsi="Calibri"/>
    </w:rPr>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54" w:customStyle="1">
    <w:name w:val="List Table 2 - Accent 11"/>
    <w:basedOn w:val="715"/>
    <w:uiPriority w:val="99"/>
    <w:qFormat/>
    <w:rPr>
      <w:rFonts w:ascii="Calibri" w:hAnsi="Calibri"/>
    </w:rPr>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55" w:customStyle="1">
    <w:name w:val="List Table 2 - Accent 21"/>
    <w:basedOn w:val="715"/>
    <w:uiPriority w:val="99"/>
    <w:qFormat/>
    <w:rPr>
      <w:rFonts w:ascii="Calibri" w:hAnsi="Calibri"/>
    </w:rPr>
    <w:tblPr>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56" w:customStyle="1">
    <w:name w:val="List Table 2 - Accent 31"/>
    <w:basedOn w:val="715"/>
    <w:uiPriority w:val="99"/>
    <w:qFormat/>
    <w:rPr>
      <w:rFonts w:ascii="Calibri" w:hAnsi="Calibri"/>
    </w:rPr>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57" w:customStyle="1">
    <w:name w:val="List Table 2 - Accent 41"/>
    <w:basedOn w:val="715"/>
    <w:uiPriority w:val="99"/>
    <w:qFormat/>
    <w:rPr>
      <w:rFonts w:ascii="Calibri" w:hAnsi="Calibri"/>
    </w:rPr>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8" w:customStyle="1">
    <w:name w:val="List Table 2 - Accent 51"/>
    <w:basedOn w:val="715"/>
    <w:uiPriority w:val="99"/>
    <w:qFormat/>
    <w:rPr>
      <w:rFonts w:ascii="Calibri" w:hAnsi="Calibri"/>
    </w:rPr>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59" w:customStyle="1">
    <w:name w:val="List Table 2 - Accent 61"/>
    <w:basedOn w:val="715"/>
    <w:uiPriority w:val="99"/>
    <w:qFormat/>
    <w:rPr>
      <w:rFonts w:ascii="Calibri" w:hAnsi="Calibri"/>
    </w:rPr>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60" w:customStyle="1">
    <w:name w:val="List Table 3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1" w:customStyle="1">
    <w:name w:val="List Table 3 - Accent 11"/>
    <w:basedOn w:val="715"/>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62" w:customStyle="1">
    <w:name w:val="List Table 3 - Accent 21"/>
    <w:basedOn w:val="715"/>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063" w:customStyle="1">
    <w:name w:val="List Table 3 - Accent 31"/>
    <w:basedOn w:val="715"/>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064" w:customStyle="1">
    <w:name w:val="List Table 3 - Accent 41"/>
    <w:basedOn w:val="715"/>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5" w:customStyle="1">
    <w:name w:val="List Table 3 - Accent 51"/>
    <w:basedOn w:val="715"/>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66" w:customStyle="1">
    <w:name w:val="List Table 3 - Accent 61"/>
    <w:basedOn w:val="715"/>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67" w:customStyle="1">
    <w:name w:val="List Table 4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8" w:customStyle="1">
    <w:name w:val="List Table 4 - Accent 11"/>
    <w:basedOn w:val="715"/>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69" w:customStyle="1">
    <w:name w:val="List Table 4 - Accent 21"/>
    <w:basedOn w:val="715"/>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70" w:customStyle="1">
    <w:name w:val="List Table 4 - Accent 31"/>
    <w:basedOn w:val="715"/>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71" w:customStyle="1">
    <w:name w:val="List Table 4 - Accent 41"/>
    <w:basedOn w:val="715"/>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72" w:customStyle="1">
    <w:name w:val="List Table 4 - Accent 51"/>
    <w:basedOn w:val="715"/>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73" w:customStyle="1">
    <w:name w:val="List Table 4 - Accent 61"/>
    <w:basedOn w:val="715"/>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74" w:customStyle="1">
    <w:name w:val="List Table 5 Dark1"/>
    <w:basedOn w:val="715"/>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75" w:customStyle="1">
    <w:name w:val="List Table 5 Dark - Accent 11"/>
    <w:basedOn w:val="715"/>
    <w:uiPriority w:val="99"/>
    <w:qFormat/>
    <w:rPr>
      <w:rFonts w:ascii="Calibri" w:hAnsi="Calibri"/>
    </w:rPr>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76" w:customStyle="1">
    <w:name w:val="List Table 5 Dark - Accent 21"/>
    <w:basedOn w:val="715"/>
    <w:uiPriority w:val="99"/>
    <w:qFormat/>
    <w:rPr>
      <w:rFonts w:ascii="Calibri" w:hAnsi="Calibri"/>
    </w:rPr>
    <w:tblPr>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077" w:customStyle="1">
    <w:name w:val="List Table 5 Dark - Accent 31"/>
    <w:basedOn w:val="715"/>
    <w:uiPriority w:val="99"/>
    <w:qFormat/>
    <w:rPr>
      <w:rFonts w:ascii="Calibri" w:hAnsi="Calibri"/>
    </w:rPr>
    <w:tblPr>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078" w:customStyle="1">
    <w:name w:val="List Table 5 Dark - Accent 41"/>
    <w:basedOn w:val="715"/>
    <w:uiPriority w:val="99"/>
    <w:qFormat/>
    <w:rPr>
      <w:rFonts w:ascii="Calibri" w:hAnsi="Calibri"/>
    </w:rPr>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79" w:customStyle="1">
    <w:name w:val="List Table 5 Dark - Accent 51"/>
    <w:basedOn w:val="715"/>
    <w:uiPriority w:val="99"/>
    <w:qFormat/>
    <w:rPr>
      <w:rFonts w:ascii="Calibri" w:hAnsi="Calibri"/>
    </w:rPr>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80" w:customStyle="1">
    <w:name w:val="List Table 5 Dark - Accent 61"/>
    <w:basedOn w:val="715"/>
    <w:uiPriority w:val="99"/>
    <w:qFormat/>
    <w:rPr>
      <w:rFonts w:ascii="Calibri" w:hAnsi="Calibri"/>
    </w:rPr>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1" w:customStyle="1">
    <w:name w:val="List Table 6 Colorful1"/>
    <w:basedOn w:val="715"/>
    <w:uiPriority w:val="99"/>
    <w:qFormat/>
    <w:rPr>
      <w:rFonts w:ascii="Calibri" w:hAnsi="Calibri"/>
    </w:rPr>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82" w:customStyle="1">
    <w:name w:val="List Table 6 Colorful - Accent 11"/>
    <w:basedOn w:val="715"/>
    <w:uiPriority w:val="99"/>
    <w:qFormat/>
    <w:rPr>
      <w:rFonts w:ascii="Calibri" w:hAnsi="Calibri"/>
    </w:rPr>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083" w:customStyle="1">
    <w:name w:val="List Table 6 Colorful - Accent 21"/>
    <w:basedOn w:val="715"/>
    <w:uiPriority w:val="99"/>
    <w:qFormat/>
    <w:rPr>
      <w:rFonts w:ascii="Calibri" w:hAnsi="Calibri"/>
    </w:rPr>
    <w:tblPr>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084" w:customStyle="1">
    <w:name w:val="List Table 6 Colorful - Accent 31"/>
    <w:basedOn w:val="715"/>
    <w:uiPriority w:val="99"/>
    <w:qFormat/>
    <w:rPr>
      <w:rFonts w:ascii="Calibri" w:hAnsi="Calibri"/>
    </w:rPr>
    <w:tblPr>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085" w:customStyle="1">
    <w:name w:val="List Table 6 Colorful - Accent 41"/>
    <w:basedOn w:val="715"/>
    <w:uiPriority w:val="99"/>
    <w:qFormat/>
    <w:rPr>
      <w:rFonts w:ascii="Calibri" w:hAnsi="Calibri"/>
    </w:rPr>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086" w:customStyle="1">
    <w:name w:val="List Table 6 Colorful - Accent 51"/>
    <w:basedOn w:val="715"/>
    <w:uiPriority w:val="99"/>
    <w:qFormat/>
    <w:rPr>
      <w:rFonts w:ascii="Calibri" w:hAnsi="Calibri"/>
    </w:rPr>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087" w:customStyle="1">
    <w:name w:val="List Table 6 Colorful - Accent 61"/>
    <w:basedOn w:val="715"/>
    <w:uiPriority w:val="99"/>
    <w:qFormat/>
    <w:rPr>
      <w:rFonts w:ascii="Calibri" w:hAnsi="Calibri"/>
    </w:rPr>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88" w:customStyle="1">
    <w:name w:val="List Table 7 Colorful1"/>
    <w:basedOn w:val="715"/>
    <w:uiPriority w:val="99"/>
    <w:qFormat/>
    <w:rPr>
      <w:rFonts w:ascii="Calibri" w:hAnsi="Calibri"/>
    </w:rPr>
    <w:tblPr>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9" w:customStyle="1">
    <w:name w:val="List Table 7 Colorful - Accent 11"/>
    <w:basedOn w:val="715"/>
    <w:uiPriority w:val="99"/>
    <w:qFormat/>
    <w:rPr>
      <w:rFonts w:ascii="Calibri" w:hAnsi="Calibri"/>
    </w:rPr>
    <w:tblPr>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90" w:customStyle="1">
    <w:name w:val="List Table 7 Colorful - Accent 21"/>
    <w:basedOn w:val="715"/>
    <w:uiPriority w:val="99"/>
    <w:qFormat/>
    <w:rPr>
      <w:rFonts w:ascii="Calibri" w:hAnsi="Calibri"/>
    </w:rPr>
    <w:tblPr>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91" w:customStyle="1">
    <w:name w:val="List Table 7 Colorful - Accent 31"/>
    <w:basedOn w:val="715"/>
    <w:uiPriority w:val="99"/>
    <w:qFormat/>
    <w:rPr>
      <w:rFonts w:ascii="Calibri" w:hAnsi="Calibri"/>
    </w:rPr>
    <w:tblPr>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92" w:customStyle="1">
    <w:name w:val="List Table 7 Colorful - Accent 41"/>
    <w:basedOn w:val="715"/>
    <w:uiPriority w:val="99"/>
    <w:qFormat/>
    <w:rPr>
      <w:rFonts w:ascii="Calibri" w:hAnsi="Calibri"/>
    </w:rPr>
    <w:tblPr>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93" w:customStyle="1">
    <w:name w:val="List Table 7 Colorful - Accent 51"/>
    <w:basedOn w:val="715"/>
    <w:uiPriority w:val="99"/>
    <w:qFormat/>
    <w:rPr>
      <w:rFonts w:ascii="Calibri" w:hAnsi="Calibri"/>
    </w:rPr>
    <w:tblPr>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94" w:customStyle="1">
    <w:name w:val="List Table 7 Colorful - Accent 61"/>
    <w:basedOn w:val="715"/>
    <w:uiPriority w:val="99"/>
    <w:qFormat/>
    <w:rPr>
      <w:rFonts w:ascii="Calibri" w:hAnsi="Calibri"/>
    </w:rPr>
    <w:tblPr>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95" w:customStyle="1">
    <w:name w:val="Lined - Accent 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96" w:customStyle="1">
    <w:name w:val="Lined - Accent 1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97" w:customStyle="1">
    <w:name w:val="Lined - Accent 2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98" w:customStyle="1">
    <w:name w:val="Lined - Accent 3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99" w:customStyle="1">
    <w:name w:val="Lined - Accent 4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00" w:customStyle="1">
    <w:name w:val="Lined - Accent 5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01" w:customStyle="1">
    <w:name w:val="Lined - Accent 6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02" w:customStyle="1">
    <w:name w:val="Bordered &amp; Lined - Accent 1"/>
    <w:basedOn w:val="715"/>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03" w:customStyle="1">
    <w:name w:val="Bordered &amp; Lined - Accent 11"/>
    <w:basedOn w:val="715"/>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04" w:customStyle="1">
    <w:name w:val="Bordered &amp; Lined - Accent 21"/>
    <w:basedOn w:val="715"/>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05" w:customStyle="1">
    <w:name w:val="Bordered &amp; Lined - Accent 31"/>
    <w:basedOn w:val="715"/>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06" w:customStyle="1">
    <w:name w:val="Bordered &amp; Lined - Accent 41"/>
    <w:basedOn w:val="715"/>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07" w:customStyle="1">
    <w:name w:val="Bordered &amp; Lined - Accent 51"/>
    <w:basedOn w:val="715"/>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08" w:customStyle="1">
    <w:name w:val="Bordered &amp; Lined - Accent 61"/>
    <w:basedOn w:val="715"/>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09" w:customStyle="1">
    <w:name w:val="Bordered1"/>
    <w:basedOn w:val="715"/>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10" w:customStyle="1">
    <w:name w:val="Bordered - Accent 11"/>
    <w:basedOn w:val="715"/>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11" w:customStyle="1">
    <w:name w:val="Bordered - Accent 21"/>
    <w:basedOn w:val="715"/>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12" w:customStyle="1">
    <w:name w:val="Bordered - Accent 31"/>
    <w:basedOn w:val="715"/>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13" w:customStyle="1">
    <w:name w:val="Bordered - Accent 41"/>
    <w:basedOn w:val="715"/>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4" w:customStyle="1">
    <w:name w:val="Bordered - Accent 51"/>
    <w:basedOn w:val="715"/>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15" w:customStyle="1">
    <w:name w:val="Bordered - Accent 61"/>
    <w:basedOn w:val="715"/>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116" w:customStyle="1">
    <w:name w:val="网格型1"/>
    <w:basedOn w:val="7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7" w:customStyle="1">
    <w:name w:val="页眉 字符"/>
    <w:basedOn w:val="714"/>
    <w:uiPriority w:val="99"/>
    <w:qFormat/>
    <w:rPr>
      <w:sz w:val="18"/>
      <w:szCs w:val="18"/>
    </w:rPr>
  </w:style>
  <w:style w:type="character" w:styleId="1118" w:customStyle="1">
    <w:name w:val="页脚 字符"/>
    <w:basedOn w:val="714"/>
    <w:uiPriority w:val="99"/>
    <w:qFormat/>
    <w:rPr>
      <w:sz w:val="18"/>
      <w:szCs w:val="18"/>
    </w:rPr>
  </w:style>
  <w:style w:type="paragraph" w:styleId="1119" w:customStyle="1">
    <w:name w:val="修订1"/>
    <w:hidden/>
    <w:uiPriority w:val="99"/>
    <w:semiHidden/>
    <w:qFormat/>
    <w:rPr>
      <w:rFonts w:ascii="Times New Roman" w:hAnsi="Times New Roman" w:eastAsia="宋体" w:cs="Times New Roman"/>
      <w:sz w:val="21"/>
      <w:szCs w:val="22"/>
      <w:lang w:val="en-US" w:eastAsia="zh-CN" w:bidi="ar-SA"/>
    </w:rPr>
  </w:style>
  <w:style w:type="table" w:styleId="1120" w:customStyle="1">
    <w:name w:val="网格型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2" w:customStyle="1">
    <w:name w:val="网格型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3" w:customStyle="1">
    <w:name w:val="网格型11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25" w:customStyle="1">
    <w:name w:val="Unresolved Mention"/>
    <w:basedOn w:val="714"/>
    <w:uiPriority w:val="99"/>
    <w:semiHidden/>
    <w:unhideWhenUsed/>
    <w:qFormat/>
    <w:rPr>
      <w:color w:val="605e5c"/>
      <w:shd w:val="clear" w:color="auto" w:fill="e1dfdd"/>
    </w:rPr>
  </w:style>
  <w:style w:type="table" w:styleId="1126" w:customStyle="1">
    <w:name w:val="网格型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杨腊梅</cp:lastModifiedBy>
  <cp:revision>809</cp:revision>
  <dcterms:created xsi:type="dcterms:W3CDTF">2023-12-25T07:48:00Z</dcterms:created>
  <dcterms:modified xsi:type="dcterms:W3CDTF">2024-12-04T03:08:42Z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1D363C04B4B64A9AB0A6673A75DF68F2</vt:lpwstr>
  </property>
</Properties>
</file>