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right"/>
        <w:rPr>
          <w:rFonts w:hint="eastAsia" w:ascii="宋体" w:hAnsi="宋体"/>
          <w:color w:val="auto"/>
          <w:sz w:val="36"/>
          <w:highlight w:val="none"/>
        </w:rPr>
      </w:pPr>
      <w:r>
        <w:rPr>
          <w:rFonts w:hint="eastAsia" w:ascii="宋体" w:hAnsi="宋体"/>
          <w:color w:val="auto"/>
          <w:sz w:val="36"/>
          <w:highlight w:val="none"/>
        </w:rPr>
      </w:r>
      <w:r/>
    </w:p>
    <w:p>
      <w:pPr>
        <w:ind w:firstLine="723"/>
        <w:jc w:val="right"/>
        <w:rPr>
          <w:rFonts w:hint="eastAsia" w:ascii="宋体" w:hAnsi="宋体"/>
          <w:color w:val="auto"/>
          <w:sz w:val="36"/>
          <w:szCs w:val="36"/>
          <w:highlight w:val="none"/>
        </w:rPr>
      </w:pPr>
      <w:r>
        <w:rPr>
          <w:rFonts w:hint="eastAsia" w:ascii="宋体" w:hAnsi="宋体"/>
          <w:color w:val="auto"/>
          <w:sz w:val="32"/>
          <w:szCs w:val="32"/>
          <w:highlight w:val="none"/>
        </w:rPr>
        <w:t xml:space="preserve">编号：</w:t>
      </w:r>
      <w:r>
        <w:rPr>
          <w:rFonts w:hint="eastAsia" w:ascii="宋体" w:hAnsi="宋体"/>
          <w:color w:val="auto"/>
          <w:sz w:val="32"/>
          <w:szCs w:val="32"/>
          <w:highlight w:val="none"/>
        </w:rPr>
        <w:t xml:space="preserve">JSZC-321091-JZCG-G2024-0002</w:t>
      </w:r>
      <w:r/>
    </w:p>
    <w:p>
      <w:pPr>
        <w:ind w:firstLine="723"/>
        <w:jc w:val="left"/>
        <w:rPr>
          <w:rFonts w:ascii="宋体" w:hAnsi="宋体"/>
          <w:color w:val="auto"/>
          <w:sz w:val="36"/>
          <w:szCs w:val="36"/>
          <w:highlight w:val="none"/>
        </w:rPr>
      </w:pPr>
      <w:r>
        <w:rPr>
          <w:rFonts w:hint="eastAsia" w:ascii="宋体" w:hAnsi="宋体"/>
          <w:color w:val="auto"/>
          <w:sz w:val="36"/>
          <w:szCs w:val="36"/>
          <w:highlight w:val="none"/>
        </w:rPr>
      </w:r>
      <w:r>
        <w:rPr>
          <w:rFonts w:hint="eastAsia" w:ascii="宋体" w:hAnsi="宋体"/>
          <w:color w:val="auto"/>
          <w:sz w:val="36"/>
          <w:szCs w:val="36"/>
          <w:highlight w:val="none"/>
        </w:rPr>
      </w:r>
      <w:r/>
    </w:p>
    <w:p>
      <w:pPr>
        <w:ind w:firstLine="723"/>
        <w:jc w:val="center"/>
        <w:rPr>
          <w:rFonts w:ascii="宋体" w:hAnsi="宋体"/>
          <w:color w:val="auto"/>
          <w:sz w:val="36"/>
          <w:highlight w:val="none"/>
        </w:rPr>
      </w:pPr>
      <w:r/>
      <w:bookmarkStart w:id="0" w:name="XMMC_1"/>
      <w:r>
        <w:rPr>
          <w:rFonts w:hint="eastAsia" w:ascii="宋体" w:hAnsi="宋体"/>
          <w:color w:val="auto"/>
          <w:sz w:val="36"/>
          <w:highlight w:val="none"/>
        </w:rPr>
        <w:t xml:space="preserve">扬州经济技术开发区文汇街道办事处购买居家养老服务项目</w:t>
      </w:r>
      <w:bookmarkEnd w:id="0"/>
      <w:r>
        <w:rPr>
          <w:rFonts w:hint="eastAsia" w:ascii="宋体" w:hAnsi="宋体"/>
          <w:color w:val="auto"/>
          <w:sz w:val="36"/>
          <w:highlight w:val="none"/>
        </w:rPr>
        <w:t xml:space="preserve">公开招标文件</w:t>
      </w:r>
      <w:r/>
    </w:p>
    <w:p>
      <w:pPr>
        <w:ind w:firstLine="723"/>
        <w:jc w:val="center"/>
        <w:rPr>
          <w:rFonts w:ascii="宋体" w:hAnsi="宋体"/>
          <w:color w:val="auto"/>
          <w:sz w:val="36"/>
          <w:highlight w:val="none"/>
        </w:rPr>
      </w:pPr>
      <w:r>
        <w:rPr>
          <w:rFonts w:ascii="宋体" w:hAnsi="宋体"/>
          <w:color w:val="auto"/>
          <w:sz w:val="36"/>
          <w:highlight w:val="none"/>
        </w:rPr>
      </w:r>
      <w:r/>
    </w:p>
    <w:p>
      <w:pPr>
        <w:ind w:firstLine="723"/>
        <w:jc w:val="center"/>
        <w:rPr>
          <w:rFonts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274310" cy="3465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34651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2.8pt;mso-wrap-distance-left:0.0pt;mso-wrap-distance-top:0.0pt;mso-wrap-distance-right:0.0pt;mso-wrap-distance-bottom:0.0pt;" stroked="f">
                <v:path textboxrect="0,0,0,0"/>
                <v:imagedata r:id="rId10" o:title=""/>
              </v:shape>
            </w:pict>
          </mc:Fallback>
        </mc:AlternateContent>
      </w:r>
      <w:r/>
    </w:p>
    <w:p>
      <w:pPr>
        <w:ind w:firstLine="723"/>
        <w:jc w:val="center"/>
        <w:rPr>
          <w:rFonts w:ascii="宋体" w:hAnsi="宋体"/>
          <w:color w:val="auto"/>
          <w:sz w:val="36"/>
          <w:highlight w:val="none"/>
        </w:rPr>
      </w:pPr>
      <w:r>
        <w:rPr>
          <w:rFonts w:ascii="宋体" w:hAnsi="宋体"/>
          <w:color w:val="auto"/>
          <w:sz w:val="36"/>
          <w:highlight w:val="none"/>
        </w:rPr>
      </w:r>
      <w:r/>
    </w:p>
    <w:p>
      <w:pPr>
        <w:ind w:firstLine="723"/>
        <w:jc w:val="center"/>
        <w:rPr>
          <w:rFonts w:ascii="宋体" w:hAnsi="宋体"/>
          <w:color w:val="auto"/>
          <w:sz w:val="36"/>
          <w:highlight w:val="none"/>
        </w:rPr>
      </w:pPr>
      <w:r>
        <w:rPr>
          <w:rFonts w:ascii="宋体" w:hAnsi="宋体"/>
          <w:color w:val="auto"/>
          <w:sz w:val="36"/>
          <w:highlight w:val="none"/>
        </w:rPr>
      </w:r>
      <w:r/>
    </w:p>
    <w:p>
      <w:pPr>
        <w:ind w:firstLine="723"/>
        <w:jc w:val="center"/>
        <w:rPr>
          <w:rFonts w:ascii="宋体" w:hAnsi="宋体"/>
          <w:color w:val="auto"/>
          <w:sz w:val="36"/>
          <w:highlight w:val="none"/>
        </w:rPr>
      </w:pPr>
      <w:r>
        <w:rPr>
          <w:rFonts w:hint="eastAsia" w:ascii="宋体" w:hAnsi="宋体"/>
          <w:color w:val="auto"/>
          <w:sz w:val="36"/>
          <w:highlight w:val="none"/>
        </w:rPr>
        <w:t xml:space="preserve">扬州市公共资源交易中心开发区分中心</w:t>
      </w:r>
      <w:r/>
    </w:p>
    <w:p>
      <w:pPr>
        <w:ind w:right="48" w:firstLine="723"/>
        <w:jc w:val="center"/>
        <w:rPr>
          <w:rFonts w:ascii="宋体" w:hAnsi="宋体"/>
          <w:color w:val="auto"/>
          <w:sz w:val="36"/>
          <w:szCs w:val="24"/>
          <w:highlight w:val="none"/>
        </w:rPr>
      </w:pPr>
      <w:r/>
      <w:bookmarkStart w:id="1" w:name="FMFBSJ_1"/>
      <w:r>
        <w:rPr>
          <w:rFonts w:hint="eastAsia" w:ascii="宋体" w:hAnsi="宋体"/>
          <w:color w:val="auto"/>
          <w:sz w:val="36"/>
          <w:szCs w:val="24"/>
          <w:highlight w:val="none"/>
        </w:rPr>
        <w:t xml:space="preserve">2024年4月</w:t>
      </w:r>
      <w:r>
        <w:rPr>
          <w:rFonts w:hint="eastAsia" w:ascii="宋体" w:hAnsi="宋体"/>
          <w:color w:val="auto"/>
          <w:sz w:val="36"/>
          <w:szCs w:val="24"/>
          <w:highlight w:val="none"/>
          <w:lang w:val="en-US" w:eastAsia="zh-CN"/>
        </w:rPr>
        <w:t xml:space="preserve">25</w:t>
      </w:r>
      <w:r>
        <w:rPr>
          <w:rFonts w:hint="eastAsia" w:ascii="宋体" w:hAnsi="宋体"/>
          <w:color w:val="auto"/>
          <w:sz w:val="36"/>
          <w:szCs w:val="24"/>
          <w:highlight w:val="none"/>
        </w:rPr>
        <w:t xml:space="preserve">日</w:t>
      </w:r>
      <w:bookmarkEnd w:id="1"/>
      <w:r/>
      <w:r/>
    </w:p>
    <w:p>
      <w:pPr>
        <w:rPr>
          <w:color w:val="auto"/>
          <w:highlight w:val="none"/>
        </w:rPr>
      </w:pPr>
      <w:r>
        <w:rPr>
          <w:color w:val="auto"/>
          <w:highlight w:val="none"/>
        </w:rPr>
        <w:br w:type="page" w:clear="all"/>
      </w:r>
      <w:r/>
    </w:p>
    <w:p>
      <w:pPr>
        <w:rPr>
          <w:color w:val="auto"/>
          <w:highlight w:val="none"/>
        </w:rPr>
      </w:pPr>
      <w:r>
        <w:rPr>
          <w:color w:val="auto"/>
          <w:highlight w:val="none"/>
        </w:rPr>
      </w:r>
      <w:r/>
    </w:p>
    <w:p>
      <w:pPr>
        <w:ind w:firstLine="643"/>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822"/>
        <w:contextualSpacing w:val="0"/>
        <w:ind w:firstLine="0"/>
        <w:jc w:val="both"/>
        <w:tabs>
          <w:tab w:val="right" w:pos="8306" w:leader="dot"/>
        </w:tabs>
        <w:rPr>
          <w:color w:val="auto"/>
          <w:highlight w:val="none"/>
        </w:rPr>
        <w:suppressLineNumbers w:val="0"/>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color w:val="auto"/>
          <w:highlight w:val="none"/>
        </w:rPr>
        <w:t xml:space="preserve">第一章 投标邀请</w:t>
      </w:r>
      <w:r>
        <w:rPr>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_Toc15876 \h </w:instrText>
      </w:r>
      <w:r>
        <w:rPr>
          <w:color w:val="auto"/>
          <w:highlight w:val="none"/>
        </w:rPr>
        <w:fldChar w:fldCharType="separate"/>
      </w:r>
      <w:r>
        <w:rPr>
          <w:color w:val="auto"/>
          <w:highlight w:val="none"/>
        </w:rPr>
        <w:t xml:space="preserve">3</w:t>
      </w:r>
      <w:r>
        <w:rPr>
          <w:color w:val="auto"/>
          <w:highlight w:val="none"/>
        </w:rPr>
        <w:fldChar w:fldCharType="end"/>
      </w:r>
      <w:r/>
    </w:p>
    <w:p>
      <w:pPr>
        <w:pStyle w:val="822"/>
        <w:contextualSpacing w:val="0"/>
        <w:ind w:firstLine="0"/>
        <w:jc w:val="both"/>
        <w:tabs>
          <w:tab w:val="right" w:pos="8306" w:leader="dot"/>
        </w:tabs>
        <w:rPr>
          <w:color w:val="auto"/>
          <w:highlight w:val="none"/>
        </w:rPr>
        <w:suppressLineNumbers w:val="0"/>
      </w:pP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_Toc15445 \h </w:instrText>
      </w:r>
      <w:r>
        <w:rPr>
          <w:color w:val="auto"/>
          <w:highlight w:val="none"/>
        </w:rPr>
        <w:fldChar w:fldCharType="separate"/>
      </w:r>
      <w:r>
        <w:rPr>
          <w:color w:val="auto"/>
          <w:highlight w:val="none"/>
        </w:rPr>
        <w:t xml:space="preserve">6</w:t>
      </w:r>
      <w:r>
        <w:rPr>
          <w:color w:val="auto"/>
          <w:highlight w:val="none"/>
        </w:rPr>
        <w:fldChar w:fldCharType="end"/>
      </w:r>
      <w:r/>
    </w:p>
    <w:p>
      <w:pPr>
        <w:pStyle w:val="822"/>
        <w:contextualSpacing w:val="0"/>
        <w:ind w:firstLine="0"/>
        <w:jc w:val="both"/>
        <w:tabs>
          <w:tab w:val="right" w:pos="8306" w:leader="dot"/>
        </w:tabs>
        <w:rPr>
          <w:color w:val="auto"/>
          <w:highlight w:val="none"/>
        </w:rPr>
        <w:suppressLineNumbers w:val="0"/>
      </w:pPr>
      <w:r>
        <w:rPr>
          <w:rFonts w:hint="eastAsia"/>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_Toc24449 \h </w:instrText>
      </w:r>
      <w:r>
        <w:rPr>
          <w:color w:val="auto"/>
          <w:highlight w:val="none"/>
        </w:rPr>
        <w:fldChar w:fldCharType="separate"/>
      </w:r>
      <w:r>
        <w:rPr>
          <w:color w:val="auto"/>
          <w:highlight w:val="none"/>
        </w:rPr>
        <w:t xml:space="preserve">16</w:t>
      </w:r>
      <w:r>
        <w:rPr>
          <w:color w:val="auto"/>
          <w:highlight w:val="none"/>
        </w:rPr>
        <w:fldChar w:fldCharType="end"/>
      </w:r>
      <w:r/>
    </w:p>
    <w:p>
      <w:pPr>
        <w:pStyle w:val="822"/>
        <w:contextualSpacing w:val="0"/>
        <w:ind w:firstLine="0"/>
        <w:jc w:val="both"/>
        <w:tabs>
          <w:tab w:val="right" w:pos="8306" w:leader="dot"/>
        </w:tabs>
        <w:rPr>
          <w:color w:val="auto"/>
          <w:highlight w:val="none"/>
        </w:rPr>
        <w:suppressLineNumbers w:val="0"/>
      </w:pPr>
      <w:r>
        <w:rPr>
          <w:rFonts w:hint="eastAsia"/>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_Toc9043 \h </w:instrText>
      </w:r>
      <w:r>
        <w:rPr>
          <w:color w:val="auto"/>
          <w:highlight w:val="none"/>
        </w:rPr>
        <w:fldChar w:fldCharType="separate"/>
      </w:r>
      <w:r>
        <w:rPr>
          <w:color w:val="auto"/>
          <w:highlight w:val="none"/>
        </w:rPr>
        <w:t xml:space="preserve">20</w:t>
      </w:r>
      <w:r>
        <w:rPr>
          <w:color w:val="auto"/>
          <w:highlight w:val="none"/>
        </w:rPr>
        <w:fldChar w:fldCharType="end"/>
      </w:r>
      <w:r/>
    </w:p>
    <w:p>
      <w:pPr>
        <w:pStyle w:val="822"/>
        <w:contextualSpacing w:val="0"/>
        <w:ind w:firstLine="0"/>
        <w:jc w:val="both"/>
        <w:tabs>
          <w:tab w:val="right" w:pos="8306" w:leader="dot"/>
        </w:tabs>
        <w:rPr>
          <w:color w:val="auto"/>
          <w:highlight w:val="none"/>
        </w:rPr>
        <w:suppressLineNumbers w:val="0"/>
      </w:pPr>
      <w:r>
        <w:rPr>
          <w:rFonts w:hint="eastAsia"/>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_Toc30926 \h </w:instrText>
      </w:r>
      <w:r>
        <w:rPr>
          <w:color w:val="auto"/>
          <w:highlight w:val="none"/>
        </w:rPr>
        <w:fldChar w:fldCharType="separate"/>
      </w:r>
      <w:r>
        <w:rPr>
          <w:color w:val="auto"/>
          <w:highlight w:val="none"/>
        </w:rPr>
        <w:t xml:space="preserve">25</w:t>
      </w:r>
      <w:r>
        <w:rPr>
          <w:color w:val="auto"/>
          <w:highlight w:val="none"/>
        </w:rPr>
        <w:fldChar w:fldCharType="end"/>
      </w:r>
      <w:r/>
    </w:p>
    <w:p>
      <w:pPr>
        <w:pStyle w:val="822"/>
        <w:contextualSpacing w:val="0"/>
        <w:ind w:firstLine="0"/>
        <w:jc w:val="both"/>
        <w:tabs>
          <w:tab w:val="right" w:pos="8306" w:leader="dot"/>
        </w:tabs>
        <w:rPr>
          <w:color w:val="auto"/>
          <w:highlight w:val="none"/>
        </w:rPr>
        <w:suppressLineNumbers w:val="0"/>
      </w:pP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_Toc23230 \h </w:instrText>
      </w:r>
      <w:r>
        <w:rPr>
          <w:color w:val="auto"/>
          <w:highlight w:val="none"/>
        </w:rPr>
        <w:fldChar w:fldCharType="separate"/>
      </w:r>
      <w:r>
        <w:rPr>
          <w:color w:val="auto"/>
          <w:highlight w:val="none"/>
        </w:rPr>
        <w:t xml:space="preserve">29</w:t>
      </w:r>
      <w:r>
        <w:rPr>
          <w:color w:val="auto"/>
          <w:highlight w:val="none"/>
        </w:rPr>
        <w:fldChar w:fldCharType="end"/>
      </w:r>
      <w:r/>
    </w:p>
    <w:p>
      <w:pPr>
        <w:pStyle w:val="822"/>
        <w:contextualSpacing w:val="0"/>
        <w:ind w:firstLine="0"/>
        <w:jc w:val="both"/>
        <w:tabs>
          <w:tab w:val="right" w:pos="8296" w:leader="dot"/>
        </w:tabs>
        <w:rPr>
          <w:color w:val="auto"/>
          <w:highlight w:val="none"/>
        </w:rPr>
        <w:suppressLineNumbers w:val="0"/>
      </w:pPr>
      <w:r>
        <w:rPr>
          <w:rFonts w:ascii="宋体" w:hAnsi="宋体"/>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09"/>
        <w:ind w:firstLine="880"/>
        <w:jc w:val="center"/>
        <w:rPr>
          <w:color w:val="auto"/>
          <w:highlight w:val="none"/>
        </w:rPr>
      </w:pPr>
      <w:r/>
      <w:bookmarkStart w:id="2" w:name="_Toc15876"/>
      <w:r>
        <w:rPr>
          <w:rFonts w:hint="eastAsia"/>
          <w:color w:val="auto"/>
          <w:highlight w:val="none"/>
        </w:rPr>
        <w:t xml:space="preserve">第一章 </w:t>
      </w:r>
      <w:bookmarkEnd w:id="2"/>
      <w:r>
        <w:rPr>
          <w:rFonts w:hint="eastAsia"/>
          <w:color w:val="auto"/>
          <w:highlight w:val="none"/>
        </w:rPr>
        <w:t xml:space="preserve">投标邀请</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4"/>
          <w:highlight w:val="none"/>
        </w:rPr>
        <w:t xml:space="preserve">受</w:t>
      </w:r>
      <w:r>
        <w:rPr>
          <w:rFonts w:hint="eastAsia" w:ascii="宋体" w:hAnsi="宋体" w:cs="宋体"/>
          <w:color w:val="auto"/>
          <w:szCs w:val="24"/>
          <w:highlight w:val="none"/>
          <w:u w:val="single"/>
        </w:rPr>
        <w:t xml:space="preserve">扬州经济技术开发区文汇街道办事处</w:t>
      </w:r>
      <w:r>
        <w:rPr>
          <w:rFonts w:hint="eastAsia" w:ascii="宋体" w:hAnsi="宋体" w:cs="宋体"/>
          <w:color w:val="auto"/>
          <w:szCs w:val="24"/>
          <w:highlight w:val="none"/>
        </w:rPr>
        <w:t xml:space="preserve">的委托，扬州市公共资源交易中心开发区分中心就</w:t>
      </w:r>
      <w:r>
        <w:rPr>
          <w:rFonts w:hint="eastAsia" w:ascii="宋体" w:hAnsi="宋体" w:cs="宋体"/>
          <w:color w:val="auto"/>
          <w:szCs w:val="24"/>
          <w:highlight w:val="none"/>
          <w:u w:val="single"/>
        </w:rPr>
        <w:t xml:space="preserve">扬州经济技术开发区文汇街道办事处政府购买居家养老服务</w:t>
      </w:r>
      <w:r>
        <w:rPr>
          <w:rFonts w:hint="eastAsia" w:ascii="宋体" w:hAnsi="宋体" w:cs="宋体"/>
          <w:color w:val="auto"/>
          <w:szCs w:val="24"/>
          <w:highlight w:val="none"/>
          <w:u w:val="single"/>
        </w:rPr>
        <w:t xml:space="preserve">（</w:t>
      </w:r>
      <w:r>
        <w:rPr>
          <w:rFonts w:ascii="Segoe UI" w:hAnsi="Segoe UI" w:eastAsia="Segoe UI" w:cs="Segoe UI"/>
          <w:i w:val="0"/>
          <w:caps w:val="0"/>
          <w:color w:val="auto"/>
          <w:spacing w:val="0"/>
          <w:sz w:val="21"/>
          <w:szCs w:val="21"/>
          <w:highlight w:val="none"/>
          <w:shd w:val="clear" w:color="auto" w:fill="ffffff"/>
        </w:rPr>
        <w:t xml:space="preserve">JSZC-321091-JZCG-G2024-0002</w:t>
      </w:r>
      <w:r>
        <w:rPr>
          <w:rFonts w:hint="eastAsia" w:ascii="宋体" w:hAnsi="宋体" w:cs="宋体"/>
          <w:color w:val="auto"/>
          <w:szCs w:val="24"/>
          <w:highlight w:val="none"/>
          <w:u w:val="single"/>
        </w:rPr>
        <w:t xml:space="preserve">）</w:t>
      </w:r>
      <w:r>
        <w:rPr>
          <w:rFonts w:hint="eastAsia" w:ascii="宋体" w:hAnsi="宋体" w:cs="宋体"/>
          <w:color w:val="auto"/>
          <w:szCs w:val="24"/>
          <w:highlight w:val="none"/>
        </w:rPr>
        <w:t xml:space="preserve">进行公开招标采购，欢迎符合条件的供应商投标。</w:t>
      </w:r>
      <w:r/>
    </w:p>
    <w:p>
      <w:pPr>
        <w:ind w:right="48" w:firstLine="422"/>
        <w:spacing w:line="420" w:lineRule="exact"/>
        <w:rPr>
          <w:rFonts w:ascii="宋体" w:hAnsi="宋体" w:cs="宋体"/>
          <w:color w:val="auto"/>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4"/>
          <w:highlight w:val="none"/>
        </w:rPr>
        <w:t xml:space="preserve">项目概况</w:t>
      </w:r>
      <w:r/>
    </w:p>
    <w:p>
      <w:pPr>
        <w:ind w:right="48" w:firstLine="422"/>
        <w:spacing w:line="420" w:lineRule="exact"/>
        <w:rPr>
          <w:rFonts w:ascii="宋体" w:hAnsi="宋体" w:cs="宋体"/>
          <w:color w:val="auto"/>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4"/>
          <w:highlight w:val="none"/>
          <w:u w:val="single"/>
        </w:rPr>
        <w:t xml:space="preserve"> 扬州经济技术开发区文汇街道办事处政府购买居家养老服务</w:t>
      </w:r>
      <w:r>
        <w:rPr>
          <w:rFonts w:hint="eastAsia" w:ascii="宋体" w:hAnsi="宋体" w:cs="宋体"/>
          <w:color w:val="auto"/>
          <w:szCs w:val="24"/>
          <w:highlight w:val="none"/>
        </w:rPr>
        <w:t xml:space="preserve">招标项目的潜在投标人可在</w:t>
      </w:r>
      <w:r>
        <w:rPr>
          <w:rFonts w:hint="eastAsia" w:ascii="宋体" w:hAnsi="宋体" w:cs="宋体"/>
          <w:color w:val="auto"/>
          <w:szCs w:val="24"/>
          <w:highlight w:val="none"/>
          <w:u w:val="single"/>
        </w:rPr>
        <w:t xml:space="preserve">“扬州市政府采购网”、“江苏省政府采购网”自行免费下载</w:t>
      </w:r>
      <w:r>
        <w:rPr>
          <w:rFonts w:hint="eastAsia" w:ascii="宋体" w:hAnsi="宋体" w:cs="宋体"/>
          <w:color w:val="auto"/>
          <w:szCs w:val="24"/>
          <w:highlight w:val="none"/>
        </w:rPr>
        <w:t xml:space="preserve">招标文件，并于</w:t>
      </w:r>
      <w:bookmarkStart w:id="3" w:name="XMTBJSR_1"/>
      <w:r>
        <w:rPr>
          <w:rFonts w:hint="eastAsia" w:ascii="宋体" w:hAnsi="宋体" w:cs="宋体"/>
          <w:bCs/>
          <w:color w:val="auto"/>
          <w:szCs w:val="24"/>
          <w:highlight w:val="none"/>
          <w:u w:val="single"/>
        </w:rPr>
        <w:t xml:space="preserve">2024年5月</w:t>
      </w:r>
      <w:r>
        <w:rPr>
          <w:rFonts w:hint="eastAsia" w:ascii="宋体" w:hAnsi="宋体" w:cs="宋体"/>
          <w:bCs/>
          <w:color w:val="auto"/>
          <w:szCs w:val="24"/>
          <w:highlight w:val="none"/>
          <w:u w:val="single"/>
          <w:lang w:val="en-US" w:eastAsia="zh-CN"/>
        </w:rPr>
        <w:t xml:space="preserve">16</w:t>
      </w:r>
      <w:r>
        <w:rPr>
          <w:rFonts w:hint="eastAsia" w:ascii="宋体" w:hAnsi="宋体" w:cs="宋体"/>
          <w:bCs/>
          <w:color w:val="auto"/>
          <w:szCs w:val="24"/>
          <w:highlight w:val="none"/>
          <w:u w:val="single"/>
        </w:rPr>
        <w:t xml:space="preserve">日</w:t>
      </w:r>
      <w:r>
        <w:rPr>
          <w:rFonts w:ascii="宋体" w:hAnsi="宋体" w:cs="宋体"/>
          <w:bCs/>
          <w:color w:val="auto"/>
          <w:szCs w:val="24"/>
          <w:highlight w:val="none"/>
          <w:u w:val="single"/>
        </w:rPr>
        <w:t xml:space="preserve">9</w:t>
      </w:r>
      <w:r>
        <w:rPr>
          <w:rFonts w:hint="eastAsia" w:ascii="宋体" w:hAnsi="宋体" w:cs="宋体"/>
          <w:bCs/>
          <w:color w:val="auto"/>
          <w:szCs w:val="24"/>
          <w:highlight w:val="none"/>
          <w:u w:val="single"/>
        </w:rPr>
        <w:t xml:space="preserve">点30分</w:t>
      </w:r>
      <w:bookmarkEnd w:id="3"/>
      <w:r>
        <w:rPr>
          <w:rFonts w:hint="eastAsia" w:ascii="宋体" w:hAnsi="宋体" w:cs="宋体"/>
          <w:bCs/>
          <w:color w:val="auto"/>
          <w:szCs w:val="24"/>
          <w:highlight w:val="none"/>
          <w:u w:val="single"/>
        </w:rPr>
        <w:t xml:space="preserve">（</w:t>
      </w:r>
      <w:r>
        <w:rPr>
          <w:rFonts w:hint="eastAsia" w:ascii="宋体" w:hAnsi="宋体" w:cs="宋体"/>
          <w:bCs/>
          <w:color w:val="auto"/>
          <w:szCs w:val="24"/>
          <w:highlight w:val="none"/>
        </w:rPr>
        <w:t xml:space="preserve">北京时间）前递交投标文件</w:t>
      </w:r>
      <w:r>
        <w:rPr>
          <w:rFonts w:hint="eastAsia" w:ascii="宋体" w:hAnsi="宋体" w:cs="宋体"/>
          <w:color w:val="auto"/>
          <w:szCs w:val="24"/>
          <w:highlight w:val="none"/>
        </w:rPr>
        <w:t xml:space="preserve">。</w:t>
      </w:r>
      <w:r/>
    </w:p>
    <w:p>
      <w:pPr>
        <w:ind w:right="48" w:firstLine="422"/>
        <w:spacing w:line="420" w:lineRule="exact"/>
        <w:tabs>
          <w:tab w:val="left" w:pos="266" w:leader="none"/>
        </w:tabs>
        <w:rPr>
          <w:rFonts w:ascii="宋体" w:hAnsi="宋体" w:cs="宋体"/>
          <w:b/>
          <w:bCs/>
          <w:color w:val="auto"/>
          <w:szCs w:val="24"/>
          <w:highlight w:val="none"/>
        </w:rPr>
      </w:pPr>
      <w:r/>
      <w:bookmarkStart w:id="4" w:name="_Toc35393790"/>
      <w:r/>
      <w:bookmarkStart w:id="5" w:name="_Toc28359002"/>
      <w:r/>
      <w:bookmarkStart w:id="6" w:name="_Toc28359079"/>
      <w:r/>
      <w:bookmarkStart w:id="7" w:name="_Toc38985263"/>
      <w:r/>
      <w:bookmarkStart w:id="8" w:name="_Toc35393621"/>
      <w:r/>
      <w:bookmarkStart w:id="9" w:name="_Hlk24379207"/>
      <w:r>
        <w:rPr>
          <w:rFonts w:hint="eastAsia" w:ascii="宋体" w:hAnsi="宋体" w:cs="宋体"/>
          <w:b/>
          <w:bCs/>
          <w:color w:val="auto"/>
          <w:szCs w:val="24"/>
          <w:highlight w:val="none"/>
        </w:rPr>
        <w:t xml:space="preserve">一、项目基本情况</w:t>
      </w:r>
      <w:bookmarkEnd w:id="4"/>
      <w:r/>
      <w:bookmarkEnd w:id="5"/>
      <w:r/>
      <w:bookmarkEnd w:id="6"/>
      <w:r/>
      <w:bookmarkEnd w:id="7"/>
      <w:r/>
      <w:bookmarkEnd w:id="8"/>
      <w:r/>
      <w:r/>
    </w:p>
    <w:p>
      <w:pPr>
        <w:ind w:right="48" w:firstLine="422"/>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1.项目编号：</w:t>
      </w:r>
      <w:r>
        <w:rPr>
          <w:rFonts w:ascii="Segoe UI" w:hAnsi="Segoe UI" w:eastAsia="Segoe UI" w:cs="Segoe UI"/>
          <w:i w:val="0"/>
          <w:caps w:val="0"/>
          <w:color w:val="auto"/>
          <w:spacing w:val="0"/>
          <w:sz w:val="21"/>
          <w:szCs w:val="21"/>
          <w:highlight w:val="none"/>
          <w:shd w:val="clear" w:color="auto" w:fill="ffffff"/>
        </w:rPr>
        <w:t xml:space="preserve">JSZC-321091-JZCG-G2024-0002</w:t>
      </w:r>
      <w:r/>
    </w:p>
    <w:p>
      <w:pPr>
        <w:ind w:right="48" w:firstLine="422"/>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2.项目名称：扬州经济技术开发区文汇街道办事处政府购买居家养老服务</w:t>
      </w:r>
      <w:bookmarkEnd w:id="9"/>
      <w:r/>
      <w:r/>
    </w:p>
    <w:p>
      <w:pPr>
        <w:ind w:right="48" w:firstLine="422"/>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3.预算金额：250万元</w:t>
      </w:r>
      <w:r/>
    </w:p>
    <w:p>
      <w:pPr>
        <w:ind w:right="48" w:firstLine="422"/>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4.本项目</w:t>
      </w:r>
      <w:r>
        <w:rPr>
          <w:rFonts w:hint="eastAsia" w:ascii="宋体" w:hAnsi="宋体" w:cs="宋体"/>
          <w:color w:val="auto"/>
          <w:szCs w:val="24"/>
          <w:highlight w:val="none"/>
          <w:u w:val="single"/>
        </w:rPr>
        <w:t xml:space="preserve">设定</w:t>
      </w:r>
      <w:r>
        <w:rPr>
          <w:rFonts w:hint="eastAsia" w:ascii="宋体" w:hAnsi="宋体" w:cs="宋体"/>
          <w:color w:val="auto"/>
          <w:szCs w:val="24"/>
          <w:highlight w:val="none"/>
        </w:rPr>
        <w:t xml:space="preserve">最高限价：</w:t>
      </w:r>
      <w:r>
        <w:rPr>
          <w:rFonts w:hint="eastAsia" w:ascii="宋体" w:hAnsi="宋体" w:cs="宋体"/>
          <w:color w:val="auto"/>
          <w:szCs w:val="24"/>
          <w:highlight w:val="none"/>
          <w:u w:val="single"/>
        </w:rPr>
        <w:t xml:space="preserve">30</w:t>
      </w:r>
      <w:r>
        <w:rPr>
          <w:rFonts w:hint="eastAsia" w:ascii="宋体" w:hAnsi="宋体" w:cs="宋体"/>
          <w:color w:val="auto"/>
          <w:szCs w:val="24"/>
          <w:highlight w:val="none"/>
        </w:rPr>
        <w:t xml:space="preserve">元/小时。</w:t>
      </w:r>
      <w:r>
        <w:rPr>
          <w:rFonts w:hint="eastAsia" w:ascii="宋体" w:hAnsi="宋体" w:cs="宋体"/>
          <w:bCs/>
          <w:color w:val="auto"/>
          <w:szCs w:val="24"/>
          <w:highlight w:val="none"/>
        </w:rPr>
        <w:t xml:space="preserve">本次投标以每小时服务结算单价报价，并不得高于30元/小时（含供应商服务费、管理费等）。投标人不高于30元/小时</w:t>
      </w:r>
      <w:bookmarkStart w:id="119" w:name="_GoBack"/>
      <w:r/>
      <w:bookmarkEnd w:id="119"/>
      <w:r>
        <w:rPr>
          <w:rFonts w:hint="eastAsia" w:ascii="宋体" w:hAnsi="宋体" w:cs="宋体"/>
          <w:bCs/>
          <w:color w:val="auto"/>
          <w:szCs w:val="24"/>
          <w:highlight w:val="none"/>
        </w:rPr>
        <w:t xml:space="preserve">的报价为有效标价，</w:t>
      </w:r>
      <w:r>
        <w:rPr>
          <w:rFonts w:hint="eastAsia" w:ascii="宋体" w:hAnsi="宋体" w:cs="宋体"/>
          <w:color w:val="auto"/>
          <w:szCs w:val="24"/>
          <w:highlight w:val="none"/>
        </w:rPr>
        <w:t xml:space="preserve">按实际人数及服务时间结算，每小时结算价格以服务商中标价格为准</w:t>
      </w:r>
      <w:r>
        <w:rPr>
          <w:rFonts w:hint="eastAsia" w:ascii="宋体" w:hAnsi="宋体" w:cs="宋体"/>
          <w:bCs/>
          <w:color w:val="auto"/>
          <w:szCs w:val="24"/>
          <w:highlight w:val="none"/>
        </w:rPr>
        <w:t xml:space="preserve">。</w:t>
      </w:r>
      <w:r>
        <w:rPr>
          <w:rFonts w:hint="eastAsia" w:ascii="宋体" w:hAnsi="宋体" w:cs="宋体"/>
          <w:color w:val="auto"/>
          <w:szCs w:val="24"/>
          <w:highlight w:val="none"/>
        </w:rPr>
        <w:t xml:space="preserve">超过最高控制价报价的投标文件作无效投标处理</w:t>
      </w:r>
      <w:r>
        <w:rPr>
          <w:rFonts w:hint="eastAsia" w:ascii="宋体" w:hAnsi="宋体" w:cs="宋体"/>
          <w:bCs/>
          <w:color w:val="auto"/>
          <w:szCs w:val="24"/>
          <w:highlight w:val="none"/>
        </w:rPr>
        <w:t xml:space="preserve">。（服务扩面人数以及服务标准以上级文件为准，每年投入资金以实际产生费用结算。）</w:t>
      </w:r>
      <w:r/>
    </w:p>
    <w:p>
      <w:pPr>
        <w:ind w:right="48" w:firstLine="422"/>
        <w:spacing w:line="420" w:lineRule="exact"/>
        <w:rPr>
          <w:rFonts w:ascii="宋体" w:hAnsi="宋体" w:cs="宋体"/>
          <w:color w:val="auto"/>
          <w:szCs w:val="24"/>
          <w:highlight w:val="none"/>
          <w:u w:val="single"/>
        </w:rPr>
      </w:pPr>
      <w:r>
        <w:rPr>
          <w:rFonts w:hint="eastAsia" w:ascii="宋体" w:hAnsi="宋体" w:cs="宋体"/>
          <w:color w:val="auto"/>
          <w:szCs w:val="24"/>
          <w:highlight w:val="none"/>
        </w:rPr>
        <w:t xml:space="preserve">5.采购需求：见招标文件第四章</w:t>
      </w:r>
      <w:r/>
    </w:p>
    <w:p>
      <w:pPr>
        <w:ind w:right="48" w:firstLine="422"/>
        <w:spacing w:line="420" w:lineRule="exact"/>
        <w:rPr>
          <w:rFonts w:ascii="宋体" w:hAnsi="宋体" w:cs="宋体"/>
          <w:color w:val="auto"/>
          <w:szCs w:val="24"/>
          <w:highlight w:val="none"/>
          <w:u w:val="single"/>
        </w:rPr>
      </w:pPr>
      <w:r>
        <w:rPr>
          <w:rFonts w:hint="eastAsia" w:ascii="宋体" w:hAnsi="宋体" w:cs="宋体"/>
          <w:color w:val="auto"/>
          <w:szCs w:val="24"/>
          <w:highlight w:val="none"/>
        </w:rPr>
        <w:t xml:space="preserve">6.合同履行期限：合同签订之日起二年。</w:t>
      </w:r>
      <w:bookmarkStart w:id="10" w:name="_Toc35393791"/>
      <w:r/>
      <w:bookmarkStart w:id="11" w:name="_Toc28359080"/>
      <w:r/>
      <w:bookmarkStart w:id="12" w:name="_Toc35393622"/>
      <w:r/>
      <w:bookmarkStart w:id="13" w:name="_Toc28359003"/>
      <w:r/>
      <w:bookmarkStart w:id="14" w:name="_Toc38985264"/>
      <w:r/>
      <w:r/>
    </w:p>
    <w:p>
      <w:pPr>
        <w:ind w:right="48" w:firstLine="422"/>
        <w:spacing w:line="420" w:lineRule="exact"/>
        <w:tabs>
          <w:tab w:val="left" w:pos="266" w:leader="none"/>
        </w:tabs>
        <w:rPr>
          <w:rFonts w:ascii="宋体" w:hAnsi="宋体" w:cs="宋体"/>
          <w:b/>
          <w:bCs/>
          <w:color w:val="auto"/>
          <w:szCs w:val="24"/>
          <w:highlight w:val="none"/>
        </w:rPr>
      </w:pPr>
      <w:r>
        <w:rPr>
          <w:rFonts w:hint="eastAsia" w:ascii="宋体" w:hAnsi="宋体" w:cs="宋体"/>
          <w:b/>
          <w:bCs/>
          <w:color w:val="auto"/>
          <w:szCs w:val="24"/>
          <w:highlight w:val="none"/>
        </w:rPr>
        <w:t xml:space="preserve">二、申请人的资格要求：</w:t>
      </w:r>
      <w:bookmarkEnd w:id="10"/>
      <w:r/>
      <w:bookmarkEnd w:id="11"/>
      <w:r/>
      <w:bookmarkEnd w:id="12"/>
      <w:r/>
      <w:bookmarkEnd w:id="13"/>
      <w:r/>
      <w:bookmarkEnd w:id="14"/>
      <w:r/>
      <w:r/>
    </w:p>
    <w:p>
      <w:pPr>
        <w:ind w:firstLine="360"/>
        <w:rPr>
          <w:rFonts w:ascii="宋体" w:hAnsi="宋体"/>
          <w:color w:val="auto"/>
          <w:sz w:val="18"/>
          <w:szCs w:val="18"/>
          <w:highlight w:val="none"/>
        </w:rPr>
      </w:pPr>
      <w:r/>
      <w:bookmarkStart w:id="15" w:name="_Toc28359004"/>
      <w:r/>
      <w:bookmarkStart w:id="16" w:name="_Toc28359081"/>
      <w:r/>
      <w:bookmarkStart w:id="17" w:name="_Toc38985265"/>
      <w:r/>
      <w:bookmarkStart w:id="18" w:name="_Toc35393792"/>
      <w:r/>
      <w:bookmarkStart w:id="19" w:name="_Toc35393623"/>
      <w:r>
        <w:rPr>
          <w:rFonts w:hint="eastAsia" w:ascii="宋体" w:hAnsi="宋体"/>
          <w:color w:val="auto"/>
          <w:sz w:val="18"/>
          <w:szCs w:val="18"/>
          <w:highlight w:val="none"/>
        </w:rPr>
        <w:t xml:space="preserve">（一</w:t>
      </w:r>
      <w:r>
        <w:rPr>
          <w:rFonts w:ascii="宋体" w:hAnsi="宋体"/>
          <w:color w:val="auto"/>
          <w:sz w:val="18"/>
          <w:szCs w:val="18"/>
          <w:highlight w:val="none"/>
        </w:rPr>
        <w:t xml:space="preserve">）</w:t>
      </w:r>
      <w:r>
        <w:rPr>
          <w:rFonts w:hint="eastAsia" w:ascii="宋体" w:hAnsi="宋体"/>
          <w:color w:val="auto"/>
          <w:sz w:val="18"/>
          <w:szCs w:val="18"/>
          <w:highlight w:val="none"/>
        </w:rPr>
        <w:t xml:space="preserve">通用</w:t>
      </w:r>
      <w:r>
        <w:rPr>
          <w:rFonts w:ascii="宋体" w:hAnsi="宋体"/>
          <w:color w:val="auto"/>
          <w:sz w:val="18"/>
          <w:szCs w:val="18"/>
          <w:highlight w:val="none"/>
        </w:rPr>
        <w:t xml:space="preserve">资格要求</w:t>
      </w:r>
      <w:r/>
    </w:p>
    <w:p>
      <w:pPr>
        <w:ind w:right="48" w:firstLine="422"/>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1.1 法人或者其他组织的营业执照等证明文件，自然人的身份证明；</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1.2上一年度的财务状况报告（成立不满一年无需提供）；</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1.4具备履行合同所必需的设备和专业技术能力的书面声明；</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1.5参加政府采购活动前3年内在经营活动中没有重大违法记录的书面声明；</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1.6供应商信用承诺函。</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3.落实政府采购政策需满足的资格要求：本项目专门面向中小企业采购。投标人须提供《中小企业</w:t>
      </w:r>
      <w:r>
        <w:rPr>
          <w:rFonts w:hint="eastAsia" w:ascii="宋体" w:hAnsi="宋体" w:cs="宋体"/>
          <w:color w:val="auto"/>
          <w:szCs w:val="21"/>
          <w:highlight w:val="none"/>
        </w:rPr>
        <w:t xml:space="preserve">声</w:t>
      </w:r>
      <w:r>
        <w:rPr>
          <w:rFonts w:hint="eastAsia" w:ascii="宋体" w:hAnsi="宋体" w:cs="宋体"/>
          <w:color w:val="auto"/>
          <w:szCs w:val="21"/>
          <w:highlight w:val="none"/>
        </w:rPr>
        <w:t xml:space="preserve">明函》。</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   不接受   </w:t>
      </w:r>
      <w:r>
        <w:rPr>
          <w:rFonts w:hint="eastAsia" w:ascii="宋体" w:hAnsi="宋体" w:cs="宋体"/>
          <w:color w:val="auto"/>
          <w:szCs w:val="21"/>
          <w:highlight w:val="none"/>
        </w:rPr>
        <w:t xml:space="preserve">联合体投标。</w:t>
      </w:r>
      <w:r/>
    </w:p>
    <w:p>
      <w:pPr>
        <w:ind w:right="48" w:firstLine="422"/>
        <w:spacing w:line="42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5.本项目</w:t>
      </w:r>
      <w:r>
        <w:rPr>
          <w:rFonts w:hint="eastAsia" w:ascii="宋体" w:hAnsi="宋体" w:cs="宋体"/>
          <w:color w:val="auto"/>
          <w:szCs w:val="21"/>
          <w:highlight w:val="none"/>
          <w:u w:val="single"/>
        </w:rPr>
        <w:t xml:space="preserve">   不接受   </w:t>
      </w:r>
      <w:r>
        <w:rPr>
          <w:rFonts w:hint="eastAsia" w:ascii="宋体" w:hAnsi="宋体" w:cs="宋体"/>
          <w:color w:val="auto"/>
          <w:szCs w:val="21"/>
          <w:highlight w:val="none"/>
        </w:rPr>
        <w:t xml:space="preserve">进口产品投标。</w:t>
      </w:r>
      <w:r/>
    </w:p>
    <w:p>
      <w:pPr>
        <w:ind w:firstLine="360"/>
        <w:rPr>
          <w:rFonts w:ascii="宋体" w:hAnsi="宋体"/>
          <w:color w:val="auto"/>
          <w:sz w:val="18"/>
          <w:szCs w:val="18"/>
          <w:highlight w:val="none"/>
        </w:rPr>
      </w:pPr>
      <w:r>
        <w:rPr>
          <w:rFonts w:hint="eastAsia" w:ascii="宋体" w:hAnsi="宋体"/>
          <w:color w:val="auto"/>
          <w:sz w:val="18"/>
          <w:szCs w:val="18"/>
          <w:highlight w:val="none"/>
        </w:rPr>
        <w:t xml:space="preserve">（二）本项目的特定资格要求：</w:t>
      </w:r>
      <w:r>
        <w:rPr>
          <w:rFonts w:hint="eastAsia" w:ascii="宋体" w:hAnsi="宋体"/>
          <w:color w:val="auto"/>
          <w:sz w:val="18"/>
          <w:szCs w:val="18"/>
          <w:highlight w:val="none"/>
          <w:u w:val="single"/>
        </w:rPr>
        <w:t xml:space="preserve">无</w:t>
      </w:r>
      <w:r>
        <w:rPr>
          <w:rFonts w:hint="eastAsia" w:ascii="宋体" w:hAnsi="宋体"/>
          <w:color w:val="auto"/>
          <w:sz w:val="18"/>
          <w:szCs w:val="18"/>
          <w:highlight w:val="none"/>
        </w:rPr>
        <w:t xml:space="preserve">。</w:t>
      </w:r>
      <w:r/>
    </w:p>
    <w:p>
      <w:pPr>
        <w:ind w:right="48" w:firstLine="422"/>
        <w:spacing w:line="420" w:lineRule="exact"/>
        <w:tabs>
          <w:tab w:val="left" w:pos="266" w:leader="none"/>
        </w:tabs>
        <w:rPr>
          <w:rFonts w:ascii="宋体" w:hAnsi="宋体" w:cs="宋体"/>
          <w:b/>
          <w:bCs/>
          <w:color w:val="auto"/>
          <w:szCs w:val="24"/>
          <w:highlight w:val="none"/>
        </w:rPr>
      </w:pPr>
      <w:r>
        <w:rPr>
          <w:rFonts w:hint="eastAsia" w:ascii="宋体" w:hAnsi="宋体" w:cs="宋体"/>
          <w:b/>
          <w:bCs/>
          <w:color w:val="auto"/>
          <w:szCs w:val="24"/>
          <w:highlight w:val="none"/>
        </w:rPr>
        <w:t xml:space="preserve">三、获取招标文件</w:t>
      </w:r>
      <w:bookmarkEnd w:id="15"/>
      <w:r/>
      <w:bookmarkEnd w:id="16"/>
      <w:r/>
      <w:bookmarkEnd w:id="17"/>
      <w:r/>
      <w:bookmarkEnd w:id="18"/>
      <w:r/>
      <w:bookmarkEnd w:id="19"/>
      <w:r/>
      <w:r/>
    </w:p>
    <w:p>
      <w:pPr>
        <w:ind w:right="48" w:firstLine="422"/>
        <w:spacing w:line="420" w:lineRule="exact"/>
        <w:rPr>
          <w:rFonts w:ascii="宋体" w:hAnsi="宋体" w:cs="宋体"/>
          <w:color w:val="auto"/>
          <w:szCs w:val="24"/>
          <w:highlight w:val="none"/>
        </w:rPr>
      </w:pPr>
      <w:r/>
      <w:bookmarkStart w:id="20" w:name="_Toc28359082"/>
      <w:r/>
      <w:bookmarkStart w:id="21" w:name="_Toc28359005"/>
      <w:r/>
      <w:bookmarkStart w:id="22" w:name="_Toc35393793"/>
      <w:r/>
      <w:bookmarkStart w:id="23" w:name="_Toc38985266"/>
      <w:r/>
      <w:bookmarkStart w:id="24" w:name="_Toc35393624"/>
      <w:r>
        <w:rPr>
          <w:rFonts w:hint="eastAsia" w:ascii="宋体" w:hAnsi="宋体" w:cs="宋体"/>
          <w:color w:val="auto"/>
          <w:szCs w:val="24"/>
          <w:highlight w:val="none"/>
        </w:rPr>
        <w:t xml:space="preserve">1.时间：自招标文件公告发布之日起5个工作日。</w:t>
      </w:r>
      <w:r/>
    </w:p>
    <w:p>
      <w:pPr>
        <w:ind w:right="48" w:firstLine="422"/>
        <w:spacing w:line="420" w:lineRule="exact"/>
        <w:rPr>
          <w:rFonts w:ascii="宋体" w:hAnsi="宋体" w:cs="宋体"/>
          <w:color w:val="auto"/>
          <w:szCs w:val="24"/>
          <w:highlight w:val="none"/>
          <w:u w:val="single"/>
        </w:rPr>
      </w:pPr>
      <w:r>
        <w:rPr>
          <w:rFonts w:hint="eastAsia" w:ascii="宋体" w:hAnsi="宋体" w:cs="宋体"/>
          <w:color w:val="auto"/>
          <w:szCs w:val="24"/>
          <w:highlight w:val="none"/>
        </w:rPr>
        <w:t xml:space="preserve">2.方式：在“江苏政府采购网”“扬州市政府采购网”自行免费下载招标文件。</w:t>
      </w:r>
      <w:r/>
    </w:p>
    <w:p>
      <w:pPr>
        <w:ind w:right="48" w:firstLine="422"/>
        <w:spacing w:line="420" w:lineRule="exact"/>
        <w:tabs>
          <w:tab w:val="left" w:pos="266" w:leader="none"/>
        </w:tabs>
        <w:rPr>
          <w:rFonts w:ascii="宋体" w:hAnsi="宋体" w:cs="宋体"/>
          <w:b/>
          <w:bCs/>
          <w:color w:val="auto"/>
          <w:szCs w:val="24"/>
          <w:highlight w:val="none"/>
        </w:rPr>
      </w:pPr>
      <w:r>
        <w:rPr>
          <w:rFonts w:hint="eastAsia" w:ascii="宋体" w:hAnsi="宋体" w:cs="宋体"/>
          <w:b/>
          <w:bCs/>
          <w:color w:val="auto"/>
          <w:szCs w:val="24"/>
          <w:highlight w:val="none"/>
        </w:rPr>
        <w:t xml:space="preserve">四、提交投标文件</w:t>
      </w:r>
      <w:bookmarkEnd w:id="20"/>
      <w:r/>
      <w:bookmarkEnd w:id="21"/>
      <w:r>
        <w:rPr>
          <w:rFonts w:hint="eastAsia" w:ascii="宋体" w:hAnsi="宋体" w:cs="宋体"/>
          <w:b/>
          <w:bCs/>
          <w:color w:val="auto"/>
          <w:szCs w:val="24"/>
          <w:highlight w:val="none"/>
        </w:rPr>
        <w:t xml:space="preserve">截止时间、开标时间和地点</w:t>
      </w:r>
      <w:bookmarkEnd w:id="22"/>
      <w:r/>
      <w:bookmarkEnd w:id="23"/>
      <w:r/>
      <w:bookmarkEnd w:id="24"/>
      <w:r/>
      <w:r/>
    </w:p>
    <w:p>
      <w:pPr>
        <w:ind w:right="48" w:firstLine="422"/>
        <w:spacing w:line="420" w:lineRule="exact"/>
        <w:rPr>
          <w:rFonts w:ascii="宋体" w:hAnsi="宋体" w:cs="宋体"/>
          <w:bCs/>
          <w:color w:val="auto"/>
          <w:szCs w:val="21"/>
          <w:highlight w:val="none"/>
          <w:u w:val="single"/>
        </w:rPr>
      </w:pPr>
      <w:r>
        <w:rPr>
          <w:rFonts w:hint="eastAsia" w:ascii="宋体" w:hAnsi="宋体" w:cs="宋体"/>
          <w:color w:val="auto"/>
          <w:szCs w:val="24"/>
          <w:highlight w:val="none"/>
        </w:rPr>
        <w:t xml:space="preserve">1.时间：</w:t>
      </w:r>
      <w:bookmarkStart w:id="25" w:name="XMTBJSR_2"/>
      <w:r>
        <w:rPr>
          <w:rFonts w:hint="eastAsia" w:ascii="宋体" w:hAnsi="宋体" w:cs="宋体"/>
          <w:bCs/>
          <w:color w:val="auto"/>
          <w:szCs w:val="24"/>
          <w:highlight w:val="none"/>
          <w:u w:val="single"/>
        </w:rPr>
        <w:t xml:space="preserve">2024年</w:t>
      </w:r>
      <w:r>
        <w:rPr>
          <w:rFonts w:hint="eastAsia" w:ascii="宋体" w:hAnsi="宋体" w:cs="宋体"/>
          <w:bCs/>
          <w:color w:val="auto"/>
          <w:szCs w:val="24"/>
          <w:highlight w:val="none"/>
          <w:u w:val="single"/>
          <w:lang w:val="en-US" w:eastAsia="zh-CN"/>
        </w:rPr>
        <w:t xml:space="preserve">5</w:t>
      </w:r>
      <w:r>
        <w:rPr>
          <w:rFonts w:hint="eastAsia" w:ascii="宋体" w:hAnsi="宋体" w:cs="宋体"/>
          <w:bCs/>
          <w:color w:val="auto"/>
          <w:szCs w:val="24"/>
          <w:highlight w:val="none"/>
          <w:u w:val="single"/>
        </w:rPr>
        <w:t xml:space="preserve">月</w:t>
      </w:r>
      <w:r>
        <w:rPr>
          <w:rFonts w:hint="eastAsia" w:ascii="宋体" w:hAnsi="宋体" w:cs="宋体"/>
          <w:bCs/>
          <w:color w:val="auto"/>
          <w:szCs w:val="24"/>
          <w:highlight w:val="none"/>
          <w:u w:val="single"/>
          <w:lang w:val="en-US" w:eastAsia="zh-CN"/>
        </w:rPr>
        <w:t xml:space="preserve">16</w:t>
      </w:r>
      <w:r>
        <w:rPr>
          <w:rFonts w:hint="eastAsia" w:ascii="宋体" w:hAnsi="宋体" w:cs="宋体"/>
          <w:bCs/>
          <w:color w:val="auto"/>
          <w:szCs w:val="24"/>
          <w:highlight w:val="none"/>
          <w:u w:val="single"/>
        </w:rPr>
        <w:t xml:space="preserve">日 9点30分</w:t>
      </w:r>
      <w:bookmarkEnd w:id="25"/>
      <w:r>
        <w:rPr>
          <w:rFonts w:hint="eastAsia" w:ascii="宋体" w:hAnsi="宋体" w:cs="宋体"/>
          <w:bCs/>
          <w:color w:val="auto"/>
          <w:szCs w:val="24"/>
          <w:highlight w:val="none"/>
        </w:rPr>
        <w:t xml:space="preserve">（北京时间）</w:t>
      </w:r>
      <w:r/>
    </w:p>
    <w:p>
      <w:pPr>
        <w:ind w:right="48" w:firstLine="422"/>
        <w:spacing w:line="420" w:lineRule="exact"/>
        <w:rPr>
          <w:rFonts w:ascii="宋体" w:hAnsi="宋体" w:cs="宋体"/>
          <w:bCs/>
          <w:color w:val="auto"/>
          <w:szCs w:val="24"/>
          <w:highlight w:val="none"/>
          <w:u w:val="single"/>
        </w:rPr>
      </w:pPr>
      <w:r>
        <w:rPr>
          <w:rFonts w:hint="eastAsia" w:ascii="宋体" w:hAnsi="宋体" w:cs="宋体"/>
          <w:color w:val="auto"/>
          <w:szCs w:val="24"/>
          <w:highlight w:val="none"/>
        </w:rPr>
        <w:t xml:space="preserve">2.地点：</w:t>
      </w:r>
      <w:r>
        <w:rPr>
          <w:rFonts w:hint="eastAsia" w:ascii="宋体" w:hAnsi="宋体"/>
          <w:color w:val="auto"/>
          <w:szCs w:val="21"/>
          <w:highlight w:val="none"/>
        </w:rPr>
        <w:t xml:space="preserve">“苏采云”政府采购交易系统网上开标大厅。</w:t>
      </w:r>
      <w:r/>
    </w:p>
    <w:p>
      <w:pPr>
        <w:ind w:right="48" w:firstLine="422"/>
        <w:spacing w:line="420" w:lineRule="exact"/>
        <w:tabs>
          <w:tab w:val="left" w:pos="266" w:leader="none"/>
        </w:tabs>
        <w:rPr>
          <w:rFonts w:ascii="宋体" w:hAnsi="宋体" w:cs="宋体"/>
          <w:b/>
          <w:bCs/>
          <w:color w:val="auto"/>
          <w:szCs w:val="24"/>
          <w:highlight w:val="none"/>
        </w:rPr>
      </w:pPr>
      <w:r/>
      <w:bookmarkStart w:id="26" w:name="_Toc35393794"/>
      <w:r/>
      <w:bookmarkStart w:id="27" w:name="_Toc35393625"/>
      <w:r/>
      <w:bookmarkStart w:id="28" w:name="_Toc28359084"/>
      <w:r/>
      <w:bookmarkStart w:id="29" w:name="_Toc28359007"/>
      <w:r/>
      <w:bookmarkStart w:id="30" w:name="_Toc38985267"/>
      <w:r>
        <w:rPr>
          <w:rFonts w:hint="eastAsia" w:ascii="宋体" w:hAnsi="宋体" w:cs="宋体"/>
          <w:b/>
          <w:bCs/>
          <w:color w:val="auto"/>
          <w:szCs w:val="24"/>
          <w:highlight w:val="none"/>
        </w:rPr>
        <w:t xml:space="preserve">五、公告期限</w:t>
      </w:r>
      <w:bookmarkEnd w:id="26"/>
      <w:r/>
      <w:bookmarkEnd w:id="27"/>
      <w:r/>
      <w:bookmarkEnd w:id="28"/>
      <w:r/>
      <w:bookmarkEnd w:id="29"/>
      <w:r/>
      <w:bookmarkEnd w:id="30"/>
      <w:r/>
      <w:r/>
    </w:p>
    <w:p>
      <w:pPr>
        <w:ind w:right="48" w:firstLine="422"/>
        <w:spacing w:line="420" w:lineRule="exact"/>
        <w:rPr>
          <w:rFonts w:ascii="宋体" w:hAnsi="宋体" w:cs="宋体"/>
          <w:color w:val="auto"/>
          <w:szCs w:val="24"/>
          <w:highlight w:val="none"/>
        </w:rPr>
      </w:pPr>
      <w:r/>
      <w:bookmarkStart w:id="31" w:name="_Toc35393626"/>
      <w:r/>
      <w:bookmarkStart w:id="32" w:name="_Toc38985268"/>
      <w:r/>
      <w:bookmarkStart w:id="33" w:name="_Toc35393795"/>
      <w:r>
        <w:rPr>
          <w:rFonts w:hint="eastAsia" w:ascii="宋体" w:hAnsi="宋体" w:cs="宋体"/>
          <w:color w:val="auto"/>
          <w:szCs w:val="24"/>
          <w:highlight w:val="none"/>
        </w:rPr>
        <w:t xml:space="preserve">招标公告及招标文件公告期限为自本公告发布之日起5个工作日。</w:t>
      </w:r>
      <w:r/>
    </w:p>
    <w:p>
      <w:pPr>
        <w:ind w:right="48" w:firstLine="422"/>
        <w:spacing w:line="420" w:lineRule="exact"/>
        <w:tabs>
          <w:tab w:val="left" w:pos="266" w:leader="none"/>
        </w:tabs>
        <w:rPr>
          <w:rFonts w:ascii="宋体" w:hAnsi="宋体" w:cs="宋体"/>
          <w:b/>
          <w:bCs/>
          <w:color w:val="auto"/>
          <w:szCs w:val="24"/>
          <w:highlight w:val="none"/>
        </w:rPr>
      </w:pPr>
      <w:r>
        <w:rPr>
          <w:rFonts w:hint="eastAsia" w:ascii="宋体" w:hAnsi="宋体" w:cs="宋体"/>
          <w:b/>
          <w:bCs/>
          <w:color w:val="auto"/>
          <w:szCs w:val="24"/>
          <w:highlight w:val="none"/>
        </w:rPr>
        <w:t xml:space="preserve">六、其他补充事宜</w:t>
      </w:r>
      <w:bookmarkEnd w:id="31"/>
      <w:r/>
      <w:bookmarkEnd w:id="32"/>
      <w:r/>
      <w:bookmarkEnd w:id="33"/>
      <w:r/>
      <w:r/>
    </w:p>
    <w:p>
      <w:pPr>
        <w:ind w:right="48" w:firstLine="525"/>
        <w:spacing w:line="420" w:lineRule="exact"/>
        <w:rPr>
          <w:rFonts w:ascii="宋体" w:hAnsi="宋体" w:cs="宋体"/>
          <w:color w:val="auto"/>
          <w:szCs w:val="21"/>
          <w:highlight w:val="none"/>
        </w:rPr>
      </w:pPr>
      <w:r>
        <w:rPr>
          <w:rFonts w:hint="eastAsia" w:ascii="宋体" w:hAnsi="宋体" w:cs="宋体"/>
          <w:color w:val="auto"/>
          <w:szCs w:val="24"/>
          <w:highlight w:val="none"/>
        </w:rPr>
        <w:t xml:space="preserve">无</w:t>
      </w:r>
      <w:r/>
    </w:p>
    <w:p>
      <w:pPr>
        <w:ind w:right="48" w:firstLine="422"/>
        <w:spacing w:line="420" w:lineRule="exact"/>
        <w:tabs>
          <w:tab w:val="left" w:pos="266" w:leader="none"/>
        </w:tabs>
        <w:rPr>
          <w:rFonts w:ascii="宋体" w:hAnsi="宋体" w:cs="宋体"/>
          <w:b/>
          <w:bCs/>
          <w:color w:val="auto"/>
          <w:szCs w:val="24"/>
          <w:highlight w:val="none"/>
        </w:rPr>
      </w:pPr>
      <w:r/>
      <w:bookmarkStart w:id="34" w:name="_Toc38985269"/>
      <w:r/>
      <w:bookmarkStart w:id="35" w:name="_Toc28359085"/>
      <w:r/>
      <w:bookmarkStart w:id="36" w:name="_Toc28359008"/>
      <w:r/>
      <w:bookmarkStart w:id="37" w:name="_Toc35393627"/>
      <w:r/>
      <w:bookmarkStart w:id="38" w:name="_Toc35393796"/>
      <w:r>
        <w:rPr>
          <w:rFonts w:hint="eastAsia" w:ascii="宋体" w:hAnsi="宋体" w:cs="宋体"/>
          <w:b/>
          <w:bCs/>
          <w:color w:val="auto"/>
          <w:szCs w:val="24"/>
          <w:highlight w:val="none"/>
        </w:rPr>
        <w:t xml:space="preserve">七、本次招标联系方式</w:t>
      </w:r>
      <w:bookmarkEnd w:id="34"/>
      <w:r/>
      <w:bookmarkEnd w:id="35"/>
      <w:r/>
      <w:bookmarkEnd w:id="36"/>
      <w:r/>
      <w:bookmarkEnd w:id="37"/>
      <w:r/>
      <w:bookmarkEnd w:id="38"/>
      <w:r/>
      <w:r/>
    </w:p>
    <w:p>
      <w:pPr>
        <w:ind w:right="48" w:firstLine="422"/>
        <w:spacing w:line="420" w:lineRule="exact"/>
        <w:rPr>
          <w:rFonts w:ascii="宋体" w:hAnsi="宋体" w:cs="宋体"/>
          <w:color w:val="auto"/>
          <w:szCs w:val="24"/>
          <w:highlight w:val="none"/>
        </w:rPr>
      </w:pPr>
      <w:r/>
      <w:bookmarkStart w:id="39" w:name="_Toc28359010"/>
      <w:r/>
      <w:bookmarkStart w:id="40" w:name="_Toc28359087"/>
      <w:r>
        <w:rPr>
          <w:rFonts w:ascii="宋体" w:hAnsi="宋体" w:cs="宋体"/>
          <w:color w:val="auto"/>
          <w:szCs w:val="24"/>
          <w:highlight w:val="none"/>
        </w:rPr>
        <w:t xml:space="preserve">1</w:t>
      </w:r>
      <w:r>
        <w:rPr>
          <w:rFonts w:hint="eastAsia" w:ascii="宋体" w:hAnsi="宋体" w:cs="宋体"/>
          <w:color w:val="auto"/>
          <w:szCs w:val="24"/>
          <w:highlight w:val="none"/>
        </w:rPr>
        <w:t xml:space="preserve">、采购人信息</w:t>
      </w:r>
      <w:r/>
    </w:p>
    <w:p>
      <w:pPr>
        <w:ind w:right="48" w:firstLine="707"/>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名称：</w:t>
      </w:r>
      <w:r>
        <w:rPr>
          <w:rFonts w:hint="eastAsia" w:ascii="宋体" w:hAnsi="宋体" w:cs="宋体"/>
          <w:color w:val="auto"/>
          <w:szCs w:val="24"/>
          <w:highlight w:val="none"/>
          <w:u w:val="single"/>
        </w:rPr>
        <w:t xml:space="preserve">扬州经济技术开发区文汇街道办事处</w:t>
      </w:r>
      <w:r/>
    </w:p>
    <w:p>
      <w:pPr>
        <w:ind w:right="48" w:firstLine="707"/>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地址：</w:t>
      </w:r>
      <w:r>
        <w:rPr>
          <w:rFonts w:hint="eastAsia" w:ascii="宋体" w:hAnsi="宋体" w:cs="宋体"/>
          <w:color w:val="auto"/>
          <w:szCs w:val="24"/>
          <w:highlight w:val="none"/>
          <w:u w:val="single"/>
        </w:rPr>
        <w:t xml:space="preserve">扬州市经济技术开发区兴城路108号</w:t>
      </w:r>
      <w:r/>
    </w:p>
    <w:p>
      <w:pPr>
        <w:ind w:right="48" w:firstLine="707"/>
        <w:spacing w:line="420" w:lineRule="exact"/>
        <w:rPr>
          <w:rFonts w:ascii="宋体" w:hAnsi="宋体" w:cs="宋体"/>
          <w:color w:val="auto"/>
          <w:szCs w:val="24"/>
          <w:highlight w:val="none"/>
        </w:rPr>
      </w:pPr>
      <w:r>
        <w:rPr>
          <w:rFonts w:hint="eastAsia" w:ascii="宋体" w:hAnsi="宋体" w:cs="宋体"/>
          <w:color w:val="auto"/>
          <w:szCs w:val="24"/>
          <w:highlight w:val="none"/>
        </w:rPr>
        <w:t xml:space="preserve">联系人：</w:t>
      </w:r>
      <w:r>
        <w:rPr>
          <w:rFonts w:hint="eastAsia" w:ascii="宋体" w:hAnsi="宋体" w:cs="宋体"/>
          <w:color w:val="auto"/>
          <w:szCs w:val="24"/>
          <w:highlight w:val="none"/>
          <w:u w:val="single"/>
        </w:rPr>
        <w:t xml:space="preserve">刘丽</w:t>
      </w:r>
      <w:r/>
    </w:p>
    <w:p>
      <w:pPr>
        <w:ind w:right="48" w:firstLine="707"/>
        <w:spacing w:line="420" w:lineRule="exact"/>
        <w:rPr>
          <w:rFonts w:ascii="宋体" w:hAnsi="宋体" w:cs="宋体"/>
          <w:color w:val="auto"/>
          <w:szCs w:val="24"/>
          <w:highlight w:val="none"/>
          <w:u w:val="single"/>
        </w:rPr>
      </w:pPr>
      <w:r>
        <w:rPr>
          <w:rFonts w:hint="eastAsia" w:ascii="宋体" w:hAnsi="宋体" w:cs="宋体"/>
          <w:color w:val="auto"/>
          <w:szCs w:val="24"/>
          <w:highlight w:val="none"/>
        </w:rPr>
        <w:t xml:space="preserve">联系方式：</w:t>
      </w:r>
      <w:r>
        <w:rPr>
          <w:rFonts w:ascii="宋体" w:hAnsi="宋体" w:cs="宋体"/>
          <w:color w:val="auto"/>
          <w:szCs w:val="24"/>
          <w:highlight w:val="none"/>
          <w:u w:val="single"/>
        </w:rPr>
        <w:t xml:space="preserve">18652578123</w:t>
      </w:r>
      <w:r/>
    </w:p>
    <w:p>
      <w:pPr>
        <w:ind w:right="48" w:firstLine="422"/>
        <w:spacing w:line="42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rPr>
        <w:t xml:space="preserve">扬州市公共资源交易中心</w:t>
      </w:r>
      <w:r>
        <w:rPr>
          <w:rFonts w:ascii="宋体" w:hAnsi="宋体"/>
          <w:color w:val="auto"/>
          <w:szCs w:val="21"/>
          <w:highlight w:val="none"/>
        </w:rPr>
        <w:t xml:space="preserve">开发区分中心</w:t>
      </w:r>
      <w:r>
        <w:rPr>
          <w:rFonts w:hint="eastAsia" w:ascii="宋体" w:hAnsi="宋体"/>
          <w:color w:val="auto"/>
          <w:szCs w:val="21"/>
          <w:highlight w:val="none"/>
        </w:rPr>
        <w:t xml:space="preserve">信息</w:t>
      </w:r>
      <w:r/>
    </w:p>
    <w:p>
      <w:pPr>
        <w:ind w:right="48" w:firstLine="630"/>
        <w:spacing w:line="420" w:lineRule="exact"/>
        <w:rPr>
          <w:rFonts w:ascii="宋体" w:hAnsi="宋体"/>
          <w:color w:val="auto"/>
          <w:szCs w:val="21"/>
          <w:highlight w:val="none"/>
          <w:u w:val="single"/>
        </w:rPr>
      </w:pPr>
      <w:r>
        <w:rPr>
          <w:rFonts w:hint="eastAsia" w:ascii="宋体" w:hAnsi="宋体"/>
          <w:color w:val="auto"/>
          <w:szCs w:val="21"/>
          <w:highlight w:val="none"/>
        </w:rPr>
        <w:t xml:space="preserve">名称：</w:t>
      </w:r>
      <w:r>
        <w:rPr>
          <w:rFonts w:hint="eastAsia" w:ascii="宋体" w:hAnsi="宋体"/>
          <w:color w:val="auto"/>
          <w:szCs w:val="21"/>
          <w:highlight w:val="none"/>
          <w:u w:val="single"/>
        </w:rPr>
        <w:t xml:space="preserve">扬州市公共资源交易中心</w:t>
      </w:r>
      <w:r>
        <w:rPr>
          <w:rFonts w:ascii="宋体" w:hAnsi="宋体"/>
          <w:color w:val="auto"/>
          <w:szCs w:val="21"/>
          <w:highlight w:val="none"/>
          <w:u w:val="single"/>
        </w:rPr>
        <w:t xml:space="preserve">开发区分中心</w:t>
      </w:r>
      <w:r/>
    </w:p>
    <w:p>
      <w:pPr>
        <w:ind w:right="48" w:firstLine="630"/>
        <w:spacing w:line="420" w:lineRule="exact"/>
        <w:rPr>
          <w:rFonts w:ascii="宋体" w:hAnsi="宋体"/>
          <w:color w:val="auto"/>
          <w:szCs w:val="21"/>
          <w:highlight w:val="none"/>
          <w:u w:val="singl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江苏省扬州市扬子江中路188号智谷A座3楼扬州市公共资源交易中心开发区分中心</w:t>
      </w:r>
      <w:r/>
    </w:p>
    <w:p>
      <w:pPr>
        <w:ind w:right="48" w:firstLine="630"/>
        <w:spacing w:line="420" w:lineRule="exact"/>
        <w:rPr>
          <w:rFonts w:ascii="宋体" w:hAnsi="宋体"/>
          <w:color w:val="auto"/>
          <w:szCs w:val="21"/>
          <w:highlight w:val="none"/>
          <w:u w:val="single"/>
        </w:rPr>
      </w:pPr>
      <w:r>
        <w:rPr>
          <w:rFonts w:hint="eastAsia" w:ascii="宋体" w:hAnsi="宋体"/>
          <w:color w:val="auto"/>
          <w:szCs w:val="21"/>
          <w:highlight w:val="none"/>
        </w:rPr>
        <w:t xml:space="preserve">联系人：</w:t>
      </w:r>
      <w:r>
        <w:rPr>
          <w:rFonts w:hint="eastAsia" w:ascii="宋体" w:hAnsi="宋体"/>
          <w:color w:val="auto"/>
          <w:szCs w:val="21"/>
          <w:highlight w:val="none"/>
          <w:u w:val="single"/>
        </w:rPr>
        <w:t xml:space="preserve">徐冰</w:t>
      </w:r>
      <w:r/>
    </w:p>
    <w:p>
      <w:pPr>
        <w:ind w:right="48" w:firstLine="630"/>
        <w:jc w:val="left"/>
        <w:spacing w:line="420" w:lineRule="exact"/>
        <w:rPr>
          <w:rFonts w:ascii="宋体" w:hAnsi="宋体"/>
          <w:color w:val="auto"/>
          <w:szCs w:val="21"/>
          <w:highlight w:val="none"/>
          <w:u w:val="single"/>
        </w:rPr>
      </w:pPr>
      <w:r>
        <w:rPr>
          <w:rFonts w:hint="eastAsia" w:ascii="宋体" w:hAnsi="宋体"/>
          <w:color w:val="auto"/>
          <w:szCs w:val="21"/>
          <w:highlight w:val="none"/>
        </w:rPr>
        <w:t xml:space="preserve">联系方式：</w:t>
      </w:r>
      <w:r>
        <w:rPr>
          <w:rFonts w:hint="eastAsia" w:ascii="宋体" w:hAnsi="宋体" w:cs="宋体"/>
          <w:color w:val="auto"/>
          <w:highlight w:val="none"/>
          <w:u w:val="single"/>
        </w:rPr>
        <w:t xml:space="preserve">0514-82982670</w:t>
      </w:r>
      <w:r/>
    </w:p>
    <w:p>
      <w:pPr>
        <w:ind w:right="48" w:firstLine="422"/>
        <w:spacing w:line="420" w:lineRule="exact"/>
        <w:tabs>
          <w:tab w:val="left" w:pos="266" w:leader="none"/>
        </w:tabs>
        <w:rPr>
          <w:rFonts w:ascii="宋体" w:hAnsi="宋体" w:cs="宋体"/>
          <w:b/>
          <w:bCs/>
          <w:color w:val="auto"/>
          <w:szCs w:val="24"/>
          <w:highlight w:val="none"/>
        </w:rPr>
      </w:pPr>
      <w:r>
        <w:rPr>
          <w:rFonts w:hint="eastAsia" w:ascii="宋体" w:hAnsi="宋体" w:cs="宋体"/>
          <w:b/>
          <w:bCs/>
          <w:color w:val="auto"/>
          <w:szCs w:val="24"/>
          <w:highlight w:val="none"/>
        </w:rPr>
        <w:t xml:space="preserve">八、</w:t>
      </w:r>
      <w:bookmarkEnd w:id="39"/>
      <w:r/>
      <w:bookmarkEnd w:id="40"/>
      <w:r>
        <w:rPr>
          <w:rFonts w:hint="eastAsia" w:ascii="宋体" w:hAnsi="宋体" w:cs="宋体"/>
          <w:b/>
          <w:bCs/>
          <w:color w:val="auto"/>
          <w:szCs w:val="24"/>
          <w:highlight w:val="none"/>
        </w:rPr>
        <w:t xml:space="preserve">其他</w:t>
      </w:r>
      <w:r/>
    </w:p>
    <w:p>
      <w:pPr>
        <w:ind w:firstLine="480"/>
        <w:spacing w:line="560" w:lineRule="exact"/>
        <w:tabs>
          <w:tab w:val="left" w:pos="900" w:leader="none"/>
        </w:tabs>
        <w:rPr>
          <w:rFonts w:ascii="宋体" w:hAnsi="宋体"/>
          <w:bCs/>
          <w:color w:val="auto"/>
          <w:sz w:val="24"/>
          <w:szCs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w:t>
      </w:r>
      <w:r/>
    </w:p>
    <w:p>
      <w:pPr>
        <w:ind w:firstLine="480"/>
        <w:spacing w:line="560" w:lineRule="exact"/>
        <w:tabs>
          <w:tab w:val="left" w:pos="900" w:leader="none"/>
        </w:tabs>
        <w:rPr>
          <w:rFonts w:ascii="宋体" w:hAnsi="宋体"/>
          <w:bCs/>
          <w:color w:val="auto"/>
          <w:sz w:val="24"/>
          <w:szCs w:val="24"/>
          <w:highlight w:val="none"/>
        </w:rPr>
      </w:pPr>
      <w:r>
        <w:rPr>
          <w:rFonts w:ascii="宋体" w:hAnsi="宋体" w:cs="宋体"/>
          <w:color w:val="auto"/>
          <w:sz w:val="24"/>
          <w:highlight w:val="none"/>
        </w:rPr>
        <w:t xml:space="preserve">http://zfcg.yangzhou.gov.cn/zfcg/xzzx/202309/4d7de1f7865f4a2894fc22bc452f94d8.shtml</w:t>
      </w:r>
      <w:r>
        <w:rPr>
          <w:rFonts w:hint="eastAsia" w:ascii="宋体" w:hAnsi="宋体" w:cs="宋体"/>
          <w:color w:val="auto"/>
          <w:sz w:val="24"/>
          <w:highlight w:val="none"/>
        </w:rPr>
        <w:t xml:space="preserve">，</w:t>
      </w:r>
      <w:r>
        <w:rPr>
          <w:rFonts w:ascii="宋体" w:hAnsi="宋体" w:cs="宋体"/>
          <w:color w:val="auto"/>
          <w:sz w:val="24"/>
          <w:highlight w:val="none"/>
        </w:rPr>
        <w:t xml:space="preserve">请按《操作手册》要求制作、上传电子投标文件。</w:t>
      </w:r>
      <w:r/>
    </w:p>
    <w:p>
      <w:pPr>
        <w:ind w:firstLine="480"/>
        <w:spacing w:line="560" w:lineRule="exact"/>
        <w:tabs>
          <w:tab w:val="left" w:pos="900" w:leader="none"/>
        </w:tabs>
        <w:rPr>
          <w:rFonts w:ascii="宋体" w:hAnsi="宋体"/>
          <w:color w:val="auto"/>
          <w:sz w:val="24"/>
          <w:szCs w:val="24"/>
          <w:highlight w:val="none"/>
        </w:rPr>
      </w:pPr>
      <w:r>
        <w:rPr>
          <w:rFonts w:hint="eastAsia" w:ascii="宋体" w:hAnsi="宋体"/>
          <w:bCs/>
          <w:color w:val="auto"/>
          <w:sz w:val="24"/>
          <w:szCs w:val="24"/>
          <w:highlight w:val="none"/>
        </w:rPr>
        <w:t xml:space="preserve">领取CA和办理电子签章</w:t>
      </w:r>
      <w:r>
        <w:rPr>
          <w:rFonts w:ascii="宋体" w:hAnsi="宋体" w:cs="宋体"/>
          <w:color w:val="auto"/>
          <w:sz w:val="24"/>
          <w:highlight w:val="none"/>
        </w:rPr>
        <w:t xml:space="preserve">（请至扬州市文昌东路9号广陵新城市民中心1号楼5楼办理，具体联系方式：18952716110）</w:t>
      </w:r>
      <w:r>
        <w:rPr>
          <w:rFonts w:hint="eastAsia" w:ascii="宋体" w:hAnsi="宋体"/>
          <w:bCs/>
          <w:color w:val="auto"/>
          <w:sz w:val="24"/>
          <w:szCs w:val="24"/>
          <w:highlight w:val="none"/>
        </w:rPr>
        <w:t xml:space="preserve">。</w:t>
      </w:r>
      <w:r/>
    </w:p>
    <w:p>
      <w:pPr>
        <w:ind w:firstLine="480"/>
        <w:spacing w:line="56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2.本次招标不收取投标保证金。</w:t>
      </w:r>
      <w:r/>
    </w:p>
    <w:p>
      <w:pPr>
        <w:ind w:firstLine="480"/>
        <w:spacing w:line="56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3.有关本次招标的事项若存在变动或修改，敬请及时关注“扬州市政府采购网”、“江苏省政府采购网”发布的信息。</w:t>
      </w:r>
      <w:r/>
    </w:p>
    <w:p>
      <w:pPr>
        <w:ind w:firstLine="482"/>
        <w:spacing w:line="560" w:lineRule="exact"/>
        <w:tabs>
          <w:tab w:val="left" w:pos="900" w:leader="none"/>
        </w:tabs>
        <w:rPr>
          <w:rFonts w:ascii="宋体" w:hAnsi="宋体"/>
          <w:bCs/>
          <w:color w:val="auto"/>
          <w:sz w:val="24"/>
          <w:szCs w:val="24"/>
          <w:highlight w:val="none"/>
        </w:rPr>
      </w:pPr>
      <w:r>
        <w:rPr>
          <w:rFonts w:hint="eastAsia" w:ascii="宋体" w:hAnsi="宋体"/>
          <w:b/>
          <w:bCs/>
          <w:i/>
          <w:iCs/>
          <w:color w:val="auto"/>
          <w:sz w:val="24"/>
          <w:szCs w:val="24"/>
          <w:highlight w:val="none"/>
          <w:u w:val="single"/>
        </w:rPr>
        <w:t xml:space="preserve">4.本项目招标文件中所有斜体下划线部分为实质性条款，如不满足，则为无效投标。</w:t>
      </w:r>
      <w:r/>
    </w:p>
    <w:p>
      <w:pPr>
        <w:pStyle w:val="815"/>
        <w:ind w:firstLine="640"/>
        <w:rPr>
          <w:color w:val="auto"/>
          <w:highlight w:val="none"/>
        </w:rPr>
      </w:pPr>
      <w:r>
        <w:rPr>
          <w:color w:val="auto"/>
          <w:highlight w:val="none"/>
        </w:rPr>
      </w:r>
      <w:r/>
    </w:p>
    <w:p>
      <w:pPr>
        <w:rPr>
          <w:color w:val="auto"/>
          <w:highlight w:val="none"/>
        </w:rPr>
      </w:pPr>
      <w:r>
        <w:rPr>
          <w:color w:val="auto"/>
          <w:highlight w:val="none"/>
        </w:rPr>
      </w:r>
      <w:r/>
    </w:p>
    <w:p>
      <w:pPr>
        <w:pStyle w:val="815"/>
        <w:ind w:firstLine="640"/>
        <w:rPr>
          <w:color w:val="auto"/>
          <w:highlight w:val="none"/>
        </w:rPr>
      </w:pPr>
      <w:r>
        <w:rPr>
          <w:color w:val="auto"/>
          <w:highlight w:val="none"/>
        </w:rPr>
      </w:r>
      <w:r/>
    </w:p>
    <w:p>
      <w:pPr>
        <w:rPr>
          <w:color w:val="auto"/>
          <w:highlight w:val="none"/>
        </w:rPr>
      </w:pPr>
      <w:r>
        <w:rPr>
          <w:color w:val="auto"/>
          <w:highlight w:val="none"/>
        </w:rPr>
      </w:r>
      <w:r/>
    </w:p>
    <w:p>
      <w:pPr>
        <w:pStyle w:val="815"/>
        <w:ind w:firstLine="640"/>
        <w:rPr>
          <w:color w:val="auto"/>
          <w:highlight w:val="none"/>
        </w:rPr>
      </w:pPr>
      <w:r>
        <w:rPr>
          <w:color w:val="auto"/>
          <w:highlight w:val="none"/>
        </w:rPr>
      </w:r>
      <w:r/>
    </w:p>
    <w:p>
      <w:pPr>
        <w:rPr>
          <w:color w:val="auto"/>
          <w:highlight w:val="none"/>
        </w:rPr>
      </w:pPr>
      <w:r>
        <w:rPr>
          <w:color w:val="auto"/>
          <w:highlight w:val="none"/>
        </w:rPr>
      </w:r>
      <w:r/>
    </w:p>
    <w:p>
      <w:pPr>
        <w:pStyle w:val="815"/>
        <w:ind w:firstLine="640"/>
        <w:rPr>
          <w:color w:val="auto"/>
          <w:highlight w:val="none"/>
        </w:rPr>
      </w:pPr>
      <w:r>
        <w:rPr>
          <w:color w:val="auto"/>
          <w:highlight w:val="none"/>
        </w:rPr>
      </w:r>
      <w:r/>
    </w:p>
    <w:p>
      <w:pPr>
        <w:pStyle w:val="809"/>
        <w:ind w:firstLine="880"/>
        <w:jc w:val="center"/>
        <w:rPr>
          <w:highlight w:val="none"/>
        </w:rPr>
      </w:pPr>
      <w:r>
        <w:rPr>
          <w:highlight w:val="none"/>
        </w:rPr>
      </w:r>
      <w:r>
        <w:rPr>
          <w:highlight w:val="none"/>
        </w:rPr>
      </w:r>
      <w:r/>
    </w:p>
    <w:p>
      <w:pPr>
        <w:shd w:val="nil" w:color="000000"/>
        <w:rPr>
          <w:highlight w:val="none"/>
          <w14:ligatures w14:val="none"/>
        </w:rPr>
      </w:pPr>
      <w:r>
        <w:rPr>
          <w:highlight w:val="none"/>
        </w:rPr>
      </w:r>
      <w:r>
        <w:rPr>
          <w:highlight w:val="none"/>
        </w:rPr>
      </w:r>
      <w:r/>
    </w:p>
    <w:p>
      <w:pPr>
        <w:shd w:val="nil" w:color="000000"/>
        <w:rPr>
          <w:highlight w:val="none"/>
          <w14:ligatures w14:val="none"/>
        </w:rPr>
      </w:pPr>
      <w:r>
        <w:rPr>
          <w:highlight w:val="none"/>
        </w:rPr>
      </w:r>
      <w:r>
        <w:rPr>
          <w:highlight w:val="none"/>
        </w:rPr>
      </w:r>
      <w:r/>
    </w:p>
    <w:p>
      <w:pPr>
        <w:shd w:val="nil" w:color="000000"/>
        <w:rPr>
          <w:highlight w:val="none"/>
          <w14:ligatures w14:val="none"/>
        </w:rPr>
      </w:pPr>
      <w:r>
        <w:rPr>
          <w:highlight w:val="none"/>
        </w:rPr>
      </w:r>
      <w:r>
        <w:rPr>
          <w:highlight w:val="none"/>
        </w:rPr>
      </w:r>
      <w:r/>
    </w:p>
    <w:p>
      <w:pPr>
        <w:shd w:val="nil" w:color="000000"/>
        <w:rPr>
          <w:highlight w:val="none"/>
          <w14:ligatures w14:val="none"/>
        </w:rPr>
      </w:pPr>
      <w:r>
        <w:rPr>
          <w:highlight w:val="none"/>
        </w:rPr>
      </w:r>
      <w:r>
        <w:rPr>
          <w:highlight w:val="none"/>
        </w:rPr>
      </w:r>
      <w:r/>
    </w:p>
    <w:p>
      <w:pPr>
        <w:shd w:val="nil" w:color="000000"/>
        <w:rPr>
          <w:highlight w:val="none"/>
          <w14:ligatures w14:val="none"/>
        </w:rPr>
      </w:pPr>
      <w:r>
        <w:rPr>
          <w:highlight w:val="none"/>
        </w:rPr>
      </w:r>
      <w:r>
        <w:rPr>
          <w:highlight w:val="none"/>
        </w:rPr>
      </w:r>
      <w:r/>
    </w:p>
    <w:p>
      <w:pPr>
        <w:shd w:val="nil" w:color="000000"/>
        <w:rPr>
          <w:highlight w:val="none"/>
          <w14:ligatures w14:val="none"/>
        </w:rPr>
      </w:pPr>
      <w:r>
        <w:rPr>
          <w:highlight w:val="none"/>
        </w:rPr>
      </w:r>
      <w:r>
        <w:rPr>
          <w:highlight w:val="none"/>
        </w:rPr>
      </w:r>
      <w:r/>
    </w:p>
    <w:p>
      <w:pPr>
        <w:jc w:val="center"/>
        <w:shd w:val="nil" w:color="auto"/>
        <w:rPr>
          <w:b/>
          <w:bCs/>
          <w:sz w:val="44"/>
          <w:szCs w:val="44"/>
          <w:highlight w:val="none"/>
          <w14:ligatures w14:val="none"/>
        </w:rPr>
      </w:pPr>
      <w:r>
        <w:rPr>
          <w:b/>
          <w:bCs/>
          <w:sz w:val="44"/>
          <w:szCs w:val="44"/>
        </w:rPr>
      </w:r>
      <w:bookmarkStart w:id="41" w:name="_Toc15445"/>
      <w:r>
        <w:rPr>
          <w:b/>
          <w:bCs/>
          <w:sz w:val="44"/>
          <w:szCs w:val="44"/>
          <w:highlight w:val="none"/>
        </w:rPr>
        <w:t xml:space="preserve">第二章 投标人须知</w:t>
      </w:r>
      <w:bookmarkEnd w:id="41"/>
      <w:r>
        <w:rPr>
          <w:b/>
          <w:bCs/>
          <w:sz w:val="44"/>
          <w:szCs w:val="44"/>
        </w:rPr>
      </w:r>
      <w:r/>
    </w:p>
    <w:p>
      <w:pPr>
        <w:ind w:firstLine="434"/>
        <w:spacing w:before="156" w:after="156" w:line="360" w:lineRule="auto"/>
        <w:rPr>
          <w:color w:val="auto"/>
          <w:sz w:val="28"/>
          <w:szCs w:val="28"/>
          <w:highlight w:val="none"/>
        </w:rPr>
      </w:pPr>
      <w:r/>
      <w:bookmarkStart w:id="42" w:name="_Toc513029203"/>
      <w:r/>
      <w:bookmarkStart w:id="43" w:name="_Toc120614214"/>
      <w:r/>
      <w:bookmarkStart w:id="44" w:name="_Toc16938519"/>
      <w:r/>
      <w:bookmarkStart w:id="45" w:name="_Toc20823275"/>
      <w:r>
        <w:rPr>
          <w:rFonts w:hint="eastAsia"/>
          <w:color w:val="auto"/>
          <w:sz w:val="28"/>
          <w:szCs w:val="28"/>
          <w:highlight w:val="none"/>
        </w:rPr>
        <w:t xml:space="preserve">一、总则</w:t>
      </w:r>
      <w:bookmarkEnd w:id="42"/>
      <w:r/>
      <w:bookmarkEnd w:id="43"/>
      <w:r/>
      <w:bookmarkEnd w:id="44"/>
      <w:r/>
      <w:bookmarkEnd w:id="45"/>
      <w:r/>
      <w:r/>
    </w:p>
    <w:p>
      <w:pPr>
        <w:ind w:left="420" w:right="48" w:firstLine="422"/>
        <w:rPr>
          <w:b/>
          <w:bCs/>
          <w:color w:val="auto"/>
          <w:highlight w:val="none"/>
        </w:rPr>
      </w:pPr>
      <w:r>
        <w:rPr>
          <w:rFonts w:hint="eastAsia"/>
          <w:b/>
          <w:bCs/>
          <w:color w:val="auto"/>
          <w:highlight w:val="none"/>
        </w:rPr>
        <w:t xml:space="preserve">1、招标方式</w:t>
      </w:r>
      <w:r/>
    </w:p>
    <w:p>
      <w:pPr>
        <w:ind w:right="48" w:firstLine="420"/>
        <w:jc w:val="both"/>
        <w:spacing w:line="360" w:lineRule="auto"/>
        <w:rPr>
          <w:color w:val="auto"/>
          <w:highlight w:val="none"/>
        </w:rPr>
      </w:pPr>
      <w:r>
        <w:rPr>
          <w:rFonts w:hint="eastAsia" w:ascii="宋体" w:hAnsi="宋体"/>
          <w:color w:val="auto"/>
          <w:highlight w:val="none"/>
        </w:rPr>
        <w:t xml:space="preserve">1.1本次招标采取公开招标方式，本招标文件仅适用于</w:t>
      </w:r>
      <w:r>
        <w:rPr>
          <w:rFonts w:ascii="Segoe UI" w:hAnsi="Segoe UI" w:eastAsia="Segoe UI" w:cs="Segoe UI"/>
          <w:i w:val="0"/>
          <w:caps w:val="0"/>
          <w:color w:val="auto"/>
          <w:spacing w:val="0"/>
          <w:sz w:val="21"/>
          <w:szCs w:val="21"/>
          <w:highlight w:val="none"/>
          <w:shd w:val="clear" w:color="auto" w:fill="ffffff"/>
        </w:rPr>
        <w:t xml:space="preserve">JSZC-321091-JZCG-G2024-0002</w:t>
      </w:r>
      <w:r>
        <w:rPr>
          <w:rFonts w:hint="eastAsia" w:ascii="宋体" w:hAnsi="宋体"/>
          <w:color w:val="auto"/>
          <w:highlight w:val="none"/>
        </w:rPr>
        <w:t xml:space="preserve">号</w:t>
      </w:r>
      <w:r>
        <w:rPr>
          <w:rFonts w:hint="eastAsia" w:ascii="宋体" w:hAnsi="宋体"/>
          <w:color w:val="auto"/>
          <w:highlight w:val="none"/>
        </w:rPr>
        <w:t xml:space="preserve">项目。</w:t>
      </w:r>
      <w:r/>
    </w:p>
    <w:p>
      <w:pPr>
        <w:ind w:left="420" w:right="48" w:firstLine="422"/>
        <w:rPr>
          <w:b/>
          <w:bCs/>
          <w:color w:val="auto"/>
          <w:highlight w:val="none"/>
        </w:rPr>
      </w:pPr>
      <w:r/>
      <w:bookmarkStart w:id="46" w:name="_Toc20823277"/>
      <w:r/>
      <w:bookmarkStart w:id="47" w:name="_Toc16938521"/>
      <w:r/>
      <w:bookmarkStart w:id="48" w:name="_Toc513029205"/>
      <w:r>
        <w:rPr>
          <w:rFonts w:hint="eastAsia"/>
          <w:b/>
          <w:bCs/>
          <w:color w:val="auto"/>
          <w:highlight w:val="none"/>
        </w:rPr>
        <w:t xml:space="preserve">2、合格的投标人</w:t>
      </w:r>
      <w:bookmarkEnd w:id="46"/>
      <w:r/>
      <w:bookmarkEnd w:id="47"/>
      <w:r/>
      <w:bookmarkEnd w:id="48"/>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2.1满足招标公告中供应商的资格要求的规定。</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2.2 满足本文件实质性要求和条件的规定。</w:t>
      </w:r>
      <w:r/>
    </w:p>
    <w:p>
      <w:pPr>
        <w:ind w:left="420" w:right="48" w:firstLine="422"/>
        <w:rPr>
          <w:b/>
          <w:bCs/>
          <w:color w:val="auto"/>
          <w:highlight w:val="none"/>
        </w:rPr>
      </w:pPr>
      <w:r>
        <w:rPr>
          <w:rFonts w:hint="eastAsia"/>
          <w:b/>
          <w:bCs/>
          <w:color w:val="auto"/>
          <w:highlight w:val="none"/>
        </w:rPr>
        <w:t xml:space="preserve">3、适用法律</w:t>
      </w:r>
      <w:r/>
    </w:p>
    <w:p>
      <w:pPr>
        <w:ind w:right="48" w:firstLine="422"/>
        <w:spacing w:line="360" w:lineRule="auto"/>
        <w:rPr>
          <w:rFonts w:ascii="宋体" w:hAnsi="宋体"/>
          <w:color w:val="auto"/>
          <w:szCs w:val="21"/>
          <w:highlight w:val="none"/>
        </w:rPr>
      </w:pPr>
      <w:r>
        <w:rPr>
          <w:rFonts w:hint="eastAsia" w:ascii="宋体" w:hAnsi="宋体"/>
          <w:color w:val="auto"/>
          <w:szCs w:val="21"/>
          <w:highlight w:val="none"/>
        </w:rPr>
        <w:t xml:space="preserve">3.1 本次招标及由此产生的合同受中华人民共和国有关的法律法规制约和保护。</w:t>
      </w:r>
      <w:r/>
    </w:p>
    <w:p>
      <w:pPr>
        <w:ind w:left="420" w:right="48" w:firstLine="422"/>
        <w:rPr>
          <w:b/>
          <w:bCs/>
          <w:color w:val="auto"/>
          <w:highlight w:val="none"/>
        </w:rPr>
      </w:pPr>
      <w:r>
        <w:rPr>
          <w:rFonts w:hint="eastAsia"/>
          <w:b/>
          <w:bCs/>
          <w:color w:val="auto"/>
          <w:highlight w:val="none"/>
        </w:rPr>
        <w:t xml:space="preserve">4、投标费用</w:t>
      </w:r>
      <w:r/>
    </w:p>
    <w:p>
      <w:pPr>
        <w:ind w:right="48" w:firstLine="422"/>
        <w:spacing w:line="360" w:lineRule="auto"/>
        <w:rPr>
          <w:rFonts w:ascii="宋体" w:hAnsi="宋体"/>
          <w:color w:val="auto"/>
          <w:szCs w:val="24"/>
          <w:highlight w:val="none"/>
        </w:rPr>
      </w:pPr>
      <w:r>
        <w:rPr>
          <w:rFonts w:hint="eastAsia" w:ascii="宋体" w:hAnsi="宋体"/>
          <w:color w:val="auto"/>
          <w:szCs w:val="24"/>
          <w:highlight w:val="none"/>
        </w:rPr>
        <w:t xml:space="preserve">4.1 投标人应自行承担所有与参加投标有关的费用，无论投标过程中的做法和结果如何，扬州市公共资源交易中心开发区分中心(以下简称交易中心)在任何情况下均无义务和责任承担这些费用。</w:t>
      </w:r>
      <w:r/>
    </w:p>
    <w:p>
      <w:pPr>
        <w:ind w:right="48" w:firstLine="422"/>
        <w:spacing w:line="360" w:lineRule="auto"/>
        <w:rPr>
          <w:rFonts w:ascii="宋体" w:hAnsi="宋体"/>
          <w:color w:val="auto"/>
          <w:szCs w:val="24"/>
          <w:highlight w:val="none"/>
        </w:rPr>
      </w:pPr>
      <w:r>
        <w:rPr>
          <w:rFonts w:hint="eastAsia" w:ascii="宋体" w:hAnsi="宋体"/>
          <w:color w:val="auto"/>
          <w:szCs w:val="24"/>
          <w:highlight w:val="none"/>
        </w:rPr>
        <w:t xml:space="preserve">4.2本次招标交易中心和采购人不收取标书工本费与中标服务费。</w:t>
      </w:r>
      <w:r/>
    </w:p>
    <w:p>
      <w:pPr>
        <w:ind w:left="420" w:right="48" w:firstLine="422"/>
        <w:rPr>
          <w:b/>
          <w:bCs/>
          <w:color w:val="auto"/>
          <w:highlight w:val="none"/>
        </w:rPr>
      </w:pPr>
      <w:r>
        <w:rPr>
          <w:rFonts w:hint="eastAsia"/>
          <w:b/>
          <w:bCs/>
          <w:color w:val="auto"/>
          <w:highlight w:val="none"/>
        </w:rPr>
        <w:t xml:space="preserve">5、招标文件的约束力</w:t>
      </w:r>
      <w:r/>
    </w:p>
    <w:p>
      <w:pPr>
        <w:ind w:right="48" w:firstLine="422"/>
        <w:spacing w:line="360" w:lineRule="auto"/>
        <w:rPr>
          <w:rFonts w:ascii="宋体" w:hAnsi="宋体"/>
          <w:color w:val="auto"/>
          <w:szCs w:val="21"/>
          <w:highlight w:val="none"/>
        </w:rPr>
      </w:pPr>
      <w:r>
        <w:rPr>
          <w:rFonts w:hint="eastAsia" w:ascii="宋体" w:hAnsi="宋体"/>
          <w:color w:val="auto"/>
          <w:highlight w:val="none"/>
        </w:rPr>
        <w:t xml:space="preserve">5.1 投标人一旦参加本项目采购活动，即被认为接受了本招标文件的规定和约束。</w:t>
      </w:r>
      <w:r/>
    </w:p>
    <w:p>
      <w:pPr>
        <w:ind w:firstLine="434"/>
        <w:spacing w:before="156" w:after="156" w:line="360" w:lineRule="auto"/>
        <w:rPr>
          <w:color w:val="auto"/>
          <w:sz w:val="28"/>
          <w:szCs w:val="28"/>
          <w:highlight w:val="none"/>
        </w:rPr>
      </w:pPr>
      <w:r/>
      <w:bookmarkStart w:id="49" w:name="_Toc120614215"/>
      <w:r/>
      <w:bookmarkStart w:id="50" w:name="_Toc20823281"/>
      <w:r/>
      <w:bookmarkStart w:id="51" w:name="_Toc513029209"/>
      <w:r/>
      <w:bookmarkStart w:id="52" w:name="_Toc16938525"/>
      <w:r>
        <w:rPr>
          <w:rFonts w:hint="eastAsia"/>
          <w:color w:val="auto"/>
          <w:sz w:val="28"/>
          <w:szCs w:val="28"/>
          <w:highlight w:val="none"/>
        </w:rPr>
        <w:t xml:space="preserve">二、招标文件</w:t>
      </w:r>
      <w:bookmarkEnd w:id="49"/>
      <w:r/>
      <w:bookmarkEnd w:id="50"/>
      <w:r/>
      <w:bookmarkEnd w:id="51"/>
      <w:r/>
      <w:bookmarkEnd w:id="52"/>
      <w:r/>
      <w:r/>
    </w:p>
    <w:p>
      <w:pPr>
        <w:ind w:left="420" w:right="48" w:firstLine="422"/>
        <w:rPr>
          <w:b/>
          <w:bCs/>
          <w:color w:val="auto"/>
          <w:highlight w:val="none"/>
        </w:rPr>
      </w:pPr>
      <w:r>
        <w:rPr>
          <w:rFonts w:hint="eastAsia"/>
          <w:b/>
          <w:bCs/>
          <w:color w:val="auto"/>
          <w:highlight w:val="none"/>
        </w:rPr>
        <w:t xml:space="preserve">6、招标文件构成</w:t>
      </w:r>
      <w:r/>
    </w:p>
    <w:p>
      <w:pPr>
        <w:ind w:right="48" w:firstLine="422"/>
        <w:spacing w:line="360" w:lineRule="auto"/>
        <w:rPr>
          <w:rFonts w:ascii="宋体" w:hAnsi="宋体"/>
          <w:color w:val="auto"/>
          <w:szCs w:val="21"/>
          <w:highlight w:val="none"/>
        </w:rPr>
      </w:pPr>
      <w:r>
        <w:rPr>
          <w:rFonts w:hint="eastAsia" w:ascii="宋体" w:hAnsi="宋体"/>
          <w:color w:val="auto"/>
          <w:highlight w:val="none"/>
        </w:rPr>
        <w:t xml:space="preserve">6.1 招标文件有以下部分组成：</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（1）投标邀请</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（2）投标人须知</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（3）合同文本</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（4）采购需求</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（5）评标方法与评标标准</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（6）投标文件格式</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请仔细检查招标文件是否齐全，如有缺漏请立即与交易中心联系解决。</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420" w:right="48" w:firstLine="422"/>
        <w:rPr>
          <w:b/>
          <w:bCs/>
          <w:color w:val="auto"/>
          <w:highlight w:val="none"/>
        </w:rPr>
      </w:pPr>
      <w:r>
        <w:rPr>
          <w:rFonts w:hint="eastAsia"/>
          <w:b/>
          <w:bCs/>
          <w:color w:val="auto"/>
          <w:highlight w:val="none"/>
        </w:rPr>
        <w:t xml:space="preserve">7、招标文件的澄清</w:t>
      </w:r>
      <w:r/>
    </w:p>
    <w:p>
      <w:pPr>
        <w:ind w:right="48" w:firstLine="422"/>
        <w:spacing w:line="360" w:lineRule="auto"/>
        <w:rPr>
          <w:rFonts w:ascii="宋体" w:hAnsi="宋体"/>
          <w:color w:val="auto"/>
          <w:szCs w:val="21"/>
          <w:highlight w:val="none"/>
        </w:rPr>
      </w:pPr>
      <w:r>
        <w:rPr>
          <w:rFonts w:hint="eastAsia" w:ascii="宋体" w:hAnsi="宋体"/>
          <w:color w:val="auto"/>
          <w:highlight w:val="none"/>
        </w:rPr>
        <w:t xml:space="preserve">7.1 任何要求对招标文件进行澄清的投标人，应在投标截止日期的十日前按招标公告中的通讯地址，以书面形式通知交易中心。</w:t>
      </w:r>
      <w:r/>
    </w:p>
    <w:p>
      <w:pPr>
        <w:ind w:left="420" w:right="48" w:firstLine="422"/>
        <w:rPr>
          <w:b/>
          <w:bCs/>
          <w:color w:val="auto"/>
          <w:highlight w:val="none"/>
        </w:rPr>
      </w:pPr>
      <w:r>
        <w:rPr>
          <w:rFonts w:hint="eastAsia"/>
          <w:b/>
          <w:bCs/>
          <w:color w:val="auto"/>
          <w:highlight w:val="none"/>
        </w:rPr>
        <w:t xml:space="preserve">8、招标文件的修改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8.1 在投标截止时间前，交易中心可以对招标文件进行修改。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8.2 交易中心有权按照法定的要求推迟投标截止日期和开标日期。</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8.3 招标文件的修改将在江苏政府采购网、扬州市政府采购网公布，补充文件将作为招标文件的组成部分，并对投标人具有约束力。。</w:t>
      </w:r>
      <w:r/>
    </w:p>
    <w:p>
      <w:pPr>
        <w:ind w:firstLine="434"/>
        <w:spacing w:before="156" w:after="156" w:line="360" w:lineRule="auto"/>
        <w:rPr>
          <w:color w:val="auto"/>
          <w:sz w:val="28"/>
          <w:szCs w:val="28"/>
          <w:highlight w:val="none"/>
        </w:rPr>
      </w:pPr>
      <w:r/>
      <w:bookmarkStart w:id="53" w:name="_Toc462564072"/>
      <w:r/>
      <w:bookmarkStart w:id="54" w:name="_Toc513029213"/>
      <w:r/>
      <w:bookmarkStart w:id="55" w:name="_Toc120614216"/>
      <w:r/>
      <w:bookmarkStart w:id="56" w:name="_Toc20823285"/>
      <w:r/>
      <w:bookmarkStart w:id="57" w:name="_Toc16938529"/>
      <w:r>
        <w:rPr>
          <w:rFonts w:hint="eastAsia"/>
          <w:color w:val="auto"/>
          <w:sz w:val="28"/>
          <w:szCs w:val="28"/>
          <w:highlight w:val="none"/>
        </w:rPr>
        <w:t xml:space="preserve">三、投标文件的编制</w:t>
      </w:r>
      <w:bookmarkEnd w:id="53"/>
      <w:r/>
      <w:bookmarkEnd w:id="54"/>
      <w:r/>
      <w:bookmarkEnd w:id="55"/>
      <w:r/>
      <w:bookmarkEnd w:id="56"/>
      <w:r/>
      <w:bookmarkEnd w:id="57"/>
      <w:r/>
      <w:r/>
    </w:p>
    <w:p>
      <w:pPr>
        <w:ind w:right="48" w:firstLine="422"/>
        <w:spacing w:line="360" w:lineRule="auto"/>
        <w:rPr>
          <w:b/>
          <w:bCs/>
          <w:color w:val="auto"/>
          <w:highlight w:val="none"/>
        </w:rPr>
      </w:pPr>
      <w:r/>
      <w:bookmarkStart w:id="58" w:name="_Toc20823286"/>
      <w:r/>
      <w:bookmarkStart w:id="59" w:name="_Toc513029214"/>
      <w:r/>
      <w:bookmarkStart w:id="60" w:name="_Toc16938530"/>
      <w:r/>
      <w:bookmarkStart w:id="61" w:name="_Toc462564073"/>
      <w:r>
        <w:rPr>
          <w:rFonts w:hint="eastAsia"/>
          <w:b/>
          <w:bCs/>
          <w:color w:val="auto"/>
          <w:highlight w:val="none"/>
        </w:rPr>
        <w:t xml:space="preserve">9、投标文件的语言及度量衡单位</w:t>
      </w:r>
      <w:bookmarkEnd w:id="58"/>
      <w:r/>
      <w:bookmarkEnd w:id="59"/>
      <w:r/>
      <w:bookmarkEnd w:id="60"/>
      <w:r/>
      <w:bookmarkEnd w:id="61"/>
      <w:r/>
      <w:r/>
    </w:p>
    <w:p>
      <w:pPr>
        <w:ind w:right="48" w:firstLine="422"/>
        <w:spacing w:line="360" w:lineRule="auto"/>
        <w:rPr>
          <w:rFonts w:ascii="宋体" w:hAnsi="宋体"/>
          <w:color w:val="auto"/>
          <w:highlight w:val="none"/>
        </w:rPr>
      </w:pPr>
      <w:r>
        <w:rPr>
          <w:rFonts w:hint="eastAsia" w:ascii="宋体" w:hAnsi="宋体"/>
          <w:color w:val="auto"/>
          <w:highlight w:val="none"/>
        </w:rPr>
        <w:t xml:space="preserve">9.1 投标人提交的投标文件以及投标人与交易中心就有关投标的所有来往通知、函件和文件均应使用</w:t>
      </w:r>
      <w:r>
        <w:rPr>
          <w:rFonts w:hint="eastAsia" w:ascii="宋体" w:hAnsi="宋体"/>
          <w:b/>
          <w:bCs/>
          <w:color w:val="auto"/>
          <w:highlight w:val="none"/>
        </w:rPr>
        <w:t xml:space="preserve">简体中文</w:t>
      </w:r>
      <w:r>
        <w:rPr>
          <w:rFonts w:hint="eastAsia" w:ascii="宋体" w:hAnsi="宋体"/>
          <w:color w:val="auto"/>
          <w:highlight w:val="none"/>
        </w:rPr>
        <w:t xml:space="preserve">。</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9.2 除技术性能另有规定外，投标文件所使用的度量衡单位，均须采用国家法定计量单位。</w:t>
      </w:r>
      <w:r/>
    </w:p>
    <w:p>
      <w:pPr>
        <w:ind w:left="420" w:right="48" w:firstLine="422"/>
        <w:rPr>
          <w:b/>
          <w:bCs/>
          <w:color w:val="auto"/>
          <w:highlight w:val="none"/>
        </w:rPr>
      </w:pPr>
      <w:r>
        <w:rPr>
          <w:rFonts w:hint="eastAsia"/>
          <w:b/>
          <w:bCs/>
          <w:color w:val="auto"/>
          <w:highlight w:val="none"/>
        </w:rPr>
        <w:t xml:space="preserve">10、投标文件构成</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10.2 如标书制作工具中格式和内容与“江苏政府采购网”发布的招标文件不一致，请以“江苏政府采购网”发布的招标文件为准。</w:t>
      </w:r>
      <w:r/>
    </w:p>
    <w:p>
      <w:pPr>
        <w:ind w:left="420" w:right="48" w:firstLine="422"/>
        <w:rPr>
          <w:b/>
          <w:bCs/>
          <w:color w:val="auto"/>
          <w:highlight w:val="none"/>
        </w:rPr>
      </w:pPr>
      <w:r/>
      <w:bookmarkStart w:id="62" w:name="_Toc49090509"/>
      <w:r/>
      <w:bookmarkStart w:id="63" w:name="_Toc14577357"/>
      <w:r/>
      <w:bookmarkStart w:id="64" w:name="_Toc513029219"/>
      <w:r>
        <w:rPr>
          <w:rFonts w:hint="eastAsia"/>
          <w:b/>
          <w:bCs/>
          <w:color w:val="auto"/>
          <w:highlight w:val="none"/>
        </w:rPr>
        <w:t xml:space="preserve">11、证明投标人及投标标的符合招标文件规定的文件</w:t>
      </w:r>
      <w:bookmarkEnd w:id="62"/>
      <w:r/>
      <w:bookmarkEnd w:id="63"/>
      <w:r/>
      <w:bookmarkEnd w:id="64"/>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11.1投标人应按照法律、法规、规章和规范性文件以及招标文件要求提交证明文件，证明其及投标标的符合招标文件规定。</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11.2招标文件对证明文件无明确形式要求的，证明文件可以以文字资料、图纸和数据等形式提交。</w:t>
      </w:r>
      <w:r/>
    </w:p>
    <w:p>
      <w:pPr>
        <w:ind w:left="420" w:right="48" w:firstLine="422"/>
        <w:rPr>
          <w:b/>
          <w:bCs/>
          <w:color w:val="auto"/>
          <w:highlight w:val="none"/>
        </w:rPr>
      </w:pPr>
      <w:r>
        <w:rPr>
          <w:rFonts w:hint="eastAsia"/>
          <w:b/>
          <w:bCs/>
          <w:color w:val="auto"/>
          <w:highlight w:val="none"/>
        </w:rPr>
        <w:t xml:space="preserve">12、投标分项报价</w:t>
      </w:r>
      <w:bookmarkStart w:id="65" w:name="_Hlt26670373"/>
      <w:r/>
      <w:bookmarkEnd w:id="65"/>
      <w:r>
        <w:rPr>
          <w:rFonts w:hint="eastAsia"/>
          <w:b/>
          <w:bCs/>
          <w:color w:val="auto"/>
          <w:highlight w:val="none"/>
        </w:rPr>
        <w:t xml:space="preserve">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12.1 投标人应按照招标文件规定格式填报投标分项报价表。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12.2投标货币。投标文件中的单价和总价无特殊规定的采用人民币报价，以元为单位标注。招标文件中另有规定的按规定执行。</w:t>
      </w:r>
      <w:r/>
    </w:p>
    <w:p>
      <w:pPr>
        <w:ind w:left="420" w:right="48" w:firstLine="422"/>
        <w:rPr>
          <w:b/>
          <w:bCs/>
          <w:color w:val="auto"/>
          <w:highlight w:val="none"/>
        </w:rPr>
      </w:pPr>
      <w:r>
        <w:rPr>
          <w:rFonts w:hint="eastAsia"/>
          <w:b/>
          <w:bCs/>
          <w:color w:val="auto"/>
          <w:highlight w:val="none"/>
        </w:rPr>
        <w:t xml:space="preserve">13、技术要求响应及偏离表、商务要求响应及偏离表</w:t>
      </w:r>
      <w:r/>
    </w:p>
    <w:p>
      <w:pPr>
        <w:ind w:right="48" w:firstLine="422"/>
        <w:spacing w:line="360" w:lineRule="auto"/>
        <w:rPr>
          <w:rFonts w:ascii="宋体" w:hAnsi="宋体"/>
          <w:color w:val="auto"/>
          <w:highlight w:val="none"/>
          <w:lang w:val="zh-CN"/>
        </w:rPr>
      </w:pPr>
      <w:r>
        <w:rPr>
          <w:rFonts w:hint="eastAsia" w:ascii="宋体" w:hAnsi="宋体"/>
          <w:color w:val="auto"/>
          <w:highlight w:val="none"/>
          <w:lang w:val="zh-CN"/>
        </w:rPr>
        <w:t xml:space="preserve">13.1投标人需对招标文件中的技术要求与商务要求逐项作出响应或偏离，并说明原因。</w:t>
      </w:r>
      <w:r/>
    </w:p>
    <w:p>
      <w:pPr>
        <w:ind w:right="48" w:firstLine="422"/>
        <w:spacing w:line="360" w:lineRule="auto"/>
        <w:rPr>
          <w:rFonts w:ascii="宋体" w:hAnsi="宋体"/>
          <w:color w:val="auto"/>
          <w:highlight w:val="none"/>
        </w:rPr>
      </w:pPr>
      <w:r>
        <w:rPr>
          <w:rFonts w:hint="eastAsia" w:ascii="宋体" w:hAnsi="宋体"/>
          <w:color w:val="auto"/>
          <w:highlight w:val="none"/>
          <w:lang w:val="zh-CN"/>
        </w:rPr>
        <w:t xml:space="preserve">13.2 投标人可在投标文件中提供认为需要的其他技术文件或说明。</w:t>
      </w:r>
      <w:r/>
    </w:p>
    <w:p>
      <w:pPr>
        <w:ind w:left="420" w:right="48" w:firstLine="422"/>
        <w:rPr>
          <w:b/>
          <w:bCs/>
          <w:color w:val="auto"/>
          <w:highlight w:val="none"/>
        </w:rPr>
      </w:pPr>
      <w:r>
        <w:rPr>
          <w:rFonts w:hint="eastAsia"/>
          <w:b/>
          <w:bCs/>
          <w:color w:val="auto"/>
          <w:highlight w:val="none"/>
        </w:rPr>
        <w:t xml:space="preserve">14、投标函和开标一览表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14.1 投标人应按照招标文件中提供的格式完整、正确填写投标函、开标一览表。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left="420" w:right="48" w:firstLine="422"/>
        <w:rPr>
          <w:b/>
          <w:bCs/>
          <w:color w:val="auto"/>
          <w:highlight w:val="none"/>
        </w:rPr>
      </w:pPr>
      <w:r>
        <w:rPr>
          <w:rFonts w:hint="eastAsia"/>
          <w:b/>
          <w:bCs/>
          <w:color w:val="auto"/>
          <w:highlight w:val="none"/>
        </w:rPr>
        <w:t xml:space="preserve">15、投标有效期</w:t>
      </w:r>
      <w:r/>
    </w:p>
    <w:p>
      <w:pPr>
        <w:ind w:right="48" w:firstLine="422"/>
        <w:spacing w:line="360" w:lineRule="auto"/>
        <w:rPr>
          <w:rFonts w:ascii="宋体" w:hAnsi="宋体"/>
          <w:color w:val="auto"/>
          <w:szCs w:val="21"/>
          <w:highlight w:val="none"/>
        </w:rPr>
      </w:pPr>
      <w:r>
        <w:rPr>
          <w:rFonts w:hint="eastAsia" w:ascii="宋体" w:hAnsi="宋体"/>
          <w:color w:val="auto"/>
          <w:highlight w:val="none"/>
        </w:rPr>
        <w:t xml:space="preserve">15.1 投标有效期为交易中心规定的开标之日后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。投标有效期比规定短的将被视为未实质性响应招标文件而予以拒绝。</w:t>
      </w:r>
      <w:r/>
    </w:p>
    <w:p>
      <w:pPr>
        <w:ind w:left="420" w:right="48" w:firstLine="422"/>
        <w:rPr>
          <w:b/>
          <w:bCs/>
          <w:color w:val="auto"/>
          <w:highlight w:val="none"/>
        </w:rPr>
      </w:pPr>
      <w:r/>
      <w:bookmarkStart w:id="66" w:name="_Toc513029225"/>
      <w:r/>
      <w:bookmarkStart w:id="67" w:name="_Toc462564084"/>
      <w:r/>
      <w:bookmarkStart w:id="68" w:name="_Toc16938541"/>
      <w:r/>
      <w:bookmarkStart w:id="69" w:name="_Toc20823297"/>
      <w:r>
        <w:rPr>
          <w:rFonts w:hint="eastAsia"/>
          <w:b/>
          <w:bCs/>
          <w:color w:val="auto"/>
          <w:highlight w:val="none"/>
        </w:rPr>
        <w:t xml:space="preserve">16、</w:t>
      </w:r>
      <w:bookmarkEnd w:id="66"/>
      <w:r/>
      <w:bookmarkEnd w:id="67"/>
      <w:r/>
      <w:bookmarkEnd w:id="68"/>
      <w:r/>
      <w:bookmarkEnd w:id="69"/>
      <w:r>
        <w:rPr>
          <w:rFonts w:hint="eastAsia"/>
          <w:b/>
          <w:bCs/>
          <w:color w:val="auto"/>
          <w:highlight w:val="none"/>
        </w:rPr>
        <w:t xml:space="preserve">投标有效期的延长</w:t>
      </w:r>
      <w:r/>
    </w:p>
    <w:p>
      <w:pPr>
        <w:ind w:right="48" w:firstLine="422"/>
        <w:spacing w:line="360" w:lineRule="auto"/>
        <w:rPr>
          <w:rFonts w:ascii="宋体" w:hAnsi="宋体"/>
          <w:color w:val="auto"/>
          <w:highlight w:val="none"/>
        </w:rPr>
      </w:pPr>
      <w:r/>
      <w:bookmarkStart w:id="70" w:name="_Toc20823298"/>
      <w:r/>
      <w:bookmarkStart w:id="71" w:name="_Toc16938542"/>
      <w:r/>
      <w:bookmarkStart w:id="72" w:name="_Toc513029226"/>
      <w:r>
        <w:rPr>
          <w:rFonts w:hint="eastAsia" w:ascii="宋体" w:hAnsi="宋体"/>
          <w:color w:val="auto"/>
          <w:highlight w:val="none"/>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34"/>
        <w:spacing w:before="156" w:after="156" w:line="360" w:lineRule="auto"/>
        <w:rPr>
          <w:color w:val="auto"/>
          <w:sz w:val="28"/>
          <w:szCs w:val="28"/>
          <w:highlight w:val="none"/>
        </w:rPr>
      </w:pPr>
      <w:r>
        <w:rPr>
          <w:rFonts w:hint="eastAsia"/>
          <w:color w:val="auto"/>
          <w:sz w:val="28"/>
          <w:szCs w:val="28"/>
          <w:highlight w:val="none"/>
        </w:rPr>
        <w:t xml:space="preserve">四、投标文件的递交</w:t>
      </w:r>
      <w:r/>
    </w:p>
    <w:p>
      <w:pPr>
        <w:ind w:left="420" w:right="48" w:firstLine="422"/>
        <w:rPr>
          <w:b/>
          <w:bCs/>
          <w:color w:val="auto"/>
          <w:highlight w:val="none"/>
        </w:rPr>
      </w:pPr>
      <w:r>
        <w:rPr>
          <w:rFonts w:hint="eastAsia"/>
          <w:b/>
          <w:bCs/>
          <w:color w:val="auto"/>
          <w:highlight w:val="none"/>
        </w:rPr>
        <w:t xml:space="preserve">17、</w:t>
      </w:r>
      <w:bookmarkEnd w:id="70"/>
      <w:r/>
      <w:bookmarkEnd w:id="71"/>
      <w:r/>
      <w:bookmarkEnd w:id="72"/>
      <w:r>
        <w:rPr>
          <w:rFonts w:hint="eastAsia"/>
          <w:b/>
          <w:bCs/>
          <w:color w:val="auto"/>
          <w:highlight w:val="none"/>
        </w:rPr>
        <w:t xml:space="preserve">投标文件的递交</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17.1 电子投标文件的递交</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投标人应当按照《操作手册》规定，在投标截止时间前制作并上传电子投标文件。</w:t>
      </w:r>
      <w:r/>
    </w:p>
    <w:p>
      <w:pPr>
        <w:ind w:left="420" w:right="48" w:firstLine="422"/>
        <w:rPr>
          <w:b/>
          <w:bCs/>
          <w:color w:val="auto"/>
          <w:highlight w:val="none"/>
        </w:rPr>
      </w:pPr>
      <w:r/>
      <w:bookmarkStart w:id="73" w:name="_Toc16938543"/>
      <w:r/>
      <w:bookmarkStart w:id="74" w:name="_Toc20823299"/>
      <w:r/>
      <w:bookmarkStart w:id="75" w:name="_Toc513029227"/>
      <w:r>
        <w:rPr>
          <w:rFonts w:hint="eastAsia"/>
          <w:b/>
          <w:bCs/>
          <w:color w:val="auto"/>
          <w:highlight w:val="none"/>
        </w:rPr>
        <w:t xml:space="preserve">18、</w:t>
      </w:r>
      <w:bookmarkEnd w:id="73"/>
      <w:r/>
      <w:bookmarkEnd w:id="74"/>
      <w:r/>
      <w:bookmarkEnd w:id="75"/>
      <w:r>
        <w:rPr>
          <w:rFonts w:hint="eastAsia"/>
          <w:b/>
          <w:bCs/>
          <w:color w:val="auto"/>
          <w:highlight w:val="none"/>
        </w:rPr>
        <w:t xml:space="preserve">投标截止时间</w:t>
      </w:r>
      <w:r/>
    </w:p>
    <w:p>
      <w:pPr>
        <w:ind w:right="48" w:firstLine="422"/>
        <w:spacing w:line="360" w:lineRule="auto"/>
        <w:rPr>
          <w:rFonts w:ascii="宋体" w:hAnsi="宋体"/>
          <w:bCs/>
          <w:i/>
          <w:color w:val="auto"/>
          <w:szCs w:val="21"/>
          <w:highlight w:val="none"/>
          <w:u w:val="single"/>
        </w:rPr>
      </w:pPr>
      <w:r>
        <w:rPr>
          <w:rFonts w:hint="eastAsia" w:ascii="宋体" w:hAnsi="宋体"/>
          <w:i/>
          <w:color w:val="auto"/>
          <w:szCs w:val="21"/>
          <w:highlight w:val="none"/>
          <w:u w:val="single"/>
        </w:rPr>
        <w:t xml:space="preserve">18.1</w:t>
      </w:r>
      <w:r>
        <w:rPr>
          <w:rFonts w:hint="eastAsia" w:ascii="宋体" w:hAnsi="宋体"/>
          <w:bCs/>
          <w:i/>
          <w:color w:val="auto"/>
          <w:szCs w:val="21"/>
          <w:highlight w:val="none"/>
          <w:u w:val="single"/>
        </w:rPr>
        <w:t xml:space="preserve"> 投标人上传电子投标文件的时间不得迟于招标公告中规定的投标截止时间。</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ind w:right="48" w:firstLine="422"/>
        <w:spacing w:line="360" w:lineRule="auto"/>
        <w:rPr>
          <w:color w:val="auto"/>
          <w:highlight w:val="none"/>
        </w:rPr>
      </w:pPr>
      <w:r>
        <w:rPr>
          <w:rFonts w:hint="eastAsia" w:ascii="宋体" w:hAnsi="宋体"/>
          <w:color w:val="auto"/>
          <w:highlight w:val="none"/>
        </w:rPr>
        <w:t xml:space="preserve">18.2交易中心可以按照规定，通过修改招标文件酌情延长投标截止时间，在此情况下，投标人的所有权利和义务以及投标人受制的截止时间均应以延长后新的截止时间为准。</w:t>
      </w:r>
      <w:r/>
    </w:p>
    <w:p>
      <w:pPr>
        <w:ind w:left="420" w:right="48" w:firstLine="422"/>
        <w:rPr>
          <w:b/>
          <w:bCs/>
          <w:color w:val="auto"/>
          <w:highlight w:val="none"/>
        </w:rPr>
      </w:pPr>
      <w:r/>
      <w:bookmarkStart w:id="76" w:name="_Toc16938544"/>
      <w:r/>
      <w:bookmarkStart w:id="77" w:name="_Toc20823300"/>
      <w:r/>
      <w:bookmarkStart w:id="78" w:name="_Toc513029228"/>
      <w:r>
        <w:rPr>
          <w:rFonts w:hint="eastAsia"/>
          <w:b/>
          <w:bCs/>
          <w:color w:val="auto"/>
          <w:highlight w:val="none"/>
        </w:rPr>
        <w:t xml:space="preserve">19、投标文件的拒收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19.1交易中心拒绝接收在其规定的投标截止时间后上传的任何投标文件。</w:t>
      </w:r>
      <w:r/>
    </w:p>
    <w:p>
      <w:pPr>
        <w:ind w:left="420" w:right="48" w:firstLine="422"/>
        <w:rPr>
          <w:b/>
          <w:bCs/>
          <w:color w:val="auto"/>
          <w:highlight w:val="none"/>
        </w:rPr>
      </w:pPr>
      <w:r>
        <w:rPr>
          <w:rFonts w:hint="eastAsia"/>
          <w:b/>
          <w:bCs/>
          <w:color w:val="auto"/>
          <w:highlight w:val="none"/>
        </w:rPr>
        <w:t xml:space="preserve">20、投标文件的撤回和修改</w:t>
      </w:r>
      <w:bookmarkEnd w:id="76"/>
      <w:r/>
      <w:bookmarkEnd w:id="77"/>
      <w:r/>
      <w:bookmarkEnd w:id="78"/>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20.1 投标文件的撤回</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21.1.1 电子投标文件的撤回</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投标人可在投标截止时间前，撤回其电子投标文件，具体操作方法见《操作手册》。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21.1.2 投标人撤回电子投标文件，则认为其不再参与本项目投标活动。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20.2 投标文件的修改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20.2.1投标人可在投标截止时间前，对其电子投标文件进行修改，具体操作方法见《操作手册》。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20.2.2 在投标截止时间之后，投标人不得对其电子投标文件作任何修改。</w:t>
      </w:r>
      <w:r/>
    </w:p>
    <w:p>
      <w:pPr>
        <w:ind w:right="48" w:firstLine="422"/>
        <w:spacing w:line="360" w:lineRule="auto"/>
        <w:rPr>
          <w:rFonts w:ascii="宋体" w:hAnsi="宋体"/>
          <w:color w:val="auto"/>
          <w:szCs w:val="21"/>
          <w:highlight w:val="none"/>
        </w:rPr>
      </w:pPr>
      <w:r>
        <w:rPr>
          <w:rFonts w:hint="eastAsia" w:ascii="宋体" w:hAnsi="宋体"/>
          <w:color w:val="auto"/>
          <w:highlight w:val="none"/>
        </w:rPr>
        <w:t xml:space="preserve">20.3 在投标截止时间至招标文件中规定的投标有效期满之间的这段时间内，投标人不得撤回其投标。</w:t>
      </w:r>
      <w:r/>
    </w:p>
    <w:p>
      <w:pPr>
        <w:ind w:firstLine="434"/>
        <w:spacing w:before="156" w:after="156" w:line="360" w:lineRule="auto"/>
        <w:rPr>
          <w:color w:val="auto"/>
          <w:sz w:val="28"/>
          <w:szCs w:val="28"/>
          <w:highlight w:val="none"/>
        </w:rPr>
      </w:pPr>
      <w:r/>
      <w:bookmarkStart w:id="79" w:name="_Toc16938545"/>
      <w:r/>
      <w:bookmarkStart w:id="80" w:name="_Toc120614218"/>
      <w:r/>
      <w:bookmarkStart w:id="81" w:name="_Toc513029229"/>
      <w:r/>
      <w:bookmarkStart w:id="82" w:name="_Toc20823301"/>
      <w:r>
        <w:rPr>
          <w:rFonts w:hint="eastAsia"/>
          <w:color w:val="auto"/>
          <w:sz w:val="28"/>
          <w:szCs w:val="28"/>
          <w:highlight w:val="none"/>
        </w:rPr>
        <w:t xml:space="preserve">五、开标与评标</w:t>
      </w:r>
      <w:bookmarkEnd w:id="79"/>
      <w:r/>
      <w:bookmarkEnd w:id="80"/>
      <w:r/>
      <w:bookmarkEnd w:id="81"/>
      <w:r/>
      <w:bookmarkEnd w:id="82"/>
      <w:r/>
      <w:r/>
    </w:p>
    <w:p>
      <w:pPr>
        <w:ind w:left="420" w:right="48" w:firstLine="422"/>
        <w:rPr>
          <w:b/>
          <w:bCs/>
          <w:color w:val="auto"/>
          <w:highlight w:val="none"/>
        </w:rPr>
      </w:pPr>
      <w:r>
        <w:rPr>
          <w:rFonts w:hint="eastAsia"/>
          <w:b/>
          <w:bCs/>
          <w:color w:val="auto"/>
          <w:highlight w:val="none"/>
        </w:rPr>
        <w:t xml:space="preserve">21、开标</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21.1交易中心将在招标公告中规定的时间和地点组织公开开标。投标人应当按照《操作手册》规定，参加开标活动和在苏采云系统规定的时间内对投标文件进行解密。</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21.2开标仪式由交易中心组织。苏采云系统将自动对项目进行开标，并宣布各投标人名称和投标价格。</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21.3投标人在开标过程中涉及到的投标文件解密、开标结果确认等工作，应按照《操作手册》规定执行。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21.4投标人如果对开标过程和开标记录有疑义，应当根据《操作手册》规定提出，如 苏采云系统中《开标记录表》宣布后5分钟内未提出的，视同认可开标结果。</w:t>
      </w:r>
      <w:r/>
    </w:p>
    <w:p>
      <w:pPr>
        <w:ind w:left="420" w:right="48" w:firstLine="422"/>
        <w:rPr>
          <w:b/>
          <w:bCs/>
          <w:color w:val="auto"/>
          <w:highlight w:val="none"/>
        </w:rPr>
      </w:pPr>
      <w:r>
        <w:rPr>
          <w:rFonts w:hint="eastAsia"/>
          <w:b/>
          <w:bCs/>
          <w:color w:val="auto"/>
          <w:highlight w:val="none"/>
        </w:rPr>
        <w:t xml:space="preserve">22、评标委员会</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22.1开标后，交易中心将立即组织评标委员会（以下简称评委会）进行评标。</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22.2评委会由采购人代表和有关技术、经济等方面的专家组成，且人员构成符合政府采购有关规定。</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22.3评委会独立工作，负责评审所有投标文件并确定中标侯选人。</w:t>
      </w:r>
      <w:r/>
    </w:p>
    <w:p>
      <w:pPr>
        <w:ind w:left="420" w:right="48" w:firstLine="422"/>
        <w:rPr>
          <w:b/>
          <w:bCs/>
          <w:color w:val="auto"/>
          <w:highlight w:val="none"/>
        </w:rPr>
      </w:pPr>
      <w:r>
        <w:rPr>
          <w:rFonts w:hint="eastAsia"/>
          <w:b/>
          <w:bCs/>
          <w:color w:val="auto"/>
          <w:highlight w:val="none"/>
        </w:rPr>
        <w:t xml:space="preserve">23、评标过程的保密与公正</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23.1凡是与审查、澄清、评价和比较投标的有关资料以及授标建议等，采购人、评委、交易中心均不得向投标人或与评标无关的其他人员透露。</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23.2在评标过程中，投标人不得以任何行为影响评标过程，否则其投标文件将被作为无效投标文件。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23.3交易中心和评标委员会不向未中标的投标人解释未中标原因，也不公布评标过程中的相关细节。</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23.4采用综合评分法的项目，未中标的投标人可于中标结果公告期限届满之日起通过苏采云系统查看自己的评审得分及排序情况。</w:t>
      </w:r>
      <w:r/>
    </w:p>
    <w:p>
      <w:pPr>
        <w:ind w:left="420" w:right="48" w:firstLine="422"/>
        <w:rPr>
          <w:b/>
          <w:bCs/>
          <w:color w:val="auto"/>
          <w:highlight w:val="none"/>
        </w:rPr>
      </w:pPr>
      <w:r>
        <w:rPr>
          <w:rFonts w:hint="eastAsia"/>
          <w:b/>
          <w:bCs/>
          <w:color w:val="auto"/>
          <w:highlight w:val="none"/>
        </w:rPr>
        <w:t xml:space="preserve">24、投标文件的澄清</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24.1评标期间，评委会对投标文件中含义不明确、同类问题表述不一致或者有明显文字和计算错误的内容 ，有权要求投标人作出必要的澄清、说明或者补正。</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投标人的澄清、说明或者补正不得超出投标文件的范围或者改变投标文件的实质性内容。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评标委员会并非对每个投标人都做澄清要求。</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24.3接到评委会澄清、说明和补正要求的投标人如未按规定做出澄清、说明和补正，其风险由投标人自行承担。</w:t>
      </w:r>
      <w:r/>
    </w:p>
    <w:p>
      <w:pPr>
        <w:ind w:left="420" w:right="48" w:firstLine="422"/>
        <w:rPr>
          <w:b/>
          <w:bCs/>
          <w:color w:val="auto"/>
          <w:highlight w:val="none"/>
        </w:rPr>
      </w:pPr>
      <w:r>
        <w:rPr>
          <w:rFonts w:hint="eastAsia"/>
          <w:b/>
          <w:bCs/>
          <w:color w:val="auto"/>
          <w:highlight w:val="none"/>
        </w:rPr>
        <w:t xml:space="preserve">25、对投标文件的初审</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25.1投标文件初审分为资格审查和符合性审查。</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25.1.1 资格审查：依据法律法规和招标文件的规定，由采购人对投标文件中的资格证明文件进行审查。资格审查的结论，采购人以书面形式向评委会进行反馈。</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25.1.2 符合性审查：依据招标文件的规定，由评委会从投标文件的有效性、完整性和对招标文件的响应程度进行审查，以确定是否对招标文件的实质性要求作出响应。</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25.4评委会将对确定为实质性响应的投标进行进一步审核，确定其是否有计算上或累加上的算术错误，修正错误的原则如下：</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（1）投标文件中开标一览表内容与投标文件中相应内容不一致的，以开标一览表为准。</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（2）大写金额和小写金额不一致的，以大写金额为准。</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（3）单价金额小数点或者百分比有明显错位的，以开标一览表的总价为准，并修改单价。</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（4）总价金额与按单价汇总金额不一致的，以单价金额计算结果为准。</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同时出现两种以上错误的，按照前款规定的顺序修正。</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25.6投标人在开、评标全过程中应保持通讯畅通，及时登录苏采云系统查阅、答复相关信息，并安排专人与交易中心及评标委员会联系。</w:t>
      </w:r>
      <w:r/>
    </w:p>
    <w:p>
      <w:pPr>
        <w:ind w:left="420" w:right="48" w:firstLine="422"/>
        <w:rPr>
          <w:b/>
          <w:bCs/>
          <w:color w:val="auto"/>
          <w:highlight w:val="none"/>
        </w:rPr>
      </w:pPr>
      <w:r>
        <w:rPr>
          <w:rFonts w:hint="eastAsia"/>
          <w:b/>
          <w:bCs/>
          <w:color w:val="auto"/>
          <w:highlight w:val="none"/>
        </w:rPr>
        <w:t xml:space="preserve">26、无效投标、废标及投标人不足三家的处理</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26.1无效投标条款</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26.1.1 投标人在苏采云系统规定的时间内未成功解密电子投标文件的。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26.1.2 投标人未按照招标文件要求上传电子投标文件的。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26.1.3同一投标人提交两个（含两个）以上不同的投标报价的。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26.1.4投标人不具备招标文件中规定资格要求的。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26.1.5投标人的报价超过了采购预算或最高限价的。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26.1.6未通过符合性审查的。</w:t>
      </w:r>
      <w:r/>
    </w:p>
    <w:p>
      <w:pPr>
        <w:ind w:right="48" w:firstLine="422"/>
        <w:jc w:val="left"/>
        <w:spacing w:line="360" w:lineRule="auto"/>
        <w:rPr>
          <w:rFonts w:ascii="宋体" w:hAnsi="宋体"/>
          <w:bCs/>
          <w:i/>
          <w:color w:val="auto"/>
          <w:sz w:val="24"/>
          <w:highlight w:val="none"/>
          <w:u w:val="single"/>
        </w:rPr>
      </w:pPr>
      <w:r>
        <w:rPr>
          <w:rFonts w:hint="eastAsia" w:ascii="宋体" w:hAnsi="宋体"/>
          <w:color w:val="auto"/>
          <w:highlight w:val="none"/>
        </w:rPr>
        <w:t xml:space="preserve"> 26.1.7不符合招标文件中规定的实质性要求和条件的</w:t>
      </w:r>
      <w:r>
        <w:rPr>
          <w:rFonts w:hint="eastAsia" w:ascii="宋体" w:hAnsi="宋体"/>
          <w:bCs/>
          <w:color w:val="auto"/>
          <w:szCs w:val="21"/>
          <w:highlight w:val="none"/>
        </w:rPr>
        <w:t xml:space="preserve">（</w:t>
      </w:r>
      <w:r>
        <w:rPr>
          <w:rFonts w:hint="eastAsia" w:ascii="宋体" w:hAnsi="宋体"/>
          <w:bCs/>
          <w:i/>
          <w:color w:val="auto"/>
          <w:szCs w:val="21"/>
          <w:highlight w:val="none"/>
          <w:u w:val="single"/>
        </w:rPr>
        <w:t xml:space="preserve">本招标文件中斜体且有下划线部分为实质性要求和条件）。</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26.1.9 投标文件含有采购人不能接受的附加条件的。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26.1.11 投标文件未按照招标文件要求加盖CA电子公章的。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26.1.12其他法律、法规及本招标文件规定的属无效投标的情形。</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26.2废标条款</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26.2.1符合专业条件的供应商或者对招标文件作实质响应的供应商不足三家的。26.2.2出现影响采购公正的违法、违规行为的。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26.2.3因重大变故，采购任务取消的。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26.2.4评标委员会认定招标文件存在歧义、重大缺陷导致评审工作无法进行。</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26.2.5 因苏采云系统系统故障原因造成开标不成功的。</w:t>
      </w:r>
      <w:r/>
    </w:p>
    <w:p>
      <w:pPr>
        <w:ind w:right="48" w:firstLine="422"/>
        <w:jc w:val="left"/>
        <w:spacing w:line="360" w:lineRule="auto"/>
        <w:rPr>
          <w:rFonts w:ascii="宋体" w:hAnsi="宋体"/>
          <w:color w:val="auto"/>
          <w:highlight w:val="none"/>
        </w:rPr>
      </w:pPr>
      <w:r>
        <w:rPr>
          <w:rFonts w:hint="eastAsia" w:ascii="宋体" w:hAnsi="宋体"/>
          <w:color w:val="auto"/>
          <w:highlight w:val="none"/>
        </w:rPr>
        <w:t xml:space="preserve">26.3 投标截止时间结束后参加投标的供应商不足三家的处理：</w:t>
      </w:r>
      <w:r/>
    </w:p>
    <w:p>
      <w:pPr>
        <w:ind w:right="48" w:firstLine="422"/>
        <w:jc w:val="left"/>
        <w:spacing w:line="360" w:lineRule="auto"/>
        <w:rPr>
          <w:rFonts w:ascii="宋体" w:hAnsi="宋体"/>
          <w:bCs/>
          <w:color w:val="auto"/>
          <w:szCs w:val="21"/>
          <w:highlight w:val="none"/>
        </w:rPr>
      </w:pPr>
      <w:r>
        <w:rPr>
          <w:rFonts w:hint="eastAsia" w:ascii="宋体" w:hAnsi="宋体"/>
          <w:color w:val="auto"/>
          <w:highlight w:val="none"/>
        </w:rPr>
        <w:t xml:space="preserve">26.3.1如出现投标截止时间结束后参加投标的供应商或者在评标期间对招标文件做出实质响应的供应商不足三家情况，按政府采购相关规定执行。</w:t>
      </w:r>
      <w:r/>
    </w:p>
    <w:p>
      <w:pPr>
        <w:ind w:firstLine="434"/>
        <w:spacing w:before="156" w:after="156" w:line="360" w:lineRule="auto"/>
        <w:rPr>
          <w:color w:val="auto"/>
          <w:sz w:val="28"/>
          <w:szCs w:val="28"/>
          <w:highlight w:val="none"/>
        </w:rPr>
      </w:pPr>
      <w:r/>
      <w:bookmarkStart w:id="83" w:name="_Toc120614219"/>
      <w:r>
        <w:rPr>
          <w:rFonts w:hint="eastAsia"/>
          <w:color w:val="auto"/>
          <w:sz w:val="28"/>
          <w:szCs w:val="28"/>
          <w:highlight w:val="none"/>
        </w:rPr>
        <w:t xml:space="preserve">六、定标</w:t>
      </w:r>
      <w:bookmarkEnd w:id="83"/>
      <w:r/>
      <w:r/>
    </w:p>
    <w:p>
      <w:pPr>
        <w:ind w:left="420" w:right="48" w:firstLine="422"/>
        <w:rPr>
          <w:b/>
          <w:bCs/>
          <w:color w:val="auto"/>
          <w:highlight w:val="none"/>
        </w:rPr>
      </w:pPr>
      <w:r>
        <w:rPr>
          <w:rFonts w:hint="eastAsia"/>
          <w:b/>
          <w:bCs/>
          <w:color w:val="auto"/>
          <w:highlight w:val="none"/>
        </w:rPr>
        <w:t xml:space="preserve">27、确定中标单位</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27.1中标候选人的选取原则和数量见招标文件第五章规定。 </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27.2 采购人应根据评委会推荐的中标候选人确定中标人。</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27.3交易中心将在“江苏政府采购网”、“扬州市政府采购网”发布中标公告，公告期限为1个工作日。</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27.4若有充分证据证明，中标人出现下列情况之一的，一经查实，将被取消中标资格：</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27.4.1提供虚假材料谋取中标的。</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27.4.2向采购人、交易中心行贿或者提供其他不正当利益的。</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27.4.3属于本文件规定的无效条件，但在评标过程中又未被评委会发现的。</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27.4.4与采购人或者其他供应商恶意串通的。</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27.4.5采取不正当手段诋毁、排挤其他供应商的。</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27.5 有下列情形之一的，视为投标人串通投标，投标无效：</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27.5.1不同投标人的投标文件由同一单位或者个人编制。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27.5.2不同投标人委托同一单位或者个人办理投标事宜。</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27.5.3不同投标人的投标文件载明的项目管理成员或者联系人员为同一人。</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27.5.4不同投标人的投标文件异常一致或者投标报价呈规律性差异。</w:t>
      </w:r>
      <w:r/>
    </w:p>
    <w:p>
      <w:pPr>
        <w:ind w:left="420" w:right="48" w:firstLine="422"/>
        <w:rPr>
          <w:b/>
          <w:bCs/>
          <w:color w:val="auto"/>
          <w:highlight w:val="none"/>
        </w:rPr>
      </w:pPr>
      <w:r>
        <w:rPr>
          <w:rFonts w:hint="eastAsia"/>
          <w:b/>
          <w:bCs/>
          <w:color w:val="auto"/>
          <w:highlight w:val="none"/>
        </w:rPr>
        <w:t xml:space="preserve">28、质疑处理</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28.1提出质疑的供应商应当是参与所质疑项目采购活动的供应商。潜在供应商依法获取其可质疑的采购文件的，可以对采购文件提出质疑。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28.2.1对可以质疑的采购文件提出质疑的，为收到采购文件之日或者采购文件公告期限届满之日；</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28.2.2对采购过程提出质疑的，为各采购程序环节结束之日；</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28.2.3对中标或者成交结果提出质疑的，为中标或者成交结果公告期限届满之日。</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28.4供应商（含潜在供应商）对与本项目有关的所有询问、质疑均请向采购人提出，由采购人负责答复。</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交易中心及采购人只接收以纸质原件形式送达的质疑,建议供应商尽量通过邮寄方式提交质疑（采购人和交易中心不接受未填写快递运单的快件）。</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采购人质疑接收人及联系方式见招标文件第一章。</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 以下情形的质疑不予受理</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28.5.1 内容不符合《政府采购质疑和投诉办法》第十二条规定的质疑。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28.5.2 超出政府采购法定期限的质疑。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28.5.3 以传真、电子邮件等方式递交的非原件形式的质疑。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28.5.4未参加投标活动的供应商或在投标活动中自身权益未受到损害的供应商所提出的质疑。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28.5.5供应商组成联合体参加投标，联合体中任何一方或多方未按要求签字、盖章、加盖公章的质疑。</w:t>
      </w:r>
      <w:r/>
    </w:p>
    <w:p>
      <w:pPr>
        <w:ind w:right="48" w:firstLine="409"/>
        <w:spacing w:line="360" w:lineRule="auto"/>
        <w:rPr>
          <w:rFonts w:ascii="宋体" w:hAnsi="宋体"/>
          <w:color w:val="auto"/>
          <w:highlight w:val="none"/>
        </w:rPr>
      </w:pPr>
      <w:r>
        <w:rPr>
          <w:rFonts w:hint="eastAsia" w:ascii="宋体" w:hAnsi="宋体"/>
          <w:color w:val="auto"/>
          <w:highlight w:val="none"/>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420" w:right="48" w:firstLine="422"/>
        <w:rPr>
          <w:b/>
          <w:bCs/>
          <w:color w:val="auto"/>
          <w:highlight w:val="none"/>
        </w:rPr>
      </w:pPr>
      <w:r>
        <w:rPr>
          <w:rFonts w:hint="eastAsia"/>
          <w:b/>
          <w:bCs/>
          <w:color w:val="auto"/>
          <w:highlight w:val="none"/>
        </w:rPr>
        <w:t xml:space="preserve">29、中标通知书</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34"/>
        <w:spacing w:before="156" w:after="156" w:line="360" w:lineRule="auto"/>
        <w:rPr>
          <w:color w:val="auto"/>
          <w:sz w:val="28"/>
          <w:szCs w:val="28"/>
          <w:highlight w:val="none"/>
        </w:rPr>
      </w:pPr>
      <w:r/>
      <w:bookmarkStart w:id="84" w:name="_Toc120614220"/>
      <w:r/>
      <w:bookmarkStart w:id="85" w:name="_Toc20823308"/>
      <w:r/>
      <w:bookmarkStart w:id="86" w:name="_Toc16938552"/>
      <w:r/>
      <w:bookmarkStart w:id="87" w:name="_Toc513029236"/>
      <w:r>
        <w:rPr>
          <w:rFonts w:hint="eastAsia"/>
          <w:color w:val="auto"/>
          <w:sz w:val="28"/>
          <w:szCs w:val="28"/>
          <w:highlight w:val="none"/>
        </w:rPr>
        <w:t xml:space="preserve">七、授予合同</w:t>
      </w:r>
      <w:bookmarkEnd w:id="84"/>
      <w:r/>
      <w:bookmarkEnd w:id="85"/>
      <w:r/>
      <w:bookmarkEnd w:id="86"/>
      <w:r/>
      <w:bookmarkEnd w:id="87"/>
      <w:r/>
      <w:r/>
    </w:p>
    <w:p>
      <w:pPr>
        <w:ind w:left="420" w:right="48" w:firstLine="422"/>
        <w:rPr>
          <w:b/>
          <w:bCs/>
          <w:color w:val="auto"/>
          <w:highlight w:val="none"/>
        </w:rPr>
      </w:pPr>
      <w:r>
        <w:rPr>
          <w:rFonts w:hint="eastAsia"/>
          <w:b/>
          <w:bCs/>
          <w:color w:val="auto"/>
          <w:highlight w:val="none"/>
        </w:rPr>
        <w:t xml:space="preserve">30、 签订合同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30.l中标人应当在中标通知书发出之日起十五日内，按照招标文件确定的事项与采购人签订政府采购合同。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30.2招标文件、中标人的投标文件及招标过程中有关澄清、承诺文件均应作为合同附件。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30.3签订合同后，</w:t>
      </w:r>
      <w:r>
        <w:rPr>
          <w:rFonts w:hint="eastAsia" w:ascii="宋体" w:hAnsi="宋体"/>
          <w:i/>
          <w:color w:val="auto"/>
          <w:szCs w:val="21"/>
          <w:highlight w:val="none"/>
          <w:u w:val="single"/>
        </w:rPr>
        <w:t xml:space="preserve">中标人不得将合同标的进行转包</w:t>
      </w:r>
      <w:r>
        <w:rPr>
          <w:rFonts w:hint="eastAsia" w:ascii="宋体" w:hAnsi="宋体"/>
          <w:color w:val="auto"/>
          <w:szCs w:val="21"/>
          <w:highlight w:val="none"/>
        </w:rPr>
        <w:t xml:space="preserve">。</w:t>
      </w:r>
      <w:r>
        <w:rPr>
          <w:rFonts w:hint="eastAsia" w:ascii="宋体" w:hAnsi="宋体"/>
          <w:color w:val="auto"/>
          <w:highlight w:val="none"/>
        </w:rPr>
        <w:t xml:space="preserve">未经采购人同意，中标人也不得采用分包的形式履行合同，否则采购人有权终止合同。转包或分包造成采购人损失的，中标人应承担相应赔偿责任。</w:t>
      </w:r>
      <w:r/>
    </w:p>
    <w:p>
      <w:pPr>
        <w:ind w:left="420" w:right="48" w:firstLine="422"/>
        <w:rPr>
          <w:b/>
          <w:bCs/>
          <w:color w:val="auto"/>
          <w:highlight w:val="none"/>
        </w:rPr>
      </w:pPr>
      <w:r>
        <w:rPr>
          <w:rFonts w:hint="eastAsia"/>
          <w:b/>
          <w:bCs/>
          <w:color w:val="auto"/>
          <w:highlight w:val="none"/>
        </w:rPr>
        <w:t xml:space="preserve">31、政府采购履约资金扶持政策</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中标人可凭政府采购合同办理融资贷款，详情请见江苏政府采购网“政采贷”专栏。</w:t>
      </w:r>
      <w:r/>
    </w:p>
    <w:p>
      <w:pPr>
        <w:ind w:left="420" w:right="48" w:firstLine="422"/>
        <w:rPr>
          <w:b/>
          <w:bCs/>
          <w:color w:val="auto"/>
          <w:highlight w:val="none"/>
        </w:rPr>
      </w:pPr>
      <w:r>
        <w:rPr>
          <w:rFonts w:hint="eastAsia"/>
          <w:b/>
          <w:bCs/>
          <w:color w:val="auto"/>
          <w:highlight w:val="none"/>
        </w:rPr>
        <w:t xml:space="preserve">32、联合投标</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两个以上自然人、法人或者其他组织可以组成一个联合体，以一个投标人的身份共同参加政府采购活动。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联合体中有同类资质的供应商按照联合体分工承担相同工作的，应当按照资质等级较低的供应商确定资质等级。</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以联合体形式参加政府采购活动的，联合体各方不得再单独参加或者与其他供应商另外组成联合体参加同一合同项下的政府采购活动。</w:t>
      </w:r>
      <w:r/>
    </w:p>
    <w:p>
      <w:pPr>
        <w:pStyle w:val="815"/>
        <w:ind w:firstLine="640"/>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815"/>
        <w:ind w:firstLine="640"/>
        <w:rPr>
          <w:rFonts w:ascii="宋体" w:hAnsi="宋体"/>
          <w:color w:val="auto"/>
          <w:highlight w:val="none"/>
        </w:rPr>
      </w:pPr>
      <w:r>
        <w:rPr>
          <w:rFonts w:ascii="宋体" w:hAnsi="宋体"/>
          <w:color w:val="auto"/>
          <w:highlight w:val="none"/>
        </w:rPr>
      </w:r>
      <w:r/>
    </w:p>
    <w:p>
      <w:pPr>
        <w:rPr>
          <w:color w:val="auto"/>
          <w:highlight w:val="none"/>
        </w:rPr>
      </w:pPr>
      <w:r>
        <w:rPr>
          <w:rFonts w:hint="eastAsia"/>
          <w:color w:val="auto"/>
          <w:highlight w:val="none"/>
        </w:rPr>
        <w:br w:type="page" w:clear="all"/>
      </w:r>
      <w:r/>
    </w:p>
    <w:p>
      <w:pPr>
        <w:pStyle w:val="809"/>
        <w:ind w:firstLine="880"/>
        <w:jc w:val="center"/>
        <w:rPr>
          <w:color w:val="auto"/>
          <w:highlight w:val="none"/>
        </w:rPr>
      </w:pPr>
      <w:r/>
      <w:bookmarkStart w:id="88" w:name="_Toc24449"/>
      <w:r>
        <w:rPr>
          <w:rFonts w:hint="eastAsia"/>
          <w:color w:val="auto"/>
          <w:highlight w:val="none"/>
        </w:rPr>
        <w:t xml:space="preserve">第三章 </w:t>
      </w:r>
      <w:bookmarkEnd w:id="88"/>
      <w:r>
        <w:rPr>
          <w:rFonts w:hint="eastAsia"/>
          <w:color w:val="auto"/>
          <w:highlight w:val="none"/>
        </w:rPr>
        <w:t xml:space="preserve">合同文本</w:t>
      </w:r>
      <w:r/>
    </w:p>
    <w:p>
      <w:pPr>
        <w:ind w:right="48"/>
        <w:jc w:val="center"/>
        <w:spacing w:line="360" w:lineRule="auto"/>
        <w:rPr>
          <w:rFonts w:ascii="宋体" w:hAnsi="宋体"/>
          <w:color w:val="auto"/>
          <w:highlight w:val="none"/>
        </w:rPr>
      </w:pPr>
      <w:r/>
      <w:bookmarkStart w:id="89" w:name="_Toc513029243"/>
      <w:r/>
      <w:bookmarkStart w:id="90" w:name="_Toc20823315"/>
      <w:r/>
      <w:bookmarkStart w:id="91" w:name="_Toc16938559"/>
      <w:r>
        <w:rPr>
          <w:rFonts w:hint="eastAsia" w:ascii="宋体" w:hAnsi="宋体"/>
          <w:color w:val="auto"/>
          <w:highlight w:val="none"/>
        </w:rPr>
        <w:t xml:space="preserve">以下为中标后签定本项目合同的通用条款，中标人不得提出实质性的修改。</w:t>
      </w:r>
      <w:r/>
    </w:p>
    <w:p>
      <w:pPr>
        <w:ind w:firstLine="562"/>
        <w:jc w:val="center"/>
        <w:spacing w:before="156" w:after="156"/>
        <w:rPr>
          <w:rFonts w:ascii="宋体" w:hAnsi="宋体"/>
          <w:b/>
          <w:bCs/>
          <w:color w:val="auto"/>
          <w:sz w:val="28"/>
          <w:szCs w:val="28"/>
          <w:highlight w:val="none"/>
        </w:rPr>
      </w:pPr>
      <w:r>
        <w:rPr>
          <w:rFonts w:hint="eastAsia" w:ascii="宋体" w:hAnsi="宋体"/>
          <w:b/>
          <w:color w:val="auto"/>
          <w:sz w:val="28"/>
          <w:szCs w:val="28"/>
          <w:highlight w:val="none"/>
        </w:rPr>
        <w:t xml:space="preserve">江苏省政府采购合同（服务）（合同编号）</w:t>
      </w:r>
      <w:bookmarkEnd w:id="89"/>
      <w:r/>
      <w:bookmarkEnd w:id="90"/>
      <w:r/>
      <w:bookmarkEnd w:id="91"/>
      <w:r/>
      <w:r/>
    </w:p>
    <w:p>
      <w:pPr>
        <w:ind w:right="48"/>
        <w:spacing w:line="360" w:lineRule="auto"/>
        <w:rPr>
          <w:rFonts w:ascii="宋体" w:hAnsi="宋体"/>
          <w:color w:val="auto"/>
          <w:highlight w:val="none"/>
        </w:rPr>
      </w:pPr>
      <w:r>
        <w:rPr>
          <w:rFonts w:hint="eastAsia" w:ascii="宋体" w:hAnsi="宋体"/>
          <w:color w:val="auto"/>
          <w:highlight w:val="none"/>
        </w:rPr>
        <w:t xml:space="preserve">项目名称：</w:t>
      </w:r>
      <w:r/>
    </w:p>
    <w:p>
      <w:pPr>
        <w:ind w:right="48"/>
        <w:spacing w:line="360" w:lineRule="auto"/>
        <w:rPr>
          <w:rFonts w:ascii="宋体" w:hAnsi="宋体"/>
          <w:color w:val="auto"/>
          <w:highlight w:val="none"/>
        </w:rPr>
      </w:pPr>
      <w:r>
        <w:rPr>
          <w:rFonts w:hint="eastAsia" w:ascii="宋体" w:hAnsi="宋体"/>
          <w:color w:val="auto"/>
          <w:highlight w:val="none"/>
        </w:rPr>
        <w:t xml:space="preserve">项目编号：</w:t>
      </w:r>
      <w:r/>
    </w:p>
    <w:p>
      <w:pPr>
        <w:ind w:right="48"/>
        <w:spacing w:line="360" w:lineRule="auto"/>
        <w:rPr>
          <w:rFonts w:ascii="宋体" w:hAnsi="宋体"/>
          <w:color w:val="auto"/>
          <w:highlight w:val="none"/>
        </w:rPr>
      </w:pPr>
      <w:r>
        <w:rPr>
          <w:rFonts w:hint="eastAsia" w:ascii="宋体" w:hAnsi="宋体"/>
          <w:color w:val="auto"/>
          <w:highlight w:val="none"/>
        </w:rPr>
        <w:t xml:space="preserve">甲方：（买方）</w:t>
      </w:r>
      <w:r/>
    </w:p>
    <w:p>
      <w:pPr>
        <w:ind w:right="48"/>
        <w:spacing w:line="360" w:lineRule="auto"/>
        <w:rPr>
          <w:rFonts w:ascii="宋体" w:hAnsi="宋体"/>
          <w:color w:val="auto"/>
          <w:highlight w:val="none"/>
        </w:rPr>
      </w:pPr>
      <w:r>
        <w:rPr>
          <w:rFonts w:hint="eastAsia" w:ascii="宋体" w:hAnsi="宋体"/>
          <w:color w:val="auto"/>
          <w:highlight w:val="none"/>
        </w:rPr>
        <w:t xml:space="preserve">乙方：（卖方）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甲、乙双方根据扬州市公共资源交易中心开发区分中心</w:t>
      </w:r>
      <w:r>
        <w:rPr>
          <w:rFonts w:hint="eastAsia" w:ascii="宋体" w:hAnsi="宋体"/>
          <w:color w:val="auto"/>
          <w:highlight w:val="none"/>
          <w:u w:val="single"/>
        </w:rPr>
        <w:t xml:space="preserve">           </w:t>
      </w:r>
      <w:r>
        <w:rPr>
          <w:rFonts w:hint="eastAsia" w:ascii="宋体" w:hAnsi="宋体"/>
          <w:color w:val="auto"/>
          <w:highlight w:val="none"/>
        </w:rPr>
        <w:t xml:space="preserve">项目公开招标的结果，签署本合同。</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 标的名称：</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 标的质量：</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1.3 标的数量（规模）：</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1.4 履行时间（期限）：</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1.5 履行地点：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1.6 履行方式：</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2.1 本合同金额为（大写）：____________________________________圆（_______________元）人民币或其他币种。</w:t>
      </w:r>
      <w:r/>
    </w:p>
    <w:p>
      <w:pPr>
        <w:ind w:right="48" w:firstLine="422"/>
        <w:spacing w:line="360" w:lineRule="auto"/>
        <w:rPr>
          <w:rFonts w:ascii="宋体" w:hAnsi="宋体"/>
          <w:b/>
          <w:bCs/>
          <w:color w:val="auto"/>
          <w:highlight w:val="none"/>
        </w:rPr>
      </w:pPr>
      <w:r>
        <w:rPr>
          <w:rFonts w:hint="eastAsia" w:ascii="宋体" w:hAnsi="宋体"/>
          <w:b/>
          <w:bCs/>
          <w:color w:val="auto"/>
          <w:highlight w:val="none"/>
        </w:rPr>
        <w:t xml:space="preserve">本合同最终根据乙方的成交单价和政府购买的实际服务老人人数按实结算。</w:t>
      </w:r>
      <w:r/>
    </w:p>
    <w:p>
      <w:pPr>
        <w:ind w:right="48" w:firstLine="422"/>
        <w:spacing w:line="360" w:lineRule="auto"/>
        <w:rPr>
          <w:rFonts w:ascii="宋体" w:hAnsi="宋体"/>
          <w:b/>
          <w:bCs/>
          <w:color w:val="auto"/>
          <w:highlight w:val="none"/>
        </w:rPr>
      </w:pPr>
      <w:r>
        <w:rPr>
          <w:rFonts w:hint="eastAsia" w:ascii="宋体" w:hAnsi="宋体"/>
          <w:b/>
          <w:bCs/>
          <w:color w:val="auto"/>
          <w:highlight w:val="none"/>
        </w:rPr>
        <w:t xml:space="preserve">如遇上级民政部门对服务人数、价格调整，导致服务费用金额增加，以实际产生服务金额为准。</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3.1乙方应按招标文件规定的时间向甲方提供服务（包含与服务相关的货物）的有关技术资料。</w:t>
      </w:r>
      <w:r/>
    </w:p>
    <w:p>
      <w:pPr>
        <w:ind w:right="48" w:firstLine="422"/>
        <w:spacing w:line="360" w:lineRule="auto"/>
        <w:rPr>
          <w:rFonts w:ascii="宋体" w:hAnsi="宋体" w:cs="Courier New"/>
          <w:color w:val="auto"/>
          <w:sz w:val="24"/>
          <w:szCs w:val="24"/>
          <w:highlight w:val="none"/>
        </w:rPr>
      </w:pPr>
      <w:r>
        <w:rPr>
          <w:rFonts w:hint="eastAsia" w:ascii="宋体" w:hAnsi="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before="120" w:after="120"/>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5.1 乙方保证所交付的服务（包含与服务相关的货物）的所有权完全属于乙方且无任何抵押、查封等产权瑕疵。</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6.1 乙方交纳人民币</w:t>
      </w:r>
      <w:r>
        <w:rPr>
          <w:rFonts w:hint="eastAsia" w:ascii="宋体" w:hAnsi="宋体"/>
          <w:color w:val="auto"/>
          <w:highlight w:val="none"/>
          <w:u w:val="single"/>
        </w:rPr>
        <w:t xml:space="preserve"> 零 </w:t>
      </w:r>
      <w:r>
        <w:rPr>
          <w:rFonts w:hint="eastAsia" w:ascii="宋体" w:hAnsi="宋体"/>
          <w:color w:val="auto"/>
          <w:highlight w:val="none"/>
        </w:rPr>
        <w:t xml:space="preserve">元作为本合同的履约保证金。（不得超过合同金额的10%）</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6.2合同履行结束后，甲方应及时退还交纳的履约保证金。</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6.2.1履约保证金退还方式：无</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6.2.2履约保证金退还时间：无</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6.2.3履约保证金退还条件：无</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6.2.4履约保证金不予退还的情形：无</w:t>
      </w:r>
      <w:r/>
    </w:p>
    <w:p>
      <w:pPr>
        <w:ind w:firstLine="482"/>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7.1乙方不得将合同标的转包给他人履行。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7.2乙方不得将合同标的分包给他人履行。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7.3乙方如有转包或未经甲方同意的分包行为，甲方有权解除合同。</w:t>
      </w:r>
      <w:r/>
    </w:p>
    <w:p>
      <w:pPr>
        <w:ind w:firstLine="482"/>
        <w:spacing w:before="120" w:after="120"/>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8.1合同款项的支付方式及进度安排</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8.1.1 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并得到甲方认可）以及服务单价按实结算。</w:t>
      </w:r>
      <w:r/>
    </w:p>
    <w:p>
      <w:pPr>
        <w:ind w:right="48" w:firstLine="422"/>
        <w:spacing w:line="360" w:lineRule="auto"/>
        <w:rPr>
          <w:rFonts w:ascii="宋体" w:hAnsi="宋体"/>
          <w:b/>
          <w:bCs/>
          <w:color w:val="auto"/>
          <w:highlight w:val="none"/>
        </w:rPr>
      </w:pPr>
      <w:r>
        <w:rPr>
          <w:rFonts w:hint="eastAsia" w:ascii="宋体" w:hAnsi="宋体"/>
          <w:b/>
          <w:bCs/>
          <w:color w:val="auto"/>
          <w:highlight w:val="none"/>
        </w:rPr>
        <w:t xml:space="preserve">合同签订后，乙方向甲方开具发票，甲方自收到发票之日起10日内支付合同中单年预算服务费用总价30%的预付款；每季度甲方根据考核情况，</w:t>
      </w:r>
      <w:r>
        <w:rPr>
          <w:rFonts w:hint="eastAsia" w:ascii="宋体" w:hAnsi="宋体" w:eastAsiaTheme="minorEastAsia" w:cstheme="minorBidi"/>
          <w:color w:val="auto"/>
          <w:szCs w:val="21"/>
          <w:highlight w:val="none"/>
        </w:rPr>
        <w:t xml:space="preserve">每季度甲方自收到发票10日内支付上季度实际服务费。（</w:t>
      </w:r>
      <w:r>
        <w:rPr>
          <w:rFonts w:hint="eastAsia" w:ascii="宋体" w:hAnsi="宋体"/>
          <w:b/>
          <w:bCs/>
          <w:color w:val="auto"/>
          <w:highlight w:val="none"/>
        </w:rPr>
        <w:t xml:space="preserve">出具正式发票）</w:t>
      </w:r>
      <w:r/>
    </w:p>
    <w:p>
      <w:pPr>
        <w:ind w:firstLine="482"/>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9.1本合同执行中相关的一切税费均由乙方负担。</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10.1 甲方依法组织履约验收工作。</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10.3 对于实际使用人和甲方分离的项目，甲方邀请实际使用人参与验收。</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10.4 如有必要，甲方邀请参加本项目的其他供应商或第三方专业机构及专家参与验收，相关意见将作为验收书的参考资料。</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、违约责任</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11.1甲方无正当理由拒绝接受乙方提供服务的，甲方向乙方偿付拒绝接受合同价款总值</w:t>
      </w:r>
      <w:r>
        <w:rPr>
          <w:rFonts w:hint="eastAsia" w:ascii="宋体" w:hAnsi="宋体"/>
          <w:color w:val="auto"/>
          <w:highlight w:val="none"/>
          <w:u w:val="single"/>
        </w:rPr>
        <w:t xml:space="preserve">    </w:t>
      </w:r>
      <w:r>
        <w:rPr>
          <w:rFonts w:hint="eastAsia" w:ascii="宋体" w:hAnsi="宋体"/>
          <w:color w:val="auto"/>
          <w:highlight w:val="none"/>
        </w:rPr>
        <w:t xml:space="preserve">的违约金。</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11.2 甲方无故逾期验收和办理合同款项支付手续的,甲方应按逾期付款总额</w:t>
      </w:r>
      <w:r>
        <w:rPr>
          <w:rFonts w:hint="eastAsia" w:ascii="宋体" w:hAnsi="宋体"/>
          <w:color w:val="auto"/>
          <w:highlight w:val="none"/>
          <w:u w:val="single"/>
        </w:rPr>
        <w:t xml:space="preserve">      </w:t>
      </w:r>
      <w:r>
        <w:rPr>
          <w:rFonts w:hint="eastAsia" w:ascii="宋体" w:hAnsi="宋体"/>
          <w:color w:val="auto"/>
          <w:highlight w:val="none"/>
        </w:rPr>
        <w:t xml:space="preserve">每日向乙方支付违约金。</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olor w:val="auto"/>
          <w:highlight w:val="none"/>
          <w:u w:val="single"/>
        </w:rPr>
        <w:t xml:space="preserve">     </w:t>
      </w:r>
      <w:r>
        <w:rPr>
          <w:rFonts w:hint="eastAsia" w:ascii="宋体" w:hAnsi="宋体"/>
          <w:color w:val="auto"/>
          <w:highlight w:val="none"/>
        </w:rPr>
        <w:t xml:space="preserve">的违约金，如造成甲方损失超过违约金的，超出部分由乙方继续承担赔偿责任。 </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11.4 乙方交付合同标的的标准不符合合同规定及磋商文件规定标准的，甲方有权拒绝接受合同标的，并可单方面解除合同。</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、不可抗力事件处理</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12.1 在合同有效期内，任何一方因不可抗力事件导致不能履行合同，则合同履行期可延长，其延长期与不可抗力影响 期相同。</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12.2 不可抗力事件发生后，应立即通知对方，并寄送有关权威机构出具的证明。</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12.3 不可抗力事件延续120天以上，双方应通过友好协商，确定是否继续履行合同。</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13.1双方在签订、履行合同中所发生的一切争议，应通过友好协商解决。如协商不成，由甲方住所地人民法院管辖。</w:t>
      </w:r>
      <w:r/>
    </w:p>
    <w:p>
      <w:pPr>
        <w:ind w:firstLine="48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、合同生效及其它</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14.1 合同经双方法定代表人或授权委托代表人签字并加盖单位公章后生效。</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14.2本合同未尽事宜，遵照《民法典》、《政府采购法》有关条文执行。</w:t>
      </w:r>
      <w:r/>
    </w:p>
    <w:p>
      <w:pPr>
        <w:ind w:right="48" w:firstLine="422"/>
        <w:spacing w:line="360" w:lineRule="auto"/>
        <w:rPr>
          <w:rFonts w:ascii="宋体" w:hAnsi="宋体" w:cs="Courier New"/>
          <w:color w:val="auto"/>
          <w:sz w:val="24"/>
          <w:szCs w:val="24"/>
          <w:highlight w:val="none"/>
        </w:rPr>
      </w:pPr>
      <w:r>
        <w:rPr>
          <w:rFonts w:hint="eastAsia" w:ascii="宋体" w:hAnsi="宋体"/>
          <w:color w:val="auto"/>
          <w:highlight w:val="none"/>
        </w:rPr>
        <w:t xml:space="preserve">14.3 本合同正本一式两份，具有同等法律效力，甲方、乙方各执一份。</w:t>
      </w:r>
      <w:r/>
    </w:p>
    <w:p>
      <w:pPr>
        <w:ind w:right="48" w:firstLine="422"/>
        <w:spacing w:line="360" w:lineRule="auto"/>
        <w:rPr>
          <w:rFonts w:ascii="宋体" w:hAnsi="宋体"/>
          <w:color w:val="auto"/>
          <w:highlight w:val="none"/>
        </w:rPr>
      </w:pPr>
      <w:r>
        <w:rPr>
          <w:rFonts w:ascii="宋体" w:hAnsi="宋体"/>
          <w:color w:val="auto"/>
          <w:highlight w:val="none"/>
        </w:rPr>
      </w:r>
      <w:r/>
    </w:p>
    <w:p>
      <w:pPr>
        <w:ind w:right="48" w:firstLine="422"/>
        <w:spacing w:line="360" w:lineRule="auto"/>
        <w:rPr>
          <w:rFonts w:ascii="宋体" w:hAnsi="宋体"/>
          <w:color w:val="auto"/>
          <w:highlight w:val="none"/>
        </w:rPr>
      </w:pPr>
      <w:r>
        <w:rPr>
          <w:rFonts w:hint="eastAsia" w:ascii="宋体" w:hAnsi="宋体"/>
          <w:color w:val="auto"/>
          <w:highlight w:val="none"/>
        </w:rPr>
        <w:t xml:space="preserve">甲方：                            乙方： </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地址：                            地址： </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法定代表人或授权代表：            法定代表人或授权代表：</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联系电话：                        联系电话：          </w:t>
      </w:r>
      <w:r/>
    </w:p>
    <w:p>
      <w:pPr>
        <w:ind w:right="48" w:firstLine="422"/>
        <w:spacing w:line="360" w:lineRule="auto"/>
        <w:rPr>
          <w:rFonts w:ascii="宋体" w:hAnsi="宋体"/>
          <w:color w:val="auto"/>
          <w:highlight w:val="none"/>
        </w:rPr>
      </w:pPr>
      <w:r>
        <w:rPr>
          <w:rFonts w:hint="eastAsia" w:ascii="宋体" w:hAnsi="宋体"/>
          <w:color w:val="auto"/>
          <w:highlight w:val="none"/>
        </w:rPr>
        <w:t xml:space="preserve">                                          签订日期：      年    月   日</w:t>
      </w:r>
      <w:r/>
    </w:p>
    <w:p>
      <w:pPr>
        <w:pStyle w:val="815"/>
        <w:ind w:firstLine="420"/>
        <w:rPr>
          <w:color w:val="auto"/>
          <w:sz w:val="21"/>
          <w:szCs w:val="21"/>
          <w:highlight w:val="none"/>
        </w:rPr>
      </w:pPr>
      <w:r>
        <w:rPr>
          <w:color w:val="auto"/>
          <w:sz w:val="21"/>
          <w:szCs w:val="21"/>
          <w:highlight w:val="none"/>
        </w:rPr>
      </w:r>
      <w:r/>
    </w:p>
    <w:p>
      <w:pPr>
        <w:rPr>
          <w:color w:val="auto"/>
          <w:szCs w:val="21"/>
          <w:highlight w:val="none"/>
        </w:rPr>
      </w:pPr>
      <w:r>
        <w:rPr>
          <w:color w:val="auto"/>
          <w:szCs w:val="21"/>
          <w:highlight w:val="none"/>
        </w:rPr>
      </w:r>
      <w:r/>
    </w:p>
    <w:p>
      <w:pPr>
        <w:pStyle w:val="815"/>
        <w:ind w:firstLine="420"/>
        <w:rPr>
          <w:color w:val="auto"/>
          <w:sz w:val="21"/>
          <w:szCs w:val="21"/>
          <w:highlight w:val="none"/>
        </w:rPr>
      </w:pPr>
      <w:r>
        <w:rPr>
          <w:color w:val="auto"/>
          <w:sz w:val="21"/>
          <w:szCs w:val="21"/>
          <w:highlight w:val="none"/>
        </w:rPr>
      </w:r>
      <w:r/>
    </w:p>
    <w:p>
      <w:pPr>
        <w:rPr>
          <w:color w:val="auto"/>
          <w:highlight w:val="none"/>
        </w:rPr>
      </w:pPr>
      <w:r>
        <w:rPr>
          <w:rFonts w:hint="eastAsia"/>
          <w:color w:val="auto"/>
          <w:highlight w:val="none"/>
        </w:rPr>
        <w:br w:type="page" w:clear="all"/>
      </w:r>
      <w:r/>
    </w:p>
    <w:p>
      <w:pPr>
        <w:pStyle w:val="809"/>
        <w:ind w:firstLine="880"/>
        <w:jc w:val="center"/>
        <w:rPr>
          <w:color w:val="auto"/>
          <w:highlight w:val="none"/>
        </w:rPr>
      </w:pPr>
      <w:r/>
      <w:bookmarkStart w:id="92" w:name="_Toc9043"/>
      <w:r>
        <w:rPr>
          <w:rFonts w:hint="eastAsia"/>
          <w:color w:val="auto"/>
          <w:highlight w:val="none"/>
        </w:rPr>
        <w:t xml:space="preserve">第四章 采购需求</w:t>
      </w:r>
      <w:bookmarkEnd w:id="92"/>
      <w:r/>
      <w:r/>
    </w:p>
    <w:p>
      <w:pPr>
        <w:ind w:firstLine="422"/>
        <w:spacing w:line="360" w:lineRule="exact"/>
        <w:rPr>
          <w:rFonts w:ascii="宋体" w:hAnsi="宋体"/>
          <w:color w:val="auto"/>
          <w:highlight w:val="none"/>
        </w:rPr>
      </w:pPr>
      <w:r>
        <w:rPr>
          <w:rFonts w:hint="eastAsia" w:ascii="宋体" w:hAnsi="宋体"/>
          <w:color w:val="auto"/>
          <w:highlight w:val="none"/>
        </w:rPr>
        <w:t xml:space="preserve">项目属性:服务类项目。</w:t>
      </w:r>
      <w:r/>
    </w:p>
    <w:p>
      <w:pPr>
        <w:ind w:firstLine="422"/>
        <w:spacing w:line="360" w:lineRule="exact"/>
        <w:rPr>
          <w:rFonts w:ascii="宋体" w:hAnsi="宋体"/>
          <w:b/>
          <w:bCs/>
          <w:color w:val="auto"/>
          <w:szCs w:val="21"/>
          <w:highlight w:val="none"/>
        </w:rPr>
      </w:pPr>
      <w:r>
        <w:rPr>
          <w:rFonts w:hint="eastAsia" w:ascii="宋体" w:hAnsi="宋体"/>
          <w:b/>
          <w:bCs/>
          <w:color w:val="auto"/>
          <w:szCs w:val="21"/>
          <w:highlight w:val="none"/>
        </w:rPr>
        <w:t xml:space="preserve">一、其他要求</w:t>
      </w:r>
      <w:r/>
    </w:p>
    <w:p>
      <w:pPr>
        <w:ind w:firstLine="422"/>
        <w:spacing w:line="360" w:lineRule="exact"/>
        <w:rPr>
          <w:rFonts w:ascii="宋体" w:hAnsi="宋体"/>
          <w:i/>
          <w:iCs/>
          <w:color w:val="auto"/>
          <w:szCs w:val="21"/>
          <w:highlight w:val="none"/>
          <w:u w:val="single"/>
        </w:rPr>
      </w:pPr>
      <w:r>
        <w:rPr>
          <w:rFonts w:hint="eastAsia" w:ascii="宋体" w:hAnsi="宋体"/>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auto"/>
          <w:szCs w:val="21"/>
          <w:highlight w:val="none"/>
          <w:u w:val="single"/>
        </w:rPr>
        <w:t xml:space="preserve">如属政府强制采购产品未提供认证证书的或认证证书提供不全的将视为未实质性响应采购要求。其他条件相同情况下，应当优先采购节能产品、环境标志产品。</w:t>
      </w:r>
      <w:r/>
    </w:p>
    <w:p>
      <w:pPr>
        <w:ind w:firstLine="422"/>
        <w:spacing w:line="360" w:lineRule="exact"/>
        <w:rPr>
          <w:rFonts w:ascii="宋体" w:hAnsi="宋体"/>
          <w:color w:val="auto"/>
          <w:szCs w:val="21"/>
          <w:highlight w:val="none"/>
        </w:rPr>
      </w:pPr>
      <w:r>
        <w:rPr>
          <w:rFonts w:hint="eastAsia" w:ascii="宋体" w:hAnsi="宋体"/>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spacing w:after="313" w:line="360" w:lineRule="exact"/>
        <w:rPr>
          <w:rFonts w:ascii="宋体" w:hAnsi="宋体"/>
          <w:color w:val="auto"/>
          <w:szCs w:val="21"/>
          <w:highlight w:val="none"/>
        </w:rPr>
      </w:pPr>
      <w:r>
        <w:rPr>
          <w:rFonts w:hint="eastAsia" w:ascii="宋体" w:hAnsi="宋体"/>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一、项目需求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 政府购买服务对象和标准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困难老年人养老服务补贴。对年满 60 周岁以上，户籍在文汇街道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80元、150元、260元的标准给予补贴。</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高龄老年人养老服务补贴。对年满80周岁以上，户籍在文汇街道且长期（原则上指半年以上）居住在户籍地的老人（简称“高龄老人”），根据政府购买居家养老服务占比要求，在对高龄老人进行能力评估后，按照每人每月不低于60元的标准给予补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上述两种类型的养老服务补贴不得重复享受。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 项目预算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每位服务对象每月政府购买服务补贴标准为60、80、150、260元。其补助标准可能会根据市、区民政部门相关政策的要求做出相应的调整，居家养老政府购买服务对象经民政部门审批确定。服务人数年满6</w:t>
      </w:r>
      <w:r>
        <w:rPr>
          <w:rFonts w:ascii="宋体" w:hAnsi="宋体"/>
          <w:color w:val="auto"/>
          <w:szCs w:val="21"/>
          <w:highlight w:val="none"/>
        </w:rPr>
        <w:t xml:space="preserve">0</w:t>
      </w:r>
      <w:r>
        <w:rPr>
          <w:rFonts w:hint="eastAsia" w:ascii="宋体" w:hAnsi="宋体"/>
          <w:color w:val="auto"/>
          <w:szCs w:val="21"/>
          <w:highlight w:val="none"/>
        </w:rPr>
        <w:t xml:space="preserve">周岁的困难老年人预计100名，高龄老年人预计1700名。</w:t>
      </w:r>
      <w:r>
        <w:rPr>
          <w:rFonts w:hint="eastAsia" w:ascii="宋体" w:hAnsi="宋体"/>
          <w:color w:val="auto"/>
          <w:szCs w:val="21"/>
          <w:highlight w:val="none"/>
        </w:rPr>
        <w:t xml:space="preserve">一年预算约为125万元，二年预算约为250万元。</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 服务内容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为文汇街道居家养老政府购买服务对象提供基本居家养老服务内容。</w:t>
      </w:r>
      <w:r/>
    </w:p>
    <w:tbl>
      <w:tblPr>
        <w:tblStyle w:val="814"/>
        <w:tblpPr w:horzAnchor="page" w:tblpXSpec="center" w:vertAnchor="text" w:tblpY="543" w:leftFromText="180" w:topFromText="0" w:rightFromText="180" w:bottomFromText="0"/>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9"/>
        <w:gridCol w:w="5742"/>
        <w:gridCol w:w="2209"/>
      </w:tblGrid>
      <w:tr>
        <w:trPr>
          <w:jc w:val="center"/>
          <w:trHeight w:val="1264"/>
        </w:trPr>
        <w:tc>
          <w:tcPr>
            <w:tcW w:w="1169"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补贴标准</w:t>
            </w:r>
            <w:r/>
          </w:p>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(元/人/月)</w:t>
            </w:r>
            <w:r/>
          </w:p>
        </w:tc>
        <w:tc>
          <w:tcPr>
            <w:tcW w:w="5742"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基本服务内容</w:t>
            </w:r>
            <w:r/>
          </w:p>
        </w:tc>
        <w:tc>
          <w:tcPr>
            <w:tcW w:w="2209" w:type="dxa"/>
            <w:vAlign w:val="center"/>
            <w:textDirection w:val="lrTb"/>
            <w:noWrap w:val="false"/>
          </w:tcPr>
          <w:p>
            <w:pPr>
              <w:ind w:firstLine="420"/>
              <w:spacing w:before="156" w:after="156"/>
              <w:rPr>
                <w:rFonts w:ascii="宋体" w:hAnsi="宋体"/>
                <w:color w:val="auto"/>
                <w:szCs w:val="21"/>
                <w:highlight w:val="none"/>
              </w:rPr>
            </w:pPr>
            <w:r>
              <w:rPr>
                <w:rFonts w:hint="eastAsia" w:ascii="宋体" w:hAnsi="宋体"/>
                <w:color w:val="auto"/>
                <w:szCs w:val="21"/>
                <w:highlight w:val="none"/>
              </w:rPr>
              <w:t xml:space="preserve">拓展服务内容</w:t>
            </w:r>
            <w:r/>
          </w:p>
        </w:tc>
      </w:tr>
      <w:tr>
        <w:trPr>
          <w:jc w:val="center"/>
          <w:trHeight w:val="285"/>
        </w:trPr>
        <w:tc>
          <w:tcPr>
            <w:tcW w:w="1169"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60元</w:t>
            </w:r>
            <w:r/>
          </w:p>
        </w:tc>
        <w:tc>
          <w:tcPr>
            <w:tcW w:w="5742" w:type="dxa"/>
            <w:vAlign w:val="center"/>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助餐、助浴、助医、助洁等居家养老服务。</w:t>
            </w:r>
            <w:r/>
          </w:p>
        </w:tc>
        <w:tc>
          <w:tcPr>
            <w:tcW w:w="2209" w:type="dxa"/>
            <w:vAlign w:val="center"/>
            <w:vMerge w:val="restart"/>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1169"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80元</w:t>
            </w:r>
            <w:r/>
          </w:p>
        </w:tc>
        <w:tc>
          <w:tcPr>
            <w:tcW w:w="5742" w:type="dxa"/>
            <w:vAlign w:val="center"/>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助餐、助浴、助医、助洁、助急等居家养老服务。</w:t>
            </w:r>
            <w:r/>
          </w:p>
        </w:tc>
        <w:tc>
          <w:tcPr>
            <w:tcW w:w="2209" w:type="dxa"/>
            <w:vAlign w:val="center"/>
            <w:vMerge w:val="continue"/>
            <w:textDirection w:val="lrTb"/>
            <w:noWrap w:val="false"/>
          </w:tcPr>
          <w:p>
            <w:pPr>
              <w:ind w:firstLine="420"/>
              <w:spacing w:before="156" w:after="156"/>
              <w:rPr>
                <w:rFonts w:ascii="宋体" w:hAnsi="宋体"/>
                <w:color w:val="auto"/>
                <w:szCs w:val="21"/>
                <w:highlight w:val="none"/>
              </w:rPr>
            </w:pPr>
            <w:r>
              <w:rPr>
                <w:rFonts w:ascii="宋体" w:hAnsi="宋体"/>
                <w:color w:val="auto"/>
                <w:szCs w:val="21"/>
                <w:highlight w:val="none"/>
              </w:rPr>
            </w:r>
            <w:r/>
          </w:p>
        </w:tc>
      </w:tr>
      <w:tr>
        <w:trPr>
          <w:jc w:val="center"/>
          <w:trHeight w:val="480"/>
        </w:trPr>
        <w:tc>
          <w:tcPr>
            <w:tcW w:w="1169"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150元</w:t>
            </w:r>
            <w:r/>
          </w:p>
        </w:tc>
        <w:tc>
          <w:tcPr>
            <w:tcW w:w="5742" w:type="dxa"/>
            <w:vAlign w:val="center"/>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ind w:firstLine="420"/>
              <w:spacing w:before="156" w:after="156"/>
              <w:rPr>
                <w:rFonts w:ascii="宋体" w:hAnsi="宋体"/>
                <w:color w:val="auto"/>
                <w:szCs w:val="21"/>
                <w:highlight w:val="none"/>
              </w:rPr>
            </w:pPr>
            <w:r>
              <w:rPr>
                <w:rFonts w:ascii="宋体" w:hAnsi="宋体"/>
                <w:color w:val="auto"/>
                <w:szCs w:val="21"/>
                <w:highlight w:val="none"/>
              </w:rPr>
            </w:r>
            <w:r/>
          </w:p>
        </w:tc>
      </w:tr>
      <w:tr>
        <w:trPr>
          <w:jc w:val="center"/>
          <w:trHeight w:val="480"/>
        </w:trPr>
        <w:tc>
          <w:tcPr>
            <w:tcW w:w="1169" w:type="dxa"/>
            <w:vAlign w:val="center"/>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260元</w:t>
            </w:r>
            <w:r/>
          </w:p>
        </w:tc>
        <w:tc>
          <w:tcPr>
            <w:tcW w:w="5742" w:type="dxa"/>
            <w:vAlign w:val="center"/>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ind w:firstLine="420"/>
              <w:spacing w:before="156" w:after="156"/>
              <w:rPr>
                <w:rFonts w:ascii="宋体" w:hAnsi="宋体"/>
                <w:color w:val="auto"/>
                <w:szCs w:val="21"/>
                <w:highlight w:val="none"/>
              </w:rPr>
            </w:pPr>
            <w:r>
              <w:rPr>
                <w:rFonts w:ascii="宋体" w:hAnsi="宋体"/>
                <w:color w:val="auto"/>
                <w:szCs w:val="21"/>
                <w:highlight w:val="none"/>
              </w:rPr>
            </w:r>
            <w:r/>
          </w:p>
        </w:tc>
      </w:tr>
      <w:tr>
        <w:trPr>
          <w:jc w:val="center"/>
          <w:trHeight w:val="680"/>
        </w:trPr>
        <w:tc>
          <w:tcPr>
            <w:tcW w:w="1169" w:type="dxa"/>
            <w:vAlign w:val="center"/>
            <w:vMerge w:val="restart"/>
            <w:textDirection w:val="lrTb"/>
            <w:noWrap w:val="false"/>
          </w:tcPr>
          <w:p>
            <w:pPr>
              <w:jc w:val="center"/>
              <w:spacing w:before="156" w:after="156"/>
              <w:rPr>
                <w:rFonts w:ascii="宋体" w:hAnsi="宋体"/>
                <w:color w:val="auto"/>
                <w:szCs w:val="21"/>
                <w:highlight w:val="none"/>
              </w:rPr>
            </w:pPr>
            <w:r>
              <w:rPr>
                <w:rFonts w:hint="eastAsia" w:ascii="宋体" w:hAnsi="宋体"/>
                <w:color w:val="auto"/>
                <w:szCs w:val="21"/>
                <w:highlight w:val="none"/>
              </w:rPr>
              <w:t xml:space="preserve">备注</w:t>
            </w:r>
            <w:r/>
          </w:p>
        </w:tc>
        <w:tc>
          <w:tcPr>
            <w:gridSpan w:val="2"/>
            <w:tcW w:w="7951" w:type="dxa"/>
            <w:vAlign w:val="center"/>
            <w:vMerge w:val="restart"/>
            <w:textDirection w:val="lrTb"/>
            <w:noWrap w:val="false"/>
          </w:tcPr>
          <w:p>
            <w:pPr>
              <w:spacing w:before="156" w:after="156"/>
              <w:rPr>
                <w:rFonts w:ascii="宋体" w:hAnsi="宋体"/>
                <w:color w:val="auto"/>
                <w:szCs w:val="21"/>
                <w:highlight w:val="none"/>
              </w:rPr>
            </w:pPr>
            <w:r>
              <w:rPr>
                <w:rFonts w:hint="eastAsia" w:ascii="宋体" w:hAnsi="宋体"/>
                <w:color w:val="auto"/>
                <w:szCs w:val="21"/>
                <w:highlight w:val="none"/>
              </w:rPr>
              <w:t xml:space="preserve">1、各地在购买基本服务的同时，要根据老年人实际养老需求，不断充实完善购买基本养老服务内容；</w:t>
            </w:r>
            <w:r>
              <w:rPr>
                <w:rFonts w:hint="eastAsia" w:ascii="宋体" w:hAnsi="宋体"/>
                <w:color w:val="auto"/>
                <w:szCs w:val="21"/>
                <w:highlight w:val="none"/>
              </w:rPr>
              <w:br/>
            </w:r>
            <w:r>
              <w:rPr>
                <w:rFonts w:hint="eastAsia" w:ascii="宋体" w:hAnsi="宋体"/>
                <w:color w:val="auto"/>
                <w:szCs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color w:val="auto"/>
                <w:szCs w:val="21"/>
                <w:highlight w:val="none"/>
              </w:rPr>
              <w:br/>
            </w:r>
            <w:r>
              <w:rPr>
                <w:rFonts w:hint="eastAsia" w:ascii="宋体" w:hAnsi="宋体"/>
                <w:color w:val="auto"/>
                <w:szCs w:val="21"/>
                <w:highlight w:val="none"/>
              </w:rPr>
              <w:t xml:space="preserve">3、根据第三方开展养老服务实际，积极鼓励开设社区和居家养老床位建设，对符合养老机构备案条件的，各地民政部门应予以备案并列入养老机构管理。</w:t>
            </w:r>
            <w:r/>
          </w:p>
        </w:tc>
      </w:tr>
    </w:tbl>
    <w:p>
      <w:pPr>
        <w:pStyle w:val="828"/>
        <w:ind w:firstLine="482"/>
        <w:rPr>
          <w:color w:val="auto"/>
          <w:highlight w:val="none"/>
        </w:rPr>
      </w:pPr>
      <w:r>
        <w:rPr>
          <w:color w:val="auto"/>
          <w:highlight w:val="none"/>
        </w:rPr>
      </w:r>
      <w:r/>
    </w:p>
    <w:p>
      <w:pPr>
        <w:numPr>
          <w:ilvl w:val="0"/>
          <w:numId w:val="1"/>
        </w:num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服务要求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 提升服务质量，做强专业能力</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③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采购人民政部门，委托他们向社会公开招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 加强运营管理，做优服务过程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③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④配合采购人加强购买服务人员动态管理。配合做好居家养老上门服务对象的增减工作，对新增服务对象要做到“四个及时”，即:及时申报、及时审批、及时评估、及时服务。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 强化监督管理，做大服务成效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建立居家服务考核制度。采购人将对供应商服务质量的考核评价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w:t>
      </w:r>
      <w:r>
        <w:rPr>
          <w:rFonts w:hint="eastAsia" w:ascii="宋体" w:hAnsi="宋体" w:cs="宋体"/>
          <w:color w:val="auto"/>
          <w:szCs w:val="21"/>
          <w:highlight w:val="none"/>
        </w:rPr>
        <w:t xml:space="preserve">⑴</w:t>
      </w:r>
      <w:r>
        <w:rPr>
          <w:rFonts w:hint="eastAsia" w:ascii="宋体" w:hAnsi="宋体"/>
          <w:color w:val="auto"/>
          <w:szCs w:val="21"/>
          <w:highlight w:val="none"/>
        </w:rPr>
        <w:t xml:space="preserve">以向服务对象送实物等变通方式套取服务对象补贴资金的;</w:t>
      </w:r>
      <w:r>
        <w:rPr>
          <w:rFonts w:hint="eastAsia" w:ascii="宋体" w:hAnsi="宋体" w:cs="宋体"/>
          <w:color w:val="auto"/>
          <w:szCs w:val="21"/>
          <w:highlight w:val="none"/>
        </w:rPr>
        <w:t xml:space="preserve">⑵</w:t>
      </w:r>
      <w:r>
        <w:rPr>
          <w:rFonts w:hint="eastAsia" w:ascii="宋体" w:hAnsi="宋体"/>
          <w:color w:val="auto"/>
          <w:szCs w:val="21"/>
          <w:highlight w:val="none"/>
        </w:rPr>
        <w:t xml:space="preserve">借助开展服务的机会向老年人推销保健产品的;</w:t>
      </w:r>
      <w:r>
        <w:rPr>
          <w:rFonts w:hint="eastAsia" w:ascii="宋体" w:hAnsi="宋体" w:cs="宋体"/>
          <w:color w:val="auto"/>
          <w:szCs w:val="21"/>
          <w:highlight w:val="none"/>
        </w:rPr>
        <w:t xml:space="preserve">⑶</w:t>
      </w:r>
      <w:r>
        <w:rPr>
          <w:rFonts w:hint="eastAsia" w:ascii="宋体" w:hAnsi="宋体"/>
          <w:color w:val="auto"/>
          <w:szCs w:val="21"/>
          <w:highlight w:val="none"/>
        </w:rPr>
        <w:t xml:space="preserve">借助开展服务的机会向老年人集资、吸储等严重损害了老年人合法权益的;</w:t>
      </w:r>
      <w:r>
        <w:rPr>
          <w:rFonts w:hint="eastAsia" w:ascii="宋体" w:hAnsi="宋体" w:cs="宋体"/>
          <w:color w:val="auto"/>
          <w:szCs w:val="21"/>
          <w:highlight w:val="none"/>
        </w:rPr>
        <w:t xml:space="preserve">⑷</w:t>
      </w:r>
      <w:r>
        <w:rPr>
          <w:rFonts w:hint="eastAsia" w:ascii="宋体" w:hAnsi="宋体"/>
          <w:color w:val="auto"/>
          <w:szCs w:val="21"/>
          <w:highlight w:val="none"/>
        </w:rPr>
        <w:t xml:space="preserve">成交后，不具备完成政府购买服务能力的;</w:t>
      </w:r>
      <w:r>
        <w:rPr>
          <w:rFonts w:hint="eastAsia" w:ascii="宋体" w:hAnsi="宋体" w:cs="宋体"/>
          <w:color w:val="auto"/>
          <w:szCs w:val="21"/>
          <w:highlight w:val="none"/>
        </w:rPr>
        <w:t xml:space="preserve">⑸</w:t>
      </w:r>
      <w:r>
        <w:rPr>
          <w:rFonts w:hint="eastAsia" w:ascii="宋体" w:hAnsi="宋体"/>
          <w:color w:val="auto"/>
          <w:szCs w:val="21"/>
          <w:highlight w:val="none"/>
        </w:rPr>
        <w:t xml:space="preserve">供应商有其他违法行为的。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③使用区级统一监管平台。成交供应商统一使用全区智慧养老服务信息平台，平台将对服务平台管理使用人员进行业务培训指导，规范各服务商服务流程，对服务商的服务质量进行电话回访和满意度调查，对市民卡(老年人福利卡)资金使用情况进行核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考核办法</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①</w:t>
      </w:r>
      <w:r>
        <w:rPr>
          <w:rFonts w:hint="eastAsia" w:ascii="宋体" w:hAnsi="宋体"/>
          <w:color w:val="auto"/>
          <w:szCs w:val="21"/>
          <w:highlight w:val="none"/>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②</w:t>
      </w:r>
      <w:r>
        <w:rPr>
          <w:rFonts w:hint="eastAsia" w:ascii="宋体" w:hAnsi="宋体"/>
          <w:color w:val="auto"/>
          <w:szCs w:val="21"/>
          <w:highlight w:val="none"/>
        </w:rPr>
        <w:t xml:space="preserve">每季度区级统一监管平台进行一次线下服务对象满意度调查，采购方将区平台回访和满意度调查结果纳入对服务商的考核范畴内，确保服务行为规范、有序、务实、高效，维护广大老年人的权益。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为规范监管和服务流程，本项目成交单位及其关联公司不得参与经济技术开发区居家养老政府购买服务工作区级系统运营项目的招投标活动;经济技术开发区居家养老政府购买服务工作区级系统运营项目的成交单位及其关联公司亦不得参与本项目的招投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5.其他要求</w:t>
      </w:r>
      <w:r/>
    </w:p>
    <w:p>
      <w:pPr>
        <w:ind w:firstLine="422"/>
        <w:spacing w:line="360" w:lineRule="auto"/>
        <w:rPr>
          <w:rFonts w:ascii="宋体" w:hAnsi="宋体"/>
          <w:color w:val="auto"/>
          <w:szCs w:val="21"/>
          <w:highlight w:val="none"/>
        </w:rPr>
      </w:pPr>
      <w:r>
        <w:rPr>
          <w:rFonts w:ascii="宋体" w:hAnsi="宋体"/>
          <w:b/>
          <w:color w:val="auto"/>
          <w:szCs w:val="21"/>
          <w:highlight w:val="none"/>
        </w:rPr>
        <w:t xml:space="preserve">5.1</w:t>
      </w:r>
      <w:r>
        <w:rPr>
          <w:rFonts w:hint="eastAsia" w:ascii="宋体" w:hAnsi="宋体"/>
          <w:b/>
          <w:color w:val="auto"/>
          <w:szCs w:val="21"/>
          <w:highlight w:val="none"/>
        </w:rPr>
        <w:t xml:space="preserve">服务团队人员要求:</w:t>
      </w:r>
      <w:r>
        <w:rPr>
          <w:rFonts w:hint="eastAsia" w:ascii="宋体" w:hAnsi="宋体"/>
          <w:color w:val="auto"/>
          <w:szCs w:val="21"/>
          <w:highlight w:val="none"/>
        </w:rPr>
        <w:t xml:space="preserve">服务团队需明确一名项目负责人，项目负责人具备一定的管理和服务能力，针对不同服务类别行业规范提供服务。项目负责人不得随意更换或挂名履职。</w:t>
      </w:r>
      <w:r>
        <w:rPr>
          <w:rFonts w:hint="eastAsia" w:ascii="宋体" w:hAnsi="宋体"/>
          <w:i/>
          <w:color w:val="auto"/>
          <w:szCs w:val="21"/>
          <w:highlight w:val="none"/>
          <w:u w:val="single"/>
        </w:rPr>
        <w:t xml:space="preserve">成交单位负责组建一支专业的养老护理员队伍，投入本项目的助老员不得少于15人。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成交单位要建有自己的管理信息平台。</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成交单位的服务人员要统一服从区购买服务信息平台的监管。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服务机构按指定服务内容进行上门服务，对在一个月内无任何服务需求的老人，服务机构应定期上门走访或电话联系进行无偿服务等。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.5</w:t>
      </w:r>
      <w:r>
        <w:rPr>
          <w:rFonts w:hint="eastAsia" w:ascii="宋体" w:hAnsi="宋体"/>
          <w:color w:val="auto"/>
          <w:szCs w:val="21"/>
          <w:highlight w:val="none"/>
        </w:rPr>
        <w:t xml:space="preserve">服务机构应根据采购人需求，无条件配合采购人向辖区独居、空巢、留守、失能(失智)、计划生育特殊家庭等特殊困难老年人进行关爱探访服务。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6采购人除服务费用之外不再承担其它任何费用，服务人员的薪金、福利、休假日补贴、医疗费用、与工作相关的意外事故所产生的费用等均由成交单位负责，与采购人无关。</w:t>
      </w:r>
      <w:r/>
    </w:p>
    <w:p>
      <w:pPr>
        <w:ind w:firstLine="422"/>
        <w:spacing w:line="360" w:lineRule="auto"/>
        <w:rPr>
          <w:rFonts w:ascii="宋体" w:hAnsi="宋体"/>
          <w:b/>
          <w:bCs/>
          <w:i/>
          <w:iCs/>
          <w:color w:val="auto"/>
          <w:szCs w:val="21"/>
          <w:highlight w:val="none"/>
          <w:u w:val="single"/>
        </w:rPr>
      </w:pPr>
      <w:r>
        <w:rPr>
          <w:b/>
          <w:color w:val="auto"/>
          <w:highlight w:val="none"/>
        </w:rPr>
        <w:t xml:space="preserve">5.</w:t>
      </w:r>
      <w:r>
        <w:rPr>
          <w:rFonts w:hint="eastAsia"/>
          <w:b/>
          <w:color w:val="auto"/>
          <w:highlight w:val="none"/>
        </w:rPr>
        <w:t xml:space="preserve">7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w:t>
      </w:r>
      <w:r>
        <w:rPr>
          <w:rFonts w:hint="eastAsia"/>
          <w:b/>
          <w:color w:val="auto"/>
          <w:highlight w:val="none"/>
          <w:u w:val="single"/>
        </w:rPr>
        <w:t xml:space="preserve">人员工资不得低于扬州市区最低工资标准或非全日制用工小时最低工资标准。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二、项目技术及服务要求</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1、项目实施总体方案要求</w:t>
      </w:r>
      <w:r/>
    </w:p>
    <w:p>
      <w:pPr>
        <w:ind w:firstLine="420"/>
        <w:spacing w:line="360" w:lineRule="auto"/>
        <w:rPr>
          <w:color w:val="auto"/>
          <w:highlight w:val="none"/>
        </w:rPr>
      </w:pPr>
      <w:r>
        <w:rPr>
          <w:rFonts w:hint="eastAsia"/>
          <w:color w:val="auto"/>
          <w:highlight w:val="none"/>
        </w:rPr>
        <w:t xml:space="preserve">投标人须为文汇街道居家养老购买服务对象提供基础全面的居家养老服务内容，并能在服务过程中积极探索，对于发现的社会养老问题提供综合解决方案。</w:t>
      </w:r>
      <w:r/>
    </w:p>
    <w:p>
      <w:pPr>
        <w:pStyle w:val="815"/>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本项目的宗旨是为老年人提供全面、个性化、贴心的居家养老服务，以满足老年人的生活、健康、社交、娱乐等多样化需求，帮助他们保持独立、快乐和有尊严的生活。</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2、针对性分析要求</w:t>
      </w:r>
      <w:r/>
    </w:p>
    <w:p>
      <w:pPr>
        <w:ind w:firstLine="420"/>
        <w:spacing w:line="360" w:lineRule="auto"/>
        <w:rPr>
          <w:color w:val="auto"/>
          <w:highlight w:val="none"/>
        </w:rPr>
      </w:pPr>
      <w:r>
        <w:rPr>
          <w:rFonts w:hint="eastAsia"/>
          <w:color w:val="auto"/>
          <w:highlight w:val="none"/>
        </w:rPr>
        <w:t xml:space="preserve">经调研，文汇街道2023年度困难老年人约70名，高龄老年人约1800名；2024年度困难老年人约100名，高龄老年人约1700名，其中困难老年人人数涨幅较高，文汇街道人口老龄化问题十分突出与严峻。</w:t>
      </w:r>
      <w:r/>
    </w:p>
    <w:p>
      <w:pPr>
        <w:ind w:firstLine="420"/>
        <w:spacing w:line="360" w:lineRule="auto"/>
        <w:rPr>
          <w:color w:val="auto"/>
          <w:highlight w:val="none"/>
        </w:rPr>
      </w:pPr>
      <w:r>
        <w:rPr>
          <w:rFonts w:hint="eastAsia"/>
          <w:color w:val="auto"/>
          <w:highlight w:val="none"/>
        </w:rPr>
        <w:t xml:space="preserve">为保障老年人的养老服务，落实“老有所养、老有所医、老有所教、老有所为、老有所学、老有所长”的目标，同时考虑到老年人喜欢生活在熟悉的环境中，因此积极构建以居家养老为主，以社区养老服务为辅的居家养老服务，倡导由经过专业培训的服务人员上门为老年人提供生活照料及护理。</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3、服务质量控制要求</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服务质量须执行《养老机构服务质量基本规范》（GB/T 35796—2017）及相关规范文件，同时服务质量还须满足采购人和被服务方的合理性要求。</w:t>
      </w:r>
      <w:r/>
    </w:p>
    <w:p>
      <w:pPr>
        <w:ind w:firstLine="420"/>
        <w:spacing w:line="360" w:lineRule="auto"/>
        <w:rPr>
          <w:color w:val="auto"/>
          <w:highlight w:val="none"/>
        </w:rPr>
      </w:pPr>
      <w:r>
        <w:rPr>
          <w:rFonts w:hint="eastAsia"/>
          <w:color w:val="auto"/>
          <w:highlight w:val="none"/>
        </w:rPr>
        <w:t xml:space="preserve">为确保服务质量达到优良，同时保证老年人基础性养老服务需求，供应商须组建服务团队，并配备经验丰富、技术全面的项目技术人员和管理人员，明确分工，各司其职；在实施过程中不得更换项目负责人，并建立严格的岗位责任制，同时建立完善的质量管理和安全、管理体系，确保项目质量和秩序。</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在养老服务具体实施过程中须做到：转变上门服务方式；丰富养老服务内容；提升服务人员能力；明确时间要求；规范服务流程；提升服务形象；配合采购人加强购买服务人员动态管理；应具备服务监管能力；建立居家服务考核制度；使用区级统一监管平台；制定考核办法。</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4、内部管理制度要求</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养老服务管理制度的制定，为解决老年人养老服务管理中存在的问题。该制度的目标是为老年人提供安全、可靠、优质、文明、健康的养老服务，保障其权益，提高其生活质量和幸福感。</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本制度的核心原则是以老年人为中心，注重服务质量、管理效率和工作透明度，强化安全风险管控，保障老年人权益。</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5、应急预案要求</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本预案是为了规范养老服务的应急救援工作，保障老人生命安全，防止财产损失，有效应对突发事件，迅速排除隐患，并尽最大努力减少损失，维护养老服务正常秩序。</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应急管理小组是养老服务中心的应急组织核心，是负责制定、完善实施、监督应急预案的专业队伍。应急管理小组成员须包括主任、医疗护理人员、消防员、安全维护人员等。应急小组成员应熟练掌握有关法律、法规、标准、技术规范，掌握必要的应急处理技能和知识。</w:t>
      </w:r>
      <w:r/>
    </w:p>
    <w:p>
      <w:pPr>
        <w:ind w:firstLine="420"/>
        <w:spacing w:line="360" w:lineRule="auto"/>
        <w:rPr>
          <w:color w:val="auto"/>
          <w:highlight w:val="none"/>
        </w:rPr>
      </w:pPr>
      <w:r>
        <w:rPr>
          <w:rFonts w:hint="eastAsia"/>
          <w:color w:val="auto"/>
          <w:highlight w:val="none"/>
        </w:rPr>
        <w:t xml:space="preserve">应急预案须根据不同性质、情况紧急事件，以确定相应的应急预案。如火灾事故、突发病情、交通事故、盗窃、袭击、天灾事故等。</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6、培训计划要求</w:t>
      </w:r>
      <w:r/>
    </w:p>
    <w:p>
      <w:pPr>
        <w:ind w:firstLine="420"/>
        <w:spacing w:line="360" w:lineRule="auto"/>
        <w:rPr>
          <w:color w:val="auto"/>
          <w:highlight w:val="none"/>
        </w:rPr>
      </w:pPr>
      <w:r>
        <w:rPr>
          <w:rFonts w:hint="eastAsia"/>
          <w:color w:val="auto"/>
          <w:highlight w:val="none"/>
        </w:rPr>
        <w:t xml:space="preserve">为保证本项目养老服务的顺利实施和正常运行，中标人须对项目组成员开展定期的理论知识培训和实操培训。</w:t>
      </w:r>
      <w:r/>
    </w:p>
    <w:p>
      <w:pPr>
        <w:ind w:firstLine="420"/>
        <w:spacing w:line="360" w:lineRule="auto"/>
        <w:rPr>
          <w:color w:val="auto"/>
          <w:highlight w:val="none"/>
        </w:rPr>
      </w:pPr>
      <w:r>
        <w:rPr>
          <w:rFonts w:hint="eastAsia"/>
          <w:color w:val="auto"/>
          <w:highlight w:val="none"/>
        </w:rPr>
        <w:t xml:space="preserve">理论培训使工作人员了解养老护理员的工作是为老年人服务、为养老机构服务、为社会服务。其提供的生活照料是:满足老年人的基本生活需求，减轻老年人身体痛苦，提高老年人的生命质量，给老年人和家属以心理支持，维持老年人生命尊严。</w:t>
      </w:r>
      <w:r/>
    </w:p>
    <w:p>
      <w:pPr>
        <w:ind w:firstLine="420"/>
        <w:spacing w:line="360" w:lineRule="auto"/>
        <w:rPr>
          <w:color w:val="auto"/>
          <w:highlight w:val="none"/>
        </w:rPr>
      </w:pPr>
      <w:r>
        <w:rPr>
          <w:rFonts w:hint="eastAsia"/>
          <w:color w:val="auto"/>
          <w:highlight w:val="none"/>
        </w:rPr>
        <w:t xml:space="preserve">实操培训使工作人员全面了解并掌握老年人基础护理的实践技能，以满足老年人基本生活、治疗和心理的需要。其主要包括熟练的运用护理技术为老年人实施饮食、排泄、清洁、活动、休息等方面的生活帮助:观察老年人生命体征的变化;保持合理舒适的卧位;协助老年人服药;为老年人进行心理疏导;创造清洁、美观、安静、舒适、方便、有序的日常环境等。</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7、个性化服务要求</w:t>
      </w:r>
      <w:r/>
    </w:p>
    <w:p>
      <w:pPr>
        <w:ind w:firstLine="420"/>
        <w:spacing w:line="360" w:lineRule="auto"/>
        <w:rPr>
          <w:color w:val="auto"/>
          <w:highlight w:val="none"/>
        </w:rPr>
      </w:pPr>
      <w:r>
        <w:rPr>
          <w:rFonts w:hint="eastAsia"/>
          <w:color w:val="auto"/>
          <w:highlight w:val="none"/>
        </w:rPr>
        <w:t xml:space="preserve">个性化服务包含但不限于项目特色、个性化服务介绍等，如：1、针对卧床、行动不便的老年人，提供定期洗浴护理、饮食营养指导、定期医疗巡诊等。2、针对孤寡老年人，提供紧急求助服务、心理咨询服务、日常代办服务等。</w:t>
      </w:r>
      <w:r/>
    </w:p>
    <w:p>
      <w:pPr>
        <w:ind w:firstLine="420"/>
        <w:spacing w:line="360" w:lineRule="auto"/>
        <w:rPr>
          <w:color w:val="auto"/>
          <w:highlight w:val="none"/>
        </w:rPr>
      </w:pPr>
      <w:r>
        <w:rPr>
          <w:rFonts w:hint="eastAsia"/>
          <w:color w:val="auto"/>
          <w:highlight w:val="none"/>
        </w:rPr>
        <w:t xml:space="preserve">须针对不同老人的实际需求提供个性化服务，让老年人获得更加舒适、便捷和有意义的养老生活。</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8、配合协调要求</w:t>
      </w:r>
      <w:r/>
    </w:p>
    <w:p>
      <w:pPr>
        <w:ind w:firstLine="420"/>
        <w:spacing w:line="360" w:lineRule="auto"/>
        <w:rPr>
          <w:color w:val="auto"/>
          <w:highlight w:val="none"/>
        </w:rPr>
      </w:pPr>
      <w:r>
        <w:rPr>
          <w:rFonts w:hint="eastAsia"/>
          <w:color w:val="auto"/>
          <w:highlight w:val="none"/>
        </w:rPr>
        <w:t xml:space="preserve">供应商对于采购人、老年人提出的基本服务内容须在接到通知后2小时内响应、72小时内完成服务。供应商对于老年人提出的基本服务内容以外的服务需求，根据不同老年家庭的需求，提供完善的个性化服务。</w:t>
      </w:r>
      <w:r/>
    </w:p>
    <w:p>
      <w:pPr>
        <w:ind w:firstLine="420"/>
        <w:spacing w:line="360" w:lineRule="auto"/>
        <w:rPr>
          <w:color w:val="auto"/>
          <w:highlight w:val="none"/>
        </w:rPr>
      </w:pPr>
      <w:r>
        <w:rPr>
          <w:rFonts w:hint="eastAsia"/>
          <w:color w:val="auto"/>
          <w:highlight w:val="none"/>
        </w:rPr>
        <w:t xml:space="preserve">供应商需要定期与老年人的家人、医生和其他护理人员进行沟通协调，以便进行老年人的全面护理。</w:t>
      </w:r>
      <w:r/>
    </w:p>
    <w:p>
      <w:pPr>
        <w:ind w:firstLine="420"/>
        <w:spacing w:line="360" w:lineRule="auto"/>
        <w:rPr>
          <w:rFonts w:ascii="宋体" w:hAnsi="宋体"/>
          <w:color w:val="auto"/>
          <w:szCs w:val="21"/>
          <w:highlight w:val="none"/>
        </w:rPr>
      </w:pPr>
      <w:r>
        <w:rPr>
          <w:rFonts w:hint="eastAsia"/>
          <w:color w:val="auto"/>
          <w:highlight w:val="none"/>
        </w:rPr>
        <w:t xml:space="preserve">供应商须配合采购人加强对于接受服务老年人的动态管理。配合做好接受服务中的老年人的增减工作，对新增服务对象要做到“四个及时”，即:及时申报、及时审批、及时评估、及时服务。对接受服务中的老年人，要实现社区、服务人员、供应商、采购人四方信息</w:t>
      </w:r>
      <w:r>
        <w:rPr>
          <w:rFonts w:hint="eastAsia" w:ascii="宋体" w:hAnsi="宋体"/>
          <w:color w:val="auto"/>
          <w:szCs w:val="21"/>
          <w:highlight w:val="none"/>
        </w:rPr>
        <w:t xml:space="preserve">互通有无，定期核实居家养老上门服务对象真实情况，如发现有老人过世、迁出或其他不符合服务条件的情况，应立即核销平台人员信息、停止提供服务，并及时上报社区和采购人进行复核增减。</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9、老年人能力和需求评估要求</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老年人能力和需求评估方案包含但不限于老年人能力和需求评估的目的、老年人能力和需求评估的具体措施、老年人能力和需求评估的团队建立等。</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评估目的在于完善老年人居家养老服务信息档案，提高居家养老服务的针对性和效率,提升居家养老机构服务质量和运行效率，充分保障孤寡、失能、高龄、失独等特殊老人的个性化服务需求，辅助政府主管部门科学决策，优化居家养老服务资源配置，提升居家养老服务水平。</w:t>
      </w:r>
      <w:r/>
    </w:p>
    <w:p>
      <w:pPr>
        <w:pStyle w:val="815"/>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10、服务承诺内容</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1）、对服务团队人员进行承诺。承诺内容为：“服务团队需明确一名项目负责人，项目负责人具备一定的管理和服务能力，针对不同服务类别行业规范提供服务。项目负责人不得随意更换或挂名履职。成交单位负责组建一支专业的养老护理员队伍，投入本项目的助老员不得少于15人。”</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2）、对定期回访频率进行承诺。承诺内容为：“供应商应及时跟踪回访完成服务工单，对每日产生的工单进行100%的定期回访，定期回访周期为1个月，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pStyle w:val="815"/>
        <w:ind w:firstLine="420"/>
        <w:spacing w:line="360" w:lineRule="auto"/>
        <w:rPr>
          <w:rFonts w:ascii="Calibri" w:eastAsia="宋体"/>
          <w:color w:val="auto"/>
          <w:sz w:val="21"/>
          <w:szCs w:val="22"/>
          <w:highlight w:val="none"/>
        </w:rPr>
      </w:pPr>
      <w:r>
        <w:rPr>
          <w:rFonts w:hint="eastAsia" w:ascii="Calibri" w:eastAsia="宋体"/>
          <w:color w:val="auto"/>
          <w:sz w:val="21"/>
          <w:szCs w:val="22"/>
          <w:highlight w:val="none"/>
        </w:rPr>
        <w:t xml:space="preserve">（3）、对无需求老人的服务承诺。承诺内容为：“服务机构按指定服务内容进行上门服务，对在一个月内无任何服务需求的老人，服务机构应定期上门走访或电话联系进行无偿服务等。”</w:t>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color w:val="auto"/>
          <w:highlight w:val="none"/>
        </w:rPr>
      </w:pPr>
      <w:r>
        <w:rPr>
          <w:color w:val="auto"/>
          <w:highlight w:val="none"/>
        </w:rPr>
      </w:r>
      <w:r/>
    </w:p>
    <w:p>
      <w:pPr>
        <w:pStyle w:val="809"/>
        <w:numPr>
          <w:ilvl w:val="0"/>
          <w:numId w:val="2"/>
        </w:numPr>
        <w:ind w:firstLine="880"/>
        <w:jc w:val="center"/>
        <w:rPr>
          <w:color w:val="auto"/>
          <w:highlight w:val="none"/>
        </w:rPr>
      </w:pPr>
      <w:r/>
      <w:bookmarkStart w:id="93" w:name="_Toc30926"/>
      <w:r>
        <w:rPr>
          <w:rFonts w:hint="eastAsia"/>
          <w:color w:val="auto"/>
          <w:highlight w:val="none"/>
        </w:rPr>
        <w:t xml:space="preserve">评标方法与评标标准</w:t>
      </w:r>
      <w:bookmarkEnd w:id="93"/>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826"/>
        <w:ind w:firstLine="441"/>
        <w:rPr>
          <w:rFonts w:ascii="宋体" w:hAnsi="宋体"/>
          <w:b/>
          <w:color w:val="auto"/>
          <w:highlight w:val="none"/>
        </w:rPr>
      </w:pPr>
      <w:r>
        <w:rPr>
          <w:rFonts w:hint="eastAsia" w:ascii="宋体" w:hAnsi="宋体"/>
          <w:b/>
          <w:color w:val="auto"/>
          <w:highlight w:val="none"/>
        </w:rPr>
        <w:t xml:space="preserve">政府采购政策功能落实</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（1） 对小型和微型企业提供的服务给予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（1）对残疾人福利性单位视同小型、微型企业，给予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120"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（1）对监狱和戒毒企业（简称监狱企业）视同小型、微型企业，给予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before="120" w:after="120" w:line="0" w:lineRule="atLeas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2"/>
        <w:jc w:val="left"/>
        <w:spacing w:before="120" w:after="120" w:line="40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2"/>
        <w:jc w:val="left"/>
        <w:spacing w:before="120" w:after="120" w:line="400" w:lineRule="exact"/>
        <w:rPr>
          <w:rFonts w:ascii="宋体" w:hAnsi="宋体"/>
          <w:color w:val="auto"/>
          <w:sz w:val="24"/>
          <w:szCs w:val="24"/>
          <w:highlight w:val="none"/>
        </w:rPr>
      </w:pPr>
      <w:r>
        <w:rPr>
          <w:rFonts w:hint="eastAsia" w:ascii="宋体" w:hAnsi="宋体"/>
          <w:color w:val="auto"/>
          <w:sz w:val="24"/>
          <w:szCs w:val="24"/>
          <w:highlight w:val="none"/>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p>
    <w:p>
      <w:pPr>
        <w:ind w:firstLine="480"/>
        <w:spacing w:line="360" w:lineRule="auto"/>
        <w:rPr>
          <w:rFonts w:ascii="宋体" w:hAnsi="宋体"/>
          <w:color w:val="auto"/>
          <w:szCs w:val="21"/>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p>
    <w:p>
      <w:pPr>
        <w:pStyle w:val="826"/>
        <w:ind w:firstLine="441"/>
        <w:rPr>
          <w:rFonts w:ascii="宋体" w:hAnsi="宋体"/>
          <w:b/>
          <w:color w:val="auto"/>
          <w:highlight w:val="none"/>
        </w:rPr>
      </w:pPr>
      <w:r>
        <w:rPr>
          <w:rFonts w:hint="eastAsia" w:ascii="宋体" w:hAnsi="宋体"/>
          <w:b/>
          <w:color w:val="auto"/>
          <w:highlight w:val="none"/>
        </w:rPr>
        <w:t xml:space="preserve">评标方法与评标标准</w:t>
      </w:r>
      <w:r/>
    </w:p>
    <w:tbl>
      <w:tblPr>
        <w:tblStyle w:val="814"/>
        <w:tblW w:w="10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45"/>
        <w:gridCol w:w="7493"/>
        <w:gridCol w:w="669"/>
      </w:tblGrid>
      <w:tr>
        <w:trPr>
          <w:jc w:val="center"/>
          <w:trHeight w:val="54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493"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分值</w:t>
            </w:r>
            <w:r/>
          </w:p>
        </w:tc>
      </w:tr>
      <w:tr>
        <w:trPr>
          <w:jc w:val="center"/>
          <w:trHeight w:val="98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投标报价</w:t>
            </w:r>
            <w:r/>
          </w:p>
          <w:p>
            <w:pPr>
              <w:jc w:val="center"/>
              <w:rPr>
                <w:rFonts w:ascii="宋体" w:hAnsi="宋体"/>
                <w:color w:val="auto"/>
                <w:szCs w:val="21"/>
                <w:highlight w:val="none"/>
              </w:rPr>
            </w:pPr>
            <w:r>
              <w:rPr>
                <w:rFonts w:hint="eastAsia" w:ascii="宋体" w:hAnsi="宋体"/>
                <w:color w:val="auto"/>
                <w:szCs w:val="21"/>
                <w:highlight w:val="none"/>
              </w:rPr>
              <w:t xml:space="preserve">（15分）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rFonts w:ascii="宋体" w:hAnsi="宋体"/>
                <w:color w:val="auto"/>
                <w:szCs w:val="21"/>
                <w:highlight w:val="none"/>
              </w:rPr>
            </w:pPr>
            <w:r>
              <w:rPr>
                <w:rFonts w:hint="eastAsia" w:ascii="宋体" w:hAnsi="宋体"/>
                <w:color w:val="auto"/>
                <w:szCs w:val="21"/>
                <w:highlight w:val="none"/>
              </w:rPr>
              <w:t xml:space="preserve">满足招标文件要求且投标价格最低的有效投标报价为评标基准价，其价格分为满分。其他投标人的价格分统一按照下列公式计算：</w:t>
            </w:r>
            <w:r/>
          </w:p>
          <w:p>
            <w:pPr>
              <w:rPr>
                <w:rFonts w:ascii="宋体" w:hAnsi="宋体"/>
                <w:color w:val="auto"/>
                <w:szCs w:val="21"/>
                <w:highlight w:val="none"/>
              </w:rPr>
            </w:pPr>
            <w:r>
              <w:rPr>
                <w:rFonts w:hint="eastAsia" w:ascii="宋体" w:hAnsi="宋体"/>
                <w:color w:val="auto"/>
                <w:szCs w:val="21"/>
                <w:highlight w:val="none"/>
              </w:rPr>
              <w:t xml:space="preserve">投标报价得分=(评标基准价／投标报价)×</w:t>
            </w:r>
            <w:r>
              <w:rPr>
                <w:rFonts w:ascii="宋体" w:hAnsi="宋体"/>
                <w:color w:val="auto"/>
                <w:szCs w:val="21"/>
                <w:highlight w:val="none"/>
              </w:rPr>
              <w:t xml:space="preserve">15</w:t>
            </w:r>
            <w:r>
              <w:rPr>
                <w:rFonts w:hint="eastAsia" w:ascii="宋体" w:hAnsi="宋体" w:cs="宋体"/>
                <w:color w:val="auto"/>
                <w:szCs w:val="21"/>
                <w:highlight w:val="none"/>
              </w:rPr>
              <w:t xml:space="preserve">×100%</w:t>
            </w:r>
            <w:r>
              <w:rPr>
                <w:rFonts w:hint="eastAsia" w:ascii="宋体" w:hAnsi="宋体"/>
                <w:color w:val="auto"/>
                <w:szCs w:val="21"/>
                <w:highlight w:val="none"/>
              </w:rPr>
              <w:t xml:space="preserve">。（小数点保留两位）</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15分</w:t>
            </w:r>
            <w:r/>
          </w:p>
        </w:tc>
      </w:tr>
      <w:tr>
        <w:trPr>
          <w:jc w:val="center"/>
          <w:trHeight w:val="1051"/>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项目实施总体方案</w:t>
            </w:r>
            <w:r/>
          </w:p>
          <w:p>
            <w:pPr>
              <w:jc w:val="center"/>
              <w:rPr>
                <w:rFonts w:ascii="宋体" w:hAnsi="宋体"/>
                <w:color w:val="auto"/>
                <w:szCs w:val="21"/>
                <w:highlight w:val="none"/>
              </w:rPr>
            </w:pPr>
            <w:r>
              <w:rPr>
                <w:rFonts w:hint="eastAsia" w:ascii="宋体" w:hAnsi="宋体"/>
                <w:color w:val="auto"/>
                <w:szCs w:val="21"/>
                <w:highlight w:val="none"/>
              </w:rPr>
              <w:t xml:space="preserve">（6分）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投标人针对本项目制定服务总体方案。服务总体方案优于招标文件要求的得6分；服务总体方案完全符合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得4分；服务总体方案基本符合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得2分；服务总体方案不符合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6分</w:t>
            </w:r>
            <w:r/>
          </w:p>
        </w:tc>
      </w:tr>
      <w:tr>
        <w:trPr>
          <w:jc w:val="center"/>
          <w:trHeight w:val="90"/>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left w:val="single" w:color="auto" w:sz="4" w:space="0"/>
              <w:right w:val="single" w:color="auto" w:sz="4" w:space="0"/>
            </w:tcBorders>
            <w:tcW w:w="1145" w:type="dxa"/>
            <w:vAlign w:val="center"/>
            <w:textDirection w:val="lrTb"/>
            <w:noWrap w:val="false"/>
          </w:tcPr>
          <w:p>
            <w:pPr>
              <w:jc w:val="center"/>
              <w:rPr>
                <w:color w:val="auto"/>
                <w:szCs w:val="24"/>
                <w:highlight w:val="none"/>
              </w:rPr>
            </w:pPr>
            <w:r>
              <w:rPr>
                <w:rFonts w:hint="eastAsia"/>
                <w:color w:val="auto"/>
                <w:szCs w:val="24"/>
                <w:highlight w:val="none"/>
              </w:rPr>
              <w:t xml:space="preserve">针对性分析</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投标人结合自己的服务经验，针对本包做出调研分析并提供解决方案。解决方案优于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得5分；解决方案完全符合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得3分；解决方案基本符合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得1分；解决方案不符合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1200"/>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服务质量控制</w:t>
            </w:r>
            <w:r/>
          </w:p>
          <w:p>
            <w:pPr>
              <w:jc w:val="center"/>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投标人提供针对本项目的服务质量控制方案。方案优于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得5分；方案完全符合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得3分；方案基本符合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得1分；方案不符合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703"/>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内部管理制度</w:t>
            </w:r>
            <w:r/>
          </w:p>
          <w:p>
            <w:pPr>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投标人针对本项目制定内部管理架构、运行管理制度、财务管理制度、内部考核制度。制度优于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得5分；制度完全符合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得3分；制度基本符合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得1分；制度不符合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703"/>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应急预案（5分）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投标人针对本项目制定的突发事件应急预案。应急预案优于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得5分；应急预案完全符合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得3分；应急预案基本符合</w:t>
            </w:r>
            <w:r>
              <w:rPr>
                <w:rFonts w:hint="eastAsia" w:ascii="宋体" w:hAnsi="宋体" w:cs="宋体"/>
                <w:color w:val="auto"/>
                <w:szCs w:val="21"/>
                <w:highlight w:val="none"/>
              </w:rPr>
              <w:t xml:space="preserve">招标文件要求</w:t>
            </w:r>
            <w:r>
              <w:rPr>
                <w:rFonts w:hint="eastAsia"/>
                <w:color w:val="auto"/>
                <w:szCs w:val="21"/>
                <w:highlight w:val="none"/>
              </w:rPr>
              <w:t xml:space="preserve">的得1分；应急预案不符合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286"/>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培训计划方案</w:t>
            </w:r>
            <w:r/>
          </w:p>
          <w:p>
            <w:pPr>
              <w:jc w:val="center"/>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针对本项目服务人员的服务培训计划、方式、目的等进行评审，计划方案清晰、规范、符合服务实际。培训计划优于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得5分；培训计划完全符合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得3分；培训计划基本符合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得1分；培训计划不符合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703"/>
        </w:trPr>
        <w:tc>
          <w:tcPr>
            <w:tcBorders>
              <w:left w:val="single" w:color="auto" w:sz="4" w:space="0"/>
              <w:right w:val="single" w:color="auto" w:sz="4" w:space="0"/>
            </w:tcBorders>
            <w:tcW w:w="7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个性化服务（5分）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rFonts w:ascii="宋体" w:hAnsi="宋体" w:cs="宋体"/>
                <w:color w:val="auto"/>
                <w:szCs w:val="21"/>
                <w:highlight w:val="none"/>
              </w:rPr>
            </w:pPr>
            <w:r>
              <w:rPr>
                <w:rFonts w:hint="eastAsia" w:ascii="宋体" w:hAnsi="宋体" w:cs="宋体"/>
                <w:color w:val="auto"/>
                <w:szCs w:val="21"/>
                <w:highlight w:val="none"/>
              </w:rPr>
              <w:t xml:space="preserve">投标人根据不同老人的实际需求，结合自身服务能力，提供个性化服务方案。每提供1个个性化服务方案，服务方案科学、严密、合理，描述详细的得1分，满分5分。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703"/>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配合协调方案</w:t>
            </w:r>
            <w:r/>
          </w:p>
          <w:p>
            <w:pPr>
              <w:jc w:val="center"/>
              <w:rPr>
                <w:rFonts w:ascii="宋体" w:hAnsi="宋体"/>
                <w:color w:val="auto"/>
                <w:szCs w:val="21"/>
                <w:highlight w:val="none"/>
              </w:rPr>
            </w:pPr>
            <w:r>
              <w:rPr>
                <w:rFonts w:hint="eastAsia" w:ascii="宋体" w:hAnsi="宋体"/>
                <w:color w:val="auto"/>
                <w:szCs w:val="21"/>
                <w:highlight w:val="none"/>
              </w:rPr>
              <w:t xml:space="preserve">（5分）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投标人提供服务期间与采购人、其他部门、镇、村（社区）工作方面的配合协调方案。方案优于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得5分；方案完全符合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得3分；方案基本符合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得1分；方案不符合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1195"/>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老年人能力和需求评估方案（5分）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投标人针对本项目老年人的能力和需求进行评估。方案优于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得5分；方案完全符合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得3分；方案基本符合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得1分；方案不符合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297"/>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服务承诺（4分）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1"/>
                <w:highlight w:val="none"/>
              </w:rPr>
            </w:pPr>
            <w:r>
              <w:rPr>
                <w:rFonts w:hint="eastAsia"/>
                <w:color w:val="auto"/>
                <w:szCs w:val="21"/>
                <w:highlight w:val="none"/>
              </w:rPr>
              <w:t xml:space="preserve">投标人满足本项目项目需求的基础上进行承诺。提出的服务承诺优于</w:t>
            </w:r>
            <w:r>
              <w:rPr>
                <w:rFonts w:hint="eastAsia" w:ascii="宋体" w:hAnsi="宋体" w:cs="宋体"/>
                <w:color w:val="auto"/>
                <w:szCs w:val="21"/>
                <w:highlight w:val="none"/>
              </w:rPr>
              <w:t xml:space="preserve">招标文件要求的</w:t>
            </w:r>
            <w:r>
              <w:rPr>
                <w:rFonts w:hint="eastAsia"/>
                <w:color w:val="auto"/>
                <w:szCs w:val="21"/>
                <w:highlight w:val="none"/>
              </w:rPr>
              <w:t xml:space="preserve">得4分；提出的服务承诺完全符合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得2分；提出的服务承诺基本符合</w:t>
            </w:r>
            <w:r>
              <w:rPr>
                <w:rFonts w:hint="eastAsia" w:ascii="宋体" w:hAnsi="宋体" w:cs="宋体"/>
                <w:color w:val="auto"/>
                <w:szCs w:val="21"/>
                <w:highlight w:val="none"/>
              </w:rPr>
              <w:t xml:space="preserve">招标文件要求的</w:t>
            </w:r>
            <w:r>
              <w:rPr>
                <w:rFonts w:hint="eastAsia"/>
                <w:color w:val="auto"/>
                <w:szCs w:val="21"/>
                <w:highlight w:val="none"/>
              </w:rPr>
              <w:t xml:space="preserve">得1分；提出的服务承诺不符合</w:t>
            </w:r>
            <w:r>
              <w:rPr>
                <w:rFonts w:hint="eastAsia" w:ascii="宋体" w:hAnsi="宋体" w:cs="宋体"/>
                <w:color w:val="auto"/>
                <w:szCs w:val="21"/>
                <w:highlight w:val="none"/>
              </w:rPr>
              <w:t xml:space="preserve">招标文件要求</w:t>
            </w:r>
            <w:r>
              <w:rPr>
                <w:rFonts w:hint="eastAsia"/>
                <w:color w:val="auto"/>
                <w:szCs w:val="21"/>
                <w:highlight w:val="none"/>
              </w:rPr>
              <w:t xml:space="preserve">或未提供的不得分。</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4分</w:t>
            </w:r>
            <w:r/>
          </w:p>
        </w:tc>
      </w:tr>
      <w:tr>
        <w:trPr>
          <w:jc w:val="center"/>
          <w:trHeight w:val="183"/>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left w:val="single" w:color="auto" w:sz="4" w:space="0"/>
              <w:right w:val="single" w:color="auto" w:sz="4" w:space="0"/>
            </w:tcBorders>
            <w:tcW w:w="11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企业业绩（10分）</w:t>
            </w:r>
            <w:r/>
          </w:p>
        </w:tc>
        <w:tc>
          <w:tcPr>
            <w:tcBorders>
              <w:top w:val="single" w:color="auto" w:sz="4" w:space="0"/>
              <w:left w:val="single" w:color="auto" w:sz="4" w:space="0"/>
              <w:bottom w:val="single" w:color="auto" w:sz="4" w:space="0"/>
              <w:right w:val="single" w:color="auto" w:sz="4" w:space="0"/>
            </w:tcBorders>
            <w:tcW w:w="7493" w:type="dxa"/>
            <w:vAlign w:val="center"/>
            <w:textDirection w:val="lrTb"/>
            <w:noWrap w:val="false"/>
          </w:tcPr>
          <w:p>
            <w:pPr>
              <w:ind w:firstLine="422"/>
              <w:rPr>
                <w:rFonts w:ascii="宋体" w:hAnsi="宋体"/>
                <w:color w:val="auto"/>
                <w:szCs w:val="21"/>
                <w:highlight w:val="none"/>
              </w:rPr>
            </w:pPr>
            <w:r>
              <w:rPr>
                <w:rFonts w:hint="eastAsia" w:ascii="宋体" w:hAnsi="宋体"/>
                <w:color w:val="auto"/>
                <w:szCs w:val="21"/>
                <w:highlight w:val="none"/>
              </w:rPr>
              <w:t xml:space="preserve">投标人2020年1月1日以来承接过类似本项目的，每有一个得2分，本项最高得10分。</w:t>
            </w:r>
            <w:r/>
          </w:p>
          <w:p>
            <w:pPr>
              <w:rPr>
                <w:rFonts w:ascii="宋体" w:hAnsi="宋体"/>
                <w:b/>
                <w:color w:val="auto"/>
                <w:szCs w:val="21"/>
                <w:highlight w:val="none"/>
              </w:rPr>
            </w:pPr>
            <w:r>
              <w:rPr>
                <w:rFonts w:hint="eastAsia" w:ascii="宋体" w:hAnsi="宋体"/>
                <w:b/>
                <w:color w:val="auto"/>
                <w:szCs w:val="21"/>
                <w:highlight w:val="none"/>
              </w:rPr>
              <w:t xml:space="preserve">（提供项目合同，原件扫描上传）</w:t>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10分</w:t>
            </w:r>
            <w:r/>
          </w:p>
        </w:tc>
      </w:tr>
      <w:tr>
        <w:trPr>
          <w:jc w:val="center"/>
          <w:trHeight w:val="995"/>
        </w:trPr>
        <w:tc>
          <w:tcPr>
            <w:tcBorders>
              <w:left w:val="single" w:color="auto" w:sz="4" w:space="0"/>
              <w:right w:val="single" w:color="auto" w:sz="4" w:space="0"/>
            </w:tcBorders>
            <w:tcW w:w="704"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13</w:t>
            </w:r>
            <w:r/>
          </w:p>
        </w:tc>
        <w:tc>
          <w:tcPr>
            <w:tcBorders>
              <w:left w:val="single" w:color="auto" w:sz="4" w:space="0"/>
              <w:right w:val="single" w:color="auto" w:sz="4" w:space="0"/>
            </w:tcBorders>
            <w:tcW w:w="1145" w:type="dxa"/>
            <w:vAlign w:val="center"/>
            <w:vMerge w:val="restart"/>
            <w:textDirection w:val="lrTb"/>
            <w:noWrap w:val="false"/>
          </w:tcPr>
          <w:p>
            <w:pPr>
              <w:jc w:val="center"/>
              <w:spacing w:line="276" w:lineRule="auto"/>
              <w:widowControl/>
              <w:rPr>
                <w:rFonts w:ascii="宋体" w:hAnsi="宋体"/>
                <w:color w:val="auto"/>
                <w:szCs w:val="21"/>
                <w:highlight w:val="none"/>
              </w:rPr>
            </w:pPr>
            <w:r>
              <w:rPr>
                <w:rFonts w:hint="eastAsia" w:ascii="宋体" w:hAnsi="宋体"/>
                <w:color w:val="auto"/>
                <w:szCs w:val="21"/>
                <w:highlight w:val="none"/>
              </w:rPr>
              <w:t xml:space="preserve">企业实力（10分）</w:t>
            </w:r>
            <w:r/>
          </w:p>
        </w:tc>
        <w:tc>
          <w:tcPr>
            <w:tcBorders>
              <w:top w:val="single" w:color="auto" w:sz="4" w:space="0"/>
              <w:left w:val="single" w:color="auto" w:sz="4" w:space="0"/>
              <w:bottom w:val="single" w:color="auto" w:sz="4" w:space="0"/>
              <w:right w:val="single" w:color="auto" w:sz="4" w:space="0"/>
            </w:tcBorders>
            <w:tcW w:w="7493" w:type="dxa"/>
            <w:vAlign w:val="center"/>
            <w:textDirection w:val="lrTb"/>
            <w:noWrap w:val="false"/>
          </w:tcPr>
          <w:p>
            <w:pPr>
              <w:ind w:firstLine="422"/>
              <w:rPr>
                <w:rFonts w:ascii="宋体" w:hAnsi="宋体"/>
                <w:b/>
                <w:color w:val="auto"/>
                <w:szCs w:val="21"/>
                <w:highlight w:val="none"/>
              </w:rPr>
            </w:pPr>
            <w:r>
              <w:rPr>
                <w:rFonts w:hint="eastAsia" w:ascii="宋体" w:hAnsi="宋体"/>
                <w:color w:val="auto"/>
                <w:szCs w:val="21"/>
                <w:highlight w:val="none"/>
              </w:rPr>
              <w:t xml:space="preserve">1、投标人提供一项获政府部门颁发的类似养老荣誉，本项得2分。</w:t>
            </w:r>
            <w:r>
              <w:rPr>
                <w:rFonts w:hint="eastAsia" w:ascii="宋体" w:hAnsi="宋体"/>
                <w:b/>
                <w:color w:val="auto"/>
                <w:szCs w:val="21"/>
                <w:highlight w:val="none"/>
              </w:rPr>
              <w:t xml:space="preserve">（提供证书，原件扫描上传）</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2分</w:t>
            </w:r>
            <w:r/>
          </w:p>
        </w:tc>
      </w:tr>
      <w:tr>
        <w:trPr>
          <w:jc w:val="center"/>
          <w:trHeight w:val="1064"/>
        </w:trPr>
        <w:tc>
          <w:tcPr>
            <w:tcBorders>
              <w:left w:val="single" w:color="auto" w:sz="4" w:space="0"/>
              <w:right w:val="single" w:color="auto" w:sz="4" w:space="0"/>
            </w:tcBorders>
            <w:tcW w:w="704"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145" w:type="dxa"/>
            <w:vAlign w:val="center"/>
            <w:vMerge w:val="continue"/>
            <w:textDirection w:val="lrTb"/>
            <w:noWrap w:val="false"/>
          </w:tcPr>
          <w:p>
            <w:pPr>
              <w:jc w:val="center"/>
              <w:spacing w:line="276"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3" w:type="dxa"/>
            <w:vAlign w:val="center"/>
            <w:textDirection w:val="lrTb"/>
            <w:noWrap w:val="false"/>
          </w:tcPr>
          <w:p>
            <w:pPr>
              <w:ind w:firstLine="422"/>
              <w:rPr>
                <w:color w:val="auto"/>
                <w:szCs w:val="24"/>
                <w:highlight w:val="none"/>
              </w:rPr>
            </w:pPr>
            <w:r>
              <w:rPr>
                <w:rFonts w:hint="eastAsia" w:ascii="宋体" w:hAnsi="宋体"/>
                <w:color w:val="auto"/>
                <w:szCs w:val="21"/>
                <w:highlight w:val="none"/>
              </w:rPr>
              <w:t xml:space="preserve">2、投标人具有</w:t>
            </w:r>
            <w:r>
              <w:rPr>
                <w:rFonts w:hint="eastAsia"/>
                <w:color w:val="auto"/>
                <w:szCs w:val="24"/>
                <w:highlight w:val="none"/>
              </w:rPr>
              <w:t xml:space="preserve">质量管理体系认证证书、环境管理体系认证证书、职业健康安全管理体系认证证书每提供一个得1分，本项最高得3分。</w:t>
            </w:r>
            <w:r/>
          </w:p>
          <w:p>
            <w:pPr>
              <w:rPr>
                <w:rFonts w:ascii="宋体" w:hAnsi="宋体"/>
                <w:bCs/>
                <w:color w:val="auto"/>
                <w:szCs w:val="21"/>
                <w:highlight w:val="none"/>
              </w:rPr>
            </w:pPr>
            <w:r>
              <w:rPr>
                <w:rFonts w:hint="eastAsia" w:ascii="宋体" w:hAnsi="宋体"/>
                <w:b/>
                <w:color w:val="auto"/>
                <w:szCs w:val="21"/>
                <w:highlight w:val="none"/>
              </w:rPr>
              <w:t xml:space="preserve">（提供证书，原件扫描上传）</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3分</w:t>
            </w:r>
            <w:r/>
          </w:p>
        </w:tc>
      </w:tr>
      <w:tr>
        <w:trPr>
          <w:jc w:val="center"/>
          <w:trHeight w:val="90"/>
        </w:trPr>
        <w:tc>
          <w:tcPr>
            <w:tcBorders>
              <w:left w:val="single" w:color="auto" w:sz="4" w:space="0"/>
              <w:right w:val="single" w:color="auto" w:sz="4" w:space="0"/>
            </w:tcBorders>
            <w:tcW w:w="704"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145" w:type="dxa"/>
            <w:vAlign w:val="center"/>
            <w:vMerge w:val="continue"/>
            <w:textDirection w:val="lrTb"/>
            <w:noWrap w:val="false"/>
          </w:tcPr>
          <w:p>
            <w:pPr>
              <w:jc w:val="center"/>
              <w:spacing w:line="276"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3" w:type="dxa"/>
            <w:vAlign w:val="center"/>
            <w:textDirection w:val="lrTb"/>
            <w:noWrap w:val="false"/>
          </w:tcPr>
          <w:p>
            <w:pPr>
              <w:ind w:firstLine="422"/>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s="宋体"/>
                <w:color w:val="auto"/>
                <w:szCs w:val="21"/>
                <w:highlight w:val="none"/>
              </w:rPr>
              <w:t xml:space="preserve">供应商应根据实际需求合理配备现场服务设施（如助浴设施、康复设施、应急救助设施等)，每提供一项得1分，满分5分。</w:t>
            </w:r>
            <w:r>
              <w:rPr>
                <w:rFonts w:hint="eastAsia" w:ascii="宋体" w:hAnsi="宋体" w:cs="宋体"/>
                <w:b/>
                <w:color w:val="auto"/>
                <w:szCs w:val="21"/>
                <w:highlight w:val="none"/>
              </w:rPr>
              <w:t xml:space="preserve">（以上提供实物照片上传</w:t>
            </w:r>
            <w:r>
              <w:rPr>
                <w:rFonts w:hint="eastAsia" w:ascii="宋体" w:hAnsi="宋体"/>
                <w:b/>
                <w:bCs/>
                <w:color w:val="auto"/>
                <w:szCs w:val="21"/>
                <w:highlight w:val="none"/>
              </w:rPr>
              <w:t xml:space="preserve">，否则不得分）</w:t>
            </w:r>
            <w:r>
              <w:rPr>
                <w:rFonts w:ascii="宋体" w:hAnsi="宋体"/>
                <w:color w:val="auto"/>
                <w:szCs w:val="21"/>
                <w:highlight w:val="none"/>
              </w:rPr>
            </w:r>
            <w:r/>
          </w:p>
        </w:tc>
        <w:tc>
          <w:tcPr>
            <w:tcBorders>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5分</w:t>
            </w:r>
            <w:r/>
          </w:p>
        </w:tc>
      </w:tr>
      <w:tr>
        <w:trPr>
          <w:jc w:val="center"/>
          <w:trHeight w:val="1971"/>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14</w:t>
            </w:r>
            <w:r/>
          </w:p>
        </w:tc>
        <w:tc>
          <w:tcPr>
            <w:tcBorders>
              <w:left w:val="single" w:color="auto" w:sz="4" w:space="0"/>
              <w:right w:val="single" w:color="auto" w:sz="4" w:space="0"/>
            </w:tcBorders>
            <w:tcW w:w="1145" w:type="dxa"/>
            <w:vAlign w:val="center"/>
            <w:textDirection w:val="lrTb"/>
            <w:noWrap w:val="false"/>
          </w:tcPr>
          <w:p>
            <w:pPr>
              <w:jc w:val="center"/>
              <w:spacing w:line="276" w:lineRule="auto"/>
              <w:widowControl/>
              <w:rPr>
                <w:rFonts w:ascii="宋体" w:hAnsi="宋体"/>
                <w:color w:val="auto"/>
                <w:szCs w:val="21"/>
                <w:highlight w:val="none"/>
              </w:rPr>
            </w:pPr>
            <w:r>
              <w:rPr>
                <w:rFonts w:hint="eastAsia" w:ascii="宋体" w:hAnsi="宋体"/>
                <w:color w:val="auto"/>
                <w:szCs w:val="21"/>
                <w:highlight w:val="none"/>
              </w:rPr>
              <w:t xml:space="preserve">项目主管</w:t>
            </w:r>
            <w:r/>
          </w:p>
          <w:p>
            <w:pPr>
              <w:jc w:val="center"/>
              <w:spacing w:line="276" w:lineRule="auto"/>
              <w:widowControl/>
              <w:rPr>
                <w:rFonts w:ascii="宋体" w:hAnsi="宋体"/>
                <w:color w:val="auto"/>
                <w:szCs w:val="21"/>
                <w:highlight w:val="none"/>
              </w:rPr>
            </w:pPr>
            <w:r>
              <w:rPr>
                <w:rFonts w:hint="eastAsia" w:ascii="宋体" w:hAnsi="宋体"/>
                <w:color w:val="auto"/>
                <w:szCs w:val="21"/>
                <w:highlight w:val="none"/>
              </w:rPr>
              <w:t xml:space="preserve">（3分）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color w:val="auto"/>
                <w:szCs w:val="24"/>
                <w:highlight w:val="none"/>
              </w:rPr>
            </w:pPr>
            <w:r>
              <w:rPr>
                <w:rFonts w:hint="eastAsia" w:ascii="宋体" w:hAnsi="宋体"/>
                <w:color w:val="auto"/>
                <w:szCs w:val="21"/>
                <w:highlight w:val="none"/>
              </w:rPr>
              <w:t xml:space="preserve">项目主管具有社会工作师证书初级及以上或养老护理员证书三级及以上证书的得3分，没有不得分。</w:t>
            </w:r>
            <w:r/>
          </w:p>
          <w:p>
            <w:pPr>
              <w:rPr>
                <w:rFonts w:ascii="宋体" w:hAnsi="宋体"/>
                <w:color w:val="auto"/>
                <w:szCs w:val="21"/>
                <w:highlight w:val="none"/>
              </w:rPr>
            </w:pPr>
            <w:r>
              <w:rPr>
                <w:rFonts w:hint="eastAsia" w:ascii="宋体" w:hAnsi="宋体"/>
                <w:b/>
                <w:bCs/>
                <w:color w:val="auto"/>
                <w:szCs w:val="21"/>
                <w:highlight w:val="none"/>
              </w:rPr>
              <w:t xml:space="preserve">（提供证书及</w:t>
            </w:r>
            <w:r>
              <w:rPr>
                <w:rFonts w:hint="eastAsia" w:ascii="宋体" w:hAnsi="宋体" w:cs="宋体"/>
                <w:b/>
                <w:bCs/>
                <w:color w:val="auto"/>
                <w:szCs w:val="21"/>
                <w:highlight w:val="none"/>
              </w:rPr>
              <w:t xml:space="preserve">投标人近三个月任意一个月为其缴纳社保的证明</w:t>
            </w:r>
            <w:r>
              <w:rPr>
                <w:rFonts w:hint="eastAsia" w:ascii="宋体" w:hAnsi="宋体"/>
                <w:b/>
                <w:color w:val="auto"/>
                <w:szCs w:val="21"/>
                <w:highlight w:val="none"/>
              </w:rPr>
              <w:t xml:space="preserve">，原件扫描上传</w:t>
            </w:r>
            <w:r>
              <w:rPr>
                <w:rFonts w:hint="eastAsia" w:ascii="宋体" w:hAnsi="宋体"/>
                <w:b/>
                <w:bCs/>
                <w:color w:val="auto"/>
                <w:szCs w:val="21"/>
                <w:highlight w:val="none"/>
              </w:rPr>
              <w:t xml:space="preserve">）</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3分</w:t>
            </w:r>
            <w:r/>
          </w:p>
        </w:tc>
      </w:tr>
      <w:tr>
        <w:trPr>
          <w:jc w:val="center"/>
          <w:trHeight w:val="783"/>
        </w:trPr>
        <w:tc>
          <w:tcPr>
            <w:tcBorders>
              <w:left w:val="single" w:color="auto" w:sz="4" w:space="0"/>
              <w:right w:val="single" w:color="auto" w:sz="4" w:space="0"/>
            </w:tcBorders>
            <w:tcW w:w="7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w:t>
            </w:r>
            <w:r/>
          </w:p>
        </w:tc>
        <w:tc>
          <w:tcPr>
            <w:tcBorders>
              <w:left w:val="single" w:color="auto" w:sz="4" w:space="0"/>
              <w:right w:val="single" w:color="auto" w:sz="4" w:space="0"/>
            </w:tcBorders>
            <w:tcW w:w="1145" w:type="dxa"/>
            <w:vAlign w:val="center"/>
            <w:textDirection w:val="lrTb"/>
            <w:noWrap w:val="false"/>
          </w:tcPr>
          <w:p>
            <w:pPr>
              <w:jc w:val="center"/>
              <w:spacing w:line="276" w:lineRule="auto"/>
              <w:widowControl/>
              <w:rPr>
                <w:rFonts w:ascii="宋体" w:hAnsi="宋体"/>
                <w:color w:val="auto"/>
                <w:szCs w:val="21"/>
                <w:highlight w:val="none"/>
              </w:rPr>
            </w:pPr>
            <w:r>
              <w:rPr>
                <w:rFonts w:hint="eastAsia" w:ascii="宋体" w:hAnsi="宋体"/>
                <w:color w:val="auto"/>
                <w:szCs w:val="21"/>
                <w:highlight w:val="none"/>
              </w:rPr>
              <w:t xml:space="preserve">服务团队专业配置要求</w:t>
            </w:r>
            <w:r/>
          </w:p>
          <w:p>
            <w:pPr>
              <w:jc w:val="center"/>
              <w:spacing w:line="276" w:lineRule="auto"/>
              <w:widowControl/>
              <w:rPr>
                <w:rFonts w:ascii="宋体" w:hAnsi="宋体"/>
                <w:color w:val="auto"/>
                <w:szCs w:val="21"/>
                <w:highlight w:val="none"/>
              </w:rPr>
            </w:pPr>
            <w:r>
              <w:rPr>
                <w:rFonts w:hint="eastAsia" w:ascii="宋体" w:hAnsi="宋体"/>
                <w:color w:val="auto"/>
                <w:szCs w:val="21"/>
                <w:highlight w:val="none"/>
              </w:rPr>
              <w:t xml:space="preserve">（12分）</w:t>
            </w:r>
            <w:r/>
          </w:p>
        </w:tc>
        <w:tc>
          <w:tcPr>
            <w:tcBorders>
              <w:top w:val="single" w:color="auto" w:sz="4" w:space="0"/>
              <w:left w:val="single" w:color="auto" w:sz="4" w:space="0"/>
              <w:right w:val="single" w:color="auto" w:sz="4" w:space="0"/>
            </w:tcBorders>
            <w:tcW w:w="7493" w:type="dxa"/>
            <w:vAlign w:val="center"/>
            <w:textDirection w:val="lrTb"/>
            <w:noWrap w:val="false"/>
          </w:tcPr>
          <w:p>
            <w:pPr>
              <w:ind w:firstLine="422"/>
              <w:rPr>
                <w:rFonts w:ascii="宋体" w:hAnsi="宋体"/>
                <w:color w:val="auto"/>
                <w:szCs w:val="21"/>
                <w:highlight w:val="none"/>
              </w:rPr>
            </w:pPr>
            <w:r>
              <w:rPr>
                <w:rFonts w:hint="eastAsia" w:ascii="宋体" w:hAnsi="宋体"/>
                <w:color w:val="auto"/>
                <w:szCs w:val="21"/>
                <w:highlight w:val="none"/>
              </w:rPr>
              <w:t xml:space="preserve">针对本项目团队的成员（不含项目主管），具有社会工作师、电工、心理咨询师、法律工作者、</w:t>
            </w:r>
            <w:r>
              <w:rPr>
                <w:rFonts w:hint="eastAsia" w:ascii="宋体" w:hAnsi="宋体" w:cs="宋体"/>
                <w:color w:val="auto"/>
                <w:szCs w:val="21"/>
                <w:highlight w:val="none"/>
              </w:rPr>
              <w:t xml:space="preserve">健康管理师、饮食疗愈师</w:t>
            </w:r>
            <w:r>
              <w:rPr>
                <w:rFonts w:hint="eastAsia" w:ascii="宋体" w:hAnsi="宋体"/>
                <w:color w:val="auto"/>
                <w:szCs w:val="21"/>
                <w:highlight w:val="none"/>
              </w:rPr>
              <w:t xml:space="preserve">每提供一个证书得1分，</w:t>
            </w:r>
            <w:r>
              <w:rPr>
                <w:rFonts w:hint="eastAsia"/>
                <w:color w:val="auto"/>
                <w:szCs w:val="24"/>
                <w:highlight w:val="none"/>
              </w:rPr>
              <w:t xml:space="preserve">本项最高得</w:t>
            </w:r>
            <w:r>
              <w:rPr>
                <w:rFonts w:hint="eastAsia" w:ascii="宋体" w:hAnsi="宋体"/>
                <w:color w:val="auto"/>
                <w:szCs w:val="21"/>
                <w:highlight w:val="none"/>
              </w:rPr>
              <w:t xml:space="preserve">12分，人员不重复计算。</w:t>
            </w:r>
            <w:r/>
          </w:p>
          <w:p>
            <w:pPr>
              <w:rPr>
                <w:rFonts w:ascii="宋体" w:hAnsi="宋体"/>
                <w:color w:val="auto"/>
                <w:szCs w:val="21"/>
                <w:highlight w:val="none"/>
              </w:rPr>
            </w:pPr>
            <w:r>
              <w:rPr>
                <w:rFonts w:hint="eastAsia" w:ascii="宋体" w:hAnsi="宋体"/>
                <w:b/>
                <w:color w:val="auto"/>
                <w:szCs w:val="21"/>
                <w:highlight w:val="none"/>
              </w:rPr>
              <w:t xml:space="preserve">（提供人员的证书、合同或相关证明材料及</w:t>
            </w:r>
            <w:r>
              <w:rPr>
                <w:rFonts w:hint="eastAsia" w:ascii="宋体" w:hAnsi="宋体" w:cs="宋体"/>
                <w:b/>
                <w:bCs/>
                <w:color w:val="auto"/>
                <w:szCs w:val="21"/>
                <w:highlight w:val="none"/>
              </w:rPr>
              <w:t xml:space="preserve">投标人近三个月任意一个月为其缴纳社保的证明</w:t>
            </w:r>
            <w:r>
              <w:rPr>
                <w:rFonts w:hint="eastAsia" w:ascii="宋体" w:hAnsi="宋体"/>
                <w:b/>
                <w:color w:val="auto"/>
                <w:szCs w:val="21"/>
                <w:highlight w:val="none"/>
              </w:rPr>
              <w:t xml:space="preserve">，原件扫描上传）</w:t>
            </w:r>
            <w:r/>
          </w:p>
        </w:tc>
        <w:tc>
          <w:tcPr>
            <w:tcBorders>
              <w:top w:val="single" w:color="auto" w:sz="4" w:space="0"/>
              <w:left w:val="single" w:color="auto" w:sz="4" w:space="0"/>
              <w:right w:val="single" w:color="auto" w:sz="4" w:space="0"/>
            </w:tcBorders>
            <w:tcW w:w="66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12分</w:t>
            </w:r>
            <w:r/>
          </w:p>
        </w:tc>
      </w:tr>
    </w:tbl>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pStyle w:val="826"/>
        <w:ind w:firstLine="441"/>
        <w:rPr>
          <w:rFonts w:ascii="宋体" w:hAnsi="宋体"/>
          <w:b/>
          <w:color w:val="auto"/>
          <w:highlight w:val="none"/>
        </w:rPr>
      </w:pPr>
      <w:r>
        <w:rPr>
          <w:rFonts w:ascii="宋体" w:hAnsi="宋体"/>
          <w:b/>
          <w:color w:val="auto"/>
          <w:highlight w:val="none"/>
        </w:rPr>
      </w:r>
      <w:r/>
    </w:p>
    <w:p>
      <w:pPr>
        <w:ind w:firstLine="422"/>
        <w:rPr>
          <w:rFonts w:ascii="宋体" w:hAnsi="宋体"/>
          <w:b/>
          <w:color w:val="auto"/>
          <w:highlight w:val="none"/>
        </w:rPr>
      </w:pPr>
      <w:r>
        <w:rPr>
          <w:rFonts w:hint="eastAsia" w:ascii="宋体" w:hAnsi="宋体"/>
          <w:b/>
          <w:color w:val="auto"/>
          <w:highlight w:val="none"/>
        </w:rPr>
        <w:br w:type="page" w:clear="all"/>
      </w:r>
      <w:r/>
    </w:p>
    <w:p>
      <w:pPr>
        <w:pStyle w:val="809"/>
        <w:numPr>
          <w:ilvl w:val="0"/>
          <w:numId w:val="2"/>
        </w:numPr>
        <w:ind w:firstLine="880"/>
        <w:jc w:val="center"/>
        <w:rPr>
          <w:color w:val="auto"/>
          <w:highlight w:val="none"/>
        </w:rPr>
      </w:pPr>
      <w:r>
        <w:rPr>
          <w:rFonts w:hint="eastAsia"/>
          <w:color w:val="auto"/>
          <w:highlight w:val="none"/>
        </w:rPr>
        <w:t xml:space="preserve"> </w:t>
      </w:r>
      <w:bookmarkStart w:id="94" w:name="_Toc23230"/>
      <w:r>
        <w:rPr>
          <w:rFonts w:hint="eastAsia"/>
          <w:color w:val="auto"/>
          <w:highlight w:val="none"/>
        </w:rPr>
        <w:t xml:space="preserve">投标文件格式</w:t>
      </w:r>
      <w:bookmarkEnd w:id="94"/>
      <w:r>
        <w:rPr>
          <w:rFonts w:hint="eastAsia"/>
          <w:color w:val="auto"/>
          <w:highlight w:val="none"/>
        </w:rPr>
        <w:t xml:space="preserve"> </w:t>
      </w:r>
      <w:r/>
    </w:p>
    <w:p>
      <w:pPr>
        <w:ind w:firstLine="1440"/>
        <w:jc w:val="center"/>
        <w:rPr>
          <w:rFonts w:ascii="宋体" w:hAnsi="宋体"/>
          <w:b/>
          <w:color w:val="auto"/>
          <w:sz w:val="72"/>
          <w:highlight w:val="none"/>
        </w:rPr>
      </w:pPr>
      <w:r/>
      <w:bookmarkStart w:id="95" w:name="_Hlt26955039"/>
      <w:r/>
      <w:bookmarkEnd w:id="95"/>
      <w:r/>
      <w:bookmarkStart w:id="96" w:name="_Hlt26671244"/>
      <w:r/>
      <w:bookmarkEnd w:id="96"/>
      <w:r/>
      <w:bookmarkStart w:id="97" w:name="_Toc49090576"/>
      <w:r/>
      <w:bookmarkStart w:id="98" w:name="_Toc26554094"/>
      <w:r/>
      <w:bookmarkStart w:id="99" w:name="_Toc120614282"/>
      <w:r/>
      <w:r/>
    </w:p>
    <w:p>
      <w:pPr>
        <w:pStyle w:val="815"/>
        <w:ind w:firstLine="1440"/>
        <w:rPr>
          <w:rFonts w:ascii="宋体" w:hAnsi="宋体"/>
          <w:b/>
          <w:color w:val="auto"/>
          <w:sz w:val="72"/>
          <w:highlight w:val="none"/>
        </w:rPr>
      </w:pPr>
      <w:r>
        <w:rPr>
          <w:rFonts w:ascii="宋体" w:hAnsi="宋体"/>
          <w:b/>
          <w:color w:val="auto"/>
          <w:sz w:val="72"/>
          <w:highlight w:val="none"/>
        </w:rPr>
      </w:r>
      <w:r/>
    </w:p>
    <w:p>
      <w:pPr>
        <w:ind w:firstLine="1440"/>
        <w:rPr>
          <w:rFonts w:ascii="宋体" w:hAnsi="宋体"/>
          <w:b/>
          <w:color w:val="auto"/>
          <w:sz w:val="72"/>
          <w:highlight w:val="none"/>
        </w:rPr>
      </w:pPr>
      <w:r>
        <w:rPr>
          <w:rFonts w:ascii="宋体" w:hAnsi="宋体"/>
          <w:b/>
          <w:color w:val="auto"/>
          <w:sz w:val="72"/>
          <w:highlight w:val="none"/>
        </w:rPr>
      </w:r>
      <w:r/>
    </w:p>
    <w:p>
      <w:pPr>
        <w:pStyle w:val="815"/>
        <w:ind w:firstLine="1440"/>
        <w:rPr>
          <w:rFonts w:ascii="宋体" w:hAnsi="宋体"/>
          <w:b/>
          <w:color w:val="auto"/>
          <w:sz w:val="72"/>
          <w:highlight w:val="none"/>
        </w:rPr>
      </w:pPr>
      <w:r>
        <w:rPr>
          <w:rFonts w:ascii="宋体" w:hAnsi="宋体"/>
          <w:b/>
          <w:color w:val="auto"/>
          <w:sz w:val="72"/>
          <w:highlight w:val="none"/>
        </w:rPr>
      </w:r>
      <w:r/>
    </w:p>
    <w:p>
      <w:pPr>
        <w:rPr>
          <w:color w:val="auto"/>
          <w:highlight w:val="none"/>
        </w:rPr>
      </w:pPr>
      <w:r>
        <w:rPr>
          <w:color w:val="auto"/>
          <w:highlight w:val="none"/>
        </w:rPr>
      </w:r>
      <w:r/>
    </w:p>
    <w:p>
      <w:pPr>
        <w:ind w:firstLine="1446"/>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1440"/>
        <w:jc w:val="center"/>
        <w:rPr>
          <w:rFonts w:ascii="宋体" w:hAnsi="宋体"/>
          <w:b/>
          <w:color w:val="auto"/>
          <w:sz w:val="72"/>
          <w:highlight w:val="none"/>
        </w:rPr>
      </w:pPr>
      <w:r>
        <w:rPr>
          <w:rFonts w:ascii="宋体" w:hAnsi="宋体"/>
          <w:b/>
          <w:color w:val="auto"/>
          <w:sz w:val="72"/>
          <w:highlight w:val="none"/>
        </w:rPr>
      </w:r>
      <w:r/>
    </w:p>
    <w:p>
      <w:pPr>
        <w:ind w:firstLine="1440"/>
        <w:jc w:val="center"/>
        <w:rPr>
          <w:rFonts w:ascii="宋体" w:hAnsi="宋体"/>
          <w:b/>
          <w:color w:val="auto"/>
          <w:sz w:val="72"/>
          <w:highlight w:val="none"/>
        </w:rPr>
      </w:pPr>
      <w:r>
        <w:rPr>
          <w:rFonts w:ascii="宋体" w:hAnsi="宋体"/>
          <w:b/>
          <w:color w:val="auto"/>
          <w:sz w:val="72"/>
          <w:highlight w:val="none"/>
        </w:rPr>
      </w:r>
      <w:r/>
    </w:p>
    <w:p>
      <w:pPr>
        <w:ind w:firstLine="720"/>
        <w:jc w:val="center"/>
        <w:rPr>
          <w:rFonts w:ascii="宋体" w:hAnsi="宋体"/>
          <w:b/>
          <w:color w:val="auto"/>
          <w:sz w:val="36"/>
          <w:highlight w:val="none"/>
        </w:rPr>
      </w:pPr>
      <w:r>
        <w:rPr>
          <w:rFonts w:ascii="宋体" w:hAnsi="宋体"/>
          <w:b/>
          <w:color w:val="auto"/>
          <w:sz w:val="36"/>
          <w:highlight w:val="none"/>
        </w:rPr>
      </w:r>
      <w:r/>
    </w:p>
    <w:p>
      <w:pPr>
        <w:ind w:firstLine="720"/>
        <w:jc w:val="center"/>
        <w:rPr>
          <w:rFonts w:ascii="宋体" w:hAnsi="宋体"/>
          <w:b/>
          <w:color w:val="auto"/>
          <w:sz w:val="36"/>
          <w:highlight w:val="none"/>
        </w:rPr>
      </w:pPr>
      <w:r>
        <w:rPr>
          <w:rFonts w:ascii="宋体" w:hAnsi="宋体"/>
          <w:b/>
          <w:color w:val="auto"/>
          <w:sz w:val="36"/>
          <w:highlight w:val="none"/>
        </w:rPr>
      </w:r>
      <w:r/>
    </w:p>
    <w:p>
      <w:pPr>
        <w:ind w:firstLine="720"/>
        <w:jc w:val="center"/>
        <w:rPr>
          <w:rFonts w:ascii="宋体" w:hAnsi="宋体"/>
          <w:b/>
          <w:color w:val="auto"/>
          <w:sz w:val="36"/>
          <w:highlight w:val="none"/>
        </w:rPr>
      </w:pPr>
      <w:r>
        <w:rPr>
          <w:rFonts w:ascii="宋体" w:hAnsi="宋体"/>
          <w:b/>
          <w:color w:val="auto"/>
          <w:sz w:val="36"/>
          <w:highlight w:val="none"/>
        </w:rPr>
      </w:r>
      <w:r/>
    </w:p>
    <w:p>
      <w:pPr>
        <w:ind w:firstLine="1080"/>
        <w:rPr>
          <w:rFonts w:ascii="宋体" w:hAnsi="宋体"/>
          <w:bCs/>
          <w:color w:val="auto"/>
          <w:sz w:val="36"/>
          <w:highlight w:val="none"/>
        </w:rPr>
      </w:pPr>
      <w:r>
        <w:rPr>
          <w:rFonts w:hint="eastAsia" w:ascii="宋体" w:hAnsi="宋体"/>
          <w:bCs/>
          <w:color w:val="auto"/>
          <w:sz w:val="36"/>
          <w:highlight w:val="none"/>
        </w:rPr>
        <w:t xml:space="preserve">项 目 名 称：</w:t>
      </w:r>
      <w:r>
        <w:rPr>
          <w:rFonts w:hint="eastAsia" w:ascii="宋体" w:hAnsi="宋体"/>
          <w:bCs/>
          <w:color w:val="auto"/>
          <w:sz w:val="36"/>
          <w:highlight w:val="none"/>
          <w:u w:val="single"/>
        </w:rPr>
        <w:t xml:space="preserve">               </w:t>
      </w:r>
      <w:r/>
    </w:p>
    <w:p>
      <w:pPr>
        <w:ind w:firstLine="1080"/>
        <w:rPr>
          <w:rFonts w:ascii="宋体" w:hAnsi="宋体"/>
          <w:bCs/>
          <w:color w:val="auto"/>
          <w:sz w:val="36"/>
          <w:highlight w:val="none"/>
          <w:u w:val="single"/>
        </w:rPr>
      </w:pPr>
      <w:r>
        <w:rPr>
          <w:rFonts w:hint="eastAsia" w:ascii="宋体" w:hAnsi="宋体"/>
          <w:bCs/>
          <w:color w:val="auto"/>
          <w:sz w:val="36"/>
          <w:highlight w:val="none"/>
        </w:rPr>
        <w:t xml:space="preserve">项 目 编 号：</w:t>
      </w:r>
      <w:r>
        <w:rPr>
          <w:rFonts w:hint="eastAsia" w:ascii="宋体" w:hAnsi="宋体"/>
          <w:bCs/>
          <w:color w:val="auto"/>
          <w:sz w:val="36"/>
          <w:highlight w:val="none"/>
          <w:u w:val="single"/>
        </w:rPr>
        <w:t xml:space="preserve">               </w:t>
      </w:r>
      <w:r/>
    </w:p>
    <w:p>
      <w:pPr>
        <w:ind w:firstLine="723"/>
        <w:rPr>
          <w:rFonts w:ascii="宋体" w:hAnsi="宋体"/>
          <w:bCs/>
          <w:color w:val="auto"/>
          <w:sz w:val="36"/>
          <w:highlight w:val="none"/>
          <w:u w:val="single"/>
        </w:rPr>
      </w:pPr>
      <w:r>
        <w:rPr>
          <w:rFonts w:hint="eastAsia" w:ascii="宋体" w:hAnsi="宋体"/>
          <w:bCs/>
          <w:color w:val="auto"/>
          <w:sz w:val="36"/>
          <w:highlight w:val="none"/>
        </w:rPr>
        <w:t xml:space="preserve">      投标人名称 ：</w:t>
      </w:r>
      <w:r>
        <w:rPr>
          <w:rFonts w:hint="eastAsia" w:ascii="宋体" w:hAnsi="宋体"/>
          <w:bCs/>
          <w:color w:val="auto"/>
          <w:sz w:val="36"/>
          <w:highlight w:val="none"/>
          <w:u w:val="single"/>
        </w:rPr>
        <w:t xml:space="preserve">（加盖CA电子公章）</w:t>
      </w:r>
      <w:r/>
    </w:p>
    <w:p>
      <w:pPr>
        <w:ind w:firstLine="723"/>
        <w:rPr>
          <w:rFonts w:ascii="宋体" w:hAnsi="宋体"/>
          <w:bCs/>
          <w:color w:val="auto"/>
          <w:sz w:val="36"/>
          <w:highlight w:val="none"/>
          <w:u w:val="single"/>
        </w:rPr>
      </w:pPr>
      <w:r>
        <w:rPr>
          <w:rFonts w:hint="eastAsia" w:ascii="宋体" w:hAnsi="宋体"/>
          <w:bCs/>
          <w:color w:val="auto"/>
          <w:sz w:val="36"/>
          <w:highlight w:val="none"/>
        </w:rPr>
        <w:t xml:space="preserve">      日      期 ：</w:t>
      </w:r>
      <w:r>
        <w:rPr>
          <w:rFonts w:hint="eastAsia" w:ascii="宋体" w:hAnsi="宋体"/>
          <w:bCs/>
          <w:color w:val="auto"/>
          <w:sz w:val="36"/>
          <w:highlight w:val="none"/>
          <w:u w:val="single"/>
        </w:rPr>
        <w:t xml:space="preserve">               </w:t>
      </w:r>
      <w:r/>
    </w:p>
    <w:p>
      <w:pPr>
        <w:ind w:firstLine="643"/>
        <w:jc w:val="center"/>
        <w:spacing w:line="440" w:lineRule="exact"/>
        <w:rPr>
          <w:rFonts w:ascii="宋体" w:hAnsi="宋体"/>
          <w:bCs/>
          <w:color w:val="auto"/>
          <w:sz w:val="32"/>
          <w:szCs w:val="32"/>
          <w:highlight w:val="none"/>
        </w:rPr>
      </w:pPr>
      <w:r>
        <w:rPr>
          <w:rFonts w:ascii="宋体" w:hAnsi="宋体"/>
          <w:bCs/>
          <w:color w:val="auto"/>
          <w:sz w:val="32"/>
          <w:szCs w:val="32"/>
          <w:highlight w:val="none"/>
        </w:rPr>
      </w:r>
      <w:r/>
    </w:p>
    <w:p>
      <w:pPr>
        <w:spacing w:line="440" w:lineRule="exact"/>
        <w:rPr>
          <w:rFonts w:ascii="宋体" w:hAnsi="宋体"/>
          <w:bCs/>
          <w:color w:val="auto"/>
          <w:highlight w:val="none"/>
        </w:rPr>
      </w:pPr>
      <w:r>
        <w:rPr>
          <w:rFonts w:ascii="宋体" w:hAnsi="宋体"/>
          <w:bCs/>
          <w:color w:val="auto"/>
          <w:highlight w:val="none"/>
        </w:rPr>
      </w:r>
      <w:r/>
    </w:p>
    <w:p>
      <w:pPr>
        <w:ind w:firstLine="1080"/>
        <w:rPr>
          <w:rFonts w:ascii="宋体" w:hAnsi="宋体"/>
          <w:bCs/>
          <w:color w:val="auto"/>
          <w:sz w:val="32"/>
          <w:szCs w:val="32"/>
          <w:highlight w:val="none"/>
        </w:rPr>
      </w:pPr>
      <w:r>
        <w:rPr>
          <w:rFonts w:ascii="宋体" w:hAnsi="宋体"/>
          <w:bCs/>
          <w:color w:val="auto"/>
          <w:sz w:val="36"/>
          <w:highlight w:val="none"/>
          <w:u w:val="single"/>
        </w:rPr>
        <w:br w:type="page" w:clear="all"/>
      </w:r>
      <w:r/>
    </w:p>
    <w:p>
      <w:pPr>
        <w:ind w:firstLine="643"/>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firstLine="640"/>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0"/>
        <w:rPr>
          <w:rFonts w:ascii="宋体" w:hAnsi="宋体"/>
          <w:i/>
          <w:color w:val="auto"/>
          <w:sz w:val="24"/>
          <w:highlight w:val="none"/>
          <w:u w:val="single"/>
        </w:rPr>
      </w:pPr>
      <w:r>
        <w:rPr>
          <w:rFonts w:hint="eastAsia" w:ascii="宋体" w:hAnsi="宋体"/>
          <w:i/>
          <w:color w:val="auto"/>
          <w:sz w:val="24"/>
          <w:highlight w:val="none"/>
          <w:u w:val="single"/>
        </w:rPr>
        <w:t xml:space="preserve">一、法人或者其他组织的营业执照等证明文件，自然人的身份证明</w:t>
      </w:r>
      <w:r/>
    </w:p>
    <w:p>
      <w:pPr>
        <w:ind w:firstLine="420"/>
        <w:rPr>
          <w:rFonts w:ascii="宋体" w:hAnsi="宋体"/>
          <w:i/>
          <w:color w:val="auto"/>
          <w:sz w:val="24"/>
          <w:highlight w:val="none"/>
          <w:u w:val="single"/>
        </w:rPr>
      </w:pPr>
      <w:r>
        <w:rPr>
          <w:rFonts w:hint="eastAsia" w:ascii="宋体" w:hAnsi="宋体"/>
          <w:i/>
          <w:color w:val="auto"/>
          <w:sz w:val="24"/>
          <w:highlight w:val="none"/>
          <w:u w:val="single"/>
        </w:rPr>
        <w:t xml:space="preserve">二、上一年度的财务状况报告（投标人成立不满一年无需提供）</w:t>
      </w:r>
      <w:r/>
    </w:p>
    <w:p>
      <w:pPr>
        <w:ind w:firstLine="420"/>
        <w:rPr>
          <w:rFonts w:ascii="宋体" w:hAnsi="宋体"/>
          <w:i/>
          <w:color w:val="auto"/>
          <w:sz w:val="24"/>
          <w:highlight w:val="none"/>
          <w:u w:val="single"/>
        </w:rPr>
      </w:pPr>
      <w:r>
        <w:rPr>
          <w:rFonts w:hint="eastAsia" w:ascii="宋体" w:hAnsi="宋体"/>
          <w:i/>
          <w:color w:val="auto"/>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rPr>
          <w:rFonts w:ascii="宋体" w:hAnsi="宋体"/>
          <w:i/>
          <w:color w:val="auto"/>
          <w:sz w:val="24"/>
          <w:highlight w:val="none"/>
          <w:u w:val="single"/>
        </w:rPr>
      </w:pPr>
      <w:r>
        <w:rPr>
          <w:rFonts w:hint="eastAsia" w:ascii="宋体" w:hAnsi="宋体"/>
          <w:i/>
          <w:color w:val="auto"/>
          <w:sz w:val="24"/>
          <w:highlight w:val="none"/>
          <w:u w:val="single"/>
        </w:rPr>
        <w:t xml:space="preserve">四、具备履行合同所必需的设备和专业技术能力的书面声明</w:t>
      </w:r>
      <w:r/>
    </w:p>
    <w:p>
      <w:pPr>
        <w:ind w:firstLine="42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五、参加政府采购活动前 3 年内在经营活动中没有重大违法记录的书面声明</w:t>
      </w:r>
      <w:r/>
    </w:p>
    <w:p>
      <w:pPr>
        <w:ind w:firstLine="42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六、供应商信用承诺函</w:t>
      </w:r>
      <w:r/>
    </w:p>
    <w:p>
      <w:pPr>
        <w:pStyle w:val="816"/>
        <w:rPr>
          <w:rFonts w:ascii="宋体" w:hAnsi="宋体" w:cs="Calibri"/>
          <w:color w:val="auto"/>
          <w:sz w:val="24"/>
          <w:szCs w:val="24"/>
          <w:highlight w:val="none"/>
        </w:rPr>
      </w:pPr>
      <w:r>
        <w:rPr>
          <w:rFonts w:hint="eastAsia" w:ascii="宋体" w:hAnsi="宋体"/>
          <w:i/>
          <w:color w:val="auto"/>
          <w:sz w:val="24"/>
          <w:highlight w:val="none"/>
          <w:u w:val="single"/>
        </w:rPr>
        <w:t xml:space="preserve">七、特定资格要求的证明文件：无</w:t>
      </w:r>
      <w:r/>
    </w:p>
    <w:p>
      <w:pPr>
        <w:ind w:firstLine="42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八、法人授权书</w:t>
      </w:r>
      <w:r/>
    </w:p>
    <w:p>
      <w:pPr>
        <w:ind w:firstLine="42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九、投标函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十、企业报价折扣证明（</w:t>
      </w:r>
      <w:r>
        <w:rPr>
          <w:rFonts w:hint="eastAsia" w:ascii="宋体" w:hAnsi="宋体"/>
          <w:i/>
          <w:iCs/>
          <w:color w:val="auto"/>
          <w:sz w:val="24"/>
          <w:highlight w:val="none"/>
          <w:u w:val="single"/>
        </w:rPr>
        <w:t xml:space="preserve">中小企业声明函</w:t>
      </w:r>
      <w:r>
        <w:rPr>
          <w:rFonts w:hint="eastAsia" w:ascii="宋体" w:hAnsi="宋体"/>
          <w:color w:val="auto"/>
          <w:sz w:val="24"/>
          <w:highlight w:val="none"/>
        </w:rPr>
        <w:t xml:space="preserve">、残疾人福利性单位声明函）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十一、联合体协议</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十二、投标分项报价表  </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十三、技术要求响应及偏离表</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十四、商务要求响应及偏离表</w:t>
      </w:r>
      <w:r/>
    </w:p>
    <w:p>
      <w:pPr>
        <w:ind w:firstLine="42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十五、开标一览表</w:t>
      </w:r>
      <w:r/>
    </w:p>
    <w:p>
      <w:pPr>
        <w:ind w:firstLine="420"/>
        <w:spacing w:line="440" w:lineRule="exact"/>
        <w:rPr>
          <w:rFonts w:ascii="宋体" w:hAnsi="宋体"/>
          <w:iCs/>
          <w:color w:val="auto"/>
          <w:sz w:val="24"/>
          <w:highlight w:val="none"/>
        </w:rPr>
      </w:pPr>
      <w:r>
        <w:rPr>
          <w:rFonts w:hint="eastAsia" w:ascii="宋体" w:hAnsi="宋体"/>
          <w:iCs/>
          <w:color w:val="auto"/>
          <w:sz w:val="24"/>
          <w:highlight w:val="none"/>
        </w:rPr>
        <w:t xml:space="preserve">十六、主要标的信息</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2"/>
        <w:spacing w:line="440" w:lineRule="exact"/>
        <w:rPr>
          <w:rFonts w:ascii="宋体" w:hAnsi="宋体"/>
          <w:color w:val="auto"/>
          <w:sz w:val="24"/>
          <w:highlight w:val="none"/>
        </w:rPr>
      </w:pPr>
      <w:r>
        <w:rPr>
          <w:rFonts w:ascii="宋体" w:hAnsi="宋体"/>
          <w:color w:val="auto"/>
          <w:sz w:val="24"/>
          <w:highlight w:val="non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投标人成立不满一年不需提供</w:t>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bookmarkEnd w:id="97"/>
      <w:r/>
      <w:bookmarkEnd w:id="98"/>
      <w:r/>
      <w:bookmarkEnd w:id="99"/>
      <w:r/>
      <w:r/>
    </w:p>
    <w:p>
      <w:pPr>
        <w:ind w:firstLine="480"/>
        <w:rPr>
          <w:rFonts w:ascii="宋体" w:hAnsi="宋体"/>
          <w:bCs/>
          <w:color w:val="auto"/>
          <w:sz w:val="24"/>
          <w:highlight w:val="none"/>
        </w:rPr>
      </w:pPr>
      <w:r/>
      <w:bookmarkStart w:id="100" w:name="_Toc120614284"/>
      <w:r>
        <w:rPr>
          <w:rFonts w:hint="eastAsia" w:ascii="宋体" w:hAnsi="宋体"/>
          <w:bCs/>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8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816"/>
        <w:ind w:firstLine="422"/>
        <w:rPr>
          <w:color w:val="auto"/>
          <w:highlight w:val="none"/>
        </w:rPr>
      </w:pPr>
      <w:r>
        <w:rPr>
          <w:color w:val="auto"/>
          <w:highlight w:val="non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ind w:firstLine="883"/>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82"/>
        <w:spacing w:line="460" w:lineRule="exact"/>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0"/>
        <w:rPr>
          <w:color w:val="auto"/>
          <w:highlight w:val="none"/>
        </w:rPr>
      </w:pPr>
      <w:r>
        <w:rPr>
          <w:color w:val="auto"/>
          <w:highlight w:val="non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numPr>
          <w:ilvl w:val="0"/>
          <w:numId w:val="3"/>
        </w:num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供应商信用承诺函</w:t>
      </w:r>
      <w:r/>
    </w:p>
    <w:p>
      <w:pPr>
        <w:ind w:firstLine="480"/>
        <w:jc w:val="center"/>
        <w:spacing w:line="500" w:lineRule="exact"/>
        <w:rPr>
          <w:rFonts w:ascii="宋体" w:hAnsi="宋体" w:eastAsia="等线"/>
          <w:b/>
          <w:color w:val="auto"/>
          <w:sz w:val="24"/>
          <w:szCs w:val="24"/>
          <w:highlight w:val="none"/>
        </w:rPr>
      </w:pPr>
      <w:r>
        <w:rPr>
          <w:rFonts w:hint="eastAsia" w:ascii="宋体" w:hAnsi="宋体" w:eastAsia="等线"/>
          <w:b/>
          <w:color w:val="auto"/>
          <w:sz w:val="24"/>
          <w:szCs w:val="24"/>
          <w:highlight w:val="none"/>
        </w:rPr>
        <w:t xml:space="preserve">供应商信用承诺函</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承诺主体名称：</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四、自觉接受行政管理部门、行业组织、社会公众、新闻舆论的监督；</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六、提出政府采购质疑和投诉坚持依法依规、诚实信用原则，在全国范围12个月内没有三次以上查无实据的政府采购投诉；</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七、严格遵守信用信息公示相关规定，向社会公示信用信息；</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八、在“信用中国”和“中国政府采购网”网站中无违法违规、较重或严重失信记录；</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十、本承诺书自签订之日起生效。</w:t>
      </w:r>
      <w:r/>
    </w:p>
    <w:p>
      <w:pPr>
        <w:ind w:firstLine="482"/>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（注：法定代表人或负责人、主体名称发生变更的应当重新做出承诺。）</w:t>
      </w:r>
      <w:r/>
    </w:p>
    <w:p>
      <w:pPr>
        <w:ind w:firstLine="482"/>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2"/>
        <w:jc w:val="cente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承诺单位（加盖CA电子公章）：           </w:t>
      </w:r>
      <w:r/>
    </w:p>
    <w:p>
      <w:pPr>
        <w:ind w:firstLine="482"/>
        <w:jc w:val="cente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815"/>
        <w:ind w:firstLine="643"/>
        <w:rPr>
          <w:rFonts w:ascii="黑体" w:hAnsi="黑体" w:eastAsia="黑体"/>
          <w:i/>
          <w:color w:val="auto"/>
          <w:highlight w:val="none"/>
          <w:u w:val="single"/>
        </w:rPr>
      </w:pPr>
      <w:r>
        <w:rPr>
          <w:rFonts w:ascii="黑体" w:hAnsi="黑体" w:eastAsia="黑体"/>
          <w:i/>
          <w:color w:val="auto"/>
          <w:highlight w:val="none"/>
          <w:u w:val="singl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七、特定资格要求的证明文件</w:t>
      </w:r>
      <w:r/>
    </w:p>
    <w:p>
      <w:pPr>
        <w:ind w:firstLine="148"/>
        <w:jc w:val="center"/>
        <w:spacing w:line="360" w:lineRule="auto"/>
        <w:rPr>
          <w:rFonts w:ascii="宋体" w:hAnsi="宋体"/>
          <w:color w:val="auto"/>
          <w:sz w:val="24"/>
          <w:highlight w:val="none"/>
        </w:rPr>
      </w:pPr>
      <w:r>
        <w:rPr>
          <w:rFonts w:hint="eastAsia" w:ascii="宋体" w:hAnsi="宋体"/>
          <w:color w:val="auto"/>
          <w:sz w:val="24"/>
          <w:szCs w:val="21"/>
          <w:highlight w:val="none"/>
        </w:rPr>
        <w:t xml:space="preserve">如果本项目申请人的特定资格要求中要求提供的，必须提供。</w:t>
      </w:r>
      <w:r/>
    </w:p>
    <w:p>
      <w:pPr>
        <w:ind w:firstLine="482"/>
        <w:rPr>
          <w:rFonts w:ascii="宋体" w:hAnsi="宋体"/>
          <w:bCs/>
          <w:color w:val="auto"/>
          <w:sz w:val="24"/>
          <w:highlight w:val="none"/>
        </w:rPr>
      </w:pPr>
      <w:r>
        <w:rPr>
          <w:rFonts w:ascii="宋体" w:hAnsi="宋体"/>
          <w:bCs/>
          <w:color w:val="auto"/>
          <w:sz w:val="24"/>
          <w:highlight w:val="none"/>
        </w:rPr>
      </w:r>
      <w:r/>
    </w:p>
    <w:p>
      <w:pPr>
        <w:pStyle w:val="815"/>
        <w:ind w:firstLine="480"/>
        <w:rPr>
          <w:rFonts w:ascii="宋体" w:hAnsi="宋体"/>
          <w:bCs/>
          <w:color w:val="auto"/>
          <w:sz w:val="24"/>
          <w:highlight w:val="none"/>
        </w:rPr>
      </w:pPr>
      <w:r>
        <w:rPr>
          <w:rFonts w:ascii="宋体" w:hAnsi="宋体"/>
          <w:bCs/>
          <w:color w:val="auto"/>
          <w:sz w:val="24"/>
          <w:highlight w:val="none"/>
        </w:rPr>
      </w:r>
      <w:r/>
    </w:p>
    <w:p>
      <w:pPr>
        <w:ind w:firstLine="482"/>
        <w:rPr>
          <w:rFonts w:ascii="宋体" w:hAnsi="宋体"/>
          <w:bCs/>
          <w:color w:val="auto"/>
          <w:sz w:val="24"/>
          <w:highlight w:val="none"/>
        </w:rPr>
      </w:pPr>
      <w:r>
        <w:rPr>
          <w:rFonts w:ascii="宋体" w:hAnsi="宋体"/>
          <w:bCs/>
          <w:color w:val="auto"/>
          <w:sz w:val="24"/>
          <w:highlight w:val="none"/>
        </w:rPr>
      </w:r>
      <w:r/>
    </w:p>
    <w:p>
      <w:pPr>
        <w:pStyle w:val="815"/>
        <w:ind w:firstLine="480"/>
        <w:rPr>
          <w:rFonts w:ascii="宋体" w:hAnsi="宋体"/>
          <w:bCs/>
          <w:color w:val="auto"/>
          <w:sz w:val="24"/>
          <w:highlight w:val="none"/>
        </w:rPr>
      </w:pPr>
      <w:r>
        <w:rPr>
          <w:rFonts w:ascii="宋体" w:hAnsi="宋体"/>
          <w:bCs/>
          <w:color w:val="auto"/>
          <w:sz w:val="24"/>
          <w:highlight w:val="none"/>
        </w:rPr>
      </w:r>
      <w:r/>
    </w:p>
    <w:p>
      <w:pPr>
        <w:ind w:firstLine="482"/>
        <w:rPr>
          <w:rFonts w:ascii="宋体" w:hAnsi="宋体"/>
          <w:bCs/>
          <w:color w:val="auto"/>
          <w:sz w:val="24"/>
          <w:highlight w:val="none"/>
        </w:rPr>
      </w:pPr>
      <w:r>
        <w:rPr>
          <w:rFonts w:ascii="宋体" w:hAnsi="宋体"/>
          <w:bCs/>
          <w:color w:val="auto"/>
          <w:sz w:val="24"/>
          <w:highlight w:val="none"/>
        </w:rPr>
      </w:r>
      <w:r/>
    </w:p>
    <w:p>
      <w:pPr>
        <w:pStyle w:val="815"/>
        <w:ind w:firstLine="480"/>
        <w:rPr>
          <w:rFonts w:ascii="宋体" w:hAnsi="宋体"/>
          <w:bCs/>
          <w:color w:val="auto"/>
          <w:sz w:val="24"/>
          <w:highlight w:val="none"/>
        </w:rPr>
      </w:pPr>
      <w:r>
        <w:rPr>
          <w:rFonts w:ascii="宋体" w:hAnsi="宋体"/>
          <w:bCs/>
          <w:color w:val="auto"/>
          <w:sz w:val="24"/>
          <w:highlight w:val="none"/>
        </w:rPr>
      </w:r>
      <w:r/>
    </w:p>
    <w:p>
      <w:pPr>
        <w:ind w:firstLine="482"/>
        <w:rPr>
          <w:rFonts w:ascii="宋体" w:hAnsi="宋体"/>
          <w:bCs/>
          <w:color w:val="auto"/>
          <w:sz w:val="24"/>
          <w:highlight w:val="none"/>
        </w:rPr>
      </w:pPr>
      <w:r>
        <w:rPr>
          <w:rFonts w:ascii="宋体" w:hAnsi="宋体"/>
          <w:bCs/>
          <w:color w:val="auto"/>
          <w:sz w:val="24"/>
          <w:highlight w:val="none"/>
        </w:rPr>
      </w:r>
      <w:r/>
    </w:p>
    <w:p>
      <w:pPr>
        <w:pStyle w:val="815"/>
        <w:ind w:firstLine="640"/>
        <w:rPr>
          <w:color w:val="auto"/>
          <w:highlight w:val="none"/>
        </w:rPr>
      </w:pPr>
      <w:r>
        <w:rPr>
          <w:color w:val="auto"/>
          <w:highlight w:val="none"/>
        </w:rPr>
      </w:r>
      <w:r/>
    </w:p>
    <w:p>
      <w:pPr>
        <w:ind w:firstLine="643"/>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ind w:firstLine="643"/>
        <w:jc w:val="cente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八、法人授权书</w:t>
      </w:r>
      <w:r/>
    </w:p>
    <w:p>
      <w:pPr>
        <w:pStyle w:val="827"/>
        <w:ind w:firstLine="480"/>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827"/>
        <w:ind w:firstLine="480"/>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827"/>
        <w:ind w:firstLine="0"/>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827"/>
        <w:ind w:firstLine="0"/>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827"/>
        <w:ind w:firstLine="1200"/>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827"/>
        <w:ind w:firstLine="48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827"/>
        <w:ind w:firstLine="480"/>
        <w:rPr>
          <w:color w:val="auto"/>
          <w:sz w:val="24"/>
          <w:szCs w:val="24"/>
          <w:highlight w:val="none"/>
        </w:rPr>
      </w:pPr>
      <w:r>
        <w:rPr>
          <w:rFonts w:hint="eastAsia"/>
          <w:color w:val="auto"/>
          <w:sz w:val="24"/>
          <w:szCs w:val="24"/>
          <w:highlight w:val="none"/>
        </w:rPr>
        <w:t xml:space="preserve">      日期：</w:t>
      </w:r>
      <w:bookmarkStart w:id="101" w:name="_Hlt26671380"/>
      <w:r/>
      <w:bookmarkEnd w:id="101"/>
      <w:r/>
      <w:bookmarkStart w:id="102" w:name="_Hlt26955070"/>
      <w:r/>
      <w:bookmarkEnd w:id="102"/>
      <w:r/>
      <w:bookmarkStart w:id="103" w:name="_格式3__银行出具的资信证明"/>
      <w:r/>
      <w:bookmarkEnd w:id="103"/>
      <w:r>
        <w:rPr>
          <w:rFonts w:hint="eastAsia"/>
          <w:color w:val="auto"/>
          <w:sz w:val="24"/>
          <w:szCs w:val="24"/>
          <w:highlight w:val="none"/>
          <w:u w:val="single"/>
        </w:rPr>
        <w:t xml:space="preserve">                                         </w:t>
      </w:r>
      <w:r/>
    </w:p>
    <w:p>
      <w:pPr>
        <w:pStyle w:val="816"/>
        <w:ind w:firstLine="482"/>
        <w:rPr>
          <w:i/>
          <w:color w:val="auto"/>
          <w:sz w:val="24"/>
          <w:szCs w:val="24"/>
          <w:highlight w:val="none"/>
          <w:u w:val="single"/>
        </w:rPr>
      </w:pPr>
      <w:r>
        <w:rPr>
          <w:i/>
          <w:color w:val="auto"/>
          <w:sz w:val="24"/>
          <w:szCs w:val="24"/>
          <w:highlight w:val="none"/>
          <w:u w:val="single"/>
        </w:rPr>
      </w:r>
      <w:r/>
    </w:p>
    <w:p>
      <w:pPr>
        <w:ind w:firstLine="3376"/>
        <w:rPr>
          <w:rFonts w:ascii="黑体" w:hAnsi="黑体" w:eastAsia="黑体"/>
          <w:i/>
          <w:color w:val="auto"/>
          <w:sz w:val="32"/>
          <w:szCs w:val="32"/>
          <w:highlight w:val="none"/>
          <w:u w:val="single"/>
        </w:rPr>
      </w:pPr>
      <w:r>
        <w:rPr>
          <w:rFonts w:ascii="宋体" w:hAnsi="宋体"/>
          <w:color w:val="auto"/>
          <w:sz w:val="24"/>
          <w:highlight w:val="none"/>
        </w:rPr>
        <w:br w:type="page" w:clear="all"/>
      </w:r>
      <w:r>
        <w:rPr>
          <w:rFonts w:hint="eastAsia" w:ascii="黑体" w:hAnsi="黑体" w:eastAsia="黑体"/>
          <w:i/>
          <w:color w:val="auto"/>
          <w:sz w:val="32"/>
          <w:szCs w:val="32"/>
          <w:highlight w:val="none"/>
          <w:u w:val="single"/>
        </w:rPr>
        <w:t xml:space="preserve">九、投标函</w:t>
      </w:r>
      <w:r/>
    </w:p>
    <w:p>
      <w:pPr>
        <w:pStyle w:val="826"/>
        <w:ind w:firstLine="482"/>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致：扬州市公共资源交易中心开发区分中心</w:t>
      </w:r>
      <w:r/>
    </w:p>
    <w:p>
      <w:pPr>
        <w:pStyle w:val="82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2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26"/>
        <w:ind w:firstLine="482"/>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26"/>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26"/>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826"/>
        <w:ind w:firstLine="482"/>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826"/>
        <w:ind w:firstLine="482"/>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826"/>
        <w:ind w:firstLine="482"/>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826"/>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826"/>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640"/>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460" w:lineRule="exact"/>
        <w:rPr>
          <w:rFonts w:ascii="黑体" w:hAnsi="黑体" w:eastAsia="黑体"/>
          <w:b/>
          <w:color w:val="auto"/>
          <w:sz w:val="32"/>
          <w:szCs w:val="32"/>
          <w:highlight w:val="none"/>
        </w:rPr>
      </w:pPr>
      <w:r>
        <w:rPr>
          <w:rFonts w:hint="eastAsia" w:ascii="黑体" w:hAnsi="黑体" w:eastAsia="黑体"/>
          <w:b/>
          <w:i/>
          <w:iCs/>
          <w:color w:val="auto"/>
          <w:sz w:val="32"/>
          <w:szCs w:val="32"/>
          <w:highlight w:val="none"/>
          <w:u w:val="single"/>
        </w:rPr>
        <w:t xml:space="preserve">十、中小企业声明函（服务）</w:t>
      </w:r>
      <w:r>
        <w:rPr>
          <w:rFonts w:hint="eastAsia" w:ascii="黑体" w:hAnsi="黑体" w:eastAsia="黑体"/>
          <w:b/>
          <w:color w:val="auto"/>
          <w:sz w:val="32"/>
          <w:szCs w:val="32"/>
          <w:highlight w:val="none"/>
        </w:rPr>
        <w:t xml:space="preserve">（分包号：**）</w:t>
      </w:r>
      <w:r>
        <w:rPr>
          <w:rFonts w:hint="eastAsia"/>
          <w:b/>
          <w:bCs/>
          <w:color w:val="auto"/>
          <w:sz w:val="32"/>
          <w:szCs w:val="32"/>
          <w:highlight w:val="none"/>
        </w:rPr>
        <w:t xml:space="preserve">（若分公司投标，企业声明函中企业名称须为母公司）</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本公司（联合体）郑重声明，根据《政府采购促进中小企业发展管理办法》(财库[2020]46号)的规定，本公司（联合体）参加扬州市公共资源交易中心组织的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b/>
          <w:bCs/>
          <w:color w:val="auto"/>
          <w:sz w:val="24"/>
          <w:szCs w:val="24"/>
          <w:highlight w:val="none"/>
          <w:u w:val="single"/>
        </w:rPr>
        <w:t xml:space="preserve">租赁和商务服务业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firstLine="482"/>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22"/>
        <w:jc w:val="center"/>
        <w:keepLines/>
        <w:keepNext/>
        <w:spacing w:before="300" w:after="300" w:line="360" w:lineRule="auto"/>
        <w:widowControl/>
        <w:rPr>
          <w:rFonts w:ascii="Arial" w:hAnsi="Arial" w:eastAsia="幼圆" w:cs="Arial"/>
          <w:b/>
          <w:bCs/>
          <w:color w:val="auto"/>
          <w:highlight w:val="none"/>
        </w:rPr>
      </w:pPr>
      <w:r/>
      <w:bookmarkStart w:id="104" w:name="_Toc150519795"/>
      <w:r>
        <w:rPr>
          <w:rFonts w:hint="eastAsia" w:ascii="Arial" w:hAnsi="Arial" w:eastAsia="幼圆" w:cs="微软雅黑"/>
          <w:b/>
          <w:bCs/>
          <w:color w:val="auto"/>
          <w:highlight w:val="none"/>
        </w:rPr>
        <w:t xml:space="preserve">中小微企业划型标准</w:t>
      </w:r>
      <w:bookmarkEnd w:id="104"/>
      <w:r>
        <w:rPr>
          <w:rFonts w:hint="eastAsia" w:ascii="Arial" w:hAnsi="Arial" w:eastAsia="幼圆" w:cs="微软雅黑"/>
          <w:b/>
          <w:bCs/>
          <w:color w:val="auto"/>
          <w:highlight w:val="none"/>
        </w:rPr>
        <w:t xml:space="preserve"> </w:t>
      </w:r>
      <w:r/>
    </w:p>
    <w:p>
      <w:pPr>
        <w:ind w:firstLine="420"/>
        <w:jc w:val="left"/>
        <w:spacing w:before="300" w:after="452" w:line="360" w:lineRule="auto"/>
        <w:widowControl/>
        <w:rPr>
          <w:rFonts w:ascii="宋体" w:hAnsi="宋体"/>
          <w:color w:val="auto"/>
          <w:highlight w:val="none"/>
        </w:rPr>
      </w:pPr>
      <w:r>
        <w:rPr>
          <w:rFonts w:hint="eastAsia" w:ascii="宋体" w:hAnsi="宋体" w:eastAsia="等线" w:cs="仿宋"/>
          <w:b/>
          <w:color w:val="auto"/>
          <w:highlight w:val="none"/>
        </w:rPr>
        <w:t xml:space="preserve">中小微企业划型标准如下：</w:t>
      </w:r>
      <w:r/>
    </w:p>
    <w:tbl>
      <w:tblPr>
        <w:tblStyle w:val="81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ind w:firstLine="420"/>
        <w:jc w:val="left"/>
        <w:spacing w:before="300" w:after="452" w:line="360" w:lineRule="auto"/>
        <w:widowControl/>
        <w:rPr>
          <w:rFonts w:ascii="宋体" w:hAnsi="宋体"/>
          <w:color w:val="auto"/>
          <w:highlight w:val="none"/>
        </w:rPr>
      </w:pPr>
      <w:r>
        <w:rPr>
          <w:rFonts w:hint="eastAsia" w:ascii="宋体" w:hAnsi="宋体" w:eastAsia="等线" w:cs="仿宋"/>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43"/>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十、残疾人福利性单位声明函（分包号：**）</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十一、联合体协议（参考格式）（分包号：**）</w:t>
      </w:r>
      <w:r/>
    </w:p>
    <w:p>
      <w:pPr>
        <w:ind w:firstLine="482"/>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2"/>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自愿组成联合体，参加扬州市公共资源交易中心组织的采购编号为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482"/>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482"/>
        <w:spacing w:line="5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2"/>
        <w:spacing w:line="560" w:lineRule="exact"/>
        <w:rPr>
          <w:rFonts w:ascii="宋体" w:hAnsi="宋体"/>
          <w:color w:val="auto"/>
          <w:sz w:val="24"/>
          <w:highlight w:val="none"/>
        </w:rPr>
      </w:pPr>
      <w:r>
        <w:rPr>
          <w:rFonts w:ascii="宋体" w:hAnsi="宋体"/>
          <w:color w:val="auto"/>
          <w:sz w:val="24"/>
          <w:highlight w:val="none"/>
        </w:rPr>
      </w:r>
      <w:r/>
    </w:p>
    <w:p>
      <w:pPr>
        <w:ind w:firstLine="482"/>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2"/>
        <w:spacing w:line="56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482"/>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联合体中各供应商全称（公章）：</w:t>
      </w:r>
      <w:r>
        <w:rPr>
          <w:rFonts w:ascii="宋体" w:hAnsi="宋体"/>
          <w:color w:val="auto"/>
          <w:sz w:val="24"/>
          <w:highlight w:val="none"/>
        </w:rPr>
        <w:t xml:space="preserve">     </w:t>
      </w:r>
      <w:r/>
    </w:p>
    <w:p>
      <w:pPr>
        <w:ind w:firstLine="482"/>
        <w:spacing w:line="56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日期：</w:t>
      </w:r>
      <w:r/>
    </w:p>
    <w:p>
      <w:pPr>
        <w:ind w:firstLine="482"/>
        <w:spacing w:line="560" w:lineRule="exact"/>
        <w:rPr>
          <w:rFonts w:ascii="宋体" w:hAnsi="宋体"/>
          <w:color w:val="auto"/>
          <w:sz w:val="24"/>
          <w:highlight w:val="none"/>
        </w:rPr>
      </w:pPr>
      <w:r>
        <w:rPr>
          <w:rFonts w:ascii="宋体" w:hAnsi="宋体"/>
          <w:color w:val="auto"/>
          <w:sz w:val="24"/>
          <w:highlight w:val="none"/>
        </w:rPr>
      </w:r>
      <w:r/>
    </w:p>
    <w:p>
      <w:pPr>
        <w:ind w:firstLine="482"/>
        <w:spacing w:line="460" w:lineRule="exact"/>
        <w:rPr>
          <w:rFonts w:ascii="宋体" w:hAnsi="宋体"/>
          <w:bCs/>
          <w:color w:val="auto"/>
          <w:sz w:val="24"/>
          <w:highlight w:val="none"/>
        </w:rPr>
      </w:pPr>
      <w:r>
        <w:rPr>
          <w:rFonts w:ascii="宋体" w:hAnsi="宋体"/>
          <w:bCs/>
          <w:color w:val="auto"/>
          <w:sz w:val="24"/>
          <w:highlight w:val="none"/>
        </w:rPr>
      </w:r>
      <w:r/>
    </w:p>
    <w:p>
      <w:pPr>
        <w:ind w:firstLine="482"/>
        <w:spacing w:line="460" w:lineRule="exact"/>
        <w:rPr>
          <w:rFonts w:ascii="宋体" w:hAnsi="宋体"/>
          <w:bCs/>
          <w:color w:val="auto"/>
          <w:sz w:val="24"/>
          <w:highlight w:val="none"/>
        </w:rPr>
      </w:pPr>
      <w:r>
        <w:rPr>
          <w:rFonts w:ascii="宋体" w:hAnsi="宋体"/>
          <w:bCs/>
          <w:color w:val="auto"/>
          <w:sz w:val="24"/>
          <w:highlight w:val="none"/>
        </w:rPr>
      </w:r>
      <w:r/>
    </w:p>
    <w:p>
      <w:pPr>
        <w:ind w:firstLine="482"/>
        <w:spacing w:line="460" w:lineRule="exact"/>
        <w:rPr>
          <w:rFonts w:ascii="宋体" w:hAnsi="宋体"/>
          <w:bCs/>
          <w:color w:val="auto"/>
          <w:sz w:val="24"/>
          <w:highlight w:val="none"/>
        </w:rPr>
      </w:pPr>
      <w:r>
        <w:rPr>
          <w:rFonts w:ascii="宋体" w:hAnsi="宋体"/>
          <w:bCs/>
          <w:color w:val="auto"/>
          <w:sz w:val="24"/>
          <w:highlight w:val="none"/>
        </w:rPr>
      </w:r>
      <w:r/>
    </w:p>
    <w:p>
      <w:pPr>
        <w:ind w:firstLine="482"/>
        <w:spacing w:line="460" w:lineRule="exact"/>
        <w:rPr>
          <w:rFonts w:ascii="宋体" w:hAnsi="宋体"/>
          <w:bCs/>
          <w:color w:val="auto"/>
          <w:sz w:val="24"/>
          <w:highlight w:val="none"/>
        </w:rPr>
      </w:pPr>
      <w:r>
        <w:rPr>
          <w:rFonts w:ascii="宋体" w:hAnsi="宋体"/>
          <w:bCs/>
          <w:color w:val="auto"/>
          <w:sz w:val="24"/>
          <w:highlight w:val="none"/>
        </w:rPr>
      </w:r>
      <w:r/>
    </w:p>
    <w:p>
      <w:pPr>
        <w:ind w:firstLine="482"/>
        <w:spacing w:line="460" w:lineRule="exact"/>
        <w:rPr>
          <w:rFonts w:ascii="宋体" w:hAnsi="宋体"/>
          <w:bCs/>
          <w:color w:val="auto"/>
          <w:sz w:val="24"/>
          <w:highlight w:val="none"/>
        </w:rPr>
      </w:pPr>
      <w:r>
        <w:rPr>
          <w:rFonts w:ascii="宋体" w:hAnsi="宋体"/>
          <w:bCs/>
          <w:color w:val="auto"/>
          <w:sz w:val="24"/>
          <w:highlight w:val="none"/>
        </w:rPr>
      </w:r>
      <w:r/>
    </w:p>
    <w:p>
      <w:pPr>
        <w:ind w:firstLine="643"/>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十二、投标分项报价表（分包号：**）</w:t>
      </w:r>
      <w:r/>
    </w:p>
    <w:tbl>
      <w:tblPr>
        <w:tblStyle w:val="81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4"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03"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1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8" w:type="dxa"/>
            <w:vAlign w:val="center"/>
            <w:textDirection w:val="lrTb"/>
            <w:noWrap w:val="false"/>
          </w:tcPr>
          <w:p>
            <w:pPr>
              <w:ind w:firstLine="482"/>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487"/>
        </w:trPr>
        <w:tc>
          <w:tcPr>
            <w:gridSpan w:val="6"/>
            <w:tcW w:w="7255" w:type="dxa"/>
            <w:vAlign w:val="center"/>
            <w:textDirection w:val="lrTb"/>
            <w:noWrap w:val="false"/>
          </w:tcPr>
          <w:p>
            <w:pPr>
              <w:ind w:firstLine="482"/>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textDirection w:val="lrTb"/>
            <w:noWrap w:val="false"/>
          </w:tcPr>
          <w:p>
            <w:pPr>
              <w:ind w:firstLine="482"/>
              <w:spacing w:line="0" w:lineRule="atLeast"/>
              <w:rPr>
                <w:rFonts w:ascii="宋体" w:hAnsi="宋体"/>
                <w:color w:val="auto"/>
                <w:sz w:val="24"/>
                <w:szCs w:val="24"/>
                <w:highlight w:val="none"/>
              </w:rPr>
            </w:pPr>
            <w:r>
              <w:rPr>
                <w:rFonts w:ascii="宋体" w:hAnsi="宋体"/>
                <w:color w:val="auto"/>
                <w:sz w:val="24"/>
                <w:szCs w:val="24"/>
                <w:highlight w:val="none"/>
              </w:rPr>
            </w:r>
            <w:r/>
          </w:p>
        </w:tc>
      </w:tr>
    </w:tbl>
    <w:p>
      <w:pPr>
        <w:ind w:firstLine="482"/>
        <w:rPr>
          <w:rFonts w:ascii="宋体" w:hAnsi="宋体"/>
          <w:color w:val="auto"/>
          <w:sz w:val="24"/>
          <w:szCs w:val="24"/>
          <w:highlight w:val="none"/>
        </w:rPr>
      </w:pPr>
      <w:r>
        <w:rPr>
          <w:rFonts w:hint="eastAsia" w:ascii="宋体" w:hAnsi="宋体"/>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643"/>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十三、技术要求响应及偏离表（分包号：**）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3291"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85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bl>
    <w:p>
      <w:pPr>
        <w:ind w:firstLine="482"/>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ind w:firstLine="720"/>
        <w:jc w:val="center"/>
        <w:rPr>
          <w:rFonts w:ascii="黑体" w:hAnsi="Arial" w:eastAsia="黑体"/>
          <w:b/>
          <w:color w:val="auto"/>
          <w:sz w:val="36"/>
          <w:highlight w:val="none"/>
        </w:rPr>
      </w:pPr>
      <w:r>
        <w:rPr>
          <w:rFonts w:ascii="黑体" w:hAnsi="Arial" w:eastAsia="黑体"/>
          <w:b/>
          <w:color w:val="auto"/>
          <w:sz w:val="36"/>
          <w:highlight w:val="none"/>
        </w:rPr>
      </w:r>
      <w:r/>
    </w:p>
    <w:p>
      <w:pPr>
        <w:ind w:firstLine="720"/>
        <w:jc w:val="center"/>
        <w:rPr>
          <w:rFonts w:ascii="黑体" w:hAnsi="Arial" w:eastAsia="黑体"/>
          <w:b/>
          <w:color w:val="auto"/>
          <w:sz w:val="36"/>
          <w:highlight w:val="none"/>
        </w:rPr>
      </w:pPr>
      <w:r>
        <w:rPr>
          <w:rFonts w:ascii="黑体" w:hAnsi="Arial" w:eastAsia="黑体"/>
          <w:b/>
          <w:color w:val="auto"/>
          <w:sz w:val="36"/>
          <w:highlight w:val="none"/>
        </w:rPr>
      </w:r>
      <w:r/>
    </w:p>
    <w:p>
      <w:pPr>
        <w:ind w:firstLine="720"/>
        <w:jc w:val="center"/>
        <w:rPr>
          <w:rFonts w:ascii="黑体" w:hAnsi="Arial" w:eastAsia="黑体"/>
          <w:b/>
          <w:color w:val="auto"/>
          <w:sz w:val="36"/>
          <w:highlight w:val="none"/>
        </w:rPr>
      </w:pPr>
      <w:r>
        <w:rPr>
          <w:rFonts w:ascii="黑体" w:hAnsi="Arial" w:eastAsia="黑体"/>
          <w:b/>
          <w:color w:val="auto"/>
          <w:sz w:val="36"/>
          <w:highlight w:val="none"/>
        </w:rPr>
      </w:r>
      <w:r/>
    </w:p>
    <w:p>
      <w:pPr>
        <w:ind w:firstLine="720"/>
        <w:jc w:val="center"/>
        <w:rPr>
          <w:rFonts w:ascii="黑体" w:hAnsi="Arial" w:eastAsia="黑体"/>
          <w:b/>
          <w:color w:val="auto"/>
          <w:sz w:val="36"/>
          <w:highlight w:val="none"/>
        </w:rPr>
      </w:pPr>
      <w:r>
        <w:rPr>
          <w:rFonts w:ascii="黑体" w:hAnsi="Arial" w:eastAsia="黑体"/>
          <w:b/>
          <w:color w:val="auto"/>
          <w:sz w:val="36"/>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r/>
    </w:p>
    <w:p>
      <w:pPr>
        <w:ind w:firstLine="643"/>
        <w:rPr>
          <w:rFonts w:ascii="黑体" w:hAnsi="Arial" w:eastAsia="黑体"/>
          <w:color w:val="auto"/>
          <w:sz w:val="32"/>
          <w:highlight w:val="none"/>
        </w:rPr>
      </w:pPr>
      <w:r>
        <w:rPr>
          <w:rFonts w:ascii="黑体" w:hAnsi="Arial" w:eastAsia="黑体"/>
          <w:color w:val="auto"/>
          <w:sz w:val="32"/>
          <w:highlight w:val="none"/>
        </w:rPr>
      </w:r>
      <w:bookmarkEnd w:id="100"/>
      <w:r/>
      <w:r/>
    </w:p>
    <w:p>
      <w:pPr>
        <w:ind w:firstLine="643"/>
        <w:jc w:val="center"/>
        <w:rPr>
          <w:rFonts w:ascii="黑体" w:hAnsi="黑体" w:eastAsia="黑体"/>
          <w:b/>
          <w:color w:val="auto"/>
          <w:sz w:val="32"/>
          <w:szCs w:val="32"/>
          <w:highlight w:val="none"/>
        </w:rPr>
      </w:pPr>
      <w:r/>
      <w:bookmarkStart w:id="105" w:name="_Hlt26955054"/>
      <w:r/>
      <w:bookmarkEnd w:id="105"/>
      <w:r>
        <w:rPr>
          <w:rFonts w:hint="eastAsia" w:ascii="黑体" w:hAnsi="黑体" w:eastAsia="黑体"/>
          <w:b/>
          <w:color w:val="auto"/>
          <w:sz w:val="32"/>
          <w:szCs w:val="32"/>
          <w:highlight w:val="none"/>
        </w:rPr>
        <w:t xml:space="preserve">十四、商务要求响应及偏离表（分包号：**）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482"/>
              <w:jc w:val="center"/>
              <w:rPr>
                <w:rFonts w:ascii="宋体" w:hAnsi="宋体"/>
                <w:color w:val="auto"/>
                <w:sz w:val="24"/>
                <w:szCs w:val="24"/>
                <w:highlight w:val="none"/>
              </w:rPr>
            </w:pPr>
            <w:r/>
            <w:bookmarkStart w:id="106" w:name="_Hlt26671372"/>
            <w:r/>
            <w:bookmarkEnd w:id="106"/>
            <w:r/>
            <w:bookmarkStart w:id="107" w:name="_Hlt26671343"/>
            <w:r/>
            <w:bookmarkEnd w:id="107"/>
            <w:r/>
            <w:bookmarkStart w:id="108" w:name="_Hlt26955056"/>
            <w:r/>
            <w:bookmarkEnd w:id="108"/>
            <w:r/>
            <w:bookmarkStart w:id="109" w:name="_Hlt26580838"/>
            <w:r/>
            <w:bookmarkEnd w:id="109"/>
            <w:r/>
            <w:bookmarkStart w:id="110" w:name="_Hlt26609391"/>
            <w:r/>
            <w:bookmarkEnd w:id="110"/>
            <w:r/>
            <w:bookmarkStart w:id="111" w:name="_Hlt24879081"/>
            <w:r/>
            <w:bookmarkEnd w:id="111"/>
            <w:r/>
            <w:bookmarkStart w:id="112" w:name="_Hlt26955064"/>
            <w:r/>
            <w:bookmarkEnd w:id="112"/>
            <w:r/>
            <w:bookmarkStart w:id="113" w:name="_Hlt26782999"/>
            <w:r/>
            <w:bookmarkEnd w:id="113"/>
            <w:r>
              <w:rPr>
                <w:rFonts w:hint="eastAsia" w:ascii="宋体" w:hAnsi="宋体"/>
                <w:color w:val="auto"/>
                <w:sz w:val="24"/>
                <w:szCs w:val="24"/>
                <w:highlight w:val="none"/>
              </w:rPr>
              <w:t xml:space="preserve">序号</w:t>
            </w:r>
            <w:r/>
          </w:p>
        </w:tc>
        <w:tc>
          <w:tcPr>
            <w:tcW w:w="2688"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ind w:firstLine="482"/>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68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688"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val="false"/>
          </w:tcPr>
          <w:p>
            <w:pPr>
              <w:ind w:firstLine="482"/>
              <w:jc w:val="center"/>
              <w:rPr>
                <w:rFonts w:ascii="宋体" w:hAnsi="宋体"/>
                <w:color w:val="auto"/>
                <w:sz w:val="24"/>
                <w:szCs w:val="24"/>
                <w:highlight w:val="none"/>
              </w:rPr>
            </w:pPr>
            <w:r>
              <w:rPr>
                <w:rFonts w:ascii="宋体" w:hAnsi="宋体"/>
                <w:color w:val="auto"/>
                <w:sz w:val="24"/>
                <w:szCs w:val="24"/>
                <w:highlight w:val="none"/>
              </w:rPr>
            </w:r>
            <w:r/>
          </w:p>
        </w:tc>
      </w:tr>
    </w:tbl>
    <w:p>
      <w:pPr>
        <w:ind w:firstLine="482"/>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ind w:firstLine="482"/>
        <w:spacing w:line="480" w:lineRule="auto"/>
        <w:rPr>
          <w:rFonts w:ascii="宋体" w:hAnsi="宋体"/>
          <w:color w:val="auto"/>
          <w:sz w:val="24"/>
          <w:highlight w:val="none"/>
        </w:rPr>
      </w:pPr>
      <w:r>
        <w:rPr>
          <w:rFonts w:ascii="宋体" w:hAnsi="宋体"/>
          <w:color w:val="auto"/>
          <w:sz w:val="24"/>
          <w:highlight w:val="none"/>
        </w:rPr>
      </w:r>
      <w:r/>
    </w:p>
    <w:p>
      <w:pPr>
        <w:ind w:firstLine="602"/>
        <w:spacing w:line="480" w:lineRule="auto"/>
        <w:rPr>
          <w:rFonts w:ascii="仿宋_GB2312" w:hAnsi="Arial"/>
          <w:color w:val="auto"/>
          <w:sz w:val="30"/>
          <w:highlight w:val="none"/>
        </w:rPr>
      </w:pPr>
      <w:r>
        <w:rPr>
          <w:rFonts w:ascii="仿宋_GB2312" w:hAnsi="Arial"/>
          <w:color w:val="auto"/>
          <w:sz w:val="30"/>
          <w:highlight w:val="none"/>
        </w:rPr>
      </w:r>
      <w:r/>
    </w:p>
    <w:p>
      <w:pPr>
        <w:pStyle w:val="816"/>
        <w:ind w:firstLine="482"/>
        <w:rPr>
          <w:rFonts w:ascii="宋体" w:hAnsi="宋体"/>
          <w:color w:val="auto"/>
          <w:sz w:val="24"/>
          <w:highlight w:val="none"/>
        </w:rPr>
      </w:pPr>
      <w:r/>
      <w:bookmarkStart w:id="114" w:name="_Hlt26671374"/>
      <w:r/>
      <w:bookmarkEnd w:id="114"/>
      <w:r/>
      <w:bookmarkStart w:id="115" w:name="_Hlt26955066"/>
      <w:r/>
      <w:bookmarkEnd w:id="115"/>
      <w:r/>
      <w:bookmarkStart w:id="116" w:name="_Hlt26609389"/>
      <w:r/>
      <w:bookmarkEnd w:id="116"/>
      <w:r/>
      <w:bookmarkStart w:id="117" w:name="_Toc462564146"/>
      <w:r/>
      <w:bookmarkEnd w:id="117"/>
      <w:r/>
      <w:r/>
    </w:p>
    <w:p>
      <w:pPr>
        <w:ind w:firstLine="640"/>
        <w:jc w:val="center"/>
        <w:rPr>
          <w:rFonts w:ascii="黑体" w:hAnsi="黑体" w:eastAsia="黑体"/>
          <w:b/>
          <w:color w:val="auto"/>
          <w:sz w:val="32"/>
          <w:szCs w:val="32"/>
          <w:highlight w:val="none"/>
        </w:rPr>
      </w:pPr>
      <w:r/>
      <w:bookmarkStart w:id="118" w:name="_格式2__法定代表人授权书"/>
      <w:r/>
      <w:bookmarkEnd w:id="118"/>
      <w:r/>
      <w:r/>
    </w:p>
    <w:p>
      <w:pPr>
        <w:ind w:firstLine="640"/>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0"/>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815"/>
        <w:ind w:firstLine="640"/>
        <w:rPr>
          <w:rFonts w:ascii="黑体" w:hAnsi="黑体" w:eastAsia="黑体"/>
          <w:b/>
          <w:color w:val="auto"/>
          <w:highlight w:val="none"/>
        </w:rPr>
      </w:pPr>
      <w:r>
        <w:rPr>
          <w:rFonts w:ascii="黑体" w:hAnsi="黑体" w:eastAsia="黑体"/>
          <w:b/>
          <w:color w:val="auto"/>
          <w:highlight w:val="none"/>
        </w:rPr>
      </w:r>
      <w:r/>
    </w:p>
    <w:p>
      <w:pPr>
        <w:rPr>
          <w:color w:val="auto"/>
          <w:highlight w:val="none"/>
        </w:rPr>
      </w:pPr>
      <w:r>
        <w:rPr>
          <w:color w:val="auto"/>
          <w:highlight w:val="none"/>
        </w:rPr>
      </w:r>
      <w:r/>
    </w:p>
    <w:p>
      <w:pPr>
        <w:ind w:firstLine="640"/>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ind w:firstLine="643"/>
        <w:rPr>
          <w:rFonts w:eastAsia="仿宋_GB2312"/>
          <w:color w:val="auto"/>
          <w:sz w:val="24"/>
          <w:szCs w:val="20"/>
          <w:highlight w:val="none"/>
        </w:rPr>
      </w:pPr>
      <w:r>
        <w:rPr>
          <w:rFonts w:hint="eastAsia" w:ascii="黑体" w:hAnsi="黑体" w:eastAsia="黑体"/>
          <w:b/>
          <w:i/>
          <w:color w:val="auto"/>
          <w:sz w:val="32"/>
          <w:szCs w:val="32"/>
          <w:highlight w:val="none"/>
          <w:u w:val="single"/>
        </w:rPr>
        <w:t xml:space="preserve">十五、开标一览表</w:t>
      </w:r>
      <w:r/>
    </w:p>
    <w:p>
      <w:pPr>
        <w:ind w:firstLine="482"/>
        <w:rPr>
          <w:rFonts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rPr>
          <w:color w:val="auto"/>
          <w:sz w:val="24"/>
          <w:szCs w:val="24"/>
          <w:highlight w:val="none"/>
        </w:rPr>
      </w:pPr>
      <w:r>
        <w:rPr>
          <w:rFonts w:hint="eastAsia" w:ascii="宋体" w:hAnsi="宋体"/>
          <w:color w:val="auto"/>
          <w:sz w:val="24"/>
          <w:szCs w:val="24"/>
          <w:highlight w:val="none"/>
        </w:rPr>
        <w:t xml:space="preserve">项目名称：</w:t>
      </w:r>
      <w:r/>
    </w:p>
    <w:p>
      <w:pPr>
        <w:ind w:firstLine="482"/>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814"/>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2"/>
              <w:rPr>
                <w:rFonts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826"/>
              <w:ind w:firstLine="482"/>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                             （人民币：元）</w:t>
            </w:r>
            <w:r/>
          </w:p>
        </w:tc>
      </w:tr>
      <w:tr>
        <w:trPr>
          <w:cantSplit/>
          <w:trHeight w:val="612"/>
        </w:trPr>
        <w:tc>
          <w:tcPr>
            <w:tcW w:w="8206" w:type="dxa"/>
            <w:vAlign w:val="center"/>
            <w:textDirection w:val="lrTb"/>
            <w:noWrap w:val="false"/>
          </w:tcPr>
          <w:p>
            <w:pPr>
              <w:pStyle w:val="826"/>
              <w:ind w:firstLine="482"/>
              <w:spacing w:before="0" w:after="0" w:line="500" w:lineRule="exact"/>
              <w:rPr>
                <w:rFonts w:ascii="宋体" w:hAnsi="宋体" w:cs="宋体"/>
                <w:color w:val="auto"/>
                <w:highlight w:val="none"/>
              </w:rPr>
            </w:pPr>
            <w:r>
              <w:rPr>
                <w:rFonts w:hint="eastAsia" w:ascii="宋体" w:hAnsi="宋体" w:cs="宋体"/>
                <w:color w:val="auto"/>
                <w:highlight w:val="none"/>
              </w:rPr>
              <w:t xml:space="preserve">大写：                             （人民币：圆）</w:t>
            </w:r>
            <w:r/>
          </w:p>
        </w:tc>
      </w:tr>
    </w:tbl>
    <w:p>
      <w:pPr>
        <w:ind w:firstLine="482"/>
        <w:rPr>
          <w:rFonts w:ascii="宋体" w:hAnsi="宋体"/>
          <w:color w:val="auto"/>
          <w:sz w:val="24"/>
          <w:szCs w:val="24"/>
          <w:highlight w:val="none"/>
        </w:rPr>
      </w:pPr>
      <w:r>
        <w:rPr>
          <w:rFonts w:ascii="宋体" w:hAnsi="宋体"/>
          <w:color w:val="auto"/>
          <w:sz w:val="24"/>
          <w:szCs w:val="24"/>
          <w:highlight w:val="none"/>
        </w:rPr>
      </w:r>
      <w:r/>
    </w:p>
    <w:p>
      <w:pPr>
        <w:ind w:firstLine="482"/>
        <w:rPr>
          <w:rFonts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2"/>
        <w:rPr>
          <w:rFonts w:ascii="宋体" w:hAnsi="宋体"/>
          <w:color w:val="auto"/>
          <w:sz w:val="24"/>
          <w:szCs w:val="24"/>
          <w:highlight w:val="none"/>
        </w:rPr>
      </w:pPr>
      <w:r>
        <w:rPr>
          <w:rFonts w:ascii="宋体" w:hAnsi="宋体"/>
          <w:color w:val="auto"/>
          <w:sz w:val="24"/>
          <w:szCs w:val="24"/>
          <w:highlight w:val="none"/>
        </w:rPr>
      </w:r>
      <w:r/>
    </w:p>
    <w:p>
      <w:pPr>
        <w:ind w:firstLine="640"/>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color w:val="auto"/>
          <w:highlight w:val="none"/>
        </w:rPr>
      </w:pPr>
      <w:r>
        <w:rPr>
          <w:color w:val="auto"/>
          <w:highlight w:val="none"/>
        </w:rPr>
      </w:r>
      <w:r/>
    </w:p>
    <w:p>
      <w:pPr>
        <w:ind w:firstLine="420"/>
        <w:rPr>
          <w:rFonts w:eastAsia="楷体_GB2312"/>
          <w:color w:val="auto"/>
          <w:highlight w:val="none"/>
        </w:rPr>
      </w:pPr>
      <w:r>
        <w:rPr>
          <w:rFonts w:eastAsia="楷体_GB2312"/>
          <w:color w:val="auto"/>
          <w:highlight w:val="none"/>
        </w:rPr>
      </w:r>
      <w:r/>
    </w:p>
    <w:p>
      <w:pPr>
        <w:pStyle w:val="815"/>
        <w:ind w:firstLine="640"/>
        <w:rPr>
          <w:color w:val="auto"/>
          <w:highlight w:val="none"/>
        </w:rPr>
      </w:pPr>
      <w:r>
        <w:rPr>
          <w:color w:val="auto"/>
          <w:highlight w:val="none"/>
        </w:rPr>
      </w:r>
      <w:r/>
    </w:p>
    <w:p>
      <w:pPr>
        <w:ind w:firstLine="420"/>
        <w:rPr>
          <w:rFonts w:eastAsia="楷体_GB2312"/>
          <w:color w:val="auto"/>
          <w:highlight w:val="none"/>
        </w:rPr>
      </w:pPr>
      <w:r>
        <w:rPr>
          <w:rFonts w:eastAsia="楷体_GB2312"/>
          <w:color w:val="auto"/>
          <w:highlight w:val="none"/>
        </w:rPr>
      </w:r>
      <w:r/>
    </w:p>
    <w:p>
      <w:pPr>
        <w:pStyle w:val="815"/>
        <w:ind w:firstLine="640"/>
        <w:rPr>
          <w:color w:val="auto"/>
          <w:highlight w:val="none"/>
        </w:rPr>
      </w:pPr>
      <w:r>
        <w:rPr>
          <w:color w:val="auto"/>
          <w:highlight w:val="none"/>
        </w:rPr>
      </w:r>
      <w:r/>
    </w:p>
    <w:p>
      <w:pPr>
        <w:ind w:firstLine="420"/>
        <w:rPr>
          <w:rFonts w:eastAsia="楷体_GB2312"/>
          <w:color w:val="auto"/>
          <w:highlight w:val="none"/>
        </w:rPr>
      </w:pPr>
      <w:r>
        <w:rPr>
          <w:rFonts w:eastAsia="楷体_GB2312"/>
          <w:color w:val="auto"/>
          <w:highlight w:val="none"/>
        </w:rPr>
      </w:r>
      <w:r/>
    </w:p>
    <w:p>
      <w:pPr>
        <w:pStyle w:val="815"/>
        <w:ind w:firstLine="640"/>
        <w:rPr>
          <w:color w:val="auto"/>
          <w:highlight w:val="none"/>
        </w:rPr>
      </w:pPr>
      <w:r>
        <w:rPr>
          <w:color w:val="auto"/>
          <w:highlight w:val="none"/>
        </w:rPr>
      </w:r>
      <w:r/>
    </w:p>
    <w:p>
      <w:pPr>
        <w:ind w:firstLine="420"/>
        <w:rPr>
          <w:rFonts w:eastAsia="楷体_GB2312"/>
          <w:color w:val="auto"/>
          <w:highlight w:val="none"/>
        </w:rPr>
      </w:pPr>
      <w:r>
        <w:rPr>
          <w:rFonts w:eastAsia="楷体_GB2312"/>
          <w:color w:val="auto"/>
          <w:highlight w:val="none"/>
        </w:rPr>
      </w:r>
      <w:r/>
    </w:p>
    <w:p>
      <w:pPr>
        <w:pStyle w:val="815"/>
        <w:ind w:firstLine="640"/>
        <w:rPr>
          <w:color w:val="auto"/>
          <w:highlight w:val="none"/>
        </w:rPr>
      </w:pPr>
      <w:r>
        <w:rPr>
          <w:color w:val="auto"/>
          <w:highlight w:val="none"/>
        </w:rPr>
      </w:r>
      <w:r/>
    </w:p>
    <w:p>
      <w:pPr>
        <w:ind w:firstLine="420"/>
        <w:rPr>
          <w:rFonts w:eastAsia="楷体_GB2312"/>
          <w:color w:val="auto"/>
          <w:highlight w:val="none"/>
        </w:rPr>
      </w:pPr>
      <w:r>
        <w:rPr>
          <w:rFonts w:eastAsia="楷体_GB2312"/>
          <w:color w:val="auto"/>
          <w:highlight w:val="none"/>
        </w:rPr>
      </w:r>
      <w:r/>
    </w:p>
    <w:p>
      <w:pPr>
        <w:pStyle w:val="815"/>
        <w:ind w:firstLine="640"/>
        <w:rPr>
          <w:color w:val="auto"/>
          <w:highlight w:val="none"/>
        </w:rPr>
      </w:pPr>
      <w:r>
        <w:rPr>
          <w:color w:val="auto"/>
          <w:highlight w:val="none"/>
        </w:rPr>
      </w:r>
      <w:r/>
    </w:p>
    <w:p>
      <w:pPr>
        <w:ind w:firstLine="643"/>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br w:type="page" w:clear="all"/>
      </w:r>
      <w:r/>
    </w:p>
    <w:p>
      <w:pPr>
        <w:ind w:firstLine="643"/>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t xml:space="preserve">十六、主要标的信息</w:t>
      </w:r>
      <w:r/>
    </w:p>
    <w:p>
      <w:pPr>
        <w:ind w:firstLine="422"/>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1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640"/>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ind w:firstLine="640"/>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0"/>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15"/>
        <w:ind w:firstLine="640"/>
        <w:rPr>
          <w:rFonts w:ascii="宋体" w:hAnsi="宋体" w:cs="仿宋"/>
          <w:b/>
          <w:bCs/>
          <w:color w:val="auto"/>
          <w:highlight w:val="none"/>
        </w:rPr>
      </w:pPr>
      <w:r>
        <w:rPr>
          <w:rFonts w:ascii="宋体" w:hAnsi="宋体" w:cs="仿宋"/>
          <w:b/>
          <w:bCs/>
          <w:color w:val="auto"/>
          <w:highlight w:val="none"/>
        </w:rPr>
      </w:r>
      <w:r/>
    </w:p>
    <w:p>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ind w:firstLine="482"/>
        <w:spacing w:before="312"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ind w:firstLine="482"/>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ind w:firstLine="482"/>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ind w:firstLine="482"/>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ind w:firstLine="482"/>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ind w:firstLine="482"/>
        <w:rPr>
          <w:rFonts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16"/>
        <w:ind w:firstLine="482"/>
        <w:rPr>
          <w:color w:val="auto"/>
          <w:sz w:val="24"/>
          <w:szCs w:val="24"/>
          <w:highlight w:val="none"/>
        </w:rPr>
      </w:pPr>
      <w:r>
        <w:rPr>
          <w:color w:val="auto"/>
          <w:sz w:val="24"/>
          <w:szCs w:val="24"/>
          <w:highlight w:val="none"/>
        </w:rPr>
      </w:r>
      <w:r/>
    </w:p>
    <w:p>
      <w:pPr>
        <w:pStyle w:val="816"/>
        <w:ind w:firstLine="482"/>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826"/>
        <w:ind w:firstLine="441"/>
        <w:rPr>
          <w:rFonts w:ascii="宋体" w:hAnsi="宋体"/>
          <w:b/>
          <w:color w:val="auto"/>
          <w:highlight w:val="none"/>
        </w:rPr>
      </w:pPr>
      <w:r>
        <w:rPr>
          <w:rFonts w:ascii="宋体" w:hAnsi="宋体"/>
          <w:b/>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813"/>
    <w:link w:val="809"/>
    <w:uiPriority w:val="9"/>
    <w:rPr>
      <w:rFonts w:ascii="Arial" w:hAnsi="Arial" w:eastAsia="Arial" w:cs="Arial"/>
      <w:sz w:val="40"/>
      <w:szCs w:val="40"/>
    </w:rPr>
  </w:style>
  <w:style w:type="character" w:styleId="641">
    <w:name w:val="Heading 2 Char"/>
    <w:basedOn w:val="813"/>
    <w:link w:val="810"/>
    <w:uiPriority w:val="9"/>
    <w:rPr>
      <w:rFonts w:ascii="Arial" w:hAnsi="Arial" w:eastAsia="Arial" w:cs="Arial"/>
      <w:sz w:val="34"/>
    </w:rPr>
  </w:style>
  <w:style w:type="character" w:styleId="642">
    <w:name w:val="Heading 3 Char"/>
    <w:basedOn w:val="813"/>
    <w:link w:val="811"/>
    <w:uiPriority w:val="9"/>
    <w:rPr>
      <w:rFonts w:ascii="Arial" w:hAnsi="Arial" w:eastAsia="Arial" w:cs="Arial"/>
      <w:sz w:val="30"/>
      <w:szCs w:val="30"/>
    </w:rPr>
  </w:style>
  <w:style w:type="character" w:styleId="643">
    <w:name w:val="Heading 4 Char"/>
    <w:basedOn w:val="813"/>
    <w:link w:val="812"/>
    <w:uiPriority w:val="9"/>
    <w:rPr>
      <w:rFonts w:ascii="Arial" w:hAnsi="Arial" w:eastAsia="Arial" w:cs="Arial"/>
      <w:b/>
      <w:bCs/>
      <w:sz w:val="26"/>
      <w:szCs w:val="26"/>
    </w:rPr>
  </w:style>
  <w:style w:type="paragraph" w:styleId="644">
    <w:name w:val="Heading 5"/>
    <w:basedOn w:val="808"/>
    <w:next w:val="808"/>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3"/>
    <w:link w:val="644"/>
    <w:uiPriority w:val="9"/>
    <w:rPr>
      <w:rFonts w:ascii="Arial" w:hAnsi="Arial" w:eastAsia="Arial" w:cs="Arial"/>
      <w:b/>
      <w:bCs/>
      <w:sz w:val="24"/>
      <w:szCs w:val="24"/>
    </w:rPr>
  </w:style>
  <w:style w:type="paragraph" w:styleId="646">
    <w:name w:val="Heading 6"/>
    <w:basedOn w:val="808"/>
    <w:next w:val="808"/>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3"/>
    <w:link w:val="646"/>
    <w:uiPriority w:val="9"/>
    <w:rPr>
      <w:rFonts w:ascii="Arial" w:hAnsi="Arial" w:eastAsia="Arial" w:cs="Arial"/>
      <w:b/>
      <w:bCs/>
      <w:sz w:val="22"/>
      <w:szCs w:val="22"/>
    </w:rPr>
  </w:style>
  <w:style w:type="paragraph" w:styleId="648">
    <w:name w:val="Heading 7"/>
    <w:basedOn w:val="808"/>
    <w:next w:val="808"/>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3"/>
    <w:link w:val="648"/>
    <w:uiPriority w:val="9"/>
    <w:rPr>
      <w:rFonts w:ascii="Arial" w:hAnsi="Arial" w:eastAsia="Arial" w:cs="Arial"/>
      <w:b/>
      <w:bCs/>
      <w:i/>
      <w:iCs/>
      <w:sz w:val="22"/>
      <w:szCs w:val="22"/>
    </w:rPr>
  </w:style>
  <w:style w:type="paragraph" w:styleId="650">
    <w:name w:val="Heading 8"/>
    <w:basedOn w:val="808"/>
    <w:next w:val="80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3"/>
    <w:link w:val="650"/>
    <w:uiPriority w:val="9"/>
    <w:rPr>
      <w:rFonts w:ascii="Arial" w:hAnsi="Arial" w:eastAsia="Arial" w:cs="Arial"/>
      <w:i/>
      <w:iCs/>
      <w:sz w:val="22"/>
      <w:szCs w:val="22"/>
    </w:rPr>
  </w:style>
  <w:style w:type="paragraph" w:styleId="652">
    <w:name w:val="Heading 9"/>
    <w:basedOn w:val="808"/>
    <w:next w:val="808"/>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3"/>
    <w:link w:val="652"/>
    <w:uiPriority w:val="9"/>
    <w:rPr>
      <w:rFonts w:ascii="Arial" w:hAnsi="Arial" w:eastAsia="Arial" w:cs="Arial"/>
      <w:i/>
      <w:iCs/>
      <w:sz w:val="21"/>
      <w:szCs w:val="21"/>
    </w:rPr>
  </w:style>
  <w:style w:type="paragraph" w:styleId="654">
    <w:name w:val="List Paragraph"/>
    <w:basedOn w:val="808"/>
    <w:uiPriority w:val="34"/>
    <w:qFormat/>
    <w:pPr>
      <w:contextualSpacing/>
      <w:ind w:left="720"/>
    </w:pPr>
  </w:style>
  <w:style w:type="paragraph" w:styleId="655">
    <w:name w:val="Title"/>
    <w:basedOn w:val="808"/>
    <w:next w:val="808"/>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08"/>
    <w:next w:val="808"/>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08"/>
    <w:next w:val="808"/>
    <w:link w:val="660"/>
    <w:uiPriority w:val="29"/>
    <w:qFormat/>
    <w:pPr>
      <w:ind w:left="720" w:right="720"/>
    </w:pPr>
    <w:rPr>
      <w:i/>
    </w:rPr>
  </w:style>
  <w:style w:type="character" w:styleId="660">
    <w:name w:val="Quote Char"/>
    <w:link w:val="659"/>
    <w:uiPriority w:val="29"/>
    <w:rPr>
      <w:i/>
    </w:rPr>
  </w:style>
  <w:style w:type="paragraph" w:styleId="661">
    <w:name w:val="Intense Quote"/>
    <w:basedOn w:val="808"/>
    <w:next w:val="808"/>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21"/>
    <w:uiPriority w:val="99"/>
  </w:style>
  <w:style w:type="character" w:styleId="664">
    <w:name w:val="Footer Char"/>
    <w:basedOn w:val="813"/>
    <w:link w:val="820"/>
    <w:uiPriority w:val="99"/>
  </w:style>
  <w:style w:type="paragraph" w:styleId="665">
    <w:name w:val="Caption"/>
    <w:basedOn w:val="808"/>
    <w:next w:val="808"/>
    <w:uiPriority w:val="35"/>
    <w:semiHidden/>
    <w:unhideWhenUsed/>
    <w:qFormat/>
    <w:pPr>
      <w:spacing w:line="276" w:lineRule="auto"/>
    </w:pPr>
    <w:rPr>
      <w:b/>
      <w:bCs/>
      <w:color w:val="4f81bd" w:themeColor="accent1"/>
      <w:sz w:val="18"/>
      <w:szCs w:val="18"/>
    </w:rPr>
  </w:style>
  <w:style w:type="character" w:styleId="666">
    <w:name w:val="Caption Char"/>
    <w:basedOn w:val="665"/>
    <w:link w:val="820"/>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08"/>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08"/>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15"/>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uiPriority w:val="9"/>
    <w:qFormat/>
    <w:pPr>
      <w:keepLines/>
      <w:keepNext/>
      <w:spacing w:before="340" w:after="330" w:line="578" w:lineRule="auto"/>
      <w:outlineLvl w:val="0"/>
    </w:pPr>
    <w:rPr>
      <w:b/>
      <w:bCs/>
      <w:sz w:val="44"/>
      <w:szCs w:val="44"/>
    </w:rPr>
  </w:style>
  <w:style w:type="paragraph" w:styleId="810">
    <w:name w:val="Heading 2"/>
    <w:basedOn w:val="808"/>
    <w:next w:val="8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816"/>
    <w:uiPriority w:val="0"/>
    <w:qFormat/>
    <w:pPr>
      <w:keepLines/>
      <w:keepNext/>
      <w:spacing w:before="260" w:after="260" w:line="416" w:lineRule="auto"/>
      <w:outlineLvl w:val="2"/>
    </w:pPr>
    <w:rPr>
      <w:b/>
      <w:bCs/>
      <w:sz w:val="32"/>
      <w:szCs w:val="32"/>
    </w:rPr>
  </w:style>
  <w:style w:type="paragraph" w:styleId="812">
    <w:name w:val="Heading 4"/>
    <w:basedOn w:val="808"/>
    <w:next w:val="816"/>
    <w:uiPriority w:val="0"/>
    <w:qFormat/>
    <w:pPr>
      <w:keepLines/>
      <w:keepNext/>
      <w:spacing w:before="280" w:after="290" w:line="376" w:lineRule="auto"/>
      <w:outlineLvl w:val="3"/>
    </w:pPr>
    <w:rPr>
      <w:rFonts w:ascii="Arial" w:hAnsi="Arial" w:eastAsia="黑体" w:cs="Arial"/>
      <w:b/>
      <w:bCs/>
      <w:sz w:val="28"/>
      <w:szCs w:val="28"/>
    </w:rPr>
  </w:style>
  <w:style w:type="character" w:styleId="813" w:default="1">
    <w:name w:val="Default Paragraph Font"/>
    <w:uiPriority w:val="1"/>
    <w:semiHidden/>
    <w:unhideWhenUsed/>
  </w:style>
  <w:style w:type="table" w:styleId="814" w:default="1">
    <w:name w:val="Normal Table"/>
    <w:uiPriority w:val="99"/>
    <w:semiHidden/>
    <w:unhideWhenUsed/>
    <w:tblPr>
      <w:tblLayout w:type="fixed"/>
      <w:tblCellMar>
        <w:left w:w="108" w:type="dxa"/>
        <w:top w:w="0" w:type="dxa"/>
        <w:right w:w="108" w:type="dxa"/>
        <w:bottom w:w="0" w:type="dxa"/>
      </w:tblCellMar>
    </w:tblPr>
  </w:style>
  <w:style w:type="paragraph" w:styleId="815">
    <w:name w:val="Body Text Indent"/>
    <w:basedOn w:val="808"/>
    <w:next w:val="808"/>
    <w:uiPriority w:val="0"/>
    <w:qFormat/>
    <w:pPr>
      <w:ind w:firstLine="645"/>
    </w:pPr>
    <w:rPr>
      <w:rFonts w:ascii="楷体_GB2312" w:eastAsia="楷体_GB2312"/>
      <w:sz w:val="32"/>
      <w:szCs w:val="32"/>
    </w:rPr>
  </w:style>
  <w:style w:type="paragraph" w:styleId="816">
    <w:name w:val="Normal Indent"/>
    <w:basedOn w:val="808"/>
    <w:uiPriority w:val="0"/>
    <w:qFormat/>
    <w:pPr>
      <w:ind w:firstLine="420"/>
    </w:pPr>
  </w:style>
  <w:style w:type="paragraph" w:styleId="817">
    <w:name w:val="toc 3"/>
    <w:basedOn w:val="808"/>
    <w:next w:val="808"/>
    <w:uiPriority w:val="0"/>
    <w:qFormat/>
    <w:pPr>
      <w:ind w:left="840"/>
    </w:pPr>
  </w:style>
  <w:style w:type="paragraph" w:styleId="818">
    <w:name w:val="Plain Text"/>
    <w:basedOn w:val="808"/>
    <w:uiPriority w:val="0"/>
    <w:qFormat/>
    <w:rPr>
      <w:rFonts w:ascii="宋体" w:hAnsi="Courier New" w:cs="Courier New"/>
    </w:rPr>
  </w:style>
  <w:style w:type="paragraph" w:styleId="819">
    <w:name w:val="Balloon Text"/>
    <w:basedOn w:val="808"/>
    <w:link w:val="829"/>
    <w:uiPriority w:val="0"/>
    <w:qFormat/>
    <w:rPr>
      <w:sz w:val="18"/>
      <w:szCs w:val="18"/>
    </w:rPr>
  </w:style>
  <w:style w:type="paragraph" w:styleId="820">
    <w:name w:val="Footer"/>
    <w:basedOn w:val="808"/>
    <w:uiPriority w:val="0"/>
    <w:pPr>
      <w:jc w:val="left"/>
      <w:tabs>
        <w:tab w:val="center" w:pos="4153" w:leader="none"/>
        <w:tab w:val="right" w:pos="8306" w:leader="none"/>
      </w:tabs>
    </w:pPr>
    <w:rPr>
      <w:sz w:val="18"/>
      <w:szCs w:val="18"/>
    </w:rPr>
  </w:style>
  <w:style w:type="paragraph" w:styleId="821">
    <w:name w:val="Header"/>
    <w:basedOn w:val="808"/>
    <w:uiPriority w:val="0"/>
    <w:qFormat/>
    <w:pPr>
      <w:jc w:val="center"/>
      <w:tabs>
        <w:tab w:val="center" w:pos="4153" w:leader="none"/>
        <w:tab w:val="right" w:pos="8306" w:leader="none"/>
      </w:tabs>
      <w:pBdr>
        <w:bottom w:val="single" w:color="auto" w:sz="6" w:space="1"/>
      </w:pBdr>
    </w:pPr>
    <w:rPr>
      <w:sz w:val="18"/>
      <w:szCs w:val="18"/>
    </w:rPr>
  </w:style>
  <w:style w:type="paragraph" w:styleId="822">
    <w:name w:val="toc 1"/>
    <w:basedOn w:val="808"/>
    <w:next w:val="808"/>
    <w:uiPriority w:val="39"/>
    <w:unhideWhenUsed/>
  </w:style>
  <w:style w:type="paragraph" w:styleId="823">
    <w:name w:val="toc 2"/>
    <w:basedOn w:val="808"/>
    <w:next w:val="808"/>
    <w:uiPriority w:val="0"/>
    <w:pPr>
      <w:ind w:left="420"/>
    </w:pPr>
  </w:style>
  <w:style w:type="character" w:styleId="824">
    <w:name w:val="page number"/>
    <w:uiPriority w:val="0"/>
    <w:qFormat/>
  </w:style>
  <w:style w:type="paragraph" w:styleId="82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26" w:customStyle="1">
    <w:name w:val="普通正文"/>
    <w:basedOn w:val="808"/>
    <w:uiPriority w:val="0"/>
    <w:pPr>
      <w:ind w:firstLine="480"/>
      <w:jc w:val="left"/>
      <w:spacing w:before="120" w:after="120" w:line="360" w:lineRule="auto"/>
    </w:pPr>
    <w:rPr>
      <w:rFonts w:ascii="Arial" w:hAnsi="Arial"/>
      <w:sz w:val="24"/>
      <w:szCs w:val="24"/>
    </w:rPr>
  </w:style>
  <w:style w:type="paragraph" w:styleId="827" w:customStyle="1">
    <w:name w:val="Char"/>
    <w:basedOn w:val="808"/>
    <w:uiPriority w:val="0"/>
    <w:qFormat/>
    <w:pPr>
      <w:ind w:firstLine="200"/>
      <w:tabs>
        <w:tab w:val="left" w:pos="360" w:leader="none"/>
      </w:tabs>
    </w:pPr>
    <w:rPr>
      <w:sz w:val="28"/>
      <w:szCs w:val="30"/>
    </w:rPr>
  </w:style>
  <w:style w:type="paragraph" w:styleId="828" w:customStyle="1">
    <w:name w:val="普通文字"/>
    <w:basedOn w:val="808"/>
    <w:next w:val="808"/>
    <w:uiPriority w:val="0"/>
    <w:qFormat/>
    <w:rPr>
      <w:rFonts w:ascii="宋体" w:hAnsi="Times New Roman"/>
      <w:sz w:val="24"/>
      <w:szCs w:val="20"/>
    </w:rPr>
  </w:style>
  <w:style w:type="character" w:styleId="829" w:customStyle="1">
    <w:name w:val="批注框文本 Char"/>
    <w:basedOn w:val="813"/>
    <w:link w:val="819"/>
    <w:uiPriority w:val="0"/>
    <w:rPr>
      <w:rFonts w:ascii="Calibri" w:hAnsi="Calibri" w:eastAsia="宋体" w:cs="Times New Roman"/>
      <w:sz w:val="18"/>
      <w:szCs w:val="18"/>
    </w:rPr>
  </w:style>
  <w:style w:type="numbering" w:styleId="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徐冰</cp:lastModifiedBy>
  <cp:revision>138</cp:revision>
  <dcterms:created xsi:type="dcterms:W3CDTF">2024-03-27T06:02:00Z</dcterms:created>
  <dcterms:modified xsi:type="dcterms:W3CDTF">2024-04-25T08:18:13Z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AAE83BDF44414FE2B1CBAE41D117B25E_11</vt:lpwstr>
  </property>
</Properties>
</file>