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95647">
      <w:pPr>
        <w:pStyle w:val="16"/>
        <w:spacing w:before="0" w:line="360" w:lineRule="auto"/>
        <w:ind w:left="0"/>
        <w:jc w:val="both"/>
        <w:rPr>
          <w:rFonts w:hAnsi="宋体"/>
          <w:sz w:val="21"/>
        </w:rPr>
      </w:pPr>
    </w:p>
    <w:p w14:paraId="5FE732B8">
      <w:pPr>
        <w:pStyle w:val="16"/>
        <w:spacing w:before="0" w:line="360" w:lineRule="auto"/>
        <w:ind w:left="0"/>
        <w:jc w:val="both"/>
        <w:rPr>
          <w:rFonts w:hAnsi="宋体"/>
          <w:sz w:val="21"/>
        </w:rPr>
      </w:pPr>
    </w:p>
    <w:p w14:paraId="542758A3">
      <w:pPr>
        <w:pStyle w:val="16"/>
        <w:spacing w:before="0" w:line="360" w:lineRule="auto"/>
        <w:ind w:left="0"/>
        <w:jc w:val="both"/>
        <w:rPr>
          <w:rFonts w:hAnsi="宋体"/>
          <w:sz w:val="21"/>
        </w:rPr>
      </w:pPr>
    </w:p>
    <w:p w14:paraId="044AA8B1">
      <w:pPr>
        <w:pStyle w:val="16"/>
        <w:spacing w:before="0" w:line="360" w:lineRule="auto"/>
        <w:ind w:left="0"/>
        <w:jc w:val="both"/>
        <w:rPr>
          <w:rFonts w:hAnsi="宋体"/>
          <w:sz w:val="21"/>
        </w:rPr>
      </w:pPr>
    </w:p>
    <w:p w14:paraId="69022794">
      <w:pPr>
        <w:pStyle w:val="16"/>
        <w:spacing w:before="0" w:line="360" w:lineRule="auto"/>
        <w:ind w:left="0"/>
        <w:jc w:val="both"/>
        <w:rPr>
          <w:rFonts w:hAnsi="宋体"/>
          <w:sz w:val="21"/>
        </w:rPr>
      </w:pPr>
    </w:p>
    <w:p w14:paraId="1CF561BA">
      <w:pPr>
        <w:jc w:val="center"/>
        <w:rPr>
          <w:rFonts w:hAnsi="宋体"/>
          <w:b/>
          <w:sz w:val="84"/>
        </w:rPr>
      </w:pPr>
      <w:r>
        <w:rPr>
          <w:rFonts w:hint="eastAsia" w:hAnsi="宋体"/>
          <w:b/>
          <w:sz w:val="84"/>
        </w:rPr>
        <w:t>太仓市政府采购</w:t>
      </w:r>
    </w:p>
    <w:p w14:paraId="605DE013">
      <w:pPr>
        <w:jc w:val="center"/>
        <w:rPr>
          <w:rFonts w:hAnsi="宋体"/>
          <w:b/>
          <w:sz w:val="84"/>
        </w:rPr>
      </w:pPr>
      <w:r>
        <w:rPr>
          <w:rFonts w:hint="eastAsia" w:hAnsi="宋体"/>
          <w:b/>
          <w:sz w:val="84"/>
        </w:rPr>
        <w:t>招标文件</w:t>
      </w:r>
    </w:p>
    <w:p w14:paraId="24D7E26D">
      <w:pPr>
        <w:pStyle w:val="16"/>
        <w:spacing w:before="0" w:line="360" w:lineRule="auto"/>
        <w:ind w:left="0"/>
        <w:jc w:val="both"/>
        <w:rPr>
          <w:rFonts w:hAnsi="宋体"/>
          <w:sz w:val="21"/>
        </w:rPr>
      </w:pPr>
    </w:p>
    <w:p w14:paraId="349ADFFF">
      <w:pPr>
        <w:pStyle w:val="16"/>
        <w:spacing w:before="0" w:line="360" w:lineRule="auto"/>
        <w:ind w:left="0"/>
        <w:jc w:val="both"/>
        <w:rPr>
          <w:rFonts w:hAnsi="宋体"/>
          <w:sz w:val="21"/>
        </w:rPr>
      </w:pPr>
    </w:p>
    <w:p w14:paraId="430288D2">
      <w:pPr>
        <w:pStyle w:val="16"/>
        <w:spacing w:before="0" w:line="360" w:lineRule="auto"/>
        <w:ind w:left="0"/>
        <w:jc w:val="both"/>
        <w:rPr>
          <w:rFonts w:hAnsi="宋体"/>
          <w:sz w:val="21"/>
        </w:rPr>
      </w:pPr>
    </w:p>
    <w:p w14:paraId="17405096">
      <w:pPr>
        <w:pStyle w:val="16"/>
        <w:spacing w:before="0" w:line="360" w:lineRule="auto"/>
        <w:ind w:left="0"/>
        <w:jc w:val="both"/>
        <w:rPr>
          <w:rFonts w:hAnsi="宋体"/>
          <w:sz w:val="21"/>
        </w:rPr>
      </w:pPr>
    </w:p>
    <w:p w14:paraId="1F110D7C">
      <w:pPr>
        <w:pStyle w:val="16"/>
        <w:spacing w:before="0" w:line="360" w:lineRule="auto"/>
        <w:ind w:left="0"/>
        <w:jc w:val="both"/>
        <w:rPr>
          <w:rFonts w:hAnsi="宋体"/>
          <w:sz w:val="21"/>
        </w:rPr>
      </w:pPr>
    </w:p>
    <w:p w14:paraId="1788FD7B">
      <w:pPr>
        <w:pStyle w:val="16"/>
        <w:spacing w:before="0" w:line="360" w:lineRule="auto"/>
        <w:ind w:left="0"/>
        <w:jc w:val="both"/>
        <w:rPr>
          <w:rFonts w:hAnsi="宋体"/>
          <w:sz w:val="21"/>
        </w:rPr>
      </w:pPr>
    </w:p>
    <w:p w14:paraId="705BA5BD">
      <w:pPr>
        <w:pStyle w:val="16"/>
        <w:spacing w:before="0" w:line="360" w:lineRule="auto"/>
        <w:ind w:left="0"/>
        <w:jc w:val="both"/>
        <w:rPr>
          <w:rFonts w:hAnsi="宋体"/>
          <w:sz w:val="21"/>
        </w:rPr>
      </w:pPr>
    </w:p>
    <w:p w14:paraId="76294094">
      <w:pPr>
        <w:pStyle w:val="16"/>
        <w:spacing w:before="0" w:line="360" w:lineRule="auto"/>
        <w:ind w:left="0" w:firstLine="851"/>
        <w:jc w:val="both"/>
        <w:rPr>
          <w:rFonts w:hint="eastAsia" w:hAnsi="宋体" w:eastAsia="宋体"/>
          <w:b/>
          <w:bCs/>
          <w:sz w:val="32"/>
          <w:szCs w:val="32"/>
          <w:lang w:eastAsia="zh-CN"/>
        </w:rPr>
      </w:pPr>
      <w:r>
        <w:rPr>
          <w:rFonts w:hint="eastAsia" w:hAnsi="宋体"/>
          <w:b/>
          <w:bCs/>
          <w:sz w:val="32"/>
          <w:szCs w:val="32"/>
        </w:rPr>
        <w:t>项目编号：</w:t>
      </w:r>
      <w:r>
        <w:rPr>
          <w:rFonts w:hint="eastAsia" w:hAnsi="宋体"/>
          <w:b/>
          <w:bCs/>
          <w:sz w:val="32"/>
          <w:szCs w:val="32"/>
          <w:lang w:eastAsia="zh-CN"/>
        </w:rPr>
        <w:t>JSZC-320585-ZFXM-G2025-0010</w:t>
      </w:r>
    </w:p>
    <w:p w14:paraId="2A5DC694">
      <w:pPr>
        <w:pStyle w:val="16"/>
        <w:spacing w:before="0" w:line="360" w:lineRule="auto"/>
        <w:ind w:left="0" w:firstLine="851"/>
        <w:jc w:val="both"/>
        <w:rPr>
          <w:rFonts w:hAnsi="宋体"/>
          <w:b/>
          <w:bCs/>
          <w:sz w:val="32"/>
          <w:szCs w:val="32"/>
        </w:rPr>
      </w:pPr>
      <w:r>
        <w:rPr>
          <w:rFonts w:hint="eastAsia" w:hAnsi="宋体"/>
          <w:b/>
          <w:bCs/>
          <w:sz w:val="32"/>
          <w:szCs w:val="32"/>
        </w:rPr>
        <w:t>采购内容：太仓市殡仪馆炉大修及布袋更换项目</w:t>
      </w:r>
    </w:p>
    <w:p w14:paraId="3B14B7C9">
      <w:pPr>
        <w:pStyle w:val="16"/>
        <w:spacing w:before="0" w:line="360" w:lineRule="auto"/>
        <w:ind w:left="0" w:firstLine="851"/>
        <w:jc w:val="both"/>
        <w:rPr>
          <w:rFonts w:hAnsi="宋体"/>
          <w:b/>
          <w:bCs/>
          <w:sz w:val="32"/>
          <w:szCs w:val="32"/>
        </w:rPr>
      </w:pPr>
      <w:r>
        <w:rPr>
          <w:rFonts w:hint="eastAsia" w:hAnsi="宋体"/>
          <w:b/>
          <w:bCs/>
          <w:sz w:val="32"/>
          <w:szCs w:val="32"/>
        </w:rPr>
        <w:t>采购单位：太仓市殡仪馆</w:t>
      </w:r>
    </w:p>
    <w:p w14:paraId="214B2845">
      <w:pPr>
        <w:pStyle w:val="16"/>
        <w:spacing w:before="0" w:line="360" w:lineRule="auto"/>
        <w:ind w:left="0" w:firstLine="851"/>
        <w:jc w:val="both"/>
        <w:rPr>
          <w:rFonts w:hAnsi="宋体"/>
          <w:b/>
          <w:bCs/>
          <w:sz w:val="32"/>
          <w:szCs w:val="32"/>
        </w:rPr>
      </w:pPr>
      <w:r>
        <w:rPr>
          <w:rFonts w:hint="eastAsia" w:hAnsi="宋体"/>
          <w:b/>
          <w:bCs/>
          <w:sz w:val="32"/>
          <w:szCs w:val="32"/>
        </w:rPr>
        <w:t xml:space="preserve">项目类别：货物类 </w:t>
      </w:r>
    </w:p>
    <w:p w14:paraId="26B6301B">
      <w:pPr>
        <w:pStyle w:val="16"/>
        <w:spacing w:before="0" w:line="360" w:lineRule="auto"/>
        <w:ind w:left="0" w:firstLine="851"/>
        <w:jc w:val="both"/>
        <w:rPr>
          <w:rFonts w:hAnsi="宋体"/>
          <w:b/>
          <w:bCs/>
          <w:sz w:val="32"/>
          <w:szCs w:val="32"/>
        </w:rPr>
      </w:pPr>
      <w:r>
        <w:rPr>
          <w:rFonts w:hint="eastAsia" w:hAnsi="宋体"/>
          <w:b/>
          <w:bCs/>
          <w:sz w:val="32"/>
          <w:szCs w:val="32"/>
        </w:rPr>
        <w:t>标的所属行业：（二）工业</w:t>
      </w:r>
    </w:p>
    <w:p w14:paraId="56BD10E2">
      <w:pPr>
        <w:pStyle w:val="16"/>
        <w:spacing w:before="0" w:line="360" w:lineRule="auto"/>
        <w:ind w:left="0"/>
        <w:jc w:val="both"/>
        <w:rPr>
          <w:rFonts w:hAnsi="宋体"/>
          <w:sz w:val="21"/>
        </w:rPr>
      </w:pPr>
    </w:p>
    <w:p w14:paraId="066BA37E">
      <w:pPr>
        <w:pStyle w:val="16"/>
        <w:spacing w:before="0" w:line="360" w:lineRule="auto"/>
        <w:ind w:left="0"/>
        <w:jc w:val="both"/>
        <w:rPr>
          <w:rFonts w:hAnsi="宋体"/>
          <w:sz w:val="21"/>
        </w:rPr>
      </w:pPr>
    </w:p>
    <w:p w14:paraId="11E4EFA3">
      <w:pPr>
        <w:pStyle w:val="16"/>
        <w:spacing w:before="0" w:line="360" w:lineRule="auto"/>
        <w:ind w:left="0"/>
        <w:jc w:val="both"/>
        <w:rPr>
          <w:rFonts w:hAnsi="宋体"/>
          <w:sz w:val="21"/>
        </w:rPr>
      </w:pPr>
    </w:p>
    <w:p w14:paraId="5BE06F93">
      <w:pPr>
        <w:pStyle w:val="16"/>
        <w:spacing w:before="0" w:line="360" w:lineRule="auto"/>
        <w:ind w:left="0"/>
        <w:jc w:val="both"/>
        <w:rPr>
          <w:rFonts w:hAnsi="宋体"/>
          <w:sz w:val="21"/>
        </w:rPr>
      </w:pPr>
    </w:p>
    <w:p w14:paraId="38F43968">
      <w:pPr>
        <w:pStyle w:val="16"/>
        <w:spacing w:before="0" w:line="360" w:lineRule="auto"/>
        <w:ind w:left="0"/>
        <w:jc w:val="center"/>
        <w:rPr>
          <w:rFonts w:hAnsi="宋体"/>
          <w:b/>
          <w:bCs/>
          <w:sz w:val="32"/>
          <w:szCs w:val="32"/>
        </w:rPr>
      </w:pPr>
      <w:r>
        <w:rPr>
          <w:rFonts w:hint="eastAsia" w:hAnsi="宋体"/>
          <w:b/>
          <w:bCs/>
          <w:sz w:val="32"/>
          <w:szCs w:val="32"/>
        </w:rPr>
        <w:t>代理机构：江苏兆丰项目管理有限公司</w:t>
      </w:r>
    </w:p>
    <w:p w14:paraId="7375761E">
      <w:pPr>
        <w:pStyle w:val="16"/>
        <w:spacing w:before="0" w:line="360" w:lineRule="auto"/>
        <w:ind w:left="0"/>
        <w:jc w:val="center"/>
        <w:rPr>
          <w:rFonts w:hAnsi="宋体"/>
          <w:b/>
          <w:bCs/>
          <w:sz w:val="32"/>
          <w:szCs w:val="32"/>
        </w:rPr>
      </w:pPr>
      <w:r>
        <w:rPr>
          <w:rFonts w:hint="eastAsia" w:hAnsi="宋体"/>
          <w:b/>
          <w:bCs/>
          <w:sz w:val="32"/>
          <w:szCs w:val="32"/>
        </w:rPr>
        <w:t>二○二五年四月</w:t>
      </w:r>
    </w:p>
    <w:p w14:paraId="1AE8E1EA">
      <w:pPr>
        <w:pStyle w:val="16"/>
        <w:spacing w:before="0" w:line="360" w:lineRule="auto"/>
        <w:ind w:left="0"/>
        <w:jc w:val="both"/>
        <w:rPr>
          <w:rFonts w:hAnsi="宋体"/>
          <w:sz w:val="21"/>
        </w:rPr>
      </w:pPr>
    </w:p>
    <w:p w14:paraId="19485DAD">
      <w:pPr>
        <w:pStyle w:val="16"/>
        <w:spacing w:before="0" w:line="360" w:lineRule="auto"/>
        <w:ind w:left="0"/>
        <w:jc w:val="both"/>
        <w:rPr>
          <w:rFonts w:hAnsi="宋体"/>
          <w:sz w:val="21"/>
        </w:rPr>
      </w:pPr>
    </w:p>
    <w:p w14:paraId="2E1C7267">
      <w:pPr>
        <w:jc w:val="center"/>
        <w:rPr>
          <w:rFonts w:hAnsi="宋体"/>
          <w:b/>
          <w:sz w:val="44"/>
          <w:szCs w:val="44"/>
        </w:rPr>
      </w:pPr>
      <w:r>
        <w:rPr>
          <w:rFonts w:hAnsi="宋体"/>
          <w:b/>
          <w:sz w:val="44"/>
          <w:szCs w:val="44"/>
        </w:rPr>
        <w:t>目   录</w:t>
      </w:r>
    </w:p>
    <w:sdt>
      <w:sdtPr>
        <w:rPr>
          <w:rFonts w:ascii="宋体" w:hAnsi="宋体" w:cs="宋体"/>
          <w:sz w:val="22"/>
          <w:szCs w:val="22"/>
          <w:lang w:val="zh-CN"/>
        </w:rPr>
        <w:id w:val="511881242"/>
        <w:docPartObj>
          <w:docPartGallery w:val="Table of Contents"/>
          <w:docPartUnique/>
        </w:docPartObj>
      </w:sdtPr>
      <w:sdtEndPr>
        <w:rPr>
          <w:rFonts w:ascii="宋体" w:hAnsi="宋体" w:cs="宋体"/>
          <w:sz w:val="22"/>
          <w:szCs w:val="22"/>
          <w:lang w:val="zh-CN"/>
        </w:rPr>
      </w:sdtEndPr>
      <w:sdtContent>
        <w:p w14:paraId="130409D0">
          <w:pPr>
            <w:pStyle w:val="232"/>
            <w:rPr>
              <w:rFonts w:ascii="宋体" w:hAnsi="宋体"/>
            </w:rPr>
          </w:pPr>
        </w:p>
        <w:p w14:paraId="1DE0CF81">
          <w:pPr>
            <w:pStyle w:val="27"/>
            <w:rPr>
              <w:rFonts w:asciiTheme="minorHAnsi" w:hAnsiTheme="minorHAnsi" w:eastAsiaTheme="minorEastAsia" w:cstheme="minorBidi"/>
              <w:b w:val="0"/>
              <w:bCs w:val="0"/>
              <w:caps w:val="0"/>
              <w:sz w:val="21"/>
              <w:szCs w:val="22"/>
            </w:rPr>
          </w:pPr>
          <w:r>
            <w:rPr>
              <w:rFonts w:ascii="宋体" w:hAnsi="宋体"/>
            </w:rPr>
            <w:fldChar w:fldCharType="begin"/>
          </w:r>
          <w:r>
            <w:rPr>
              <w:rFonts w:ascii="宋体" w:hAnsi="宋体"/>
            </w:rPr>
            <w:instrText xml:space="preserve"> TOC \o "1-3" \h \z \u </w:instrText>
          </w:r>
          <w:r>
            <w:rPr>
              <w:rFonts w:ascii="宋体" w:hAnsi="宋体"/>
            </w:rPr>
            <w:fldChar w:fldCharType="separate"/>
          </w:r>
          <w:r>
            <w:fldChar w:fldCharType="begin"/>
          </w:r>
          <w:r>
            <w:instrText xml:space="preserve"> HYPERLINK \l "_Toc188363120" \o "#_Toc188363120" </w:instrText>
          </w:r>
          <w:r>
            <w:fldChar w:fldCharType="separate"/>
          </w:r>
          <w:r>
            <w:rPr>
              <w:rStyle w:val="48"/>
              <w:rFonts w:hAnsi="宋体"/>
              <w:color w:val="auto"/>
            </w:rPr>
            <w:t>第一章 招标公告</w:t>
          </w:r>
          <w:r>
            <w:rPr>
              <w:rStyle w:val="48"/>
              <w:rFonts w:hAnsi="宋体"/>
              <w:color w:val="auto"/>
            </w:rPr>
            <w:fldChar w:fldCharType="end"/>
          </w:r>
        </w:p>
        <w:p w14:paraId="1FF90626">
          <w:pPr>
            <w:pStyle w:val="27"/>
            <w:rPr>
              <w:rFonts w:asciiTheme="minorHAnsi" w:hAnsiTheme="minorHAnsi" w:eastAsiaTheme="minorEastAsia" w:cstheme="minorBidi"/>
              <w:b w:val="0"/>
              <w:bCs w:val="0"/>
              <w:caps w:val="0"/>
              <w:sz w:val="21"/>
              <w:szCs w:val="22"/>
            </w:rPr>
          </w:pPr>
          <w:r>
            <w:fldChar w:fldCharType="begin"/>
          </w:r>
          <w:r>
            <w:instrText xml:space="preserve"> HYPERLINK \l "_Toc188363121" \o "#_Toc188363121" </w:instrText>
          </w:r>
          <w:r>
            <w:fldChar w:fldCharType="separate"/>
          </w:r>
          <w:r>
            <w:rPr>
              <w:rStyle w:val="48"/>
              <w:rFonts w:hAnsi="宋体"/>
              <w:color w:val="auto"/>
            </w:rPr>
            <w:t>第二章 投标人须知</w:t>
          </w:r>
          <w:r>
            <w:rPr>
              <w:rStyle w:val="48"/>
              <w:rFonts w:hAnsi="宋体"/>
              <w:color w:val="auto"/>
            </w:rPr>
            <w:fldChar w:fldCharType="end"/>
          </w:r>
        </w:p>
        <w:p w14:paraId="78545763">
          <w:pPr>
            <w:pStyle w:val="27"/>
            <w:rPr>
              <w:rFonts w:asciiTheme="minorHAnsi" w:hAnsiTheme="minorHAnsi" w:eastAsiaTheme="minorEastAsia" w:cstheme="minorBidi"/>
              <w:b w:val="0"/>
              <w:bCs w:val="0"/>
              <w:caps w:val="0"/>
              <w:sz w:val="21"/>
              <w:szCs w:val="22"/>
            </w:rPr>
          </w:pPr>
          <w:r>
            <w:fldChar w:fldCharType="begin"/>
          </w:r>
          <w:r>
            <w:instrText xml:space="preserve"> HYPERLINK \l "_Toc188363122" \o "#_Toc188363122" </w:instrText>
          </w:r>
          <w:r>
            <w:fldChar w:fldCharType="separate"/>
          </w:r>
          <w:r>
            <w:rPr>
              <w:rStyle w:val="48"/>
              <w:rFonts w:hAnsi="宋体"/>
              <w:color w:val="auto"/>
            </w:rPr>
            <w:t>第三章 项目需求</w:t>
          </w:r>
          <w:r>
            <w:rPr>
              <w:rStyle w:val="48"/>
              <w:rFonts w:hAnsi="宋体"/>
              <w:color w:val="auto"/>
            </w:rPr>
            <w:fldChar w:fldCharType="end"/>
          </w:r>
        </w:p>
        <w:p w14:paraId="135DA1AC">
          <w:pPr>
            <w:pStyle w:val="27"/>
            <w:rPr>
              <w:rFonts w:asciiTheme="minorHAnsi" w:hAnsiTheme="minorHAnsi" w:eastAsiaTheme="minorEastAsia" w:cstheme="minorBidi"/>
              <w:b w:val="0"/>
              <w:bCs w:val="0"/>
              <w:caps w:val="0"/>
              <w:sz w:val="21"/>
              <w:szCs w:val="22"/>
            </w:rPr>
          </w:pPr>
          <w:r>
            <w:fldChar w:fldCharType="begin"/>
          </w:r>
          <w:r>
            <w:instrText xml:space="preserve"> HYPERLINK \l "_Toc188363123" \o "#_Toc188363123" </w:instrText>
          </w:r>
          <w:r>
            <w:fldChar w:fldCharType="separate"/>
          </w:r>
          <w:r>
            <w:rPr>
              <w:rStyle w:val="48"/>
              <w:rFonts w:hAnsi="宋体"/>
              <w:color w:val="auto"/>
            </w:rPr>
            <w:t>第四章 评分办法及评标标准</w:t>
          </w:r>
          <w:r>
            <w:rPr>
              <w:rStyle w:val="48"/>
              <w:rFonts w:hAnsi="宋体"/>
              <w:color w:val="auto"/>
            </w:rPr>
            <w:fldChar w:fldCharType="end"/>
          </w:r>
        </w:p>
        <w:p w14:paraId="21756A57">
          <w:pPr>
            <w:pStyle w:val="27"/>
            <w:rPr>
              <w:rFonts w:asciiTheme="minorHAnsi" w:hAnsiTheme="minorHAnsi" w:eastAsiaTheme="minorEastAsia" w:cstheme="minorBidi"/>
              <w:b w:val="0"/>
              <w:bCs w:val="0"/>
              <w:caps w:val="0"/>
              <w:sz w:val="21"/>
              <w:szCs w:val="22"/>
            </w:rPr>
          </w:pPr>
          <w:r>
            <w:fldChar w:fldCharType="begin"/>
          </w:r>
          <w:r>
            <w:instrText xml:space="preserve"> HYPERLINK \l "_Toc188363124" \o "#_Toc188363124" </w:instrText>
          </w:r>
          <w:r>
            <w:fldChar w:fldCharType="separate"/>
          </w:r>
          <w:r>
            <w:rPr>
              <w:rStyle w:val="48"/>
              <w:rFonts w:hAnsi="宋体"/>
              <w:color w:val="auto"/>
            </w:rPr>
            <w:t>第五章 投标文件格式</w:t>
          </w:r>
          <w:r>
            <w:rPr>
              <w:rStyle w:val="48"/>
              <w:rFonts w:hAnsi="宋体"/>
              <w:color w:val="auto"/>
            </w:rPr>
            <w:fldChar w:fldCharType="end"/>
          </w:r>
        </w:p>
        <w:p w14:paraId="5904BECE">
          <w:pPr>
            <w:pStyle w:val="27"/>
            <w:rPr>
              <w:rFonts w:asciiTheme="minorHAnsi" w:hAnsiTheme="minorHAnsi" w:eastAsiaTheme="minorEastAsia" w:cstheme="minorBidi"/>
              <w:b w:val="0"/>
              <w:bCs w:val="0"/>
              <w:caps w:val="0"/>
              <w:sz w:val="21"/>
              <w:szCs w:val="22"/>
            </w:rPr>
          </w:pPr>
          <w:r>
            <w:fldChar w:fldCharType="begin"/>
          </w:r>
          <w:r>
            <w:instrText xml:space="preserve"> HYPERLINK \l "_Toc188363125" \o "#_Toc188363125" </w:instrText>
          </w:r>
          <w:r>
            <w:fldChar w:fldCharType="separate"/>
          </w:r>
          <w:r>
            <w:rPr>
              <w:rStyle w:val="48"/>
              <w:rFonts w:hAnsi="宋体"/>
              <w:color w:val="auto"/>
            </w:rPr>
            <w:t>第六章 合同主要条款</w:t>
          </w:r>
          <w:r>
            <w:rPr>
              <w:rStyle w:val="48"/>
              <w:rFonts w:hAnsi="宋体"/>
              <w:color w:val="auto"/>
            </w:rPr>
            <w:fldChar w:fldCharType="end"/>
          </w:r>
        </w:p>
        <w:p w14:paraId="52648BB8">
          <w:pPr>
            <w:rPr>
              <w:rFonts w:hAnsi="宋体"/>
            </w:rPr>
          </w:pPr>
          <w:r>
            <w:rPr>
              <w:rFonts w:hAnsi="宋体"/>
              <w:b/>
              <w:bCs/>
              <w:lang w:val="zh-CN"/>
            </w:rPr>
            <w:fldChar w:fldCharType="end"/>
          </w:r>
        </w:p>
      </w:sdtContent>
    </w:sdt>
    <w:p w14:paraId="68B55626">
      <w:pPr>
        <w:pStyle w:val="16"/>
        <w:spacing w:before="0" w:line="360" w:lineRule="auto"/>
        <w:ind w:left="0"/>
        <w:jc w:val="both"/>
        <w:rPr>
          <w:rFonts w:hAnsi="宋体"/>
          <w:sz w:val="21"/>
        </w:rPr>
        <w:sectPr>
          <w:footerReference r:id="rId3" w:type="default"/>
          <w:pgSz w:w="11910" w:h="16840"/>
          <w:pgMar w:top="1361" w:right="1304" w:bottom="1304" w:left="1361" w:header="0" w:footer="850" w:gutter="0"/>
          <w:cols w:space="720" w:num="1"/>
          <w:docGrid w:linePitch="360" w:charSpace="0"/>
        </w:sectPr>
      </w:pPr>
    </w:p>
    <w:p w14:paraId="4AD66A61">
      <w:pPr>
        <w:spacing w:line="360" w:lineRule="auto"/>
        <w:ind w:firstLine="480"/>
        <w:jc w:val="center"/>
        <w:rPr>
          <w:rFonts w:hAnsi="宋体" w:cs="DengXian"/>
          <w:sz w:val="36"/>
          <w:szCs w:val="36"/>
        </w:rPr>
      </w:pPr>
      <w:bookmarkStart w:id="0" w:name="_Toc188363120"/>
      <w:bookmarkStart w:id="1" w:name="OLE_LINK6"/>
      <w:r>
        <w:rPr>
          <w:rFonts w:hint="eastAsia" w:hAnsi="宋体" w:cs="DengXian"/>
          <w:sz w:val="36"/>
          <w:szCs w:val="36"/>
        </w:rPr>
        <w:t xml:space="preserve">第一章 </w:t>
      </w:r>
      <w:bookmarkStart w:id="2" w:name="OLE_LINK5"/>
      <w:bookmarkStart w:id="3" w:name="OLE_LINK4"/>
      <w:bookmarkStart w:id="4" w:name="OLE_LINK3"/>
      <w:r>
        <w:rPr>
          <w:rFonts w:hint="eastAsia" w:hAnsi="宋体" w:cs="DengXian"/>
          <w:sz w:val="36"/>
          <w:szCs w:val="36"/>
        </w:rPr>
        <w:t>招标公告</w:t>
      </w:r>
      <w:bookmarkEnd w:id="0"/>
      <w:bookmarkEnd w:id="1"/>
      <w:bookmarkEnd w:id="2"/>
      <w:bookmarkEnd w:id="3"/>
      <w:bookmarkEnd w:id="4"/>
    </w:p>
    <w:p w14:paraId="7D44A746">
      <w:pPr>
        <w:spacing w:line="360" w:lineRule="auto"/>
        <w:ind w:firstLine="480"/>
        <w:rPr>
          <w:rFonts w:hAnsi="宋体" w:cs="DengXian"/>
          <w:b/>
          <w:bCs/>
          <w:sz w:val="24"/>
          <w:szCs w:val="24"/>
        </w:rPr>
      </w:pPr>
      <w:bookmarkStart w:id="5" w:name="OLE_LINK1"/>
      <w:r>
        <w:rPr>
          <w:rFonts w:hint="eastAsia" w:hAnsi="宋体" w:cs="DengXian"/>
          <w:b/>
          <w:bCs/>
          <w:sz w:val="24"/>
          <w:szCs w:val="24"/>
        </w:rPr>
        <w:t>项目概况</w:t>
      </w:r>
    </w:p>
    <w:p w14:paraId="2287DC77">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sz w:val="24"/>
          <w:szCs w:val="24"/>
        </w:rPr>
        <w:t>太仓市殡仪馆炉大修及布袋</w:t>
      </w:r>
      <w:r>
        <w:rPr>
          <w:rFonts w:hint="eastAsia" w:hAnsi="宋体" w:cs="DengXian"/>
          <w:color w:val="auto"/>
          <w:sz w:val="24"/>
          <w:szCs w:val="24"/>
        </w:rPr>
        <w:t>更换项目项目的潜在投标人应在“</w:t>
      </w:r>
      <w:r>
        <w:rPr>
          <w:rFonts w:hint="eastAsia" w:hAnsi="宋体" w:cs="DengXian"/>
          <w:b/>
          <w:bCs/>
          <w:color w:val="auto"/>
          <w:sz w:val="24"/>
          <w:szCs w:val="24"/>
        </w:rPr>
        <w:t>苏采云政府采购一体化平台</w:t>
      </w:r>
      <w:r>
        <w:rPr>
          <w:rFonts w:hint="eastAsia" w:hAnsi="宋体" w:cs="DengXian"/>
          <w:color w:val="auto"/>
          <w:sz w:val="24"/>
          <w:szCs w:val="24"/>
        </w:rPr>
        <w:t>”中参与项目并下载获取招标文件，并于</w:t>
      </w:r>
      <w:r>
        <w:rPr>
          <w:rFonts w:hint="eastAsia" w:hAnsi="宋体"/>
          <w:color w:val="auto"/>
          <w:sz w:val="24"/>
          <w:szCs w:val="24"/>
        </w:rPr>
        <w:t>2025年</w:t>
      </w:r>
      <w:r>
        <w:rPr>
          <w:rFonts w:hint="eastAsia" w:hAnsi="宋体"/>
          <w:color w:val="auto"/>
          <w:sz w:val="24"/>
          <w:szCs w:val="24"/>
          <w:lang w:val="en-US" w:eastAsia="zh-CN"/>
        </w:rPr>
        <w:t>05</w:t>
      </w:r>
      <w:r>
        <w:rPr>
          <w:rFonts w:hint="eastAsia" w:hAnsi="宋体"/>
          <w:color w:val="auto"/>
          <w:sz w:val="24"/>
          <w:szCs w:val="24"/>
        </w:rPr>
        <w:t>月</w:t>
      </w:r>
      <w:r>
        <w:rPr>
          <w:rFonts w:hint="eastAsia" w:hAnsi="宋体"/>
          <w:color w:val="auto"/>
          <w:sz w:val="24"/>
          <w:szCs w:val="24"/>
          <w:lang w:val="en-US" w:eastAsia="zh-CN"/>
        </w:rPr>
        <w:t>20</w:t>
      </w:r>
      <w:r>
        <w:rPr>
          <w:rFonts w:hint="eastAsia" w:hAnsi="宋体"/>
          <w:color w:val="auto"/>
          <w:sz w:val="24"/>
          <w:szCs w:val="24"/>
        </w:rPr>
        <w:t>日</w:t>
      </w:r>
      <w:r>
        <w:rPr>
          <w:rFonts w:hint="eastAsia" w:hAnsi="宋体"/>
          <w:color w:val="auto"/>
          <w:sz w:val="24"/>
          <w:szCs w:val="24"/>
          <w:lang w:val="en-US" w:eastAsia="zh-CN"/>
        </w:rPr>
        <w:t>14:00</w:t>
      </w:r>
      <w:r>
        <w:rPr>
          <w:rFonts w:hint="eastAsia" w:hAnsi="宋体"/>
          <w:color w:val="auto"/>
          <w:sz w:val="24"/>
          <w:szCs w:val="24"/>
        </w:rPr>
        <w:t>时</w:t>
      </w:r>
      <w:r>
        <w:rPr>
          <w:rFonts w:hint="eastAsia" w:hAnsi="宋体" w:cs="DengXian"/>
          <w:color w:val="auto"/>
          <w:sz w:val="24"/>
          <w:szCs w:val="24"/>
        </w:rPr>
        <w:t>（北京时间）前上传电子投标文件。</w:t>
      </w:r>
    </w:p>
    <w:p w14:paraId="6ECECDED">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一、项目基本情况</w:t>
      </w:r>
    </w:p>
    <w:p w14:paraId="54DA1737">
      <w:pPr>
        <w:keepNext w:val="0"/>
        <w:keepLines w:val="0"/>
        <w:pageBreakBefore w:val="0"/>
        <w:kinsoku/>
        <w:wordWrap/>
        <w:overflowPunct/>
        <w:topLinePunct w:val="0"/>
        <w:autoSpaceDE/>
        <w:autoSpaceDN/>
        <w:bidi w:val="0"/>
        <w:spacing w:line="360" w:lineRule="auto"/>
        <w:ind w:firstLine="480"/>
        <w:textAlignment w:val="auto"/>
        <w:rPr>
          <w:rFonts w:hint="eastAsia" w:hAnsi="宋体" w:eastAsia="宋体" w:cs="DengXian"/>
          <w:color w:val="auto"/>
          <w:sz w:val="24"/>
          <w:szCs w:val="24"/>
          <w:lang w:eastAsia="zh-CN"/>
        </w:rPr>
      </w:pPr>
      <w:bookmarkStart w:id="6" w:name="OLE_LINK14"/>
      <w:bookmarkStart w:id="7" w:name="OLE_LINK15"/>
      <w:r>
        <w:rPr>
          <w:rFonts w:hint="eastAsia" w:hAnsi="宋体" w:cs="DengXian"/>
          <w:color w:val="auto"/>
          <w:sz w:val="24"/>
          <w:szCs w:val="24"/>
        </w:rPr>
        <w:t>1、项目编号：</w:t>
      </w:r>
      <w:r>
        <w:rPr>
          <w:rFonts w:hint="eastAsia" w:hAnsi="宋体" w:cs="DengXian"/>
          <w:color w:val="auto"/>
          <w:sz w:val="24"/>
          <w:szCs w:val="24"/>
          <w:lang w:eastAsia="zh-CN"/>
        </w:rPr>
        <w:t>JSZC-320585-ZFXM-G2025-0010</w:t>
      </w:r>
    </w:p>
    <w:p w14:paraId="6D2F2BD2">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2、项目名称：太仓市殡仪馆炉大修及布袋更换项目</w:t>
      </w:r>
    </w:p>
    <w:p w14:paraId="5237006F">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3、预算金额：人民币228万元</w:t>
      </w:r>
    </w:p>
    <w:p w14:paraId="03462085">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4、最高限价：同预算金额</w:t>
      </w:r>
      <w:bookmarkEnd w:id="6"/>
      <w:bookmarkEnd w:id="7"/>
    </w:p>
    <w:p w14:paraId="05A9BA49">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5、采购需求：</w:t>
      </w:r>
    </w:p>
    <w:p w14:paraId="1978F6C7">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p>
    <w:tbl>
      <w:tblPr>
        <w:tblStyle w:val="42"/>
        <w:tblW w:w="0" w:type="auto"/>
        <w:tblInd w:w="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4170"/>
        <w:gridCol w:w="1455"/>
        <w:gridCol w:w="1291"/>
      </w:tblGrid>
      <w:tr w14:paraId="77816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5896CE7F">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序号</w:t>
            </w:r>
          </w:p>
        </w:tc>
        <w:tc>
          <w:tcPr>
            <w:tcW w:w="4170" w:type="dxa"/>
            <w:vAlign w:val="center"/>
          </w:tcPr>
          <w:p w14:paraId="126B859E">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货物名称</w:t>
            </w:r>
          </w:p>
        </w:tc>
        <w:tc>
          <w:tcPr>
            <w:tcW w:w="1455" w:type="dxa"/>
            <w:vAlign w:val="center"/>
          </w:tcPr>
          <w:p w14:paraId="6EC674CE">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数量</w:t>
            </w:r>
          </w:p>
        </w:tc>
        <w:tc>
          <w:tcPr>
            <w:tcW w:w="1291" w:type="dxa"/>
            <w:vAlign w:val="center"/>
          </w:tcPr>
          <w:p w14:paraId="550BAABB">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单位</w:t>
            </w:r>
          </w:p>
        </w:tc>
      </w:tr>
      <w:tr w14:paraId="0003D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20112FB6">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1</w:t>
            </w:r>
          </w:p>
        </w:tc>
        <w:tc>
          <w:tcPr>
            <w:tcW w:w="4170" w:type="dxa"/>
            <w:vAlign w:val="center"/>
          </w:tcPr>
          <w:p w14:paraId="68E0EEC0">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olor w:val="auto"/>
                <w:sz w:val="24"/>
                <w:szCs w:val="24"/>
              </w:rPr>
              <w:t>平板炉大修</w:t>
            </w:r>
          </w:p>
        </w:tc>
        <w:tc>
          <w:tcPr>
            <w:tcW w:w="1455" w:type="dxa"/>
            <w:shd w:val="clear" w:color="auto" w:fill="auto"/>
            <w:vAlign w:val="center"/>
          </w:tcPr>
          <w:p w14:paraId="361A31ED">
            <w:pPr>
              <w:pStyle w:val="12"/>
              <w:keepNext w:val="0"/>
              <w:keepLines w:val="0"/>
              <w:pageBreakBefore w:val="0"/>
              <w:kinsoku/>
              <w:wordWrap/>
              <w:overflowPunct/>
              <w:topLinePunct w:val="0"/>
              <w:autoSpaceDE/>
              <w:autoSpaceDN/>
              <w:bidi w:val="0"/>
              <w:spacing w:line="360" w:lineRule="auto"/>
              <w:ind w:firstLine="0"/>
              <w:jc w:val="center"/>
              <w:textAlignment w:val="auto"/>
              <w:rPr>
                <w:rFonts w:ascii="宋体" w:hAnsi="宋体" w:eastAsia="宋体" w:cs="宋体"/>
                <w:color w:val="auto"/>
                <w:sz w:val="24"/>
                <w:szCs w:val="24"/>
              </w:rPr>
            </w:pPr>
            <w:r>
              <w:rPr>
                <w:rFonts w:hint="eastAsia" w:ascii="宋体" w:hAnsi="宋体" w:eastAsia="宋体" w:cs="宋体"/>
                <w:color w:val="auto"/>
                <w:sz w:val="24"/>
                <w:szCs w:val="24"/>
              </w:rPr>
              <w:t>4</w:t>
            </w:r>
          </w:p>
        </w:tc>
        <w:tc>
          <w:tcPr>
            <w:tcW w:w="1291" w:type="dxa"/>
            <w:vAlign w:val="center"/>
          </w:tcPr>
          <w:p w14:paraId="4B65F82D">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台</w:t>
            </w:r>
          </w:p>
        </w:tc>
      </w:tr>
      <w:tr w14:paraId="20E5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09F30191">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2</w:t>
            </w:r>
          </w:p>
        </w:tc>
        <w:tc>
          <w:tcPr>
            <w:tcW w:w="4170" w:type="dxa"/>
            <w:vAlign w:val="center"/>
          </w:tcPr>
          <w:p w14:paraId="37C5C415">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olor w:val="auto"/>
                <w:sz w:val="24"/>
                <w:szCs w:val="24"/>
              </w:rPr>
              <w:t>拣灰炉大修</w:t>
            </w:r>
          </w:p>
        </w:tc>
        <w:tc>
          <w:tcPr>
            <w:tcW w:w="1455" w:type="dxa"/>
            <w:vAlign w:val="center"/>
          </w:tcPr>
          <w:p w14:paraId="5E9F1A72">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2</w:t>
            </w:r>
          </w:p>
        </w:tc>
        <w:tc>
          <w:tcPr>
            <w:tcW w:w="1291" w:type="dxa"/>
            <w:vAlign w:val="center"/>
          </w:tcPr>
          <w:p w14:paraId="63FEE0FC">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台</w:t>
            </w:r>
          </w:p>
        </w:tc>
      </w:tr>
      <w:tr w14:paraId="7783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72B4D176">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3</w:t>
            </w:r>
          </w:p>
        </w:tc>
        <w:tc>
          <w:tcPr>
            <w:tcW w:w="4170" w:type="dxa"/>
            <w:vAlign w:val="center"/>
          </w:tcPr>
          <w:p w14:paraId="53673997">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olor w:val="auto"/>
                <w:sz w:val="24"/>
                <w:szCs w:val="24"/>
              </w:rPr>
              <w:t>拣灰炉拆除及更换</w:t>
            </w:r>
          </w:p>
        </w:tc>
        <w:tc>
          <w:tcPr>
            <w:tcW w:w="1455" w:type="dxa"/>
            <w:vAlign w:val="center"/>
          </w:tcPr>
          <w:p w14:paraId="5E16F1FA">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1</w:t>
            </w:r>
          </w:p>
        </w:tc>
        <w:tc>
          <w:tcPr>
            <w:tcW w:w="1291" w:type="dxa"/>
            <w:vAlign w:val="center"/>
          </w:tcPr>
          <w:p w14:paraId="3DC61872">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台</w:t>
            </w:r>
          </w:p>
        </w:tc>
      </w:tr>
      <w:tr w14:paraId="1DD8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3B76942A">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4</w:t>
            </w:r>
          </w:p>
        </w:tc>
        <w:tc>
          <w:tcPr>
            <w:tcW w:w="4170" w:type="dxa"/>
            <w:vAlign w:val="center"/>
          </w:tcPr>
          <w:p w14:paraId="3E71121C">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olor w:val="auto"/>
                <w:sz w:val="24"/>
                <w:szCs w:val="24"/>
              </w:rPr>
              <w:t>焚烧炉尾气设备拆除及更换</w:t>
            </w:r>
          </w:p>
        </w:tc>
        <w:tc>
          <w:tcPr>
            <w:tcW w:w="1455" w:type="dxa"/>
            <w:vAlign w:val="center"/>
          </w:tcPr>
          <w:p w14:paraId="72AEFFA7">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1</w:t>
            </w:r>
          </w:p>
        </w:tc>
        <w:tc>
          <w:tcPr>
            <w:tcW w:w="1291" w:type="dxa"/>
            <w:vAlign w:val="center"/>
          </w:tcPr>
          <w:p w14:paraId="6A680C8D">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台</w:t>
            </w:r>
          </w:p>
        </w:tc>
      </w:tr>
      <w:tr w14:paraId="19CA7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0" w:type="dxa"/>
            <w:vAlign w:val="center"/>
          </w:tcPr>
          <w:p w14:paraId="2C51C80A">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5</w:t>
            </w:r>
          </w:p>
        </w:tc>
        <w:tc>
          <w:tcPr>
            <w:tcW w:w="4170" w:type="dxa"/>
            <w:vAlign w:val="center"/>
          </w:tcPr>
          <w:p w14:paraId="71AF787F">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olor w:val="auto"/>
                <w:sz w:val="24"/>
                <w:szCs w:val="24"/>
              </w:rPr>
              <w:t>火化机尾气除尘布袋更换</w:t>
            </w:r>
          </w:p>
        </w:tc>
        <w:tc>
          <w:tcPr>
            <w:tcW w:w="1455" w:type="dxa"/>
            <w:vAlign w:val="center"/>
          </w:tcPr>
          <w:p w14:paraId="4AC25F49">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7</w:t>
            </w:r>
          </w:p>
        </w:tc>
        <w:tc>
          <w:tcPr>
            <w:tcW w:w="1291" w:type="dxa"/>
            <w:vAlign w:val="center"/>
          </w:tcPr>
          <w:p w14:paraId="6842AB05">
            <w:pPr>
              <w:keepNext w:val="0"/>
              <w:keepLines w:val="0"/>
              <w:pageBreakBefore w:val="0"/>
              <w:kinsoku/>
              <w:wordWrap/>
              <w:overflowPunct/>
              <w:topLinePunct w:val="0"/>
              <w:autoSpaceDE/>
              <w:autoSpaceDN/>
              <w:bidi w:val="0"/>
              <w:spacing w:line="360" w:lineRule="auto"/>
              <w:jc w:val="center"/>
              <w:textAlignment w:val="auto"/>
              <w:rPr>
                <w:rFonts w:hAnsi="宋体" w:cs="DengXian"/>
                <w:color w:val="auto"/>
                <w:sz w:val="24"/>
                <w:szCs w:val="24"/>
              </w:rPr>
            </w:pPr>
            <w:r>
              <w:rPr>
                <w:rFonts w:hint="eastAsia" w:hAnsi="宋体" w:cs="DengXian"/>
                <w:color w:val="auto"/>
                <w:sz w:val="24"/>
                <w:szCs w:val="24"/>
              </w:rPr>
              <w:t>台</w:t>
            </w:r>
          </w:p>
        </w:tc>
      </w:tr>
    </w:tbl>
    <w:p w14:paraId="286FE380">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p>
    <w:p w14:paraId="2160F507">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6、合同履行期限：</w:t>
      </w:r>
      <w:r>
        <w:rPr>
          <w:rFonts w:hint="eastAsia" w:hAnsi="宋体"/>
          <w:color w:val="auto"/>
          <w:sz w:val="24"/>
          <w:szCs w:val="24"/>
        </w:rPr>
        <w:t>自合同签订之日起90日历天完成采购、安装及调试。</w:t>
      </w:r>
    </w:p>
    <w:p w14:paraId="5D3981F2">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7、本项目不接受联合体投标。</w:t>
      </w:r>
    </w:p>
    <w:p w14:paraId="0DF202EA">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二、申请人的资格要求:</w:t>
      </w:r>
    </w:p>
    <w:p w14:paraId="4DA634BE">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（一）满足《中华人民共和国政府采购法》第二十二条规定</w:t>
      </w:r>
    </w:p>
    <w:p w14:paraId="00C357FD">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1、具有独立承担民事责任的能力；</w:t>
      </w:r>
    </w:p>
    <w:p w14:paraId="25E1868E">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2、具有良好的商业信誉和健全的财务会计制度；</w:t>
      </w:r>
    </w:p>
    <w:p w14:paraId="26267FB7">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3、具有履行合同所必需的设备和专业技术能力；</w:t>
      </w:r>
    </w:p>
    <w:p w14:paraId="50FA275A">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4、有依法缴纳税收和社会保障资金的良好记录；</w:t>
      </w:r>
    </w:p>
    <w:p w14:paraId="530AA388">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5、参加政府采购活动前三年内，在经营活动中没有重大违法记录；</w:t>
      </w:r>
    </w:p>
    <w:p w14:paraId="4B6225ED">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6、法律、行政法规规定的其他条件；</w:t>
      </w:r>
    </w:p>
    <w:p w14:paraId="45302EED">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（二）落实政府采购政策需满足的资格要求：</w:t>
      </w:r>
    </w:p>
    <w:p w14:paraId="5A45B68D">
      <w:pPr>
        <w:keepNext w:val="0"/>
        <w:keepLines w:val="0"/>
        <w:pageBreakBefore w:val="0"/>
        <w:kinsoku/>
        <w:wordWrap/>
        <w:overflowPunct/>
        <w:topLinePunct w:val="0"/>
        <w:autoSpaceDE/>
        <w:autoSpaceDN/>
        <w:bidi w:val="0"/>
        <w:spacing w:line="360" w:lineRule="auto"/>
        <w:ind w:firstLine="480"/>
        <w:textAlignment w:val="auto"/>
        <w:rPr>
          <w:rFonts w:hint="eastAsia" w:hAnsi="宋体" w:cs="DengXian"/>
          <w:color w:val="auto"/>
          <w:sz w:val="24"/>
          <w:szCs w:val="24"/>
        </w:rPr>
      </w:pPr>
      <w:bookmarkStart w:id="8" w:name="OLE_LINK13"/>
      <w:bookmarkStart w:id="9" w:name="OLE_LINK12"/>
      <w:r>
        <w:rPr>
          <w:rFonts w:hint="eastAsia" w:hAnsi="宋体" w:cs="DengXian"/>
          <w:color w:val="auto"/>
          <w:sz w:val="24"/>
          <w:szCs w:val="24"/>
          <w:lang w:val="en-US" w:eastAsia="zh-CN"/>
        </w:rPr>
        <w:t>1.</w:t>
      </w:r>
      <w:r>
        <w:rPr>
          <w:rFonts w:hint="eastAsia" w:hAnsi="宋体" w:cs="DengXian"/>
          <w:color w:val="auto"/>
          <w:sz w:val="24"/>
          <w:szCs w:val="24"/>
        </w:rPr>
        <w:t>本项目专门面向中小企业采购（标的所属行业：工业），投标人须在投标文件中提供《中小企业声明函》或《残疾人福利性单位声明函》或省级以上监狱管理局、戒毒管理局（含新疆生产建设兵团）出具的属于监狱企业的证明文件，否则视为无效投标。</w:t>
      </w:r>
      <w:bookmarkEnd w:id="8"/>
      <w:bookmarkEnd w:id="9"/>
    </w:p>
    <w:p w14:paraId="230099CC">
      <w:pPr>
        <w:keepNext w:val="0"/>
        <w:keepLines w:val="0"/>
        <w:pageBreakBefore w:val="0"/>
        <w:kinsoku/>
        <w:wordWrap/>
        <w:overflowPunct/>
        <w:topLinePunct w:val="0"/>
        <w:autoSpaceDE/>
        <w:autoSpaceDN/>
        <w:bidi w:val="0"/>
        <w:spacing w:line="360" w:lineRule="auto"/>
        <w:ind w:firstLine="480"/>
        <w:textAlignment w:val="auto"/>
        <w:rPr>
          <w:rFonts w:hint="default" w:hAnsi="宋体" w:eastAsia="宋体" w:cs="DengXian"/>
          <w:color w:val="auto"/>
          <w:sz w:val="24"/>
          <w:szCs w:val="24"/>
          <w:lang w:val="en-US" w:eastAsia="zh-CN"/>
        </w:rPr>
      </w:pPr>
      <w:r>
        <w:rPr>
          <w:rFonts w:hint="eastAsia" w:hAnsi="宋体" w:cs="DengXian"/>
          <w:color w:val="auto"/>
          <w:sz w:val="24"/>
          <w:szCs w:val="24"/>
          <w:lang w:val="en-US" w:eastAsia="zh-CN"/>
        </w:rPr>
        <w:t>2.本项目涉及安装及用电设备接电，拟派项目安装人员至少1人具有有效期内的特种作业操作证（作业类别：焊接与热切割作业），1人具有电工职业资格证</w:t>
      </w:r>
      <w:r>
        <w:rPr>
          <w:rFonts w:hint="eastAsia" w:hAnsi="宋体" w:cs="DengXian"/>
          <w:color w:val="auto"/>
          <w:sz w:val="24"/>
          <w:szCs w:val="24"/>
          <w:highlight w:val="none"/>
          <w:lang w:val="en-US" w:eastAsia="zh-CN"/>
        </w:rPr>
        <w:t>书（国家职业资格中级/四级）。提供对应投入人员的相关证书及开标前连续3个月投标</w:t>
      </w:r>
      <w:r>
        <w:rPr>
          <w:rFonts w:hint="eastAsia" w:hAnsi="宋体" w:cs="DengXian"/>
          <w:color w:val="auto"/>
          <w:sz w:val="24"/>
          <w:szCs w:val="24"/>
          <w:lang w:val="en-US" w:eastAsia="zh-CN"/>
        </w:rPr>
        <w:t>单位为其缴纳社保的证明材料并加盖公章。</w:t>
      </w:r>
    </w:p>
    <w:p w14:paraId="7B1BAC92">
      <w:pPr>
        <w:keepNext w:val="0"/>
        <w:keepLines w:val="0"/>
        <w:pageBreakBefore w:val="0"/>
        <w:kinsoku/>
        <w:wordWrap/>
        <w:overflowPunct/>
        <w:topLinePunct w:val="0"/>
        <w:autoSpaceDE/>
        <w:autoSpaceDN/>
        <w:bidi w:val="0"/>
        <w:spacing w:line="360" w:lineRule="auto"/>
        <w:ind w:firstLine="480"/>
        <w:textAlignment w:val="auto"/>
        <w:rPr>
          <w:rFonts w:hint="eastAsia" w:hAnsi="宋体" w:cs="DengXian"/>
          <w:color w:val="auto"/>
          <w:sz w:val="24"/>
          <w:szCs w:val="24"/>
        </w:rPr>
      </w:pPr>
      <w:r>
        <w:rPr>
          <w:rFonts w:hint="eastAsia" w:hAnsi="宋体" w:cs="DengXian"/>
          <w:color w:val="auto"/>
          <w:sz w:val="24"/>
          <w:szCs w:val="24"/>
        </w:rPr>
        <w:t>（三）</w:t>
      </w:r>
      <w:r>
        <w:rPr>
          <w:rFonts w:hint="eastAsia" w:hAnsi="宋体"/>
          <w:color w:val="auto"/>
          <w:sz w:val="24"/>
          <w:szCs w:val="24"/>
        </w:rPr>
        <w:t>本项目的特定资格要求</w:t>
      </w:r>
      <w:r>
        <w:rPr>
          <w:rFonts w:hint="eastAsia" w:hAnsi="宋体" w:cs="DengXian"/>
          <w:color w:val="auto"/>
          <w:sz w:val="24"/>
          <w:szCs w:val="24"/>
        </w:rPr>
        <w:t>：</w:t>
      </w:r>
    </w:p>
    <w:p w14:paraId="2269F75C">
      <w:pPr>
        <w:keepNext w:val="0"/>
        <w:keepLines w:val="0"/>
        <w:pageBreakBefore w:val="0"/>
        <w:kinsoku/>
        <w:wordWrap/>
        <w:overflowPunct/>
        <w:topLinePunct w:val="0"/>
        <w:autoSpaceDE/>
        <w:autoSpaceDN/>
        <w:bidi w:val="0"/>
        <w:spacing w:line="360" w:lineRule="auto"/>
        <w:ind w:firstLine="480"/>
        <w:textAlignment w:val="auto"/>
        <w:rPr>
          <w:rFonts w:hint="eastAsia" w:hAnsi="宋体" w:eastAsia="宋体" w:cs="DengXian"/>
          <w:color w:val="auto"/>
          <w:sz w:val="24"/>
          <w:szCs w:val="24"/>
          <w:lang w:eastAsia="zh-CN"/>
        </w:rPr>
      </w:pPr>
      <w:bookmarkStart w:id="36" w:name="_GoBack"/>
      <w:bookmarkEnd w:id="36"/>
      <w:r>
        <w:rPr>
          <w:rFonts w:hint="eastAsia" w:hAnsi="宋体" w:cs="DengXian"/>
          <w:color w:val="auto"/>
          <w:sz w:val="24"/>
          <w:szCs w:val="24"/>
          <w:lang w:eastAsia="zh-CN"/>
        </w:rPr>
        <w:t>无</w:t>
      </w:r>
    </w:p>
    <w:p w14:paraId="458245C8">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（四）拒绝下述供应商参加本次采购活动：</w:t>
      </w:r>
    </w:p>
    <w:p w14:paraId="76A6EB93">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1、供应商单位负责人为同一人或者存在直接控股、管理关系的不同供应商，不得参加同一合同项下的政府采购活动。</w:t>
      </w:r>
    </w:p>
    <w:p w14:paraId="7BD9CBBC">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2、凡为采购项目提供整体深化设计、规范编制或者项目管理、监理、检测等服务的供应商，不得再参加本项目的采购活动。</w:t>
      </w:r>
    </w:p>
    <w:p w14:paraId="4DDDFA06">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3、法人的分支机构不得参加投标（除银行、保险、石油石化、电力、电信等行业特殊情况外）</w:t>
      </w:r>
    </w:p>
    <w:p w14:paraId="10DB589E">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18F96834">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三、投标报名及获取招标文件</w:t>
      </w:r>
    </w:p>
    <w:p w14:paraId="082DCDB4">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1、依法获取电子招标文件</w:t>
      </w:r>
    </w:p>
    <w:p w14:paraId="348660A8">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自招标文件公告发布之日起5个工作日，</w:t>
      </w:r>
      <w:r>
        <w:rPr>
          <w:rFonts w:hint="eastAsia" w:hAnsi="宋体" w:cs="DengXian"/>
          <w:b/>
          <w:bCs/>
          <w:color w:val="auto"/>
          <w:sz w:val="24"/>
          <w:szCs w:val="24"/>
        </w:rPr>
        <w:t>进入苏州市政府采购网，点击底部苏采云图标，登录苏采云政府采购一体化平台，对参与项目进行报名，并下载电子招标文件。</w:t>
      </w:r>
    </w:p>
    <w:p w14:paraId="0B0C19E9">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2、获取方式：网上下载电子招标文件。</w:t>
      </w:r>
    </w:p>
    <w:p w14:paraId="1A3E0DA7">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3、本项目免费下载电子招标文件。</w:t>
      </w:r>
    </w:p>
    <w:p w14:paraId="61D3F5ED">
      <w:pPr>
        <w:keepNext w:val="0"/>
        <w:keepLines w:val="0"/>
        <w:pageBreakBefore w:val="0"/>
        <w:shd w:val="clear" w:color="auto" w:fill="FFFFFF"/>
        <w:kinsoku/>
        <w:wordWrap/>
        <w:overflowPunct/>
        <w:topLinePunct w:val="0"/>
        <w:autoSpaceDE/>
        <w:autoSpaceDN/>
        <w:bidi w:val="0"/>
        <w:spacing w:line="360" w:lineRule="auto"/>
        <w:ind w:firstLine="482"/>
        <w:textAlignment w:val="auto"/>
        <w:rPr>
          <w:rFonts w:hAnsi="宋体"/>
          <w:b/>
          <w:bCs/>
          <w:color w:val="auto"/>
          <w:sz w:val="24"/>
          <w:szCs w:val="24"/>
        </w:rPr>
      </w:pPr>
      <w:r>
        <w:rPr>
          <w:rFonts w:hint="eastAsia" w:hAnsi="宋体"/>
          <w:b/>
          <w:bCs/>
          <w:color w:val="auto"/>
          <w:sz w:val="24"/>
          <w:szCs w:val="24"/>
        </w:rPr>
        <w:t>四、提交投标文件截止时间、开标时间和地点</w:t>
      </w:r>
    </w:p>
    <w:p w14:paraId="2FA1987D">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1、加密的电子投标文件上传截止时间：</w:t>
      </w:r>
      <w:r>
        <w:rPr>
          <w:rFonts w:hint="eastAsia" w:hAnsi="宋体"/>
          <w:color w:val="auto"/>
          <w:sz w:val="24"/>
          <w:szCs w:val="24"/>
        </w:rPr>
        <w:t>2025年</w:t>
      </w:r>
      <w:r>
        <w:rPr>
          <w:rFonts w:hint="eastAsia" w:hAnsi="宋体"/>
          <w:color w:val="auto"/>
          <w:sz w:val="24"/>
          <w:szCs w:val="24"/>
          <w:lang w:val="en-US" w:eastAsia="zh-CN"/>
        </w:rPr>
        <w:t>05</w:t>
      </w:r>
      <w:r>
        <w:rPr>
          <w:rFonts w:hint="eastAsia" w:hAnsi="宋体"/>
          <w:color w:val="auto"/>
          <w:sz w:val="24"/>
          <w:szCs w:val="24"/>
        </w:rPr>
        <w:t>月</w:t>
      </w:r>
      <w:r>
        <w:rPr>
          <w:rFonts w:hint="eastAsia" w:hAnsi="宋体"/>
          <w:color w:val="auto"/>
          <w:sz w:val="24"/>
          <w:szCs w:val="24"/>
          <w:lang w:val="en-US" w:eastAsia="zh-CN"/>
        </w:rPr>
        <w:t>20</w:t>
      </w:r>
      <w:r>
        <w:rPr>
          <w:rFonts w:hint="eastAsia" w:hAnsi="宋体"/>
          <w:color w:val="auto"/>
          <w:sz w:val="24"/>
          <w:szCs w:val="24"/>
        </w:rPr>
        <w:t>日</w:t>
      </w:r>
      <w:r>
        <w:rPr>
          <w:rFonts w:hint="eastAsia" w:hAnsi="宋体"/>
          <w:color w:val="auto"/>
          <w:sz w:val="24"/>
          <w:szCs w:val="24"/>
          <w:lang w:val="en-US" w:eastAsia="zh-CN"/>
        </w:rPr>
        <w:t>14:00</w:t>
      </w:r>
      <w:r>
        <w:rPr>
          <w:rFonts w:hint="eastAsia" w:hAnsi="宋体" w:cs="DengXian"/>
          <w:color w:val="auto"/>
          <w:sz w:val="24"/>
          <w:szCs w:val="24"/>
        </w:rPr>
        <w:t>（北京时间），</w:t>
      </w:r>
      <w:r>
        <w:rPr>
          <w:rFonts w:hint="eastAsia" w:hAnsi="宋体" w:cs="DengXian"/>
          <w:b/>
          <w:bCs/>
          <w:color w:val="auto"/>
          <w:sz w:val="24"/>
          <w:szCs w:val="24"/>
        </w:rPr>
        <w:t>投标人登录苏采云政府采购一体化平台，进入“参与详情”页面，上传电子投标文件。</w:t>
      </w:r>
    </w:p>
    <w:p w14:paraId="58C55AB8">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注：考虑网络上传速度因素，请投标供应商适当提前上传电子投标文件。</w:t>
      </w:r>
    </w:p>
    <w:p w14:paraId="69624ED1">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Ansi="宋体" w:cs="DengXian"/>
          <w:color w:val="auto"/>
          <w:sz w:val="24"/>
          <w:szCs w:val="24"/>
        </w:rPr>
        <w:t>2</w:t>
      </w:r>
      <w:r>
        <w:rPr>
          <w:rFonts w:hint="eastAsia" w:hAnsi="宋体" w:cs="DengXian"/>
          <w:color w:val="auto"/>
          <w:sz w:val="24"/>
          <w:szCs w:val="24"/>
        </w:rPr>
        <w:t>、开标时间：</w:t>
      </w:r>
      <w:r>
        <w:rPr>
          <w:rFonts w:hint="eastAsia" w:hAnsi="宋体"/>
          <w:color w:val="auto"/>
          <w:sz w:val="24"/>
          <w:szCs w:val="24"/>
        </w:rPr>
        <w:t>2025年</w:t>
      </w:r>
      <w:r>
        <w:rPr>
          <w:rFonts w:hint="eastAsia" w:hAnsi="宋体"/>
          <w:color w:val="auto"/>
          <w:sz w:val="24"/>
          <w:szCs w:val="24"/>
          <w:lang w:val="en-US" w:eastAsia="zh-CN"/>
        </w:rPr>
        <w:t>05</w:t>
      </w:r>
      <w:r>
        <w:rPr>
          <w:rFonts w:hint="eastAsia" w:hAnsi="宋体"/>
          <w:color w:val="auto"/>
          <w:sz w:val="24"/>
          <w:szCs w:val="24"/>
        </w:rPr>
        <w:t>月</w:t>
      </w:r>
      <w:r>
        <w:rPr>
          <w:rFonts w:hint="eastAsia" w:hAnsi="宋体"/>
          <w:color w:val="auto"/>
          <w:sz w:val="24"/>
          <w:szCs w:val="24"/>
          <w:lang w:val="en-US" w:eastAsia="zh-CN"/>
        </w:rPr>
        <w:t>20</w:t>
      </w:r>
      <w:r>
        <w:rPr>
          <w:rFonts w:hint="eastAsia" w:hAnsi="宋体"/>
          <w:color w:val="auto"/>
          <w:sz w:val="24"/>
          <w:szCs w:val="24"/>
        </w:rPr>
        <w:t>日</w:t>
      </w:r>
      <w:r>
        <w:rPr>
          <w:rFonts w:hint="eastAsia" w:hAnsi="宋体"/>
          <w:color w:val="auto"/>
          <w:sz w:val="24"/>
          <w:szCs w:val="24"/>
          <w:lang w:val="en-US" w:eastAsia="zh-CN"/>
        </w:rPr>
        <w:t>14:00</w:t>
      </w:r>
      <w:r>
        <w:rPr>
          <w:rFonts w:hint="eastAsia" w:hAnsi="宋体" w:cs="DengXian"/>
          <w:color w:val="auto"/>
          <w:sz w:val="24"/>
          <w:szCs w:val="24"/>
        </w:rPr>
        <w:t>（北京时间）</w:t>
      </w:r>
    </w:p>
    <w:p w14:paraId="530FD782">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Ansi="宋体" w:cs="DengXian"/>
          <w:color w:val="auto"/>
          <w:sz w:val="24"/>
          <w:szCs w:val="24"/>
        </w:rPr>
        <w:t>3</w:t>
      </w:r>
      <w:r>
        <w:rPr>
          <w:rFonts w:hint="eastAsia" w:hAnsi="宋体" w:cs="DengXian"/>
          <w:color w:val="auto"/>
          <w:sz w:val="24"/>
          <w:szCs w:val="24"/>
        </w:rPr>
        <w:t>、开标地点：苏采云网上不见面开标大厅</w:t>
      </w:r>
    </w:p>
    <w:p w14:paraId="149213A6">
      <w:pPr>
        <w:keepNext w:val="0"/>
        <w:keepLines w:val="0"/>
        <w:pageBreakBefore w:val="0"/>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4、现场地址：江苏省太仓市县府东街99号市政务服务中心3号楼3楼不见面开标间（查看当日三楼电子大屏幕提示信息）</w:t>
      </w:r>
    </w:p>
    <w:p w14:paraId="761FE35D">
      <w:pPr>
        <w:keepNext w:val="0"/>
        <w:keepLines w:val="0"/>
        <w:pageBreakBefore w:val="0"/>
        <w:shd w:val="clear" w:color="auto" w:fill="FFFFFF"/>
        <w:kinsoku/>
        <w:wordWrap/>
        <w:overflowPunct/>
        <w:topLinePunct w:val="0"/>
        <w:autoSpaceDE/>
        <w:autoSpaceDN/>
        <w:bidi w:val="0"/>
        <w:spacing w:line="360" w:lineRule="auto"/>
        <w:ind w:firstLine="482"/>
        <w:textAlignment w:val="auto"/>
        <w:rPr>
          <w:rFonts w:hAnsi="宋体"/>
          <w:b/>
          <w:bCs/>
          <w:sz w:val="24"/>
          <w:szCs w:val="24"/>
        </w:rPr>
      </w:pPr>
      <w:r>
        <w:rPr>
          <w:rFonts w:hint="eastAsia" w:hAnsi="宋体"/>
          <w:b/>
          <w:bCs/>
          <w:sz w:val="24"/>
          <w:szCs w:val="24"/>
        </w:rPr>
        <w:t>五、公告期限：</w:t>
      </w:r>
    </w:p>
    <w:p w14:paraId="61F60C68">
      <w:pPr>
        <w:keepNext w:val="0"/>
        <w:keepLines w:val="0"/>
        <w:pageBreakBefore w:val="0"/>
        <w:widowControl/>
        <w:shd w:val="clear" w:color="auto" w:fill="FFFFFF"/>
        <w:kinsoku/>
        <w:wordWrap/>
        <w:overflowPunct/>
        <w:topLinePunct w:val="0"/>
        <w:autoSpaceDE/>
        <w:autoSpaceDN/>
        <w:bidi w:val="0"/>
        <w:spacing w:line="360" w:lineRule="auto"/>
        <w:ind w:firstLine="480"/>
        <w:textAlignment w:val="auto"/>
        <w:rPr>
          <w:rFonts w:hAnsi="宋体"/>
          <w:sz w:val="24"/>
          <w:szCs w:val="24"/>
        </w:rPr>
      </w:pPr>
      <w:r>
        <w:rPr>
          <w:rFonts w:hint="eastAsia" w:hAnsi="宋体"/>
          <w:sz w:val="24"/>
          <w:szCs w:val="24"/>
          <w:shd w:val="clear" w:color="auto" w:fill="FFFFFF"/>
        </w:rPr>
        <w:t>自本公告发布之日起5个工作日。</w:t>
      </w:r>
    </w:p>
    <w:p w14:paraId="127FFC21">
      <w:pPr>
        <w:keepNext w:val="0"/>
        <w:keepLines w:val="0"/>
        <w:pageBreakBefore w:val="0"/>
        <w:shd w:val="clear" w:color="auto" w:fill="FFFFFF"/>
        <w:kinsoku/>
        <w:wordWrap/>
        <w:overflowPunct/>
        <w:topLinePunct w:val="0"/>
        <w:autoSpaceDE/>
        <w:autoSpaceDN/>
        <w:bidi w:val="0"/>
        <w:spacing w:line="360" w:lineRule="auto"/>
        <w:ind w:firstLine="482"/>
        <w:textAlignment w:val="auto"/>
        <w:rPr>
          <w:rFonts w:hAnsi="宋体"/>
          <w:b/>
          <w:bCs/>
          <w:sz w:val="24"/>
          <w:szCs w:val="24"/>
        </w:rPr>
      </w:pPr>
      <w:r>
        <w:rPr>
          <w:rFonts w:hint="eastAsia" w:hAnsi="宋体"/>
          <w:b/>
          <w:bCs/>
          <w:sz w:val="24"/>
          <w:szCs w:val="24"/>
        </w:rPr>
        <w:t>六、其他补充事宜</w:t>
      </w:r>
    </w:p>
    <w:p w14:paraId="385FAB60">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1、本项目需要使用CA数字证书报名、制作、上传电子投标文件完成电子投标，请供应商在参加投标活动前办理好CA数字证书申领及电子签章等操作。</w:t>
      </w:r>
      <w:r>
        <w:rPr>
          <w:rFonts w:hint="eastAsia" w:hAnsi="宋体" w:cs="DengXian"/>
          <w:b/>
          <w:sz w:val="24"/>
          <w:szCs w:val="24"/>
        </w:rPr>
        <w:t>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775E4DD">
      <w:pPr>
        <w:keepNext w:val="0"/>
        <w:keepLines w:val="0"/>
        <w:pageBreakBefore w:val="0"/>
        <w:widowControl/>
        <w:kinsoku/>
        <w:wordWrap/>
        <w:overflowPunct/>
        <w:topLinePunct w:val="0"/>
        <w:autoSpaceDE/>
        <w:autoSpaceDN/>
        <w:bidi w:val="0"/>
        <w:spacing w:line="360" w:lineRule="auto"/>
        <w:ind w:firstLine="482"/>
        <w:textAlignment w:val="auto"/>
        <w:rPr>
          <w:rFonts w:hAnsi="宋体" w:cs="DengXian"/>
          <w:b/>
          <w:bCs/>
          <w:sz w:val="24"/>
          <w:szCs w:val="24"/>
        </w:rPr>
      </w:pPr>
      <w:r>
        <w:rPr>
          <w:rFonts w:hint="eastAsia" w:hAnsi="宋体" w:cs="DengXian"/>
          <w:b/>
          <w:bCs/>
          <w:sz w:val="24"/>
          <w:szCs w:val="24"/>
        </w:rPr>
        <w:t>2、本项目采用不见面开标，投标人开标时无需到现场进行解密，采取网上开标大厅解密电子投标文件，投标人远程解密要求如下：</w:t>
      </w:r>
    </w:p>
    <w:p w14:paraId="795B73F3">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1）投标人使用CA数字证书进行远程解密，解密的CA数字证书与生成加密电子投标文件时的CA数字证书需为同一个CA数字证书，否则无法解密，造成的后果由投标人自行负责。</w:t>
      </w:r>
    </w:p>
    <w:p w14:paraId="23D7780D">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2）投标人登录苏采云系统，点击开标大厅，选择开标项目，完成不见面开标流程。</w:t>
      </w:r>
    </w:p>
    <w:p w14:paraId="12F5D668">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3）投标截止时间后根据系统提示解密电子投标文件。</w:t>
      </w:r>
      <w:r>
        <w:rPr>
          <w:rFonts w:hint="eastAsia" w:hAnsi="宋体" w:cs="DengXian"/>
          <w:b/>
          <w:bCs/>
          <w:sz w:val="24"/>
          <w:szCs w:val="24"/>
        </w:rPr>
        <w:t>解密时间以系统提示为准，</w:t>
      </w:r>
      <w:r>
        <w:rPr>
          <w:rFonts w:hint="eastAsia" w:hAnsi="宋体" w:cs="DengXian"/>
          <w:sz w:val="24"/>
          <w:szCs w:val="24"/>
        </w:rPr>
        <w:t>未在规定时间内完成解密，其投标文件将被拒绝，不参与后续投标流程。</w:t>
      </w:r>
    </w:p>
    <w:p w14:paraId="5069B042">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4）在开标、评标过程中投标单位代表须在网上不见面开标系统中保持在线状态，以应对可能发生的澄清、说明等回复，由于投标单位代表不在线所造成的一切后果由投标人自行承担。</w:t>
      </w:r>
    </w:p>
    <w:p w14:paraId="6D885C39">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3、</w:t>
      </w:r>
      <w:r>
        <w:rPr>
          <w:rFonts w:hint="eastAsia" w:hAnsi="宋体" w:cs="DengXian"/>
          <w:b/>
          <w:bCs/>
          <w:sz w:val="24"/>
          <w:szCs w:val="24"/>
        </w:rPr>
        <w:t>有关苏采云系统驱动安装</w:t>
      </w:r>
      <w:r>
        <w:rPr>
          <w:rFonts w:hint="eastAsia" w:hAnsi="宋体" w:cs="DengXian"/>
          <w:sz w:val="24"/>
          <w:szCs w:val="24"/>
        </w:rPr>
        <w:t>，登录苏州政府采购网，点击页面底部苏采云图标，进入苏采云政府采购一体化平台，点击“驱动下载”，下载</w:t>
      </w:r>
      <w:r>
        <w:rPr>
          <w:rFonts w:hint="eastAsia" w:hAnsi="宋体" w:cs="DengXian"/>
          <w:b/>
          <w:bCs/>
          <w:sz w:val="24"/>
          <w:szCs w:val="24"/>
        </w:rPr>
        <w:t>“政务CA、方正签章控件驱动安装包及安装说明”</w:t>
      </w:r>
      <w:r>
        <w:rPr>
          <w:rFonts w:hint="eastAsia" w:hAnsi="宋体" w:cs="DengXian"/>
          <w:sz w:val="24"/>
          <w:szCs w:val="24"/>
        </w:rPr>
        <w:t>文件，按要求安装驱动。</w:t>
      </w:r>
    </w:p>
    <w:p w14:paraId="48DFE7D9">
      <w:pPr>
        <w:keepNext w:val="0"/>
        <w:keepLines w:val="0"/>
        <w:pageBreakBefore w:val="0"/>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4、</w:t>
      </w:r>
      <w:r>
        <w:rPr>
          <w:rFonts w:hint="eastAsia" w:hAnsi="宋体" w:cs="DengXian"/>
          <w:b/>
          <w:bCs/>
          <w:sz w:val="24"/>
          <w:szCs w:val="24"/>
        </w:rPr>
        <w:t>有关供应商注册、报名、下载电子招标文件、制作上传电子投标文件</w:t>
      </w:r>
      <w:r>
        <w:rPr>
          <w:rFonts w:hint="eastAsia" w:hAnsi="宋体" w:cs="DengXian"/>
          <w:sz w:val="24"/>
          <w:szCs w:val="24"/>
        </w:rPr>
        <w:t>、不见面开标及其他注意事项登录苏州政府采购网，在“下载中心”栏目下载</w:t>
      </w:r>
      <w:r>
        <w:rPr>
          <w:rFonts w:hint="eastAsia" w:hAnsi="宋体" w:cs="DengXian"/>
          <w:b/>
          <w:bCs/>
          <w:sz w:val="24"/>
          <w:szCs w:val="24"/>
        </w:rPr>
        <w:t>“苏采云系统供应商操作手册”</w:t>
      </w:r>
      <w:r>
        <w:rPr>
          <w:rFonts w:hint="eastAsia" w:hAnsi="宋体" w:cs="DengXian"/>
          <w:sz w:val="24"/>
          <w:szCs w:val="24"/>
        </w:rPr>
        <w:t>查阅。</w:t>
      </w:r>
    </w:p>
    <w:p w14:paraId="6804473F">
      <w:pPr>
        <w:keepNext w:val="0"/>
        <w:keepLines w:val="0"/>
        <w:pageBreakBefore w:val="0"/>
        <w:kinsoku/>
        <w:wordWrap/>
        <w:overflowPunct/>
        <w:topLinePunct w:val="0"/>
        <w:autoSpaceDE/>
        <w:autoSpaceDN/>
        <w:bidi w:val="0"/>
        <w:spacing w:line="360" w:lineRule="auto"/>
        <w:ind w:firstLine="480"/>
        <w:textAlignment w:val="auto"/>
        <w:rPr>
          <w:rFonts w:hAnsi="宋体" w:cs="DengXian"/>
          <w:sz w:val="24"/>
          <w:szCs w:val="24"/>
        </w:rPr>
      </w:pPr>
      <w:r>
        <w:rPr>
          <w:rFonts w:hAnsi="宋体" w:cs="DengXian"/>
          <w:sz w:val="24"/>
          <w:szCs w:val="24"/>
        </w:rPr>
        <w:t>5</w:t>
      </w:r>
      <w:r>
        <w:rPr>
          <w:rFonts w:hint="eastAsia" w:hAnsi="宋体" w:cs="DengXian"/>
          <w:sz w:val="24"/>
          <w:szCs w:val="24"/>
        </w:rPr>
        <w:t>、</w:t>
      </w:r>
      <w:r>
        <w:rPr>
          <w:rFonts w:hint="eastAsia" w:hAnsi="宋体" w:cs="DengXian"/>
          <w:b/>
          <w:bCs/>
          <w:sz w:val="24"/>
          <w:szCs w:val="24"/>
        </w:rPr>
        <w:t>有关办理CA数字申领及电子签章事项</w:t>
      </w:r>
      <w:r>
        <w:rPr>
          <w:rFonts w:hint="eastAsia" w:hAnsi="宋体" w:cs="DengXian"/>
          <w:sz w:val="24"/>
          <w:szCs w:val="24"/>
        </w:rPr>
        <w:t>，登录苏州政府采购网，点击页面底部苏采云图标，进入苏采云政府采购一体化平台，下载</w:t>
      </w:r>
      <w:r>
        <w:rPr>
          <w:rFonts w:hint="eastAsia" w:hAnsi="宋体" w:cs="DengXian"/>
          <w:b/>
          <w:bCs/>
          <w:sz w:val="24"/>
          <w:szCs w:val="24"/>
        </w:rPr>
        <w:t>“新CA办理指南”</w:t>
      </w:r>
      <w:r>
        <w:rPr>
          <w:rFonts w:hint="eastAsia" w:hAnsi="宋体" w:cs="DengXian"/>
          <w:sz w:val="24"/>
          <w:szCs w:val="24"/>
        </w:rPr>
        <w:t>文件查阅。</w:t>
      </w:r>
    </w:p>
    <w:p w14:paraId="29923394">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Ansi="宋体" w:cs="DengXian"/>
          <w:sz w:val="24"/>
          <w:szCs w:val="24"/>
        </w:rPr>
        <w:t>6</w:t>
      </w:r>
      <w:r>
        <w:rPr>
          <w:rFonts w:hint="eastAsia" w:hAnsi="宋体" w:cs="DengXian"/>
          <w:sz w:val="24"/>
          <w:szCs w:val="24"/>
        </w:rPr>
        <w:t>、投标保证金：本项目无须缴纳投标保证金。</w:t>
      </w:r>
    </w:p>
    <w:p w14:paraId="6C3B1C4F">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7、履约保证金：无。</w:t>
      </w:r>
    </w:p>
    <w:p w14:paraId="7A01503B">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Ansi="宋体" w:cs="DengXian"/>
          <w:sz w:val="24"/>
          <w:szCs w:val="24"/>
        </w:rPr>
        <w:t>8</w:t>
      </w:r>
      <w:r>
        <w:rPr>
          <w:rFonts w:hint="eastAsia" w:hAnsi="宋体" w:cs="DengXian"/>
          <w:sz w:val="24"/>
          <w:szCs w:val="24"/>
        </w:rPr>
        <w:t>、本公告发布媒体：苏州市政府采购网等政府采购指定媒体。</w:t>
      </w:r>
    </w:p>
    <w:p w14:paraId="3F08365C">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Ansi="宋体" w:cs="DengXian"/>
          <w:sz w:val="24"/>
          <w:szCs w:val="24"/>
        </w:rPr>
        <w:t>9</w:t>
      </w:r>
      <w:r>
        <w:rPr>
          <w:rFonts w:hint="eastAsia" w:hAnsi="宋体" w:cs="DengXian"/>
          <w:sz w:val="24"/>
          <w:szCs w:val="24"/>
        </w:rPr>
        <w:t>、有关电子投标制作技术疑问，请咨询苏采云软件公司客服：18261002950、0512-69820854、0519-86722802。</w:t>
      </w:r>
    </w:p>
    <w:p w14:paraId="0E93AA70">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1</w:t>
      </w:r>
      <w:r>
        <w:rPr>
          <w:rFonts w:hAnsi="宋体" w:cs="DengXian"/>
          <w:sz w:val="24"/>
          <w:szCs w:val="24"/>
        </w:rPr>
        <w:t>0</w:t>
      </w:r>
      <w:r>
        <w:rPr>
          <w:rFonts w:hint="eastAsia" w:hAnsi="宋体" w:cs="DengXian"/>
          <w:sz w:val="24"/>
          <w:szCs w:val="24"/>
        </w:rPr>
        <w:t>、政府采购监督电话：0512-53512539。</w:t>
      </w:r>
    </w:p>
    <w:p w14:paraId="5E8610CF">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Ansi="宋体" w:cs="DengXian"/>
          <w:sz w:val="24"/>
          <w:szCs w:val="24"/>
        </w:rPr>
        <w:t>11</w:t>
      </w:r>
      <w:r>
        <w:rPr>
          <w:rFonts w:hint="eastAsia" w:hAnsi="宋体" w:cs="DengXian"/>
          <w:sz w:val="24"/>
          <w:szCs w:val="24"/>
        </w:rPr>
        <w:t>、政府采购履约资金扶持政策：中标供应商可凭政府采购合同办理融资贷款，详情请见江苏政府采购网“政采贷”专栏。</w:t>
      </w:r>
    </w:p>
    <w:p w14:paraId="3DEBD9BD">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1</w:t>
      </w:r>
      <w:r>
        <w:rPr>
          <w:rFonts w:hAnsi="宋体" w:cs="DengXian"/>
          <w:sz w:val="24"/>
          <w:szCs w:val="24"/>
        </w:rPr>
        <w:t>2</w:t>
      </w:r>
      <w:r>
        <w:rPr>
          <w:rFonts w:hint="eastAsia" w:hAnsi="宋体" w:cs="DengXian"/>
          <w:sz w:val="24"/>
          <w:szCs w:val="24"/>
        </w:rPr>
        <w:t>、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55D2742B">
      <w:pPr>
        <w:keepNext w:val="0"/>
        <w:keepLines w:val="0"/>
        <w:pageBreakBefore w:val="0"/>
        <w:shd w:val="clear" w:color="auto" w:fill="FFFFFF"/>
        <w:kinsoku/>
        <w:wordWrap/>
        <w:overflowPunct/>
        <w:topLinePunct w:val="0"/>
        <w:autoSpaceDE/>
        <w:autoSpaceDN/>
        <w:bidi w:val="0"/>
        <w:spacing w:line="360" w:lineRule="auto"/>
        <w:ind w:firstLine="482"/>
        <w:textAlignment w:val="auto"/>
        <w:rPr>
          <w:rFonts w:hAnsi="宋体"/>
          <w:b/>
          <w:bCs/>
          <w:sz w:val="24"/>
          <w:szCs w:val="24"/>
        </w:rPr>
      </w:pPr>
      <w:r>
        <w:rPr>
          <w:rFonts w:hint="eastAsia" w:hAnsi="宋体"/>
          <w:b/>
          <w:bCs/>
          <w:sz w:val="24"/>
          <w:szCs w:val="24"/>
        </w:rPr>
        <w:t>七、对本次招标提出询问，请按以下方式联系</w:t>
      </w:r>
    </w:p>
    <w:p w14:paraId="339E28C8">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1、采购人信息：</w:t>
      </w:r>
    </w:p>
    <w:p w14:paraId="185EE3E0">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名    称：太仓市殡仪馆</w:t>
      </w:r>
    </w:p>
    <w:p w14:paraId="4B4069F7">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color w:val="auto"/>
          <w:sz w:val="24"/>
          <w:szCs w:val="24"/>
        </w:rPr>
      </w:pPr>
      <w:r>
        <w:rPr>
          <w:rFonts w:hint="eastAsia" w:hAnsi="宋体" w:cs="DengXian"/>
          <w:color w:val="auto"/>
          <w:sz w:val="24"/>
          <w:szCs w:val="24"/>
        </w:rPr>
        <w:t>地    址：苏州市太仓市沙北线与岳鹿线交叉路口往西北约70米</w:t>
      </w:r>
    </w:p>
    <w:p w14:paraId="4F0D5536">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color w:val="auto"/>
          <w:sz w:val="24"/>
          <w:szCs w:val="24"/>
        </w:rPr>
        <w:t>联系方式：</w:t>
      </w:r>
      <w:r>
        <w:rPr>
          <w:rFonts w:hint="eastAsia" w:ascii="宋体" w:hAnsi="宋体" w:eastAsia="宋体" w:cs="宋体"/>
          <w:color w:val="auto"/>
          <w:sz w:val="24"/>
          <w:szCs w:val="24"/>
        </w:rPr>
        <w:t>陈刚  0512-53211920</w:t>
      </w:r>
      <w:r>
        <w:rPr>
          <w:rFonts w:hint="eastAsia" w:hAnsi="宋体" w:cs="DengXian"/>
          <w:sz w:val="24"/>
          <w:szCs w:val="24"/>
        </w:rPr>
        <w:br w:type="textWrapping"/>
      </w:r>
      <w:r>
        <w:rPr>
          <w:rFonts w:hint="eastAsia" w:hAnsi="宋体" w:cs="DengXian"/>
          <w:sz w:val="24"/>
          <w:szCs w:val="24"/>
        </w:rPr>
        <w:t xml:space="preserve">    2、采购代理机构信息：</w:t>
      </w:r>
    </w:p>
    <w:p w14:paraId="65B30001">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 xml:space="preserve">名 </w:t>
      </w:r>
      <w:r>
        <w:rPr>
          <w:rFonts w:hAnsi="宋体" w:cs="DengXian"/>
          <w:sz w:val="24"/>
          <w:szCs w:val="24"/>
        </w:rPr>
        <w:t xml:space="preserve">   </w:t>
      </w:r>
      <w:r>
        <w:rPr>
          <w:rFonts w:hint="eastAsia" w:hAnsi="宋体" w:cs="DengXian"/>
          <w:sz w:val="24"/>
          <w:szCs w:val="24"/>
        </w:rPr>
        <w:t>称：江苏兆丰项目管理有限公司</w:t>
      </w:r>
    </w:p>
    <w:p w14:paraId="6D03F0C1">
      <w:pPr>
        <w:keepNext w:val="0"/>
        <w:keepLines w:val="0"/>
        <w:pageBreakBefore w:val="0"/>
        <w:widowControl/>
        <w:kinsoku/>
        <w:wordWrap/>
        <w:overflowPunct/>
        <w:topLinePunct w:val="0"/>
        <w:autoSpaceDE/>
        <w:autoSpaceDN/>
        <w:bidi w:val="0"/>
        <w:spacing w:line="360" w:lineRule="auto"/>
        <w:ind w:left="480" w:firstLine="40"/>
        <w:textAlignment w:val="auto"/>
        <w:rPr>
          <w:rFonts w:hAnsi="宋体" w:cs="DengXian"/>
          <w:sz w:val="24"/>
          <w:szCs w:val="24"/>
        </w:rPr>
      </w:pPr>
      <w:r>
        <w:rPr>
          <w:rFonts w:hint="eastAsia" w:hAnsi="宋体" w:cs="DengXian"/>
          <w:sz w:val="24"/>
          <w:szCs w:val="24"/>
        </w:rPr>
        <w:t xml:space="preserve">地 </w:t>
      </w:r>
      <w:r>
        <w:rPr>
          <w:rFonts w:hAnsi="宋体" w:cs="DengXian"/>
          <w:sz w:val="24"/>
          <w:szCs w:val="24"/>
        </w:rPr>
        <w:t xml:space="preserve">   </w:t>
      </w:r>
      <w:r>
        <w:rPr>
          <w:rFonts w:hint="eastAsia" w:hAnsi="宋体" w:cs="DengXian"/>
          <w:sz w:val="24"/>
          <w:szCs w:val="24"/>
        </w:rPr>
        <w:t>址：太仓市常胜北路16号3楼</w:t>
      </w:r>
      <w:r>
        <w:rPr>
          <w:rFonts w:hint="eastAsia" w:hAnsi="宋体" w:cs="DengXian"/>
          <w:sz w:val="24"/>
          <w:szCs w:val="24"/>
        </w:rPr>
        <w:br w:type="textWrapping"/>
      </w:r>
      <w:r>
        <w:rPr>
          <w:rFonts w:hint="eastAsia" w:hAnsi="宋体" w:cs="DengXian"/>
          <w:sz w:val="24"/>
          <w:szCs w:val="24"/>
        </w:rPr>
        <w:t>联系方式：陈雪娇 13776182834</w:t>
      </w:r>
    </w:p>
    <w:p w14:paraId="41D939BD">
      <w:pPr>
        <w:keepNext w:val="0"/>
        <w:keepLines w:val="0"/>
        <w:pageBreakBefore w:val="0"/>
        <w:widowControl/>
        <w:kinsoku/>
        <w:wordWrap/>
        <w:overflowPunct/>
        <w:topLinePunct w:val="0"/>
        <w:autoSpaceDE/>
        <w:autoSpaceDN/>
        <w:bidi w:val="0"/>
        <w:spacing w:line="360" w:lineRule="auto"/>
        <w:ind w:firstLine="480"/>
        <w:textAlignment w:val="auto"/>
        <w:rPr>
          <w:rFonts w:hAnsi="宋体" w:cs="DengXian"/>
          <w:sz w:val="24"/>
          <w:szCs w:val="24"/>
        </w:rPr>
      </w:pPr>
      <w:r>
        <w:rPr>
          <w:rFonts w:hint="eastAsia" w:hAnsi="宋体" w:cs="DengXian"/>
          <w:sz w:val="24"/>
          <w:szCs w:val="24"/>
        </w:rPr>
        <w:t>3、项目联系方式</w:t>
      </w:r>
    </w:p>
    <w:p w14:paraId="68B764D0">
      <w:pPr>
        <w:keepNext w:val="0"/>
        <w:keepLines w:val="0"/>
        <w:pageBreakBefore w:val="0"/>
        <w:widowControl/>
        <w:kinsoku/>
        <w:wordWrap/>
        <w:overflowPunct/>
        <w:topLinePunct w:val="0"/>
        <w:autoSpaceDE/>
        <w:autoSpaceDN/>
        <w:bidi w:val="0"/>
        <w:spacing w:line="360" w:lineRule="auto"/>
        <w:ind w:left="480" w:firstLine="40"/>
        <w:textAlignment w:val="auto"/>
        <w:rPr>
          <w:rFonts w:hAnsi="宋体" w:cs="DengXian"/>
          <w:sz w:val="24"/>
          <w:szCs w:val="24"/>
        </w:rPr>
      </w:pPr>
      <w:r>
        <w:rPr>
          <w:rFonts w:hint="eastAsia" w:hAnsi="宋体" w:cs="DengXian"/>
          <w:sz w:val="24"/>
          <w:szCs w:val="24"/>
        </w:rPr>
        <w:t>联系方式：陈雪娇 13776182834</w:t>
      </w:r>
    </w:p>
    <w:bookmarkEnd w:id="5"/>
    <w:p w14:paraId="63EC83B2">
      <w:pPr>
        <w:keepNext w:val="0"/>
        <w:keepLines w:val="0"/>
        <w:pageBreakBefore w:val="0"/>
        <w:widowControl/>
        <w:kinsoku/>
        <w:wordWrap/>
        <w:overflowPunct/>
        <w:topLinePunct w:val="0"/>
        <w:autoSpaceDE/>
        <w:autoSpaceDN/>
        <w:bidi w:val="0"/>
        <w:spacing w:line="360" w:lineRule="auto"/>
        <w:textAlignment w:val="auto"/>
        <w:rPr>
          <w:rFonts w:hAnsi="宋体" w:cs="DengXian"/>
          <w:sz w:val="21"/>
          <w:szCs w:val="21"/>
        </w:rPr>
        <w:sectPr>
          <w:headerReference r:id="rId4" w:type="default"/>
          <w:footerReference r:id="rId5" w:type="default"/>
          <w:pgSz w:w="11906" w:h="16838"/>
          <w:pgMar w:top="1361" w:right="1304" w:bottom="1304" w:left="1361" w:header="851" w:footer="992" w:gutter="0"/>
          <w:cols w:space="720" w:num="1"/>
          <w:docGrid w:linePitch="360" w:charSpace="0"/>
        </w:sectPr>
      </w:pPr>
    </w:p>
    <w:p w14:paraId="61E324CD">
      <w:pPr>
        <w:keepNext w:val="0"/>
        <w:keepLines w:val="0"/>
        <w:pageBreakBefore w:val="0"/>
        <w:kinsoku/>
        <w:wordWrap/>
        <w:overflowPunct/>
        <w:topLinePunct w:val="0"/>
        <w:autoSpaceDE/>
        <w:autoSpaceDN/>
        <w:bidi w:val="0"/>
        <w:spacing w:line="360" w:lineRule="auto"/>
        <w:jc w:val="center"/>
        <w:textAlignment w:val="auto"/>
        <w:outlineLvl w:val="0"/>
        <w:rPr>
          <w:rFonts w:hAnsi="宋体"/>
          <w:b/>
          <w:bCs/>
          <w:sz w:val="36"/>
          <w:szCs w:val="36"/>
        </w:rPr>
      </w:pPr>
      <w:bookmarkStart w:id="10" w:name="_Toc188363121"/>
      <w:r>
        <w:rPr>
          <w:rFonts w:hint="eastAsia" w:hAnsi="宋体"/>
          <w:b/>
          <w:bCs/>
          <w:sz w:val="36"/>
          <w:szCs w:val="36"/>
        </w:rPr>
        <w:t>第二章</w:t>
      </w:r>
      <w:r>
        <w:rPr>
          <w:rFonts w:hAnsi="宋体"/>
          <w:b/>
          <w:bCs/>
          <w:sz w:val="36"/>
          <w:szCs w:val="36"/>
        </w:rPr>
        <w:t xml:space="preserve"> </w:t>
      </w:r>
      <w:r>
        <w:rPr>
          <w:rFonts w:hint="eastAsia" w:hAnsi="宋体"/>
          <w:b/>
          <w:bCs/>
          <w:sz w:val="36"/>
          <w:szCs w:val="36"/>
        </w:rPr>
        <w:t>投标人须知</w:t>
      </w:r>
      <w:bookmarkEnd w:id="10"/>
    </w:p>
    <w:p w14:paraId="41C46BB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一、说明和释义</w:t>
      </w:r>
    </w:p>
    <w:p w14:paraId="1CE8ADB1">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1、说明 </w:t>
      </w:r>
    </w:p>
    <w:p w14:paraId="2855057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 本招标文件仅适用于江苏兆丰项目管理有限公司组织的招标活动。</w:t>
      </w:r>
    </w:p>
    <w:p w14:paraId="0DE1EAE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1.2 本次招标活动及因本次招标产生的合同受中国法律制约和保护。</w:t>
      </w:r>
    </w:p>
    <w:p w14:paraId="750725C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1.3 本招标文件的解释权属于江苏兆丰项目管理有限公司。</w:t>
      </w:r>
    </w:p>
    <w:p w14:paraId="0C46A6E4">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2、词语释义</w:t>
      </w:r>
    </w:p>
    <w:p w14:paraId="2E56D9E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pacing w:val="-3"/>
          <w:sz w:val="24"/>
          <w:szCs w:val="24"/>
        </w:rPr>
      </w:pPr>
      <w:r>
        <w:rPr>
          <w:rFonts w:hint="eastAsia" w:hAnsi="宋体" w:cs="宋体"/>
          <w:b w:val="0"/>
          <w:bCs w:val="0"/>
          <w:sz w:val="24"/>
          <w:szCs w:val="24"/>
        </w:rPr>
        <w:t xml:space="preserve">2.1 </w:t>
      </w:r>
      <w:r>
        <w:rPr>
          <w:rFonts w:hint="eastAsia" w:hAnsi="宋体" w:cs="宋体"/>
          <w:b w:val="0"/>
          <w:bCs w:val="0"/>
          <w:spacing w:val="-3"/>
          <w:sz w:val="24"/>
          <w:szCs w:val="24"/>
        </w:rPr>
        <w:t>采购人：指依法进行政府采购的国家机关、事业单位、团体组织。</w:t>
      </w:r>
    </w:p>
    <w:p w14:paraId="680CD00C">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2.2 供应商：指向采购人提供货物、工程或服务的法人、其他组织或者自然人。</w:t>
      </w:r>
    </w:p>
    <w:p w14:paraId="44E3C4D9">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2.3 投标人：指参加政府采购货物服务投标活动的供应商。</w:t>
      </w:r>
    </w:p>
    <w:p w14:paraId="3CCF4681">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2.4 采购代理机构：指依法接受采购人委托，从事货物、工程和服务等政府采购招标代理业务的社会中介机构。</w:t>
      </w:r>
    </w:p>
    <w:p w14:paraId="6909CE10">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2.5 招标采购单位：采购人及采购代理机构的统称。</w:t>
      </w:r>
    </w:p>
    <w:p w14:paraId="56A2530D">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2.6 评标委员会：是指在招标投标和政府采购活动中，依法由采购人代表和有关技术、经济等方面的专家组建，负责对投标文件进行评审并提出评审意见的临时性权威机构。</w:t>
      </w:r>
    </w:p>
    <w:p w14:paraId="256C8668">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2.7 响应：投标人根据采购人或采购代理机构发售的招标文件，编制投标文件并按规定投标的行为。</w:t>
      </w:r>
    </w:p>
    <w:p w14:paraId="2617453C">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2.8 知识产权：指专利权、商标权、著作权等无形财产专有权的统称。</w:t>
      </w:r>
    </w:p>
    <w:p w14:paraId="63BCDF3C">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2.9 天：日历日。</w:t>
      </w:r>
    </w:p>
    <w:p w14:paraId="2ED2D40A">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2.10 合同：采供双方根据招标文件和中标的投标文件及中标通知书规定的内容签署的以书面形式所达成的协议，包括所有的附件、附录和构成协议的所有文件。</w:t>
      </w:r>
    </w:p>
    <w:p w14:paraId="20564EB9">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2.11 合同价款：根据合同规定，乙方在正确地履行合同义务后甲方应支付乙方的价款。</w:t>
      </w:r>
    </w:p>
    <w:p w14:paraId="2D57B90B">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2.12 货物：系指乙方按招标采购文件规定，应向甲方提供的一切设备、备品、备件、工具、手册及其它有关技术资料和材料。</w:t>
      </w:r>
    </w:p>
    <w:p w14:paraId="26929E4C">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2.13 服务：系指本次招标采购文件规定乙方应承担的与提供货物和服务有关的辅助服务，比如运输、保险、安装、调试、验收、提供技术援助、培训、配合措施、维修响应及合同中规定乙方应承担的其它义务。</w:t>
      </w:r>
    </w:p>
    <w:p w14:paraId="3C8F8CFD">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A1DC8C3">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2.15 交货地点：合同中明确约定的乙方提交的货物最终地点。</w:t>
      </w:r>
    </w:p>
    <w:p w14:paraId="5ACA735D">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2.16 不可抗力：不能预见、不能避免并且不能克服的客观情况。</w:t>
      </w:r>
    </w:p>
    <w:p w14:paraId="0686DD12">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2.18 实质性响应：满足有关本次采购标的、数量、质量、价款或者报酬、履行期限、履行地点和方式、违约责任和解决争议方法等要求。</w:t>
      </w:r>
    </w:p>
    <w:p w14:paraId="3CA4E769">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2.19 进口产品：通过中国海关报关验放进入中国境内且产自关境外的产品。</w:t>
      </w:r>
    </w:p>
    <w:p w14:paraId="5659F595">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2.20 书面形式：指书面文字、合同书、信件和传真等可有形地表现所载内容的形式。</w:t>
      </w:r>
    </w:p>
    <w:p w14:paraId="4B8423AC">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二、投标人</w:t>
      </w:r>
    </w:p>
    <w:p w14:paraId="681B9C56">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3、合格投标人的范围</w:t>
      </w:r>
    </w:p>
    <w:p w14:paraId="1305708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pacing w:val="-3"/>
          <w:sz w:val="24"/>
          <w:szCs w:val="24"/>
        </w:rPr>
      </w:pPr>
      <w:r>
        <w:rPr>
          <w:rFonts w:hint="eastAsia" w:hAnsi="宋体" w:cs="宋体"/>
          <w:b w:val="0"/>
          <w:bCs w:val="0"/>
          <w:sz w:val="24"/>
          <w:szCs w:val="24"/>
        </w:rPr>
        <w:t xml:space="preserve">3.1 </w:t>
      </w:r>
      <w:r>
        <w:rPr>
          <w:rFonts w:hint="eastAsia" w:hAnsi="宋体" w:cs="宋体"/>
          <w:b w:val="0"/>
          <w:bCs w:val="0"/>
          <w:spacing w:val="-3"/>
          <w:sz w:val="24"/>
          <w:szCs w:val="24"/>
        </w:rPr>
        <w:t>符合《中华人民共和国政府采购法》第二十二条第一款之规定。</w:t>
      </w:r>
    </w:p>
    <w:p w14:paraId="2897EC91">
      <w:pPr>
        <w:pStyle w:val="7"/>
        <w:keepNext w:val="0"/>
        <w:keepLines w:val="0"/>
        <w:pageBreakBefore w:val="0"/>
        <w:kinsoku/>
        <w:wordWrap/>
        <w:overflowPunct/>
        <w:topLinePunct w:val="0"/>
        <w:autoSpaceDE/>
        <w:autoSpaceDN/>
        <w:bidi w:val="0"/>
        <w:spacing w:line="360" w:lineRule="auto"/>
        <w:ind w:left="0" w:firstLine="408"/>
        <w:textAlignment w:val="auto"/>
        <w:rPr>
          <w:rFonts w:hAnsi="宋体" w:cs="宋体"/>
          <w:b w:val="0"/>
          <w:bCs w:val="0"/>
          <w:spacing w:val="-3"/>
          <w:sz w:val="24"/>
          <w:szCs w:val="24"/>
        </w:rPr>
      </w:pPr>
      <w:r>
        <w:rPr>
          <w:rFonts w:hint="eastAsia" w:hAnsi="宋体" w:cs="宋体"/>
          <w:b w:val="0"/>
          <w:bCs w:val="0"/>
          <w:spacing w:val="-3"/>
          <w:sz w:val="24"/>
          <w:szCs w:val="24"/>
        </w:rPr>
        <w:t>3.2 满足本文件实质性条款的规定。</w:t>
      </w:r>
    </w:p>
    <w:p w14:paraId="5A7A1085">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4、合格投标人的特定条件</w:t>
      </w:r>
    </w:p>
    <w:p w14:paraId="02B937E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4.1 </w:t>
      </w:r>
      <w:r>
        <w:rPr>
          <w:rFonts w:hint="eastAsia" w:hAnsi="宋体" w:cs="宋体"/>
          <w:b w:val="0"/>
          <w:bCs w:val="0"/>
          <w:spacing w:val="-3"/>
          <w:sz w:val="24"/>
          <w:szCs w:val="24"/>
        </w:rPr>
        <w:t>详见招标公告规定。</w:t>
      </w:r>
    </w:p>
    <w:p w14:paraId="11CC712A">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5、投标委托</w:t>
      </w:r>
    </w:p>
    <w:p w14:paraId="038B44E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5.1 指全权代表投标人参加投标活动并签署投标文件的人，如果投标人代表不是法定代表人代表， 须持有《法定代表人代表授权委托书》（详见统一格式）。</w:t>
      </w:r>
    </w:p>
    <w:p w14:paraId="40E6438C">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6、投标费用</w:t>
      </w:r>
    </w:p>
    <w:p w14:paraId="63FB442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6.1 无论投标过程的做法和结果如何,投标人自行承担所有与参加投标有关的全部费用。</w:t>
      </w:r>
    </w:p>
    <w:p w14:paraId="3837443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7、联合投标 </w:t>
      </w:r>
    </w:p>
    <w:p w14:paraId="11DA9AA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7.1 本项目不接受联合投标。</w:t>
      </w:r>
    </w:p>
    <w:p w14:paraId="13FA19AE">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三、招标文件的说明 </w:t>
      </w:r>
    </w:p>
    <w:p w14:paraId="3B99C87A">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8、招标文件</w:t>
      </w:r>
    </w:p>
    <w:p w14:paraId="2D9BBBF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77DFC43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8.2 招标文件及其更正文件不是直接从采购代理机构或指定媒体获得的，采购代理机构对招标文件及其补遗的真实性、完整性不承担任何责任。 </w:t>
      </w:r>
    </w:p>
    <w:p w14:paraId="586D858D">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9、现场踏勘</w:t>
      </w:r>
    </w:p>
    <w:p w14:paraId="171E08C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9.1 招标人不组织现场踏勘，投标人可以对有关现场踏勘和周围环境进行考察，以获取编制投标文件和签署合同所需的信息，考察现场所发生的费用由投标人自己承担。</w:t>
      </w:r>
    </w:p>
    <w:p w14:paraId="16E7A52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6AA23F6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10. 招标文件的澄清</w:t>
      </w:r>
    </w:p>
    <w:p w14:paraId="5598EC4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10.1 投标人在获取招标文件后，若有疑问，应于投标截止时间之前，向采购代理机构提出，采购代理机构将予以解答。</w:t>
      </w:r>
    </w:p>
    <w:p w14:paraId="366291B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10.2 如有必要，问题答复将以“变更公告”形式由采购代理机构按照本须知第 10 条的规定发出。 </w:t>
      </w:r>
    </w:p>
    <w:p w14:paraId="1EDA94E6">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11.招标文件的修改</w:t>
      </w:r>
    </w:p>
    <w:p w14:paraId="42715CD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506FB8B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11.2 迟于规定的询问和提交的疑问，采购人和采购代理机构有权拒绝回答，也不承担由此带来的对投标人投标结果的影响。</w:t>
      </w:r>
    </w:p>
    <w:p w14:paraId="1E1ACB3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11.3 在投标截止时间 15 日前，招标采购单位无论出于自己的考虑，还是出于对投标人提问的澄清，均可对已发出的招标文件进行必要澄清或者修改。</w:t>
      </w:r>
    </w:p>
    <w:p w14:paraId="44CB6DE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11.4 为使投标人有足够的时间按招标文件的修改要求考虑修正投标文件，或出于其他原因，招标采购单位有权推迟投标截止日期和开标日期，将此变更通知所有招标文件的收受人。</w:t>
      </w:r>
    </w:p>
    <w:p w14:paraId="48118FC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11.5 招标文件的更正（含澄清、修改等）内容与原招标文件在同一内容上表述不一致时，以发出日期最接近开标时间的公告为准。</w:t>
      </w:r>
    </w:p>
    <w:p w14:paraId="0A02540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11.6 招标文件的更正（含澄清、修改等）内容将在财政部门指定的政府采购信息发布媒体上发布， 作为招标文件的组成部分，对投标人起约束作用。</w:t>
      </w:r>
    </w:p>
    <w:p w14:paraId="28B3A34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11.7 </w:t>
      </w:r>
      <w:r>
        <w:rPr>
          <w:rFonts w:hint="eastAsia" w:hAnsi="宋体" w:cs="宋体"/>
          <w:sz w:val="24"/>
          <w:szCs w:val="24"/>
        </w:rPr>
        <w:t>招标文件若有最新的答疑文件，投标供应商必须下载并使用该文件制作新的电子投标文件，否则将无法完成电子投标文件的上传及投标。</w:t>
      </w:r>
    </w:p>
    <w:p w14:paraId="6E3A15F7">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四、投标文件说明</w:t>
      </w:r>
    </w:p>
    <w:p w14:paraId="4B8A031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12、提示与要求</w:t>
      </w:r>
    </w:p>
    <w:p w14:paraId="657B7406">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12.1 投标人应仔细阅读招标文件的所有内容，按招标文件的要求提供投标文件，并保证所提供的全部资料的真实性，以使其投标对招标文件做出实质性响应，否则，其投标可能被拒绝。</w:t>
      </w:r>
    </w:p>
    <w:p w14:paraId="314402E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12.2 无论是否递交投标文件，投标人都应将招标文件及以后的所有通知、文件等视为保密文件。</w:t>
      </w:r>
    </w:p>
    <w:p w14:paraId="01E5EB31">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13、投标文件计量单位和使用文字</w:t>
      </w:r>
    </w:p>
    <w:p w14:paraId="4A364FA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13.1 投标文件中所使用的计量单位，除招标文件中有特殊要求外，均应使用中华人民共和国法定计量单位。</w:t>
      </w:r>
    </w:p>
    <w:p w14:paraId="226134D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731925D7">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14、知识产权</w:t>
      </w:r>
    </w:p>
    <w:p w14:paraId="7849A898">
      <w:pPr>
        <w:pStyle w:val="16"/>
        <w:keepNext w:val="0"/>
        <w:keepLines w:val="0"/>
        <w:pageBreakBefore w:val="0"/>
        <w:kinsoku/>
        <w:wordWrap/>
        <w:overflowPunct/>
        <w:topLinePunct w:val="0"/>
        <w:autoSpaceDE/>
        <w:autoSpaceDN/>
        <w:bidi w:val="0"/>
        <w:spacing w:before="0" w:line="360" w:lineRule="auto"/>
        <w:ind w:left="0" w:firstLine="420"/>
        <w:textAlignment w:val="auto"/>
        <w:rPr>
          <w:rFonts w:hAnsi="宋体" w:cs="宋体"/>
          <w:b/>
          <w:bCs/>
          <w:sz w:val="24"/>
          <w:szCs w:val="24"/>
        </w:rPr>
      </w:pPr>
      <w:r>
        <w:rPr>
          <w:rFonts w:hint="eastAsia" w:hAnsi="宋体" w:cs="宋体"/>
          <w:sz w:val="24"/>
          <w:szCs w:val="24"/>
        </w:rPr>
        <w:t>14.1</w:t>
      </w:r>
      <w:r>
        <w:rPr>
          <w:rFonts w:hint="eastAsia" w:hAnsi="宋体" w:cs="宋体"/>
          <w:spacing w:val="-6"/>
          <w:sz w:val="24"/>
          <w:szCs w:val="24"/>
        </w:rPr>
        <w:t xml:space="preserve"> 投标人应保证在本项目使用的任何产品</w:t>
      </w:r>
      <w:r>
        <w:rPr>
          <w:rFonts w:hint="eastAsia" w:hAnsi="宋体" w:cs="宋体"/>
          <w:spacing w:val="-3"/>
          <w:sz w:val="24"/>
          <w:szCs w:val="24"/>
        </w:rPr>
        <w:t>（包括部分使用</w:t>
      </w:r>
      <w:r>
        <w:rPr>
          <w:rFonts w:hint="eastAsia" w:hAnsi="宋体" w:cs="宋体"/>
          <w:spacing w:val="-12"/>
          <w:sz w:val="24"/>
          <w:szCs w:val="24"/>
        </w:rPr>
        <w:t>）</w:t>
      </w:r>
      <w:r>
        <w:rPr>
          <w:rFonts w:hint="eastAsia" w:hAnsi="宋体" w:cs="宋体"/>
          <w:spacing w:val="-4"/>
          <w:sz w:val="24"/>
          <w:szCs w:val="24"/>
        </w:rPr>
        <w:t>时，不会产生因第三方提出侵犯其专利权、商标权或其它知识产权而引起的法律和经济纠纷，如因专利权、商标权或其它知识产权而引</w:t>
      </w:r>
      <w:r>
        <w:rPr>
          <w:rFonts w:hint="eastAsia" w:hAnsi="宋体" w:cs="宋体"/>
          <w:spacing w:val="-3"/>
          <w:sz w:val="24"/>
          <w:szCs w:val="24"/>
        </w:rPr>
        <w:t>起法律和经济纠纷，由投标人承担所有相关责任。</w:t>
      </w:r>
    </w:p>
    <w:p w14:paraId="3F7F3A9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15、投标文件的组成和顺序（顺序以软件为准）</w:t>
      </w:r>
    </w:p>
    <w:p w14:paraId="1CE21F18">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 w:val="0"/>
          <w:bCs w:val="0"/>
          <w:sz w:val="24"/>
          <w:szCs w:val="24"/>
        </w:rPr>
      </w:pPr>
      <w:r>
        <w:rPr>
          <w:rFonts w:hint="eastAsia" w:hAnsi="宋体" w:cs="宋体"/>
          <w:bCs w:val="0"/>
          <w:sz w:val="24"/>
          <w:szCs w:val="24"/>
        </w:rPr>
        <w:t xml:space="preserve">15.1 </w:t>
      </w:r>
      <w:r>
        <w:rPr>
          <w:rFonts w:hint="eastAsia" w:hAnsi="宋体" w:cs="宋体"/>
          <w:sz w:val="24"/>
          <w:szCs w:val="24"/>
        </w:rPr>
        <w:t>报价部分</w:t>
      </w:r>
      <w:r>
        <w:rPr>
          <w:rFonts w:hint="eastAsia" w:hAnsi="宋体" w:cs="宋体"/>
          <w:b w:val="0"/>
          <w:bCs w:val="0"/>
          <w:sz w:val="24"/>
          <w:szCs w:val="24"/>
        </w:rPr>
        <w:t>（详见投标文件格式）：</w:t>
      </w:r>
    </w:p>
    <w:p w14:paraId="336BB43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15.1.1 投标承诺函；</w:t>
      </w:r>
    </w:p>
    <w:p w14:paraId="6B8EFBF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15.1.2 授权委托书（如有授权）；</w:t>
      </w:r>
    </w:p>
    <w:p w14:paraId="4E43DAD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15.1.3 投标人法定代表人身份证扫描件；</w:t>
      </w:r>
    </w:p>
    <w:p w14:paraId="7EAC73B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15.1.4 投标人授权代理人身份证扫描件（如有授权）；</w:t>
      </w:r>
    </w:p>
    <w:p w14:paraId="24335E9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15.1.5 开标一览表；</w:t>
      </w:r>
    </w:p>
    <w:p w14:paraId="67BDF10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15.1.6 投标报价明细表。</w:t>
      </w:r>
    </w:p>
    <w:p w14:paraId="70BFDC2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15.1.7 关于资格文件的声明函（详见投标文件格式）；</w:t>
      </w:r>
    </w:p>
    <w:p w14:paraId="5E8DB3A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15.1.8 投标单位情况表；</w:t>
      </w:r>
    </w:p>
    <w:p w14:paraId="1A0102C8">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15.2 资质证明文件部分</w:t>
      </w:r>
    </w:p>
    <w:p w14:paraId="27D3166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15.2.1投标单位营业执照副本或三证合一营业执照扫描件；</w:t>
      </w:r>
    </w:p>
    <w:p w14:paraId="356958C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15.2.2投标人参加本次政府采购活动前的财务状况报告或者银行出具的资信证明；</w:t>
      </w:r>
    </w:p>
    <w:p w14:paraId="5141163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15.2.3投标人根据项目需求提供履行合同所必需的设备和专业技术能力（提供具备履行合同所必需的设备和专业技术能力的书面声明，格式自拟）；</w:t>
      </w:r>
    </w:p>
    <w:p w14:paraId="416DB0A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15.2.4投标人参加本次政府采购活动前半年（至少一个月）依法缴纳税收和社会保障资金的证明材料；</w:t>
      </w:r>
    </w:p>
    <w:p w14:paraId="4F695A1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12.2.5投标人参加政府采购活动前在经营活动中没有重大违法记录的书面申明（详见投标文件格式）；</w:t>
      </w:r>
    </w:p>
    <w:p w14:paraId="2F4057F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15.2.6投标人证明其符合招标文件规定的投标人特定资格条件的证书、证明和文件材料（如有，具体见招标公告）；</w:t>
      </w:r>
    </w:p>
    <w:p w14:paraId="4E94CB4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15.2.7中小企业声明函、残疾人福利性单位声明函、监狱企业证明材料（必须提供其中一种，格式见招标文件）；</w:t>
      </w:r>
    </w:p>
    <w:p w14:paraId="02DE31A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15.2.8 其他可以证明投标人资信、资质和货物、服务质量的证书、文件、推荐信等资料；（如有）</w:t>
      </w:r>
    </w:p>
    <w:p w14:paraId="71F2544C">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15.3商务及</w:t>
      </w:r>
      <w:r>
        <w:rPr>
          <w:rFonts w:hint="eastAsia" w:hAnsi="宋体" w:cs="宋体"/>
          <w:sz w:val="24"/>
          <w:szCs w:val="24"/>
        </w:rPr>
        <w:t>技术部分</w:t>
      </w:r>
    </w:p>
    <w:p w14:paraId="6A64B0B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15.3.1技术要求偏离表（详见投标文件格式）；</w:t>
      </w:r>
    </w:p>
    <w:p w14:paraId="4011861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15.3.2商务条款偏离表（详见投标文件格式）；</w:t>
      </w:r>
    </w:p>
    <w:p w14:paraId="410F22C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15.3.3相同项目业绩一览表（详见投标文件格式）；</w:t>
      </w:r>
    </w:p>
    <w:p w14:paraId="5AFFD9E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15.3.4拟派项目人员一览表（详见投标文件格式）；</w:t>
      </w:r>
    </w:p>
    <w:p w14:paraId="74B091B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15.3.5拟投产品情况一览表（详见投标文件格式）；</w:t>
      </w:r>
    </w:p>
    <w:p w14:paraId="642FD2B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15.3.6招标文件及评分标准中要求提供的其他相关材料；</w:t>
      </w:r>
    </w:p>
    <w:p w14:paraId="21FC187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15.3.7项目的技术及服务方案；</w:t>
      </w:r>
    </w:p>
    <w:p w14:paraId="6F5A05F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15.3.8其他需投标人对本次投标的详细说明（投标人视各自的情况自行编制）。 </w:t>
      </w:r>
    </w:p>
    <w:p w14:paraId="60D26D0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AE1398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15.3 </w:t>
      </w:r>
      <w:r>
        <w:rPr>
          <w:rFonts w:hint="eastAsia" w:hAnsi="宋体" w:cs="宋体"/>
          <w:sz w:val="24"/>
          <w:szCs w:val="24"/>
        </w:rPr>
        <w:t>投标文件由15.1-15.3款规定的内容共同组成。</w:t>
      </w:r>
    </w:p>
    <w:p w14:paraId="0C1CC7C8">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16、投标文件编制要求</w:t>
      </w:r>
    </w:p>
    <w:p w14:paraId="665D455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16.1 电子投标文件编制要求：投标人应使用</w:t>
      </w:r>
      <w:r>
        <w:rPr>
          <w:rFonts w:hint="eastAsia" w:hAnsi="宋体" w:cs="宋体"/>
          <w:sz w:val="24"/>
          <w:szCs w:val="24"/>
        </w:rPr>
        <w:t>招标文件要求的投标文件制作软件制作电子投标文件</w:t>
      </w:r>
      <w:r>
        <w:rPr>
          <w:rFonts w:hint="eastAsia" w:hAnsi="宋体" w:cs="宋体"/>
          <w:b w:val="0"/>
          <w:bCs w:val="0"/>
          <w:sz w:val="24"/>
          <w:szCs w:val="24"/>
        </w:rPr>
        <w:t>，电子投标文件按招标文件规定的格式制作，如果未按要求制作上传，可能导致投标无效。</w:t>
      </w:r>
    </w:p>
    <w:p w14:paraId="1A544FBB">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16.2电子投标准备</w:t>
      </w:r>
    </w:p>
    <w:p w14:paraId="7F7990C3">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fldChar w:fldCharType="begin"/>
      </w:r>
      <w:r>
        <w:instrText xml:space="preserve"> HYPERLINK "https://czju.suzhou.gov.cn/zfcg/html/content/20231220161910031.shtml" \o "https://czju.suzhou.gov.cn/zfcg/html/content/20231220161910031.shtml" </w:instrText>
      </w:r>
      <w:r>
        <w:fldChar w:fldCharType="separate"/>
      </w:r>
      <w:r>
        <w:rPr>
          <w:rFonts w:hint="eastAsia" w:hAnsi="宋体" w:cs="宋体"/>
          <w:sz w:val="24"/>
          <w:szCs w:val="24"/>
        </w:rPr>
        <w:t>https://czju.suzhou.gov.cn/zfcg/html/content/20231220161910031.shtml</w:t>
      </w:r>
      <w:r>
        <w:rPr>
          <w:rFonts w:hint="eastAsia" w:hAnsi="宋体" w:cs="宋体"/>
          <w:sz w:val="24"/>
          <w:szCs w:val="24"/>
        </w:rPr>
        <w:fldChar w:fldCharType="end"/>
      </w:r>
      <w:r>
        <w:rPr>
          <w:rFonts w:hint="eastAsia" w:hAnsi="宋体" w:cs="宋体"/>
          <w:bCs w:val="0"/>
          <w:sz w:val="24"/>
          <w:szCs w:val="24"/>
        </w:rPr>
        <w:t>）</w:t>
      </w:r>
    </w:p>
    <w:p w14:paraId="2A015C74">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17、投标报价（编制）要求的说明</w:t>
      </w:r>
    </w:p>
    <w:p w14:paraId="2D15AC5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17.1 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p>
    <w:p w14:paraId="209C678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7B5129E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17.3 一项投标内容只允许一个报价，招标采购单位不接受任何有选择性的投标报价。</w:t>
      </w:r>
    </w:p>
    <w:p w14:paraId="61D9BD3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17.4 投标文件报价中的单价和总价全部采用人民币表示，除非合同的特殊条款另有规定。</w:t>
      </w:r>
    </w:p>
    <w:p w14:paraId="63FBCB0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17.5 最低的投标报价或最高的折扣比例是中标的重要条件，但不是中标的唯一条件。</w:t>
      </w:r>
    </w:p>
    <w:p w14:paraId="683F88AE">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18、投标保证金</w:t>
      </w:r>
    </w:p>
    <w:p w14:paraId="172EBD3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本项目无须缴纳投标保证金。</w:t>
      </w:r>
    </w:p>
    <w:p w14:paraId="576B5927">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19、投标文件的有效期 </w:t>
      </w:r>
    </w:p>
    <w:p w14:paraId="6145C08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19.1 在本招标文件规定的开标之日起90天内，投标人所提交的投标文件应保持有效。有效期短于这个规定期限的投标文件，将被认定为未实质性响应招标文件要求。</w:t>
      </w:r>
    </w:p>
    <w:p w14:paraId="3B11583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19.2 在特殊情况下，招标采购单位可与投标人协商延长投标书的有效期。这种要求和答复都应以书面形式进行。</w:t>
      </w:r>
      <w:r>
        <w:rPr>
          <w:rFonts w:hint="eastAsia" w:hAnsi="宋体" w:cs="宋体"/>
          <w:sz w:val="24"/>
          <w:szCs w:val="24"/>
        </w:rPr>
        <w:t>同意延长有效期的投标人不能修改投标文件。拒绝接受延期要求的投标人的投标将被拒绝。</w:t>
      </w:r>
    </w:p>
    <w:p w14:paraId="68B27B23">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五、投标文件的递交、撤回和修改</w:t>
      </w:r>
    </w:p>
    <w:p w14:paraId="25F098E1">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20、投标文件的上传、提交</w:t>
      </w:r>
    </w:p>
    <w:p w14:paraId="18BFE92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20.1 投标人应将制作好的加密电子投标文件按要求在投标截止时间前上传到交易系统平台中。</w:t>
      </w:r>
    </w:p>
    <w:p w14:paraId="73FC519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21、投标截止时间</w:t>
      </w:r>
    </w:p>
    <w:p w14:paraId="0DC8FCF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21.1 电子投标文件必须按招标公告中规定的网上投标截止时间前提交，否则投标无效。</w:t>
      </w:r>
    </w:p>
    <w:p w14:paraId="588566D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21.2 采购代理机构推迟投标截止时间时，应以更正公告的形式，通知所有投标人。在这种情况下，采购代理机构和投标人的权利和义务将受到新的截止期的约束。</w:t>
      </w:r>
    </w:p>
    <w:p w14:paraId="14E8F89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21.3 在投标截止时间止采购代理机构收到的电子投标文件少于三份的，采购代理机构有权宣布本次招标失败。</w:t>
      </w:r>
    </w:p>
    <w:p w14:paraId="08D9E169">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22、投标文件的修改和撤回</w:t>
      </w:r>
    </w:p>
    <w:p w14:paraId="5070A46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22.1 投标人在提交投标文件截止时间前，可对其投标文件进行撤回或修改。</w:t>
      </w:r>
    </w:p>
    <w:p w14:paraId="00B433E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22.2 开标后投标人不得撤回投标。</w:t>
      </w:r>
    </w:p>
    <w:p w14:paraId="4A87E0B8">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六、开标和评标</w:t>
      </w:r>
    </w:p>
    <w:p w14:paraId="32D69EA9">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23、开标</w:t>
      </w:r>
    </w:p>
    <w:p w14:paraId="1B3BAF76">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23.1 采购代理机构按采购公告规定的时间、地点主持不见面开标活动。开标仪式由采购代理机构主持。</w:t>
      </w:r>
    </w:p>
    <w:p w14:paraId="5F55C5D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23.2</w:t>
      </w:r>
      <w:r>
        <w:rPr>
          <w:rFonts w:hint="eastAsia" w:hAnsi="宋体" w:cs="宋体"/>
          <w:sz w:val="24"/>
          <w:szCs w:val="24"/>
        </w:rPr>
        <w:t xml:space="preserve"> 参加开标的投标法定代表人或授权代理人须在项目开标前登录苏采云不见面开标系统，进入网上不见面开标大厅，做好相关准备工作。</w:t>
      </w:r>
    </w:p>
    <w:p w14:paraId="6FBA962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23.3 </w:t>
      </w:r>
      <w:r>
        <w:rPr>
          <w:rFonts w:hint="eastAsia" w:hAnsi="宋体" w:cs="宋体"/>
          <w:sz w:val="24"/>
          <w:szCs w:val="24"/>
        </w:rPr>
        <w:t>本项目开标后在规定的解密时间内，投标人须自行登录网上开标大厅解密投标文件，解密时间以系统提示为准，因自身原因导致解密失败的，由投标人自行承担相关责任。</w:t>
      </w:r>
    </w:p>
    <w:p w14:paraId="4794AC0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23.4 采购代理机构在开标仪式上，将公布投标人的名称、投标价格，并将作唱标记录。</w:t>
      </w:r>
    </w:p>
    <w:p w14:paraId="0C1D3AF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23.5 投标人代表对开标过程和开标记录有疑义，以及认为采购人、采购代理机构相关工作人员有需要回避的情形的，</w:t>
      </w:r>
      <w:r>
        <w:rPr>
          <w:rFonts w:hint="eastAsia" w:hAnsi="宋体" w:cs="宋体"/>
          <w:sz w:val="24"/>
          <w:szCs w:val="24"/>
        </w:rPr>
        <w:t>应通过不见面开标大厅</w:t>
      </w:r>
      <w:r>
        <w:rPr>
          <w:rFonts w:hint="eastAsia" w:hAnsi="宋体" w:cs="宋体"/>
          <w:b w:val="0"/>
          <w:bCs w:val="0"/>
          <w:sz w:val="24"/>
          <w:szCs w:val="24"/>
        </w:rPr>
        <w:t>提出询问或者回避申请。采购人、采购代理机构对投标人代表提出的询问或者回避申请应当及时处理。</w:t>
      </w:r>
    </w:p>
    <w:p w14:paraId="1C396AB5">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24、评标委员会</w:t>
      </w:r>
    </w:p>
    <w:p w14:paraId="6291E10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24.1 评标委员会由招标采购单位依法组建，负责本项目的评标事务。</w:t>
      </w:r>
    </w:p>
    <w:p w14:paraId="3CB2C10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24.2 评标委员会独立履行下列职责：</w:t>
      </w:r>
    </w:p>
    <w:p w14:paraId="6B2F974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24.2.1 审查投标文件是否符合招标文件的要求，并作评价；</w:t>
      </w:r>
    </w:p>
    <w:p w14:paraId="2F163F9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24.2.2 可要求投标供应商对投标文件有关事项作解释或澄清；</w:t>
      </w:r>
    </w:p>
    <w:p w14:paraId="5064544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24.2.3 评标委员会负责本次招标的评标活动，向招标人推荐中标供应商；</w:t>
      </w:r>
    </w:p>
    <w:p w14:paraId="38AD095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24.2.4 向招标采购单位或者有关部门报告非法干预评标工作的行为。</w:t>
      </w:r>
    </w:p>
    <w:p w14:paraId="7B560C0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 评标委员会成员应当履行下列义务：</w:t>
      </w:r>
    </w:p>
    <w:p w14:paraId="1155A55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24.3.1 遵纪守法，客观、公正、廉洁地履行职责；</w:t>
      </w:r>
    </w:p>
    <w:p w14:paraId="1AB575E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24.3.2 按照招标文件规定的评标办法和评标标准进行评标，对评审意见承担个人责任；</w:t>
      </w:r>
    </w:p>
    <w:p w14:paraId="7D505B4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24.3.3 对评标过程和结果，以及投标人的商业秘密保密；</w:t>
      </w:r>
    </w:p>
    <w:p w14:paraId="097A458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24.3.4 参与评标报告的起草；</w:t>
      </w:r>
    </w:p>
    <w:p w14:paraId="27D0A51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24.3.5 配合相关部门的投诉处理工作；</w:t>
      </w:r>
    </w:p>
    <w:p w14:paraId="7D84943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24.3.6 配合招标采购单位答复投标供应商提出的质疑。</w:t>
      </w:r>
    </w:p>
    <w:p w14:paraId="5D81B8E8">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25、评标内容的保密</w:t>
      </w:r>
    </w:p>
    <w:p w14:paraId="3DED1B8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25.1 公开开标后，直到宣布授予中标供应商合同为止，凡属于审查、澄清、评价和比较投标的所有资料，有关授予合同的信息都不应向投标人或与评标无关的其他人泄露。</w:t>
      </w:r>
    </w:p>
    <w:p w14:paraId="323202A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25.2 在投标文件的审查、澄清、评价和比较以及授予合同的过程中，投标人对招标采购单位和评标委员会成员施加影响的任何行为，都将取消其投标资格。</w:t>
      </w:r>
    </w:p>
    <w:p w14:paraId="2915135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25.3 在评标期间，招标采购单位将通过指定联络人与投标人进行联系。</w:t>
      </w:r>
    </w:p>
    <w:p w14:paraId="71426519">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26、对投标文件初审 </w:t>
      </w:r>
    </w:p>
    <w:p w14:paraId="5123AC8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26.1 投标文件初审分为资格性检查和符合性检查。</w:t>
      </w:r>
    </w:p>
    <w:p w14:paraId="4D72204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26.1.1 资格性检查。依据法律法规和招标文件的规定，</w:t>
      </w:r>
      <w:r>
        <w:rPr>
          <w:rFonts w:hint="eastAsia" w:hAnsi="宋体" w:cs="宋体"/>
          <w:sz w:val="24"/>
          <w:szCs w:val="24"/>
        </w:rPr>
        <w:t>对投标文件中的资格证明相关资料进行审查，以确定投标供应商是否具备投标资格。</w:t>
      </w:r>
    </w:p>
    <w:p w14:paraId="6559060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26.1.2 </w:t>
      </w:r>
      <w:r>
        <w:rPr>
          <w:rFonts w:hint="eastAsia" w:hAnsi="宋体" w:cs="宋体"/>
          <w:sz w:val="24"/>
          <w:szCs w:val="24"/>
        </w:rPr>
        <w:t>关于诚信记录查询：</w:t>
      </w:r>
    </w:p>
    <w:p w14:paraId="652A25D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1EA848C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（2）查询时间：投标文件递交截止时间。</w:t>
      </w:r>
    </w:p>
    <w:p w14:paraId="689AE9E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（3）查询渠道：登录 “供应商信用查询”系统查询供应商的信用记录。系统实时提供来自中国政府采购网、信用中国、信用江苏、诚信苏州网站的相关主体信用记录。</w:t>
      </w:r>
    </w:p>
    <w:p w14:paraId="5040389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14:paraId="04E1588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（5）信用记录使用规则：评审小组在对供应商进行资格性审查时，应根据查询结果对供应商的不良信用记录逐项甄别确认。</w:t>
      </w:r>
    </w:p>
    <w:p w14:paraId="04B183F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26.1.3 符合性检查。依据招标文件的规定，从投标文件的有效性、完整性和对招标文件的响应程度进行审查，以确定是否对招标文件的实质性要求作响应。</w:t>
      </w:r>
    </w:p>
    <w:p w14:paraId="2083117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 开标后，评标委员会将审查投标文件是否实质性响应招标文件的要求、内容是否完整、价格构成有无计算错误、文件签署是否齐全等。投标文件属下列情况之一的，评标委员会将按无效投标处理：</w:t>
      </w:r>
    </w:p>
    <w:p w14:paraId="772CCC8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26.2.1 不同投标人的投标文件由同一单位或者个人编制；</w:t>
      </w:r>
    </w:p>
    <w:p w14:paraId="0549FDB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26.2.2 不同投标人委托同一单位或者个人办理投标事宜；</w:t>
      </w:r>
    </w:p>
    <w:p w14:paraId="070EADA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26.2.3 不同投标人的投标文件载明的项目管理成员或者联系人员为同一人；</w:t>
      </w:r>
    </w:p>
    <w:p w14:paraId="68700F0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26.2.4 不同投标人的投标文件异常一致或者投标报价呈规律性差异；</w:t>
      </w:r>
    </w:p>
    <w:p w14:paraId="6CCC51D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26.2.5 不同投标人的投标文件相互混装。</w:t>
      </w:r>
    </w:p>
    <w:p w14:paraId="2227AF7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5867060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5F5B6B8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2FFFD47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26.6 评委会将对确定为实质性响应的投标进行审核，看其是否有计算上或累加上的算术错误，修正错误的原则如下：</w:t>
      </w:r>
    </w:p>
    <w:p w14:paraId="0BF0AE5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26.6.1 投标文件中开标一览表（报价表）内容与投标文件中相应内容不一致的，以开标一览表（报价表）为准；</w:t>
      </w:r>
    </w:p>
    <w:p w14:paraId="19BC3F1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26.6.2 大写金额和小写金额不一致的，以大写金额为准；</w:t>
      </w:r>
    </w:p>
    <w:p w14:paraId="3F6DA4D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26.6.3 单价金额小数点或者百分比有明显错位的，以开标一览表的总价为准，并修改单价；</w:t>
      </w:r>
    </w:p>
    <w:p w14:paraId="74965BD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26.6.4 总价金额与按单价汇总金额不一致的，以单价金额计算结果为准。</w:t>
      </w:r>
    </w:p>
    <w:p w14:paraId="67EDDD6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同时出现两种以上不一致的，按照前款规定的顺序修正。修正后的报价按照本须知 26.6 条规定经投标人确认后产生约束力，投标人不确认的，其投标无效。</w:t>
      </w:r>
    </w:p>
    <w:p w14:paraId="31562AB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58BAE3E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26.8 对不同文字文本投标文件的解释发生异议的，以中文文本为准；</w:t>
      </w:r>
    </w:p>
    <w:p w14:paraId="7D97241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26.9 评标委员会对投标文件的判定，只依据投标内容本身，不依靠开标后的任何外来证明。</w:t>
      </w:r>
    </w:p>
    <w:p w14:paraId="4E00B70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26.10 评标委员会将拒绝被确定为非实质性响应的投标，投标人不能通过修正或撤销不符之处而使其投标成为实质性响应的投标。</w:t>
      </w:r>
    </w:p>
    <w:p w14:paraId="51E4BFBA">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27、投标的澄清</w:t>
      </w:r>
    </w:p>
    <w:p w14:paraId="5DFE0D1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57A365A3">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28、废标 </w:t>
      </w:r>
    </w:p>
    <w:p w14:paraId="48B5E94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 无效投标的具体情形有：</w:t>
      </w:r>
    </w:p>
    <w:p w14:paraId="2278A70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28.1.1 不同投标人的投标文件使用同一台电脑编制的；</w:t>
      </w:r>
    </w:p>
    <w:p w14:paraId="37BD088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28.1.2 投标文件未按招标文件要求签署、盖章的；</w:t>
      </w:r>
    </w:p>
    <w:p w14:paraId="583DA0A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28.1.3 不具备招标文件中规定的资格要求的；</w:t>
      </w:r>
    </w:p>
    <w:p w14:paraId="1A2C9C9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28.1.4 报价超过招标文件中规定的预算金额或者最高限价的；</w:t>
      </w:r>
    </w:p>
    <w:p w14:paraId="400CE91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28.1.5 投标文件含有采购人不能接受的附加条件的；</w:t>
      </w:r>
    </w:p>
    <w:p w14:paraId="146127B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28.1.6 法律、法规和招标文件规定的其他无效情形。</w:t>
      </w:r>
    </w:p>
    <w:p w14:paraId="7252893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28.2 在招标采购中，出现下列情形之一的，应予废标：</w:t>
      </w:r>
    </w:p>
    <w:p w14:paraId="70892E2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28.2.1 符合专业条件的供应商或者对招标文件作实质响应的供应商不足三家的；</w:t>
      </w:r>
    </w:p>
    <w:p w14:paraId="7052E20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28.2.2 出现影响采购公正的违法、违规行为的；</w:t>
      </w:r>
    </w:p>
    <w:p w14:paraId="2A47F03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28.2.3 投标人的报价均超过了采购预算，采购人不能支付的；</w:t>
      </w:r>
    </w:p>
    <w:p w14:paraId="4A17376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28.2.4 因重大变故，采购任务取消的。</w:t>
      </w:r>
    </w:p>
    <w:p w14:paraId="1788676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28.3 废标后，采购人应当将废标理由通知所有投标人。</w:t>
      </w:r>
    </w:p>
    <w:p w14:paraId="0D1764DC">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29、投标文件的评价和比较 </w:t>
      </w:r>
    </w:p>
    <w:p w14:paraId="3AA6C51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29.1 评标委员会按招标文件规定的评标方法和标准，仅对资格性检查和符合性检查合格的投标文件进行商务和技术评估，综合比较与评价。</w:t>
      </w:r>
    </w:p>
    <w:p w14:paraId="776A14E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45F04E36">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29.2.1 服务的质量保证（保障）内容；</w:t>
      </w:r>
    </w:p>
    <w:p w14:paraId="6EEF36B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29.2.2 服务配备的人员；</w:t>
      </w:r>
    </w:p>
    <w:p w14:paraId="0070C3F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29.2.3 投标者的资信情况和履约能力；</w:t>
      </w:r>
    </w:p>
    <w:p w14:paraId="67B3CA2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29.2.4 投标者提供的其他优惠条件；</w:t>
      </w:r>
    </w:p>
    <w:p w14:paraId="19E5E0D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29.2.5 参与本项目政府采购工作的态度及信誉；</w:t>
      </w:r>
    </w:p>
    <w:p w14:paraId="72398A6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29.2.6 最低的投标报价或最高的折扣比例是中标的重要条件，但不是唯一条件。</w:t>
      </w:r>
    </w:p>
    <w:p w14:paraId="7758216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七、签订合同</w:t>
      </w:r>
    </w:p>
    <w:p w14:paraId="62420CB4">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30、中标单位的确认</w:t>
      </w:r>
    </w:p>
    <w:p w14:paraId="40900EE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30.1 评标委员会按招标文件规定的评标方法和标准进行详细评审后，按采购代理机构的委托向采购代理机构推荐中标候选单位或根据采购人授权直接确定中标供应商。</w:t>
      </w:r>
    </w:p>
    <w:p w14:paraId="2488D08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30.2 经评标委员会评审并确定中标供应商后，采购代理机构将在规定的时间内将中标结果在相关媒体上予以公告。</w:t>
      </w:r>
    </w:p>
    <w:p w14:paraId="66425AF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7202C4A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30.4 质疑函递交地点及联系方式详见 37.3 质疑函接收单位信息。</w:t>
      </w:r>
    </w:p>
    <w:p w14:paraId="3B4B151C">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31、合同授予</w:t>
      </w:r>
    </w:p>
    <w:p w14:paraId="63E98EC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31.1 采购人将把合同授予其投标文件在实质上响应招标文件要求和按本须知规定评选出的投标人。确定为中标的投标人必须具有实施本合同的能力和资源。</w:t>
      </w:r>
    </w:p>
    <w:p w14:paraId="195E427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22072906">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32、中标通知书 </w:t>
      </w:r>
    </w:p>
    <w:p w14:paraId="2FD0FE8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p>
    <w:p w14:paraId="1B1FC363">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32.2 中标通知书在中标公告发布后将发布在业务系统中，中标通知书发布之日视为中标供应商领取之日，中标供应商自行在业务系统中下载打印。</w:t>
      </w:r>
    </w:p>
    <w:p w14:paraId="7E74B25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32.3 中标通知书将成为合同的组成部分。</w:t>
      </w:r>
    </w:p>
    <w:p w14:paraId="7CD7EEB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32.4 采购代理机构对未中标供应商不承担解释未中标原因的义务。</w:t>
      </w:r>
    </w:p>
    <w:p w14:paraId="63C914DA">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33、履约保证金</w:t>
      </w:r>
    </w:p>
    <w:p w14:paraId="658CFEF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33.1 中标供应商按合同约定的要求提交履约保证金。</w:t>
      </w:r>
    </w:p>
    <w:p w14:paraId="2A29477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33.2 履约保证金用以约束供应商在合同履行中的行为，弥补合同执行中由于自身行为可能给采购人带来的各种损失。</w:t>
      </w:r>
    </w:p>
    <w:p w14:paraId="7CEFFA9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33.3 履约保证金（无息）将在中标供应商合同履行完毕后，采购人在五个工作日内退返中标供应商。</w:t>
      </w:r>
    </w:p>
    <w:p w14:paraId="717C24D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34、合同的签订</w:t>
      </w:r>
    </w:p>
    <w:p w14:paraId="0578BFF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34.1 中标供应商应按中标通知书中规定的时间和地点，按照招标文件确定的事项由法定代表人或代理人与采购人代表签订合同，且不得迟于中标通知书发出之日起三十日内，否则按放弃中标权处理。</w:t>
      </w:r>
    </w:p>
    <w:p w14:paraId="1F64FFF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34.2 签订合同及合同条款应以招标文件和中标供应商的投标文件及其澄清文件为依据。</w:t>
      </w:r>
    </w:p>
    <w:p w14:paraId="19B5239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34.3 中标人无正当理由拒签合同的，或在签订合同时向采购人提出附加条件或者更改合同实质性内容的，采购人可取消其中标资格，同时由中标人承担相应的法律责任。</w:t>
      </w:r>
    </w:p>
    <w:p w14:paraId="18D0A17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7A8B2D9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八、质疑与投诉 </w:t>
      </w:r>
    </w:p>
    <w:p w14:paraId="7F48213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35、</w:t>
      </w:r>
      <w:r>
        <w:rPr>
          <w:rFonts w:hint="eastAsia" w:hAnsi="宋体" w:cs="宋体"/>
          <w:b w:val="0"/>
          <w:bCs w:val="0"/>
          <w:sz w:val="24"/>
          <w:szCs w:val="24"/>
        </w:rPr>
        <w:t>质疑的提出和答复、投诉的提起和处理须按《政府采购质疑和投诉办法》（中华人民共和国财政部令第 94 号）相关规定执行。</w:t>
      </w:r>
    </w:p>
    <w:p w14:paraId="5C1F4934">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36、质疑的提出 </w:t>
      </w:r>
    </w:p>
    <w:p w14:paraId="4903295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36.1 提出质疑的供应商应当是参与所质疑项目采购活动的供应商。未参加投标活动的供应商或在投标活动中自身权益未受到损害的供应商所提出的质疑不予受理。</w:t>
      </w:r>
    </w:p>
    <w:p w14:paraId="3DC8543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36.2 供应商认为采购文件、采购过程、中标或者成交结果使自己的权益受到损害的，可以在知道或应知其权益受到损害之日起 7 个工作日内，以书面形式向采购人、采购代理机构提出质疑。</w:t>
      </w:r>
    </w:p>
    <w:p w14:paraId="7B3D470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36.3 上述应知其权益受到损害之日是指：</w:t>
      </w:r>
    </w:p>
    <w:p w14:paraId="1FF137B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（1）对采购文件提出质疑的，为获取采购文件或者采购文件公告期限届满之日起计算；</w:t>
      </w:r>
    </w:p>
    <w:p w14:paraId="0E2AC73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（2）对采购过程提出质疑的，自采购程序环节结束之日起计算；</w:t>
      </w:r>
    </w:p>
    <w:p w14:paraId="06A692C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（3）对中标结果提出质疑的，自中标结果公告期限届满之日起计算。</w:t>
      </w:r>
    </w:p>
    <w:p w14:paraId="5F41734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36.4 供应商提出质疑应当提交质疑函和必要的证明材料。质疑函应当包括下列内容：</w:t>
      </w:r>
    </w:p>
    <w:p w14:paraId="21C0455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（1）供应商的姓名或者名称、地址、邮编、联系人及联系电话；</w:t>
      </w:r>
    </w:p>
    <w:p w14:paraId="2476BD4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（2）质疑项目的名称、编号；</w:t>
      </w:r>
    </w:p>
    <w:p w14:paraId="41E26F9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（3）具体、明确的质疑事项和与质疑事项相关的请求；</w:t>
      </w:r>
    </w:p>
    <w:p w14:paraId="7B77A51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（4）事实依据；</w:t>
      </w:r>
    </w:p>
    <w:p w14:paraId="48A6EF8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（5）必要的法律依据；</w:t>
      </w:r>
    </w:p>
    <w:p w14:paraId="269349A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（6）提出质疑的日期。</w:t>
      </w:r>
    </w:p>
    <w:p w14:paraId="45B8CE7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36.5 质疑函的格式和内容应当符合财政部《政府采购供应商质疑函范本》 要求，质疑函范本在财政部官网上提供下载。</w:t>
      </w:r>
    </w:p>
    <w:p w14:paraId="1155975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36.6 提交质疑函同时应当附如下证明材料：</w:t>
      </w:r>
    </w:p>
    <w:p w14:paraId="6918075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（1）对采购文件提出质疑的供应商提供参加本项目的报名确认单；</w:t>
      </w:r>
    </w:p>
    <w:p w14:paraId="5D5F46F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（2）质疑供应商的营业执照复印件加盖单位公章；</w:t>
      </w:r>
    </w:p>
    <w:p w14:paraId="75D1092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（3）质疑供应商法定代表人身份证复印件加盖单位公章；</w:t>
      </w:r>
    </w:p>
    <w:p w14:paraId="1AC58C5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（4）质疑供应商若委托代理人进行质疑的，提供法人授权委托书及代理人身份证复印件加盖单位公章，授权委托书应载明代理人的姓名或者名称、代理事项、具体权限、期限和相关事项。</w:t>
      </w:r>
    </w:p>
    <w:p w14:paraId="3EF24462">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（5）苏采云系统中下载的《投标供应商确认函》复印件加盖单位公章。</w:t>
      </w:r>
    </w:p>
    <w:p w14:paraId="726A91E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36.7 供应商为自然人的，质疑函应当由本人签字；供应商为法人或者其他组织的，应当由法定代表人、主要负责人，或者其授权代表签字或者盖章，并加盖公章。质疑函须原件。</w:t>
      </w:r>
    </w:p>
    <w:p w14:paraId="0F2C64F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36.8 供应商须在在法定质疑期内一次性提出针对同一采购程序环节的质疑。</w:t>
      </w:r>
    </w:p>
    <w:p w14:paraId="71E79E0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37、质疑的受理与答复</w:t>
      </w:r>
    </w:p>
    <w:p w14:paraId="38356EB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37.1 采购人负责供应商质疑答复。采购人委托采购代理机构采购的，采购代理机构在委托授权范围内作出答复。</w:t>
      </w:r>
    </w:p>
    <w:p w14:paraId="0D0CD62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37.2 质疑函由采购代理机构办理签收手续。</w:t>
      </w:r>
    </w:p>
    <w:p w14:paraId="22D5571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37.4 采购人、采购代理机构应当在收到质疑函后 7 个工作日内作出答复，并以书面形式通知质疑供应商和其他有关供应商。 </w:t>
      </w:r>
    </w:p>
    <w:p w14:paraId="7D81F63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37.5 采购人、采购代理机构处理的其他要求按《政府采购质疑和投诉办法》（中华人民共和国财政部令第 94 号）相关规定执行。 </w:t>
      </w:r>
    </w:p>
    <w:p w14:paraId="660CA531">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38、投诉的提起</w:t>
      </w:r>
    </w:p>
    <w:p w14:paraId="0AB2858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38.1 质疑供应商对采购人、采购代理机构的答复不满意，或者采购人、采购代理机构未在规定时间内作出答复的，可以在答复期满后15个工作日内向采购人所属预算级次的财政部门提起投诉。</w:t>
      </w:r>
    </w:p>
    <w:p w14:paraId="7AFE3F0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 xml:space="preserve">38.2 供应商投诉时,应当提交投诉书和必要的证明材料，并按照被投诉采购人、采购代理机构（以下简称被投诉人）和与投诉事项有关的供应商数量提供投诉书的副本。投诉书应包括下列内容： </w:t>
      </w:r>
    </w:p>
    <w:p w14:paraId="3C1098A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（1）投诉人和被投诉人的姓名或者名称、通讯地址、邮编、联系人及联系电话；</w:t>
      </w:r>
    </w:p>
    <w:p w14:paraId="1038E45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（2）质疑和质疑答复情况说明及相关证明材料；</w:t>
      </w:r>
    </w:p>
    <w:p w14:paraId="286D139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（3）具体、明确的投诉事项和与投诉事项相关的投诉请求；</w:t>
      </w:r>
    </w:p>
    <w:p w14:paraId="6378AAE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（4）事实依据；</w:t>
      </w:r>
    </w:p>
    <w:p w14:paraId="547AAF7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（5）法律依据；</w:t>
      </w:r>
    </w:p>
    <w:p w14:paraId="4B305B8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（6）提起投诉的日期。</w:t>
      </w:r>
    </w:p>
    <w:p w14:paraId="1446610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38.3 投诉人为自然人的，投诉书应当由本人签字；投诉人为法人或者其他组织的，投诉书应当由法定代表人、主要负责人，或者其授权代表签字或者盖章，并加盖公章。</w:t>
      </w:r>
    </w:p>
    <w:p w14:paraId="5704788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38.4 投诉人提起投诉应当符合下列条件：</w:t>
      </w:r>
    </w:p>
    <w:p w14:paraId="77B4D08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（1）提起投诉前已依法进行质疑；</w:t>
      </w:r>
    </w:p>
    <w:p w14:paraId="25E449B0">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（2）投诉书内容符合本办法的规定；</w:t>
      </w:r>
    </w:p>
    <w:p w14:paraId="373DE04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（3）在投诉有效期限内提起投诉；</w:t>
      </w:r>
    </w:p>
    <w:p w14:paraId="13BABCE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（4）同一投诉事项未经财政部门投诉处理；</w:t>
      </w:r>
    </w:p>
    <w:p w14:paraId="1A011AD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（5）财政部规定的其他条件。</w:t>
      </w:r>
    </w:p>
    <w:p w14:paraId="58C96316">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38.5 供应商投诉的事项不得超出已质疑事项的范围，但基于质疑答复内容提出的投诉事项除外。</w:t>
      </w:r>
    </w:p>
    <w:p w14:paraId="5788F61E">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38.6 由采购人所属预算级次的财政部门根据《政府采购质疑和投诉办法》（中华人民共和国财政部令第 94 号）相关规定进行投诉处理。</w:t>
      </w:r>
    </w:p>
    <w:p w14:paraId="16B2611E">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 xml:space="preserve">九、其他事项 </w:t>
      </w:r>
    </w:p>
    <w:p w14:paraId="4FEAB4E5">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39、政府采购政策</w:t>
      </w:r>
    </w:p>
    <w:p w14:paraId="1E1A5813">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39.1 节能产品和环境标志产品</w:t>
      </w:r>
    </w:p>
    <w:p w14:paraId="62A6AEC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6AD2CF0D">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BAE75BA">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w:t>
      </w:r>
      <w:r>
        <w:rPr>
          <w:rFonts w:hint="eastAsia" w:hAnsi="宋体" w:cs="宋体"/>
          <w:bCs w:val="0"/>
          <w:sz w:val="24"/>
          <w:szCs w:val="24"/>
        </w:rPr>
        <w:t>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020D3C4">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39.2</w:t>
      </w:r>
      <w:r>
        <w:rPr>
          <w:rFonts w:hint="eastAsia" w:hAnsi="宋体" w:cs="宋体"/>
          <w:sz w:val="24"/>
          <w:szCs w:val="24"/>
        </w:rPr>
        <w:t>价格分评审</w:t>
      </w:r>
    </w:p>
    <w:p w14:paraId="2D50210E">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 w:val="0"/>
          <w:bCs w:val="0"/>
          <w:sz w:val="24"/>
          <w:szCs w:val="24"/>
        </w:rPr>
      </w:pPr>
      <w:r>
        <w:rPr>
          <w:rFonts w:hint="eastAsia" w:hAnsi="宋体" w:cs="宋体"/>
          <w:b w:val="0"/>
          <w:bCs w:val="0"/>
          <w:sz w:val="24"/>
          <w:szCs w:val="24"/>
        </w:rPr>
        <w:t>39.2.1 根据《政府采购促进中小企业发展管理办法（财库〔2020〕46号）及《关于贯彻执行绿色采购、促进残疾人就业和支持监狱企业发展有关政策的通知》（苏财购〔2019〕10号）的规定：</w:t>
      </w:r>
    </w:p>
    <w:p w14:paraId="4612BEC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（1）在货物采购项目中，货物由小型或微型企业制造，即货物由小型或微型企业生产且使用该小型或微型企业商号或者注册商标的，其报价在评审时给予20%的扣除，用扣除后的价格参与价格评审；</w:t>
      </w:r>
    </w:p>
    <w:p w14:paraId="1AF231C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1B3DA68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（3）在货物采购项目中，供应商提供的货物既有小型或微型企业制造货物，也有中型或大型企业制造货物的，不享受本办法规定的小微企业价格扶持政策。</w:t>
      </w:r>
    </w:p>
    <w:p w14:paraId="5D033DE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（4）以联合体形式参加政府采购活动，联合体各方均为中小企业的，联合体视同中小企业。其中，联合体各方均为小微企业的，联合体视同小微企业。</w:t>
      </w:r>
    </w:p>
    <w:p w14:paraId="7C4A7BA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（5）符合中小企业划分标准的个体工商户，在政府采购活动中视同中小企业。</w:t>
      </w:r>
    </w:p>
    <w:p w14:paraId="4E1EDA4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（6）中小企业划分标准详见“工信部联企业〔2011〕300号通知”。</w:t>
      </w:r>
    </w:p>
    <w:p w14:paraId="5C4ECEA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（7）中标、成交供应商享受本办法规定的中小企业扶持政策的，《中小企业声明函》应当随中标、成交结果同时公告，接受社会监督。</w:t>
      </w:r>
    </w:p>
    <w:p w14:paraId="779A1FD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（8）以上规定未尽事项，按《政府采购促进中小企业发展管理办法》（财库﹝2020﹞46号）等有关制度规定执行。</w:t>
      </w:r>
    </w:p>
    <w:p w14:paraId="64C84C44">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39.2.2 残疾人福利性单位政策</w:t>
      </w:r>
    </w:p>
    <w:p w14:paraId="69CC6958">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0CF011B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1162E4F7">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（3）中标、成交供应商为残疾人福利性单位的，《残疾人福利性单位声明函》应当随中标、成交结果同时公告，接受社会监督。</w:t>
      </w:r>
    </w:p>
    <w:p w14:paraId="7ECA2059">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39.2.3 监狱企业发展政策</w:t>
      </w:r>
    </w:p>
    <w:p w14:paraId="7C55DCF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（1）根据《关于政府采购支持监狱企业发展有关问题的通知》（财库〔2014〕68号）规定，投标供应商若为监狱企业的，视同小微型企业，享受评审中价格扣除等政府采购促进中小企业发展的政府采购政策。</w:t>
      </w:r>
    </w:p>
    <w:p w14:paraId="6E6F1575">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EADA143">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bCs w:val="0"/>
          <w:sz w:val="24"/>
          <w:szCs w:val="24"/>
        </w:rPr>
      </w:pPr>
      <w:r>
        <w:rPr>
          <w:rFonts w:hint="eastAsia" w:hAnsi="宋体" w:cs="宋体"/>
          <w:bCs w:val="0"/>
          <w:sz w:val="24"/>
          <w:szCs w:val="24"/>
        </w:rPr>
        <w:t xml:space="preserve">39.2.4 </w:t>
      </w:r>
      <w:r>
        <w:rPr>
          <w:rFonts w:hint="eastAsia" w:hAnsi="宋体" w:cs="宋体"/>
          <w:sz w:val="24"/>
          <w:szCs w:val="24"/>
        </w:rPr>
        <w:t>专门面向中小企业采购的项目，不再执行价格评审优惠的扶持政策。</w:t>
      </w:r>
    </w:p>
    <w:p w14:paraId="7DE7CAE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p>
    <w:p w14:paraId="134A1B59">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若投标供应商提供的声明函或认定证明为虚假声明则视同提供虚假材料，按“政府采购法”相关规定处理并报请政府监管部门给予行政处罚。</w:t>
      </w:r>
    </w:p>
    <w:p w14:paraId="23EB6A06">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40、中标服务费</w:t>
      </w:r>
    </w:p>
    <w:p w14:paraId="3A2F5631">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40.1 本项目的采购代理服务费由中标单位承担，按各采购包预算金额计算并支付中标服务费，评委费按实另计；中标单位在领取中标通知书时付清。中标服务收费按差额定率累进法计算：采购包预算金额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p>
    <w:p w14:paraId="759A6EBC">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40.2 中标单位如果未按规定缴纳中标服务费，招标采购单位将保留诉讼的权利。</w:t>
      </w:r>
    </w:p>
    <w:p w14:paraId="79C45A10">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41、监督</w:t>
      </w:r>
    </w:p>
    <w:p w14:paraId="7156A0CF">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42.1 政府有关监督部门将对招投标全过程进行监督。</w:t>
      </w:r>
    </w:p>
    <w:p w14:paraId="01EB4EDF">
      <w:pPr>
        <w:pStyle w:val="7"/>
        <w:keepNext w:val="0"/>
        <w:keepLines w:val="0"/>
        <w:pageBreakBefore w:val="0"/>
        <w:kinsoku/>
        <w:wordWrap/>
        <w:overflowPunct/>
        <w:topLinePunct w:val="0"/>
        <w:autoSpaceDE/>
        <w:autoSpaceDN/>
        <w:bidi w:val="0"/>
        <w:spacing w:line="360" w:lineRule="auto"/>
        <w:ind w:left="0" w:firstLine="422"/>
        <w:textAlignment w:val="auto"/>
        <w:rPr>
          <w:rFonts w:hAnsi="宋体" w:cs="宋体"/>
          <w:sz w:val="24"/>
          <w:szCs w:val="24"/>
        </w:rPr>
      </w:pPr>
      <w:r>
        <w:rPr>
          <w:rFonts w:hint="eastAsia" w:hAnsi="宋体" w:cs="宋体"/>
          <w:sz w:val="24"/>
          <w:szCs w:val="24"/>
        </w:rPr>
        <w:t>42、未尽事宜</w:t>
      </w:r>
    </w:p>
    <w:p w14:paraId="19D256DB">
      <w:pPr>
        <w:pStyle w:val="7"/>
        <w:keepNext w:val="0"/>
        <w:keepLines w:val="0"/>
        <w:pageBreakBefore w:val="0"/>
        <w:kinsoku/>
        <w:wordWrap/>
        <w:overflowPunct/>
        <w:topLinePunct w:val="0"/>
        <w:autoSpaceDE/>
        <w:autoSpaceDN/>
        <w:bidi w:val="0"/>
        <w:spacing w:line="360" w:lineRule="auto"/>
        <w:ind w:left="0" w:firstLine="420"/>
        <w:textAlignment w:val="auto"/>
        <w:rPr>
          <w:rFonts w:hAnsi="宋体" w:cs="宋体"/>
          <w:b w:val="0"/>
          <w:bCs w:val="0"/>
          <w:sz w:val="24"/>
          <w:szCs w:val="24"/>
        </w:rPr>
      </w:pPr>
      <w:r>
        <w:rPr>
          <w:rFonts w:hint="eastAsia" w:hAnsi="宋体" w:cs="宋体"/>
          <w:b w:val="0"/>
          <w:bCs w:val="0"/>
          <w:sz w:val="24"/>
          <w:szCs w:val="24"/>
        </w:rPr>
        <w:t>按《中华人民共和国政府采购法》及其他有关政府采购的法律法规的的规定执行。</w:t>
      </w:r>
    </w:p>
    <w:p w14:paraId="0D0D8A3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cs="宋体"/>
          <w:sz w:val="24"/>
          <w:szCs w:val="24"/>
        </w:rPr>
        <w:sectPr>
          <w:pgSz w:w="11906" w:h="16838"/>
          <w:pgMar w:top="1361" w:right="1304" w:bottom="1304" w:left="1361" w:header="851" w:footer="992" w:gutter="0"/>
          <w:cols w:space="720" w:num="1"/>
          <w:docGrid w:linePitch="360" w:charSpace="0"/>
        </w:sectPr>
      </w:pPr>
    </w:p>
    <w:p w14:paraId="1CCADF4B">
      <w:pPr>
        <w:keepNext w:val="0"/>
        <w:keepLines w:val="0"/>
        <w:pageBreakBefore w:val="0"/>
        <w:kinsoku/>
        <w:wordWrap/>
        <w:overflowPunct/>
        <w:topLinePunct w:val="0"/>
        <w:autoSpaceDE/>
        <w:autoSpaceDN/>
        <w:bidi w:val="0"/>
        <w:spacing w:line="360" w:lineRule="auto"/>
        <w:jc w:val="center"/>
        <w:textAlignment w:val="auto"/>
        <w:outlineLvl w:val="0"/>
        <w:rPr>
          <w:rFonts w:hAnsi="宋体"/>
          <w:b/>
          <w:bCs/>
          <w:sz w:val="32"/>
          <w:szCs w:val="32"/>
        </w:rPr>
      </w:pPr>
      <w:bookmarkStart w:id="11" w:name="_Toc188363122"/>
      <w:r>
        <w:rPr>
          <w:rFonts w:hint="eastAsia" w:hAnsi="宋体"/>
          <w:b/>
          <w:bCs/>
          <w:sz w:val="32"/>
          <w:szCs w:val="32"/>
        </w:rPr>
        <w:t>第三章</w:t>
      </w:r>
      <w:r>
        <w:rPr>
          <w:rFonts w:hAnsi="宋体"/>
          <w:b/>
          <w:bCs/>
          <w:sz w:val="32"/>
          <w:szCs w:val="32"/>
        </w:rPr>
        <w:t xml:space="preserve"> </w:t>
      </w:r>
      <w:r>
        <w:rPr>
          <w:rFonts w:hint="eastAsia" w:hAnsi="宋体"/>
          <w:b/>
          <w:bCs/>
          <w:sz w:val="32"/>
          <w:szCs w:val="32"/>
        </w:rPr>
        <w:t>项目需求</w:t>
      </w:r>
      <w:bookmarkEnd w:id="11"/>
    </w:p>
    <w:p w14:paraId="76CEF6E9">
      <w:pPr>
        <w:pStyle w:val="238"/>
        <w:keepNext w:val="0"/>
        <w:keepLines w:val="0"/>
        <w:pageBreakBefore w:val="0"/>
        <w:kinsoku/>
        <w:wordWrap/>
        <w:overflowPunct/>
        <w:topLinePunct w:val="0"/>
        <w:autoSpaceDE/>
        <w:autoSpaceDN/>
        <w:bidi w:val="0"/>
        <w:spacing w:line="360" w:lineRule="auto"/>
        <w:ind w:firstLine="0"/>
        <w:textAlignment w:val="auto"/>
        <w:rPr>
          <w:rFonts w:hAnsi="宋体"/>
        </w:rPr>
      </w:pPr>
    </w:p>
    <w:p w14:paraId="229C8A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bookmarkStart w:id="12" w:name="_Hlk121126111"/>
      <w:r>
        <w:rPr>
          <w:rFonts w:hint="eastAsia"/>
          <w:sz w:val="24"/>
          <w:szCs w:val="24"/>
        </w:rPr>
        <w:t>江苏兆丰项目管理有限公司受太仓市殡仪馆的委托，就其所需的太仓市殡仪馆炉大修及布袋更换项目进行国内公开招标，欢迎有资格的投标人前来参加投标。</w:t>
      </w:r>
    </w:p>
    <w:p w14:paraId="050C2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4"/>
          <w:lang w:eastAsia="zh-CN"/>
        </w:rPr>
      </w:pPr>
      <w:r>
        <w:rPr>
          <w:rFonts w:hint="eastAsia"/>
          <w:sz w:val="24"/>
          <w:szCs w:val="24"/>
        </w:rPr>
        <w:t>一、项目编号：</w:t>
      </w:r>
      <w:r>
        <w:rPr>
          <w:rFonts w:hint="eastAsia"/>
          <w:sz w:val="24"/>
          <w:szCs w:val="24"/>
          <w:lang w:eastAsia="zh-CN"/>
        </w:rPr>
        <w:t>JSZC-320585-ZFXM-G2025-0010</w:t>
      </w:r>
    </w:p>
    <w:p w14:paraId="55B1E8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二、招标项目：</w:t>
      </w:r>
    </w:p>
    <w:p w14:paraId="7323E0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1、项目名称：太仓市殡仪馆炉大修及布袋更换项目。</w:t>
      </w:r>
    </w:p>
    <w:p w14:paraId="7BFB0D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2、预算金额：人民币228万元。</w:t>
      </w:r>
    </w:p>
    <w:p w14:paraId="3B9804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3、最高限价：同预算金额。</w:t>
      </w:r>
    </w:p>
    <w:p w14:paraId="655276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4、履约期限：自合同签订之日起90日历天完成采购、安装及调试。</w:t>
      </w:r>
    </w:p>
    <w:p w14:paraId="0EB766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5、履约地点：采购人指定地点。</w:t>
      </w:r>
    </w:p>
    <w:p w14:paraId="62FBAC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lang w:eastAsia="zh-CN"/>
        </w:rPr>
        <w:t>三、</w:t>
      </w:r>
      <w:r>
        <w:rPr>
          <w:rFonts w:hint="eastAsia"/>
          <w:sz w:val="24"/>
          <w:szCs w:val="24"/>
        </w:rPr>
        <w:t>采购需求：</w:t>
      </w:r>
    </w:p>
    <w:p w14:paraId="791CA6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（一）平板炉大修的技术参数和要求（4台）</w:t>
      </w:r>
    </w:p>
    <w:p w14:paraId="09B882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1、使用燃料：0～20#轻柴油；</w:t>
      </w:r>
    </w:p>
    <w:p w14:paraId="49471A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2、首具遗体火化耗油量：≤12公斤；</w:t>
      </w:r>
    </w:p>
    <w:p w14:paraId="732CA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3、三具平均火化耗油量：≤8公斤/具；</w:t>
      </w:r>
    </w:p>
    <w:p w14:paraId="3860AC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4、单具遗体常温进炉火化时间：≤50分钟/具；</w:t>
      </w:r>
    </w:p>
    <w:p w14:paraId="6DAF9A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5、三具平均火化时间：≤35分钟/具；</w:t>
      </w:r>
    </w:p>
    <w:p w14:paraId="0F38F1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6、主炉膛工作压力：-9.8Pa～-30Pa；</w:t>
      </w:r>
    </w:p>
    <w:p w14:paraId="6E84EE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7、主炉膛最大负压：&lt;-300 Pa；</w:t>
      </w:r>
    </w:p>
    <w:p w14:paraId="513744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8、主燃室工作温度：650℃～900℃；</w:t>
      </w:r>
    </w:p>
    <w:p w14:paraId="71B52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9、再燃室工作温度：600℃～850℃；</w:t>
      </w:r>
    </w:p>
    <w:p w14:paraId="5199A6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10．火化炉表面温升：小于30℃；局部小于60℃；</w:t>
      </w:r>
    </w:p>
    <w:p w14:paraId="24E46F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11．保温性能：燃烧室温度900℃，停炉24小时后，主温大于200℃；</w:t>
      </w:r>
    </w:p>
    <w:p w14:paraId="38440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12．火化正常遗体时，烟气黑度值不大于林格曼一级；</w:t>
      </w:r>
    </w:p>
    <w:p w14:paraId="5453A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13．电器总功率：小于25KW；</w:t>
      </w:r>
    </w:p>
    <w:p w14:paraId="4E5734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14．系统工作电压：输入电压380V±5%（三相五线制）；</w:t>
      </w:r>
    </w:p>
    <w:p w14:paraId="7A78E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15．电器控制工作电压：220VAC，24VDC；</w:t>
      </w:r>
    </w:p>
    <w:p w14:paraId="7FD2DE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16.配置火化机的304不锈钢防爆口装置。</w:t>
      </w:r>
    </w:p>
    <w:p w14:paraId="6243BF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17.检修火化机供风应急系统。</w:t>
      </w:r>
    </w:p>
    <w:p w14:paraId="4D6A9B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18.采用炉膛拱顶预热装置，厚度2mm—3mm304不锈钢管材料制作、使用不锈钢焊条焊制</w:t>
      </w:r>
      <w:r>
        <w:rPr>
          <w:rFonts w:hint="eastAsia"/>
          <w:sz w:val="24"/>
          <w:szCs w:val="24"/>
          <w:lang w:eastAsia="zh-CN"/>
        </w:rPr>
        <w:t>。</w:t>
      </w:r>
      <w:r>
        <w:rPr>
          <w:rFonts w:hint="eastAsia"/>
          <w:sz w:val="24"/>
          <w:szCs w:val="24"/>
        </w:rPr>
        <w:t>（投标文件中需</w:t>
      </w:r>
      <w:r>
        <w:rPr>
          <w:rFonts w:hint="eastAsia"/>
          <w:sz w:val="24"/>
          <w:szCs w:val="24"/>
          <w:lang w:eastAsia="zh-CN"/>
        </w:rPr>
        <w:t>提供由第三方检测机构出具的带有CMA标识的检测报告</w:t>
      </w:r>
      <w:r>
        <w:rPr>
          <w:rFonts w:hint="eastAsia"/>
          <w:sz w:val="24"/>
          <w:szCs w:val="24"/>
        </w:rPr>
        <w:t>，并提供全国认证认可信息公共服务平台的检测报告上报查询截图。）</w:t>
      </w:r>
    </w:p>
    <w:p w14:paraId="0D279B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19.更换燃烧器主枪。</w:t>
      </w:r>
    </w:p>
    <w:p w14:paraId="1E8FB3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20.主炉膛尺寸（约）：长X宽X高=2100mmX720mmX700mm（±10%）。（具体由采购人委托的监理单位现场进行确认）</w:t>
      </w:r>
    </w:p>
    <w:p w14:paraId="71EBC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21.炉门提升系统：采用链条链轮传动方式，设配重块，运行平稳，噪音低；炉门采用4MM耐热钢板制作金属框，框内压制高级硅酸铝纤维毯，炉门中心浇制200mmX200mm左右的高温钢纤维混泥土料，以抗击明火的侵蚀。</w:t>
      </w:r>
    </w:p>
    <w:p w14:paraId="624E93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22.主炉膛采用高级磷酸盐高铝砖，可抗高温1200度以上，砌缝不得超过3MM；其他应采用标准耐火砖，可抗高温900度以上。炉膛火口砖及炉门口墙砖采用碳化硅耐火砖；炉体耐火砖采用磷酸盐砖；平板砖及异型耐火砖采用一级高铝砖；热风管道采用耐高温304不锈钢管；</w:t>
      </w:r>
    </w:p>
    <w:p w14:paraId="7BDA50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23.主炉拱顶采用高温钢纤维耐火混泥土预制，炉顶采用硅酸铝纤维毯进行隔热后用高温混泥土进行压实覆盖。</w:t>
      </w:r>
    </w:p>
    <w:p w14:paraId="2364E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24.炉内风管采用304不锈钢材料制作，焊缝必须牢固不漏风。</w:t>
      </w:r>
    </w:p>
    <w:p w14:paraId="2A2B72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25.整理和修改炉体钢结构系统</w:t>
      </w:r>
    </w:p>
    <w:p w14:paraId="03BE12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（1）炉体外型尺寸：L*W*H=3400mm*2300mm*2310mm(±10%)</w:t>
      </w:r>
    </w:p>
    <w:p w14:paraId="254C5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（2）整理和修改火化炉的前立架系统，更换损坏或严重变形的部件。</w:t>
      </w:r>
    </w:p>
    <w:p w14:paraId="44DBE0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（3）整理和修改火化炉的侧架系统，更换损坏或严重变形的部件。</w:t>
      </w:r>
    </w:p>
    <w:p w14:paraId="03711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（4）整理和修改火化炉的后立架系统，更换损坏或严重变形的部件。</w:t>
      </w:r>
    </w:p>
    <w:p w14:paraId="4168B5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（5）炉架材质：采用国标（GB/T706-2008)5#角钢等，材质为Q235B碳素结构钢，坚固耐用，不变形。</w:t>
      </w:r>
    </w:p>
    <w:p w14:paraId="66105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26.整理和检修遗体输送系统</w:t>
      </w:r>
    </w:p>
    <w:p w14:paraId="38FD9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（1）整理和修改遗体输送系统，更换损坏或严重变形的部件。</w:t>
      </w:r>
    </w:p>
    <w:p w14:paraId="213E0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（2）进尸系统灵活、平稳、低噪音。</w:t>
      </w:r>
    </w:p>
    <w:p w14:paraId="52E4CB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27.整理和维修预备门系统</w:t>
      </w:r>
    </w:p>
    <w:p w14:paraId="261A5B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（1）整理和修改预备门系统，更换损坏或严重变形的部件。</w:t>
      </w:r>
    </w:p>
    <w:p w14:paraId="723158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（2）预备门系统灵活、平稳、低噪音。</w:t>
      </w:r>
    </w:p>
    <w:p w14:paraId="70CDD3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（3）主要功能；是使预备室与大厅隔离，开门进行接尸入炉，接尸动作完成后门关闭，使大厅美观清洁。</w:t>
      </w:r>
    </w:p>
    <w:p w14:paraId="24DB48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28.整理和检修电气控制系统</w:t>
      </w:r>
    </w:p>
    <w:p w14:paraId="038567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（1）整理和检修电器控制系统，引风机星三角启动控制柜采用独立的电器控制柜，具有过载、短路等电器保护功能及系统综合控制功能。</w:t>
      </w:r>
    </w:p>
    <w:p w14:paraId="3BC4A7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（2）能够清晰显示压力、温度等各项技术参数；适用电源 380V/220V  50HZ。           </w:t>
      </w:r>
    </w:p>
    <w:p w14:paraId="1EA1F5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（3）控制程序设定值是可调的，输入设定值后，在各设定值的上限、下限范围内由电脑全自动控制。整个控制系统安全、可靠、操作维修方便、故障率低。</w:t>
      </w:r>
    </w:p>
    <w:p w14:paraId="3BFA17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（4）系统工作电压：380V±5%（三相五线制）；</w:t>
      </w:r>
    </w:p>
    <w:p w14:paraId="10E0A8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（5）控制工作电压：220VAC，24VDC；</w:t>
      </w:r>
    </w:p>
    <w:p w14:paraId="0EFD1E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（6）具有自动、半自动和手动控制三种方式，可以互不干扰自由切换。带漏电保护，多段温度显示，超温自动停止供油保护，具备同步设备运行信号显示功能。</w:t>
      </w:r>
    </w:p>
    <w:p w14:paraId="794FF6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（7）压力及温度控制：利用压力模块、温度模块自动检测炉膛压力及温度，以控制炉膛温度，控制烟道闸板升降，调整炉膛压力。</w:t>
      </w:r>
    </w:p>
    <w:p w14:paraId="3DA76B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29.整理和检修供风系统</w:t>
      </w:r>
    </w:p>
    <w:p w14:paraId="6CDBA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（1）整理和检修鼓风机系统，更换损坏或严重变形的部件。</w:t>
      </w:r>
    </w:p>
    <w:p w14:paraId="12BEB4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（2）鼓风机系统运行平稳、低噪音，风力大。</w:t>
      </w:r>
    </w:p>
    <w:p w14:paraId="5DD467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30.整理和检修供油系统</w:t>
      </w:r>
    </w:p>
    <w:p w14:paraId="11E0EB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（1）整理和检修供油系统，做到不漏油，密封好；耐高温、耐腐蚀、稳定性能高、抗压强度大。</w:t>
      </w:r>
    </w:p>
    <w:p w14:paraId="7F36BE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31.整理和检修引风机系统</w:t>
      </w:r>
    </w:p>
    <w:p w14:paraId="1F84CE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（1）整理和检修引风机系统，更换损坏或严重变形的部件。</w:t>
      </w:r>
    </w:p>
    <w:p w14:paraId="10E9E4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（2）引风机系统运行平稳、低噪音，引力大。</w:t>
      </w:r>
    </w:p>
    <w:p w14:paraId="7ADA18A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（二）拣灰炉大修的技术参数和要求（2台）</w:t>
      </w:r>
    </w:p>
    <w:p w14:paraId="1389FD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w:t>
      </w:r>
      <w:r>
        <w:rPr>
          <w:rFonts w:hint="eastAsia"/>
          <w:sz w:val="24"/>
          <w:szCs w:val="24"/>
          <w:lang w:val="en-US" w:eastAsia="zh-CN"/>
        </w:rPr>
        <w:t>.</w:t>
      </w:r>
      <w:r>
        <w:rPr>
          <w:rFonts w:hint="eastAsia"/>
          <w:sz w:val="24"/>
          <w:szCs w:val="24"/>
        </w:rPr>
        <w:t>使用燃料：0～20#轻柴油；</w:t>
      </w:r>
    </w:p>
    <w:p w14:paraId="702B80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w:t>
      </w:r>
      <w:r>
        <w:rPr>
          <w:rFonts w:hint="eastAsia"/>
          <w:sz w:val="24"/>
          <w:szCs w:val="24"/>
          <w:lang w:val="en-US" w:eastAsia="zh-CN"/>
        </w:rPr>
        <w:t>.</w:t>
      </w:r>
      <w:r>
        <w:rPr>
          <w:rFonts w:hint="eastAsia"/>
          <w:sz w:val="24"/>
          <w:szCs w:val="24"/>
        </w:rPr>
        <w:t>首具遗体火化耗油量：≤20公斤；</w:t>
      </w:r>
    </w:p>
    <w:p w14:paraId="75A59D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w:t>
      </w:r>
      <w:r>
        <w:rPr>
          <w:rFonts w:hint="eastAsia"/>
          <w:sz w:val="24"/>
          <w:szCs w:val="24"/>
          <w:lang w:val="en-US" w:eastAsia="zh-CN"/>
        </w:rPr>
        <w:t>.</w:t>
      </w:r>
      <w:r>
        <w:rPr>
          <w:rFonts w:hint="eastAsia"/>
          <w:sz w:val="24"/>
          <w:szCs w:val="24"/>
        </w:rPr>
        <w:t>三具平均火化耗油量：≤18公斤/具；</w:t>
      </w:r>
    </w:p>
    <w:p w14:paraId="6F74F1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w:t>
      </w:r>
      <w:r>
        <w:rPr>
          <w:rFonts w:hint="eastAsia"/>
          <w:sz w:val="24"/>
          <w:szCs w:val="24"/>
          <w:lang w:val="en-US" w:eastAsia="zh-CN"/>
        </w:rPr>
        <w:t>.</w:t>
      </w:r>
      <w:r>
        <w:rPr>
          <w:rFonts w:hint="eastAsia"/>
          <w:sz w:val="24"/>
          <w:szCs w:val="24"/>
        </w:rPr>
        <w:t>单具遗体常温进炉火化时间：≤60分钟/具；</w:t>
      </w:r>
    </w:p>
    <w:p w14:paraId="400BC3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w:t>
      </w:r>
      <w:r>
        <w:rPr>
          <w:rFonts w:hint="eastAsia"/>
          <w:sz w:val="24"/>
          <w:szCs w:val="24"/>
          <w:lang w:val="en-US" w:eastAsia="zh-CN"/>
        </w:rPr>
        <w:t>.</w:t>
      </w:r>
      <w:r>
        <w:rPr>
          <w:rFonts w:hint="eastAsia"/>
          <w:sz w:val="24"/>
          <w:szCs w:val="24"/>
        </w:rPr>
        <w:t>三具平均火化时间：≤55分钟/具；</w:t>
      </w:r>
    </w:p>
    <w:p w14:paraId="2CA6B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w:t>
      </w:r>
      <w:r>
        <w:rPr>
          <w:rFonts w:hint="eastAsia"/>
          <w:sz w:val="24"/>
          <w:szCs w:val="24"/>
          <w:lang w:val="en-US" w:eastAsia="zh-CN"/>
        </w:rPr>
        <w:t>.</w:t>
      </w:r>
      <w:r>
        <w:rPr>
          <w:rFonts w:hint="eastAsia"/>
          <w:sz w:val="24"/>
          <w:szCs w:val="24"/>
        </w:rPr>
        <w:t>主炉膛工作压力：-9.8Pa～-30Pa；</w:t>
      </w:r>
    </w:p>
    <w:p w14:paraId="291832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w:t>
      </w:r>
      <w:r>
        <w:rPr>
          <w:rFonts w:hint="eastAsia"/>
          <w:sz w:val="24"/>
          <w:szCs w:val="24"/>
          <w:lang w:val="en-US" w:eastAsia="zh-CN"/>
        </w:rPr>
        <w:t>.</w:t>
      </w:r>
      <w:r>
        <w:rPr>
          <w:rFonts w:hint="eastAsia"/>
          <w:sz w:val="24"/>
          <w:szCs w:val="24"/>
        </w:rPr>
        <w:t>主炉膛最大负压：&lt;-300 Pa；</w:t>
      </w:r>
    </w:p>
    <w:p w14:paraId="141F54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8</w:t>
      </w:r>
      <w:r>
        <w:rPr>
          <w:rFonts w:hint="eastAsia"/>
          <w:sz w:val="24"/>
          <w:szCs w:val="24"/>
          <w:lang w:val="en-US" w:eastAsia="zh-CN"/>
        </w:rPr>
        <w:t>.</w:t>
      </w:r>
      <w:r>
        <w:rPr>
          <w:rFonts w:hint="eastAsia"/>
          <w:sz w:val="24"/>
          <w:szCs w:val="24"/>
        </w:rPr>
        <w:t>主燃室工作温度：650℃～900℃；</w:t>
      </w:r>
    </w:p>
    <w:p w14:paraId="4EDE8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9</w:t>
      </w:r>
      <w:r>
        <w:rPr>
          <w:rFonts w:hint="eastAsia"/>
          <w:sz w:val="24"/>
          <w:szCs w:val="24"/>
          <w:lang w:val="en-US" w:eastAsia="zh-CN"/>
        </w:rPr>
        <w:t>.</w:t>
      </w:r>
      <w:r>
        <w:rPr>
          <w:rFonts w:hint="eastAsia"/>
          <w:sz w:val="24"/>
          <w:szCs w:val="24"/>
        </w:rPr>
        <w:t>再燃室工作温度：600℃～850℃；</w:t>
      </w:r>
    </w:p>
    <w:p w14:paraId="2B18BF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10．火化炉表面温升：小于30℃；局部小于60℃；</w:t>
      </w:r>
    </w:p>
    <w:p w14:paraId="7FD875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11．保温性能：燃烧室温度900℃，停炉24小时后，主温大于200℃；</w:t>
      </w:r>
    </w:p>
    <w:p w14:paraId="452ACC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12．火化正常遗体时，烟气黑度值不大于林格曼一级；</w:t>
      </w:r>
    </w:p>
    <w:p w14:paraId="47D2C6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13．骨灰冷却时间：10分钟左右；</w:t>
      </w:r>
    </w:p>
    <w:p w14:paraId="615A97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14．电器总功率：小于25KW；</w:t>
      </w:r>
    </w:p>
    <w:p w14:paraId="448658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15．系统工作电压：输入电压380V±5%（三相五线制）；</w:t>
      </w:r>
    </w:p>
    <w:p w14:paraId="3628DF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16．电器控制工作电压：220VAC，24VDC；</w:t>
      </w:r>
    </w:p>
    <w:p w14:paraId="37A25A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17.配置火化机的304不锈钢防爆口装置。</w:t>
      </w:r>
    </w:p>
    <w:p w14:paraId="3FDF69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18.检修火化机供风应急系统。</w:t>
      </w:r>
    </w:p>
    <w:p w14:paraId="776C40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19.更换4副耐高温水泥浇注料的车床坑面</w:t>
      </w:r>
    </w:p>
    <w:p w14:paraId="470AB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20.供风管路采用无缝钢管，末端接触高温部位采用不锈钢材质。</w:t>
      </w:r>
    </w:p>
    <w:p w14:paraId="65E3FD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21.更换燃烧器主枪。</w:t>
      </w:r>
    </w:p>
    <w:p w14:paraId="659682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22.采用炉膛拱顶预热装置，厚度2mm—3mm304不锈钢管材料制作、使用不锈钢焊条焊制（投标文件中需</w:t>
      </w:r>
      <w:r>
        <w:rPr>
          <w:rFonts w:hint="eastAsia"/>
          <w:sz w:val="24"/>
          <w:szCs w:val="24"/>
          <w:lang w:eastAsia="zh-CN"/>
        </w:rPr>
        <w:t>提供由第三方检测机构出具的带有CMA标识的检测报告</w:t>
      </w:r>
      <w:r>
        <w:rPr>
          <w:rFonts w:hint="eastAsia"/>
          <w:sz w:val="24"/>
          <w:szCs w:val="24"/>
        </w:rPr>
        <w:t>，并提供全国认证认可信息公共服务平台的检测报告上报查询截图。）</w:t>
      </w:r>
    </w:p>
    <w:p w14:paraId="2137F7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23.主炉膛尺寸（约）：长X宽X高=2100mmX720mmX700mm。（具体由采购人委托的监理单位现场进行确认）</w:t>
      </w:r>
    </w:p>
    <w:p w14:paraId="36FF75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24.炉门提升系统：采用链条链轮传动方式，设配重块，运行平稳，噪音低；炉门采用4MM耐热钢板制作金属框，框内压制高级硅酸铝纤维毯，炉门中心浇制200MMX200MM左右的高温钢纤维混泥土料，以抗击明火的侵蚀。</w:t>
      </w:r>
    </w:p>
    <w:p w14:paraId="5ED211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25.主炉膛采用高级磷酸盐高铝砖，可抗高温1200度以上，砌缝不得超过3MM；其他应采用标准粘土耐火砖，可抗高温900度以上。炉膛火口砖及炉门口墙砖采用碳化硅耐火砖；炉体耐火砖采用磷酸盐砖；平板砖及异型耐火砖采用一级高铝砖；热风管道采用耐高温304不锈钢管；</w:t>
      </w:r>
    </w:p>
    <w:p w14:paraId="24FC20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26.主炉拱顶采用高温钢纤维耐火混泥土预制，炉顶采用硅酸铝纤维毯进行隔热后用高温混泥土进行压实覆盖。</w:t>
      </w:r>
    </w:p>
    <w:p w14:paraId="4F1CFC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27.炉内风管采用304不锈钢材料制作，焊缝必须牢固不漏风。</w:t>
      </w:r>
    </w:p>
    <w:p w14:paraId="769676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28.整理和修改炉体钢结构系统</w:t>
      </w:r>
    </w:p>
    <w:p w14:paraId="6BBCD6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（1）炉体外型尺寸：L*W*H=3400mm*2300mm*2310mm(±10%)</w:t>
      </w:r>
    </w:p>
    <w:p w14:paraId="308376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（2）整理和修改火化炉的前立架系统，更换损坏或严重变形的部件。</w:t>
      </w:r>
    </w:p>
    <w:p w14:paraId="5BC9A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（3）整理和修改火化炉的侧架系统，更换损坏或严重变形的部件。</w:t>
      </w:r>
    </w:p>
    <w:p w14:paraId="1305E6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（4）整理和修改火化炉的后立架系统，更换损坏或严重变形的部件。</w:t>
      </w:r>
    </w:p>
    <w:p w14:paraId="7F6B4D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（5）炉架材质：采用国标（GB/T706-2008)5#角钢等，材质为Q235B碳素结构钢，坚固耐用，不变形，截面尺寸5*50。</w:t>
      </w:r>
    </w:p>
    <w:p w14:paraId="00B24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29.整理和检修遗体输送系统</w:t>
      </w:r>
    </w:p>
    <w:p w14:paraId="6CC9BF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（1）整理和修改遗体输送系统，更换损坏或严重变形的部件。</w:t>
      </w:r>
    </w:p>
    <w:p w14:paraId="1865A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（2）进尸系统灵活、平稳、低噪音。</w:t>
      </w:r>
    </w:p>
    <w:p w14:paraId="0BBB1C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30.整理和维修预备门系统</w:t>
      </w:r>
    </w:p>
    <w:p w14:paraId="51E5A1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（1）整理和修改预备门系统，更换损坏或严重变形的部件。</w:t>
      </w:r>
    </w:p>
    <w:p w14:paraId="2A41D8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（2）预备门系统灵活、平稳、低噪音。</w:t>
      </w:r>
    </w:p>
    <w:p w14:paraId="0C8C5C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（3）主要功能；是使预备室与大厅隔离，开门进行接尸入炉，接尸动作完成后门关闭，使大厅美观清洁。</w:t>
      </w:r>
    </w:p>
    <w:p w14:paraId="536A00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31.整理和检修电气控制系统</w:t>
      </w:r>
    </w:p>
    <w:p w14:paraId="7B5D6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（1）整理和检修电器控制系统，引风机星三角启动控制采用独立的电器控制柜，具有过载、短路等电器保护功能及系统综合控制功能。</w:t>
      </w:r>
    </w:p>
    <w:p w14:paraId="53F2F9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（2）能够清晰显示压力、温度等各项技术参数；适用电源 380V/220V  50HZ。           </w:t>
      </w:r>
    </w:p>
    <w:p w14:paraId="356045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（3）控制程序设定值是可调的，输入设定值后，在各设定值的上限、下限范围内由电脑全自动控制。整个控制系统安全、可靠、操作维修方便、故障率低。</w:t>
      </w:r>
    </w:p>
    <w:p w14:paraId="19D9EE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（4）系统工作电压：380V±5%（三相五线制）；</w:t>
      </w:r>
    </w:p>
    <w:p w14:paraId="7D49A7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（5）控制工作电压：220VAC，24VDC；</w:t>
      </w:r>
    </w:p>
    <w:p w14:paraId="14D67A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（6）具有自动、半自动和手动控制三种方式，可以互不干扰自由切换。带漏电保护，多段温度显示，超温自动停止供油保护，具备同步设备运行信号显示功能。</w:t>
      </w:r>
    </w:p>
    <w:p w14:paraId="6BC419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（7）压力及温度控制：利用压力模块、温度模块自动检测炉膛压力及温度，以控制炉膛温度，控制烟道闸板升降，调整炉膛压力。</w:t>
      </w:r>
    </w:p>
    <w:p w14:paraId="5FFA6D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32.整理和检修供风系统</w:t>
      </w:r>
    </w:p>
    <w:p w14:paraId="69EDA2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（1）整理和检修鼓风机系统，更换损坏或严重变形的部件。</w:t>
      </w:r>
    </w:p>
    <w:p w14:paraId="724507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（2）鼓风机系统运行平稳、低噪音，风力大。</w:t>
      </w:r>
    </w:p>
    <w:p w14:paraId="404A3D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33.整理和检修供油系统</w:t>
      </w:r>
    </w:p>
    <w:p w14:paraId="1C3F8C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（1）整理和检修供油系统，做到不漏油，密封好；耐高温、耐腐蚀、稳定性能高、抗压强度大。</w:t>
      </w:r>
    </w:p>
    <w:p w14:paraId="3E1315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34.整理和检修引风机系统</w:t>
      </w:r>
    </w:p>
    <w:p w14:paraId="74E323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（1）整理和检修引风机系统，更换损坏或严重变形的部件。</w:t>
      </w:r>
    </w:p>
    <w:p w14:paraId="11D20F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（2）引风机系统运行平稳、低噪音，引力大。</w:t>
      </w:r>
    </w:p>
    <w:p w14:paraId="2DF0E52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（三）拣灰炉拆除及更换的技术参数和要求（1台）</w:t>
      </w:r>
    </w:p>
    <w:p w14:paraId="04056A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1.使用燃料：0～20#轻柴油；</w:t>
      </w:r>
    </w:p>
    <w:p w14:paraId="34466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2.首具遗体火化耗油量：≤20公斤；</w:t>
      </w:r>
    </w:p>
    <w:p w14:paraId="66E4D8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3.三具平均火化耗油量：≤18公斤/具；</w:t>
      </w:r>
    </w:p>
    <w:p w14:paraId="166819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4.单具遗体常温进炉火化时间：≤60分钟/具；</w:t>
      </w:r>
    </w:p>
    <w:p w14:paraId="2493FA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5.三具平均火化时间：≤55分钟/具；</w:t>
      </w:r>
    </w:p>
    <w:p w14:paraId="1E787D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6.主炉膛工作压力：-9.8Pa～-30Pa；</w:t>
      </w:r>
    </w:p>
    <w:p w14:paraId="484D8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7.主炉膛最大负压：&lt;-300 Pa；</w:t>
      </w:r>
    </w:p>
    <w:p w14:paraId="36A5CF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8.主燃室工作温度：650℃～900℃；</w:t>
      </w:r>
    </w:p>
    <w:p w14:paraId="1AC71A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9.再燃室工作温度：600℃～850℃；</w:t>
      </w:r>
    </w:p>
    <w:p w14:paraId="68B66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10．火化炉表面温升：小于30℃；局部小于60℃；</w:t>
      </w:r>
    </w:p>
    <w:p w14:paraId="55FF6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11．保温性能：燃烧室温度900℃，停炉24小时后，主温大于200℃；</w:t>
      </w:r>
    </w:p>
    <w:p w14:paraId="02D0D2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12．火化正常遗体时，烟气黑度值不大于林格曼一级；</w:t>
      </w:r>
    </w:p>
    <w:p w14:paraId="4D257E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13．骨灰冷却时间：10分钟左右；</w:t>
      </w:r>
    </w:p>
    <w:p w14:paraId="3B125D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14．电器总功率：小于25KW；</w:t>
      </w:r>
    </w:p>
    <w:p w14:paraId="3B3B0B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15．系统工作电压：输入电压380V±5%（三相五线制）；</w:t>
      </w:r>
    </w:p>
    <w:p w14:paraId="6C309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16．电器控制工作电压：220VAC，24VDC；</w:t>
      </w:r>
    </w:p>
    <w:p w14:paraId="0576E9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17.采用304不锈钢防爆口装置</w:t>
      </w:r>
    </w:p>
    <w:p w14:paraId="320EA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18.配备2副拣灰炉尸床板。</w:t>
      </w:r>
    </w:p>
    <w:p w14:paraId="248063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19.配备火化机前后厅一体化控制系统。</w:t>
      </w:r>
    </w:p>
    <w:p w14:paraId="59D0B7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20.供风管路采用无缝钢管，末端接触高温部位采用不锈钢材质。</w:t>
      </w:r>
    </w:p>
    <w:p w14:paraId="54A0F8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21.燃烧器雾化效果好、配比合理，烧嘴角度采用电动推杆能自 动调节角度。采用节能环保全自动燃烧器，采用高能点火装置点火，安全 可靠，无侧烧嘴。燃烧器的熄火保护装置灵敏可靠，实现先点火后供燃料。如 点火失败或火焰熄灭时，熄火保护装置能自动切断供应并报警。</w:t>
      </w:r>
    </w:p>
    <w:p w14:paraId="6EBD57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22.配置平移式拣灰进尸中转平台。</w:t>
      </w:r>
    </w:p>
    <w:p w14:paraId="3358DB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23.配置304不锈钢厚度不小于1mm结构的骨灰拣灰台。</w:t>
      </w:r>
    </w:p>
    <w:p w14:paraId="75990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24.采用炉膛拱顶预热装置，厚度2mm—3mm304不锈钢管材料制作、使用不锈钢焊条焊制（投标文件中需</w:t>
      </w:r>
      <w:r>
        <w:rPr>
          <w:rFonts w:hint="eastAsia"/>
          <w:sz w:val="24"/>
          <w:szCs w:val="24"/>
          <w:lang w:eastAsia="zh-CN"/>
        </w:rPr>
        <w:t>提供由第三方检测机构出具的带有CMA标识的检测报告</w:t>
      </w:r>
      <w:r>
        <w:rPr>
          <w:rFonts w:hint="eastAsia"/>
          <w:sz w:val="24"/>
          <w:szCs w:val="24"/>
        </w:rPr>
        <w:t>，并提供全国认证认可信息公共服务平台的检测报告上报查询截图。）</w:t>
      </w:r>
    </w:p>
    <w:p w14:paraId="02C6DC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25.主炉膛尺寸（约）：长X宽X高=2100mmX720mmX700mm。（具体由采购人委托的监理单位现场进行确认）</w:t>
      </w:r>
    </w:p>
    <w:p w14:paraId="7763E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26.炉门提升系统：采用链条链轮传动方式，设配重块，运行平稳，噪音低；炉门采用4MM耐热钢板制作金属框，框内压制高级硅酸铝纤维毯，炉门中心浇制200MMX200MM左右的高温钢纤维混泥土料，以抗击明火的侵蚀。</w:t>
      </w:r>
    </w:p>
    <w:p w14:paraId="4D8AD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27.主炉膛采用高级磷酸盐高铝砖，可抗高温1200度以上，砌缝不得超过3MM；其他应采用标准粘土耐火砖，可抗高温900度以上。炉膛火口砖及炉门口墙砖采用碳化硅耐火砖；炉体耐火砖采用磷酸盐砖；平板砖及异型耐火砖采用一级高铝砖；热风管道采用耐高温304不锈钢管；</w:t>
      </w:r>
    </w:p>
    <w:p w14:paraId="6402BA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28.主炉拱顶采用高温钢纤维耐火混泥土预制，炉顶采用硅酸铝纤维毯进行隔热后用高温混泥土进行压实覆盖。</w:t>
      </w:r>
    </w:p>
    <w:p w14:paraId="78770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29.炉内风管采用304不锈钢材料制作，焊缝必须牢固不漏风。</w:t>
      </w:r>
    </w:p>
    <w:p w14:paraId="665029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30.拣灰炉炉体结构</w:t>
      </w:r>
    </w:p>
    <w:p w14:paraId="3C5B26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（1）体外型尺寸：L*W*H=3400mm*2300mm*2310mm(±10%)</w:t>
      </w:r>
    </w:p>
    <w:p w14:paraId="2480A8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（2）炉体钢结构是火化炉的外部框架；由前立架、侧架、后立架组成。</w:t>
      </w:r>
    </w:p>
    <w:p w14:paraId="3FE2AD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（3）炉架材质：采用国标（GB/T706-2008)5#角钢，材质为Q235B碳素结构钢，坚固耐用，不变形，截面尺寸5*50。</w:t>
      </w:r>
    </w:p>
    <w:p w14:paraId="109A5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（4）外装饰；采用1MM厚的优质不锈钢扣板装饰。</w:t>
      </w:r>
    </w:p>
    <w:p w14:paraId="4680E3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31.遗体输送系统</w:t>
      </w:r>
    </w:p>
    <w:p w14:paraId="40D21A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（1）进尸车外型尺寸：LxWxH=2000mmx600mmx550mm（±10%）；</w:t>
      </w:r>
    </w:p>
    <w:p w14:paraId="01C4E5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（2）配用纵向定位式运动豪华台车，台车采用1mm不锈钢装饰。</w:t>
      </w:r>
    </w:p>
    <w:p w14:paraId="3A1E5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（3）进尸系统灵活、平稳、低噪音。</w:t>
      </w:r>
    </w:p>
    <w:p w14:paraId="7911BD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（4）进尸车装置由固定车架、炕床板、电动传动装置等装置。</w:t>
      </w:r>
    </w:p>
    <w:p w14:paraId="02A8D6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（5）豪华台车主要功能：是当尸体需要入炉时，进尸车从预备室内走出完成尸体接、送进炉；骨灰出炉冷却、送出预备门，将尸床板搁置拣灰台。</w:t>
      </w:r>
    </w:p>
    <w:p w14:paraId="12DE62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（6）采用平移冷却系统，平移车尺寸：L*W*H=1860mm*1300mm*350mm（±10%）.</w:t>
      </w:r>
    </w:p>
    <w:p w14:paraId="6DCD22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（7）冷却罩采用304不锈钢厚度不小于1mm。</w:t>
      </w:r>
    </w:p>
    <w:p w14:paraId="6BE89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（8）采用二副尸床板可替换进行连续焚烧，提高火化工作效力。</w:t>
      </w:r>
    </w:p>
    <w:p w14:paraId="6B1200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32.预备门</w:t>
      </w:r>
    </w:p>
    <w:p w14:paraId="3D25CF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（1）预备门外形尺寸：HxW=1800mmx900mm(±10%)。</w:t>
      </w:r>
    </w:p>
    <w:p w14:paraId="7AAD41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（2）预备门；由电机、减速机、轨道、不锈钢等组成。</w:t>
      </w:r>
    </w:p>
    <w:p w14:paraId="3D889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（3）主要功能；是使预备室与大厅隔离，开门进行接尸入炉，接尸动作完成后门关闭，使大厅美观清洁。</w:t>
      </w:r>
    </w:p>
    <w:p w14:paraId="4C976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33.控制系统</w:t>
      </w:r>
    </w:p>
    <w:p w14:paraId="5EA12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（1）电器元件及线缆：采用优质电器元件和国产优质多股铜芯线缆。采用国际通用的安插式安装；</w:t>
      </w:r>
    </w:p>
    <w:p w14:paraId="629C5B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（2）电器控制柜：采用独立的电器控制柜，具有过载、短路等电器保护功能及系统综合控制功能。</w:t>
      </w:r>
    </w:p>
    <w:p w14:paraId="19714F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硬件选用：触摸屏选用国内优质10英寸显示屏，具有多画面动态显示效果，实时掌握设备的运行状态；PLC控制器功能模块选用国内优质、低压电器元件选用名牌优质产品耐用、故障率极低。能够实现全自动、半自动和手动三种无干扰切换操作，能够清晰显示火化时间、油耗、压力、温度等各项技术参数；适用电源 380V/220V  50HZ。</w:t>
      </w:r>
    </w:p>
    <w:p w14:paraId="13ABEF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（4）功率:鼓风机7.5kw， 噪音：整机≤70 分贝。            </w:t>
      </w:r>
    </w:p>
    <w:p w14:paraId="1144BE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（5）控制程序设定值是可调的，输入设定值后，在各设定值的上限、下限范围内由电脑全自动控制。整个控制系统安全、可靠、操作维修方便、故障率低。</w:t>
      </w:r>
    </w:p>
    <w:p w14:paraId="7FD16E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（6）系统工作电压：380V±5%（三相五线制）；</w:t>
      </w:r>
    </w:p>
    <w:p w14:paraId="7BEB12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（7）控制工作电压：220VAC，24VDC；</w:t>
      </w:r>
    </w:p>
    <w:p w14:paraId="11BC3B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（8）具有自动、半自动和手动控制三种方式，可以互不干扰自由切换。采用触摸显示屏及PLC电脑电控系统，带漏电保护，多段温度显示，超温自动报警保护，具备同步设备运行信号显示功能。</w:t>
      </w:r>
    </w:p>
    <w:p w14:paraId="1FA1CF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（9）压力及温度控制：利用压力模块、温度模块自动检测炉膛压力及温度，以控制炉膛温度，控制烟道闸板升降，调整炉膛压力。</w:t>
      </w:r>
    </w:p>
    <w:p w14:paraId="229C43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34.供风系统</w:t>
      </w:r>
    </w:p>
    <w:p w14:paraId="737552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（1）鼓风机：风量：≥1215M3/h，风压：≥11347Pa，电机功率：7.5Kw。减震定位，出风口采用橡胶伸缩法兰连接套管。</w:t>
      </w:r>
    </w:p>
    <w:p w14:paraId="1E669A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（2）供风管路：要求采用耐高温、耐腐蚀、抗压强度大的优质无缝钢管不小于3mm制作，采用内嵌式安装。</w:t>
      </w:r>
    </w:p>
    <w:p w14:paraId="138758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（3）更换离心式风机:材质304不锈钢材质、功率4一18.5kw、全压1450一4202Pa、转速1450r/m、进出口直经410mm。</w:t>
      </w:r>
    </w:p>
    <w:p w14:paraId="086A6B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35.供油系统</w:t>
      </w:r>
    </w:p>
    <w:p w14:paraId="6869B1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（1）油管路：要求采用优质无缝钢管制作，做到不漏油，密封好；耐高温、耐腐蚀、稳定性能高、抗压强度大。</w:t>
      </w:r>
    </w:p>
    <w:p w14:paraId="5155A1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（2）油路阀门：采用优质304不锈钢球阀，确保密封性好，抗压强度大。</w:t>
      </w:r>
    </w:p>
    <w:p w14:paraId="102C68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（3）油路活接：采用优质304不锈钢活接，确保抗压耐腐蚀，性能稳定。</w:t>
      </w:r>
    </w:p>
    <w:p w14:paraId="23DD08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（4）油路直接及内丝：采用优质304不锈钢直接及内丝，确保抗压耐腐蚀，性能稳定。</w:t>
      </w:r>
    </w:p>
    <w:p w14:paraId="5D7DB8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（5）采用电子计量，在触摸屏上显示油耗量。</w:t>
      </w:r>
    </w:p>
    <w:p w14:paraId="219C06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36.冷却系统</w:t>
      </w:r>
    </w:p>
    <w:p w14:paraId="226494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（1）冷却风机:离心式风机功率4一3kw、全压1210Pa，进出口直经220mm。减震定位，出风口采用橡胶伸缩法兰连接套管；并装有消音装置。</w:t>
      </w:r>
    </w:p>
    <w:p w14:paraId="084464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（2）冷却管：采用管径为220mm厚度为2mm的304不锈钢材料制作</w:t>
      </w:r>
    </w:p>
    <w:p w14:paraId="036669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（四）、焚烧炉尾气设备拆除及更换技术要求及参数（1台）</w:t>
      </w:r>
    </w:p>
    <w:p w14:paraId="4CA0F3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1、除尘设备。全干法（水冷）焚烧炉烟气除尘净化处理设备，具节能环保于一体技术。（一台焚烧炉链接一套除尘设备）</w:t>
      </w:r>
    </w:p>
    <w:p w14:paraId="1FAE14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2、执行烟气排放标准：国家《燃油式火化机大气污染物排放限值》GB13801-2015标准 ， 做到无黑烟、无颗粒粉尘、无异味 。 </w:t>
      </w:r>
    </w:p>
    <w:p w14:paraId="076A2C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3、由于设备安装场地受限，设备的外形体积应符合现场空间的要求，投标人应根据自身的技术情况进行设计，采购人不再安排其他房屋及空间安装除尘净化设备。</w:t>
      </w:r>
    </w:p>
    <w:p w14:paraId="7E9061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Ansi="宋体"/>
          <w:kern w:val="2"/>
          <w:szCs w:val="24"/>
        </w:rPr>
      </w:pPr>
      <w:r>
        <w:rPr>
          <w:rFonts w:hint="eastAsia"/>
          <w:sz w:val="24"/>
          <w:szCs w:val="24"/>
        </w:rPr>
        <w:t xml:space="preserve">4、设备技术规格、参数及要求   </w:t>
      </w:r>
      <w:r>
        <w:rPr>
          <w:rFonts w:hint="eastAsia" w:hAnsi="宋体"/>
          <w:kern w:val="2"/>
          <w:szCs w:val="24"/>
        </w:rPr>
        <w:t xml:space="preserve">          </w:t>
      </w:r>
    </w:p>
    <w:tbl>
      <w:tblPr>
        <w:tblStyle w:val="41"/>
        <w:tblW w:w="9623" w:type="dxa"/>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3"/>
        <w:gridCol w:w="2692"/>
        <w:gridCol w:w="5828"/>
      </w:tblGrid>
      <w:tr w14:paraId="789D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3B53899F">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序号</w:t>
            </w:r>
          </w:p>
        </w:tc>
        <w:tc>
          <w:tcPr>
            <w:tcW w:w="2692" w:type="dxa"/>
            <w:tcBorders>
              <w:top w:val="single" w:color="auto" w:sz="4" w:space="0"/>
              <w:left w:val="nil"/>
              <w:bottom w:val="single" w:color="auto" w:sz="4" w:space="0"/>
              <w:right w:val="single" w:color="auto" w:sz="4" w:space="0"/>
            </w:tcBorders>
            <w:vAlign w:val="center"/>
          </w:tcPr>
          <w:p w14:paraId="5D3EDA42">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设备名称</w:t>
            </w:r>
          </w:p>
        </w:tc>
        <w:tc>
          <w:tcPr>
            <w:tcW w:w="5828" w:type="dxa"/>
            <w:tcBorders>
              <w:top w:val="single" w:color="auto" w:sz="4" w:space="0"/>
              <w:left w:val="nil"/>
              <w:bottom w:val="single" w:color="auto" w:sz="4" w:space="0"/>
              <w:right w:val="single" w:color="auto" w:sz="4" w:space="0"/>
            </w:tcBorders>
            <w:vAlign w:val="center"/>
          </w:tcPr>
          <w:p w14:paraId="7E66C309">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产品技术规格、参数及要求</w:t>
            </w:r>
          </w:p>
        </w:tc>
      </w:tr>
      <w:tr w14:paraId="774BA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03" w:type="dxa"/>
            <w:tcBorders>
              <w:top w:val="single" w:color="auto" w:sz="4" w:space="0"/>
              <w:left w:val="single" w:color="auto" w:sz="4" w:space="0"/>
              <w:bottom w:val="single" w:color="auto" w:sz="4" w:space="0"/>
              <w:right w:val="single" w:color="auto" w:sz="4" w:space="0"/>
            </w:tcBorders>
            <w:vAlign w:val="center"/>
          </w:tcPr>
          <w:p w14:paraId="22CF53D6">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w:t>
            </w:r>
          </w:p>
        </w:tc>
        <w:tc>
          <w:tcPr>
            <w:tcW w:w="2692" w:type="dxa"/>
            <w:tcBorders>
              <w:top w:val="single" w:color="auto" w:sz="4" w:space="0"/>
              <w:left w:val="nil"/>
              <w:bottom w:val="single" w:color="auto" w:sz="4" w:space="0"/>
              <w:right w:val="single" w:color="auto" w:sz="4" w:space="0"/>
            </w:tcBorders>
            <w:vAlign w:val="center"/>
          </w:tcPr>
          <w:p w14:paraId="149F08B3">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新型双筒式自清洁旋风除尘装置（与除尘净化器连体制作）</w:t>
            </w:r>
          </w:p>
        </w:tc>
        <w:tc>
          <w:tcPr>
            <w:tcW w:w="5828" w:type="dxa"/>
            <w:tcBorders>
              <w:top w:val="single" w:color="auto" w:sz="4" w:space="0"/>
              <w:left w:val="nil"/>
              <w:bottom w:val="single" w:color="auto" w:sz="4" w:space="0"/>
              <w:right w:val="single" w:color="auto" w:sz="4" w:space="0"/>
            </w:tcBorders>
            <w:vAlign w:val="center"/>
          </w:tcPr>
          <w:p w14:paraId="46E575D7">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304不锈钢板制作，厚度≥2.5MM，型材采用优质A3系列材料制作；利用旋风等相关原理，在运行时有效对灰尘的分离，降低烟气温度和有害物含量；并在下口设置灰尘出口，以便清理灰尘。焊接必须牢固，不得有气孔，焊缝表面必须采用耐高温防腐蚀涂料进行喷涂，以防止焊缝生锈。提供技术方案。</w:t>
            </w:r>
          </w:p>
        </w:tc>
      </w:tr>
      <w:tr w14:paraId="10CA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1103" w:type="dxa"/>
            <w:tcBorders>
              <w:top w:val="single" w:color="auto" w:sz="4" w:space="0"/>
              <w:left w:val="single" w:color="auto" w:sz="4" w:space="0"/>
              <w:bottom w:val="single" w:color="auto" w:sz="4" w:space="0"/>
              <w:right w:val="single" w:color="auto" w:sz="4" w:space="0"/>
            </w:tcBorders>
            <w:vAlign w:val="center"/>
          </w:tcPr>
          <w:p w14:paraId="6EBF1DE4">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w:t>
            </w:r>
          </w:p>
        </w:tc>
        <w:tc>
          <w:tcPr>
            <w:tcW w:w="2692" w:type="dxa"/>
            <w:tcBorders>
              <w:top w:val="single" w:color="auto" w:sz="4" w:space="0"/>
              <w:left w:val="nil"/>
              <w:bottom w:val="single" w:color="auto" w:sz="4" w:space="0"/>
              <w:right w:val="single" w:color="auto" w:sz="4" w:space="0"/>
            </w:tcBorders>
            <w:vAlign w:val="center"/>
          </w:tcPr>
          <w:p w14:paraId="781284E4">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新型带有喷洒杀菌功能的空气除尘设备</w:t>
            </w:r>
          </w:p>
        </w:tc>
        <w:tc>
          <w:tcPr>
            <w:tcW w:w="5828" w:type="dxa"/>
            <w:tcBorders>
              <w:top w:val="single" w:color="auto" w:sz="4" w:space="0"/>
              <w:left w:val="nil"/>
              <w:bottom w:val="single" w:color="auto" w:sz="4" w:space="0"/>
              <w:right w:val="single" w:color="auto" w:sz="4" w:space="0"/>
            </w:tcBorders>
            <w:vAlign w:val="center"/>
          </w:tcPr>
          <w:p w14:paraId="2BB1EF1A">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板材采用304不锈钢板制作，厚度≥2.5MM；型材采用优质A3系列材料制作；根据烟气量确定布袋除尘器的处理量，采用复合型耐高温抗酸碱覆膜滤料，可承受瞬间≤260°C的高温；可实现在线和离线自动清灰，杀菌除尘效率达≥99%；焊接必须牢固，不得有气孔，焊缝表面必须采用耐高温防腐蚀涂料进行喷涂，以防止焊缝生锈。</w:t>
            </w:r>
          </w:p>
        </w:tc>
      </w:tr>
      <w:tr w14:paraId="6F129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7A90A5DC">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3</w:t>
            </w:r>
          </w:p>
        </w:tc>
        <w:tc>
          <w:tcPr>
            <w:tcW w:w="2692" w:type="dxa"/>
            <w:tcBorders>
              <w:top w:val="single" w:color="auto" w:sz="4" w:space="0"/>
              <w:left w:val="nil"/>
              <w:bottom w:val="single" w:color="auto" w:sz="4" w:space="0"/>
              <w:right w:val="single" w:color="auto" w:sz="4" w:space="0"/>
            </w:tcBorders>
            <w:vAlign w:val="center"/>
          </w:tcPr>
          <w:p w14:paraId="48E476AB">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新型全干法多回程急冷系统</w:t>
            </w:r>
          </w:p>
        </w:tc>
        <w:tc>
          <w:tcPr>
            <w:tcW w:w="5828" w:type="dxa"/>
            <w:tcBorders>
              <w:top w:val="single" w:color="auto" w:sz="4" w:space="0"/>
              <w:left w:val="nil"/>
              <w:bottom w:val="single" w:color="auto" w:sz="4" w:space="0"/>
              <w:right w:val="single" w:color="auto" w:sz="4" w:space="0"/>
            </w:tcBorders>
            <w:vAlign w:val="center"/>
          </w:tcPr>
          <w:p w14:paraId="4EB5EA1A">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304不锈钢管多回程烟气水冷却技术，不会产生二次水污染，使烟气瞬间降温至220℃以下，越过二噁英的生成温度区间。不锈钢管在任何状态下，确保6年不被击穿而漏气；板材采用304不锈钢板制作，厚度≥3MM；型材采用优质A3系列材料制作。配置活动盖板，以便清理灰尘。焊接必须牢固，不得有气孔，焊缝表面必须采用耐高温防腐蚀涂料进行喷涂，以防止焊缝生锈。</w:t>
            </w:r>
          </w:p>
        </w:tc>
      </w:tr>
      <w:tr w14:paraId="1ED1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14367F44">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4</w:t>
            </w:r>
          </w:p>
        </w:tc>
        <w:tc>
          <w:tcPr>
            <w:tcW w:w="2692" w:type="dxa"/>
            <w:tcBorders>
              <w:top w:val="single" w:color="auto" w:sz="4" w:space="0"/>
              <w:left w:val="nil"/>
              <w:bottom w:val="single" w:color="auto" w:sz="4" w:space="0"/>
              <w:right w:val="single" w:color="auto" w:sz="4" w:space="0"/>
            </w:tcBorders>
            <w:vAlign w:val="center"/>
          </w:tcPr>
          <w:p w14:paraId="3D517CEA">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新型除尘净化器设备专用火星捕集器</w:t>
            </w:r>
          </w:p>
          <w:p w14:paraId="5B2188B6">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（与除尘净化器连体制作）</w:t>
            </w:r>
          </w:p>
        </w:tc>
        <w:tc>
          <w:tcPr>
            <w:tcW w:w="5828" w:type="dxa"/>
            <w:tcBorders>
              <w:top w:val="single" w:color="auto" w:sz="4" w:space="0"/>
              <w:left w:val="nil"/>
              <w:bottom w:val="single" w:color="auto" w:sz="4" w:space="0"/>
              <w:right w:val="single" w:color="auto" w:sz="4" w:space="0"/>
            </w:tcBorders>
            <w:vAlign w:val="center"/>
          </w:tcPr>
          <w:p w14:paraId="6D4545CF">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板材采用304不锈钢板制作，厚度≥2.5MM；型材采用优质A3系列材料制作；采用火星阻挡新技术，将火星进行有效的拦截，确保布袋的安全；下体设置为锥形体，并配置清灰装置，以便随时清理灰尘。焊接必须牢固，不得有气孔，焊缝表面必须采用耐高温防腐蚀涂料进行喷涂，以防止焊缝生锈。</w:t>
            </w:r>
          </w:p>
        </w:tc>
      </w:tr>
      <w:tr w14:paraId="489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505C3EFC">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5</w:t>
            </w:r>
          </w:p>
        </w:tc>
        <w:tc>
          <w:tcPr>
            <w:tcW w:w="2692" w:type="dxa"/>
            <w:tcBorders>
              <w:top w:val="single" w:color="auto" w:sz="4" w:space="0"/>
              <w:left w:val="nil"/>
              <w:bottom w:val="single" w:color="auto" w:sz="4" w:space="0"/>
              <w:right w:val="single" w:color="auto" w:sz="4" w:space="0"/>
            </w:tcBorders>
            <w:vAlign w:val="center"/>
          </w:tcPr>
          <w:p w14:paraId="3223F04B">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新型除尘器防结露系统</w:t>
            </w:r>
          </w:p>
        </w:tc>
        <w:tc>
          <w:tcPr>
            <w:tcW w:w="5828" w:type="dxa"/>
            <w:tcBorders>
              <w:top w:val="single" w:color="auto" w:sz="4" w:space="0"/>
              <w:left w:val="nil"/>
              <w:bottom w:val="single" w:color="auto" w:sz="4" w:space="0"/>
              <w:right w:val="single" w:color="auto" w:sz="4" w:space="0"/>
            </w:tcBorders>
            <w:vAlign w:val="center"/>
          </w:tcPr>
          <w:p w14:paraId="29623DE7">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采用除尘器防结露系统技术，有效预防布袋在结露后影响焚烧炉膛的负压，确保焚烧工作的正常进行。</w:t>
            </w:r>
          </w:p>
        </w:tc>
      </w:tr>
      <w:tr w14:paraId="58FD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3E0EA0DD">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6</w:t>
            </w:r>
          </w:p>
        </w:tc>
        <w:tc>
          <w:tcPr>
            <w:tcW w:w="2692" w:type="dxa"/>
            <w:tcBorders>
              <w:top w:val="single" w:color="auto" w:sz="4" w:space="0"/>
              <w:left w:val="nil"/>
              <w:bottom w:val="single" w:color="auto" w:sz="4" w:space="0"/>
              <w:right w:val="single" w:color="auto" w:sz="4" w:space="0"/>
            </w:tcBorders>
            <w:vAlign w:val="center"/>
          </w:tcPr>
          <w:p w14:paraId="0CCF13ED">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脉冲阀系统</w:t>
            </w:r>
          </w:p>
        </w:tc>
        <w:tc>
          <w:tcPr>
            <w:tcW w:w="5828" w:type="dxa"/>
            <w:tcBorders>
              <w:top w:val="single" w:color="auto" w:sz="4" w:space="0"/>
              <w:left w:val="nil"/>
              <w:bottom w:val="single" w:color="auto" w:sz="4" w:space="0"/>
              <w:right w:val="single" w:color="auto" w:sz="4" w:space="0"/>
            </w:tcBorders>
            <w:vAlign w:val="center"/>
          </w:tcPr>
          <w:p w14:paraId="2A4F6AFF">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采用优质产品，确保运行可靠</w:t>
            </w:r>
          </w:p>
        </w:tc>
      </w:tr>
      <w:tr w14:paraId="3975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DB82506">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7</w:t>
            </w:r>
          </w:p>
        </w:tc>
        <w:tc>
          <w:tcPr>
            <w:tcW w:w="2692" w:type="dxa"/>
            <w:tcBorders>
              <w:top w:val="single" w:color="auto" w:sz="4" w:space="0"/>
              <w:left w:val="nil"/>
              <w:bottom w:val="single" w:color="auto" w:sz="4" w:space="0"/>
              <w:right w:val="single" w:color="auto" w:sz="4" w:space="0"/>
            </w:tcBorders>
            <w:vAlign w:val="center"/>
          </w:tcPr>
          <w:p w14:paraId="205100E1">
            <w:pPr>
              <w:keepNext w:val="0"/>
              <w:keepLines w:val="0"/>
              <w:pageBreakBefore w:val="0"/>
              <w:kinsoku/>
              <w:wordWrap/>
              <w:overflowPunct/>
              <w:topLinePunct w:val="0"/>
              <w:autoSpaceDE/>
              <w:autoSpaceDN/>
              <w:bidi w:val="0"/>
              <w:adjustRightInd/>
              <w:snapToGrid/>
              <w:spacing w:line="360" w:lineRule="auto"/>
              <w:ind w:left="176" w:leftChars="80"/>
              <w:jc w:val="left"/>
              <w:textAlignment w:val="auto"/>
              <w:outlineLvl w:val="5"/>
              <w:rPr>
                <w:rFonts w:hAnsi="宋体"/>
                <w:kern w:val="2"/>
                <w:sz w:val="24"/>
                <w:szCs w:val="24"/>
              </w:rPr>
            </w:pPr>
            <w:r>
              <w:rPr>
                <w:rFonts w:hint="eastAsia" w:hAnsi="宋体"/>
                <w:kern w:val="2"/>
                <w:sz w:val="24"/>
                <w:szCs w:val="24"/>
              </w:rPr>
              <w:t>新型除尘净化器吸附催化除臭系统</w:t>
            </w:r>
          </w:p>
          <w:p w14:paraId="403DB0AB">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（与除尘净化器连体制作）</w:t>
            </w:r>
          </w:p>
        </w:tc>
        <w:tc>
          <w:tcPr>
            <w:tcW w:w="5828" w:type="dxa"/>
            <w:tcBorders>
              <w:top w:val="single" w:color="auto" w:sz="4" w:space="0"/>
              <w:left w:val="nil"/>
              <w:bottom w:val="single" w:color="auto" w:sz="4" w:space="0"/>
              <w:right w:val="single" w:color="auto" w:sz="4" w:space="0"/>
            </w:tcBorders>
            <w:vAlign w:val="center"/>
          </w:tcPr>
          <w:p w14:paraId="62264910">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新型除尘净化器吸附催化除臭系统技术有对二噁英等有害气体等进行分解处理，使二噁英等有害气体的分子式发生实质性的裂变，产生新的无害气体，有效遏制二噁英的再次生成和危害，杀菌及除臭效率达到95%以上；</w:t>
            </w:r>
          </w:p>
        </w:tc>
      </w:tr>
      <w:tr w14:paraId="19457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27DD74A5">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8</w:t>
            </w:r>
          </w:p>
        </w:tc>
        <w:tc>
          <w:tcPr>
            <w:tcW w:w="2692" w:type="dxa"/>
            <w:tcBorders>
              <w:top w:val="single" w:color="auto" w:sz="4" w:space="0"/>
              <w:left w:val="nil"/>
              <w:bottom w:val="single" w:color="auto" w:sz="4" w:space="0"/>
              <w:right w:val="single" w:color="auto" w:sz="4" w:space="0"/>
            </w:tcBorders>
            <w:vAlign w:val="center"/>
          </w:tcPr>
          <w:p w14:paraId="6F423873">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引风应急备用系统</w:t>
            </w:r>
          </w:p>
        </w:tc>
        <w:tc>
          <w:tcPr>
            <w:tcW w:w="5828" w:type="dxa"/>
            <w:tcBorders>
              <w:top w:val="single" w:color="auto" w:sz="4" w:space="0"/>
              <w:left w:val="nil"/>
              <w:bottom w:val="single" w:color="auto" w:sz="4" w:space="0"/>
              <w:right w:val="single" w:color="auto" w:sz="4" w:space="0"/>
            </w:tcBorders>
            <w:vAlign w:val="center"/>
          </w:tcPr>
          <w:p w14:paraId="55BE1DF3">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当主引风机出现故障时，可以采用备用引风机系统，确保焚烧工作的正常进行。</w:t>
            </w:r>
          </w:p>
        </w:tc>
      </w:tr>
      <w:tr w14:paraId="03F5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191DA24B">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9</w:t>
            </w:r>
          </w:p>
        </w:tc>
        <w:tc>
          <w:tcPr>
            <w:tcW w:w="2692" w:type="dxa"/>
            <w:tcBorders>
              <w:top w:val="single" w:color="auto" w:sz="4" w:space="0"/>
              <w:left w:val="nil"/>
              <w:bottom w:val="single" w:color="auto" w:sz="4" w:space="0"/>
              <w:right w:val="single" w:color="auto" w:sz="4" w:space="0"/>
            </w:tcBorders>
            <w:vAlign w:val="center"/>
          </w:tcPr>
          <w:p w14:paraId="0600AA04">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新型除尘净化器设备防爆装置</w:t>
            </w:r>
          </w:p>
        </w:tc>
        <w:tc>
          <w:tcPr>
            <w:tcW w:w="5828" w:type="dxa"/>
            <w:tcBorders>
              <w:top w:val="single" w:color="auto" w:sz="4" w:space="0"/>
              <w:left w:val="nil"/>
              <w:bottom w:val="single" w:color="auto" w:sz="4" w:space="0"/>
              <w:right w:val="single" w:color="auto" w:sz="4" w:space="0"/>
            </w:tcBorders>
            <w:vAlign w:val="center"/>
          </w:tcPr>
          <w:p w14:paraId="4425C041">
            <w:pPr>
              <w:keepNext w:val="0"/>
              <w:keepLines w:val="0"/>
              <w:pageBreakBefore w:val="0"/>
              <w:kinsoku/>
              <w:wordWrap/>
              <w:overflowPunct/>
              <w:topLinePunct w:val="0"/>
              <w:autoSpaceDE/>
              <w:autoSpaceDN/>
              <w:bidi w:val="0"/>
              <w:adjustRightInd/>
              <w:snapToGrid/>
              <w:spacing w:line="360" w:lineRule="auto"/>
              <w:ind w:firstLine="420"/>
              <w:jc w:val="left"/>
              <w:textAlignment w:val="auto"/>
              <w:outlineLvl w:val="5"/>
              <w:rPr>
                <w:rFonts w:hAnsi="宋体"/>
                <w:kern w:val="2"/>
                <w:sz w:val="24"/>
                <w:szCs w:val="24"/>
              </w:rPr>
            </w:pPr>
            <w:r>
              <w:rPr>
                <w:rFonts w:hint="eastAsia" w:hAnsi="宋体"/>
                <w:kern w:val="2"/>
                <w:sz w:val="24"/>
                <w:szCs w:val="24"/>
              </w:rPr>
              <w:t>采用新型除尘器设备防爆装置技术，有效杜绝安全事故的发生。</w:t>
            </w:r>
          </w:p>
        </w:tc>
      </w:tr>
      <w:tr w14:paraId="0BA3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08A81A5B">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10</w:t>
            </w:r>
          </w:p>
        </w:tc>
        <w:tc>
          <w:tcPr>
            <w:tcW w:w="2692" w:type="dxa"/>
            <w:tcBorders>
              <w:top w:val="single" w:color="auto" w:sz="4" w:space="0"/>
              <w:left w:val="nil"/>
              <w:bottom w:val="single" w:color="auto" w:sz="4" w:space="0"/>
              <w:right w:val="single" w:color="auto" w:sz="4" w:space="0"/>
            </w:tcBorders>
            <w:vAlign w:val="center"/>
          </w:tcPr>
          <w:p w14:paraId="1F077461">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新型除尘净化器自动温控系统</w:t>
            </w:r>
          </w:p>
        </w:tc>
        <w:tc>
          <w:tcPr>
            <w:tcW w:w="5828" w:type="dxa"/>
            <w:tcBorders>
              <w:top w:val="single" w:color="auto" w:sz="4" w:space="0"/>
              <w:left w:val="nil"/>
              <w:bottom w:val="single" w:color="auto" w:sz="4" w:space="0"/>
              <w:right w:val="single" w:color="auto" w:sz="4" w:space="0"/>
            </w:tcBorders>
            <w:vAlign w:val="center"/>
          </w:tcPr>
          <w:p w14:paraId="60366DF2">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采用新型除尘净化器自动温控系统技术，有效控制除尘净化器的温度，确保布袋的安全。</w:t>
            </w:r>
          </w:p>
        </w:tc>
      </w:tr>
      <w:tr w14:paraId="6180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7859FFB7">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11</w:t>
            </w:r>
          </w:p>
        </w:tc>
        <w:tc>
          <w:tcPr>
            <w:tcW w:w="2692" w:type="dxa"/>
            <w:tcBorders>
              <w:top w:val="single" w:color="auto" w:sz="4" w:space="0"/>
              <w:left w:val="nil"/>
              <w:bottom w:val="single" w:color="auto" w:sz="4" w:space="0"/>
              <w:right w:val="single" w:color="auto" w:sz="4" w:space="0"/>
            </w:tcBorders>
            <w:vAlign w:val="center"/>
          </w:tcPr>
          <w:p w14:paraId="72D8D3FD">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新型全自动净化输灰装置</w:t>
            </w:r>
          </w:p>
        </w:tc>
        <w:tc>
          <w:tcPr>
            <w:tcW w:w="5828" w:type="dxa"/>
            <w:tcBorders>
              <w:top w:val="single" w:color="auto" w:sz="4" w:space="0"/>
              <w:left w:val="nil"/>
              <w:bottom w:val="single" w:color="auto" w:sz="4" w:space="0"/>
              <w:right w:val="single" w:color="auto" w:sz="4" w:space="0"/>
            </w:tcBorders>
            <w:vAlign w:val="center"/>
          </w:tcPr>
          <w:p w14:paraId="7A1D6834">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采用新型全自动净化输灰装置技术，及时对灰尘进行清理，有效保护环境。</w:t>
            </w:r>
          </w:p>
        </w:tc>
      </w:tr>
      <w:tr w14:paraId="4C6F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812D30F">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12</w:t>
            </w:r>
          </w:p>
        </w:tc>
        <w:tc>
          <w:tcPr>
            <w:tcW w:w="2692" w:type="dxa"/>
            <w:tcBorders>
              <w:top w:val="single" w:color="auto" w:sz="4" w:space="0"/>
              <w:left w:val="nil"/>
              <w:bottom w:val="single" w:color="auto" w:sz="4" w:space="0"/>
              <w:right w:val="single" w:color="auto" w:sz="4" w:space="0"/>
            </w:tcBorders>
            <w:vAlign w:val="center"/>
          </w:tcPr>
          <w:p w14:paraId="0275BDF0">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气动蝶阀</w:t>
            </w:r>
          </w:p>
        </w:tc>
        <w:tc>
          <w:tcPr>
            <w:tcW w:w="5828" w:type="dxa"/>
            <w:tcBorders>
              <w:top w:val="single" w:color="auto" w:sz="4" w:space="0"/>
              <w:left w:val="nil"/>
              <w:bottom w:val="single" w:color="auto" w:sz="4" w:space="0"/>
              <w:right w:val="single" w:color="auto" w:sz="4" w:space="0"/>
            </w:tcBorders>
            <w:vAlign w:val="center"/>
          </w:tcPr>
          <w:p w14:paraId="5F03E5F2">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气动控制，无泄漏，开启闭合迅速，起到保护布袋的作用。</w:t>
            </w:r>
          </w:p>
        </w:tc>
      </w:tr>
      <w:tr w14:paraId="7010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06260630">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13</w:t>
            </w:r>
          </w:p>
        </w:tc>
        <w:tc>
          <w:tcPr>
            <w:tcW w:w="2692" w:type="dxa"/>
            <w:tcBorders>
              <w:top w:val="single" w:color="auto" w:sz="4" w:space="0"/>
              <w:left w:val="nil"/>
              <w:bottom w:val="single" w:color="auto" w:sz="4" w:space="0"/>
              <w:right w:val="single" w:color="auto" w:sz="4" w:space="0"/>
            </w:tcBorders>
            <w:vAlign w:val="center"/>
          </w:tcPr>
          <w:p w14:paraId="37A91FE3">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螺杆式压缩机</w:t>
            </w:r>
          </w:p>
        </w:tc>
        <w:tc>
          <w:tcPr>
            <w:tcW w:w="5828" w:type="dxa"/>
            <w:tcBorders>
              <w:top w:val="single" w:color="auto" w:sz="4" w:space="0"/>
              <w:left w:val="nil"/>
              <w:bottom w:val="single" w:color="auto" w:sz="4" w:space="0"/>
              <w:right w:val="single" w:color="auto" w:sz="4" w:space="0"/>
            </w:tcBorders>
            <w:vAlign w:val="center"/>
          </w:tcPr>
          <w:p w14:paraId="298D30AF">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采用国内名牌设备，无振动，嗓音小，运行可靠，使用寿命长。可多台共用。</w:t>
            </w:r>
          </w:p>
        </w:tc>
      </w:tr>
      <w:tr w14:paraId="5FEE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38EBCDF2">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14</w:t>
            </w:r>
          </w:p>
        </w:tc>
        <w:tc>
          <w:tcPr>
            <w:tcW w:w="2692" w:type="dxa"/>
            <w:tcBorders>
              <w:top w:val="single" w:color="auto" w:sz="4" w:space="0"/>
              <w:left w:val="nil"/>
              <w:bottom w:val="single" w:color="auto" w:sz="4" w:space="0"/>
              <w:right w:val="single" w:color="auto" w:sz="4" w:space="0"/>
            </w:tcBorders>
            <w:vAlign w:val="center"/>
          </w:tcPr>
          <w:p w14:paraId="24C21E17">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储气罐</w:t>
            </w:r>
          </w:p>
        </w:tc>
        <w:tc>
          <w:tcPr>
            <w:tcW w:w="5828" w:type="dxa"/>
            <w:tcBorders>
              <w:top w:val="single" w:color="auto" w:sz="4" w:space="0"/>
              <w:left w:val="nil"/>
              <w:bottom w:val="single" w:color="auto" w:sz="4" w:space="0"/>
              <w:right w:val="single" w:color="auto" w:sz="4" w:space="0"/>
            </w:tcBorders>
            <w:vAlign w:val="center"/>
          </w:tcPr>
          <w:p w14:paraId="4A7D3352">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按压力容器标准设计、制造、检验。可多台共用。</w:t>
            </w:r>
          </w:p>
        </w:tc>
      </w:tr>
      <w:tr w14:paraId="507A3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7168FEF6">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15</w:t>
            </w:r>
          </w:p>
        </w:tc>
        <w:tc>
          <w:tcPr>
            <w:tcW w:w="2692" w:type="dxa"/>
            <w:tcBorders>
              <w:top w:val="single" w:color="auto" w:sz="4" w:space="0"/>
              <w:left w:val="nil"/>
              <w:bottom w:val="single" w:color="auto" w:sz="4" w:space="0"/>
              <w:right w:val="single" w:color="auto" w:sz="4" w:space="0"/>
            </w:tcBorders>
            <w:vAlign w:val="center"/>
          </w:tcPr>
          <w:p w14:paraId="392BB43C">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一体化控制系统</w:t>
            </w:r>
          </w:p>
        </w:tc>
        <w:tc>
          <w:tcPr>
            <w:tcW w:w="5828" w:type="dxa"/>
            <w:tcBorders>
              <w:top w:val="single" w:color="auto" w:sz="4" w:space="0"/>
              <w:left w:val="nil"/>
              <w:bottom w:val="single" w:color="auto" w:sz="4" w:space="0"/>
              <w:right w:val="single" w:color="auto" w:sz="4" w:space="0"/>
            </w:tcBorders>
            <w:vAlign w:val="center"/>
          </w:tcPr>
          <w:p w14:paraId="61751A8D">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采用PLC电脑控制系统，设有自动、手动二种控制方式。将焚烧炉和除尘净化器设备的控制系统有效进行结合，形成一体化控制系统，相互之间不得产生冲突，确保整体设备运行的安全。</w:t>
            </w:r>
          </w:p>
        </w:tc>
      </w:tr>
      <w:tr w14:paraId="282E6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27AEEE63">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16</w:t>
            </w:r>
          </w:p>
        </w:tc>
        <w:tc>
          <w:tcPr>
            <w:tcW w:w="2692" w:type="dxa"/>
            <w:tcBorders>
              <w:top w:val="single" w:color="auto" w:sz="4" w:space="0"/>
              <w:left w:val="nil"/>
              <w:bottom w:val="single" w:color="auto" w:sz="4" w:space="0"/>
              <w:right w:val="single" w:color="auto" w:sz="4" w:space="0"/>
            </w:tcBorders>
            <w:vAlign w:val="center"/>
          </w:tcPr>
          <w:p w14:paraId="5C4C076B">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总功率</w:t>
            </w:r>
          </w:p>
        </w:tc>
        <w:tc>
          <w:tcPr>
            <w:tcW w:w="5828" w:type="dxa"/>
            <w:tcBorders>
              <w:top w:val="single" w:color="auto" w:sz="4" w:space="0"/>
              <w:left w:val="nil"/>
              <w:bottom w:val="single" w:color="auto" w:sz="4" w:space="0"/>
              <w:right w:val="single" w:color="auto" w:sz="4" w:space="0"/>
            </w:tcBorders>
            <w:vAlign w:val="center"/>
          </w:tcPr>
          <w:p w14:paraId="19F30463">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总功率控制在25千瓦内</w:t>
            </w:r>
          </w:p>
        </w:tc>
      </w:tr>
      <w:tr w14:paraId="6AA3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05ECB07E">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17</w:t>
            </w:r>
          </w:p>
        </w:tc>
        <w:tc>
          <w:tcPr>
            <w:tcW w:w="2692" w:type="dxa"/>
            <w:tcBorders>
              <w:top w:val="single" w:color="auto" w:sz="4" w:space="0"/>
              <w:left w:val="nil"/>
              <w:bottom w:val="single" w:color="auto" w:sz="4" w:space="0"/>
              <w:right w:val="single" w:color="auto" w:sz="4" w:space="0"/>
            </w:tcBorders>
            <w:vAlign w:val="center"/>
          </w:tcPr>
          <w:p w14:paraId="46C7332A">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引风机系统</w:t>
            </w:r>
          </w:p>
        </w:tc>
        <w:tc>
          <w:tcPr>
            <w:tcW w:w="5828" w:type="dxa"/>
            <w:tcBorders>
              <w:top w:val="single" w:color="auto" w:sz="4" w:space="0"/>
              <w:left w:val="nil"/>
              <w:bottom w:val="single" w:color="auto" w:sz="4" w:space="0"/>
              <w:right w:val="single" w:color="auto" w:sz="4" w:space="0"/>
            </w:tcBorders>
            <w:vAlign w:val="center"/>
          </w:tcPr>
          <w:p w14:paraId="4B19EA5E">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采用可调品牌引风机，耐高温，抗腐蚀，性能可靠，使用寿命长。必须采用消音器等设施，使噪音达到国家相应标准。</w:t>
            </w:r>
          </w:p>
        </w:tc>
      </w:tr>
      <w:tr w14:paraId="744AD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926D499">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18</w:t>
            </w:r>
          </w:p>
        </w:tc>
        <w:tc>
          <w:tcPr>
            <w:tcW w:w="2692" w:type="dxa"/>
            <w:tcBorders>
              <w:top w:val="single" w:color="auto" w:sz="4" w:space="0"/>
              <w:left w:val="nil"/>
              <w:bottom w:val="single" w:color="auto" w:sz="4" w:space="0"/>
              <w:right w:val="single" w:color="auto" w:sz="4" w:space="0"/>
            </w:tcBorders>
            <w:vAlign w:val="center"/>
          </w:tcPr>
          <w:p w14:paraId="61CBBE59">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烟气黑值度</w:t>
            </w:r>
          </w:p>
        </w:tc>
        <w:tc>
          <w:tcPr>
            <w:tcW w:w="5828" w:type="dxa"/>
            <w:tcBorders>
              <w:top w:val="single" w:color="auto" w:sz="4" w:space="0"/>
              <w:left w:val="nil"/>
              <w:bottom w:val="single" w:color="auto" w:sz="4" w:space="0"/>
              <w:right w:val="single" w:color="auto" w:sz="4" w:space="0"/>
            </w:tcBorders>
            <w:vAlign w:val="center"/>
          </w:tcPr>
          <w:p w14:paraId="02F81870">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正常情况达林格曼零级；特殊情况下，小于林格曼1级</w:t>
            </w:r>
          </w:p>
        </w:tc>
      </w:tr>
      <w:tr w14:paraId="2694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60D94A18">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19</w:t>
            </w:r>
          </w:p>
        </w:tc>
        <w:tc>
          <w:tcPr>
            <w:tcW w:w="2692" w:type="dxa"/>
            <w:tcBorders>
              <w:top w:val="single" w:color="auto" w:sz="4" w:space="0"/>
              <w:left w:val="nil"/>
              <w:bottom w:val="single" w:color="auto" w:sz="4" w:space="0"/>
              <w:right w:val="single" w:color="auto" w:sz="4" w:space="0"/>
            </w:tcBorders>
            <w:vAlign w:val="center"/>
          </w:tcPr>
          <w:p w14:paraId="3B5A6145">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污染物排放指标</w:t>
            </w:r>
          </w:p>
        </w:tc>
        <w:tc>
          <w:tcPr>
            <w:tcW w:w="5828" w:type="dxa"/>
            <w:tcBorders>
              <w:top w:val="single" w:color="auto" w:sz="4" w:space="0"/>
              <w:left w:val="nil"/>
              <w:bottom w:val="single" w:color="auto" w:sz="4" w:space="0"/>
              <w:right w:val="single" w:color="auto" w:sz="4" w:space="0"/>
            </w:tcBorders>
            <w:vAlign w:val="center"/>
          </w:tcPr>
          <w:p w14:paraId="7E15895D">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均应达到GB13801－2015污染物排放标准。</w:t>
            </w:r>
          </w:p>
        </w:tc>
      </w:tr>
      <w:tr w14:paraId="635F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41ED828">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20</w:t>
            </w:r>
          </w:p>
        </w:tc>
        <w:tc>
          <w:tcPr>
            <w:tcW w:w="2692" w:type="dxa"/>
            <w:tcBorders>
              <w:top w:val="single" w:color="auto" w:sz="4" w:space="0"/>
              <w:left w:val="nil"/>
              <w:bottom w:val="single" w:color="auto" w:sz="4" w:space="0"/>
              <w:right w:val="single" w:color="auto" w:sz="4" w:space="0"/>
            </w:tcBorders>
            <w:vAlign w:val="center"/>
          </w:tcPr>
          <w:p w14:paraId="1B6AAB90">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管路连接系统及烟囱和旁路系统</w:t>
            </w:r>
          </w:p>
        </w:tc>
        <w:tc>
          <w:tcPr>
            <w:tcW w:w="5828" w:type="dxa"/>
            <w:tcBorders>
              <w:top w:val="single" w:color="auto" w:sz="4" w:space="0"/>
              <w:left w:val="nil"/>
              <w:bottom w:val="single" w:color="auto" w:sz="4" w:space="0"/>
              <w:right w:val="single" w:color="auto" w:sz="4" w:space="0"/>
            </w:tcBorders>
            <w:vAlign w:val="center"/>
          </w:tcPr>
          <w:p w14:paraId="5D255A99">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采用304不锈钢板制作，厚度≥2.5MM；焊接均匀牢固，弯头连接弧度曲线自然。焊接必须牢固，不得有气孔，焊缝表面必须采用耐高温防腐蚀涂料进行喷涂，以防止焊缝生锈。</w:t>
            </w:r>
          </w:p>
        </w:tc>
      </w:tr>
      <w:tr w14:paraId="767A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107D8DB4">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21</w:t>
            </w:r>
          </w:p>
        </w:tc>
        <w:tc>
          <w:tcPr>
            <w:tcW w:w="2692" w:type="dxa"/>
            <w:tcBorders>
              <w:top w:val="single" w:color="auto" w:sz="4" w:space="0"/>
              <w:left w:val="nil"/>
              <w:bottom w:val="single" w:color="auto" w:sz="4" w:space="0"/>
              <w:right w:val="single" w:color="auto" w:sz="4" w:space="0"/>
            </w:tcBorders>
            <w:vAlign w:val="center"/>
          </w:tcPr>
          <w:p w14:paraId="73B49D72">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耐高温布袋</w:t>
            </w:r>
          </w:p>
        </w:tc>
        <w:tc>
          <w:tcPr>
            <w:tcW w:w="5828" w:type="dxa"/>
            <w:tcBorders>
              <w:top w:val="single" w:color="auto" w:sz="4" w:space="0"/>
              <w:left w:val="nil"/>
              <w:bottom w:val="single" w:color="auto" w:sz="4" w:space="0"/>
              <w:right w:val="single" w:color="auto" w:sz="4" w:space="0"/>
            </w:tcBorders>
            <w:vAlign w:val="center"/>
          </w:tcPr>
          <w:p w14:paraId="6B59F4F1">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采用P84材质复合型耐高温抗酸碱滤料，表面须采用PTFE覆膜，可承受瞬间260°C的高温；具体几何尺寸及数量投标人可根据自身的技术情况进行设计，原则上必须满足烟气流通的需求。</w:t>
            </w:r>
          </w:p>
        </w:tc>
      </w:tr>
      <w:tr w14:paraId="04E4D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AA2404D">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22</w:t>
            </w:r>
          </w:p>
        </w:tc>
        <w:tc>
          <w:tcPr>
            <w:tcW w:w="2692" w:type="dxa"/>
            <w:tcBorders>
              <w:top w:val="single" w:color="auto" w:sz="4" w:space="0"/>
              <w:left w:val="nil"/>
              <w:bottom w:val="single" w:color="auto" w:sz="4" w:space="0"/>
              <w:right w:val="single" w:color="auto" w:sz="4" w:space="0"/>
            </w:tcBorders>
            <w:vAlign w:val="center"/>
          </w:tcPr>
          <w:p w14:paraId="327714FE">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火星滤网</w:t>
            </w:r>
          </w:p>
        </w:tc>
        <w:tc>
          <w:tcPr>
            <w:tcW w:w="5828" w:type="dxa"/>
            <w:tcBorders>
              <w:top w:val="single" w:color="auto" w:sz="4" w:space="0"/>
              <w:left w:val="nil"/>
              <w:bottom w:val="single" w:color="auto" w:sz="4" w:space="0"/>
              <w:right w:val="single" w:color="auto" w:sz="4" w:space="0"/>
            </w:tcBorders>
            <w:vAlign w:val="center"/>
          </w:tcPr>
          <w:p w14:paraId="62485379">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火星滤网采用特种不锈钢丝网进行制作，能够拦截和处理火星，有效保护布袋的安全。具体几何尺寸及数量投标人可根据自身的技术情况进行设计，原则上必须满足烟气流通的需求。</w:t>
            </w:r>
          </w:p>
        </w:tc>
      </w:tr>
      <w:tr w14:paraId="14D7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3F45FB5D">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23</w:t>
            </w:r>
          </w:p>
        </w:tc>
        <w:tc>
          <w:tcPr>
            <w:tcW w:w="2692" w:type="dxa"/>
            <w:tcBorders>
              <w:top w:val="single" w:color="auto" w:sz="4" w:space="0"/>
              <w:left w:val="nil"/>
              <w:bottom w:val="single" w:color="auto" w:sz="4" w:space="0"/>
              <w:right w:val="single" w:color="auto" w:sz="4" w:space="0"/>
            </w:tcBorders>
            <w:vAlign w:val="center"/>
          </w:tcPr>
          <w:p w14:paraId="57BE770F">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辅件\配件</w:t>
            </w:r>
          </w:p>
        </w:tc>
        <w:tc>
          <w:tcPr>
            <w:tcW w:w="5828" w:type="dxa"/>
            <w:tcBorders>
              <w:top w:val="single" w:color="auto" w:sz="4" w:space="0"/>
              <w:left w:val="nil"/>
              <w:bottom w:val="single" w:color="auto" w:sz="4" w:space="0"/>
              <w:right w:val="single" w:color="auto" w:sz="4" w:space="0"/>
            </w:tcBorders>
            <w:vAlign w:val="center"/>
          </w:tcPr>
          <w:p w14:paraId="54B4D4F6">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配套线材、管路、密封材料等。要符合国标。</w:t>
            </w:r>
          </w:p>
        </w:tc>
      </w:tr>
      <w:tr w14:paraId="7FBA7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3" w:type="dxa"/>
            <w:tcBorders>
              <w:top w:val="single" w:color="auto" w:sz="4" w:space="0"/>
              <w:left w:val="single" w:color="auto" w:sz="4" w:space="0"/>
              <w:bottom w:val="single" w:color="auto" w:sz="4" w:space="0"/>
              <w:right w:val="single" w:color="auto" w:sz="4" w:space="0"/>
            </w:tcBorders>
            <w:vAlign w:val="center"/>
          </w:tcPr>
          <w:p w14:paraId="490F0D7C">
            <w:pPr>
              <w:keepNext w:val="0"/>
              <w:keepLines w:val="0"/>
              <w:pageBreakBefore w:val="0"/>
              <w:kinsoku/>
              <w:wordWrap/>
              <w:overflowPunct/>
              <w:topLinePunct w:val="0"/>
              <w:autoSpaceDE/>
              <w:autoSpaceDN/>
              <w:bidi w:val="0"/>
              <w:adjustRightInd/>
              <w:snapToGrid/>
              <w:spacing w:line="360" w:lineRule="auto"/>
              <w:ind w:left="832" w:leftChars="160" w:hanging="480" w:hangingChars="200"/>
              <w:jc w:val="left"/>
              <w:textAlignment w:val="auto"/>
              <w:outlineLvl w:val="5"/>
              <w:rPr>
                <w:rFonts w:hAnsi="宋体"/>
                <w:kern w:val="2"/>
                <w:sz w:val="24"/>
                <w:szCs w:val="24"/>
              </w:rPr>
            </w:pPr>
            <w:r>
              <w:rPr>
                <w:rFonts w:hint="eastAsia" w:hAnsi="宋体"/>
                <w:kern w:val="2"/>
                <w:sz w:val="24"/>
                <w:szCs w:val="24"/>
              </w:rPr>
              <w:t>24</w:t>
            </w:r>
          </w:p>
        </w:tc>
        <w:tc>
          <w:tcPr>
            <w:tcW w:w="8520" w:type="dxa"/>
            <w:gridSpan w:val="2"/>
            <w:tcBorders>
              <w:top w:val="single" w:color="auto" w:sz="4" w:space="0"/>
              <w:left w:val="nil"/>
              <w:bottom w:val="single" w:color="auto" w:sz="4" w:space="0"/>
              <w:right w:val="single" w:color="auto" w:sz="4" w:space="0"/>
            </w:tcBorders>
            <w:vAlign w:val="center"/>
          </w:tcPr>
          <w:p w14:paraId="61919DC9">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r>
              <w:rPr>
                <w:rFonts w:hint="eastAsia" w:hAnsi="宋体"/>
                <w:kern w:val="2"/>
                <w:sz w:val="24"/>
                <w:szCs w:val="24"/>
              </w:rPr>
              <w:t>所有板材均选用优质304不锈钢制作，厚度不低于2.5MM；型材均采用优质A3系列。</w:t>
            </w:r>
          </w:p>
        </w:tc>
      </w:tr>
    </w:tbl>
    <w:p w14:paraId="4E7E3965">
      <w:pPr>
        <w:keepNext w:val="0"/>
        <w:keepLines w:val="0"/>
        <w:pageBreakBefore w:val="0"/>
        <w:kinsoku/>
        <w:wordWrap/>
        <w:overflowPunct/>
        <w:topLinePunct w:val="0"/>
        <w:autoSpaceDE/>
        <w:autoSpaceDN/>
        <w:bidi w:val="0"/>
        <w:adjustRightInd/>
        <w:snapToGrid/>
        <w:spacing w:line="360" w:lineRule="auto"/>
        <w:jc w:val="left"/>
        <w:textAlignment w:val="auto"/>
        <w:outlineLvl w:val="5"/>
        <w:rPr>
          <w:rFonts w:hAnsi="宋体"/>
          <w:kern w:val="2"/>
          <w:sz w:val="24"/>
          <w:szCs w:val="24"/>
        </w:rPr>
      </w:pPr>
    </w:p>
    <w:p w14:paraId="678A57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5、焚烧炉和除尘净化器链接的控制和安全方案要求</w:t>
      </w:r>
    </w:p>
    <w:p w14:paraId="42557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1）、合二为一的控制功能：焚烧炉和除尘净化器的控制应为一体化联动控制，相互之间不得发生排斥和干扰现象；</w:t>
      </w:r>
    </w:p>
    <w:p w14:paraId="3E385C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2）、安全和应急系统：为了确保焚烧炉在运行中的安全工作，应设置布袋系统突发故障时的应急系统，当布袋除尘净化器系统出现故障时，操作人员随时可以切换至另一套直排系统，这样不会影响焚烧工作的正常进行。</w:t>
      </w:r>
    </w:p>
    <w:p w14:paraId="33421B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3）、温度控制与应急系统：应设置布袋除尘器进口的温度显示和控制，当烟气温度超过一定的数值时，应急系统立即自动关闭布袋除尘器，转换为直排系统进行工作，确保布袋的安全。</w:t>
      </w:r>
    </w:p>
    <w:p w14:paraId="0A1B21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lang w:eastAsia="zh-CN"/>
        </w:rPr>
        <w:t>（五）</w:t>
      </w:r>
      <w:r>
        <w:rPr>
          <w:rFonts w:hint="eastAsia"/>
          <w:b/>
          <w:bCs/>
          <w:sz w:val="24"/>
          <w:szCs w:val="24"/>
        </w:rPr>
        <w:t>、火化机尾气除尘布袋更换的技术要求</w:t>
      </w:r>
    </w:p>
    <w:p w14:paraId="315FAE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（一）布袋更换（7台设备共计840只布袋）</w:t>
      </w:r>
    </w:p>
    <w:p w14:paraId="7F9A95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1、布袋尺寸：φ130MM×2000MM</w:t>
      </w:r>
    </w:p>
    <w:p w14:paraId="294514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2、布袋材质：P84，PTFE覆膜。</w:t>
      </w:r>
    </w:p>
    <w:p w14:paraId="226D61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3、布袋性能：耐高温、耐腐蚀、透气性能良好。</w:t>
      </w:r>
    </w:p>
    <w:p w14:paraId="6E53D2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4、布袋笼架（如有损坏需及时更换）。</w:t>
      </w:r>
    </w:p>
    <w:p w14:paraId="000982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5、笼架材质：采用优质φ6圆钢材料制作，表面须采用PTFE覆膜。</w:t>
      </w:r>
    </w:p>
    <w:p w14:paraId="347C4C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6、笼架性能：耐高温、耐腐蚀。</w:t>
      </w:r>
    </w:p>
    <w:p w14:paraId="40C2A2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7、每天及时把布袋除尘器的危废分类存放，按粉尘、脱酸废渣、颗粒活性炭、废布袋四种类别存放，负责委托具有危废运输及处置资质的单位开展危废运输及处置工作。负责做好符合规范的危废台账制作及环保平台数据上报，以备检查。 </w:t>
      </w:r>
    </w:p>
    <w:p w14:paraId="6B257D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（二）电气箱位置重置及整理</w:t>
      </w:r>
    </w:p>
    <w:p w14:paraId="6B4B2F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 xml:space="preserve">  1、将原来的启动电源电气箱移至相应位置，整理相关线路等。</w:t>
      </w:r>
    </w:p>
    <w:p w14:paraId="6347B1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注：</w:t>
      </w:r>
    </w:p>
    <w:p w14:paraId="40FE18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（1）不接受进口产品投标，上述货物标的物所属行业均为工业。</w:t>
      </w:r>
    </w:p>
    <w:p w14:paraId="00F917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（2）核心产品：平板炉大修。</w:t>
      </w:r>
    </w:p>
    <w:p w14:paraId="3BF6BC6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b/>
          <w:bCs/>
          <w:sz w:val="24"/>
          <w:szCs w:val="24"/>
        </w:rPr>
      </w:pPr>
      <w:r>
        <w:rPr>
          <w:rFonts w:hint="eastAsia"/>
          <w:b/>
          <w:bCs/>
          <w:sz w:val="24"/>
          <w:szCs w:val="24"/>
        </w:rPr>
        <w:t>四、项目要求：</w:t>
      </w:r>
    </w:p>
    <w:p w14:paraId="6E3162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（一）项目人员：</w:t>
      </w:r>
    </w:p>
    <w:p w14:paraId="59F2A0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本项目涉及安装及用电设备接电，拟派项目安装人员至少1人具有有效期内的特种作业操作证（作业类别：焊接与热切割作业），1人具有电工职业资格证书（国家职业资格中级/四级）。</w:t>
      </w:r>
      <w:r>
        <w:rPr>
          <w:rFonts w:hint="eastAsia" w:hAnsi="宋体" w:cs="DengXian"/>
          <w:sz w:val="24"/>
          <w:szCs w:val="24"/>
          <w:highlight w:val="none"/>
          <w:lang w:val="en-US" w:eastAsia="zh-CN"/>
        </w:rPr>
        <w:t>提供对应投入人员的相关证书及开标前连续3个月投标</w:t>
      </w:r>
      <w:r>
        <w:rPr>
          <w:rFonts w:hint="eastAsia" w:hAnsi="宋体" w:cs="DengXian"/>
          <w:sz w:val="24"/>
          <w:szCs w:val="24"/>
          <w:lang w:val="en-US" w:eastAsia="zh-CN"/>
        </w:rPr>
        <w:t>单位为其缴纳社保的证明材料并加盖公章</w:t>
      </w:r>
      <w:r>
        <w:rPr>
          <w:rFonts w:hint="eastAsia"/>
          <w:sz w:val="24"/>
          <w:szCs w:val="24"/>
        </w:rPr>
        <w:t>。</w:t>
      </w:r>
    </w:p>
    <w:p w14:paraId="484E95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（二）一般技术要求：</w:t>
      </w:r>
    </w:p>
    <w:p w14:paraId="2DE868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投标人所投产品应明确所投货物的品牌、型号、规格和外形（提供图片、图纸等）、尺寸、重量及一些必须说明的技术参数，以及清单，同时明确生产厂家、型号规格等，并提供详细的技术参数及性能说明书。</w:t>
      </w:r>
    </w:p>
    <w:p w14:paraId="3E278F0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b/>
          <w:bCs/>
          <w:sz w:val="24"/>
          <w:szCs w:val="24"/>
          <w:lang w:eastAsia="zh-CN"/>
        </w:rPr>
      </w:pPr>
      <w:r>
        <w:rPr>
          <w:rFonts w:hint="eastAsia"/>
          <w:b/>
          <w:bCs/>
          <w:sz w:val="24"/>
          <w:szCs w:val="24"/>
        </w:rPr>
        <w:t>五、项目实施要求</w:t>
      </w:r>
      <w:r>
        <w:rPr>
          <w:rFonts w:hint="eastAsia"/>
          <w:b/>
          <w:bCs/>
          <w:sz w:val="24"/>
          <w:szCs w:val="24"/>
          <w:lang w:eastAsia="zh-CN"/>
        </w:rPr>
        <w:t>：</w:t>
      </w:r>
    </w:p>
    <w:p w14:paraId="4801F4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投标文件中需提供项目实施方案，包含以下内容：①项目实施进度计划及保证措施；②施工人员安排及现场管理制度；③安装调试、验收方案；④质量保障措施；⑤安全及环保保障措施；⑥安装应急预案等内容进行评审。</w:t>
      </w:r>
    </w:p>
    <w:p w14:paraId="3EBD36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需制定详细的项目实施进度计划方案（包括工期进度安排及保证措施、重点难点分析、劳动力安排计划）。明确供货进度计划、制定保障措施，重点难点分析及应对措施，劳动力人员合理安排，确保项目供货能够按时稳步完成。考虑到新校区招生准备，中标单位确保于自合同签订之日起90日历天完成采购、安装及调试。</w:t>
      </w:r>
    </w:p>
    <w:p w14:paraId="4FF787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需制定详细的施工人员安排及现场管理制度（包括施工组织机构、项目管理人员配备、项目人员简历、人员证书及投标单位为其缴纳社保证明、各人员职责、文明服务准则、考勤制度、管理制度）。严格遵循国家标准和行业规范施工，制定详细的施工人员安排及现场管理制度。</w:t>
      </w:r>
    </w:p>
    <w:p w14:paraId="01318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需制定详细的安装调试、验收方案（包括现场安装调试实施计划、安装调试流程、安装调试质量保证实施方案、验收方案）。严格遵循国家标准和行业规范施工，制定详细的安装调试实施计划、安装调试流程、所有设备的安装调试方案、验收方案。负责保管安装现场所有材料、设备，直至项目安装、验收完毕。</w:t>
      </w:r>
    </w:p>
    <w:p w14:paraId="0159BD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需制定详细的质量保障措施方案（包括质量保证体系、原材料及外购件质量保证方案、原材料及外购件采购管理流程、厂制品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p>
    <w:p w14:paraId="06C779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需制定详细的安全及环保保障措施（包括安全环保保障措施、现场协调配合措施、成品保护措施、安全环保文明施工）。严格遵循国家标准和行业规范施工，制定详细安全保障措施。安装过程中应加强对噪声、粉尘等的控制，努力降低噪声，负责安装场地杂物和垃圾等的清理工作。因本项目施工造成人员伤亡或财产损失，由中标人承担全部责任。</w:t>
      </w:r>
    </w:p>
    <w:p w14:paraId="6AF512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6、需制定详细的安装应急预案（包括针对现场施工安全隐患、重污染天气应急响应措施、现场突发状况应急响应措施）严格遵循国家标准和行业规范施工，制定防火、触电、高处坠落等措施。</w:t>
      </w:r>
    </w:p>
    <w:p w14:paraId="69F0891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b/>
          <w:bCs/>
          <w:sz w:val="24"/>
          <w:szCs w:val="24"/>
          <w:lang w:eastAsia="zh-CN"/>
        </w:rPr>
      </w:pPr>
      <w:r>
        <w:rPr>
          <w:rFonts w:hint="eastAsia"/>
          <w:b/>
          <w:bCs/>
          <w:sz w:val="24"/>
          <w:szCs w:val="24"/>
        </w:rPr>
        <w:t>六、项目验收</w:t>
      </w:r>
      <w:r>
        <w:rPr>
          <w:rFonts w:hint="eastAsia"/>
          <w:b/>
          <w:bCs/>
          <w:sz w:val="24"/>
          <w:szCs w:val="24"/>
          <w:lang w:eastAsia="zh-CN"/>
        </w:rPr>
        <w:t>：</w:t>
      </w:r>
    </w:p>
    <w:p w14:paraId="18032F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1、履约验收的实施主体：太仓市殡仪馆。</w:t>
      </w:r>
    </w:p>
    <w:p w14:paraId="3ED3A1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2、履约验收时间：全部货物到达采购人指定地点，并完成安装及调试后15个工作日内。</w:t>
      </w:r>
    </w:p>
    <w:p w14:paraId="3ADE0E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安装过程所产生的废弃物及危废由中标单位负责进行无害化处理，项目履行期间必须做到工完场清、料清、障清，如未在指定时间内做到工完场清、料清、障清。采购人有权对中标单位进行每次扣款1000元，供应商须无条件接受。</w:t>
      </w:r>
    </w:p>
    <w:p w14:paraId="69F71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履约验收方式：安装过程中采购人有权邀请监理单位进行验收及监督，如验收不合格或相关指标达不到招标文件要求或投标文件中所承诺的标准，采购人有权拒绝收货，并上报行政监督部门按相关规定处理，供应商须承担由此造成的相关损失及违约责任。</w:t>
      </w:r>
    </w:p>
    <w:p w14:paraId="673812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4、履约验收内容和标准：</w:t>
      </w:r>
    </w:p>
    <w:p w14:paraId="4E9A76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（1）验收内容：货物应符合国家现行有关产品标准的规定，并保证其各项检测指标达到国家规范及招标文件要求，其安全性能符合国家标准要求。</w:t>
      </w:r>
    </w:p>
    <w:p w14:paraId="313831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履约验收标准：按本招标文件、供应商的投标文件、承诺及国家相关标准为准。按《江苏省政府采购履约验收管理办法》（苏财规〔2024〕7号）的通知的要求，提供验收通知单、验收书，详见本章附件。如双方对验收结果有分歧，则以苏州市技术质量监督局的检验结果为准，检验费用由有过失的一方支付。</w:t>
      </w:r>
    </w:p>
    <w:p w14:paraId="7F1F8F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b/>
          <w:bCs/>
          <w:sz w:val="24"/>
          <w:szCs w:val="24"/>
          <w:lang w:eastAsia="zh-CN"/>
        </w:rPr>
      </w:pPr>
      <w:r>
        <w:rPr>
          <w:rFonts w:hint="eastAsia"/>
          <w:b/>
          <w:bCs/>
          <w:sz w:val="24"/>
          <w:szCs w:val="24"/>
        </w:rPr>
        <w:t>七、售后服务</w:t>
      </w:r>
      <w:r>
        <w:rPr>
          <w:rFonts w:hint="eastAsia"/>
          <w:b/>
          <w:bCs/>
          <w:sz w:val="24"/>
          <w:szCs w:val="24"/>
          <w:lang w:eastAsia="zh-CN"/>
        </w:rPr>
        <w:t>：</w:t>
      </w:r>
    </w:p>
    <w:p w14:paraId="6F72D2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1、免费保修期：</w:t>
      </w:r>
      <w:bookmarkStart w:id="13" w:name="OLE_LINK8"/>
      <w:bookmarkStart w:id="14" w:name="OLE_LINK9"/>
      <w:r>
        <w:rPr>
          <w:rFonts w:hint="eastAsia"/>
          <w:sz w:val="24"/>
          <w:szCs w:val="24"/>
        </w:rPr>
        <w:t>自项目验收合格（以双方在验收报告签订日期为准），提供3年整体免费保修服务。免费保修期内，除人为损坏和不可抗拒因素外，中标人对设备进行免费维修或更换。</w:t>
      </w:r>
      <w:bookmarkEnd w:id="13"/>
      <w:bookmarkEnd w:id="14"/>
    </w:p>
    <w:p w14:paraId="146779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2、响应时间：中标人在接到采购人维修要求后，必须在1小时内对采购人所提出的维修要求作出响应，24小时内到达维修现场。否则由于响应延误造成的全部损失中标人承担。</w:t>
      </w:r>
    </w:p>
    <w:p w14:paraId="166679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免费保修期内，每年须组织售后服务人员对所供货物进行巡检一次。免费保修期满后的维修内容减免上门费及人工费等费用，仅按原材料的价格收取维修费用，零配件应保证5年以上的供应期，合同签订时提供原材料的价格、零配件的优惠价为免费保修期满后的结算依据，未提供在免费保修期满后价格维修清单的内容视为免费维修，价格不因时间的递增或物价上涨而改变结算价格。</w:t>
      </w:r>
    </w:p>
    <w:p w14:paraId="6FF33F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4、免费保修期内如有质量问题时（使用不当除外），供应商应免费修复、更换，同一问题二次修复后仍有问题时，则全套更换。</w:t>
      </w:r>
    </w:p>
    <w:p w14:paraId="2EFDB5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5、中标单位应按其投标文件中的承诺，进行其他售后服务工作。包括但不限于免费提供对采购方操作人员的免费应用技术培训，时间、地点由客户协商而定。</w:t>
      </w:r>
    </w:p>
    <w:p w14:paraId="5D48DD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6、投标人提供针对本项目的履约及售后服务方案，内容至少包括：①售后服务管理体系方案、②维保方案、③售后应急预案、④培训方案等。</w:t>
      </w:r>
    </w:p>
    <w:p w14:paraId="1AA71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（1）投标文件中提供针对本项目制定的售后服务管理体系方案，包括售后服务单位、响应时间、维修人员、车辆、维修工具、零部件等内容、并提供所有所投产品的售后服务承诺书等。</w:t>
      </w:r>
    </w:p>
    <w:p w14:paraId="2FA1B4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（2）投标文件中提供针对本项目制定的维保方案，包括维保工作具体维保内容、维保流程、维保规范标准、维保档案等情况。</w:t>
      </w:r>
    </w:p>
    <w:p w14:paraId="3BA18A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（3）投标文件中提供针对本项目制定售后（维保）应急预案，分析设备有可能出现的故障，制定出合理的预案。</w:t>
      </w:r>
    </w:p>
    <w:p w14:paraId="4B516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投标文件中提供针对本项目制定的培训方案，包括培训时间进度安排、培训目标计划、培训内容（包括所有设备易出现的问题及解决方案）、负责培训人员情况等情况介绍。为客户举办技术操作，安全保护和维修保护的培训，使他们做到“三会”即会操作、会维护、会保护。</w:t>
      </w:r>
      <w:r>
        <w:rPr>
          <w:rFonts w:hint="eastAsia"/>
          <w:sz w:val="24"/>
          <w:szCs w:val="24"/>
        </w:rPr>
        <w:br w:type="textWrapping"/>
      </w:r>
      <w:r>
        <w:rPr>
          <w:rFonts w:hint="eastAsia"/>
          <w:sz w:val="24"/>
          <w:szCs w:val="24"/>
        </w:rPr>
        <w:t>7.质量控制及配合措施要求</w:t>
      </w:r>
    </w:p>
    <w:p w14:paraId="242EC4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投标人需制定详细的配合措施方案（包括整体质量控制方案、质量管理和人员职责明确、产品运输保护措施）。确保项目供货能够按时稳步完成</w:t>
      </w:r>
      <w:r>
        <w:rPr>
          <w:rFonts w:hint="eastAsia"/>
          <w:sz w:val="24"/>
          <w:szCs w:val="24"/>
          <w:lang w:val="zh-CN"/>
        </w:rPr>
        <w:t>。在实际供货前中标人需进行现场实测，根据现场实际情况提供符合项目实施的方案，并经采购人确认后方可供货安装。</w:t>
      </w:r>
      <w:r>
        <w:rPr>
          <w:rFonts w:hint="eastAsia"/>
          <w:sz w:val="24"/>
          <w:szCs w:val="24"/>
        </w:rPr>
        <w:t>保证货物整体质量国家标准和行业规范，明确与采购人及其他施工单位的协作配合措施，对产品运输中出现的风险因素做出相应保护措施，确保项目实施过程顺畅。</w:t>
      </w:r>
    </w:p>
    <w:p w14:paraId="0E9138D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eastAsia="宋体"/>
          <w:b/>
          <w:bCs/>
          <w:sz w:val="24"/>
          <w:szCs w:val="24"/>
          <w:lang w:eastAsia="zh-CN"/>
        </w:rPr>
      </w:pPr>
      <w:r>
        <w:rPr>
          <w:rFonts w:hint="eastAsia"/>
          <w:b/>
          <w:bCs/>
          <w:sz w:val="24"/>
          <w:szCs w:val="24"/>
        </w:rPr>
        <w:t>八、综合说明</w:t>
      </w:r>
      <w:r>
        <w:rPr>
          <w:rFonts w:hint="eastAsia"/>
          <w:b/>
          <w:bCs/>
          <w:sz w:val="24"/>
          <w:szCs w:val="24"/>
          <w:lang w:eastAsia="zh-CN"/>
        </w:rPr>
        <w:t>：</w:t>
      </w:r>
    </w:p>
    <w:p w14:paraId="216791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投标人须保障采购人在使用该产品时不受到第三方关于侵犯专利权、商标权或工业设计权的指控。如果任何第三方提出侵权指控，投标人须与第三方交涉，并承担由此而产生的索赔、损失、损害、支出等一切费用（含律师费）。如采购人因此而遭致损失的，中标单位应赔偿该损失。</w:t>
      </w:r>
    </w:p>
    <w:p w14:paraId="066EC7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2、投标人必须承诺其所提供材料的真实、有效性，如投标人在投标过程中存在任何造假、瞒报行为，一经发现，立即取消投标人资格，同时保留追究投标人责任的相关权利。</w:t>
      </w:r>
    </w:p>
    <w:p w14:paraId="1EC315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3、投标应以人民币报价，投标总价一次报定，报价均已包括本项目的所有费用，包括但不限于由投标人为实施和完成本合同所承担的全部费用和要求获得的利润，包括货物、辅材、配件、运输、吊装、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p>
    <w:p w14:paraId="5008AB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4、布袋每四个月更换，更换结束后以危废物品相关处理方式处置，所有费用均由中标单位承担。</w:t>
      </w:r>
    </w:p>
    <w:p w14:paraId="38E6CB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5、大修期间火化炉烟道清理、拆除废砖以危废物品关处理方式处置，所有费用均由中标单位承担。</w:t>
      </w:r>
    </w:p>
    <w:p w14:paraId="3C543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6、积极配合相关环保检测工作，保证各项排放检测数据达到国家环保标准，如出现排放检测数据不达标的情况，迅速采取相应措施，直至检测数据达标，此过程中产生的重复检测、增加的环保处置耗材等所有费用，由中标方承担。</w:t>
      </w:r>
    </w:p>
    <w:p w14:paraId="5E3AC8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7、预热器位置调整改造至炉顶，具体调改需按甲方要求。</w:t>
      </w:r>
    </w:p>
    <w:p w14:paraId="46EE77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8、现场踏勘：根据自身投标需要，投标人可对有关现场和周围环境进行勘察，以获取编制投标文件和签署合同所需的信息。勘察现场所发生的费用由投标人自己承担。</w:t>
      </w:r>
    </w:p>
    <w:p w14:paraId="19A38B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r>
        <w:rPr>
          <w:rFonts w:hint="eastAsia"/>
          <w:sz w:val="24"/>
          <w:szCs w:val="24"/>
          <w:lang w:val="en-US" w:eastAsia="zh-CN"/>
        </w:rPr>
        <w:t>9、付款步骤：验收完成后付至合同价的90%，剩余尾款于第二年一次性付清。</w:t>
      </w:r>
    </w:p>
    <w:p w14:paraId="1BE9B6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rPr>
      </w:pPr>
      <w:r>
        <w:rPr>
          <w:rFonts w:hint="eastAsia"/>
          <w:sz w:val="24"/>
          <w:szCs w:val="24"/>
          <w:lang w:val="en-US" w:eastAsia="zh-CN"/>
        </w:rPr>
        <w:t>10、中标后，采购单位委托的监理单位从所供货物中随机抽样，送相关检测机构进行检测，按招标文件的技术要求为标准验收，如检测不合格，检验相关费用由过失方承担，且重新供应合格产品。</w:t>
      </w:r>
    </w:p>
    <w:p w14:paraId="070234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11、供应商中标后提供货物及配件均为按国家规格条例生产的合格正规产品、符合设计规范要求。所有投标产品的生产、制造、安装等各项技术标准应当符合国家（强制性）标准、各项规范要求；国家没有相应标准、规范的，可使用行业标准、规定。</w:t>
      </w:r>
    </w:p>
    <w:p w14:paraId="351E1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r>
        <w:rPr>
          <w:rFonts w:hint="eastAsia"/>
          <w:sz w:val="24"/>
          <w:szCs w:val="24"/>
        </w:rPr>
        <w:t>12、本项目甲方不提供食宿，施工人员食宿需由中标单位自理。</w:t>
      </w:r>
    </w:p>
    <w:p w14:paraId="19B67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sectPr>
          <w:pgSz w:w="11906" w:h="16838"/>
          <w:pgMar w:top="1361" w:right="1304" w:bottom="1304" w:left="1361" w:header="851" w:footer="992" w:gutter="0"/>
          <w:cols w:space="720" w:num="1"/>
          <w:docGrid w:linePitch="360" w:charSpace="0"/>
        </w:sectPr>
      </w:pPr>
      <w:r>
        <w:rPr>
          <w:rFonts w:hint="eastAsia"/>
          <w:sz w:val="24"/>
          <w:szCs w:val="24"/>
        </w:rPr>
        <w:t>13、凡涉及招标文件的补充说明和修改，均以江苏省政府采购网、苏州市政府采购网发布的信息为准。</w:t>
      </w:r>
    </w:p>
    <w:p w14:paraId="513499DA">
      <w:pPr>
        <w:widowControl/>
        <w:spacing w:before="235" w:line="204" w:lineRule="auto"/>
        <w:rPr>
          <w:rFonts w:hint="default" w:hAnsi="宋体" w:cs="Times New Roman"/>
          <w:color w:val="auto"/>
          <w:sz w:val="24"/>
          <w:szCs w:val="20"/>
          <w:highlight w:val="none"/>
        </w:rPr>
      </w:pPr>
      <w:r>
        <w:rPr>
          <w:rFonts w:hint="eastAsia" w:hAnsi="宋体" w:cs="Times New Roman"/>
          <w:color w:val="auto"/>
          <w:spacing w:val="-17"/>
          <w:sz w:val="24"/>
          <w:szCs w:val="20"/>
          <w:highlight w:val="none"/>
          <w:lang w:eastAsia="zh-CN"/>
        </w:rPr>
        <w:t>附件</w:t>
      </w:r>
      <w:r>
        <w:rPr>
          <w:rFonts w:hint="default" w:hAnsi="宋体" w:cs="Times New Roman"/>
          <w:color w:val="auto"/>
          <w:spacing w:val="-45"/>
          <w:sz w:val="24"/>
          <w:szCs w:val="20"/>
          <w:highlight w:val="none"/>
        </w:rPr>
        <w:t xml:space="preserve"> </w:t>
      </w:r>
      <w:r>
        <w:rPr>
          <w:rFonts w:hint="default" w:hAnsi="宋体" w:cs="Times New Roman"/>
          <w:color w:val="auto"/>
          <w:spacing w:val="-17"/>
          <w:sz w:val="24"/>
          <w:szCs w:val="20"/>
          <w:highlight w:val="none"/>
        </w:rPr>
        <w:t>1</w:t>
      </w:r>
    </w:p>
    <w:p w14:paraId="6D8D554F">
      <w:pPr>
        <w:widowControl/>
        <w:spacing w:before="229" w:line="589" w:lineRule="exact"/>
        <w:ind w:left="1412"/>
        <w:jc w:val="center"/>
        <w:rPr>
          <w:rFonts w:hint="default" w:hAnsi="宋体" w:cs="FZXiaoBiaoSong-B05S"/>
          <w:color w:val="auto"/>
          <w:sz w:val="36"/>
          <w:szCs w:val="36"/>
          <w:highlight w:val="none"/>
        </w:rPr>
      </w:pPr>
      <w:r>
        <w:rPr>
          <w:rFonts w:hint="default" w:hAnsi="宋体" w:cs="FZXiaoBiaoSong-B05S"/>
          <w:color w:val="auto"/>
          <w:spacing w:val="17"/>
          <w:position w:val="5"/>
          <w:sz w:val="36"/>
          <w:szCs w:val="36"/>
          <w:highlight w:val="none"/>
        </w:rPr>
        <w:t>政府采</w:t>
      </w:r>
      <w:r>
        <w:rPr>
          <w:rFonts w:hint="eastAsia" w:hAnsi="宋体" w:cs="微软雅黑"/>
          <w:color w:val="auto"/>
          <w:spacing w:val="17"/>
          <w:position w:val="5"/>
          <w:sz w:val="36"/>
          <w:szCs w:val="36"/>
          <w:highlight w:val="none"/>
        </w:rPr>
        <w:t>购</w:t>
      </w:r>
      <w:r>
        <w:rPr>
          <w:rFonts w:hint="eastAsia" w:hAnsi="宋体" w:cs="Malgun Gothic"/>
          <w:color w:val="auto"/>
          <w:spacing w:val="17"/>
          <w:position w:val="5"/>
          <w:sz w:val="36"/>
          <w:szCs w:val="36"/>
          <w:highlight w:val="none"/>
        </w:rPr>
        <w:t>履</w:t>
      </w:r>
      <w:r>
        <w:rPr>
          <w:rFonts w:hint="eastAsia" w:hAnsi="宋体" w:cs="微软雅黑"/>
          <w:color w:val="auto"/>
          <w:spacing w:val="17"/>
          <w:position w:val="5"/>
          <w:sz w:val="36"/>
          <w:szCs w:val="36"/>
          <w:highlight w:val="none"/>
        </w:rPr>
        <w:t>约验</w:t>
      </w:r>
      <w:r>
        <w:rPr>
          <w:rFonts w:hint="eastAsia" w:hAnsi="宋体" w:cs="Malgun Gothic"/>
          <w:color w:val="auto"/>
          <w:spacing w:val="17"/>
          <w:position w:val="5"/>
          <w:sz w:val="36"/>
          <w:szCs w:val="36"/>
          <w:highlight w:val="none"/>
        </w:rPr>
        <w:t>收通知</w:t>
      </w:r>
      <w:r>
        <w:rPr>
          <w:rFonts w:hint="eastAsia" w:hAnsi="宋体" w:cs="微软雅黑"/>
          <w:color w:val="auto"/>
          <w:spacing w:val="17"/>
          <w:position w:val="5"/>
          <w:sz w:val="36"/>
          <w:szCs w:val="36"/>
          <w:highlight w:val="none"/>
        </w:rPr>
        <w:t>单</w:t>
      </w:r>
    </w:p>
    <w:p w14:paraId="7D747ECB">
      <w:pPr>
        <w:widowControl/>
        <w:spacing w:before="200" w:line="214" w:lineRule="auto"/>
        <w:ind w:left="85"/>
        <w:rPr>
          <w:rFonts w:hint="default" w:hAnsi="宋体"/>
          <w:color w:val="auto"/>
          <w:sz w:val="23"/>
          <w:szCs w:val="23"/>
          <w:highlight w:val="none"/>
        </w:rPr>
      </w:pPr>
      <w:r>
        <w:rPr>
          <w:rFonts w:hint="default" w:hAnsi="宋体"/>
          <w:color w:val="auto"/>
          <w:spacing w:val="9"/>
          <w:sz w:val="23"/>
          <w:szCs w:val="23"/>
          <w:highlight w:val="none"/>
        </w:rPr>
        <w:t>供应商：</w:t>
      </w:r>
    </w:p>
    <w:p w14:paraId="6FEF0ED6">
      <w:pPr>
        <w:widowControl/>
        <w:spacing w:line="44" w:lineRule="exact"/>
        <w:rPr>
          <w:rFonts w:hint="default" w:hAnsi="宋体" w:cs="Times New Roman"/>
          <w:color w:val="auto"/>
          <w:sz w:val="24"/>
          <w:szCs w:val="20"/>
          <w:highlight w:val="none"/>
        </w:rPr>
      </w:pPr>
    </w:p>
    <w:tbl>
      <w:tblPr>
        <w:tblStyle w:val="41"/>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C976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02143DCD">
            <w:pPr>
              <w:spacing w:before="249" w:line="212" w:lineRule="auto"/>
              <w:ind w:left="961"/>
              <w:rPr>
                <w:rFonts w:hint="default" w:hAnsi="宋体" w:cs="黑体"/>
                <w:color w:val="auto"/>
                <w:sz w:val="23"/>
                <w:szCs w:val="23"/>
                <w:highlight w:val="none"/>
              </w:rPr>
            </w:pPr>
            <w:r>
              <w:rPr>
                <w:rFonts w:hint="default" w:hAnsi="宋体" w:cs="黑体"/>
                <w:color w:val="auto"/>
                <w:spacing w:val="2"/>
                <w:sz w:val="23"/>
                <w:szCs w:val="23"/>
                <w:highlight w:val="none"/>
                <w:lang w:eastAsia="en-US"/>
              </w:rPr>
              <w:t>采购人</w:t>
            </w:r>
          </w:p>
        </w:tc>
        <w:tc>
          <w:tcPr>
            <w:tcW w:w="6708" w:type="dxa"/>
            <w:gridSpan w:val="3"/>
            <w:noWrap w:val="0"/>
          </w:tcPr>
          <w:p w14:paraId="18103D84">
            <w:pPr>
              <w:rPr>
                <w:rFonts w:hint="default" w:hAnsi="宋体" w:cs="Times New Roman"/>
                <w:color w:val="auto"/>
                <w:sz w:val="24"/>
                <w:szCs w:val="24"/>
                <w:highlight w:val="none"/>
              </w:rPr>
            </w:pPr>
          </w:p>
        </w:tc>
      </w:tr>
      <w:tr w14:paraId="42EA7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158BF0CD">
            <w:pPr>
              <w:spacing w:before="249" w:line="211" w:lineRule="auto"/>
              <w:ind w:left="841"/>
              <w:rPr>
                <w:rFonts w:hint="default" w:hAnsi="宋体" w:cs="黑体"/>
                <w:color w:val="auto"/>
                <w:sz w:val="23"/>
                <w:szCs w:val="23"/>
                <w:highlight w:val="none"/>
              </w:rPr>
            </w:pPr>
            <w:r>
              <w:rPr>
                <w:rFonts w:hint="default" w:hAnsi="宋体" w:cs="黑体"/>
                <w:color w:val="auto"/>
                <w:spacing w:val="2"/>
                <w:sz w:val="23"/>
                <w:szCs w:val="23"/>
                <w:highlight w:val="none"/>
                <w:lang w:eastAsia="en-US"/>
              </w:rPr>
              <w:t>项目名称</w:t>
            </w:r>
          </w:p>
        </w:tc>
        <w:tc>
          <w:tcPr>
            <w:tcW w:w="6708" w:type="dxa"/>
            <w:gridSpan w:val="3"/>
            <w:noWrap w:val="0"/>
          </w:tcPr>
          <w:p w14:paraId="36B9E44F">
            <w:pPr>
              <w:rPr>
                <w:rFonts w:hint="default" w:hAnsi="宋体" w:cs="Times New Roman"/>
                <w:color w:val="auto"/>
                <w:sz w:val="24"/>
                <w:szCs w:val="24"/>
                <w:highlight w:val="none"/>
              </w:rPr>
            </w:pPr>
          </w:p>
        </w:tc>
      </w:tr>
      <w:tr w14:paraId="375B4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32522A6A">
            <w:pPr>
              <w:spacing w:before="247" w:line="213" w:lineRule="auto"/>
              <w:ind w:left="841"/>
              <w:rPr>
                <w:rFonts w:hint="default" w:hAnsi="宋体" w:cs="黑体"/>
                <w:color w:val="auto"/>
                <w:sz w:val="23"/>
                <w:szCs w:val="23"/>
                <w:highlight w:val="none"/>
              </w:rPr>
            </w:pPr>
            <w:r>
              <w:rPr>
                <w:rFonts w:hint="default" w:hAnsi="宋体" w:cs="黑体"/>
                <w:color w:val="auto"/>
                <w:spacing w:val="2"/>
                <w:sz w:val="23"/>
                <w:szCs w:val="23"/>
                <w:highlight w:val="none"/>
                <w:lang w:eastAsia="en-US"/>
              </w:rPr>
              <w:t>合同名称</w:t>
            </w:r>
          </w:p>
        </w:tc>
        <w:tc>
          <w:tcPr>
            <w:tcW w:w="6708" w:type="dxa"/>
            <w:gridSpan w:val="3"/>
            <w:noWrap w:val="0"/>
          </w:tcPr>
          <w:p w14:paraId="502753F3">
            <w:pPr>
              <w:rPr>
                <w:rFonts w:hint="default" w:hAnsi="宋体" w:cs="Times New Roman"/>
                <w:color w:val="auto"/>
                <w:sz w:val="24"/>
                <w:szCs w:val="24"/>
                <w:highlight w:val="none"/>
              </w:rPr>
            </w:pPr>
          </w:p>
        </w:tc>
      </w:tr>
      <w:tr w14:paraId="1B6174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5F18EE82">
            <w:pPr>
              <w:spacing w:before="247" w:line="212" w:lineRule="auto"/>
              <w:ind w:left="841"/>
              <w:rPr>
                <w:rFonts w:hint="default" w:hAnsi="宋体" w:cs="黑体"/>
                <w:color w:val="auto"/>
                <w:sz w:val="23"/>
                <w:szCs w:val="23"/>
                <w:highlight w:val="none"/>
              </w:rPr>
            </w:pPr>
            <w:r>
              <w:rPr>
                <w:rFonts w:hint="default" w:hAnsi="宋体" w:cs="黑体"/>
                <w:color w:val="auto"/>
                <w:spacing w:val="2"/>
                <w:sz w:val="23"/>
                <w:szCs w:val="23"/>
                <w:highlight w:val="none"/>
                <w:lang w:eastAsia="en-US"/>
              </w:rPr>
              <w:t>合同编号</w:t>
            </w:r>
          </w:p>
        </w:tc>
        <w:tc>
          <w:tcPr>
            <w:tcW w:w="1961" w:type="dxa"/>
            <w:noWrap w:val="0"/>
          </w:tcPr>
          <w:p w14:paraId="49059B18">
            <w:pPr>
              <w:rPr>
                <w:rFonts w:hint="default" w:hAnsi="宋体" w:cs="Times New Roman"/>
                <w:color w:val="auto"/>
                <w:sz w:val="24"/>
                <w:szCs w:val="24"/>
                <w:highlight w:val="none"/>
              </w:rPr>
            </w:pPr>
          </w:p>
        </w:tc>
        <w:tc>
          <w:tcPr>
            <w:tcW w:w="2139" w:type="dxa"/>
            <w:noWrap w:val="0"/>
          </w:tcPr>
          <w:p w14:paraId="79B9DA34">
            <w:pPr>
              <w:spacing w:before="247" w:line="213" w:lineRule="auto"/>
              <w:ind w:left="607"/>
              <w:rPr>
                <w:rFonts w:hint="default" w:hAnsi="宋体" w:cs="黑体"/>
                <w:color w:val="auto"/>
                <w:sz w:val="23"/>
                <w:szCs w:val="23"/>
                <w:highlight w:val="none"/>
              </w:rPr>
            </w:pPr>
            <w:r>
              <w:rPr>
                <w:rFonts w:hint="default" w:hAnsi="宋体" w:cs="黑体"/>
                <w:color w:val="auto"/>
                <w:spacing w:val="2"/>
                <w:sz w:val="23"/>
                <w:szCs w:val="23"/>
                <w:highlight w:val="none"/>
                <w:lang w:eastAsia="en-US"/>
              </w:rPr>
              <w:t>合同金额</w:t>
            </w:r>
          </w:p>
        </w:tc>
        <w:tc>
          <w:tcPr>
            <w:tcW w:w="2608" w:type="dxa"/>
            <w:noWrap w:val="0"/>
          </w:tcPr>
          <w:p w14:paraId="119A0F0C">
            <w:pPr>
              <w:rPr>
                <w:rFonts w:hint="default" w:hAnsi="宋体" w:cs="Times New Roman"/>
                <w:color w:val="auto"/>
                <w:sz w:val="24"/>
                <w:szCs w:val="24"/>
                <w:highlight w:val="none"/>
              </w:rPr>
            </w:pPr>
          </w:p>
        </w:tc>
      </w:tr>
      <w:tr w14:paraId="30A44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7940F098">
            <w:pPr>
              <w:spacing w:before="248" w:line="212" w:lineRule="auto"/>
              <w:ind w:left="841"/>
              <w:rPr>
                <w:rFonts w:hint="default" w:hAnsi="宋体" w:cs="黑体"/>
                <w:color w:val="auto"/>
                <w:sz w:val="23"/>
                <w:szCs w:val="23"/>
                <w:highlight w:val="none"/>
              </w:rPr>
            </w:pPr>
            <w:r>
              <w:rPr>
                <w:rFonts w:hint="default" w:hAnsi="宋体" w:cs="黑体"/>
                <w:color w:val="auto"/>
                <w:spacing w:val="4"/>
                <w:sz w:val="23"/>
                <w:szCs w:val="23"/>
                <w:highlight w:val="none"/>
                <w:lang w:eastAsia="en-US"/>
              </w:rPr>
              <w:t>验收时间</w:t>
            </w:r>
          </w:p>
        </w:tc>
        <w:tc>
          <w:tcPr>
            <w:tcW w:w="1961" w:type="dxa"/>
            <w:noWrap w:val="0"/>
          </w:tcPr>
          <w:p w14:paraId="6ADBCE02">
            <w:pPr>
              <w:rPr>
                <w:rFonts w:hint="default" w:hAnsi="宋体" w:cs="Times New Roman"/>
                <w:color w:val="auto"/>
                <w:sz w:val="24"/>
                <w:szCs w:val="24"/>
                <w:highlight w:val="none"/>
              </w:rPr>
            </w:pPr>
          </w:p>
        </w:tc>
        <w:tc>
          <w:tcPr>
            <w:tcW w:w="2139" w:type="dxa"/>
            <w:noWrap w:val="0"/>
          </w:tcPr>
          <w:p w14:paraId="3E8BB363">
            <w:pPr>
              <w:spacing w:before="248" w:line="213" w:lineRule="auto"/>
              <w:ind w:left="607"/>
              <w:rPr>
                <w:rFonts w:hint="default" w:hAnsi="宋体" w:cs="黑体"/>
                <w:color w:val="auto"/>
                <w:sz w:val="23"/>
                <w:szCs w:val="23"/>
                <w:highlight w:val="none"/>
              </w:rPr>
            </w:pPr>
            <w:r>
              <w:rPr>
                <w:rFonts w:hint="default" w:hAnsi="宋体" w:cs="黑体"/>
                <w:color w:val="auto"/>
                <w:spacing w:val="4"/>
                <w:sz w:val="23"/>
                <w:szCs w:val="23"/>
                <w:highlight w:val="none"/>
                <w:lang w:eastAsia="en-US"/>
              </w:rPr>
              <w:t>验收地点</w:t>
            </w:r>
          </w:p>
        </w:tc>
        <w:tc>
          <w:tcPr>
            <w:tcW w:w="2608" w:type="dxa"/>
            <w:noWrap w:val="0"/>
          </w:tcPr>
          <w:p w14:paraId="45D5F7F7">
            <w:pPr>
              <w:rPr>
                <w:rFonts w:hint="default" w:hAnsi="宋体" w:cs="Times New Roman"/>
                <w:color w:val="auto"/>
                <w:sz w:val="24"/>
                <w:szCs w:val="24"/>
                <w:highlight w:val="none"/>
              </w:rPr>
            </w:pPr>
          </w:p>
        </w:tc>
      </w:tr>
      <w:tr w14:paraId="43CC9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230866D">
            <w:pPr>
              <w:spacing w:before="248" w:line="213" w:lineRule="auto"/>
              <w:ind w:left="960"/>
              <w:rPr>
                <w:rFonts w:hint="default" w:hAnsi="宋体" w:cs="黑体"/>
                <w:color w:val="auto"/>
                <w:sz w:val="23"/>
                <w:szCs w:val="23"/>
                <w:highlight w:val="none"/>
              </w:rPr>
            </w:pPr>
            <w:r>
              <w:rPr>
                <w:rFonts w:hint="default" w:hAnsi="宋体" w:cs="黑体"/>
                <w:color w:val="auto"/>
                <w:spacing w:val="1"/>
                <w:sz w:val="23"/>
                <w:szCs w:val="23"/>
                <w:highlight w:val="none"/>
                <w:lang w:eastAsia="en-US"/>
              </w:rPr>
              <w:t>联系人</w:t>
            </w:r>
          </w:p>
        </w:tc>
        <w:tc>
          <w:tcPr>
            <w:tcW w:w="1961" w:type="dxa"/>
            <w:noWrap w:val="0"/>
          </w:tcPr>
          <w:p w14:paraId="1517F945">
            <w:pPr>
              <w:rPr>
                <w:rFonts w:hint="default" w:hAnsi="宋体" w:cs="Times New Roman"/>
                <w:color w:val="auto"/>
                <w:sz w:val="24"/>
                <w:szCs w:val="24"/>
                <w:highlight w:val="none"/>
              </w:rPr>
            </w:pPr>
          </w:p>
        </w:tc>
        <w:tc>
          <w:tcPr>
            <w:tcW w:w="2139" w:type="dxa"/>
            <w:noWrap w:val="0"/>
          </w:tcPr>
          <w:p w14:paraId="40A0DBF3">
            <w:pPr>
              <w:spacing w:before="248" w:line="213" w:lineRule="auto"/>
              <w:ind w:left="605"/>
              <w:rPr>
                <w:rFonts w:hint="default" w:hAnsi="宋体" w:cs="黑体"/>
                <w:color w:val="auto"/>
                <w:sz w:val="23"/>
                <w:szCs w:val="23"/>
                <w:highlight w:val="none"/>
              </w:rPr>
            </w:pPr>
            <w:r>
              <w:rPr>
                <w:rFonts w:hint="default" w:hAnsi="宋体" w:cs="黑体"/>
                <w:color w:val="auto"/>
                <w:spacing w:val="3"/>
                <w:sz w:val="23"/>
                <w:szCs w:val="23"/>
                <w:highlight w:val="none"/>
                <w:lang w:eastAsia="en-US"/>
              </w:rPr>
              <w:t>联系电话</w:t>
            </w:r>
          </w:p>
        </w:tc>
        <w:tc>
          <w:tcPr>
            <w:tcW w:w="2608" w:type="dxa"/>
            <w:noWrap w:val="0"/>
          </w:tcPr>
          <w:p w14:paraId="6AFCEADC">
            <w:pPr>
              <w:rPr>
                <w:rFonts w:hint="default" w:hAnsi="宋体" w:cs="Times New Roman"/>
                <w:color w:val="auto"/>
                <w:sz w:val="24"/>
                <w:szCs w:val="24"/>
                <w:highlight w:val="none"/>
              </w:rPr>
            </w:pPr>
          </w:p>
        </w:tc>
      </w:tr>
      <w:tr w14:paraId="08BD4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13EE4B87">
            <w:pPr>
              <w:spacing w:before="250" w:line="212" w:lineRule="auto"/>
              <w:ind w:left="3353"/>
              <w:rPr>
                <w:rFonts w:hint="default" w:hAnsi="宋体" w:cs="黑体"/>
                <w:color w:val="auto"/>
                <w:sz w:val="23"/>
                <w:szCs w:val="23"/>
                <w:highlight w:val="none"/>
              </w:rPr>
            </w:pPr>
            <w:r>
              <w:rPr>
                <w:rFonts w:hint="default" w:hAnsi="宋体" w:cs="黑体"/>
                <w:color w:val="auto"/>
                <w:spacing w:val="7"/>
                <w:sz w:val="23"/>
                <w:szCs w:val="23"/>
                <w:highlight w:val="none"/>
              </w:rPr>
              <w:t>履约验收方案及工作要求</w:t>
            </w:r>
          </w:p>
        </w:tc>
      </w:tr>
      <w:tr w14:paraId="5E719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tcPr>
          <w:p w14:paraId="77E0F30F">
            <w:pPr>
              <w:spacing w:line="241" w:lineRule="auto"/>
              <w:rPr>
                <w:rFonts w:hint="default" w:hAnsi="宋体" w:cs="Times New Roman"/>
                <w:color w:val="auto"/>
                <w:sz w:val="24"/>
                <w:szCs w:val="24"/>
                <w:highlight w:val="none"/>
              </w:rPr>
            </w:pPr>
          </w:p>
          <w:p w14:paraId="67DC06D9">
            <w:pPr>
              <w:spacing w:line="241" w:lineRule="auto"/>
              <w:rPr>
                <w:rFonts w:hint="default" w:hAnsi="宋体" w:cs="Times New Roman"/>
                <w:color w:val="auto"/>
                <w:sz w:val="24"/>
                <w:szCs w:val="24"/>
                <w:highlight w:val="none"/>
              </w:rPr>
            </w:pPr>
          </w:p>
          <w:p w14:paraId="1557AA21">
            <w:pPr>
              <w:spacing w:line="241" w:lineRule="auto"/>
              <w:rPr>
                <w:rFonts w:hint="default" w:hAnsi="宋体" w:cs="Times New Roman"/>
                <w:color w:val="auto"/>
                <w:sz w:val="24"/>
                <w:szCs w:val="24"/>
                <w:highlight w:val="none"/>
              </w:rPr>
            </w:pPr>
          </w:p>
          <w:p w14:paraId="352AC91B">
            <w:pPr>
              <w:spacing w:line="241" w:lineRule="auto"/>
              <w:rPr>
                <w:rFonts w:hint="default" w:hAnsi="宋体" w:cs="Times New Roman"/>
                <w:color w:val="auto"/>
                <w:sz w:val="24"/>
                <w:szCs w:val="24"/>
                <w:highlight w:val="none"/>
              </w:rPr>
            </w:pPr>
          </w:p>
          <w:p w14:paraId="55D124AD">
            <w:pPr>
              <w:spacing w:line="241" w:lineRule="auto"/>
              <w:rPr>
                <w:rFonts w:hint="default" w:hAnsi="宋体" w:cs="Times New Roman"/>
                <w:color w:val="auto"/>
                <w:sz w:val="24"/>
                <w:szCs w:val="24"/>
                <w:highlight w:val="none"/>
              </w:rPr>
            </w:pPr>
          </w:p>
          <w:p w14:paraId="1845C925">
            <w:pPr>
              <w:spacing w:line="241" w:lineRule="auto"/>
              <w:rPr>
                <w:rFonts w:hint="default" w:hAnsi="宋体" w:cs="Times New Roman"/>
                <w:color w:val="auto"/>
                <w:sz w:val="24"/>
                <w:szCs w:val="24"/>
                <w:highlight w:val="none"/>
              </w:rPr>
            </w:pPr>
          </w:p>
          <w:p w14:paraId="66FFB7C9">
            <w:pPr>
              <w:spacing w:line="241" w:lineRule="auto"/>
              <w:rPr>
                <w:rFonts w:hint="default" w:hAnsi="宋体" w:cs="Times New Roman"/>
                <w:color w:val="auto"/>
                <w:sz w:val="24"/>
                <w:szCs w:val="24"/>
                <w:highlight w:val="none"/>
              </w:rPr>
            </w:pPr>
          </w:p>
          <w:p w14:paraId="50EB4D61">
            <w:pPr>
              <w:spacing w:line="241" w:lineRule="auto"/>
              <w:rPr>
                <w:rFonts w:hint="default" w:hAnsi="宋体" w:cs="Times New Roman"/>
                <w:color w:val="auto"/>
                <w:sz w:val="24"/>
                <w:szCs w:val="24"/>
                <w:highlight w:val="none"/>
              </w:rPr>
            </w:pPr>
          </w:p>
          <w:p w14:paraId="750C79C7">
            <w:pPr>
              <w:spacing w:line="241" w:lineRule="auto"/>
              <w:rPr>
                <w:rFonts w:hint="default" w:hAnsi="宋体" w:cs="Times New Roman"/>
                <w:color w:val="auto"/>
                <w:sz w:val="24"/>
                <w:szCs w:val="24"/>
                <w:highlight w:val="none"/>
              </w:rPr>
            </w:pPr>
          </w:p>
          <w:p w14:paraId="114FA5EF">
            <w:pPr>
              <w:spacing w:line="241" w:lineRule="auto"/>
              <w:rPr>
                <w:rFonts w:hint="default" w:hAnsi="宋体" w:cs="Times New Roman"/>
                <w:color w:val="auto"/>
                <w:sz w:val="24"/>
                <w:szCs w:val="24"/>
                <w:highlight w:val="none"/>
              </w:rPr>
            </w:pPr>
          </w:p>
          <w:p w14:paraId="5B239561">
            <w:pPr>
              <w:spacing w:line="241" w:lineRule="auto"/>
              <w:rPr>
                <w:rFonts w:hint="default" w:hAnsi="宋体" w:cs="Times New Roman"/>
                <w:color w:val="auto"/>
                <w:sz w:val="24"/>
                <w:szCs w:val="24"/>
                <w:highlight w:val="none"/>
              </w:rPr>
            </w:pPr>
          </w:p>
          <w:p w14:paraId="759620AE">
            <w:pPr>
              <w:spacing w:line="241" w:lineRule="auto"/>
              <w:rPr>
                <w:rFonts w:hint="default" w:hAnsi="宋体" w:cs="Times New Roman"/>
                <w:color w:val="auto"/>
                <w:sz w:val="24"/>
                <w:szCs w:val="24"/>
                <w:highlight w:val="none"/>
              </w:rPr>
            </w:pPr>
          </w:p>
          <w:p w14:paraId="4BE3291B">
            <w:pPr>
              <w:spacing w:line="241" w:lineRule="auto"/>
              <w:rPr>
                <w:rFonts w:hint="default" w:hAnsi="宋体" w:cs="Times New Roman"/>
                <w:color w:val="auto"/>
                <w:sz w:val="24"/>
                <w:szCs w:val="24"/>
                <w:highlight w:val="none"/>
              </w:rPr>
            </w:pPr>
          </w:p>
          <w:p w14:paraId="10EAD862">
            <w:pPr>
              <w:spacing w:line="241" w:lineRule="auto"/>
              <w:rPr>
                <w:rFonts w:hint="default" w:hAnsi="宋体" w:cs="Times New Roman"/>
                <w:color w:val="auto"/>
                <w:sz w:val="24"/>
                <w:szCs w:val="24"/>
                <w:highlight w:val="none"/>
              </w:rPr>
            </w:pPr>
          </w:p>
          <w:p w14:paraId="4B535500">
            <w:pPr>
              <w:spacing w:line="241" w:lineRule="auto"/>
              <w:rPr>
                <w:rFonts w:hint="default" w:hAnsi="宋体" w:cs="Times New Roman"/>
                <w:color w:val="auto"/>
                <w:sz w:val="24"/>
                <w:szCs w:val="24"/>
                <w:highlight w:val="none"/>
              </w:rPr>
            </w:pPr>
          </w:p>
          <w:p w14:paraId="7FC1DAC3">
            <w:pPr>
              <w:spacing w:line="241" w:lineRule="auto"/>
              <w:rPr>
                <w:rFonts w:hint="default" w:hAnsi="宋体" w:cs="Times New Roman"/>
                <w:color w:val="auto"/>
                <w:sz w:val="24"/>
                <w:szCs w:val="24"/>
                <w:highlight w:val="none"/>
              </w:rPr>
            </w:pPr>
          </w:p>
          <w:p w14:paraId="30E8C545">
            <w:pPr>
              <w:spacing w:line="242" w:lineRule="auto"/>
              <w:rPr>
                <w:rFonts w:hint="default" w:hAnsi="宋体" w:cs="Times New Roman"/>
                <w:color w:val="auto"/>
                <w:sz w:val="24"/>
                <w:szCs w:val="24"/>
                <w:highlight w:val="none"/>
              </w:rPr>
            </w:pPr>
          </w:p>
          <w:p w14:paraId="083C71BD">
            <w:pPr>
              <w:spacing w:line="242" w:lineRule="auto"/>
              <w:rPr>
                <w:rFonts w:hint="default" w:hAnsi="宋体" w:cs="Times New Roman"/>
                <w:color w:val="auto"/>
                <w:sz w:val="24"/>
                <w:szCs w:val="24"/>
                <w:highlight w:val="none"/>
              </w:rPr>
            </w:pPr>
          </w:p>
          <w:p w14:paraId="7BD860BA">
            <w:pPr>
              <w:spacing w:before="75" w:line="507" w:lineRule="auto"/>
              <w:ind w:left="5128" w:right="2893" w:firstLine="183"/>
              <w:rPr>
                <w:rFonts w:hint="default" w:hAnsi="宋体" w:cs="黑体"/>
                <w:color w:val="auto"/>
                <w:sz w:val="23"/>
                <w:szCs w:val="23"/>
                <w:highlight w:val="none"/>
              </w:rPr>
            </w:pPr>
            <w:r>
              <w:rPr>
                <w:rFonts w:hint="default" w:hAnsi="宋体" w:cs="黑体"/>
                <w:color w:val="auto"/>
                <w:spacing w:val="3"/>
                <w:sz w:val="23"/>
                <w:szCs w:val="23"/>
                <w:highlight w:val="none"/>
                <w:lang w:eastAsia="en-US"/>
              </w:rPr>
              <w:t>单位公章</w:t>
            </w:r>
            <w:r>
              <w:rPr>
                <w:rFonts w:hint="default" w:hAnsi="宋体" w:cs="黑体"/>
                <w:color w:val="auto"/>
                <w:sz w:val="23"/>
                <w:szCs w:val="23"/>
                <w:highlight w:val="none"/>
                <w:lang w:eastAsia="en-US"/>
              </w:rPr>
              <w:t xml:space="preserve">  </w:t>
            </w:r>
            <w:r>
              <w:rPr>
                <w:rFonts w:hint="default" w:hAnsi="宋体" w:cs="黑体"/>
                <w:color w:val="auto"/>
                <w:spacing w:val="-16"/>
                <w:sz w:val="23"/>
                <w:szCs w:val="23"/>
                <w:highlight w:val="none"/>
                <w:lang w:eastAsia="en-US"/>
              </w:rPr>
              <w:t>年</w:t>
            </w:r>
            <w:r>
              <w:rPr>
                <w:rFonts w:hint="default" w:hAnsi="宋体" w:cs="黑体"/>
                <w:color w:val="auto"/>
                <w:spacing w:val="18"/>
                <w:sz w:val="23"/>
                <w:szCs w:val="23"/>
                <w:highlight w:val="none"/>
                <w:lang w:eastAsia="en-US"/>
              </w:rPr>
              <w:t xml:space="preserve">  </w:t>
            </w:r>
            <w:r>
              <w:rPr>
                <w:rFonts w:hint="default" w:hAnsi="宋体" w:cs="黑体"/>
                <w:color w:val="auto"/>
                <w:spacing w:val="-16"/>
                <w:sz w:val="23"/>
                <w:szCs w:val="23"/>
                <w:highlight w:val="none"/>
                <w:lang w:eastAsia="en-US"/>
              </w:rPr>
              <w:t>月</w:t>
            </w:r>
            <w:r>
              <w:rPr>
                <w:rFonts w:hint="default" w:hAnsi="宋体" w:cs="黑体"/>
                <w:color w:val="auto"/>
                <w:spacing w:val="12"/>
                <w:sz w:val="23"/>
                <w:szCs w:val="23"/>
                <w:highlight w:val="none"/>
                <w:lang w:eastAsia="en-US"/>
              </w:rPr>
              <w:t xml:space="preserve">  </w:t>
            </w:r>
            <w:r>
              <w:rPr>
                <w:rFonts w:hint="default" w:hAnsi="宋体" w:cs="黑体"/>
                <w:color w:val="auto"/>
                <w:spacing w:val="-16"/>
                <w:sz w:val="23"/>
                <w:szCs w:val="23"/>
                <w:highlight w:val="none"/>
                <w:lang w:eastAsia="en-US"/>
              </w:rPr>
              <w:t>日</w:t>
            </w:r>
          </w:p>
        </w:tc>
      </w:tr>
    </w:tbl>
    <w:p w14:paraId="4D5B6289">
      <w:pPr>
        <w:keepNext w:val="0"/>
        <w:keepLines w:val="0"/>
        <w:pageBreakBefore w:val="0"/>
        <w:widowControl/>
        <w:kinsoku/>
        <w:wordWrap/>
        <w:overflowPunct/>
        <w:topLinePunct w:val="0"/>
        <w:autoSpaceDE/>
        <w:autoSpaceDN/>
        <w:bidi w:val="0"/>
        <w:spacing w:line="360" w:lineRule="auto"/>
        <w:textAlignment w:val="auto"/>
        <w:rPr>
          <w:rFonts w:hAnsi="宋体" w:cs="Times New Roman"/>
          <w:sz w:val="24"/>
          <w:szCs w:val="20"/>
        </w:rPr>
        <w:sectPr>
          <w:headerReference r:id="rId7" w:type="first"/>
          <w:footerReference r:id="rId9" w:type="first"/>
          <w:headerReference r:id="rId6" w:type="default"/>
          <w:footerReference r:id="rId8" w:type="default"/>
          <w:pgSz w:w="11906" w:h="16838"/>
          <w:pgMar w:top="1440" w:right="1700" w:bottom="1440" w:left="1797" w:header="851" w:footer="992" w:gutter="0"/>
          <w:cols w:space="1701" w:num="1"/>
          <w:docGrid w:linePitch="360" w:charSpace="0"/>
        </w:sectPr>
      </w:pPr>
    </w:p>
    <w:p w14:paraId="79949F8B">
      <w:pPr>
        <w:keepNext w:val="0"/>
        <w:keepLines w:val="0"/>
        <w:pageBreakBefore w:val="0"/>
        <w:widowControl/>
        <w:kinsoku/>
        <w:wordWrap/>
        <w:overflowPunct/>
        <w:topLinePunct w:val="0"/>
        <w:autoSpaceDE/>
        <w:autoSpaceDN/>
        <w:bidi w:val="0"/>
        <w:spacing w:before="73" w:line="360" w:lineRule="auto"/>
        <w:jc w:val="center"/>
        <w:textAlignment w:val="auto"/>
        <w:rPr>
          <w:rFonts w:hAnsi="宋体" w:cs="FZXiaoBiaoSong-B05S"/>
          <w:sz w:val="36"/>
          <w:szCs w:val="36"/>
        </w:rPr>
      </w:pPr>
      <w:r>
        <w:rPr>
          <w:rFonts w:hAnsi="宋体" w:cs="FZXiaoBiaoSong-B05S"/>
          <w:spacing w:val="17"/>
          <w:sz w:val="36"/>
          <w:szCs w:val="36"/>
        </w:rPr>
        <w:t>政府采</w:t>
      </w:r>
      <w:r>
        <w:rPr>
          <w:rFonts w:hint="eastAsia" w:hAnsi="宋体" w:cs="微软雅黑"/>
          <w:spacing w:val="17"/>
          <w:sz w:val="36"/>
          <w:szCs w:val="36"/>
        </w:rPr>
        <w:t>购</w:t>
      </w:r>
      <w:r>
        <w:rPr>
          <w:rFonts w:hint="eastAsia" w:hAnsi="宋体" w:cs="Malgun Gothic"/>
          <w:spacing w:val="17"/>
          <w:sz w:val="36"/>
          <w:szCs w:val="36"/>
        </w:rPr>
        <w:t>履</w:t>
      </w:r>
      <w:r>
        <w:rPr>
          <w:rFonts w:hint="eastAsia" w:hAnsi="宋体" w:cs="微软雅黑"/>
          <w:spacing w:val="17"/>
          <w:sz w:val="36"/>
          <w:szCs w:val="36"/>
        </w:rPr>
        <w:t>约验</w:t>
      </w:r>
      <w:r>
        <w:rPr>
          <w:rFonts w:hint="eastAsia" w:hAnsi="宋体" w:cs="Malgun Gothic"/>
          <w:spacing w:val="17"/>
          <w:sz w:val="36"/>
          <w:szCs w:val="36"/>
        </w:rPr>
        <w:t>收</w:t>
      </w:r>
      <w:r>
        <w:rPr>
          <w:rFonts w:hint="eastAsia" w:hAnsi="宋体" w:cs="微软雅黑"/>
          <w:spacing w:val="17"/>
          <w:sz w:val="36"/>
          <w:szCs w:val="36"/>
        </w:rPr>
        <w:t>书参</w:t>
      </w:r>
      <w:r>
        <w:rPr>
          <w:rFonts w:hint="eastAsia" w:hAnsi="宋体" w:cs="Malgun Gothic"/>
          <w:spacing w:val="17"/>
          <w:sz w:val="36"/>
          <w:szCs w:val="36"/>
        </w:rPr>
        <w:t>考</w:t>
      </w:r>
      <w:r>
        <w:rPr>
          <w:rFonts w:hint="eastAsia" w:hAnsi="宋体" w:cs="微软雅黑"/>
          <w:spacing w:val="17"/>
          <w:sz w:val="36"/>
          <w:szCs w:val="36"/>
        </w:rPr>
        <w:t>样</w:t>
      </w:r>
      <w:r>
        <w:rPr>
          <w:rFonts w:hint="eastAsia" w:hAnsi="宋体" w:cs="Malgun Gothic"/>
          <w:spacing w:val="17"/>
          <w:sz w:val="36"/>
          <w:szCs w:val="36"/>
        </w:rPr>
        <w:t>本</w:t>
      </w:r>
    </w:p>
    <w:tbl>
      <w:tblPr>
        <w:tblStyle w:val="41"/>
        <w:tblW w:w="1417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5"/>
        <w:gridCol w:w="1179"/>
        <w:gridCol w:w="1829"/>
        <w:gridCol w:w="1910"/>
        <w:gridCol w:w="160"/>
        <w:gridCol w:w="1135"/>
        <w:gridCol w:w="1280"/>
        <w:gridCol w:w="1729"/>
        <w:gridCol w:w="1281"/>
        <w:gridCol w:w="1687"/>
      </w:tblGrid>
      <w:tr w14:paraId="1E7E8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26F38A34">
            <w:pPr>
              <w:keepNext w:val="0"/>
              <w:keepLines w:val="0"/>
              <w:pageBreakBefore w:val="0"/>
              <w:kinsoku/>
              <w:wordWrap/>
              <w:overflowPunct/>
              <w:topLinePunct w:val="0"/>
              <w:autoSpaceDE/>
              <w:autoSpaceDN/>
              <w:bidi w:val="0"/>
              <w:spacing w:line="360" w:lineRule="auto"/>
              <w:ind w:left="640"/>
              <w:textAlignment w:val="auto"/>
              <w:rPr>
                <w:rFonts w:hAnsi="宋体"/>
                <w:sz w:val="18"/>
                <w:szCs w:val="18"/>
              </w:rPr>
            </w:pPr>
            <w:r>
              <w:rPr>
                <w:rFonts w:hAnsi="宋体"/>
                <w:spacing w:val="-3"/>
                <w:sz w:val="18"/>
                <w:szCs w:val="18"/>
                <w:lang w:eastAsia="en-US"/>
              </w:rPr>
              <w:t>采购人</w:t>
            </w:r>
          </w:p>
        </w:tc>
        <w:tc>
          <w:tcPr>
            <w:tcW w:w="3008" w:type="dxa"/>
            <w:gridSpan w:val="2"/>
            <w:vAlign w:val="center"/>
          </w:tcPr>
          <w:p w14:paraId="64DFAC29">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910" w:type="dxa"/>
            <w:vAlign w:val="center"/>
          </w:tcPr>
          <w:p w14:paraId="075276F9">
            <w:pPr>
              <w:keepNext w:val="0"/>
              <w:keepLines w:val="0"/>
              <w:pageBreakBefore w:val="0"/>
              <w:kinsoku/>
              <w:wordWrap/>
              <w:overflowPunct/>
              <w:topLinePunct w:val="0"/>
              <w:autoSpaceDE/>
              <w:autoSpaceDN/>
              <w:bidi w:val="0"/>
              <w:spacing w:line="360" w:lineRule="auto"/>
              <w:ind w:left="602"/>
              <w:textAlignment w:val="auto"/>
              <w:rPr>
                <w:rFonts w:hAnsi="宋体"/>
                <w:sz w:val="18"/>
                <w:szCs w:val="18"/>
              </w:rPr>
            </w:pPr>
            <w:r>
              <w:rPr>
                <w:rFonts w:hAnsi="宋体"/>
                <w:spacing w:val="-3"/>
                <w:sz w:val="18"/>
                <w:szCs w:val="18"/>
                <w:lang w:eastAsia="en-US"/>
              </w:rPr>
              <w:t>项目名称</w:t>
            </w:r>
          </w:p>
        </w:tc>
        <w:tc>
          <w:tcPr>
            <w:tcW w:w="2575" w:type="dxa"/>
            <w:gridSpan w:val="3"/>
            <w:vAlign w:val="center"/>
          </w:tcPr>
          <w:p w14:paraId="046A8E25">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729" w:type="dxa"/>
            <w:vAlign w:val="center"/>
          </w:tcPr>
          <w:p w14:paraId="6F70CF9F">
            <w:pPr>
              <w:keepNext w:val="0"/>
              <w:keepLines w:val="0"/>
              <w:pageBreakBefore w:val="0"/>
              <w:kinsoku/>
              <w:wordWrap/>
              <w:overflowPunct/>
              <w:topLinePunct w:val="0"/>
              <w:autoSpaceDE/>
              <w:autoSpaceDN/>
              <w:bidi w:val="0"/>
              <w:spacing w:line="360" w:lineRule="auto"/>
              <w:ind w:left="512"/>
              <w:textAlignment w:val="auto"/>
              <w:rPr>
                <w:rFonts w:hAnsi="宋体"/>
                <w:sz w:val="18"/>
                <w:szCs w:val="18"/>
              </w:rPr>
            </w:pPr>
            <w:r>
              <w:rPr>
                <w:rFonts w:hAnsi="宋体"/>
                <w:spacing w:val="-2"/>
                <w:sz w:val="18"/>
                <w:szCs w:val="18"/>
                <w:lang w:eastAsia="en-US"/>
              </w:rPr>
              <w:t>合同名称</w:t>
            </w:r>
          </w:p>
        </w:tc>
        <w:tc>
          <w:tcPr>
            <w:tcW w:w="2968" w:type="dxa"/>
            <w:gridSpan w:val="2"/>
            <w:vAlign w:val="center"/>
          </w:tcPr>
          <w:p w14:paraId="384F8008">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r>
      <w:tr w14:paraId="2478C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5C282792">
            <w:pPr>
              <w:keepNext w:val="0"/>
              <w:keepLines w:val="0"/>
              <w:pageBreakBefore w:val="0"/>
              <w:kinsoku/>
              <w:wordWrap/>
              <w:overflowPunct/>
              <w:topLinePunct w:val="0"/>
              <w:autoSpaceDE/>
              <w:autoSpaceDN/>
              <w:bidi w:val="0"/>
              <w:spacing w:line="360" w:lineRule="auto"/>
              <w:ind w:left="641"/>
              <w:textAlignment w:val="auto"/>
              <w:rPr>
                <w:rFonts w:hAnsi="宋体"/>
                <w:sz w:val="18"/>
                <w:szCs w:val="18"/>
              </w:rPr>
            </w:pPr>
            <w:r>
              <w:rPr>
                <w:rFonts w:hAnsi="宋体"/>
                <w:spacing w:val="-3"/>
                <w:sz w:val="18"/>
                <w:szCs w:val="18"/>
                <w:lang w:eastAsia="en-US"/>
              </w:rPr>
              <w:t>供应商</w:t>
            </w:r>
          </w:p>
        </w:tc>
        <w:tc>
          <w:tcPr>
            <w:tcW w:w="3008" w:type="dxa"/>
            <w:gridSpan w:val="2"/>
            <w:vAlign w:val="center"/>
          </w:tcPr>
          <w:p w14:paraId="515B1201">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910" w:type="dxa"/>
            <w:vAlign w:val="center"/>
          </w:tcPr>
          <w:p w14:paraId="0BC39957">
            <w:pPr>
              <w:keepNext w:val="0"/>
              <w:keepLines w:val="0"/>
              <w:pageBreakBefore w:val="0"/>
              <w:kinsoku/>
              <w:wordWrap/>
              <w:overflowPunct/>
              <w:topLinePunct w:val="0"/>
              <w:autoSpaceDE/>
              <w:autoSpaceDN/>
              <w:bidi w:val="0"/>
              <w:spacing w:line="360" w:lineRule="auto"/>
              <w:ind w:left="331"/>
              <w:textAlignment w:val="auto"/>
              <w:rPr>
                <w:rFonts w:hAnsi="宋体"/>
                <w:sz w:val="18"/>
                <w:szCs w:val="18"/>
              </w:rPr>
            </w:pPr>
            <w:r>
              <w:rPr>
                <w:rFonts w:hAnsi="宋体"/>
                <w:spacing w:val="-2"/>
                <w:sz w:val="18"/>
                <w:szCs w:val="18"/>
                <w:lang w:eastAsia="en-US"/>
              </w:rPr>
              <w:t>项目及合同编号</w:t>
            </w:r>
          </w:p>
        </w:tc>
        <w:tc>
          <w:tcPr>
            <w:tcW w:w="2575" w:type="dxa"/>
            <w:gridSpan w:val="3"/>
            <w:vAlign w:val="center"/>
          </w:tcPr>
          <w:p w14:paraId="52E5BB13">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729" w:type="dxa"/>
            <w:vAlign w:val="center"/>
          </w:tcPr>
          <w:p w14:paraId="67802BAC">
            <w:pPr>
              <w:keepNext w:val="0"/>
              <w:keepLines w:val="0"/>
              <w:pageBreakBefore w:val="0"/>
              <w:kinsoku/>
              <w:wordWrap/>
              <w:overflowPunct/>
              <w:topLinePunct w:val="0"/>
              <w:autoSpaceDE/>
              <w:autoSpaceDN/>
              <w:bidi w:val="0"/>
              <w:spacing w:line="360" w:lineRule="auto"/>
              <w:ind w:left="512"/>
              <w:textAlignment w:val="auto"/>
              <w:rPr>
                <w:rFonts w:hAnsi="宋体"/>
                <w:sz w:val="18"/>
                <w:szCs w:val="18"/>
              </w:rPr>
            </w:pPr>
            <w:r>
              <w:rPr>
                <w:rFonts w:hAnsi="宋体"/>
                <w:spacing w:val="-2"/>
                <w:sz w:val="18"/>
                <w:szCs w:val="18"/>
                <w:lang w:eastAsia="en-US"/>
              </w:rPr>
              <w:t>合同金额</w:t>
            </w:r>
          </w:p>
        </w:tc>
        <w:tc>
          <w:tcPr>
            <w:tcW w:w="2968" w:type="dxa"/>
            <w:gridSpan w:val="2"/>
            <w:vAlign w:val="center"/>
          </w:tcPr>
          <w:p w14:paraId="15FE8D95">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r>
      <w:tr w14:paraId="29E5A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72931353">
            <w:pPr>
              <w:keepNext w:val="0"/>
              <w:keepLines w:val="0"/>
              <w:pageBreakBefore w:val="0"/>
              <w:kinsoku/>
              <w:wordWrap/>
              <w:overflowPunct/>
              <w:topLinePunct w:val="0"/>
              <w:autoSpaceDE/>
              <w:autoSpaceDN/>
              <w:bidi w:val="0"/>
              <w:spacing w:line="360" w:lineRule="auto"/>
              <w:ind w:left="283"/>
              <w:textAlignment w:val="auto"/>
              <w:rPr>
                <w:rFonts w:hAnsi="宋体"/>
                <w:sz w:val="18"/>
                <w:szCs w:val="18"/>
              </w:rPr>
            </w:pPr>
            <w:r>
              <w:rPr>
                <w:rFonts w:hAnsi="宋体"/>
                <w:spacing w:val="-2"/>
                <w:position w:val="1"/>
                <w:sz w:val="18"/>
                <w:szCs w:val="18"/>
                <w:lang w:eastAsia="en-US"/>
              </w:rPr>
              <w:t>分期（段）验收</w:t>
            </w:r>
          </w:p>
        </w:tc>
        <w:tc>
          <w:tcPr>
            <w:tcW w:w="3008" w:type="dxa"/>
            <w:gridSpan w:val="2"/>
            <w:vAlign w:val="center"/>
          </w:tcPr>
          <w:p w14:paraId="211766ED">
            <w:pPr>
              <w:keepNext w:val="0"/>
              <w:keepLines w:val="0"/>
              <w:pageBreakBefore w:val="0"/>
              <w:kinsoku/>
              <w:wordWrap/>
              <w:overflowPunct/>
              <w:topLinePunct w:val="0"/>
              <w:autoSpaceDE/>
              <w:autoSpaceDN/>
              <w:bidi w:val="0"/>
              <w:spacing w:line="360" w:lineRule="auto"/>
              <w:ind w:left="1064"/>
              <w:textAlignment w:val="auto"/>
              <w:rPr>
                <w:rFonts w:hAnsi="宋体"/>
                <w:sz w:val="18"/>
                <w:szCs w:val="18"/>
              </w:rPr>
            </w:pPr>
            <w:r>
              <w:rPr>
                <w:rFonts w:hAnsi="宋体"/>
                <w:spacing w:val="-6"/>
                <w:position w:val="1"/>
                <w:sz w:val="18"/>
                <w:szCs w:val="18"/>
                <w:lang w:eastAsia="en-US"/>
              </w:rPr>
              <w:t>是□</w:t>
            </w:r>
            <w:r>
              <w:rPr>
                <w:rFonts w:hAnsi="宋体"/>
                <w:spacing w:val="4"/>
                <w:position w:val="1"/>
                <w:sz w:val="18"/>
                <w:szCs w:val="18"/>
                <w:lang w:eastAsia="en-US"/>
              </w:rPr>
              <w:t xml:space="preserve">   </w:t>
            </w:r>
            <w:r>
              <w:rPr>
                <w:rFonts w:hAnsi="宋体"/>
                <w:spacing w:val="-6"/>
                <w:position w:val="1"/>
                <w:sz w:val="18"/>
                <w:szCs w:val="18"/>
                <w:lang w:eastAsia="en-US"/>
              </w:rPr>
              <w:t>否□</w:t>
            </w:r>
          </w:p>
        </w:tc>
        <w:tc>
          <w:tcPr>
            <w:tcW w:w="1910" w:type="dxa"/>
            <w:vAlign w:val="center"/>
          </w:tcPr>
          <w:p w14:paraId="7D7B5D97">
            <w:pPr>
              <w:keepNext w:val="0"/>
              <w:keepLines w:val="0"/>
              <w:pageBreakBefore w:val="0"/>
              <w:kinsoku/>
              <w:wordWrap/>
              <w:overflowPunct/>
              <w:topLinePunct w:val="0"/>
              <w:autoSpaceDE/>
              <w:autoSpaceDN/>
              <w:bidi w:val="0"/>
              <w:spacing w:line="360" w:lineRule="auto"/>
              <w:ind w:left="330"/>
              <w:textAlignment w:val="auto"/>
              <w:rPr>
                <w:rFonts w:hAnsi="宋体"/>
                <w:sz w:val="18"/>
                <w:szCs w:val="18"/>
              </w:rPr>
            </w:pPr>
            <w:r>
              <w:rPr>
                <w:rFonts w:hAnsi="宋体"/>
                <w:spacing w:val="-2"/>
                <w:position w:val="1"/>
                <w:sz w:val="18"/>
                <w:szCs w:val="18"/>
                <w:lang w:eastAsia="en-US"/>
              </w:rPr>
              <w:t>分期（段）情况</w:t>
            </w:r>
          </w:p>
        </w:tc>
        <w:tc>
          <w:tcPr>
            <w:tcW w:w="7272" w:type="dxa"/>
            <w:gridSpan w:val="6"/>
            <w:vAlign w:val="center"/>
          </w:tcPr>
          <w:p w14:paraId="24DBF378">
            <w:pPr>
              <w:keepNext w:val="0"/>
              <w:keepLines w:val="0"/>
              <w:pageBreakBefore w:val="0"/>
              <w:kinsoku/>
              <w:wordWrap/>
              <w:overflowPunct/>
              <w:topLinePunct w:val="0"/>
              <w:autoSpaceDE/>
              <w:autoSpaceDN/>
              <w:bidi w:val="0"/>
              <w:spacing w:line="360" w:lineRule="auto"/>
              <w:ind w:left="1965"/>
              <w:textAlignment w:val="auto"/>
              <w:rPr>
                <w:rFonts w:hAnsi="宋体"/>
                <w:sz w:val="18"/>
                <w:szCs w:val="18"/>
              </w:rPr>
            </w:pPr>
            <w:r>
              <w:rPr>
                <w:rFonts w:hAnsi="宋体"/>
                <w:spacing w:val="-1"/>
                <w:position w:val="1"/>
                <w:sz w:val="18"/>
                <w:szCs w:val="18"/>
              </w:rPr>
              <w:t>共分   期（段</w:t>
            </w:r>
            <w:r>
              <w:rPr>
                <w:rFonts w:hAnsi="宋体"/>
                <w:spacing w:val="6"/>
                <w:position w:val="1"/>
                <w:sz w:val="18"/>
                <w:szCs w:val="18"/>
              </w:rPr>
              <w:t>），</w:t>
            </w:r>
            <w:r>
              <w:rPr>
                <w:rFonts w:hAnsi="宋体"/>
                <w:spacing w:val="-1"/>
                <w:position w:val="1"/>
                <w:sz w:val="18"/>
                <w:szCs w:val="18"/>
              </w:rPr>
              <w:t>此为第   期（段）验收</w:t>
            </w:r>
          </w:p>
        </w:tc>
      </w:tr>
      <w:tr w14:paraId="71D8A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0483BB1D">
            <w:pPr>
              <w:keepNext w:val="0"/>
              <w:keepLines w:val="0"/>
              <w:pageBreakBefore w:val="0"/>
              <w:kinsoku/>
              <w:wordWrap/>
              <w:overflowPunct/>
              <w:topLinePunct w:val="0"/>
              <w:autoSpaceDE/>
              <w:autoSpaceDN/>
              <w:bidi w:val="0"/>
              <w:spacing w:line="360" w:lineRule="auto"/>
              <w:ind w:left="549"/>
              <w:textAlignment w:val="auto"/>
              <w:rPr>
                <w:rFonts w:hAnsi="宋体"/>
                <w:sz w:val="18"/>
                <w:szCs w:val="18"/>
              </w:rPr>
            </w:pPr>
            <w:r>
              <w:rPr>
                <w:rFonts w:hAnsi="宋体"/>
                <w:spacing w:val="-2"/>
                <w:sz w:val="18"/>
                <w:szCs w:val="18"/>
                <w:lang w:eastAsia="en-US"/>
              </w:rPr>
              <w:t>验收时间</w:t>
            </w:r>
          </w:p>
        </w:tc>
        <w:tc>
          <w:tcPr>
            <w:tcW w:w="3008" w:type="dxa"/>
            <w:gridSpan w:val="2"/>
            <w:vAlign w:val="center"/>
          </w:tcPr>
          <w:p w14:paraId="305E4A53">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910" w:type="dxa"/>
            <w:vAlign w:val="center"/>
          </w:tcPr>
          <w:p w14:paraId="3CB7369F">
            <w:pPr>
              <w:keepNext w:val="0"/>
              <w:keepLines w:val="0"/>
              <w:pageBreakBefore w:val="0"/>
              <w:kinsoku/>
              <w:wordWrap/>
              <w:overflowPunct/>
              <w:topLinePunct w:val="0"/>
              <w:autoSpaceDE/>
              <w:autoSpaceDN/>
              <w:bidi w:val="0"/>
              <w:spacing w:line="360" w:lineRule="auto"/>
              <w:ind w:left="599"/>
              <w:textAlignment w:val="auto"/>
              <w:rPr>
                <w:rFonts w:hAnsi="宋体"/>
                <w:sz w:val="18"/>
                <w:szCs w:val="18"/>
              </w:rPr>
            </w:pPr>
            <w:r>
              <w:rPr>
                <w:rFonts w:hAnsi="宋体"/>
                <w:spacing w:val="-2"/>
                <w:sz w:val="18"/>
                <w:szCs w:val="18"/>
                <w:lang w:eastAsia="en-US"/>
              </w:rPr>
              <w:t>验收地点</w:t>
            </w:r>
          </w:p>
        </w:tc>
        <w:tc>
          <w:tcPr>
            <w:tcW w:w="2575" w:type="dxa"/>
            <w:gridSpan w:val="3"/>
            <w:vAlign w:val="center"/>
          </w:tcPr>
          <w:p w14:paraId="713222E2">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729" w:type="dxa"/>
            <w:vAlign w:val="center"/>
          </w:tcPr>
          <w:p w14:paraId="14A18CDD">
            <w:pPr>
              <w:keepNext w:val="0"/>
              <w:keepLines w:val="0"/>
              <w:pageBreakBefore w:val="0"/>
              <w:kinsoku/>
              <w:wordWrap/>
              <w:overflowPunct/>
              <w:topLinePunct w:val="0"/>
              <w:autoSpaceDE/>
              <w:autoSpaceDN/>
              <w:bidi w:val="0"/>
              <w:spacing w:line="360" w:lineRule="auto"/>
              <w:ind w:left="330"/>
              <w:textAlignment w:val="auto"/>
              <w:rPr>
                <w:rFonts w:hAnsi="宋体"/>
                <w:sz w:val="18"/>
                <w:szCs w:val="18"/>
              </w:rPr>
            </w:pPr>
            <w:r>
              <w:rPr>
                <w:rFonts w:hAnsi="宋体"/>
                <w:spacing w:val="-2"/>
                <w:sz w:val="18"/>
                <w:szCs w:val="18"/>
                <w:lang w:eastAsia="en-US"/>
              </w:rPr>
              <w:t>验收组织形式</w:t>
            </w:r>
          </w:p>
        </w:tc>
        <w:tc>
          <w:tcPr>
            <w:tcW w:w="2968" w:type="dxa"/>
            <w:gridSpan w:val="2"/>
            <w:vAlign w:val="center"/>
          </w:tcPr>
          <w:p w14:paraId="354F099D">
            <w:pPr>
              <w:keepNext w:val="0"/>
              <w:keepLines w:val="0"/>
              <w:pageBreakBefore w:val="0"/>
              <w:kinsoku/>
              <w:wordWrap/>
              <w:overflowPunct/>
              <w:topLinePunct w:val="0"/>
              <w:autoSpaceDE/>
              <w:autoSpaceDN/>
              <w:bidi w:val="0"/>
              <w:spacing w:line="360" w:lineRule="auto"/>
              <w:ind w:left="912"/>
              <w:textAlignment w:val="auto"/>
              <w:rPr>
                <w:rFonts w:hAnsi="宋体"/>
                <w:sz w:val="18"/>
                <w:szCs w:val="18"/>
              </w:rPr>
            </w:pPr>
            <w:r>
              <w:rPr>
                <w:rFonts w:hAnsi="宋体"/>
                <w:spacing w:val="-4"/>
                <w:position w:val="1"/>
                <w:sz w:val="18"/>
                <w:szCs w:val="18"/>
              </w:rPr>
              <w:t>□自行简易验收</w:t>
            </w:r>
          </w:p>
          <w:p w14:paraId="343284ED">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0411CB74">
            <w:pPr>
              <w:keepNext w:val="0"/>
              <w:keepLines w:val="0"/>
              <w:pageBreakBefore w:val="0"/>
              <w:kinsoku/>
              <w:wordWrap/>
              <w:overflowPunct/>
              <w:topLinePunct w:val="0"/>
              <w:autoSpaceDE/>
              <w:autoSpaceDN/>
              <w:bidi w:val="0"/>
              <w:spacing w:line="360" w:lineRule="auto"/>
              <w:ind w:left="912"/>
              <w:textAlignment w:val="auto"/>
              <w:rPr>
                <w:rFonts w:hAnsi="宋体"/>
                <w:sz w:val="18"/>
                <w:szCs w:val="18"/>
              </w:rPr>
            </w:pPr>
            <w:r>
              <w:rPr>
                <w:rFonts w:hAnsi="宋体"/>
                <w:spacing w:val="-4"/>
                <w:position w:val="1"/>
                <w:sz w:val="18"/>
                <w:szCs w:val="18"/>
              </w:rPr>
              <w:t>□验收小组验收</w:t>
            </w:r>
          </w:p>
          <w:p w14:paraId="3F692269">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439D1155">
            <w:pPr>
              <w:keepNext w:val="0"/>
              <w:keepLines w:val="0"/>
              <w:pageBreakBefore w:val="0"/>
              <w:kinsoku/>
              <w:wordWrap/>
              <w:overflowPunct/>
              <w:topLinePunct w:val="0"/>
              <w:autoSpaceDE/>
              <w:autoSpaceDN/>
              <w:bidi w:val="0"/>
              <w:spacing w:line="360" w:lineRule="auto"/>
              <w:ind w:left="821"/>
              <w:textAlignment w:val="auto"/>
              <w:rPr>
                <w:rFonts w:hAnsi="宋体"/>
                <w:sz w:val="18"/>
                <w:szCs w:val="18"/>
              </w:rPr>
            </w:pPr>
            <w:r>
              <w:rPr>
                <w:rFonts w:hAnsi="宋体"/>
                <w:spacing w:val="-3"/>
                <w:position w:val="1"/>
                <w:sz w:val="18"/>
                <w:szCs w:val="18"/>
                <w:lang w:eastAsia="en-US"/>
              </w:rPr>
              <w:t>□采购代理机构验收</w:t>
            </w:r>
          </w:p>
        </w:tc>
      </w:tr>
      <w:tr w14:paraId="3F47A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Merge w:val="restart"/>
            <w:vAlign w:val="center"/>
          </w:tcPr>
          <w:p w14:paraId="09438AB8">
            <w:pPr>
              <w:keepNext w:val="0"/>
              <w:keepLines w:val="0"/>
              <w:pageBreakBefore w:val="0"/>
              <w:kinsoku/>
              <w:wordWrap/>
              <w:overflowPunct/>
              <w:topLinePunct w:val="0"/>
              <w:autoSpaceDE/>
              <w:autoSpaceDN/>
              <w:bidi w:val="0"/>
              <w:spacing w:line="360" w:lineRule="auto"/>
              <w:ind w:left="549"/>
              <w:textAlignment w:val="auto"/>
              <w:rPr>
                <w:rFonts w:hAnsi="宋体"/>
                <w:sz w:val="18"/>
                <w:szCs w:val="18"/>
              </w:rPr>
            </w:pPr>
            <w:r>
              <w:rPr>
                <w:rFonts w:hAnsi="宋体"/>
                <w:spacing w:val="-2"/>
                <w:sz w:val="18"/>
                <w:szCs w:val="18"/>
                <w:lang w:eastAsia="en-US"/>
              </w:rPr>
              <w:t>验收内容</w:t>
            </w:r>
          </w:p>
        </w:tc>
        <w:tc>
          <w:tcPr>
            <w:tcW w:w="1179" w:type="dxa"/>
            <w:vAlign w:val="center"/>
          </w:tcPr>
          <w:p w14:paraId="3499D6A6">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15ECC3FA">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056A32C3">
            <w:pPr>
              <w:keepNext w:val="0"/>
              <w:keepLines w:val="0"/>
              <w:pageBreakBefore w:val="0"/>
              <w:kinsoku/>
              <w:wordWrap/>
              <w:overflowPunct/>
              <w:topLinePunct w:val="0"/>
              <w:autoSpaceDE/>
              <w:autoSpaceDN/>
              <w:bidi w:val="0"/>
              <w:spacing w:line="360" w:lineRule="auto"/>
              <w:ind w:left="285"/>
              <w:textAlignment w:val="auto"/>
              <w:rPr>
                <w:rFonts w:hAnsi="宋体"/>
                <w:sz w:val="18"/>
                <w:szCs w:val="18"/>
              </w:rPr>
            </w:pPr>
            <w:r>
              <w:rPr>
                <w:rFonts w:hAnsi="宋体"/>
                <w:spacing w:val="-3"/>
                <w:sz w:val="18"/>
                <w:szCs w:val="18"/>
                <w:lang w:eastAsia="en-US"/>
              </w:rPr>
              <w:t>货物清单</w:t>
            </w:r>
          </w:p>
        </w:tc>
        <w:tc>
          <w:tcPr>
            <w:tcW w:w="1829" w:type="dxa"/>
            <w:vAlign w:val="center"/>
          </w:tcPr>
          <w:p w14:paraId="2AE5E641">
            <w:pPr>
              <w:keepNext w:val="0"/>
              <w:keepLines w:val="0"/>
              <w:pageBreakBefore w:val="0"/>
              <w:kinsoku/>
              <w:wordWrap/>
              <w:overflowPunct/>
              <w:topLinePunct w:val="0"/>
              <w:autoSpaceDE/>
              <w:autoSpaceDN/>
              <w:bidi w:val="0"/>
              <w:spacing w:line="360" w:lineRule="auto"/>
              <w:ind w:left="125"/>
              <w:textAlignment w:val="auto"/>
              <w:rPr>
                <w:rFonts w:hAnsi="宋体"/>
                <w:sz w:val="18"/>
                <w:szCs w:val="18"/>
              </w:rPr>
            </w:pPr>
            <w:r>
              <w:rPr>
                <w:rFonts w:hAnsi="宋体"/>
                <w:spacing w:val="-3"/>
                <w:sz w:val="18"/>
                <w:szCs w:val="18"/>
              </w:rPr>
              <w:t>品牌、型号、规格、</w:t>
            </w:r>
          </w:p>
          <w:p w14:paraId="6FEC9685">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128551D0">
            <w:pPr>
              <w:keepNext w:val="0"/>
              <w:keepLines w:val="0"/>
              <w:pageBreakBefore w:val="0"/>
              <w:kinsoku/>
              <w:wordWrap/>
              <w:overflowPunct/>
              <w:topLinePunct w:val="0"/>
              <w:autoSpaceDE/>
              <w:autoSpaceDN/>
              <w:bidi w:val="0"/>
              <w:spacing w:line="360" w:lineRule="auto"/>
              <w:ind w:left="289"/>
              <w:textAlignment w:val="auto"/>
              <w:rPr>
                <w:rFonts w:hAnsi="宋体"/>
                <w:sz w:val="18"/>
                <w:szCs w:val="18"/>
              </w:rPr>
            </w:pPr>
            <w:r>
              <w:rPr>
                <w:rFonts w:hAnsi="宋体"/>
                <w:spacing w:val="-2"/>
                <w:sz w:val="18"/>
                <w:szCs w:val="18"/>
              </w:rPr>
              <w:t>数量及外观质量</w:t>
            </w:r>
          </w:p>
        </w:tc>
        <w:tc>
          <w:tcPr>
            <w:tcW w:w="1910" w:type="dxa"/>
            <w:vAlign w:val="center"/>
          </w:tcPr>
          <w:p w14:paraId="7F1B60AD">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64E27E08">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03F8D4A1">
            <w:pPr>
              <w:keepNext w:val="0"/>
              <w:keepLines w:val="0"/>
              <w:pageBreakBefore w:val="0"/>
              <w:kinsoku/>
              <w:wordWrap/>
              <w:overflowPunct/>
              <w:topLinePunct w:val="0"/>
              <w:autoSpaceDE/>
              <w:autoSpaceDN/>
              <w:bidi w:val="0"/>
              <w:spacing w:line="360" w:lineRule="auto"/>
              <w:ind w:left="286"/>
              <w:textAlignment w:val="auto"/>
              <w:rPr>
                <w:rFonts w:hAnsi="宋体"/>
                <w:sz w:val="18"/>
                <w:szCs w:val="18"/>
              </w:rPr>
            </w:pPr>
            <w:r>
              <w:rPr>
                <w:rFonts w:hAnsi="宋体"/>
                <w:spacing w:val="-2"/>
                <w:sz w:val="18"/>
                <w:szCs w:val="18"/>
                <w:lang w:eastAsia="en-US"/>
              </w:rPr>
              <w:t>技术、性能 指标</w:t>
            </w:r>
          </w:p>
        </w:tc>
        <w:tc>
          <w:tcPr>
            <w:tcW w:w="1295" w:type="dxa"/>
            <w:gridSpan w:val="2"/>
            <w:vAlign w:val="center"/>
          </w:tcPr>
          <w:p w14:paraId="3CFDBF24">
            <w:pPr>
              <w:keepNext w:val="0"/>
              <w:keepLines w:val="0"/>
              <w:pageBreakBefore w:val="0"/>
              <w:kinsoku/>
              <w:wordWrap/>
              <w:overflowPunct/>
              <w:topLinePunct w:val="0"/>
              <w:autoSpaceDE/>
              <w:autoSpaceDN/>
              <w:bidi w:val="0"/>
              <w:spacing w:line="360" w:lineRule="auto"/>
              <w:ind w:left="204"/>
              <w:textAlignment w:val="auto"/>
              <w:rPr>
                <w:rFonts w:hAnsi="宋体"/>
                <w:sz w:val="18"/>
                <w:szCs w:val="18"/>
              </w:rPr>
            </w:pPr>
            <w:r>
              <w:rPr>
                <w:rFonts w:hAnsi="宋体"/>
                <w:spacing w:val="-2"/>
                <w:sz w:val="18"/>
                <w:szCs w:val="18"/>
                <w:lang w:eastAsia="en-US"/>
              </w:rPr>
              <w:t>运行状况及</w:t>
            </w:r>
          </w:p>
          <w:p w14:paraId="7E493B28">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4FE22BB0">
            <w:pPr>
              <w:keepNext w:val="0"/>
              <w:keepLines w:val="0"/>
              <w:pageBreakBefore w:val="0"/>
              <w:kinsoku/>
              <w:wordWrap/>
              <w:overflowPunct/>
              <w:topLinePunct w:val="0"/>
              <w:autoSpaceDE/>
              <w:autoSpaceDN/>
              <w:bidi w:val="0"/>
              <w:spacing w:line="360" w:lineRule="auto"/>
              <w:ind w:left="296"/>
              <w:textAlignment w:val="auto"/>
              <w:rPr>
                <w:rFonts w:hAnsi="宋体"/>
                <w:sz w:val="18"/>
                <w:szCs w:val="18"/>
              </w:rPr>
            </w:pPr>
            <w:r>
              <w:rPr>
                <w:rFonts w:hAnsi="宋体"/>
                <w:spacing w:val="-3"/>
                <w:sz w:val="18"/>
                <w:szCs w:val="18"/>
                <w:lang w:eastAsia="en-US"/>
              </w:rPr>
              <w:t>安装调试</w:t>
            </w:r>
          </w:p>
        </w:tc>
        <w:tc>
          <w:tcPr>
            <w:tcW w:w="1280" w:type="dxa"/>
            <w:vAlign w:val="center"/>
          </w:tcPr>
          <w:p w14:paraId="55988EEA">
            <w:pPr>
              <w:keepNext w:val="0"/>
              <w:keepLines w:val="0"/>
              <w:pageBreakBefore w:val="0"/>
              <w:kinsoku/>
              <w:wordWrap/>
              <w:overflowPunct/>
              <w:topLinePunct w:val="0"/>
              <w:autoSpaceDE/>
              <w:autoSpaceDN/>
              <w:bidi w:val="0"/>
              <w:spacing w:line="360" w:lineRule="auto"/>
              <w:ind w:left="196"/>
              <w:textAlignment w:val="auto"/>
              <w:rPr>
                <w:rFonts w:hAnsi="宋体"/>
                <w:sz w:val="18"/>
                <w:szCs w:val="18"/>
              </w:rPr>
            </w:pPr>
            <w:r>
              <w:rPr>
                <w:rFonts w:hAnsi="宋体"/>
                <w:spacing w:val="-2"/>
                <w:sz w:val="18"/>
                <w:szCs w:val="18"/>
                <w:lang w:eastAsia="en-US"/>
              </w:rPr>
              <w:t>质量证明文</w:t>
            </w:r>
          </w:p>
          <w:p w14:paraId="10226A36">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1688F999">
            <w:pPr>
              <w:keepNext w:val="0"/>
              <w:keepLines w:val="0"/>
              <w:pageBreakBefore w:val="0"/>
              <w:kinsoku/>
              <w:wordWrap/>
              <w:overflowPunct/>
              <w:topLinePunct w:val="0"/>
              <w:autoSpaceDE/>
              <w:autoSpaceDN/>
              <w:bidi w:val="0"/>
              <w:spacing w:line="360" w:lineRule="auto"/>
              <w:ind w:left="554"/>
              <w:textAlignment w:val="auto"/>
              <w:rPr>
                <w:rFonts w:hAnsi="宋体"/>
                <w:sz w:val="18"/>
                <w:szCs w:val="18"/>
              </w:rPr>
            </w:pPr>
            <w:r>
              <w:rPr>
                <w:rFonts w:hAnsi="宋体"/>
                <w:sz w:val="18"/>
                <w:szCs w:val="18"/>
                <w:lang w:eastAsia="en-US"/>
              </w:rPr>
              <w:t>件</w:t>
            </w:r>
          </w:p>
        </w:tc>
        <w:tc>
          <w:tcPr>
            <w:tcW w:w="1729" w:type="dxa"/>
            <w:vAlign w:val="center"/>
          </w:tcPr>
          <w:p w14:paraId="2CF996E0">
            <w:pPr>
              <w:keepNext w:val="0"/>
              <w:keepLines w:val="0"/>
              <w:pageBreakBefore w:val="0"/>
              <w:kinsoku/>
              <w:wordWrap/>
              <w:overflowPunct/>
              <w:topLinePunct w:val="0"/>
              <w:autoSpaceDE/>
              <w:autoSpaceDN/>
              <w:bidi w:val="0"/>
              <w:spacing w:line="360" w:lineRule="auto"/>
              <w:ind w:left="511"/>
              <w:textAlignment w:val="auto"/>
              <w:rPr>
                <w:rFonts w:hAnsi="宋体"/>
                <w:sz w:val="18"/>
                <w:szCs w:val="18"/>
              </w:rPr>
            </w:pPr>
            <w:r>
              <w:rPr>
                <w:rFonts w:hAnsi="宋体"/>
                <w:spacing w:val="-2"/>
                <w:sz w:val="18"/>
                <w:szCs w:val="18"/>
                <w:lang w:eastAsia="en-US"/>
              </w:rPr>
              <w:t>售后服务</w:t>
            </w:r>
          </w:p>
          <w:p w14:paraId="69975559">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20F6D650">
            <w:pPr>
              <w:keepNext w:val="0"/>
              <w:keepLines w:val="0"/>
              <w:pageBreakBefore w:val="0"/>
              <w:kinsoku/>
              <w:wordWrap/>
              <w:overflowPunct/>
              <w:topLinePunct w:val="0"/>
              <w:autoSpaceDE/>
              <w:autoSpaceDN/>
              <w:bidi w:val="0"/>
              <w:spacing w:line="360" w:lineRule="auto"/>
              <w:ind w:left="691"/>
              <w:textAlignment w:val="auto"/>
              <w:rPr>
                <w:rFonts w:hAnsi="宋体"/>
                <w:sz w:val="18"/>
                <w:szCs w:val="18"/>
              </w:rPr>
            </w:pPr>
            <w:r>
              <w:rPr>
                <w:rFonts w:hAnsi="宋体"/>
                <w:spacing w:val="-4"/>
                <w:sz w:val="18"/>
                <w:szCs w:val="18"/>
                <w:lang w:eastAsia="en-US"/>
              </w:rPr>
              <w:t>承诺</w:t>
            </w:r>
          </w:p>
        </w:tc>
        <w:tc>
          <w:tcPr>
            <w:tcW w:w="1281" w:type="dxa"/>
            <w:vAlign w:val="center"/>
          </w:tcPr>
          <w:p w14:paraId="0693FE37">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7245E24E">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26F32F26">
            <w:pPr>
              <w:keepNext w:val="0"/>
              <w:keepLines w:val="0"/>
              <w:pageBreakBefore w:val="0"/>
              <w:kinsoku/>
              <w:wordWrap/>
              <w:overflowPunct/>
              <w:topLinePunct w:val="0"/>
              <w:autoSpaceDE/>
              <w:autoSpaceDN/>
              <w:bidi w:val="0"/>
              <w:spacing w:line="360" w:lineRule="auto"/>
              <w:ind w:left="291"/>
              <w:textAlignment w:val="auto"/>
              <w:rPr>
                <w:rFonts w:hAnsi="宋体"/>
                <w:sz w:val="18"/>
                <w:szCs w:val="18"/>
              </w:rPr>
            </w:pPr>
            <w:r>
              <w:rPr>
                <w:rFonts w:hAnsi="宋体"/>
                <w:spacing w:val="-3"/>
                <w:sz w:val="18"/>
                <w:szCs w:val="18"/>
                <w:lang w:eastAsia="en-US"/>
              </w:rPr>
              <w:t>安全标准</w:t>
            </w:r>
          </w:p>
        </w:tc>
        <w:tc>
          <w:tcPr>
            <w:tcW w:w="1687" w:type="dxa"/>
            <w:vAlign w:val="center"/>
          </w:tcPr>
          <w:p w14:paraId="1413B7EB">
            <w:pPr>
              <w:keepNext w:val="0"/>
              <w:keepLines w:val="0"/>
              <w:pageBreakBefore w:val="0"/>
              <w:kinsoku/>
              <w:wordWrap/>
              <w:overflowPunct/>
              <w:topLinePunct w:val="0"/>
              <w:autoSpaceDE/>
              <w:autoSpaceDN/>
              <w:bidi w:val="0"/>
              <w:spacing w:line="360" w:lineRule="auto"/>
              <w:ind w:left="523"/>
              <w:textAlignment w:val="auto"/>
              <w:rPr>
                <w:rFonts w:hAnsi="宋体"/>
                <w:sz w:val="18"/>
                <w:szCs w:val="18"/>
              </w:rPr>
            </w:pPr>
            <w:r>
              <w:rPr>
                <w:rFonts w:hAnsi="宋体"/>
                <w:spacing w:val="-2"/>
                <w:sz w:val="18"/>
                <w:szCs w:val="18"/>
              </w:rPr>
              <w:t>合同履约</w:t>
            </w:r>
          </w:p>
          <w:p w14:paraId="3E1809B4">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794D5875">
            <w:pPr>
              <w:keepNext w:val="0"/>
              <w:keepLines w:val="0"/>
              <w:pageBreakBefore w:val="0"/>
              <w:kinsoku/>
              <w:wordWrap/>
              <w:overflowPunct/>
              <w:topLinePunct w:val="0"/>
              <w:autoSpaceDE/>
              <w:autoSpaceDN/>
              <w:bidi w:val="0"/>
              <w:spacing w:line="360" w:lineRule="auto"/>
              <w:ind w:left="171"/>
              <w:textAlignment w:val="auto"/>
              <w:rPr>
                <w:rFonts w:hAnsi="宋体"/>
                <w:sz w:val="18"/>
                <w:szCs w:val="18"/>
              </w:rPr>
            </w:pPr>
            <w:r>
              <w:rPr>
                <w:rFonts w:hAnsi="宋体"/>
                <w:spacing w:val="-2"/>
                <w:sz w:val="18"/>
                <w:szCs w:val="18"/>
              </w:rPr>
              <w:t>时间、地点、方式</w:t>
            </w:r>
          </w:p>
        </w:tc>
      </w:tr>
      <w:tr w14:paraId="0A227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Merge w:val="continue"/>
            <w:vAlign w:val="center"/>
          </w:tcPr>
          <w:p w14:paraId="01715F02">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c>
          <w:tcPr>
            <w:tcW w:w="1179" w:type="dxa"/>
            <w:vAlign w:val="center"/>
          </w:tcPr>
          <w:p w14:paraId="74F49027">
            <w:pPr>
              <w:keepNext w:val="0"/>
              <w:keepLines w:val="0"/>
              <w:pageBreakBefore w:val="0"/>
              <w:kinsoku/>
              <w:wordWrap/>
              <w:overflowPunct/>
              <w:topLinePunct w:val="0"/>
              <w:autoSpaceDE/>
              <w:autoSpaceDN/>
              <w:bidi w:val="0"/>
              <w:spacing w:line="360" w:lineRule="auto"/>
              <w:ind w:left="284" w:right="280"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829" w:type="dxa"/>
            <w:vAlign w:val="center"/>
          </w:tcPr>
          <w:p w14:paraId="2D20AAD3">
            <w:pPr>
              <w:keepNext w:val="0"/>
              <w:keepLines w:val="0"/>
              <w:pageBreakBefore w:val="0"/>
              <w:kinsoku/>
              <w:wordWrap/>
              <w:overflowPunct/>
              <w:topLinePunct w:val="0"/>
              <w:autoSpaceDE/>
              <w:autoSpaceDN/>
              <w:bidi w:val="0"/>
              <w:spacing w:line="360" w:lineRule="auto"/>
              <w:ind w:left="561" w:right="551"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910" w:type="dxa"/>
            <w:vAlign w:val="center"/>
          </w:tcPr>
          <w:p w14:paraId="362851FA">
            <w:pPr>
              <w:keepNext w:val="0"/>
              <w:keepLines w:val="0"/>
              <w:pageBreakBefore w:val="0"/>
              <w:kinsoku/>
              <w:wordWrap/>
              <w:overflowPunct/>
              <w:topLinePunct w:val="0"/>
              <w:autoSpaceDE/>
              <w:autoSpaceDN/>
              <w:bidi w:val="0"/>
              <w:spacing w:line="360" w:lineRule="auto"/>
              <w:ind w:left="602" w:right="592"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295" w:type="dxa"/>
            <w:gridSpan w:val="2"/>
            <w:vAlign w:val="center"/>
          </w:tcPr>
          <w:p w14:paraId="76C6FD8B">
            <w:pPr>
              <w:keepNext w:val="0"/>
              <w:keepLines w:val="0"/>
              <w:pageBreakBefore w:val="0"/>
              <w:kinsoku/>
              <w:wordWrap/>
              <w:overflowPunct/>
              <w:topLinePunct w:val="0"/>
              <w:autoSpaceDE/>
              <w:autoSpaceDN/>
              <w:bidi w:val="0"/>
              <w:spacing w:line="360" w:lineRule="auto"/>
              <w:ind w:left="295" w:right="284"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280" w:type="dxa"/>
            <w:vAlign w:val="center"/>
          </w:tcPr>
          <w:p w14:paraId="1170B73F">
            <w:pPr>
              <w:keepNext w:val="0"/>
              <w:keepLines w:val="0"/>
              <w:pageBreakBefore w:val="0"/>
              <w:kinsoku/>
              <w:wordWrap/>
              <w:overflowPunct/>
              <w:topLinePunct w:val="0"/>
              <w:autoSpaceDE/>
              <w:autoSpaceDN/>
              <w:bidi w:val="0"/>
              <w:spacing w:line="360" w:lineRule="auto"/>
              <w:ind w:left="334" w:right="229" w:hanging="47"/>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729" w:type="dxa"/>
            <w:vAlign w:val="center"/>
          </w:tcPr>
          <w:p w14:paraId="133AC375">
            <w:pPr>
              <w:keepNext w:val="0"/>
              <w:keepLines w:val="0"/>
              <w:pageBreakBefore w:val="0"/>
              <w:kinsoku/>
              <w:wordWrap/>
              <w:overflowPunct/>
              <w:topLinePunct w:val="0"/>
              <w:autoSpaceDE/>
              <w:autoSpaceDN/>
              <w:bidi w:val="0"/>
              <w:spacing w:line="360" w:lineRule="auto"/>
              <w:ind w:left="514" w:right="499"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281" w:type="dxa"/>
            <w:vAlign w:val="center"/>
          </w:tcPr>
          <w:p w14:paraId="0734F91E">
            <w:pPr>
              <w:keepNext w:val="0"/>
              <w:keepLines w:val="0"/>
              <w:pageBreakBefore w:val="0"/>
              <w:kinsoku/>
              <w:wordWrap/>
              <w:overflowPunct/>
              <w:topLinePunct w:val="0"/>
              <w:autoSpaceDE/>
              <w:autoSpaceDN/>
              <w:bidi w:val="0"/>
              <w:spacing w:line="360" w:lineRule="auto"/>
              <w:ind w:left="290" w:right="275"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c>
          <w:tcPr>
            <w:tcW w:w="1687" w:type="dxa"/>
            <w:vAlign w:val="center"/>
          </w:tcPr>
          <w:p w14:paraId="01D3C492">
            <w:pPr>
              <w:keepNext w:val="0"/>
              <w:keepLines w:val="0"/>
              <w:pageBreakBefore w:val="0"/>
              <w:kinsoku/>
              <w:wordWrap/>
              <w:overflowPunct/>
              <w:topLinePunct w:val="0"/>
              <w:autoSpaceDE/>
              <w:autoSpaceDN/>
              <w:bidi w:val="0"/>
              <w:spacing w:line="360" w:lineRule="auto"/>
              <w:ind w:left="525" w:right="514" w:hanging="2"/>
              <w:textAlignment w:val="auto"/>
              <w:rPr>
                <w:rFonts w:hAnsi="宋体"/>
                <w:sz w:val="18"/>
                <w:szCs w:val="18"/>
              </w:rPr>
            </w:pPr>
            <w:r>
              <w:rPr>
                <w:rFonts w:hAnsi="宋体"/>
                <w:spacing w:val="-5"/>
                <w:sz w:val="18"/>
                <w:szCs w:val="18"/>
                <w:lang w:eastAsia="en-US"/>
              </w:rPr>
              <w:t>合</w:t>
            </w:r>
            <w:r>
              <w:rPr>
                <w:rFonts w:hAnsi="宋体"/>
                <w:spacing w:val="3"/>
                <w:sz w:val="18"/>
                <w:szCs w:val="18"/>
                <w:lang w:eastAsia="en-US"/>
              </w:rPr>
              <w:t xml:space="preserve">  </w:t>
            </w:r>
            <w:r>
              <w:rPr>
                <w:rFonts w:hAnsi="宋体"/>
                <w:spacing w:val="-5"/>
                <w:sz w:val="18"/>
                <w:szCs w:val="18"/>
                <w:lang w:eastAsia="en-US"/>
              </w:rPr>
              <w:t>格□</w:t>
            </w:r>
            <w:r>
              <w:rPr>
                <w:rFonts w:hAnsi="宋体"/>
                <w:sz w:val="18"/>
                <w:szCs w:val="18"/>
                <w:lang w:eastAsia="en-US"/>
              </w:rPr>
              <w:t xml:space="preserve"> </w:t>
            </w:r>
            <w:r>
              <w:rPr>
                <w:rFonts w:hAnsi="宋体"/>
                <w:spacing w:val="-3"/>
                <w:sz w:val="18"/>
                <w:szCs w:val="18"/>
                <w:lang w:eastAsia="en-US"/>
              </w:rPr>
              <w:t>不合格□</w:t>
            </w:r>
          </w:p>
        </w:tc>
      </w:tr>
      <w:tr w14:paraId="3FBCF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167FB4E1">
            <w:pPr>
              <w:keepNext w:val="0"/>
              <w:keepLines w:val="0"/>
              <w:pageBreakBefore w:val="0"/>
              <w:kinsoku/>
              <w:wordWrap/>
              <w:overflowPunct/>
              <w:topLinePunct w:val="0"/>
              <w:autoSpaceDE/>
              <w:autoSpaceDN/>
              <w:bidi w:val="0"/>
              <w:spacing w:line="360" w:lineRule="auto"/>
              <w:jc w:val="center"/>
              <w:textAlignment w:val="auto"/>
              <w:rPr>
                <w:rFonts w:hAnsi="宋体"/>
                <w:spacing w:val="-1"/>
                <w:sz w:val="18"/>
                <w:szCs w:val="18"/>
              </w:rPr>
            </w:pPr>
            <w:r>
              <w:rPr>
                <w:rFonts w:hAnsi="宋体"/>
                <w:spacing w:val="-1"/>
                <w:sz w:val="18"/>
                <w:szCs w:val="18"/>
              </w:rPr>
              <w:t>专业检测机构</w:t>
            </w:r>
          </w:p>
          <w:p w14:paraId="282916F1">
            <w:pPr>
              <w:keepNext w:val="0"/>
              <w:keepLines w:val="0"/>
              <w:pageBreakBefore w:val="0"/>
              <w:kinsoku/>
              <w:wordWrap/>
              <w:overflowPunct/>
              <w:topLinePunct w:val="0"/>
              <w:autoSpaceDE/>
              <w:autoSpaceDN/>
              <w:bidi w:val="0"/>
              <w:spacing w:line="360" w:lineRule="auto"/>
              <w:jc w:val="center"/>
              <w:textAlignment w:val="auto"/>
              <w:rPr>
                <w:rFonts w:hAnsi="宋体"/>
                <w:sz w:val="18"/>
                <w:szCs w:val="18"/>
              </w:rPr>
            </w:pPr>
            <w:r>
              <w:rPr>
                <w:rFonts w:hAnsi="宋体"/>
                <w:spacing w:val="-1"/>
                <w:sz w:val="18"/>
                <w:szCs w:val="18"/>
              </w:rPr>
              <w:t>情况</w:t>
            </w:r>
            <w:r>
              <w:rPr>
                <w:rFonts w:hAnsi="宋体"/>
                <w:spacing w:val="-5"/>
                <w:sz w:val="18"/>
                <w:szCs w:val="18"/>
              </w:rPr>
              <w:t>说明</w:t>
            </w:r>
          </w:p>
        </w:tc>
        <w:tc>
          <w:tcPr>
            <w:tcW w:w="12190" w:type="dxa"/>
            <w:gridSpan w:val="9"/>
            <w:vAlign w:val="center"/>
          </w:tcPr>
          <w:p w14:paraId="1876BB99">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r>
      <w:tr w14:paraId="1AAEF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2F70288B">
            <w:pPr>
              <w:keepNext w:val="0"/>
              <w:keepLines w:val="0"/>
              <w:pageBreakBefore w:val="0"/>
              <w:kinsoku/>
              <w:wordWrap/>
              <w:overflowPunct/>
              <w:topLinePunct w:val="0"/>
              <w:autoSpaceDE/>
              <w:autoSpaceDN/>
              <w:bidi w:val="0"/>
              <w:spacing w:line="360" w:lineRule="auto"/>
              <w:jc w:val="center"/>
              <w:textAlignment w:val="auto"/>
              <w:rPr>
                <w:rFonts w:hAnsi="宋体"/>
                <w:spacing w:val="-1"/>
                <w:sz w:val="18"/>
                <w:szCs w:val="18"/>
              </w:rPr>
            </w:pPr>
            <w:r>
              <w:rPr>
                <w:rFonts w:hAnsi="宋体"/>
                <w:spacing w:val="-1"/>
                <w:sz w:val="18"/>
                <w:szCs w:val="18"/>
              </w:rPr>
              <w:t>存在问题和</w:t>
            </w:r>
          </w:p>
          <w:p w14:paraId="08C7A00D">
            <w:pPr>
              <w:keepNext w:val="0"/>
              <w:keepLines w:val="0"/>
              <w:pageBreakBefore w:val="0"/>
              <w:kinsoku/>
              <w:wordWrap/>
              <w:overflowPunct/>
              <w:topLinePunct w:val="0"/>
              <w:autoSpaceDE/>
              <w:autoSpaceDN/>
              <w:bidi w:val="0"/>
              <w:spacing w:line="360" w:lineRule="auto"/>
              <w:jc w:val="center"/>
              <w:textAlignment w:val="auto"/>
              <w:rPr>
                <w:rFonts w:hAnsi="宋体"/>
                <w:spacing w:val="-1"/>
                <w:sz w:val="18"/>
                <w:szCs w:val="18"/>
              </w:rPr>
            </w:pPr>
            <w:r>
              <w:rPr>
                <w:rFonts w:hAnsi="宋体"/>
                <w:spacing w:val="-1"/>
                <w:sz w:val="18"/>
                <w:szCs w:val="18"/>
              </w:rPr>
              <w:t>改进意见</w:t>
            </w:r>
          </w:p>
        </w:tc>
        <w:tc>
          <w:tcPr>
            <w:tcW w:w="12190" w:type="dxa"/>
            <w:gridSpan w:val="9"/>
            <w:vAlign w:val="center"/>
          </w:tcPr>
          <w:p w14:paraId="10D79C05">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r>
      <w:tr w14:paraId="7EC286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74741030">
            <w:pPr>
              <w:keepNext w:val="0"/>
              <w:keepLines w:val="0"/>
              <w:pageBreakBefore w:val="0"/>
              <w:kinsoku/>
              <w:wordWrap/>
              <w:overflowPunct/>
              <w:topLinePunct w:val="0"/>
              <w:autoSpaceDE/>
              <w:autoSpaceDN/>
              <w:bidi w:val="0"/>
              <w:spacing w:line="360" w:lineRule="auto"/>
              <w:jc w:val="center"/>
              <w:textAlignment w:val="auto"/>
              <w:rPr>
                <w:rFonts w:hAnsi="宋体"/>
                <w:spacing w:val="-1"/>
                <w:sz w:val="18"/>
                <w:szCs w:val="18"/>
              </w:rPr>
            </w:pPr>
            <w:r>
              <w:rPr>
                <w:rFonts w:hAnsi="宋体"/>
                <w:spacing w:val="-1"/>
                <w:sz w:val="18"/>
                <w:szCs w:val="18"/>
              </w:rPr>
              <w:t>最终结论</w:t>
            </w:r>
          </w:p>
        </w:tc>
        <w:tc>
          <w:tcPr>
            <w:tcW w:w="12190" w:type="dxa"/>
            <w:gridSpan w:val="9"/>
            <w:vAlign w:val="center"/>
          </w:tcPr>
          <w:p w14:paraId="1B0DCFFC">
            <w:pPr>
              <w:keepNext w:val="0"/>
              <w:keepLines w:val="0"/>
              <w:pageBreakBefore w:val="0"/>
              <w:kinsoku/>
              <w:wordWrap/>
              <w:overflowPunct/>
              <w:topLinePunct w:val="0"/>
              <w:autoSpaceDE/>
              <w:autoSpaceDN/>
              <w:bidi w:val="0"/>
              <w:spacing w:line="360" w:lineRule="auto"/>
              <w:ind w:left="4115"/>
              <w:textAlignment w:val="auto"/>
              <w:rPr>
                <w:rFonts w:hAnsi="宋体"/>
                <w:sz w:val="18"/>
                <w:szCs w:val="18"/>
              </w:rPr>
            </w:pPr>
            <w:r>
              <w:rPr>
                <w:rFonts w:hAnsi="宋体"/>
                <w:spacing w:val="-2"/>
                <w:position w:val="1"/>
                <w:sz w:val="18"/>
                <w:szCs w:val="18"/>
                <w:lang w:eastAsia="en-US"/>
              </w:rPr>
              <w:t>合  格□</w:t>
            </w:r>
            <w:r>
              <w:rPr>
                <w:rFonts w:hAnsi="宋体"/>
                <w:position w:val="1"/>
                <w:sz w:val="18"/>
                <w:szCs w:val="18"/>
                <w:lang w:eastAsia="en-US"/>
              </w:rPr>
              <w:t xml:space="preserve">                              </w:t>
            </w:r>
            <w:r>
              <w:rPr>
                <w:rFonts w:hAnsi="宋体"/>
                <w:spacing w:val="-2"/>
                <w:position w:val="1"/>
                <w:sz w:val="18"/>
                <w:szCs w:val="18"/>
                <w:lang w:eastAsia="en-US"/>
              </w:rPr>
              <w:t>不合格□</w:t>
            </w:r>
          </w:p>
        </w:tc>
      </w:tr>
      <w:tr w14:paraId="7F673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985" w:type="dxa"/>
            <w:vAlign w:val="center"/>
          </w:tcPr>
          <w:p w14:paraId="1C2AEA15">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5D82AC12">
            <w:pPr>
              <w:keepNext w:val="0"/>
              <w:keepLines w:val="0"/>
              <w:pageBreakBefore w:val="0"/>
              <w:kinsoku/>
              <w:wordWrap/>
              <w:overflowPunct/>
              <w:topLinePunct w:val="0"/>
              <w:autoSpaceDE/>
              <w:autoSpaceDN/>
              <w:bidi w:val="0"/>
              <w:spacing w:line="360" w:lineRule="auto"/>
              <w:ind w:left="189"/>
              <w:textAlignment w:val="auto"/>
              <w:rPr>
                <w:rFonts w:hAnsi="宋体"/>
                <w:sz w:val="18"/>
                <w:szCs w:val="18"/>
              </w:rPr>
            </w:pPr>
            <w:r>
              <w:rPr>
                <w:rFonts w:hAnsi="宋体"/>
                <w:spacing w:val="-1"/>
                <w:sz w:val="18"/>
                <w:szCs w:val="18"/>
                <w:lang w:eastAsia="en-US"/>
              </w:rPr>
              <w:t>验收小组成员签字</w:t>
            </w:r>
          </w:p>
        </w:tc>
        <w:tc>
          <w:tcPr>
            <w:tcW w:w="12190" w:type="dxa"/>
            <w:gridSpan w:val="9"/>
            <w:vAlign w:val="center"/>
          </w:tcPr>
          <w:p w14:paraId="3240A470">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tc>
      </w:tr>
      <w:tr w14:paraId="0C027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7063" w:type="dxa"/>
            <w:gridSpan w:val="5"/>
            <w:vAlign w:val="center"/>
          </w:tcPr>
          <w:p w14:paraId="37122D0D">
            <w:pPr>
              <w:keepNext w:val="0"/>
              <w:keepLines w:val="0"/>
              <w:pageBreakBefore w:val="0"/>
              <w:kinsoku/>
              <w:wordWrap/>
              <w:overflowPunct/>
              <w:topLinePunct w:val="0"/>
              <w:autoSpaceDE/>
              <w:autoSpaceDN/>
              <w:bidi w:val="0"/>
              <w:spacing w:line="360" w:lineRule="auto"/>
              <w:ind w:left="2814"/>
              <w:textAlignment w:val="auto"/>
              <w:rPr>
                <w:rFonts w:hAnsi="宋体"/>
                <w:sz w:val="18"/>
                <w:szCs w:val="18"/>
              </w:rPr>
            </w:pPr>
            <w:r>
              <w:rPr>
                <w:rFonts w:hAnsi="宋体"/>
                <w:spacing w:val="-1"/>
                <w:sz w:val="18"/>
                <w:szCs w:val="18"/>
                <w:lang w:eastAsia="en-US"/>
              </w:rPr>
              <w:t>采购代理机构意见</w:t>
            </w:r>
          </w:p>
        </w:tc>
        <w:tc>
          <w:tcPr>
            <w:tcW w:w="7112" w:type="dxa"/>
            <w:gridSpan w:val="5"/>
            <w:vAlign w:val="center"/>
          </w:tcPr>
          <w:p w14:paraId="05C41A66">
            <w:pPr>
              <w:keepNext w:val="0"/>
              <w:keepLines w:val="0"/>
              <w:pageBreakBefore w:val="0"/>
              <w:kinsoku/>
              <w:wordWrap/>
              <w:overflowPunct/>
              <w:topLinePunct w:val="0"/>
              <w:autoSpaceDE/>
              <w:autoSpaceDN/>
              <w:bidi w:val="0"/>
              <w:spacing w:line="360" w:lineRule="auto"/>
              <w:ind w:left="3109"/>
              <w:textAlignment w:val="auto"/>
              <w:rPr>
                <w:rFonts w:hAnsi="宋体"/>
                <w:sz w:val="18"/>
                <w:szCs w:val="18"/>
              </w:rPr>
            </w:pPr>
            <w:r>
              <w:rPr>
                <w:rFonts w:hAnsi="宋体"/>
                <w:spacing w:val="-2"/>
                <w:sz w:val="18"/>
                <w:szCs w:val="18"/>
                <w:lang w:eastAsia="en-US"/>
              </w:rPr>
              <w:t>采购人意见</w:t>
            </w:r>
          </w:p>
        </w:tc>
      </w:tr>
      <w:tr w14:paraId="5492D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7063" w:type="dxa"/>
            <w:gridSpan w:val="5"/>
            <w:vAlign w:val="center"/>
          </w:tcPr>
          <w:p w14:paraId="37F0107D">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5CA20BA7">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390AF011">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5AE1BDFF">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678E11DE">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2E077F51">
            <w:pPr>
              <w:keepNext w:val="0"/>
              <w:keepLines w:val="0"/>
              <w:pageBreakBefore w:val="0"/>
              <w:kinsoku/>
              <w:wordWrap/>
              <w:overflowPunct/>
              <w:topLinePunct w:val="0"/>
              <w:autoSpaceDE/>
              <w:autoSpaceDN/>
              <w:bidi w:val="0"/>
              <w:spacing w:line="360" w:lineRule="auto"/>
              <w:ind w:left="114"/>
              <w:textAlignment w:val="auto"/>
              <w:rPr>
                <w:rFonts w:hAnsi="宋体"/>
                <w:sz w:val="18"/>
                <w:szCs w:val="18"/>
              </w:rPr>
            </w:pPr>
            <w:r>
              <w:rPr>
                <w:rFonts w:hAnsi="宋体"/>
                <w:spacing w:val="1"/>
                <w:position w:val="1"/>
                <w:sz w:val="18"/>
                <w:szCs w:val="18"/>
              </w:rPr>
              <w:t>经办人：         负责人</w:t>
            </w:r>
            <w:r>
              <w:rPr>
                <w:rFonts w:hAnsi="宋体"/>
                <w:spacing w:val="-18"/>
                <w:position w:val="1"/>
                <w:sz w:val="18"/>
                <w:szCs w:val="18"/>
              </w:rPr>
              <w:t>：</w:t>
            </w:r>
            <w:r>
              <w:rPr>
                <w:rFonts w:hAnsi="宋体"/>
                <w:position w:val="1"/>
                <w:sz w:val="18"/>
                <w:szCs w:val="18"/>
              </w:rPr>
              <w:t xml:space="preserve">           </w:t>
            </w:r>
            <w:r>
              <w:rPr>
                <w:rFonts w:hAnsi="宋体"/>
                <w:spacing w:val="-18"/>
                <w:position w:val="1"/>
                <w:sz w:val="18"/>
                <w:szCs w:val="18"/>
              </w:rPr>
              <w:t>（</w:t>
            </w:r>
            <w:r>
              <w:rPr>
                <w:rFonts w:hAnsi="宋体"/>
                <w:spacing w:val="1"/>
                <w:position w:val="1"/>
                <w:sz w:val="18"/>
                <w:szCs w:val="18"/>
              </w:rPr>
              <w:t>采购代理机构公章）</w:t>
            </w:r>
          </w:p>
        </w:tc>
        <w:tc>
          <w:tcPr>
            <w:tcW w:w="7112" w:type="dxa"/>
            <w:gridSpan w:val="5"/>
            <w:vAlign w:val="center"/>
          </w:tcPr>
          <w:p w14:paraId="0443E07E">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24374A12">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3A05AD4B">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0B239B92">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3DB76BA0">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6483CCA3">
            <w:pPr>
              <w:keepNext w:val="0"/>
              <w:keepLines w:val="0"/>
              <w:pageBreakBefore w:val="0"/>
              <w:kinsoku/>
              <w:wordWrap/>
              <w:overflowPunct/>
              <w:topLinePunct w:val="0"/>
              <w:autoSpaceDE/>
              <w:autoSpaceDN/>
              <w:bidi w:val="0"/>
              <w:spacing w:line="360" w:lineRule="auto"/>
              <w:ind w:left="114"/>
              <w:textAlignment w:val="auto"/>
              <w:rPr>
                <w:rFonts w:hAnsi="宋体"/>
                <w:sz w:val="18"/>
                <w:szCs w:val="18"/>
              </w:rPr>
            </w:pPr>
            <w:r>
              <w:rPr>
                <w:rFonts w:hAnsi="宋体"/>
                <w:spacing w:val="1"/>
                <w:position w:val="1"/>
                <w:sz w:val="18"/>
                <w:szCs w:val="18"/>
              </w:rPr>
              <w:t>经办人：           负责人</w:t>
            </w:r>
            <w:r>
              <w:rPr>
                <w:rFonts w:hAnsi="宋体"/>
                <w:spacing w:val="-17"/>
                <w:position w:val="1"/>
                <w:sz w:val="18"/>
                <w:szCs w:val="18"/>
              </w:rPr>
              <w:t>：</w:t>
            </w:r>
            <w:r>
              <w:rPr>
                <w:rFonts w:hAnsi="宋体"/>
                <w:spacing w:val="8"/>
                <w:position w:val="1"/>
                <w:sz w:val="18"/>
                <w:szCs w:val="18"/>
              </w:rPr>
              <w:t xml:space="preserve">           </w:t>
            </w:r>
            <w:r>
              <w:rPr>
                <w:rFonts w:hAnsi="宋体"/>
                <w:spacing w:val="-17"/>
                <w:position w:val="1"/>
                <w:sz w:val="18"/>
                <w:szCs w:val="18"/>
              </w:rPr>
              <w:t>（</w:t>
            </w:r>
            <w:r>
              <w:rPr>
                <w:rFonts w:hAnsi="宋体"/>
                <w:spacing w:val="1"/>
                <w:position w:val="1"/>
                <w:sz w:val="18"/>
                <w:szCs w:val="18"/>
              </w:rPr>
              <w:t>采购人公章）</w:t>
            </w:r>
          </w:p>
        </w:tc>
      </w:tr>
      <w:tr w14:paraId="2B8E3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4175" w:type="dxa"/>
            <w:gridSpan w:val="10"/>
            <w:vAlign w:val="center"/>
          </w:tcPr>
          <w:p w14:paraId="6DA9E0C8">
            <w:pPr>
              <w:keepNext w:val="0"/>
              <w:keepLines w:val="0"/>
              <w:pageBreakBefore w:val="0"/>
              <w:kinsoku/>
              <w:wordWrap/>
              <w:overflowPunct/>
              <w:topLinePunct w:val="0"/>
              <w:autoSpaceDE/>
              <w:autoSpaceDN/>
              <w:bidi w:val="0"/>
              <w:spacing w:line="360" w:lineRule="auto"/>
              <w:ind w:left="113"/>
              <w:textAlignment w:val="auto"/>
              <w:rPr>
                <w:rFonts w:hAnsi="宋体"/>
                <w:sz w:val="18"/>
                <w:szCs w:val="18"/>
              </w:rPr>
            </w:pPr>
            <w:r>
              <w:rPr>
                <w:rFonts w:hAnsi="宋体"/>
                <w:spacing w:val="-2"/>
                <w:sz w:val="18"/>
                <w:szCs w:val="18"/>
              </w:rPr>
              <w:t>供应商确认：</w:t>
            </w:r>
          </w:p>
          <w:p w14:paraId="4F1CB0CA">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14D08E59">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0665160D">
            <w:pPr>
              <w:keepNext w:val="0"/>
              <w:keepLines w:val="0"/>
              <w:pageBreakBefore w:val="0"/>
              <w:kinsoku/>
              <w:wordWrap/>
              <w:overflowPunct/>
              <w:topLinePunct w:val="0"/>
              <w:autoSpaceDE/>
              <w:autoSpaceDN/>
              <w:bidi w:val="0"/>
              <w:spacing w:line="360" w:lineRule="auto"/>
              <w:textAlignment w:val="auto"/>
              <w:rPr>
                <w:rFonts w:hAnsi="宋体" w:cs="Times New Roman"/>
                <w:sz w:val="24"/>
                <w:szCs w:val="24"/>
              </w:rPr>
            </w:pPr>
          </w:p>
          <w:p w14:paraId="211363B0">
            <w:pPr>
              <w:keepNext w:val="0"/>
              <w:keepLines w:val="0"/>
              <w:pageBreakBefore w:val="0"/>
              <w:kinsoku/>
              <w:wordWrap/>
              <w:overflowPunct/>
              <w:topLinePunct w:val="0"/>
              <w:autoSpaceDE/>
              <w:autoSpaceDN/>
              <w:bidi w:val="0"/>
              <w:spacing w:line="360" w:lineRule="auto"/>
              <w:ind w:left="118"/>
              <w:textAlignment w:val="auto"/>
              <w:rPr>
                <w:rFonts w:hAnsi="宋体"/>
                <w:sz w:val="18"/>
                <w:szCs w:val="18"/>
              </w:rPr>
            </w:pPr>
            <w:r>
              <w:rPr>
                <w:rFonts w:hAnsi="宋体"/>
                <w:spacing w:val="-1"/>
                <w:position w:val="1"/>
                <w:sz w:val="18"/>
                <w:szCs w:val="18"/>
              </w:rPr>
              <w:t>（单位公章或授权代表签字）</w:t>
            </w:r>
          </w:p>
        </w:tc>
      </w:tr>
    </w:tbl>
    <w:p w14:paraId="08A1EEE1">
      <w:pPr>
        <w:keepNext w:val="0"/>
        <w:keepLines w:val="0"/>
        <w:pageBreakBefore w:val="0"/>
        <w:widowControl/>
        <w:kinsoku/>
        <w:wordWrap/>
        <w:overflowPunct/>
        <w:topLinePunct w:val="0"/>
        <w:autoSpaceDE/>
        <w:autoSpaceDN/>
        <w:bidi w:val="0"/>
        <w:spacing w:before="297" w:line="360" w:lineRule="auto"/>
        <w:ind w:left="168"/>
        <w:textAlignment w:val="auto"/>
        <w:rPr>
          <w:rFonts w:hAnsi="宋体"/>
          <w:sz w:val="18"/>
          <w:szCs w:val="18"/>
        </w:rPr>
      </w:pPr>
      <w:r>
        <w:rPr>
          <w:rFonts w:hAnsi="宋体"/>
          <w:sz w:val="18"/>
          <w:szCs w:val="18"/>
        </w:rPr>
        <w:t>说明: 1.该表为货物类项目履约验收的参考样表，采购人或采购代理机构可以</w:t>
      </w:r>
      <w:r>
        <w:rPr>
          <w:rFonts w:hAnsi="宋体"/>
          <w:spacing w:val="-1"/>
          <w:sz w:val="18"/>
          <w:szCs w:val="18"/>
        </w:rPr>
        <w:t>根据工作实际进行调整。</w:t>
      </w:r>
    </w:p>
    <w:p w14:paraId="1FFD64C8">
      <w:pPr>
        <w:keepNext w:val="0"/>
        <w:keepLines w:val="0"/>
        <w:pageBreakBefore w:val="0"/>
        <w:widowControl/>
        <w:kinsoku/>
        <w:wordWrap/>
        <w:overflowPunct/>
        <w:topLinePunct w:val="0"/>
        <w:autoSpaceDE/>
        <w:autoSpaceDN/>
        <w:bidi w:val="0"/>
        <w:spacing w:before="58" w:line="360" w:lineRule="auto"/>
        <w:ind w:left="708"/>
        <w:textAlignment w:val="auto"/>
        <w:rPr>
          <w:rFonts w:hAnsi="宋体"/>
          <w:sz w:val="18"/>
          <w:szCs w:val="18"/>
        </w:rPr>
      </w:pPr>
      <w:r>
        <w:rPr>
          <w:rFonts w:hAnsi="宋体"/>
          <w:sz w:val="18"/>
          <w:szCs w:val="18"/>
        </w:rPr>
        <w:t>2.未委托采购代理机构开展履约验收工作的，无需填写“</w:t>
      </w:r>
      <w:r>
        <w:rPr>
          <w:rFonts w:hAnsi="宋体"/>
          <w:spacing w:val="-1"/>
          <w:sz w:val="18"/>
          <w:szCs w:val="18"/>
        </w:rPr>
        <w:t>采购代理机构意见</w:t>
      </w:r>
      <w:r>
        <w:rPr>
          <w:rFonts w:hAnsi="宋体"/>
          <w:spacing w:val="-66"/>
          <w:sz w:val="18"/>
          <w:szCs w:val="18"/>
        </w:rPr>
        <w:t xml:space="preserve"> </w:t>
      </w:r>
      <w:r>
        <w:rPr>
          <w:rFonts w:hAnsi="宋体"/>
          <w:spacing w:val="-1"/>
          <w:sz w:val="18"/>
          <w:szCs w:val="18"/>
        </w:rPr>
        <w:t>”。</w:t>
      </w:r>
    </w:p>
    <w:bookmarkEnd w:id="12"/>
    <w:p w14:paraId="09E13FE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textAlignment w:val="auto"/>
        <w:rPr>
          <w:rFonts w:hAnsi="宋体"/>
          <w:sz w:val="24"/>
        </w:rPr>
        <w:sectPr>
          <w:pgSz w:w="16838" w:h="11906" w:orient="landscape"/>
          <w:pgMar w:top="1361" w:right="1361" w:bottom="1304" w:left="1304" w:header="851" w:footer="992" w:gutter="0"/>
          <w:cols w:space="720" w:num="1"/>
          <w:docGrid w:linePitch="360" w:charSpace="0"/>
        </w:sectPr>
      </w:pPr>
    </w:p>
    <w:p w14:paraId="5F98303D">
      <w:pPr>
        <w:keepNext w:val="0"/>
        <w:keepLines w:val="0"/>
        <w:pageBreakBefore w:val="0"/>
        <w:kinsoku/>
        <w:wordWrap/>
        <w:overflowPunct/>
        <w:topLinePunct w:val="0"/>
        <w:autoSpaceDE/>
        <w:autoSpaceDN/>
        <w:bidi w:val="0"/>
        <w:spacing w:line="360" w:lineRule="auto"/>
        <w:jc w:val="center"/>
        <w:textAlignment w:val="auto"/>
        <w:outlineLvl w:val="0"/>
        <w:rPr>
          <w:rFonts w:hAnsi="宋体"/>
          <w:b/>
          <w:bCs/>
          <w:sz w:val="32"/>
          <w:szCs w:val="32"/>
        </w:rPr>
      </w:pPr>
      <w:bookmarkStart w:id="15" w:name="_Toc188363123"/>
      <w:r>
        <w:rPr>
          <w:rFonts w:hint="eastAsia" w:hAnsi="宋体"/>
          <w:b/>
          <w:bCs/>
          <w:sz w:val="32"/>
          <w:szCs w:val="32"/>
        </w:rPr>
        <w:t>第四章 评分办法及评标标准</w:t>
      </w:r>
      <w:bookmarkEnd w:id="15"/>
    </w:p>
    <w:p w14:paraId="373ACE01">
      <w:pPr>
        <w:keepNext w:val="0"/>
        <w:keepLines w:val="0"/>
        <w:pageBreakBefore w:val="0"/>
        <w:kinsoku/>
        <w:wordWrap/>
        <w:overflowPunct/>
        <w:topLinePunct w:val="0"/>
        <w:autoSpaceDE/>
        <w:autoSpaceDN/>
        <w:bidi w:val="0"/>
        <w:spacing w:line="360" w:lineRule="auto"/>
        <w:ind w:firstLine="420"/>
        <w:textAlignment w:val="auto"/>
        <w:rPr>
          <w:rFonts w:hAnsi="宋体"/>
          <w:b/>
          <w:sz w:val="24"/>
          <w:szCs w:val="24"/>
        </w:rPr>
      </w:pPr>
      <w:r>
        <w:rPr>
          <w:rFonts w:hint="eastAsia" w:hAnsi="宋体"/>
          <w:b/>
          <w:sz w:val="24"/>
          <w:szCs w:val="24"/>
        </w:rPr>
        <w:t>一、评标方法</w:t>
      </w:r>
    </w:p>
    <w:p w14:paraId="6719E7B7">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int="eastAsia" w:hAnsi="宋体"/>
          <w:bCs/>
          <w:sz w:val="24"/>
          <w:szCs w:val="24"/>
        </w:rPr>
        <w:t>1、本次招标评标采用为综合评分法，即在满足招标文件实质性要求前提下，按照招标文件中规定的评分标准和各项因素进行综合评审，以评标总得分最高的投标人作为中标候选人。</w:t>
      </w:r>
    </w:p>
    <w:p w14:paraId="64AB02D6">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int="eastAsia" w:hAnsi="宋体"/>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58BEBCD6">
      <w:pPr>
        <w:keepNext w:val="0"/>
        <w:keepLines w:val="0"/>
        <w:pageBreakBefore w:val="0"/>
        <w:kinsoku/>
        <w:wordWrap/>
        <w:overflowPunct/>
        <w:topLinePunct w:val="0"/>
        <w:autoSpaceDE/>
        <w:autoSpaceDN/>
        <w:bidi w:val="0"/>
        <w:spacing w:line="360" w:lineRule="auto"/>
        <w:ind w:firstLine="420"/>
        <w:textAlignment w:val="auto"/>
        <w:rPr>
          <w:rFonts w:hAnsi="宋体"/>
          <w:b/>
          <w:bCs/>
          <w:sz w:val="24"/>
          <w:szCs w:val="24"/>
        </w:rPr>
      </w:pPr>
      <w:r>
        <w:rPr>
          <w:rFonts w:hint="eastAsia" w:hAnsi="宋体"/>
          <w:b/>
          <w:bCs/>
          <w:sz w:val="24"/>
          <w:szCs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06A78DC0">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int="eastAsia" w:hAnsi="宋体"/>
          <w:bCs/>
          <w:sz w:val="24"/>
          <w:szCs w:val="24"/>
        </w:rPr>
        <w:t>4、如出现评标总得分最高的投标人有两个或两个以上的，以投标报价较低者优先作为中标候选人，如果投标报价也相同的，则由评标委员会组织以抽签方式确定中标候选人。</w:t>
      </w:r>
    </w:p>
    <w:p w14:paraId="2CEEA3BB">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int="eastAsia" w:hAnsi="宋体"/>
          <w:bCs/>
          <w:sz w:val="24"/>
          <w:szCs w:val="24"/>
        </w:rPr>
        <w:t>5、</w:t>
      </w:r>
      <w:r>
        <w:rPr>
          <w:rFonts w:hint="eastAsia" w:hAnsi="宋体"/>
          <w:b/>
          <w:bCs/>
          <w:sz w:val="24"/>
          <w:szCs w:val="24"/>
        </w:rPr>
        <w:t>本项目专门面向中小企业采购的项目，不再执行价格评审优惠的扶持政策。</w:t>
      </w:r>
      <w:r>
        <w:rPr>
          <w:rFonts w:hint="eastAsia" w:hAnsi="宋体"/>
          <w:bCs/>
          <w:sz w:val="24"/>
          <w:szCs w:val="24"/>
        </w:rPr>
        <w:t>若投标供应商提供的声明函或认定证明为虚假声明则视同提供虚假材料，按“政府采购法”相关规定处理并报请政府监管部门给予行政处罚。</w:t>
      </w:r>
    </w:p>
    <w:p w14:paraId="3F4342AB">
      <w:pPr>
        <w:keepNext w:val="0"/>
        <w:keepLines w:val="0"/>
        <w:pageBreakBefore w:val="0"/>
        <w:numPr>
          <w:ilvl w:val="0"/>
          <w:numId w:val="1"/>
        </w:numPr>
        <w:kinsoku/>
        <w:wordWrap/>
        <w:overflowPunct/>
        <w:topLinePunct w:val="0"/>
        <w:autoSpaceDE/>
        <w:autoSpaceDN/>
        <w:bidi w:val="0"/>
        <w:spacing w:line="360" w:lineRule="auto"/>
        <w:ind w:firstLine="422"/>
        <w:textAlignment w:val="auto"/>
        <w:rPr>
          <w:rFonts w:hAnsi="宋体"/>
          <w:b/>
          <w:sz w:val="24"/>
          <w:szCs w:val="24"/>
        </w:rPr>
      </w:pPr>
      <w:r>
        <w:rPr>
          <w:rFonts w:hint="eastAsia" w:hAnsi="宋体"/>
          <w:b/>
          <w:sz w:val="24"/>
          <w:szCs w:val="24"/>
        </w:rPr>
        <w:t>评分标准</w:t>
      </w:r>
    </w:p>
    <w:p w14:paraId="0D3F7CFD">
      <w:pPr>
        <w:keepNext w:val="0"/>
        <w:keepLines w:val="0"/>
        <w:pageBreakBefore w:val="0"/>
        <w:kinsoku/>
        <w:wordWrap/>
        <w:overflowPunct/>
        <w:topLinePunct w:val="0"/>
        <w:autoSpaceDE/>
        <w:autoSpaceDN/>
        <w:bidi w:val="0"/>
        <w:spacing w:line="360" w:lineRule="auto"/>
        <w:ind w:firstLine="422"/>
        <w:textAlignment w:val="auto"/>
        <w:rPr>
          <w:rFonts w:hAnsi="宋体"/>
          <w:b/>
          <w:sz w:val="24"/>
          <w:szCs w:val="24"/>
        </w:rPr>
      </w:pPr>
      <w:r>
        <w:rPr>
          <w:rFonts w:hint="eastAsia" w:hAnsi="宋体"/>
          <w:b/>
          <w:sz w:val="24"/>
          <w:szCs w:val="24"/>
        </w:rPr>
        <w:t>（一）价格部分：最高为40分</w:t>
      </w:r>
    </w:p>
    <w:p w14:paraId="06C08AD8">
      <w:pPr>
        <w:keepNext w:val="0"/>
        <w:keepLines w:val="0"/>
        <w:pageBreakBefore w:val="0"/>
        <w:kinsoku/>
        <w:wordWrap/>
        <w:overflowPunct/>
        <w:topLinePunct w:val="0"/>
        <w:autoSpaceDE/>
        <w:autoSpaceDN/>
        <w:bidi w:val="0"/>
        <w:spacing w:line="360" w:lineRule="auto"/>
        <w:ind w:firstLine="422"/>
        <w:textAlignment w:val="auto"/>
        <w:rPr>
          <w:rFonts w:hAnsi="宋体"/>
          <w:sz w:val="24"/>
          <w:szCs w:val="24"/>
        </w:rPr>
      </w:pPr>
      <w:r>
        <w:rPr>
          <w:rFonts w:hint="eastAsia" w:hAnsi="宋体"/>
          <w:sz w:val="24"/>
          <w:szCs w:val="24"/>
        </w:rPr>
        <w:t>第一步：投标报价低于或等于财政预算价格的，为有效投标报价。超财政预算的投标报价或招标文件规定的报价为无效投标报价。无效投标报价的投标文件不进行评审，也不得标。</w:t>
      </w:r>
    </w:p>
    <w:p w14:paraId="1E40BD08">
      <w:pPr>
        <w:keepNext w:val="0"/>
        <w:keepLines w:val="0"/>
        <w:pageBreakBefore w:val="0"/>
        <w:kinsoku/>
        <w:wordWrap/>
        <w:overflowPunct/>
        <w:topLinePunct w:val="0"/>
        <w:autoSpaceDE/>
        <w:autoSpaceDN/>
        <w:bidi w:val="0"/>
        <w:spacing w:line="360" w:lineRule="auto"/>
        <w:ind w:firstLine="422"/>
        <w:textAlignment w:val="auto"/>
        <w:rPr>
          <w:rFonts w:hAnsi="宋体"/>
          <w:sz w:val="24"/>
          <w:szCs w:val="24"/>
        </w:rPr>
      </w:pPr>
      <w:r>
        <w:rPr>
          <w:rFonts w:hint="eastAsia" w:hAnsi="宋体"/>
          <w:sz w:val="24"/>
          <w:szCs w:val="24"/>
        </w:rPr>
        <w:t>第二步：在所有有效投标报价中满足招标文件要求，且投标价格最低的投标报价为评标基准价，其价格分为40分，其他投标人的价格分按照下列公式计算（计算结果四舍五入保留两位小数）。</w:t>
      </w:r>
    </w:p>
    <w:p w14:paraId="5F396630">
      <w:pPr>
        <w:keepNext w:val="0"/>
        <w:keepLines w:val="0"/>
        <w:pageBreakBefore w:val="0"/>
        <w:kinsoku/>
        <w:wordWrap/>
        <w:overflowPunct/>
        <w:topLinePunct w:val="0"/>
        <w:autoSpaceDE/>
        <w:autoSpaceDN/>
        <w:bidi w:val="0"/>
        <w:spacing w:line="360" w:lineRule="auto"/>
        <w:ind w:firstLine="422"/>
        <w:textAlignment w:val="auto"/>
        <w:rPr>
          <w:rFonts w:hAnsi="宋体"/>
          <w:sz w:val="24"/>
          <w:szCs w:val="24"/>
        </w:rPr>
      </w:pPr>
      <w:r>
        <w:rPr>
          <w:rFonts w:hint="eastAsia" w:hAnsi="宋体"/>
          <w:sz w:val="24"/>
          <w:szCs w:val="24"/>
        </w:rPr>
        <w:t>投标报价得分＝（评标基准价/投标报价）×40％×100</w:t>
      </w:r>
    </w:p>
    <w:p w14:paraId="1B4AFBDC">
      <w:pPr>
        <w:keepNext w:val="0"/>
        <w:keepLines w:val="0"/>
        <w:pageBreakBefore w:val="0"/>
        <w:numPr>
          <w:ilvl w:val="0"/>
          <w:numId w:val="2"/>
        </w:numPr>
        <w:kinsoku/>
        <w:wordWrap/>
        <w:overflowPunct/>
        <w:topLinePunct w:val="0"/>
        <w:autoSpaceDE/>
        <w:autoSpaceDN/>
        <w:bidi w:val="0"/>
        <w:spacing w:line="360" w:lineRule="auto"/>
        <w:ind w:firstLine="422"/>
        <w:textAlignment w:val="auto"/>
        <w:rPr>
          <w:rFonts w:hAnsi="宋体"/>
          <w:b/>
          <w:bCs/>
          <w:sz w:val="21"/>
          <w:szCs w:val="21"/>
        </w:rPr>
      </w:pPr>
      <w:r>
        <w:rPr>
          <w:rFonts w:hint="eastAsia" w:hAnsi="宋体"/>
          <w:b/>
          <w:sz w:val="24"/>
          <w:szCs w:val="24"/>
        </w:rPr>
        <w:t>产品技术要求响应情况（2</w:t>
      </w:r>
      <w:r>
        <w:rPr>
          <w:rFonts w:hint="eastAsia" w:hAnsi="宋体"/>
          <w:b/>
          <w:sz w:val="24"/>
          <w:szCs w:val="24"/>
          <w:lang w:val="en-US" w:eastAsia="zh-CN"/>
        </w:rPr>
        <w:t>8.5</w:t>
      </w:r>
      <w:r>
        <w:rPr>
          <w:rFonts w:hint="eastAsia" w:hAnsi="宋体"/>
          <w:b/>
          <w:sz w:val="24"/>
          <w:szCs w:val="24"/>
        </w:rPr>
        <w:t>分）</w:t>
      </w:r>
    </w:p>
    <w:p w14:paraId="7336BFF3">
      <w:pPr>
        <w:keepNext w:val="0"/>
        <w:keepLines w:val="0"/>
        <w:pageBreakBefore w:val="0"/>
        <w:kinsoku/>
        <w:wordWrap/>
        <w:overflowPunct/>
        <w:topLinePunct w:val="0"/>
        <w:autoSpaceDE/>
        <w:autoSpaceDN/>
        <w:bidi w:val="0"/>
        <w:spacing w:line="360" w:lineRule="auto"/>
        <w:ind w:firstLine="480" w:firstLineChars="200"/>
        <w:textAlignment w:val="auto"/>
        <w:rPr>
          <w:rFonts w:hAnsi="宋体"/>
          <w:color w:val="auto"/>
          <w:sz w:val="24"/>
          <w:szCs w:val="24"/>
        </w:rPr>
      </w:pPr>
      <w:r>
        <w:rPr>
          <w:rFonts w:hint="eastAsia" w:hAnsi="宋体"/>
          <w:sz w:val="24"/>
          <w:szCs w:val="24"/>
        </w:rPr>
        <w:t>所投产品完全满足或优于招标清单技术参数并按要求提供相关证明资料的得</w:t>
      </w:r>
      <w:r>
        <w:rPr>
          <w:rFonts w:hint="eastAsia" w:hAnsi="宋体"/>
          <w:sz w:val="24"/>
          <w:szCs w:val="24"/>
          <w:lang w:val="en-US" w:eastAsia="zh-CN"/>
        </w:rPr>
        <w:t>28.5</w:t>
      </w:r>
      <w:r>
        <w:rPr>
          <w:rFonts w:hint="eastAsia" w:hAnsi="宋体"/>
          <w:sz w:val="24"/>
          <w:szCs w:val="24"/>
        </w:rPr>
        <w:t>分，共</w:t>
      </w:r>
      <w:r>
        <w:rPr>
          <w:rFonts w:hint="eastAsia" w:hAnsi="宋体"/>
          <w:sz w:val="24"/>
          <w:szCs w:val="24"/>
          <w:lang w:val="en-US" w:eastAsia="zh-CN"/>
        </w:rPr>
        <w:t>114</w:t>
      </w:r>
      <w:r>
        <w:rPr>
          <w:rFonts w:hint="eastAsia" w:hAnsi="宋体"/>
          <w:sz w:val="24"/>
          <w:szCs w:val="24"/>
        </w:rPr>
        <w:t>处</w:t>
      </w:r>
      <w:r>
        <w:rPr>
          <w:rFonts w:hint="eastAsia" w:hAnsi="宋体"/>
          <w:color w:val="auto"/>
          <w:sz w:val="24"/>
          <w:szCs w:val="24"/>
        </w:rPr>
        <w:t>，每有一项负偏离扣0.25分，此项最高得</w:t>
      </w:r>
      <w:r>
        <w:rPr>
          <w:rFonts w:hint="eastAsia" w:hAnsi="宋体"/>
          <w:color w:val="auto"/>
          <w:sz w:val="24"/>
          <w:szCs w:val="24"/>
          <w:lang w:val="en-US" w:eastAsia="zh-CN"/>
        </w:rPr>
        <w:t>28.5</w:t>
      </w:r>
      <w:r>
        <w:rPr>
          <w:rFonts w:hint="eastAsia" w:hAnsi="宋体"/>
          <w:color w:val="auto"/>
          <w:sz w:val="24"/>
          <w:szCs w:val="24"/>
        </w:rPr>
        <w:t>分。</w:t>
      </w:r>
    </w:p>
    <w:p w14:paraId="7B7861C2">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color w:val="auto"/>
          <w:sz w:val="24"/>
          <w:szCs w:val="24"/>
        </w:rPr>
        <w:t>（三）项目人员配置（</w:t>
      </w:r>
      <w:r>
        <w:rPr>
          <w:rFonts w:hint="eastAsia" w:hAnsi="宋体"/>
          <w:color w:val="auto"/>
          <w:sz w:val="24"/>
          <w:szCs w:val="24"/>
          <w:lang w:val="en-US" w:eastAsia="zh-CN"/>
        </w:rPr>
        <w:t>2</w:t>
      </w:r>
      <w:r>
        <w:rPr>
          <w:rFonts w:hint="eastAsia" w:hAnsi="宋体"/>
          <w:sz w:val="24"/>
          <w:szCs w:val="24"/>
        </w:rPr>
        <w:t>分）</w:t>
      </w:r>
    </w:p>
    <w:p w14:paraId="757751D2">
      <w:pPr>
        <w:keepNext w:val="0"/>
        <w:keepLines w:val="0"/>
        <w:pageBreakBefore w:val="0"/>
        <w:kinsoku/>
        <w:wordWrap/>
        <w:overflowPunct/>
        <w:topLinePunct w:val="0"/>
        <w:autoSpaceDE/>
        <w:autoSpaceDN/>
        <w:bidi w:val="0"/>
        <w:spacing w:line="360" w:lineRule="auto"/>
        <w:ind w:firstLine="570"/>
        <w:jc w:val="both"/>
        <w:textAlignment w:val="auto"/>
        <w:rPr>
          <w:rFonts w:hint="default" w:hAnsi="宋体" w:eastAsia="宋体"/>
          <w:b/>
          <w:sz w:val="24"/>
          <w:szCs w:val="24"/>
          <w:lang w:val="en-US" w:eastAsia="zh-CN"/>
        </w:rPr>
      </w:pPr>
      <w:r>
        <w:rPr>
          <w:rFonts w:hint="eastAsia" w:hAnsi="宋体"/>
          <w:bCs/>
          <w:sz w:val="24"/>
          <w:szCs w:val="24"/>
          <w:lang w:val="en-US" w:eastAsia="zh-CN"/>
        </w:rPr>
        <w:t>1.</w:t>
      </w:r>
      <w:r>
        <w:rPr>
          <w:rFonts w:hint="eastAsia" w:hAnsi="宋体"/>
          <w:bCs/>
          <w:sz w:val="24"/>
          <w:szCs w:val="24"/>
        </w:rPr>
        <w:t>拟投入人员中具有“国家职业资格</w:t>
      </w:r>
      <w:r>
        <w:rPr>
          <w:rFonts w:hint="eastAsia" w:hAnsi="宋体"/>
          <w:bCs/>
          <w:sz w:val="24"/>
          <w:szCs w:val="24"/>
          <w:lang w:eastAsia="zh-CN"/>
        </w:rPr>
        <w:t>三</w:t>
      </w:r>
      <w:r>
        <w:rPr>
          <w:rFonts w:hint="eastAsia" w:hAnsi="宋体"/>
          <w:bCs/>
          <w:sz w:val="24"/>
          <w:szCs w:val="24"/>
        </w:rPr>
        <w:t>级/</w:t>
      </w:r>
      <w:r>
        <w:rPr>
          <w:rFonts w:hint="eastAsia" w:hAnsi="宋体"/>
          <w:bCs/>
          <w:sz w:val="24"/>
          <w:szCs w:val="24"/>
          <w:lang w:eastAsia="zh-CN"/>
        </w:rPr>
        <w:t>高级</w:t>
      </w:r>
      <w:r>
        <w:rPr>
          <w:rFonts w:hint="eastAsia" w:hAnsi="宋体"/>
          <w:bCs/>
          <w:sz w:val="24"/>
          <w:szCs w:val="24"/>
        </w:rPr>
        <w:t>”及以上资格电工的得</w:t>
      </w:r>
      <w:r>
        <w:rPr>
          <w:rFonts w:hint="eastAsia" w:hAnsi="宋体"/>
          <w:bCs/>
          <w:sz w:val="24"/>
          <w:szCs w:val="24"/>
          <w:lang w:val="en-US" w:eastAsia="zh-CN"/>
        </w:rPr>
        <w:t>2</w:t>
      </w:r>
      <w:r>
        <w:rPr>
          <w:rFonts w:hint="eastAsia" w:hAnsi="宋体"/>
          <w:bCs/>
          <w:sz w:val="24"/>
          <w:szCs w:val="24"/>
        </w:rPr>
        <w:t>分，限评</w:t>
      </w:r>
      <w:r>
        <w:rPr>
          <w:rFonts w:hint="eastAsia" w:hAnsi="宋体"/>
          <w:bCs/>
          <w:sz w:val="24"/>
          <w:szCs w:val="24"/>
          <w:lang w:val="en-US" w:eastAsia="zh-CN"/>
        </w:rPr>
        <w:t>1</w:t>
      </w:r>
      <w:r>
        <w:rPr>
          <w:rFonts w:hint="eastAsia" w:hAnsi="宋体"/>
          <w:bCs/>
          <w:sz w:val="24"/>
          <w:szCs w:val="24"/>
        </w:rPr>
        <w:t>人。</w:t>
      </w:r>
      <w:r>
        <w:rPr>
          <w:rFonts w:hint="eastAsia" w:hAnsi="宋体"/>
          <w:b/>
          <w:sz w:val="24"/>
          <w:szCs w:val="24"/>
        </w:rPr>
        <w:t>（提供对应投入人员的相关证书及开标前连续3个月投标单位为其缴纳社保的证明材料并加盖公章）</w:t>
      </w:r>
    </w:p>
    <w:p w14:paraId="27B3D326">
      <w:pPr>
        <w:keepNext w:val="0"/>
        <w:keepLines w:val="0"/>
        <w:pageBreakBefore w:val="0"/>
        <w:kinsoku/>
        <w:wordWrap/>
        <w:overflowPunct/>
        <w:topLinePunct w:val="0"/>
        <w:autoSpaceDE/>
        <w:autoSpaceDN/>
        <w:bidi w:val="0"/>
        <w:spacing w:line="360" w:lineRule="auto"/>
        <w:ind w:firstLine="570"/>
        <w:jc w:val="both"/>
        <w:textAlignment w:val="auto"/>
        <w:rPr>
          <w:rFonts w:hAnsi="宋体"/>
          <w:sz w:val="24"/>
          <w:szCs w:val="24"/>
        </w:rPr>
      </w:pPr>
      <w:r>
        <w:rPr>
          <w:rFonts w:hint="eastAsia" w:hAnsi="宋体"/>
          <w:sz w:val="24"/>
          <w:szCs w:val="24"/>
          <w:lang w:bidi="ar"/>
        </w:rPr>
        <w:t>（四）技术部分（2</w:t>
      </w:r>
      <w:r>
        <w:rPr>
          <w:rFonts w:hint="eastAsia" w:hAnsi="宋体"/>
          <w:sz w:val="24"/>
          <w:szCs w:val="24"/>
          <w:lang w:val="en-US" w:eastAsia="zh-CN" w:bidi="ar"/>
        </w:rPr>
        <w:t>3.5</w:t>
      </w:r>
      <w:r>
        <w:rPr>
          <w:rFonts w:hint="eastAsia" w:hAnsi="宋体"/>
          <w:sz w:val="24"/>
          <w:szCs w:val="24"/>
          <w:lang w:bidi="ar"/>
        </w:rPr>
        <w:t>分）</w:t>
      </w:r>
    </w:p>
    <w:p w14:paraId="4E8FBC4E">
      <w:pPr>
        <w:keepNext w:val="0"/>
        <w:keepLines w:val="0"/>
        <w:pageBreakBefore w:val="0"/>
        <w:kinsoku/>
        <w:wordWrap/>
        <w:overflowPunct/>
        <w:topLinePunct w:val="0"/>
        <w:autoSpaceDE/>
        <w:autoSpaceDN/>
        <w:bidi w:val="0"/>
        <w:spacing w:line="360" w:lineRule="auto"/>
        <w:ind w:left="499" w:hanging="19"/>
        <w:textAlignment w:val="auto"/>
        <w:rPr>
          <w:rFonts w:hAnsi="宋体"/>
          <w:sz w:val="24"/>
          <w:szCs w:val="24"/>
        </w:rPr>
      </w:pPr>
      <w:r>
        <w:rPr>
          <w:rFonts w:hint="eastAsia" w:hAnsi="宋体"/>
          <w:sz w:val="24"/>
          <w:szCs w:val="24"/>
        </w:rPr>
        <w:t>1.售后服务</w:t>
      </w:r>
    </w:p>
    <w:p w14:paraId="305829DD">
      <w:pPr>
        <w:keepNext w:val="0"/>
        <w:keepLines w:val="0"/>
        <w:pageBreakBefore w:val="0"/>
        <w:kinsoku/>
        <w:wordWrap/>
        <w:overflowPunct/>
        <w:topLinePunct w:val="0"/>
        <w:autoSpaceDE/>
        <w:autoSpaceDN/>
        <w:bidi w:val="0"/>
        <w:spacing w:line="360" w:lineRule="auto"/>
        <w:ind w:firstLine="480"/>
        <w:textAlignment w:val="auto"/>
        <w:rPr>
          <w:rFonts w:hAnsi="宋体"/>
          <w:sz w:val="24"/>
          <w:szCs w:val="24"/>
        </w:rPr>
      </w:pPr>
      <w:r>
        <w:rPr>
          <w:rFonts w:hint="eastAsia" w:hAnsi="宋体"/>
          <w:sz w:val="24"/>
          <w:szCs w:val="24"/>
        </w:rPr>
        <w:t>投标人提供针对本项目的履约及售后服务方案，内容至少包括：①售后服务管理体系方案、②维保方案、③售后应急预案、④培训方案等内容进行评审；</w:t>
      </w:r>
      <w:r>
        <w:rPr>
          <w:rFonts w:hint="eastAsia" w:hAnsi="宋体"/>
          <w:sz w:val="24"/>
          <w:szCs w:val="24"/>
        </w:rPr>
        <w:br w:type="textWrapping"/>
      </w:r>
      <w:r>
        <w:rPr>
          <w:rFonts w:hint="eastAsia" w:hAnsi="宋体"/>
          <w:sz w:val="24"/>
          <w:szCs w:val="24"/>
        </w:rPr>
        <w:t>方案内容针对本项目且符合本项目实际需求的，得</w:t>
      </w:r>
      <w:r>
        <w:rPr>
          <w:rFonts w:hint="eastAsia" w:hAnsi="宋体"/>
          <w:sz w:val="24"/>
          <w:szCs w:val="24"/>
          <w:lang w:val="en-US" w:eastAsia="zh-CN"/>
        </w:rPr>
        <w:t>8</w:t>
      </w:r>
      <w:r>
        <w:rPr>
          <w:rFonts w:hint="eastAsia" w:hAnsi="宋体"/>
          <w:sz w:val="24"/>
          <w:szCs w:val="24"/>
        </w:rPr>
        <w:t>分，每缺少一项内容，或内容非专门针对本项目，不能满足本项目实际需求的，每一项扣</w:t>
      </w:r>
      <w:r>
        <w:rPr>
          <w:rFonts w:hint="eastAsia" w:hAnsi="宋体"/>
          <w:sz w:val="24"/>
          <w:szCs w:val="24"/>
          <w:lang w:val="en-US" w:eastAsia="zh-CN"/>
        </w:rPr>
        <w:t>2</w:t>
      </w:r>
      <w:r>
        <w:rPr>
          <w:rFonts w:hint="eastAsia" w:hAnsi="宋体"/>
          <w:sz w:val="24"/>
          <w:szCs w:val="24"/>
        </w:rPr>
        <w:t>分。</w:t>
      </w:r>
    </w:p>
    <w:p w14:paraId="009C9DE4">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hint="eastAsia" w:hAnsi="宋体"/>
          <w:sz w:val="24"/>
          <w:szCs w:val="24"/>
        </w:rPr>
      </w:pPr>
      <w:r>
        <w:rPr>
          <w:rFonts w:hint="eastAsia" w:hAnsi="宋体"/>
          <w:sz w:val="24"/>
          <w:szCs w:val="24"/>
          <w:lang w:val="en-US" w:eastAsia="zh-CN"/>
        </w:rPr>
        <w:t>2.</w:t>
      </w:r>
      <w:r>
        <w:rPr>
          <w:rFonts w:hint="eastAsia" w:hAnsi="宋体"/>
          <w:sz w:val="24"/>
          <w:szCs w:val="24"/>
        </w:rPr>
        <w:t>项目实施方案</w:t>
      </w:r>
    </w:p>
    <w:p w14:paraId="524C836A">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hAnsi="宋体"/>
          <w:sz w:val="24"/>
          <w:szCs w:val="24"/>
        </w:rPr>
      </w:pPr>
      <w:r>
        <w:rPr>
          <w:rFonts w:hint="eastAsia" w:hAnsi="宋体"/>
          <w:sz w:val="24"/>
          <w:szCs w:val="24"/>
        </w:rPr>
        <w:t>投标人所提供项目实施方案符合项目实际情况，包含以下内容：①项目实施进度计划及保证措施；②安装人员安排及现场管理制度；③安装调试、验收方案；④质量保障措施、安全及环保保障措施等内容进行评审。</w:t>
      </w:r>
      <w:r>
        <w:rPr>
          <w:rFonts w:hint="eastAsia" w:hAnsi="宋体"/>
          <w:sz w:val="24"/>
          <w:szCs w:val="24"/>
        </w:rPr>
        <w:br w:type="textWrapping"/>
      </w:r>
      <w:r>
        <w:rPr>
          <w:rFonts w:hint="eastAsia" w:hAnsi="宋体"/>
          <w:sz w:val="24"/>
          <w:szCs w:val="24"/>
        </w:rPr>
        <w:t>方案内容针对本项目且符合本项目实际需求的，得</w:t>
      </w:r>
      <w:r>
        <w:rPr>
          <w:rFonts w:hint="eastAsia" w:hAnsi="宋体"/>
          <w:sz w:val="24"/>
          <w:szCs w:val="24"/>
          <w:lang w:val="en-US" w:eastAsia="zh-CN"/>
        </w:rPr>
        <w:t>8</w:t>
      </w:r>
      <w:r>
        <w:rPr>
          <w:rFonts w:hint="eastAsia" w:hAnsi="宋体"/>
          <w:sz w:val="24"/>
          <w:szCs w:val="24"/>
        </w:rPr>
        <w:t>分，每缺少一项内容，或内容非专门针对本项目，不能满足本项目实际需求的，每一项扣2分。</w:t>
      </w:r>
    </w:p>
    <w:p w14:paraId="713E4E2B">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hint="eastAsia" w:hAnsi="宋体"/>
          <w:sz w:val="24"/>
          <w:szCs w:val="24"/>
          <w:lang w:val="en-US" w:eastAsia="zh-CN"/>
        </w:rPr>
      </w:pPr>
      <w:r>
        <w:rPr>
          <w:rFonts w:hint="eastAsia" w:hAnsi="宋体"/>
          <w:sz w:val="24"/>
          <w:szCs w:val="24"/>
          <w:lang w:val="en-US" w:eastAsia="zh-CN"/>
        </w:rPr>
        <w:t>3.质量控制及配合措施</w:t>
      </w:r>
    </w:p>
    <w:p w14:paraId="4722F4F9">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ascii="Arial" w:hAnsi="Arial" w:eastAsia="Arial" w:cs="Arial"/>
          <w:sz w:val="24"/>
          <w:szCs w:val="24"/>
        </w:rPr>
      </w:pPr>
      <w:r>
        <w:rPr>
          <w:rFonts w:hint="eastAsia" w:hAnsi="宋体"/>
          <w:sz w:val="24"/>
          <w:szCs w:val="24"/>
          <w:lang w:val="en-US" w:eastAsia="zh-CN"/>
        </w:rPr>
        <w:t>投标单位应基于本项</w:t>
      </w:r>
      <w:r>
        <w:rPr>
          <w:rFonts w:hint="eastAsia" w:ascii="Arial" w:hAnsi="Arial" w:eastAsia="Arial" w:cs="Arial"/>
          <w:sz w:val="24"/>
          <w:szCs w:val="24"/>
        </w:rPr>
        <w:t>目做好质量控制及配合措施，提供①整体质量控制方案、②质量管理和人员职责明确、③产品运输保护措施。内容齐全、贴合项目实际情况、分析科学合理的，得</w:t>
      </w:r>
      <w:r>
        <w:rPr>
          <w:rFonts w:hint="eastAsia" w:ascii="Arial" w:hAnsi="Arial" w:cs="Arial"/>
          <w:sz w:val="24"/>
          <w:szCs w:val="24"/>
          <w:lang w:val="en-US" w:eastAsia="zh-CN"/>
        </w:rPr>
        <w:t>7.5</w:t>
      </w:r>
      <w:r>
        <w:rPr>
          <w:rFonts w:hint="eastAsia" w:ascii="Arial" w:hAnsi="Arial" w:eastAsia="Arial" w:cs="Arial"/>
          <w:sz w:val="24"/>
          <w:szCs w:val="24"/>
        </w:rPr>
        <w:t>分，每缺少一项内容，或内容非专门针对本项目，不能满足本项目实际需求的，每一项扣2</w:t>
      </w:r>
      <w:r>
        <w:rPr>
          <w:rFonts w:hint="eastAsia" w:ascii="Arial" w:hAnsi="Arial" w:cs="Arial"/>
          <w:sz w:val="24"/>
          <w:szCs w:val="24"/>
          <w:lang w:val="en-US" w:eastAsia="zh-CN"/>
        </w:rPr>
        <w:t>.5</w:t>
      </w:r>
      <w:r>
        <w:rPr>
          <w:rFonts w:hint="eastAsia" w:ascii="Arial" w:hAnsi="Arial" w:eastAsia="Arial" w:cs="Arial"/>
          <w:sz w:val="24"/>
          <w:szCs w:val="24"/>
        </w:rPr>
        <w:t>分，扣完为止。</w:t>
      </w:r>
    </w:p>
    <w:p w14:paraId="1EE0C523">
      <w:pPr>
        <w:keepNext w:val="0"/>
        <w:keepLines w:val="0"/>
        <w:pageBreakBefore w:val="0"/>
        <w:kinsoku/>
        <w:wordWrap/>
        <w:overflowPunct/>
        <w:topLinePunct w:val="0"/>
        <w:autoSpaceDE/>
        <w:autoSpaceDN/>
        <w:bidi w:val="0"/>
        <w:spacing w:line="360" w:lineRule="auto"/>
        <w:ind w:firstLine="422"/>
        <w:textAlignment w:val="auto"/>
        <w:rPr>
          <w:rFonts w:hAnsi="宋体"/>
          <w:sz w:val="24"/>
          <w:szCs w:val="24"/>
          <w:lang w:bidi="ar"/>
        </w:rPr>
      </w:pPr>
      <w:r>
        <w:rPr>
          <w:rFonts w:hint="eastAsia" w:hAnsi="宋体"/>
          <w:sz w:val="24"/>
          <w:szCs w:val="24"/>
          <w:lang w:bidi="ar"/>
        </w:rPr>
        <w:t>（五）类似业绩（6分）</w:t>
      </w:r>
    </w:p>
    <w:p w14:paraId="5BDFFC9F">
      <w:pPr>
        <w:keepNext w:val="0"/>
        <w:keepLines w:val="0"/>
        <w:pageBreakBefore w:val="0"/>
        <w:kinsoku/>
        <w:wordWrap/>
        <w:overflowPunct/>
        <w:topLinePunct w:val="0"/>
        <w:autoSpaceDE/>
        <w:autoSpaceDN/>
        <w:bidi w:val="0"/>
        <w:spacing w:line="360" w:lineRule="auto"/>
        <w:ind w:firstLine="422"/>
        <w:textAlignment w:val="auto"/>
        <w:rPr>
          <w:rFonts w:ascii="Arial" w:hAnsi="Arial" w:eastAsia="Arial" w:cs="Arial"/>
          <w:sz w:val="24"/>
          <w:szCs w:val="24"/>
        </w:rPr>
      </w:pPr>
      <w:r>
        <w:rPr>
          <w:rFonts w:hint="eastAsia" w:ascii="Arial" w:hAnsi="Arial" w:eastAsia="Arial" w:cs="Arial"/>
          <w:sz w:val="24"/>
          <w:szCs w:val="24"/>
        </w:rPr>
        <w:t>投标单位或制造商提供2022年4月（以合同签订日期为准）以来，具有类似项目的业绩情况，每提供一份得2分,最高6分。（注：投标文件中需提供合同复印件，不提供不得分）</w:t>
      </w:r>
    </w:p>
    <w:p w14:paraId="6A760869">
      <w:pPr>
        <w:keepNext w:val="0"/>
        <w:keepLines w:val="0"/>
        <w:pageBreakBefore w:val="0"/>
        <w:kinsoku/>
        <w:wordWrap/>
        <w:overflowPunct/>
        <w:topLinePunct w:val="0"/>
        <w:autoSpaceDE/>
        <w:autoSpaceDN/>
        <w:bidi w:val="0"/>
        <w:spacing w:line="360" w:lineRule="auto"/>
        <w:ind w:firstLine="422"/>
        <w:textAlignment w:val="auto"/>
        <w:rPr>
          <w:rFonts w:ascii="Arial" w:hAnsi="Arial" w:eastAsia="Arial" w:cs="Arial"/>
          <w:sz w:val="24"/>
          <w:szCs w:val="24"/>
        </w:rPr>
      </w:pPr>
    </w:p>
    <w:p w14:paraId="35B8C968">
      <w:pPr>
        <w:keepNext w:val="0"/>
        <w:keepLines w:val="0"/>
        <w:pageBreakBefore w:val="0"/>
        <w:kinsoku/>
        <w:wordWrap/>
        <w:overflowPunct/>
        <w:topLinePunct w:val="0"/>
        <w:autoSpaceDE/>
        <w:autoSpaceDN/>
        <w:bidi w:val="0"/>
        <w:spacing w:line="360" w:lineRule="auto"/>
        <w:ind w:firstLine="422"/>
        <w:textAlignment w:val="auto"/>
        <w:rPr>
          <w:rFonts w:hAnsi="宋体"/>
          <w:b/>
          <w:sz w:val="24"/>
          <w:szCs w:val="24"/>
        </w:rPr>
      </w:pPr>
      <w:r>
        <w:rPr>
          <w:rFonts w:hint="eastAsia" w:hAnsi="宋体"/>
          <w:b/>
          <w:sz w:val="24"/>
          <w:szCs w:val="24"/>
        </w:rPr>
        <w:t>注：</w:t>
      </w:r>
    </w:p>
    <w:p w14:paraId="35DBF368">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int="eastAsia" w:hAnsi="宋体"/>
          <w:bCs/>
          <w:sz w:val="24"/>
          <w:szCs w:val="24"/>
        </w:rPr>
        <w:t>1、针对评分标准中评分的每一条，投标人均应提供相关资料并作出相应说明供评委评判，</w:t>
      </w:r>
      <w:r>
        <w:rPr>
          <w:rFonts w:hint="eastAsia" w:hAnsi="宋体"/>
          <w:b/>
          <w:bCs/>
          <w:sz w:val="24"/>
          <w:szCs w:val="24"/>
        </w:rPr>
        <w:t>证明材料的扫描件或复印件应加盖投标人公章扫描（或电子签章）后上传，</w:t>
      </w:r>
      <w:r>
        <w:rPr>
          <w:rFonts w:hint="eastAsia" w:hAnsi="宋体"/>
          <w:bCs/>
          <w:sz w:val="24"/>
          <w:szCs w:val="24"/>
        </w:rPr>
        <w:t xml:space="preserve">不提供相关资料的视为不具备该项得分的条件。 </w:t>
      </w:r>
    </w:p>
    <w:p w14:paraId="18534FB0">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r>
        <w:rPr>
          <w:rFonts w:hAnsi="宋体"/>
          <w:bCs/>
          <w:sz w:val="24"/>
          <w:szCs w:val="24"/>
        </w:rPr>
        <w:t>2</w:t>
      </w:r>
      <w:r>
        <w:rPr>
          <w:rFonts w:hint="eastAsia" w:hAnsi="宋体"/>
          <w:bCs/>
          <w:sz w:val="24"/>
          <w:szCs w:val="24"/>
        </w:rPr>
        <w:t>、所有证明材料字迹须清晰可见，字迹不清晰或扫描不全，视为未提供，影响评分情况，是投标人的责任。</w:t>
      </w:r>
    </w:p>
    <w:p w14:paraId="0B9C479F">
      <w:pPr>
        <w:keepNext w:val="0"/>
        <w:keepLines w:val="0"/>
        <w:pageBreakBefore w:val="0"/>
        <w:kinsoku/>
        <w:wordWrap/>
        <w:overflowPunct/>
        <w:topLinePunct w:val="0"/>
        <w:autoSpaceDE/>
        <w:autoSpaceDN/>
        <w:bidi w:val="0"/>
        <w:spacing w:line="360" w:lineRule="auto"/>
        <w:ind w:firstLine="420"/>
        <w:textAlignment w:val="auto"/>
        <w:rPr>
          <w:rFonts w:hAnsi="宋体"/>
          <w:bCs/>
          <w:sz w:val="24"/>
          <w:szCs w:val="24"/>
        </w:rPr>
      </w:pPr>
    </w:p>
    <w:p w14:paraId="09864B32">
      <w:pPr>
        <w:keepNext w:val="0"/>
        <w:keepLines w:val="0"/>
        <w:pageBreakBefore w:val="0"/>
        <w:kinsoku/>
        <w:wordWrap/>
        <w:overflowPunct/>
        <w:topLinePunct w:val="0"/>
        <w:autoSpaceDE/>
        <w:autoSpaceDN/>
        <w:bidi w:val="0"/>
        <w:spacing w:line="360" w:lineRule="auto"/>
        <w:ind w:firstLine="420"/>
        <w:textAlignment w:val="auto"/>
        <w:rPr>
          <w:rFonts w:hAnsi="宋体"/>
          <w:bCs/>
          <w:sz w:val="21"/>
          <w:szCs w:val="21"/>
        </w:rPr>
      </w:pPr>
    </w:p>
    <w:p w14:paraId="4B3CE8A8">
      <w:pPr>
        <w:keepNext w:val="0"/>
        <w:keepLines w:val="0"/>
        <w:pageBreakBefore w:val="0"/>
        <w:kinsoku/>
        <w:wordWrap/>
        <w:overflowPunct/>
        <w:topLinePunct w:val="0"/>
        <w:autoSpaceDE/>
        <w:autoSpaceDN/>
        <w:bidi w:val="0"/>
        <w:spacing w:line="360" w:lineRule="auto"/>
        <w:ind w:firstLine="420"/>
        <w:textAlignment w:val="auto"/>
        <w:rPr>
          <w:rFonts w:hAnsi="宋体"/>
          <w:bCs/>
          <w:sz w:val="21"/>
          <w:szCs w:val="21"/>
        </w:rPr>
        <w:sectPr>
          <w:pgSz w:w="11906" w:h="16838"/>
          <w:pgMar w:top="1361" w:right="1304" w:bottom="1304" w:left="1361" w:header="851" w:footer="992" w:gutter="0"/>
          <w:cols w:space="720" w:num="1"/>
          <w:docGrid w:linePitch="360" w:charSpace="0"/>
        </w:sectPr>
      </w:pPr>
    </w:p>
    <w:p w14:paraId="252C6E32">
      <w:pPr>
        <w:keepNext w:val="0"/>
        <w:keepLines w:val="0"/>
        <w:pageBreakBefore w:val="0"/>
        <w:kinsoku/>
        <w:wordWrap/>
        <w:overflowPunct/>
        <w:topLinePunct w:val="0"/>
        <w:autoSpaceDE/>
        <w:autoSpaceDN/>
        <w:bidi w:val="0"/>
        <w:spacing w:line="360" w:lineRule="auto"/>
        <w:ind w:firstLine="420"/>
        <w:textAlignment w:val="auto"/>
        <w:rPr>
          <w:rFonts w:hAnsi="宋体"/>
          <w:bCs/>
          <w:sz w:val="21"/>
          <w:szCs w:val="21"/>
        </w:rPr>
      </w:pPr>
    </w:p>
    <w:p w14:paraId="239ECDE2">
      <w:pPr>
        <w:keepNext w:val="0"/>
        <w:keepLines w:val="0"/>
        <w:pageBreakBefore w:val="0"/>
        <w:kinsoku/>
        <w:wordWrap/>
        <w:overflowPunct/>
        <w:topLinePunct w:val="0"/>
        <w:autoSpaceDE/>
        <w:autoSpaceDN/>
        <w:bidi w:val="0"/>
        <w:spacing w:line="360" w:lineRule="auto"/>
        <w:jc w:val="center"/>
        <w:textAlignment w:val="auto"/>
        <w:outlineLvl w:val="0"/>
        <w:rPr>
          <w:rFonts w:hAnsi="宋体"/>
          <w:b/>
          <w:bCs/>
          <w:sz w:val="32"/>
          <w:szCs w:val="32"/>
        </w:rPr>
      </w:pPr>
      <w:bookmarkStart w:id="16" w:name="_Toc188363124"/>
      <w:r>
        <w:rPr>
          <w:rFonts w:hint="eastAsia" w:hAnsi="宋体"/>
          <w:b/>
          <w:bCs/>
          <w:sz w:val="32"/>
          <w:szCs w:val="32"/>
        </w:rPr>
        <w:t>第五章</w:t>
      </w:r>
      <w:r>
        <w:rPr>
          <w:rFonts w:hAnsi="宋体"/>
          <w:b/>
          <w:bCs/>
          <w:sz w:val="32"/>
          <w:szCs w:val="32"/>
        </w:rPr>
        <w:t xml:space="preserve"> </w:t>
      </w:r>
      <w:r>
        <w:rPr>
          <w:rFonts w:hint="eastAsia" w:hAnsi="宋体"/>
          <w:b/>
          <w:bCs/>
          <w:sz w:val="32"/>
          <w:szCs w:val="32"/>
        </w:rPr>
        <w:t>投标文件格式</w:t>
      </w:r>
      <w:bookmarkEnd w:id="16"/>
    </w:p>
    <w:p w14:paraId="787506F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4E44B68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cs="宋体"/>
          <w:sz w:val="22"/>
          <w:shd w:val="clear" w:color="auto" w:fill="FFFFFF"/>
        </w:rPr>
      </w:pPr>
      <w:r>
        <w:rPr>
          <w:rFonts w:hint="eastAsia" w:hAnsi="宋体" w:cs="宋体"/>
          <w:sz w:val="22"/>
          <w:shd w:val="clear" w:color="auto" w:fill="FFFFFF"/>
        </w:rPr>
        <w:t>说明：</w:t>
      </w:r>
      <w:r>
        <w:rPr>
          <w:rFonts w:hAnsi="宋体" w:cs="宋体"/>
          <w:sz w:val="22"/>
          <w:shd w:val="clear" w:color="auto" w:fill="FFFFFF"/>
        </w:rPr>
        <w:t xml:space="preserve"> </w:t>
      </w:r>
    </w:p>
    <w:p w14:paraId="19F05A6D">
      <w:pPr>
        <w:pStyle w:val="16"/>
        <w:keepNext w:val="0"/>
        <w:keepLines w:val="0"/>
        <w:pageBreakBefore w:val="0"/>
        <w:kinsoku/>
        <w:wordWrap/>
        <w:overflowPunct/>
        <w:topLinePunct w:val="0"/>
        <w:autoSpaceDE/>
        <w:autoSpaceDN/>
        <w:bidi w:val="0"/>
        <w:spacing w:before="0" w:line="360" w:lineRule="auto"/>
        <w:ind w:left="0" w:firstLine="440"/>
        <w:jc w:val="both"/>
        <w:textAlignment w:val="auto"/>
        <w:rPr>
          <w:rFonts w:hAnsi="宋体" w:cs="宋体"/>
          <w:sz w:val="22"/>
          <w:shd w:val="clear" w:color="auto" w:fill="FFFFFF"/>
        </w:rPr>
      </w:pPr>
      <w:r>
        <w:rPr>
          <w:rFonts w:hint="eastAsia" w:hAnsi="宋体" w:cs="宋体"/>
          <w:sz w:val="22"/>
          <w:shd w:val="clear" w:color="auto" w:fill="FFFFFF"/>
        </w:rPr>
        <w:t>1、对本章所有的格式，供应商可根据自身情况进行补充和修改，但补充和修改不得造成与本格式内容有实质性的违背。</w:t>
      </w:r>
    </w:p>
    <w:p w14:paraId="5E7B49F7">
      <w:pPr>
        <w:pStyle w:val="16"/>
        <w:keepNext w:val="0"/>
        <w:keepLines w:val="0"/>
        <w:pageBreakBefore w:val="0"/>
        <w:kinsoku/>
        <w:wordWrap/>
        <w:overflowPunct/>
        <w:topLinePunct w:val="0"/>
        <w:autoSpaceDE/>
        <w:autoSpaceDN/>
        <w:bidi w:val="0"/>
        <w:spacing w:before="0" w:line="360" w:lineRule="auto"/>
        <w:ind w:left="0" w:firstLine="440"/>
        <w:jc w:val="both"/>
        <w:textAlignment w:val="auto"/>
        <w:rPr>
          <w:rFonts w:hAnsi="宋体" w:cs="宋体"/>
          <w:sz w:val="22"/>
          <w:shd w:val="clear" w:color="auto" w:fill="FFFFFF"/>
        </w:rPr>
      </w:pPr>
      <w:r>
        <w:rPr>
          <w:rFonts w:hint="eastAsia" w:hAnsi="宋体" w:cs="宋体"/>
          <w:sz w:val="22"/>
          <w:shd w:val="clear" w:color="auto" w:fill="FFFFFF"/>
        </w:rPr>
        <w:t>2、所附表格中要求回答的全部问题和信息都必须正面回答。</w:t>
      </w:r>
    </w:p>
    <w:p w14:paraId="369FC6E2">
      <w:pPr>
        <w:pStyle w:val="16"/>
        <w:keepNext w:val="0"/>
        <w:keepLines w:val="0"/>
        <w:pageBreakBefore w:val="0"/>
        <w:kinsoku/>
        <w:wordWrap/>
        <w:overflowPunct/>
        <w:topLinePunct w:val="0"/>
        <w:autoSpaceDE/>
        <w:autoSpaceDN/>
        <w:bidi w:val="0"/>
        <w:spacing w:before="0" w:line="360" w:lineRule="auto"/>
        <w:ind w:left="0" w:firstLine="440"/>
        <w:jc w:val="both"/>
        <w:textAlignment w:val="auto"/>
        <w:rPr>
          <w:rFonts w:hAnsi="宋体" w:cs="宋体"/>
          <w:sz w:val="22"/>
          <w:shd w:val="clear" w:color="auto" w:fill="FFFFFF"/>
        </w:rPr>
      </w:pPr>
      <w:r>
        <w:rPr>
          <w:rFonts w:hint="eastAsia" w:hAnsi="宋体" w:cs="宋体"/>
          <w:sz w:val="22"/>
          <w:shd w:val="clear" w:color="auto" w:fill="FFFFFF"/>
        </w:rPr>
        <w:t>3、本资格声明的签字人应保证全部声明和问题的回答是真实的和准确的。</w:t>
      </w:r>
    </w:p>
    <w:p w14:paraId="23BE1D73">
      <w:pPr>
        <w:pStyle w:val="16"/>
        <w:keepNext w:val="0"/>
        <w:keepLines w:val="0"/>
        <w:pageBreakBefore w:val="0"/>
        <w:kinsoku/>
        <w:wordWrap/>
        <w:overflowPunct/>
        <w:topLinePunct w:val="0"/>
        <w:autoSpaceDE/>
        <w:autoSpaceDN/>
        <w:bidi w:val="0"/>
        <w:spacing w:before="0" w:line="360" w:lineRule="auto"/>
        <w:ind w:left="0" w:firstLine="440"/>
        <w:jc w:val="both"/>
        <w:textAlignment w:val="auto"/>
        <w:rPr>
          <w:rFonts w:hAnsi="宋体" w:cs="宋体"/>
          <w:sz w:val="22"/>
          <w:shd w:val="clear" w:color="auto" w:fill="FFFFFF"/>
        </w:rPr>
      </w:pPr>
      <w:r>
        <w:rPr>
          <w:rFonts w:hAnsi="宋体" w:cs="宋体"/>
          <w:sz w:val="22"/>
          <w:shd w:val="clear" w:color="auto" w:fill="FFFFFF"/>
        </w:rPr>
        <w:t>4</w:t>
      </w:r>
      <w:r>
        <w:rPr>
          <w:rFonts w:hint="eastAsia" w:hAnsi="宋体" w:cs="宋体"/>
          <w:sz w:val="22"/>
          <w:shd w:val="clear" w:color="auto" w:fill="FFFFFF"/>
        </w:rPr>
        <w:t>、投标人提交的材料将被保密保存，但不退还。</w:t>
      </w:r>
    </w:p>
    <w:p w14:paraId="5213104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sectPr>
          <w:pgSz w:w="11906" w:h="16838"/>
          <w:pgMar w:top="1361" w:right="1304" w:bottom="1304" w:left="1361" w:header="851" w:footer="992" w:gutter="0"/>
          <w:cols w:space="720" w:num="1"/>
          <w:docGrid w:linePitch="360" w:charSpace="0"/>
        </w:sectPr>
      </w:pPr>
    </w:p>
    <w:p w14:paraId="397AEC4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3BEEDF9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b/>
          <w:bCs/>
          <w:sz w:val="44"/>
          <w:szCs w:val="44"/>
        </w:rPr>
      </w:pPr>
      <w:r>
        <w:rPr>
          <w:rFonts w:hint="eastAsia" w:hAnsi="宋体"/>
          <w:b/>
          <w:bCs/>
          <w:sz w:val="32"/>
          <w:szCs w:val="32"/>
        </w:rPr>
        <w:t>封</w:t>
      </w:r>
      <w:r>
        <w:rPr>
          <w:rFonts w:hAnsi="宋体"/>
          <w:b/>
          <w:bCs/>
          <w:sz w:val="32"/>
          <w:szCs w:val="32"/>
        </w:rPr>
        <w:t xml:space="preserve"> </w:t>
      </w:r>
      <w:r>
        <w:rPr>
          <w:rFonts w:hint="eastAsia" w:hAnsi="宋体"/>
          <w:b/>
          <w:bCs/>
          <w:sz w:val="32"/>
          <w:szCs w:val="32"/>
        </w:rPr>
        <w:t>面</w:t>
      </w:r>
      <w:r>
        <w:rPr>
          <w:rFonts w:hAnsi="宋体"/>
          <w:b/>
          <w:bCs/>
          <w:sz w:val="32"/>
          <w:szCs w:val="32"/>
        </w:rPr>
        <w:t xml:space="preserve"> </w:t>
      </w:r>
      <w:r>
        <w:rPr>
          <w:rFonts w:hint="eastAsia" w:hAnsi="宋体"/>
          <w:b/>
          <w:bCs/>
          <w:sz w:val="32"/>
          <w:szCs w:val="32"/>
        </w:rPr>
        <w:t>：</w:t>
      </w:r>
      <w:r>
        <w:rPr>
          <w:rFonts w:hAnsi="宋体"/>
          <w:b/>
          <w:bCs/>
          <w:sz w:val="44"/>
          <w:szCs w:val="44"/>
        </w:rPr>
        <w:t xml:space="preserve">                          </w:t>
      </w:r>
    </w:p>
    <w:p w14:paraId="32CB668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1DA1FD3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1765062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2D8C946F">
      <w:pPr>
        <w:pStyle w:val="16"/>
        <w:keepNext w:val="0"/>
        <w:keepLines w:val="0"/>
        <w:pageBreakBefore w:val="0"/>
        <w:kinsoku/>
        <w:wordWrap/>
        <w:overflowPunct/>
        <w:topLinePunct w:val="0"/>
        <w:autoSpaceDE/>
        <w:autoSpaceDN/>
        <w:bidi w:val="0"/>
        <w:spacing w:before="0" w:line="360" w:lineRule="auto"/>
        <w:ind w:left="0"/>
        <w:jc w:val="center"/>
        <w:textAlignment w:val="auto"/>
        <w:rPr>
          <w:rFonts w:hAnsi="宋体"/>
          <w:b/>
          <w:bCs/>
          <w:sz w:val="72"/>
          <w:szCs w:val="72"/>
        </w:rPr>
      </w:pPr>
      <w:r>
        <w:rPr>
          <w:rFonts w:hint="eastAsia" w:hAnsi="宋体"/>
          <w:b/>
          <w:bCs/>
          <w:sz w:val="72"/>
          <w:szCs w:val="72"/>
        </w:rPr>
        <w:t>投标文件</w:t>
      </w:r>
    </w:p>
    <w:p w14:paraId="3F53CD7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36CE42B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0FA668D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59BDF6C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600319E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b/>
          <w:bCs/>
          <w:sz w:val="32"/>
          <w:szCs w:val="32"/>
        </w:rPr>
      </w:pPr>
      <w:r>
        <w:rPr>
          <w:rFonts w:hint="eastAsia" w:hAnsi="宋体"/>
          <w:b/>
          <w:bCs/>
          <w:sz w:val="36"/>
          <w:szCs w:val="36"/>
        </w:rPr>
        <w:t>采购单位：</w:t>
      </w:r>
      <w:r>
        <w:rPr>
          <w:rFonts w:hint="eastAsia" w:hAnsi="宋体"/>
          <w:sz w:val="32"/>
          <w:szCs w:val="32"/>
        </w:rPr>
        <w:t>太仓市殡仪馆</w:t>
      </w:r>
    </w:p>
    <w:p w14:paraId="7E0D806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b/>
          <w:bCs/>
          <w:sz w:val="36"/>
          <w:szCs w:val="36"/>
        </w:rPr>
      </w:pPr>
      <w:r>
        <w:rPr>
          <w:rFonts w:hint="eastAsia" w:hAnsi="宋体"/>
          <w:b/>
          <w:bCs/>
          <w:sz w:val="36"/>
          <w:szCs w:val="36"/>
        </w:rPr>
        <w:t>项目名称：</w:t>
      </w:r>
      <w:r>
        <w:rPr>
          <w:rFonts w:hint="eastAsia" w:hAnsi="宋体"/>
          <w:sz w:val="32"/>
          <w:szCs w:val="32"/>
        </w:rPr>
        <w:t>太仓市殡仪馆炉大修及布袋更换项目</w:t>
      </w:r>
    </w:p>
    <w:p w14:paraId="7DD360C7">
      <w:pPr>
        <w:pStyle w:val="16"/>
        <w:keepNext w:val="0"/>
        <w:keepLines w:val="0"/>
        <w:pageBreakBefore w:val="0"/>
        <w:kinsoku/>
        <w:wordWrap/>
        <w:overflowPunct/>
        <w:topLinePunct w:val="0"/>
        <w:autoSpaceDE/>
        <w:autoSpaceDN/>
        <w:bidi w:val="0"/>
        <w:spacing w:before="0" w:line="360" w:lineRule="auto"/>
        <w:ind w:left="0"/>
        <w:jc w:val="both"/>
        <w:textAlignment w:val="auto"/>
        <w:rPr>
          <w:rFonts w:hint="eastAsia" w:hAnsi="宋体" w:eastAsia="宋体"/>
          <w:sz w:val="32"/>
          <w:szCs w:val="32"/>
          <w:lang w:eastAsia="zh-CN"/>
        </w:rPr>
      </w:pPr>
      <w:r>
        <w:rPr>
          <w:rFonts w:hint="eastAsia" w:hAnsi="宋体"/>
          <w:b/>
          <w:bCs/>
          <w:sz w:val="36"/>
          <w:szCs w:val="36"/>
        </w:rPr>
        <w:t>项目编号：</w:t>
      </w:r>
      <w:r>
        <w:rPr>
          <w:rFonts w:hint="eastAsia" w:hAnsi="宋体"/>
          <w:sz w:val="32"/>
          <w:szCs w:val="32"/>
          <w:lang w:eastAsia="zh-CN"/>
        </w:rPr>
        <w:t>JSZC-320585-ZFXM-G2025-0010</w:t>
      </w:r>
    </w:p>
    <w:p w14:paraId="364564A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b/>
          <w:sz w:val="32"/>
          <w:szCs w:val="32"/>
        </w:rPr>
      </w:pPr>
    </w:p>
    <w:p w14:paraId="16D97D2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29CFB62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2E6EF8C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48C3988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66A635E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b/>
          <w:bCs/>
          <w:sz w:val="36"/>
          <w:szCs w:val="36"/>
          <w:u w:val="single"/>
        </w:rPr>
      </w:pPr>
      <w:r>
        <w:rPr>
          <w:rFonts w:hint="eastAsia" w:hAnsi="宋体"/>
          <w:b/>
          <w:bCs/>
          <w:sz w:val="36"/>
          <w:szCs w:val="36"/>
        </w:rPr>
        <w:t>投标人</w:t>
      </w:r>
      <w:r>
        <w:rPr>
          <w:rFonts w:hAnsi="宋体"/>
          <w:sz w:val="24"/>
          <w:szCs w:val="24"/>
        </w:rPr>
        <w:t>(</w:t>
      </w:r>
      <w:r>
        <w:rPr>
          <w:rFonts w:hint="eastAsia" w:hAnsi="宋体"/>
          <w:sz w:val="24"/>
          <w:szCs w:val="24"/>
        </w:rPr>
        <w:t>盖章</w:t>
      </w:r>
      <w:r>
        <w:rPr>
          <w:rFonts w:hAnsi="宋体"/>
          <w:sz w:val="24"/>
          <w:szCs w:val="24"/>
        </w:rPr>
        <w:t>)</w:t>
      </w:r>
      <w:r>
        <w:rPr>
          <w:rFonts w:hint="eastAsia" w:hAnsi="宋体"/>
          <w:b/>
          <w:bCs/>
          <w:sz w:val="36"/>
          <w:szCs w:val="36"/>
        </w:rPr>
        <w:t>：</w:t>
      </w:r>
      <w:r>
        <w:rPr>
          <w:rFonts w:hAnsi="宋体"/>
          <w:b/>
          <w:bCs/>
          <w:sz w:val="36"/>
          <w:szCs w:val="36"/>
          <w:u w:val="single"/>
        </w:rPr>
        <w:t xml:space="preserve">                              </w:t>
      </w:r>
    </w:p>
    <w:p w14:paraId="41A3A03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32"/>
          <w:szCs w:val="32"/>
        </w:rPr>
      </w:pPr>
      <w:r>
        <w:rPr>
          <w:rFonts w:hint="eastAsia" w:hAnsi="宋体"/>
          <w:b/>
          <w:bCs/>
          <w:spacing w:val="-3"/>
          <w:sz w:val="36"/>
          <w:szCs w:val="36"/>
        </w:rPr>
        <w:t>法定代表人或其委托代理人</w:t>
      </w:r>
      <w:r>
        <w:rPr>
          <w:rFonts w:hAnsi="宋体"/>
          <w:sz w:val="24"/>
          <w:szCs w:val="24"/>
        </w:rPr>
        <w:t>(</w:t>
      </w:r>
      <w:r>
        <w:rPr>
          <w:rFonts w:hint="eastAsia" w:hAnsi="宋体"/>
          <w:sz w:val="24"/>
          <w:szCs w:val="24"/>
        </w:rPr>
        <w:t>签字或盖章</w:t>
      </w:r>
      <w:r>
        <w:rPr>
          <w:rFonts w:hAnsi="宋体"/>
          <w:sz w:val="24"/>
          <w:szCs w:val="24"/>
        </w:rPr>
        <w:t>)</w:t>
      </w:r>
      <w:r>
        <w:rPr>
          <w:rFonts w:hint="eastAsia" w:hAnsi="宋体"/>
          <w:b/>
          <w:bCs/>
          <w:sz w:val="36"/>
          <w:szCs w:val="36"/>
        </w:rPr>
        <w:t>：</w:t>
      </w:r>
      <w:r>
        <w:rPr>
          <w:rFonts w:hAnsi="宋体"/>
          <w:b/>
          <w:bCs/>
          <w:spacing w:val="101"/>
          <w:sz w:val="36"/>
          <w:szCs w:val="36"/>
          <w:u w:val="single"/>
        </w:rPr>
        <w:t xml:space="preserve">    </w:t>
      </w:r>
    </w:p>
    <w:p w14:paraId="66CC7502">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1B98B8F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105D0EB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3FE1E5A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pPr>
    </w:p>
    <w:p w14:paraId="38304387">
      <w:pPr>
        <w:pStyle w:val="16"/>
        <w:keepNext w:val="0"/>
        <w:keepLines w:val="0"/>
        <w:pageBreakBefore w:val="0"/>
        <w:kinsoku/>
        <w:wordWrap/>
        <w:overflowPunct/>
        <w:topLinePunct w:val="0"/>
        <w:autoSpaceDE/>
        <w:autoSpaceDN/>
        <w:bidi w:val="0"/>
        <w:spacing w:before="0" w:line="360" w:lineRule="auto"/>
        <w:ind w:left="0"/>
        <w:jc w:val="center"/>
        <w:textAlignment w:val="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年</w:t>
      </w:r>
      <w:r>
        <w:rPr>
          <w:rFonts w:hAnsi="宋体"/>
          <w:b/>
          <w:bCs/>
          <w:sz w:val="36"/>
          <w:szCs w:val="36"/>
        </w:rPr>
        <w:t xml:space="preserve">    </w:t>
      </w:r>
      <w:r>
        <w:rPr>
          <w:rFonts w:hint="eastAsia" w:hAnsi="宋体"/>
          <w:b/>
          <w:bCs/>
          <w:sz w:val="36"/>
          <w:szCs w:val="36"/>
        </w:rPr>
        <w:t>月</w:t>
      </w:r>
      <w:r>
        <w:rPr>
          <w:rFonts w:hAnsi="宋体"/>
          <w:b/>
          <w:bCs/>
          <w:sz w:val="36"/>
          <w:szCs w:val="36"/>
        </w:rPr>
        <w:t xml:space="preserve">    </w:t>
      </w:r>
      <w:r>
        <w:rPr>
          <w:rFonts w:hint="eastAsia" w:hAnsi="宋体"/>
          <w:b/>
          <w:bCs/>
          <w:sz w:val="36"/>
          <w:szCs w:val="36"/>
        </w:rPr>
        <w:t>日</w:t>
      </w:r>
    </w:p>
    <w:p w14:paraId="29618D39">
      <w:pPr>
        <w:pStyle w:val="16"/>
        <w:keepNext w:val="0"/>
        <w:keepLines w:val="0"/>
        <w:pageBreakBefore w:val="0"/>
        <w:kinsoku/>
        <w:wordWrap/>
        <w:overflowPunct/>
        <w:topLinePunct w:val="0"/>
        <w:autoSpaceDE/>
        <w:autoSpaceDN/>
        <w:bidi w:val="0"/>
        <w:spacing w:before="0" w:line="360" w:lineRule="auto"/>
        <w:ind w:left="0"/>
        <w:jc w:val="center"/>
        <w:textAlignment w:val="auto"/>
        <w:rPr>
          <w:rFonts w:hAnsi="宋体"/>
          <w:b/>
          <w:bCs/>
          <w:sz w:val="36"/>
          <w:szCs w:val="36"/>
        </w:rPr>
      </w:pPr>
    </w:p>
    <w:p w14:paraId="5CE28552">
      <w:pPr>
        <w:keepNext w:val="0"/>
        <w:keepLines w:val="0"/>
        <w:pageBreakBefore w:val="0"/>
        <w:kinsoku/>
        <w:wordWrap/>
        <w:overflowPunct/>
        <w:topLinePunct w:val="0"/>
        <w:autoSpaceDE/>
        <w:autoSpaceDN/>
        <w:bidi w:val="0"/>
        <w:spacing w:line="360" w:lineRule="auto"/>
        <w:textAlignment w:val="auto"/>
        <w:rPr>
          <w:rFonts w:hAnsi="宋体"/>
          <w:b/>
          <w:bCs/>
          <w:sz w:val="24"/>
          <w:szCs w:val="24"/>
        </w:rPr>
      </w:pPr>
      <w:bookmarkStart w:id="17" w:name="_Toc467507054"/>
      <w:bookmarkStart w:id="18" w:name="_Toc405288080"/>
      <w:bookmarkStart w:id="19" w:name="_Toc322442932"/>
      <w:bookmarkStart w:id="20" w:name="_Toc430265233"/>
      <w:bookmarkStart w:id="21" w:name="_Toc467507044"/>
      <w:r>
        <w:rPr>
          <w:rFonts w:hAnsi="宋体"/>
          <w:b/>
          <w:bCs/>
          <w:sz w:val="24"/>
          <w:szCs w:val="24"/>
        </w:rPr>
        <w:t>1</w:t>
      </w:r>
      <w:r>
        <w:rPr>
          <w:rFonts w:hint="eastAsia" w:hAnsi="宋体"/>
          <w:b/>
          <w:bCs/>
          <w:sz w:val="24"/>
          <w:szCs w:val="24"/>
        </w:rPr>
        <w:t>、投标承诺函</w:t>
      </w:r>
    </w:p>
    <w:p w14:paraId="5BB55D0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投标承诺函</w:t>
      </w:r>
    </w:p>
    <w:p w14:paraId="2DEE1A81">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江苏兆丰项目管理有限公司：</w:t>
      </w:r>
    </w:p>
    <w:p w14:paraId="5A29406B">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招标文件（项目编号：</w:t>
      </w:r>
      <w:r>
        <w:rPr>
          <w:rFonts w:hAnsi="宋体"/>
          <w:sz w:val="24"/>
          <w:szCs w:val="24"/>
          <w:u w:val="single"/>
        </w:rPr>
        <w:t xml:space="preserve">          </w:t>
      </w:r>
      <w:r>
        <w:rPr>
          <w:rFonts w:hint="eastAsia" w:hAnsi="宋体"/>
          <w:sz w:val="24"/>
          <w:szCs w:val="24"/>
        </w:rPr>
        <w:t>），经仔细阅读和研究，我们决定参加投标。</w:t>
      </w:r>
    </w:p>
    <w:p w14:paraId="583751BE">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1、我们愿意按照招标文件的一切要求，提供完成该项目的全部内容，我们的投标报价包括但不限于</w:t>
      </w:r>
      <w:r>
        <w:rPr>
          <w:rFonts w:hint="eastAsia" w:hAnsi="宋体"/>
          <w:bCs/>
          <w:sz w:val="24"/>
          <w:szCs w:val="24"/>
        </w:rPr>
        <w:t>全部货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w:t>
      </w:r>
      <w:r>
        <w:rPr>
          <w:rFonts w:hint="eastAsia" w:hAnsi="宋体"/>
          <w:sz w:val="24"/>
          <w:szCs w:val="24"/>
        </w:rPr>
        <w:t>。</w:t>
      </w:r>
    </w:p>
    <w:p w14:paraId="19C94A95">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2、如果我们的投标书被接受，我们将严格履行招标文件中规定的每一项要求，按期、按质、按量履行合同的义务。</w:t>
      </w:r>
    </w:p>
    <w:p w14:paraId="756FA239">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3、我们已详细审查全部招标文件，包括补充文件(更正公告)(如有)。我们完全理解并同意放弃对这方面有不明及误解的权力。</w:t>
      </w:r>
    </w:p>
    <w:p w14:paraId="3F3A48A0">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4、我们同意按招标文件中的规定，本投标书的有效期限为投标截止日起90天。</w:t>
      </w:r>
    </w:p>
    <w:p w14:paraId="7B1A0BC5">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5、我们愿意提供采购人或采购代理机构在招标文件中要求的所有资料。</w:t>
      </w:r>
    </w:p>
    <w:p w14:paraId="454C76F5">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6、我们声明：我们在参加本次政府采购活动前3年内在经营活动中没有重大违法记录。</w:t>
      </w:r>
    </w:p>
    <w:p w14:paraId="3DCF8612">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7、我们愿意遵守招标公告及招标文件中所列的收费标准。</w:t>
      </w:r>
    </w:p>
    <w:p w14:paraId="12107AEB">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8、我们承诺该项投标在开标后的全过程中保持有效，不作任何更改和变动。</w:t>
      </w:r>
    </w:p>
    <w:p w14:paraId="07863094">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9</w:t>
      </w:r>
      <w:r>
        <w:rPr>
          <w:rFonts w:hint="eastAsia" w:hAnsi="宋体"/>
          <w:sz w:val="24"/>
          <w:szCs w:val="24"/>
        </w:rPr>
        <w:t>、如果我们中标，我们愿意按招标文件的规定支付代理服务费；</w:t>
      </w:r>
    </w:p>
    <w:p w14:paraId="702999C6">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10</w:t>
      </w:r>
      <w:r>
        <w:rPr>
          <w:rFonts w:hint="eastAsia" w:hAnsi="宋体"/>
          <w:sz w:val="24"/>
          <w:szCs w:val="24"/>
        </w:rPr>
        <w:t>、我们承诺我公司符合招标文件投标人须知中“合格投标人的资格条件”的要求，若与真实情况不符，本公司愿意承担由此而产生的一切后果。</w:t>
      </w:r>
    </w:p>
    <w:p w14:paraId="22C23B94">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11</w:t>
      </w:r>
      <w:r>
        <w:rPr>
          <w:rFonts w:hint="eastAsia" w:hAnsi="宋体"/>
          <w:sz w:val="24"/>
          <w:szCs w:val="24"/>
        </w:rPr>
        <w:t>、我们承诺我公司中标后，合同部分或全部不予转包。</w:t>
      </w:r>
    </w:p>
    <w:p w14:paraId="03D4DF75">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12</w:t>
      </w:r>
      <w:r>
        <w:rPr>
          <w:rFonts w:hint="eastAsia" w:hAnsi="宋体"/>
          <w:sz w:val="24"/>
          <w:szCs w:val="24"/>
        </w:rPr>
        <w:t>、综合说明：</w:t>
      </w:r>
    </w:p>
    <w:p w14:paraId="2FE13601">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（1）伴随服务及配合措施；</w:t>
      </w:r>
    </w:p>
    <w:p w14:paraId="15DA9813">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（2）要求甲方提供的配合；</w:t>
      </w:r>
    </w:p>
    <w:p w14:paraId="6AAB9934">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（3）对招标文件有不同意见的偏离说明；</w:t>
      </w:r>
    </w:p>
    <w:p w14:paraId="1CE13037">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（4）其它说明。</w:t>
      </w:r>
    </w:p>
    <w:p w14:paraId="29639EC0">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所有有关标书的函电，请按下列地址联系：</w:t>
      </w:r>
    </w:p>
    <w:p w14:paraId="68C27D69">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单位：联系人：</w:t>
      </w:r>
    </w:p>
    <w:p w14:paraId="549F7ACA">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地址：邮政编码：</w:t>
      </w:r>
    </w:p>
    <w:p w14:paraId="52B14F9F">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联系电话：传真：</w:t>
      </w:r>
    </w:p>
    <w:p w14:paraId="127AFBD3">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电子邮箱：</w:t>
      </w:r>
    </w:p>
    <w:p w14:paraId="07D554FB">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p>
    <w:p w14:paraId="7F69E391">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pPr>
      <w:r>
        <w:rPr>
          <w:rFonts w:hint="eastAsia" w:hAnsi="宋体"/>
          <w:sz w:val="24"/>
          <w:szCs w:val="24"/>
        </w:rPr>
        <w:t>投标单位：（单位盖章）</w:t>
      </w:r>
    </w:p>
    <w:p w14:paraId="721FB001">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pPr>
      <w:r>
        <w:rPr>
          <w:rFonts w:hint="eastAsia" w:hAnsi="宋体"/>
          <w:sz w:val="24"/>
          <w:szCs w:val="24"/>
        </w:rPr>
        <w:t>法定代表人或代理人：（签字或盖章）</w:t>
      </w:r>
    </w:p>
    <w:p w14:paraId="5DA16C96">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sectPr>
          <w:pgSz w:w="11906" w:h="16838"/>
          <w:pgMar w:top="1361" w:right="1304" w:bottom="1304" w:left="1361" w:header="851" w:footer="992" w:gutter="0"/>
          <w:cols w:space="720" w:num="1"/>
          <w:docGrid w:linePitch="360" w:charSpace="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日</w:t>
      </w:r>
    </w:p>
    <w:p w14:paraId="123869AE">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2</w:t>
      </w:r>
      <w:r>
        <w:rPr>
          <w:rFonts w:hint="eastAsia" w:hAnsi="宋体"/>
          <w:b/>
          <w:bCs/>
          <w:sz w:val="24"/>
          <w:szCs w:val="24"/>
        </w:rPr>
        <w:t>、法定代表人授权委托书</w:t>
      </w:r>
      <w:r>
        <w:rPr>
          <w:rFonts w:hAnsi="宋体"/>
          <w:b/>
          <w:bCs/>
          <w:sz w:val="24"/>
          <w:szCs w:val="24"/>
        </w:rPr>
        <w:t xml:space="preserve"> </w:t>
      </w:r>
      <w:r>
        <w:rPr>
          <w:rFonts w:hint="eastAsia" w:hAnsi="宋体"/>
          <w:b/>
          <w:bCs/>
          <w:sz w:val="24"/>
          <w:szCs w:val="24"/>
        </w:rPr>
        <w:t>（如有）</w:t>
      </w:r>
    </w:p>
    <w:p w14:paraId="68196B6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D7F904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EFADA5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授权委托书</w:t>
      </w:r>
    </w:p>
    <w:p w14:paraId="546F61D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5C0D2B2">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27A61B1">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（姓名）系</w:t>
      </w:r>
      <w:r>
        <w:rPr>
          <w:rFonts w:hAnsi="宋体"/>
          <w:sz w:val="24"/>
          <w:szCs w:val="24"/>
          <w:u w:val="single"/>
        </w:rPr>
        <w:t xml:space="preserve">             </w:t>
      </w:r>
      <w:r>
        <w:rPr>
          <w:rFonts w:hint="eastAsia" w:hAnsi="宋体"/>
          <w:sz w:val="24"/>
          <w:szCs w:val="24"/>
        </w:rPr>
        <w:t>（投标单位名称）的法定代表人，现授权委托</w:t>
      </w:r>
      <w:r>
        <w:rPr>
          <w:rFonts w:hAnsi="宋体"/>
          <w:sz w:val="24"/>
          <w:szCs w:val="24"/>
          <w:u w:val="single"/>
        </w:rPr>
        <w:t xml:space="preserve">                 </w:t>
      </w:r>
      <w:r>
        <w:rPr>
          <w:rFonts w:hint="eastAsia" w:hAnsi="宋体"/>
          <w:sz w:val="24"/>
          <w:szCs w:val="24"/>
        </w:rPr>
        <w:t>（单位名称）的</w:t>
      </w:r>
      <w:r>
        <w:rPr>
          <w:rFonts w:hAnsi="宋体"/>
          <w:sz w:val="24"/>
          <w:szCs w:val="24"/>
          <w:u w:val="single"/>
        </w:rPr>
        <w:t xml:space="preserve">       </w:t>
      </w:r>
      <w:r>
        <w:rPr>
          <w:rFonts w:hint="eastAsia" w:hAnsi="宋体"/>
          <w:sz w:val="24"/>
          <w:szCs w:val="24"/>
        </w:rPr>
        <w:t>（姓名）为我公司代理人，以本公司的名义参加江苏兆丰项目管理有限公司组织实施的编号为</w:t>
      </w:r>
      <w:r>
        <w:rPr>
          <w:rFonts w:hAnsi="宋体"/>
          <w:sz w:val="24"/>
          <w:szCs w:val="24"/>
          <w:u w:val="single"/>
        </w:rPr>
        <w:t xml:space="preserve">           </w:t>
      </w:r>
      <w:r>
        <w:rPr>
          <w:rFonts w:hint="eastAsia" w:hAnsi="宋体"/>
          <w:sz w:val="24"/>
          <w:szCs w:val="24"/>
        </w:rPr>
        <w:t>号的招标活动。代理人在开标、评标、合同谈判过程中所签署的一切文件和处理与这有关的一切事务，我均予以承认。</w:t>
      </w:r>
    </w:p>
    <w:p w14:paraId="7724C1AF">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代理人在授权委托书有效期内签署的所有文件不因授权委托的撤销而失效，除非有撤销授权委托的书面通知，本授权委托书自投标开始至合同履行完毕止。</w:t>
      </w:r>
    </w:p>
    <w:p w14:paraId="4393911C">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代理人无转委托权。特此委托！</w:t>
      </w:r>
    </w:p>
    <w:p w14:paraId="1D049F4A">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Ansi="宋体"/>
          <w:sz w:val="24"/>
          <w:szCs w:val="24"/>
        </w:rPr>
        <w:t xml:space="preserve">    </w:t>
      </w:r>
    </w:p>
    <w:p w14:paraId="66A75123">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p>
    <w:p w14:paraId="3D158522">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法定代表人：（签字或盖章）</w:t>
      </w:r>
    </w:p>
    <w:p w14:paraId="06DFB94D">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授权代理人：（签字或盖章）</w:t>
      </w:r>
    </w:p>
    <w:p w14:paraId="60AA6E9A">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投标日期：年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14:paraId="44C5BC12">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0BDD3AA6">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6DE3DB6E">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附：法定代表人及代理人身份证扫描件。</w:t>
      </w:r>
    </w:p>
    <w:p w14:paraId="32C0282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A608656">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sectPr>
          <w:pgSz w:w="11906" w:h="16838"/>
          <w:pgMar w:top="1361" w:right="1304" w:bottom="1304" w:left="1361" w:header="851" w:footer="992" w:gutter="0"/>
          <w:cols w:space="720" w:num="1"/>
          <w:docGrid w:linePitch="360" w:charSpace="0"/>
        </w:sectPr>
      </w:pPr>
    </w:p>
    <w:p w14:paraId="1F0C5526">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3</w:t>
      </w:r>
      <w:r>
        <w:rPr>
          <w:rFonts w:hint="eastAsia" w:hAnsi="宋体"/>
          <w:b/>
          <w:bCs/>
          <w:sz w:val="24"/>
          <w:szCs w:val="24"/>
        </w:rPr>
        <w:t>、开标一览表</w:t>
      </w:r>
    </w:p>
    <w:p w14:paraId="3E4F01D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62A39A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开标一览表</w:t>
      </w:r>
    </w:p>
    <w:p w14:paraId="7DA01E39">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 xml:space="preserve">项目编号： </w:t>
      </w:r>
      <w:r>
        <w:rPr>
          <w:rFonts w:hAnsi="宋体"/>
          <w:sz w:val="24"/>
          <w:szCs w:val="24"/>
        </w:rPr>
        <w:t xml:space="preserve">                                                 </w:t>
      </w:r>
    </w:p>
    <w:tbl>
      <w:tblPr>
        <w:tblStyle w:val="41"/>
        <w:tblW w:w="9340" w:type="dxa"/>
        <w:tblInd w:w="8" w:type="dxa"/>
        <w:tblLayout w:type="fixed"/>
        <w:tblCellMar>
          <w:top w:w="0" w:type="dxa"/>
          <w:left w:w="0" w:type="dxa"/>
          <w:bottom w:w="0" w:type="dxa"/>
          <w:right w:w="0" w:type="dxa"/>
        </w:tblCellMar>
      </w:tblPr>
      <w:tblGrid>
        <w:gridCol w:w="1560"/>
        <w:gridCol w:w="3527"/>
        <w:gridCol w:w="2835"/>
        <w:gridCol w:w="1418"/>
      </w:tblGrid>
      <w:tr w14:paraId="7F34FBDC">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043E0876">
            <w:pPr>
              <w:pStyle w:val="241"/>
              <w:keepNext w:val="0"/>
              <w:keepLines w:val="0"/>
              <w:pageBreakBefore w:val="0"/>
              <w:kinsoku/>
              <w:wordWrap/>
              <w:overflowPunct/>
              <w:topLinePunct w:val="0"/>
              <w:autoSpaceDE/>
              <w:autoSpaceDN/>
              <w:bidi w:val="0"/>
              <w:spacing w:before="0" w:line="360" w:lineRule="auto"/>
              <w:textAlignment w:val="auto"/>
              <w:rPr>
                <w:rFonts w:hAnsi="宋体"/>
              </w:rPr>
            </w:pPr>
            <w:r>
              <w:rPr>
                <w:rFonts w:hint="eastAsia" w:hAnsi="宋体"/>
              </w:rPr>
              <w:t>序号</w:t>
            </w:r>
          </w:p>
        </w:tc>
        <w:tc>
          <w:tcPr>
            <w:tcW w:w="3527" w:type="dxa"/>
            <w:tcBorders>
              <w:top w:val="single" w:color="000000" w:sz="6" w:space="0"/>
              <w:left w:val="single" w:color="000000" w:sz="6" w:space="0"/>
              <w:bottom w:val="single" w:color="000000" w:sz="6" w:space="0"/>
              <w:right w:val="single" w:color="000000" w:sz="6" w:space="0"/>
            </w:tcBorders>
            <w:vAlign w:val="center"/>
          </w:tcPr>
          <w:p w14:paraId="43408930">
            <w:pPr>
              <w:pStyle w:val="241"/>
              <w:keepNext w:val="0"/>
              <w:keepLines w:val="0"/>
              <w:pageBreakBefore w:val="0"/>
              <w:kinsoku/>
              <w:wordWrap/>
              <w:overflowPunct/>
              <w:topLinePunct w:val="0"/>
              <w:autoSpaceDE/>
              <w:autoSpaceDN/>
              <w:bidi w:val="0"/>
              <w:spacing w:before="0" w:line="360" w:lineRule="auto"/>
              <w:textAlignment w:val="auto"/>
              <w:rPr>
                <w:rFonts w:hAnsi="宋体"/>
              </w:rPr>
            </w:pPr>
            <w:r>
              <w:rPr>
                <w:rFonts w:hint="eastAsia" w:hAnsi="宋体"/>
              </w:rPr>
              <w:t>项目内容</w:t>
            </w:r>
          </w:p>
        </w:tc>
        <w:tc>
          <w:tcPr>
            <w:tcW w:w="2835" w:type="dxa"/>
            <w:tcBorders>
              <w:top w:val="single" w:color="000000" w:sz="6" w:space="0"/>
              <w:left w:val="single" w:color="000000" w:sz="6" w:space="0"/>
              <w:bottom w:val="single" w:color="000000" w:sz="4" w:space="0"/>
              <w:right w:val="single" w:color="000000" w:sz="6" w:space="0"/>
            </w:tcBorders>
            <w:vAlign w:val="center"/>
          </w:tcPr>
          <w:p w14:paraId="02A50491">
            <w:pPr>
              <w:pStyle w:val="241"/>
              <w:keepNext w:val="0"/>
              <w:keepLines w:val="0"/>
              <w:pageBreakBefore w:val="0"/>
              <w:kinsoku/>
              <w:wordWrap/>
              <w:overflowPunct/>
              <w:topLinePunct w:val="0"/>
              <w:autoSpaceDE/>
              <w:autoSpaceDN/>
              <w:bidi w:val="0"/>
              <w:spacing w:before="0" w:line="360" w:lineRule="auto"/>
              <w:textAlignment w:val="auto"/>
              <w:rPr>
                <w:rFonts w:hAnsi="宋体"/>
              </w:rPr>
            </w:pPr>
            <w:r>
              <w:rPr>
                <w:rFonts w:hint="eastAsia" w:hAnsi="宋体"/>
              </w:rPr>
              <w:t>投标报价</w:t>
            </w:r>
          </w:p>
        </w:tc>
        <w:tc>
          <w:tcPr>
            <w:tcW w:w="1418" w:type="dxa"/>
            <w:tcBorders>
              <w:top w:val="single" w:color="000000" w:sz="6" w:space="0"/>
              <w:left w:val="single" w:color="000000" w:sz="6" w:space="0"/>
              <w:bottom w:val="single" w:color="000000" w:sz="6" w:space="0"/>
              <w:right w:val="single" w:color="000000" w:sz="4" w:space="0"/>
            </w:tcBorders>
            <w:vAlign w:val="center"/>
          </w:tcPr>
          <w:p w14:paraId="6780BECF">
            <w:pPr>
              <w:pStyle w:val="241"/>
              <w:keepNext w:val="0"/>
              <w:keepLines w:val="0"/>
              <w:pageBreakBefore w:val="0"/>
              <w:kinsoku/>
              <w:wordWrap/>
              <w:overflowPunct/>
              <w:topLinePunct w:val="0"/>
              <w:autoSpaceDE/>
              <w:autoSpaceDN/>
              <w:bidi w:val="0"/>
              <w:spacing w:before="0" w:line="360" w:lineRule="auto"/>
              <w:textAlignment w:val="auto"/>
              <w:rPr>
                <w:rFonts w:hAnsi="宋体"/>
              </w:rPr>
            </w:pPr>
            <w:r>
              <w:rPr>
                <w:rFonts w:hint="eastAsia" w:hAnsi="宋体"/>
              </w:rPr>
              <w:t>备注</w:t>
            </w:r>
          </w:p>
        </w:tc>
      </w:tr>
      <w:tr w14:paraId="4B10342F">
        <w:tblPrEx>
          <w:tblCellMar>
            <w:top w:w="0" w:type="dxa"/>
            <w:left w:w="0" w:type="dxa"/>
            <w:bottom w:w="0" w:type="dxa"/>
            <w:right w:w="0" w:type="dxa"/>
          </w:tblCellMar>
        </w:tblPrEx>
        <w:trPr>
          <w:trHeight w:val="907" w:hRule="atLeast"/>
        </w:trPr>
        <w:tc>
          <w:tcPr>
            <w:tcW w:w="1560" w:type="dxa"/>
            <w:tcBorders>
              <w:top w:val="single" w:color="000000" w:sz="6" w:space="0"/>
              <w:left w:val="single" w:color="000000" w:sz="6" w:space="0"/>
              <w:bottom w:val="single" w:color="000000" w:sz="6" w:space="0"/>
              <w:right w:val="single" w:color="000000" w:sz="6" w:space="0"/>
            </w:tcBorders>
            <w:vAlign w:val="center"/>
          </w:tcPr>
          <w:p w14:paraId="43D8E7EE">
            <w:pPr>
              <w:pStyle w:val="241"/>
              <w:keepNext w:val="0"/>
              <w:keepLines w:val="0"/>
              <w:pageBreakBefore w:val="0"/>
              <w:kinsoku/>
              <w:wordWrap/>
              <w:overflowPunct/>
              <w:topLinePunct w:val="0"/>
              <w:autoSpaceDE/>
              <w:autoSpaceDN/>
              <w:bidi w:val="0"/>
              <w:spacing w:before="0" w:line="360" w:lineRule="auto"/>
              <w:textAlignment w:val="auto"/>
              <w:rPr>
                <w:rFonts w:hAnsi="宋体"/>
              </w:rPr>
            </w:pPr>
            <w:r>
              <w:rPr>
                <w:rFonts w:hAnsi="宋体"/>
              </w:rPr>
              <w:t>1</w:t>
            </w:r>
          </w:p>
        </w:tc>
        <w:tc>
          <w:tcPr>
            <w:tcW w:w="3527" w:type="dxa"/>
            <w:tcBorders>
              <w:top w:val="single" w:color="000000" w:sz="6" w:space="0"/>
              <w:left w:val="single" w:color="000000" w:sz="6" w:space="0"/>
              <w:bottom w:val="single" w:color="000000" w:sz="6" w:space="0"/>
              <w:right w:val="single" w:color="000000" w:sz="6" w:space="0"/>
            </w:tcBorders>
            <w:vAlign w:val="center"/>
          </w:tcPr>
          <w:p w14:paraId="18F73602">
            <w:pPr>
              <w:pStyle w:val="241"/>
              <w:keepNext w:val="0"/>
              <w:keepLines w:val="0"/>
              <w:pageBreakBefore w:val="0"/>
              <w:kinsoku/>
              <w:wordWrap/>
              <w:overflowPunct/>
              <w:topLinePunct w:val="0"/>
              <w:autoSpaceDE/>
              <w:autoSpaceDN/>
              <w:bidi w:val="0"/>
              <w:spacing w:before="0" w:line="360" w:lineRule="auto"/>
              <w:textAlignment w:val="auto"/>
              <w:rPr>
                <w:rFonts w:hAnsi="宋体"/>
              </w:rPr>
            </w:pPr>
          </w:p>
        </w:tc>
        <w:tc>
          <w:tcPr>
            <w:tcW w:w="2835" w:type="dxa"/>
            <w:tcBorders>
              <w:top w:val="single" w:color="000000" w:sz="4" w:space="0"/>
              <w:left w:val="single" w:color="000000" w:sz="6" w:space="0"/>
              <w:bottom w:val="single" w:color="000000" w:sz="6" w:space="0"/>
              <w:right w:val="single" w:color="000000" w:sz="6" w:space="0"/>
            </w:tcBorders>
            <w:vAlign w:val="center"/>
          </w:tcPr>
          <w:p w14:paraId="27D5B2DA">
            <w:pPr>
              <w:pStyle w:val="241"/>
              <w:keepNext w:val="0"/>
              <w:keepLines w:val="0"/>
              <w:pageBreakBefore w:val="0"/>
              <w:kinsoku/>
              <w:wordWrap/>
              <w:overflowPunct/>
              <w:topLinePunct w:val="0"/>
              <w:autoSpaceDE/>
              <w:autoSpaceDN/>
              <w:bidi w:val="0"/>
              <w:spacing w:before="0" w:line="360" w:lineRule="auto"/>
              <w:textAlignment w:val="auto"/>
              <w:rPr>
                <w:rFonts w:hAnsi="宋体"/>
              </w:rPr>
            </w:pPr>
          </w:p>
        </w:tc>
        <w:tc>
          <w:tcPr>
            <w:tcW w:w="1418" w:type="dxa"/>
            <w:tcBorders>
              <w:top w:val="single" w:color="000000" w:sz="6" w:space="0"/>
              <w:left w:val="single" w:color="000000" w:sz="6" w:space="0"/>
              <w:bottom w:val="single" w:color="000000" w:sz="6" w:space="0"/>
              <w:right w:val="single" w:color="000000" w:sz="4" w:space="0"/>
            </w:tcBorders>
            <w:vAlign w:val="center"/>
          </w:tcPr>
          <w:p w14:paraId="23B3B086">
            <w:pPr>
              <w:pStyle w:val="241"/>
              <w:keepNext w:val="0"/>
              <w:keepLines w:val="0"/>
              <w:pageBreakBefore w:val="0"/>
              <w:kinsoku/>
              <w:wordWrap/>
              <w:overflowPunct/>
              <w:topLinePunct w:val="0"/>
              <w:autoSpaceDE/>
              <w:autoSpaceDN/>
              <w:bidi w:val="0"/>
              <w:spacing w:before="0" w:line="360" w:lineRule="auto"/>
              <w:textAlignment w:val="auto"/>
              <w:rPr>
                <w:rFonts w:hAnsi="宋体"/>
              </w:rPr>
            </w:pPr>
          </w:p>
        </w:tc>
      </w:tr>
    </w:tbl>
    <w:p w14:paraId="0529938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EF22B7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08AB8E8">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p>
    <w:p w14:paraId="30D08027">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法定代表人或代理人（签字或盖章）：</w:t>
      </w:r>
    </w:p>
    <w:p w14:paraId="3058071F">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14:paraId="6C553DF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31F1A64">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19BA853C">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453D0341">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1E89121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C422C0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DBC404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07B7E9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20163D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B9BFB1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1B1F9F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448A90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FC075E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339DA5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EEC837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8257C4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54CFE8F">
      <w:pPr>
        <w:keepNext w:val="0"/>
        <w:keepLines w:val="0"/>
        <w:pageBreakBefore w:val="0"/>
        <w:kinsoku/>
        <w:wordWrap/>
        <w:overflowPunct/>
        <w:topLinePunct w:val="0"/>
        <w:autoSpaceDE/>
        <w:autoSpaceDN/>
        <w:bidi w:val="0"/>
        <w:spacing w:line="360" w:lineRule="auto"/>
        <w:textAlignment w:val="auto"/>
        <w:rPr>
          <w:rFonts w:hAnsi="宋体"/>
          <w:b/>
          <w:bCs/>
          <w:sz w:val="24"/>
          <w:szCs w:val="24"/>
        </w:rPr>
      </w:pPr>
    </w:p>
    <w:p w14:paraId="2B4E71DA">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4</w:t>
      </w:r>
      <w:r>
        <w:rPr>
          <w:rFonts w:hint="eastAsia" w:hAnsi="宋体"/>
          <w:b/>
          <w:bCs/>
          <w:sz w:val="24"/>
          <w:szCs w:val="24"/>
        </w:rPr>
        <w:t>、投标报价明细表</w:t>
      </w:r>
    </w:p>
    <w:p w14:paraId="4CACFAE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投标报价明细表</w:t>
      </w:r>
    </w:p>
    <w:p w14:paraId="1C6FBB4B">
      <w:pPr>
        <w:pStyle w:val="16"/>
        <w:keepNext w:val="0"/>
        <w:keepLines w:val="0"/>
        <w:pageBreakBefore w:val="0"/>
        <w:kinsoku/>
        <w:wordWrap/>
        <w:overflowPunct/>
        <w:topLinePunct w:val="0"/>
        <w:autoSpaceDE/>
        <w:autoSpaceDN/>
        <w:bidi w:val="0"/>
        <w:spacing w:before="4" w:line="360" w:lineRule="auto"/>
        <w:textAlignment w:val="auto"/>
        <w:rPr>
          <w:rFonts w:hAnsi="宋体"/>
          <w:sz w:val="11"/>
        </w:rPr>
      </w:pPr>
      <w:r>
        <w:rPr>
          <w:rFonts w:hint="eastAsia" w:hAnsi="宋体"/>
          <w:sz w:val="24"/>
          <w:szCs w:val="24"/>
        </w:rPr>
        <w:t xml:space="preserve">项目编号： </w:t>
      </w:r>
      <w:r>
        <w:rPr>
          <w:rFonts w:hAnsi="宋体"/>
          <w:sz w:val="24"/>
          <w:szCs w:val="24"/>
        </w:rPr>
        <w:t xml:space="preserve">                                            </w:t>
      </w:r>
    </w:p>
    <w:tbl>
      <w:tblPr>
        <w:tblStyle w:val="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7"/>
        <w:gridCol w:w="1791"/>
        <w:gridCol w:w="2256"/>
        <w:gridCol w:w="1040"/>
        <w:gridCol w:w="1015"/>
        <w:gridCol w:w="987"/>
        <w:gridCol w:w="1260"/>
      </w:tblGrid>
      <w:tr w14:paraId="224EC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92" w:hRule="atLeast"/>
          <w:jc w:val="center"/>
        </w:trPr>
        <w:tc>
          <w:tcPr>
            <w:tcW w:w="857" w:type="dxa"/>
            <w:vAlign w:val="center"/>
          </w:tcPr>
          <w:p w14:paraId="4664491E">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序号</w:t>
            </w:r>
          </w:p>
        </w:tc>
        <w:tc>
          <w:tcPr>
            <w:tcW w:w="1791" w:type="dxa"/>
            <w:vAlign w:val="center"/>
          </w:tcPr>
          <w:p w14:paraId="09C91262">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标的物名称</w:t>
            </w:r>
          </w:p>
        </w:tc>
        <w:tc>
          <w:tcPr>
            <w:tcW w:w="2256" w:type="dxa"/>
            <w:tcBorders>
              <w:bottom w:val="single" w:color="auto" w:sz="4" w:space="0"/>
            </w:tcBorders>
            <w:vAlign w:val="center"/>
          </w:tcPr>
          <w:p w14:paraId="513C0AB0">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规格</w:t>
            </w:r>
            <w:r>
              <w:rPr>
                <w:rFonts w:hint="eastAsia" w:hAnsi="宋体" w:eastAsia="宋体"/>
                <w:sz w:val="24"/>
              </w:rPr>
              <w:t>、品牌</w:t>
            </w:r>
          </w:p>
        </w:tc>
        <w:tc>
          <w:tcPr>
            <w:tcW w:w="1040" w:type="dxa"/>
            <w:tcBorders>
              <w:right w:val="single" w:color="auto" w:sz="4" w:space="0"/>
            </w:tcBorders>
            <w:vAlign w:val="center"/>
          </w:tcPr>
          <w:p w14:paraId="0111503E">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单位</w:t>
            </w:r>
          </w:p>
        </w:tc>
        <w:tc>
          <w:tcPr>
            <w:tcW w:w="1015" w:type="dxa"/>
            <w:tcBorders>
              <w:left w:val="single" w:color="auto" w:sz="4" w:space="0"/>
            </w:tcBorders>
            <w:vAlign w:val="center"/>
          </w:tcPr>
          <w:p w14:paraId="2BFACD99">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数量</w:t>
            </w:r>
          </w:p>
        </w:tc>
        <w:tc>
          <w:tcPr>
            <w:tcW w:w="987" w:type="dxa"/>
            <w:vAlign w:val="center"/>
          </w:tcPr>
          <w:p w14:paraId="08705A3B">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单价</w:t>
            </w:r>
          </w:p>
        </w:tc>
        <w:tc>
          <w:tcPr>
            <w:tcW w:w="1260" w:type="dxa"/>
            <w:tcBorders>
              <w:right w:val="single" w:color="auto" w:sz="4" w:space="0"/>
            </w:tcBorders>
            <w:vAlign w:val="center"/>
          </w:tcPr>
          <w:p w14:paraId="0B9B94CB">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Ansi="宋体" w:eastAsia="宋体"/>
                <w:sz w:val="24"/>
              </w:rPr>
              <w:t>总价</w:t>
            </w:r>
          </w:p>
        </w:tc>
      </w:tr>
      <w:tr w14:paraId="68106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4" w:hRule="atLeast"/>
          <w:jc w:val="center"/>
        </w:trPr>
        <w:tc>
          <w:tcPr>
            <w:tcW w:w="857" w:type="dxa"/>
            <w:vAlign w:val="center"/>
          </w:tcPr>
          <w:p w14:paraId="4FBE6B88">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int="eastAsia" w:hAnsi="宋体" w:eastAsia="宋体"/>
                <w:sz w:val="24"/>
              </w:rPr>
              <w:t>1</w:t>
            </w:r>
          </w:p>
        </w:tc>
        <w:tc>
          <w:tcPr>
            <w:tcW w:w="1791" w:type="dxa"/>
            <w:vAlign w:val="center"/>
          </w:tcPr>
          <w:p w14:paraId="5B309350">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2256" w:type="dxa"/>
            <w:vAlign w:val="center"/>
          </w:tcPr>
          <w:p w14:paraId="689C892F">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040" w:type="dxa"/>
            <w:tcBorders>
              <w:right w:val="single" w:color="auto" w:sz="4" w:space="0"/>
            </w:tcBorders>
            <w:vAlign w:val="center"/>
          </w:tcPr>
          <w:p w14:paraId="7C28CA80">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015" w:type="dxa"/>
            <w:tcBorders>
              <w:left w:val="single" w:color="auto" w:sz="4" w:space="0"/>
            </w:tcBorders>
            <w:vAlign w:val="center"/>
          </w:tcPr>
          <w:p w14:paraId="4967F220">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987" w:type="dxa"/>
            <w:vAlign w:val="center"/>
          </w:tcPr>
          <w:p w14:paraId="47C04D3F">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260" w:type="dxa"/>
            <w:tcBorders>
              <w:right w:val="single" w:color="auto" w:sz="4" w:space="0"/>
            </w:tcBorders>
            <w:vAlign w:val="center"/>
          </w:tcPr>
          <w:p w14:paraId="2BCBE610">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r>
      <w:tr w14:paraId="5F17E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9" w:hRule="atLeast"/>
          <w:jc w:val="center"/>
        </w:trPr>
        <w:tc>
          <w:tcPr>
            <w:tcW w:w="857" w:type="dxa"/>
            <w:vAlign w:val="center"/>
          </w:tcPr>
          <w:p w14:paraId="75613392">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r>
              <w:rPr>
                <w:rFonts w:hint="eastAsia" w:hAnsi="宋体" w:eastAsia="宋体"/>
                <w:sz w:val="24"/>
              </w:rPr>
              <w:t>.</w:t>
            </w:r>
            <w:r>
              <w:rPr>
                <w:rFonts w:hAnsi="宋体" w:eastAsia="宋体"/>
                <w:sz w:val="24"/>
              </w:rPr>
              <w:t>..</w:t>
            </w:r>
          </w:p>
        </w:tc>
        <w:tc>
          <w:tcPr>
            <w:tcW w:w="1791" w:type="dxa"/>
            <w:vAlign w:val="center"/>
          </w:tcPr>
          <w:p w14:paraId="038183F5">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2256" w:type="dxa"/>
            <w:vAlign w:val="center"/>
          </w:tcPr>
          <w:p w14:paraId="58863E3C">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040" w:type="dxa"/>
            <w:tcBorders>
              <w:right w:val="single" w:color="auto" w:sz="4" w:space="0"/>
            </w:tcBorders>
            <w:vAlign w:val="center"/>
          </w:tcPr>
          <w:p w14:paraId="7E2DCD36">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015" w:type="dxa"/>
            <w:tcBorders>
              <w:left w:val="single" w:color="auto" w:sz="4" w:space="0"/>
            </w:tcBorders>
            <w:vAlign w:val="center"/>
          </w:tcPr>
          <w:p w14:paraId="1B0DB837">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987" w:type="dxa"/>
            <w:vAlign w:val="center"/>
          </w:tcPr>
          <w:p w14:paraId="12C27DF6">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c>
          <w:tcPr>
            <w:tcW w:w="1260" w:type="dxa"/>
            <w:tcBorders>
              <w:right w:val="single" w:color="auto" w:sz="4" w:space="0"/>
            </w:tcBorders>
            <w:vAlign w:val="center"/>
          </w:tcPr>
          <w:p w14:paraId="1FA90758">
            <w:pPr>
              <w:pStyle w:val="256"/>
              <w:keepNext w:val="0"/>
              <w:keepLines w:val="0"/>
              <w:pageBreakBefore w:val="0"/>
              <w:kinsoku/>
              <w:wordWrap/>
              <w:overflowPunct/>
              <w:topLinePunct w:val="0"/>
              <w:autoSpaceDE/>
              <w:autoSpaceDN/>
              <w:bidi w:val="0"/>
              <w:spacing w:line="360" w:lineRule="auto"/>
              <w:jc w:val="center"/>
              <w:textAlignment w:val="auto"/>
              <w:rPr>
                <w:rFonts w:hAnsi="宋体" w:eastAsia="宋体"/>
                <w:sz w:val="24"/>
              </w:rPr>
            </w:pPr>
          </w:p>
        </w:tc>
      </w:tr>
      <w:tr w14:paraId="5619F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54" w:hRule="atLeast"/>
          <w:jc w:val="center"/>
        </w:trPr>
        <w:tc>
          <w:tcPr>
            <w:tcW w:w="857" w:type="dxa"/>
            <w:vAlign w:val="center"/>
          </w:tcPr>
          <w:p w14:paraId="66951D12">
            <w:pPr>
              <w:pStyle w:val="256"/>
              <w:keepNext w:val="0"/>
              <w:keepLines w:val="0"/>
              <w:pageBreakBefore w:val="0"/>
              <w:kinsoku/>
              <w:wordWrap/>
              <w:overflowPunct/>
              <w:topLinePunct w:val="0"/>
              <w:autoSpaceDE/>
              <w:autoSpaceDN/>
              <w:bidi w:val="0"/>
              <w:spacing w:line="360" w:lineRule="auto"/>
              <w:jc w:val="left"/>
              <w:textAlignment w:val="auto"/>
              <w:rPr>
                <w:rFonts w:hAnsi="宋体" w:eastAsia="宋体"/>
                <w:sz w:val="24"/>
              </w:rPr>
            </w:pPr>
            <w:r>
              <w:rPr>
                <w:rFonts w:hAnsi="宋体" w:eastAsia="宋体"/>
                <w:sz w:val="24"/>
              </w:rPr>
              <w:t>合计</w:t>
            </w:r>
          </w:p>
        </w:tc>
        <w:tc>
          <w:tcPr>
            <w:tcW w:w="8349" w:type="dxa"/>
            <w:gridSpan w:val="6"/>
            <w:vAlign w:val="center"/>
          </w:tcPr>
          <w:p w14:paraId="266527D0">
            <w:pPr>
              <w:pStyle w:val="256"/>
              <w:keepNext w:val="0"/>
              <w:keepLines w:val="0"/>
              <w:pageBreakBefore w:val="0"/>
              <w:kinsoku/>
              <w:wordWrap/>
              <w:overflowPunct/>
              <w:topLinePunct w:val="0"/>
              <w:autoSpaceDE/>
              <w:autoSpaceDN/>
              <w:bidi w:val="0"/>
              <w:spacing w:line="360" w:lineRule="auto"/>
              <w:textAlignment w:val="auto"/>
              <w:rPr>
                <w:rFonts w:hAnsi="宋体" w:eastAsia="宋体"/>
                <w:sz w:val="24"/>
              </w:rPr>
            </w:pPr>
            <w:r>
              <w:rPr>
                <w:rFonts w:hint="eastAsia" w:hAnsi="宋体" w:eastAsia="宋体"/>
                <w:sz w:val="24"/>
              </w:rPr>
              <w:t xml:space="preserve"> （大写、小写）</w:t>
            </w:r>
          </w:p>
        </w:tc>
      </w:tr>
    </w:tbl>
    <w:p w14:paraId="79B3197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r>
        <w:rPr>
          <w:rFonts w:hint="eastAsia" w:hAnsi="宋体"/>
          <w:sz w:val="24"/>
          <w:szCs w:val="24"/>
          <w:lang w:val="zh-CN"/>
        </w:rPr>
        <w:t>注：本表报价的合计金额应与开标一览表报价一致。</w:t>
      </w:r>
    </w:p>
    <w:p w14:paraId="66724316">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1897BBFB">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p>
    <w:p w14:paraId="211E7B36">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法定代表人或代理人（签字或盖章）：</w:t>
      </w:r>
    </w:p>
    <w:p w14:paraId="42A9EC89">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14:paraId="4F577E82">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332DD30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295BB18">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sectPr>
          <w:pgSz w:w="11906" w:h="16838"/>
          <w:pgMar w:top="1361" w:right="1304" w:bottom="1304" w:left="1361" w:header="851" w:footer="992" w:gutter="0"/>
          <w:cols w:space="720" w:num="1"/>
          <w:docGrid w:linePitch="360" w:charSpace="0"/>
        </w:sectPr>
      </w:pPr>
    </w:p>
    <w:p w14:paraId="414C6EF7">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5</w:t>
      </w:r>
      <w:r>
        <w:rPr>
          <w:rFonts w:hint="eastAsia" w:hAnsi="宋体"/>
          <w:b/>
          <w:bCs/>
          <w:sz w:val="24"/>
          <w:szCs w:val="24"/>
        </w:rPr>
        <w:t>、关于资格文件的声明函</w:t>
      </w:r>
    </w:p>
    <w:p w14:paraId="79C28D7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31FCD8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4262DBA">
      <w:pPr>
        <w:keepNext w:val="0"/>
        <w:keepLines w:val="0"/>
        <w:pageBreakBefore w:val="0"/>
        <w:kinsoku/>
        <w:wordWrap/>
        <w:overflowPunct/>
        <w:topLinePunct w:val="0"/>
        <w:autoSpaceDE/>
        <w:autoSpaceDN/>
        <w:bidi w:val="0"/>
        <w:spacing w:line="360" w:lineRule="auto"/>
        <w:jc w:val="center"/>
        <w:textAlignment w:val="auto"/>
        <w:rPr>
          <w:rFonts w:hAnsi="宋体"/>
          <w:b/>
          <w:bCs/>
          <w:sz w:val="24"/>
          <w:szCs w:val="24"/>
        </w:rPr>
      </w:pPr>
      <w:r>
        <w:rPr>
          <w:rFonts w:hint="eastAsia" w:hAnsi="宋体"/>
          <w:b/>
          <w:bCs/>
          <w:sz w:val="24"/>
          <w:szCs w:val="24"/>
        </w:rPr>
        <w:t>关于资格文件的声明函</w:t>
      </w:r>
    </w:p>
    <w:p w14:paraId="5DE5073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D8E2278">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江苏兆丰项目管理有限公司：</w:t>
      </w:r>
    </w:p>
    <w:p w14:paraId="3B8D243F">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本公司愿就由贵单位组织实施的编号为</w:t>
      </w:r>
      <w:r>
        <w:rPr>
          <w:rFonts w:hAnsi="宋体"/>
          <w:sz w:val="24"/>
          <w:szCs w:val="24"/>
          <w:u w:val="single"/>
        </w:rPr>
        <w:t xml:space="preserve">            </w:t>
      </w:r>
      <w:r>
        <w:rPr>
          <w:rFonts w:hint="eastAsia" w:hAnsi="宋体"/>
          <w:sz w:val="24"/>
          <w:szCs w:val="24"/>
        </w:rPr>
        <w:t>号的招标活动进行投标。本公司所提交的投标文件中所有关于投标资格的文件、证明和陈述均是真实的、准确的。若与真实情况不符，本公司愿意承担由此而产生的一切后果。</w:t>
      </w:r>
    </w:p>
    <w:p w14:paraId="4D644C8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79212B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E605255">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p>
    <w:p w14:paraId="7B782BB6">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法定代表人或授权代理人（签字或盖章）：</w:t>
      </w:r>
    </w:p>
    <w:p w14:paraId="51CCC2E4">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Ansi="宋体"/>
          <w:sz w:val="24"/>
          <w:szCs w:val="24"/>
        </w:rPr>
        <w:tab/>
      </w:r>
      <w:r>
        <w:rPr>
          <w:rFonts w:hAnsi="宋体"/>
          <w:sz w:val="24"/>
          <w:szCs w:val="24"/>
        </w:rPr>
        <w:t xml:space="preserve"> </w:t>
      </w:r>
      <w:r>
        <w:rPr>
          <w:rFonts w:hint="eastAsia" w:hAnsi="宋体"/>
          <w:sz w:val="24"/>
          <w:szCs w:val="24"/>
        </w:rPr>
        <w:t>月</w:t>
      </w:r>
      <w:r>
        <w:rPr>
          <w:rFonts w:hAnsi="宋体"/>
          <w:sz w:val="24"/>
          <w:szCs w:val="24"/>
        </w:rPr>
        <w:t xml:space="preserve"> </w:t>
      </w:r>
      <w:r>
        <w:rPr>
          <w:rFonts w:hAnsi="宋体"/>
          <w:sz w:val="24"/>
          <w:szCs w:val="24"/>
        </w:rPr>
        <w:tab/>
      </w:r>
      <w:r>
        <w:rPr>
          <w:rFonts w:hint="eastAsia" w:hAnsi="宋体"/>
          <w:sz w:val="24"/>
          <w:szCs w:val="24"/>
        </w:rPr>
        <w:t>日</w:t>
      </w:r>
    </w:p>
    <w:p w14:paraId="42CF195B">
      <w:pPr>
        <w:keepNext w:val="0"/>
        <w:keepLines w:val="0"/>
        <w:pageBreakBefore w:val="0"/>
        <w:kinsoku/>
        <w:wordWrap/>
        <w:overflowPunct/>
        <w:topLinePunct w:val="0"/>
        <w:autoSpaceDE/>
        <w:autoSpaceDN/>
        <w:bidi w:val="0"/>
        <w:spacing w:line="360" w:lineRule="auto"/>
        <w:ind w:firstLine="420"/>
        <w:jc w:val="right"/>
        <w:textAlignment w:val="auto"/>
        <w:rPr>
          <w:rFonts w:hAnsi="宋体"/>
          <w:sz w:val="24"/>
          <w:szCs w:val="24"/>
        </w:rPr>
        <w:sectPr>
          <w:pgSz w:w="11906" w:h="16838"/>
          <w:pgMar w:top="1361" w:right="1304" w:bottom="1304" w:left="1361" w:header="851" w:footer="992" w:gutter="0"/>
          <w:cols w:space="720" w:num="1"/>
          <w:docGrid w:linePitch="360" w:charSpace="0"/>
        </w:sectPr>
      </w:pPr>
    </w:p>
    <w:p w14:paraId="73C01C10">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6</w:t>
      </w:r>
      <w:r>
        <w:rPr>
          <w:rFonts w:hint="eastAsia" w:hAnsi="宋体"/>
          <w:b/>
          <w:bCs/>
          <w:sz w:val="24"/>
          <w:szCs w:val="24"/>
        </w:rPr>
        <w:t>、参加政府采购活动前三年内，在经营活动中没有重大违法记录声明</w:t>
      </w:r>
    </w:p>
    <w:p w14:paraId="0516AE5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C72ED1D">
      <w:pPr>
        <w:keepNext w:val="0"/>
        <w:keepLines w:val="0"/>
        <w:pageBreakBefore w:val="0"/>
        <w:kinsoku/>
        <w:wordWrap/>
        <w:overflowPunct/>
        <w:topLinePunct w:val="0"/>
        <w:autoSpaceDE/>
        <w:autoSpaceDN/>
        <w:bidi w:val="0"/>
        <w:spacing w:line="360" w:lineRule="auto"/>
        <w:jc w:val="center"/>
        <w:textAlignment w:val="auto"/>
        <w:rPr>
          <w:rFonts w:hAnsi="宋体"/>
          <w:b/>
          <w:bCs/>
          <w:sz w:val="24"/>
          <w:szCs w:val="24"/>
        </w:rPr>
      </w:pPr>
      <w:r>
        <w:rPr>
          <w:rFonts w:hint="eastAsia" w:hAnsi="宋体"/>
          <w:b/>
          <w:bCs/>
          <w:sz w:val="24"/>
          <w:szCs w:val="24"/>
        </w:rPr>
        <w:t>参加政府采购活动前三年内，在经营活动中没有重大违法记录声明</w:t>
      </w:r>
    </w:p>
    <w:p w14:paraId="28CCA01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711385E">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致：江苏兆丰项目管理有限公司：</w:t>
      </w:r>
    </w:p>
    <w:p w14:paraId="5FCEB0B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FF1CBE3">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我单位</w:t>
      </w:r>
      <w:r>
        <w:rPr>
          <w:rFonts w:hAnsi="宋体"/>
          <w:sz w:val="24"/>
          <w:szCs w:val="24"/>
          <w:u w:val="single"/>
        </w:rPr>
        <w:t xml:space="preserve">         </w:t>
      </w:r>
      <w:r>
        <w:rPr>
          <w:rFonts w:hint="eastAsia" w:hAnsi="宋体"/>
          <w:sz w:val="24"/>
          <w:szCs w:val="24"/>
          <w:u w:val="single"/>
        </w:rPr>
        <w:t>（供应商名称）</w:t>
      </w:r>
      <w:r>
        <w:rPr>
          <w:rFonts w:hAnsi="宋体"/>
          <w:sz w:val="24"/>
          <w:szCs w:val="24"/>
          <w:u w:val="single"/>
        </w:rPr>
        <w:t xml:space="preserve">         </w:t>
      </w:r>
      <w:r>
        <w:rPr>
          <w:rFonts w:hint="eastAsia" w:hAnsi="宋体"/>
          <w:sz w:val="24"/>
          <w:szCs w:val="24"/>
        </w:rPr>
        <w:t>在参加政府采购活动前三年内，没有重大违法记录，特此声明。</w:t>
      </w:r>
    </w:p>
    <w:p w14:paraId="7D4ED592">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若采购代理机构在本项目采购过程中发现我单位近三年内在经营活动中有重大违法记录，我单位将无条件退出本项目的招标，并承担因此引起的一切后果。</w:t>
      </w:r>
    </w:p>
    <w:p w14:paraId="030E65F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EEA171A">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p>
    <w:p w14:paraId="2E403263">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法定代表人（负责人）或代理人（签字或盖章）：</w:t>
      </w:r>
      <w:r>
        <w:rPr>
          <w:rFonts w:hAnsi="宋体"/>
          <w:sz w:val="24"/>
          <w:szCs w:val="24"/>
        </w:rPr>
        <w:t xml:space="preserve">   </w:t>
      </w:r>
    </w:p>
    <w:p w14:paraId="73E6B72D">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r>
        <w:rPr>
          <w:rFonts w:hAnsi="宋体"/>
          <w:sz w:val="24"/>
          <w:szCs w:val="24"/>
        </w:rPr>
        <w:t xml:space="preserve">  </w:t>
      </w:r>
    </w:p>
    <w:p w14:paraId="1EEA8F5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6493C1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6ABBE6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BECAC4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751156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871D0A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A6B687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721109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354FE0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DA209B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32711D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41FC5F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659262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F04CC4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38B566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B4FBBB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D18EBC1">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7</w:t>
      </w:r>
      <w:r>
        <w:rPr>
          <w:rFonts w:hint="eastAsia" w:hAnsi="宋体"/>
          <w:b/>
          <w:bCs/>
          <w:sz w:val="24"/>
          <w:szCs w:val="24"/>
        </w:rPr>
        <w:t>、投标单位情况表</w:t>
      </w:r>
    </w:p>
    <w:p w14:paraId="7D90AEC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投标单位情况表</w:t>
      </w:r>
    </w:p>
    <w:p w14:paraId="5322CEFE">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单位名称（盖章）：</w:t>
      </w:r>
    </w:p>
    <w:tbl>
      <w:tblPr>
        <w:tblStyle w:val="41"/>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2552"/>
        <w:gridCol w:w="1417"/>
        <w:gridCol w:w="1701"/>
        <w:gridCol w:w="1418"/>
      </w:tblGrid>
      <w:tr w14:paraId="0D822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CB56CE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法定代表人</w:t>
            </w:r>
          </w:p>
        </w:tc>
        <w:tc>
          <w:tcPr>
            <w:tcW w:w="2552" w:type="dxa"/>
            <w:tcBorders>
              <w:top w:val="single" w:color="000000" w:sz="6" w:space="0"/>
              <w:left w:val="single" w:color="000000" w:sz="6" w:space="0"/>
              <w:bottom w:val="single" w:color="000000" w:sz="6" w:space="0"/>
              <w:right w:val="single" w:color="000000" w:sz="6" w:space="0"/>
            </w:tcBorders>
            <w:vAlign w:val="center"/>
          </w:tcPr>
          <w:p w14:paraId="237BDC0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7853BCD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40A0D9B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0FFD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D7F7EF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企业地址</w:t>
            </w:r>
          </w:p>
        </w:tc>
        <w:tc>
          <w:tcPr>
            <w:tcW w:w="2552" w:type="dxa"/>
            <w:tcBorders>
              <w:top w:val="single" w:color="000000" w:sz="6" w:space="0"/>
              <w:left w:val="single" w:color="000000" w:sz="6" w:space="0"/>
              <w:bottom w:val="single" w:color="000000" w:sz="6" w:space="0"/>
              <w:right w:val="single" w:color="000000" w:sz="6" w:space="0"/>
            </w:tcBorders>
            <w:vAlign w:val="center"/>
          </w:tcPr>
          <w:p w14:paraId="4F1B4CE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420FDB6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A38BA9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万元</w:t>
            </w:r>
          </w:p>
        </w:tc>
      </w:tr>
      <w:tr w14:paraId="41896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13A37EA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经营范围</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5D5F669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530DD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9A349F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职工人数</w:t>
            </w:r>
          </w:p>
        </w:tc>
        <w:tc>
          <w:tcPr>
            <w:tcW w:w="2552" w:type="dxa"/>
            <w:tcBorders>
              <w:top w:val="single" w:color="000000" w:sz="6" w:space="0"/>
              <w:left w:val="single" w:color="000000" w:sz="6" w:space="0"/>
              <w:bottom w:val="single" w:color="000000" w:sz="6" w:space="0"/>
              <w:right w:val="single" w:color="000000" w:sz="6" w:space="0"/>
            </w:tcBorders>
            <w:vAlign w:val="center"/>
          </w:tcPr>
          <w:p w14:paraId="0208425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341B0F6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67B9529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3668C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2138C34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资产总计</w:t>
            </w:r>
          </w:p>
        </w:tc>
        <w:tc>
          <w:tcPr>
            <w:tcW w:w="2552" w:type="dxa"/>
            <w:tcBorders>
              <w:top w:val="single" w:color="000000" w:sz="6" w:space="0"/>
              <w:left w:val="single" w:color="000000" w:sz="6" w:space="0"/>
              <w:bottom w:val="single" w:color="000000" w:sz="6" w:space="0"/>
              <w:right w:val="single" w:color="000000" w:sz="6" w:space="0"/>
            </w:tcBorders>
            <w:vAlign w:val="center"/>
          </w:tcPr>
          <w:p w14:paraId="185E2A7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35381B5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3C126BB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万元</w:t>
            </w:r>
          </w:p>
        </w:tc>
      </w:tr>
      <w:tr w14:paraId="5BA52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2A1FB0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单位简历及内设机构情况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4FCA4F4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6B8E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DB66FD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单位优势及特长</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8BBEEA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BC6A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52E693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近两年来完成或正在履行的重大合同情况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7C529D2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5A9D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FB90F6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最近</w:t>
            </w:r>
            <w:r>
              <w:rPr>
                <w:rFonts w:hAnsi="宋体"/>
                <w:sz w:val="24"/>
                <w:szCs w:val="24"/>
              </w:rPr>
              <w:t>2</w:t>
            </w:r>
            <w:r>
              <w:rPr>
                <w:rFonts w:hint="eastAsia" w:hAnsi="宋体"/>
                <w:sz w:val="24"/>
                <w:szCs w:val="24"/>
              </w:rPr>
              <w:t>年内在经营过程中受到何种奖励或处分（包括情况和结果）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71FD849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0BD3D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7BB8BC5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最近</w:t>
            </w:r>
            <w:r>
              <w:rPr>
                <w:rFonts w:hAnsi="宋体"/>
                <w:sz w:val="24"/>
                <w:szCs w:val="24"/>
              </w:rPr>
              <w:t>3</w:t>
            </w:r>
            <w:r>
              <w:rPr>
                <w:rFonts w:hint="eastAsia" w:hAnsi="宋体"/>
                <w:sz w:val="24"/>
                <w:szCs w:val="24"/>
              </w:rPr>
              <w:t>年内有无因售假、售劣或是其他原因被消费者投诉或起诉的情况及说明（包括解决方式和结果）</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83375A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1E4C5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80F9B5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最近</w:t>
            </w:r>
            <w:r>
              <w:rPr>
                <w:rFonts w:hAnsi="宋体"/>
                <w:sz w:val="24"/>
                <w:szCs w:val="24"/>
              </w:rPr>
              <w:t>3</w:t>
            </w:r>
            <w:r>
              <w:rPr>
                <w:rFonts w:hint="eastAsia" w:hAnsi="宋体"/>
                <w:sz w:val="24"/>
                <w:szCs w:val="24"/>
              </w:rPr>
              <w:t>年内主要负责人有无因经济犯罪被司法机关追究的情况及说明</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2BE4983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4C6E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6B373D1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获得资格认证的负责人及简介</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30D3C75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694C8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trPr>
        <w:tc>
          <w:tcPr>
            <w:tcW w:w="2268" w:type="dxa"/>
            <w:tcBorders>
              <w:top w:val="single" w:color="000000" w:sz="6" w:space="0"/>
              <w:left w:val="single" w:color="000000" w:sz="6" w:space="0"/>
              <w:bottom w:val="single" w:color="000000" w:sz="6" w:space="0"/>
              <w:right w:val="single" w:color="000000" w:sz="6" w:space="0"/>
            </w:tcBorders>
            <w:vAlign w:val="center"/>
          </w:tcPr>
          <w:p w14:paraId="07DD4B2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其他需要说明的情况</w:t>
            </w:r>
          </w:p>
        </w:tc>
        <w:tc>
          <w:tcPr>
            <w:tcW w:w="7088" w:type="dxa"/>
            <w:gridSpan w:val="4"/>
            <w:tcBorders>
              <w:top w:val="single" w:color="000000" w:sz="6" w:space="0"/>
              <w:left w:val="single" w:color="000000" w:sz="6" w:space="0"/>
              <w:bottom w:val="single" w:color="000000" w:sz="6" w:space="0"/>
              <w:right w:val="single" w:color="000000" w:sz="6" w:space="0"/>
            </w:tcBorders>
            <w:vAlign w:val="center"/>
          </w:tcPr>
          <w:p w14:paraId="22B441B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bl>
    <w:p w14:paraId="4F98AB65">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Ansi="宋体"/>
          <w:sz w:val="24"/>
          <w:szCs w:val="24"/>
        </w:rPr>
        <w:br w:type="page" w:clear="all"/>
      </w:r>
      <w:bookmarkStart w:id="22" w:name="_Hlk150944067"/>
      <w:bookmarkEnd w:id="22"/>
    </w:p>
    <w:p w14:paraId="729FA30F">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8</w:t>
      </w:r>
      <w:r>
        <w:rPr>
          <w:rFonts w:hint="eastAsia" w:hAnsi="宋体"/>
          <w:b/>
          <w:bCs/>
          <w:sz w:val="24"/>
          <w:szCs w:val="24"/>
        </w:rPr>
        <w:t>、技术要求偏离表</w:t>
      </w:r>
    </w:p>
    <w:p w14:paraId="54C46AE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技术要求偏离表</w:t>
      </w:r>
    </w:p>
    <w:p w14:paraId="24F666A0">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 xml:space="preserve">项目编号： </w:t>
      </w:r>
      <w:r>
        <w:rPr>
          <w:rFonts w:hAnsi="宋体"/>
          <w:sz w:val="24"/>
          <w:szCs w:val="24"/>
        </w:rPr>
        <w:t xml:space="preserve">                                                 </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691"/>
        <w:gridCol w:w="1842"/>
        <w:gridCol w:w="1701"/>
        <w:gridCol w:w="1701"/>
        <w:gridCol w:w="1560"/>
      </w:tblGrid>
      <w:tr w14:paraId="7A1516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79CFA0F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序号</w:t>
            </w:r>
          </w:p>
        </w:tc>
        <w:tc>
          <w:tcPr>
            <w:tcW w:w="1691" w:type="dxa"/>
            <w:vAlign w:val="center"/>
          </w:tcPr>
          <w:p w14:paraId="5E4FBF5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货物名称</w:t>
            </w:r>
          </w:p>
        </w:tc>
        <w:tc>
          <w:tcPr>
            <w:tcW w:w="1842" w:type="dxa"/>
            <w:vAlign w:val="center"/>
          </w:tcPr>
          <w:p w14:paraId="2B047767">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招标要求</w:t>
            </w:r>
          </w:p>
        </w:tc>
        <w:tc>
          <w:tcPr>
            <w:tcW w:w="1701" w:type="dxa"/>
            <w:vAlign w:val="center"/>
          </w:tcPr>
          <w:p w14:paraId="3B9420A2">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投标响应</w:t>
            </w:r>
          </w:p>
        </w:tc>
        <w:tc>
          <w:tcPr>
            <w:tcW w:w="1701" w:type="dxa"/>
            <w:vAlign w:val="center"/>
          </w:tcPr>
          <w:p w14:paraId="5A15C45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偏离/响应</w:t>
            </w:r>
          </w:p>
        </w:tc>
        <w:tc>
          <w:tcPr>
            <w:tcW w:w="1560" w:type="dxa"/>
            <w:vAlign w:val="center"/>
          </w:tcPr>
          <w:p w14:paraId="298169E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说明</w:t>
            </w:r>
          </w:p>
        </w:tc>
      </w:tr>
      <w:tr w14:paraId="762A0B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7978A52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1</w:t>
            </w:r>
          </w:p>
        </w:tc>
        <w:tc>
          <w:tcPr>
            <w:tcW w:w="1691" w:type="dxa"/>
            <w:vAlign w:val="center"/>
          </w:tcPr>
          <w:p w14:paraId="41485437">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4E3765A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57C366F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143183B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6BC6983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26243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31E5AF2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2</w:t>
            </w:r>
          </w:p>
        </w:tc>
        <w:tc>
          <w:tcPr>
            <w:tcW w:w="1691" w:type="dxa"/>
            <w:vAlign w:val="center"/>
          </w:tcPr>
          <w:p w14:paraId="0B0713C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5D0A38E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0C82787">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05D3165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7F548CBE">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7D7DF9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563C1A9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5A08F5E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334F942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C3E5C3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A9F6546">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062357E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18CB5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409BB87E">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47427A4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37B1764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60038D2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77F028F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30A2496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5A49AF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5A5F482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6D61D15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5BE23427">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0458C23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39EAD6F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1772480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69129F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70EBAD23">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6CFB26E6">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0514A76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4036EAB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4A2D201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4BF3775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0EB08C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74147AD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225B691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08E6DC8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F3AF56E">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0B4E141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4FD05BF3">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49AFE6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14:paraId="4EFBB887">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691" w:type="dxa"/>
            <w:vAlign w:val="center"/>
          </w:tcPr>
          <w:p w14:paraId="2AD09A4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842" w:type="dxa"/>
            <w:vAlign w:val="center"/>
          </w:tcPr>
          <w:p w14:paraId="43CB0770">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625A60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701" w:type="dxa"/>
            <w:vAlign w:val="center"/>
          </w:tcPr>
          <w:p w14:paraId="24996F2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0" w:type="dxa"/>
            <w:vAlign w:val="center"/>
          </w:tcPr>
          <w:p w14:paraId="1B22A04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bl>
    <w:p w14:paraId="75C19849">
      <w:pPr>
        <w:keepNext w:val="0"/>
        <w:keepLines w:val="0"/>
        <w:pageBreakBefore w:val="0"/>
        <w:kinsoku/>
        <w:wordWrap/>
        <w:overflowPunct/>
        <w:topLinePunct w:val="0"/>
        <w:autoSpaceDE/>
        <w:autoSpaceDN/>
        <w:bidi w:val="0"/>
        <w:spacing w:line="360" w:lineRule="auto"/>
        <w:ind w:firstLine="480"/>
        <w:textAlignment w:val="auto"/>
        <w:rPr>
          <w:rFonts w:hAnsi="宋体"/>
          <w:sz w:val="24"/>
          <w:szCs w:val="24"/>
        </w:rPr>
      </w:pPr>
      <w:r>
        <w:rPr>
          <w:rFonts w:hint="eastAsia" w:hAnsi="宋体"/>
          <w:sz w:val="24"/>
          <w:szCs w:val="24"/>
        </w:rPr>
        <w:t>注：1、投标人应对照招标文件技术要求等要求，所投标的物与招标文件的规定有偏离的，应在此表中申明与技术要求条文的偏差和例外。</w:t>
      </w:r>
    </w:p>
    <w:p w14:paraId="703EABF6">
      <w:pPr>
        <w:keepNext w:val="0"/>
        <w:keepLines w:val="0"/>
        <w:pageBreakBefore w:val="0"/>
        <w:kinsoku/>
        <w:wordWrap/>
        <w:overflowPunct/>
        <w:topLinePunct w:val="0"/>
        <w:autoSpaceDE/>
        <w:autoSpaceDN/>
        <w:bidi w:val="0"/>
        <w:spacing w:line="360" w:lineRule="auto"/>
        <w:ind w:firstLine="480"/>
        <w:textAlignment w:val="auto"/>
        <w:rPr>
          <w:rFonts w:hAnsi="宋体"/>
          <w:sz w:val="24"/>
          <w:szCs w:val="24"/>
        </w:rPr>
      </w:pPr>
      <w:r>
        <w:rPr>
          <w:rFonts w:hint="eastAsia" w:hAnsi="宋体"/>
          <w:sz w:val="24"/>
          <w:szCs w:val="24"/>
        </w:rPr>
        <w:t>2、未在上表中说明的，如在投标文件其他内容中已有文字说明的，则以已有文字说明为准，否则，将被认为完全响应招标文件的规定。但该表不作为投标人对所投标的物关于技术要求等详细描述和说明的替代。</w:t>
      </w:r>
    </w:p>
    <w:p w14:paraId="46525764">
      <w:pPr>
        <w:keepNext w:val="0"/>
        <w:keepLines w:val="0"/>
        <w:pageBreakBefore w:val="0"/>
        <w:kinsoku/>
        <w:wordWrap/>
        <w:overflowPunct/>
        <w:topLinePunct w:val="0"/>
        <w:autoSpaceDE/>
        <w:autoSpaceDN/>
        <w:bidi w:val="0"/>
        <w:spacing w:line="360" w:lineRule="auto"/>
        <w:ind w:firstLine="480"/>
        <w:textAlignment w:val="auto"/>
        <w:rPr>
          <w:rFonts w:hAnsi="宋体"/>
          <w:sz w:val="24"/>
          <w:szCs w:val="24"/>
        </w:rPr>
      </w:pPr>
    </w:p>
    <w:p w14:paraId="0F135245">
      <w:pPr>
        <w:keepNext w:val="0"/>
        <w:keepLines w:val="0"/>
        <w:pageBreakBefore w:val="0"/>
        <w:kinsoku/>
        <w:wordWrap/>
        <w:overflowPunct/>
        <w:topLinePunct w:val="0"/>
        <w:autoSpaceDE/>
        <w:autoSpaceDN/>
        <w:bidi w:val="0"/>
        <w:spacing w:line="360" w:lineRule="auto"/>
        <w:ind w:firstLine="480"/>
        <w:textAlignment w:val="auto"/>
        <w:rPr>
          <w:rFonts w:hAnsi="宋体"/>
          <w:sz w:val="24"/>
          <w:szCs w:val="24"/>
        </w:rPr>
      </w:pPr>
    </w:p>
    <w:p w14:paraId="49880465">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r>
        <w:rPr>
          <w:rFonts w:hint="eastAsia" w:hAnsi="宋体" w:eastAsia="宋体"/>
          <w:sz w:val="24"/>
        </w:rPr>
        <w:t>投标人：（盖章）</w:t>
      </w:r>
    </w:p>
    <w:p w14:paraId="02566C79">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r>
        <w:rPr>
          <w:rFonts w:hint="eastAsia" w:hAnsi="宋体" w:eastAsia="宋体"/>
          <w:sz w:val="24"/>
        </w:rPr>
        <w:t>法定代表人或授权代理人：（签字或盖章）</w:t>
      </w:r>
    </w:p>
    <w:p w14:paraId="4A359C78">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r>
        <w:rPr>
          <w:rFonts w:hint="eastAsia" w:hAnsi="宋体" w:eastAsia="宋体"/>
          <w:sz w:val="24"/>
        </w:rPr>
        <w:t>日期</w:t>
      </w:r>
      <w:r>
        <w:rPr>
          <w:rFonts w:hAnsi="宋体" w:eastAsia="宋体"/>
          <w:sz w:val="24"/>
        </w:rPr>
        <w:t>：</w:t>
      </w:r>
      <w:r>
        <w:rPr>
          <w:rFonts w:hint="eastAsia" w:hAnsi="宋体" w:eastAsia="宋体"/>
          <w:sz w:val="24"/>
        </w:rPr>
        <w:t xml:space="preserve">      年月日</w:t>
      </w:r>
    </w:p>
    <w:p w14:paraId="7960702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2921450">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E25784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93D59A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C6E812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81280D1">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9、商务偏离表</w:t>
      </w:r>
    </w:p>
    <w:p w14:paraId="00DDB990">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794898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商务条款偏离表</w:t>
      </w:r>
    </w:p>
    <w:p w14:paraId="46868DD0">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 xml:space="preserve">项目编号： </w:t>
      </w:r>
      <w:r>
        <w:rPr>
          <w:rFonts w:hAnsi="宋体"/>
          <w:sz w:val="24"/>
          <w:szCs w:val="24"/>
        </w:rPr>
        <w:t xml:space="preserve">                                                 </w:t>
      </w:r>
    </w:p>
    <w:tbl>
      <w:tblPr>
        <w:tblStyle w:val="41"/>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4997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0DF2CF9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5AF5030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44A7B2A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7DADD1A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75D1518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25B664F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备注</w:t>
            </w:r>
          </w:p>
        </w:tc>
      </w:tr>
      <w:tr w14:paraId="3563E3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47CB55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1E51CA5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lang w:val="zh-CN"/>
              </w:rPr>
              <w:t>履约地点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371E766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2DA390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157F94C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3EE812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40520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11CCC04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3425B0B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lang w:val="zh-CN"/>
              </w:rPr>
              <w:t>付款步骤及方式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203B4E6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B9EEB8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6893ED9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6C4832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7F49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2F043C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79C2B39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免费保修期</w:t>
            </w:r>
          </w:p>
        </w:tc>
        <w:tc>
          <w:tcPr>
            <w:tcW w:w="1959" w:type="dxa"/>
            <w:tcBorders>
              <w:top w:val="single" w:color="000000" w:sz="4" w:space="0"/>
              <w:left w:val="single" w:color="000000" w:sz="4" w:space="0"/>
              <w:bottom w:val="single" w:color="000000" w:sz="4" w:space="0"/>
              <w:right w:val="single" w:color="000000" w:sz="4" w:space="0"/>
            </w:tcBorders>
            <w:vAlign w:val="center"/>
          </w:tcPr>
          <w:p w14:paraId="4D6AB4E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3377B7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01D9453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7EE318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3407D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952D94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5C9F633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履约期限</w:t>
            </w:r>
          </w:p>
        </w:tc>
        <w:tc>
          <w:tcPr>
            <w:tcW w:w="1959" w:type="dxa"/>
            <w:tcBorders>
              <w:top w:val="single" w:color="000000" w:sz="4" w:space="0"/>
              <w:left w:val="single" w:color="000000" w:sz="4" w:space="0"/>
              <w:bottom w:val="single" w:color="000000" w:sz="4" w:space="0"/>
              <w:right w:val="single" w:color="000000" w:sz="4" w:space="0"/>
            </w:tcBorders>
            <w:vAlign w:val="center"/>
          </w:tcPr>
          <w:p w14:paraId="6BFAD84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341A079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6C8CD3E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BEB079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49C83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38A84A6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5</w:t>
            </w:r>
          </w:p>
        </w:tc>
        <w:tc>
          <w:tcPr>
            <w:tcW w:w="2213" w:type="dxa"/>
            <w:tcBorders>
              <w:top w:val="single" w:color="000000" w:sz="4" w:space="0"/>
              <w:left w:val="single" w:color="000000" w:sz="4" w:space="0"/>
              <w:bottom w:val="single" w:color="000000" w:sz="4" w:space="0"/>
              <w:right w:val="single" w:color="000000" w:sz="4" w:space="0"/>
            </w:tcBorders>
            <w:vAlign w:val="center"/>
          </w:tcPr>
          <w:p w14:paraId="36188FC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响应时间</w:t>
            </w:r>
          </w:p>
        </w:tc>
        <w:tc>
          <w:tcPr>
            <w:tcW w:w="1959" w:type="dxa"/>
            <w:tcBorders>
              <w:top w:val="single" w:color="000000" w:sz="4" w:space="0"/>
              <w:left w:val="single" w:color="000000" w:sz="4" w:space="0"/>
              <w:bottom w:val="single" w:color="000000" w:sz="4" w:space="0"/>
              <w:right w:val="single" w:color="000000" w:sz="4" w:space="0"/>
            </w:tcBorders>
            <w:vAlign w:val="center"/>
          </w:tcPr>
          <w:p w14:paraId="335D5A0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4BDB0E3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240C9A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E18BE3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13466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46F4E0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6</w:t>
            </w:r>
          </w:p>
        </w:tc>
        <w:tc>
          <w:tcPr>
            <w:tcW w:w="2213" w:type="dxa"/>
            <w:tcBorders>
              <w:top w:val="single" w:color="000000" w:sz="4" w:space="0"/>
              <w:left w:val="single" w:color="000000" w:sz="4" w:space="0"/>
              <w:bottom w:val="single" w:color="000000" w:sz="4" w:space="0"/>
              <w:right w:val="single" w:color="000000" w:sz="4" w:space="0"/>
            </w:tcBorders>
            <w:vAlign w:val="center"/>
          </w:tcPr>
          <w:p w14:paraId="4687EAB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63F722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09D63C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6231F32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D68763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726F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728821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7</w:t>
            </w:r>
          </w:p>
        </w:tc>
        <w:tc>
          <w:tcPr>
            <w:tcW w:w="2213" w:type="dxa"/>
            <w:tcBorders>
              <w:top w:val="single" w:color="000000" w:sz="4" w:space="0"/>
              <w:left w:val="single" w:color="000000" w:sz="4" w:space="0"/>
              <w:bottom w:val="single" w:color="000000" w:sz="4" w:space="0"/>
              <w:right w:val="single" w:color="000000" w:sz="4" w:space="0"/>
            </w:tcBorders>
            <w:vAlign w:val="center"/>
          </w:tcPr>
          <w:p w14:paraId="44F23A1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9AD279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D7F092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6C6CD7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04F110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327F3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862E8D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3DE520E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4E0CD0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C4B360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D478D2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66CEFC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EC44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8332A9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335B858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86D68D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D2707A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56992D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5A4BE2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bl>
    <w:p w14:paraId="6081785C">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注：</w:t>
      </w:r>
    </w:p>
    <w:p w14:paraId="04A813B0">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1.</w:t>
      </w:r>
      <w:r>
        <w:rPr>
          <w:rFonts w:hint="eastAsia" w:hAnsi="宋体"/>
          <w:sz w:val="24"/>
          <w:szCs w:val="24"/>
        </w:rPr>
        <w:t>投标人提交的投标文件中与招标文件的技术、商务部分的要求有不同时，应在本表中把招标文件要求与投标实际响应内容逐项对应列出，优于的，填写“正偏离”；低于的，填写“负偏离”。</w:t>
      </w:r>
    </w:p>
    <w:p w14:paraId="498EF744">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Ansi="宋体"/>
          <w:sz w:val="24"/>
          <w:szCs w:val="24"/>
        </w:rPr>
        <w:t>2.</w:t>
      </w:r>
      <w:r>
        <w:rPr>
          <w:rFonts w:hint="eastAsia" w:hAnsi="宋体"/>
          <w:sz w:val="24"/>
          <w:szCs w:val="24"/>
        </w:rPr>
        <w:t>若事项较多，投标人可根据投标内容的实际情况另纸说明，不列出视为完全响应。</w:t>
      </w:r>
    </w:p>
    <w:p w14:paraId="338CC85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BD76E6E">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投标单位：（公章）</w:t>
      </w:r>
    </w:p>
    <w:p w14:paraId="2A3C6077">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法定代表人或代理人（签字或盖章）：</w:t>
      </w:r>
    </w:p>
    <w:p w14:paraId="34B7187F">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14:paraId="7A36CD1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4D31A5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6208BA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FFB565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055B97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99BCAA3">
      <w:pPr>
        <w:pStyle w:val="20"/>
        <w:keepNext w:val="0"/>
        <w:keepLines w:val="0"/>
        <w:pageBreakBefore w:val="0"/>
        <w:kinsoku/>
        <w:wordWrap/>
        <w:overflowPunct/>
        <w:topLinePunct w:val="0"/>
        <w:autoSpaceDE/>
        <w:autoSpaceDN/>
        <w:bidi w:val="0"/>
        <w:spacing w:line="360" w:lineRule="auto"/>
        <w:ind w:right="960"/>
        <w:jc w:val="left"/>
        <w:textAlignment w:val="auto"/>
        <w:rPr>
          <w:rFonts w:hAnsi="宋体" w:eastAsia="宋体" w:cs="宋体"/>
          <w:b/>
          <w:sz w:val="24"/>
          <w:szCs w:val="24"/>
        </w:rPr>
      </w:pPr>
      <w:r>
        <w:rPr>
          <w:rFonts w:hAnsi="宋体" w:eastAsia="宋体" w:cs="宋体"/>
          <w:b/>
          <w:sz w:val="24"/>
          <w:szCs w:val="24"/>
        </w:rPr>
        <w:t>10、</w:t>
      </w:r>
      <w:r>
        <w:rPr>
          <w:rFonts w:hint="eastAsia" w:hAnsi="宋体" w:eastAsia="宋体" w:cs="宋体"/>
          <w:b/>
          <w:sz w:val="24"/>
          <w:szCs w:val="24"/>
        </w:rPr>
        <w:t>企业相同业绩一览表</w:t>
      </w:r>
    </w:p>
    <w:p w14:paraId="60BCA104">
      <w:pPr>
        <w:keepNext w:val="0"/>
        <w:keepLines w:val="0"/>
        <w:pageBreakBefore w:val="0"/>
        <w:kinsoku/>
        <w:wordWrap/>
        <w:overflowPunct/>
        <w:topLinePunct w:val="0"/>
        <w:autoSpaceDE/>
        <w:autoSpaceDN/>
        <w:bidi w:val="0"/>
        <w:spacing w:line="360" w:lineRule="auto"/>
        <w:ind w:firstLine="480"/>
        <w:jc w:val="center"/>
        <w:textAlignment w:val="auto"/>
        <w:rPr>
          <w:rFonts w:hAnsi="宋体"/>
          <w:b/>
          <w:sz w:val="24"/>
          <w:szCs w:val="24"/>
        </w:rPr>
      </w:pPr>
    </w:p>
    <w:p w14:paraId="7526AEF5">
      <w:pPr>
        <w:keepNext w:val="0"/>
        <w:keepLines w:val="0"/>
        <w:pageBreakBefore w:val="0"/>
        <w:kinsoku/>
        <w:wordWrap/>
        <w:overflowPunct/>
        <w:topLinePunct w:val="0"/>
        <w:autoSpaceDE/>
        <w:autoSpaceDN/>
        <w:bidi w:val="0"/>
        <w:spacing w:line="360" w:lineRule="auto"/>
        <w:jc w:val="center"/>
        <w:textAlignment w:val="auto"/>
        <w:rPr>
          <w:rFonts w:hAnsi="宋体"/>
          <w:b/>
          <w:sz w:val="24"/>
          <w:szCs w:val="24"/>
        </w:rPr>
      </w:pPr>
      <w:r>
        <w:rPr>
          <w:rFonts w:hint="eastAsia" w:hAnsi="宋体"/>
          <w:b/>
          <w:sz w:val="24"/>
          <w:szCs w:val="24"/>
        </w:rPr>
        <w:t>企业相同业绩一览表</w:t>
      </w:r>
    </w:p>
    <w:tbl>
      <w:tblPr>
        <w:tblStyle w:val="41"/>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6ACE9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C23C216">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序号</w:t>
            </w:r>
          </w:p>
        </w:tc>
        <w:tc>
          <w:tcPr>
            <w:tcW w:w="1530" w:type="dxa"/>
            <w:vAlign w:val="center"/>
          </w:tcPr>
          <w:p w14:paraId="20D30D13">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项目名称</w:t>
            </w:r>
          </w:p>
        </w:tc>
        <w:tc>
          <w:tcPr>
            <w:tcW w:w="1462" w:type="dxa"/>
            <w:vAlign w:val="center"/>
          </w:tcPr>
          <w:p w14:paraId="7A8F643D">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签订时间</w:t>
            </w:r>
          </w:p>
        </w:tc>
        <w:tc>
          <w:tcPr>
            <w:tcW w:w="1485" w:type="dxa"/>
            <w:vAlign w:val="center"/>
          </w:tcPr>
          <w:p w14:paraId="2C336808">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合同金额</w:t>
            </w:r>
          </w:p>
          <w:p w14:paraId="20864B34">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（人民币）</w:t>
            </w:r>
          </w:p>
        </w:tc>
        <w:tc>
          <w:tcPr>
            <w:tcW w:w="2164" w:type="dxa"/>
            <w:vAlign w:val="center"/>
          </w:tcPr>
          <w:p w14:paraId="7FDC85F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业主单位</w:t>
            </w:r>
          </w:p>
        </w:tc>
        <w:tc>
          <w:tcPr>
            <w:tcW w:w="1923" w:type="dxa"/>
            <w:vAlign w:val="center"/>
          </w:tcPr>
          <w:p w14:paraId="7D9A65EC">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备注</w:t>
            </w:r>
          </w:p>
        </w:tc>
      </w:tr>
      <w:tr w14:paraId="42539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C215EE3">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1</w:t>
            </w:r>
          </w:p>
        </w:tc>
        <w:tc>
          <w:tcPr>
            <w:tcW w:w="1530" w:type="dxa"/>
            <w:vAlign w:val="center"/>
          </w:tcPr>
          <w:p w14:paraId="47E35FA7">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700308C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5F5207C9">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3977981B">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2F22091F">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02C0F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607E46F">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2</w:t>
            </w:r>
          </w:p>
        </w:tc>
        <w:tc>
          <w:tcPr>
            <w:tcW w:w="1530" w:type="dxa"/>
            <w:vAlign w:val="center"/>
          </w:tcPr>
          <w:p w14:paraId="0A39C67D">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22DE2FA5">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5D949286">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58E76A6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7EB50F40">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4DC9E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D682EC5">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3</w:t>
            </w:r>
          </w:p>
        </w:tc>
        <w:tc>
          <w:tcPr>
            <w:tcW w:w="1530" w:type="dxa"/>
            <w:vAlign w:val="center"/>
          </w:tcPr>
          <w:p w14:paraId="3F4849C9">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583B59D4">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5CFD8235">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5E175F6E">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4FDFBBA9">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3FACD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40BD7B3">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4</w:t>
            </w:r>
          </w:p>
        </w:tc>
        <w:tc>
          <w:tcPr>
            <w:tcW w:w="1530" w:type="dxa"/>
            <w:vAlign w:val="center"/>
          </w:tcPr>
          <w:p w14:paraId="49751362">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6C9321A5">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3DC5FC26">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07C6D5F0">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3551B81D">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45C8B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F57404B">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5</w:t>
            </w:r>
          </w:p>
        </w:tc>
        <w:tc>
          <w:tcPr>
            <w:tcW w:w="1530" w:type="dxa"/>
            <w:vAlign w:val="center"/>
          </w:tcPr>
          <w:p w14:paraId="67D489B8">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4F30F8D5">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32662371">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573A7AB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19C9D9FB">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52ED0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6015FDD6">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r>
              <w:rPr>
                <w:rFonts w:hint="eastAsia" w:hAnsi="宋体" w:eastAsia="宋体" w:cs="宋体"/>
                <w:sz w:val="24"/>
                <w:szCs w:val="24"/>
              </w:rPr>
              <w:t>6</w:t>
            </w:r>
          </w:p>
        </w:tc>
        <w:tc>
          <w:tcPr>
            <w:tcW w:w="1530" w:type="dxa"/>
            <w:vAlign w:val="center"/>
          </w:tcPr>
          <w:p w14:paraId="08321530">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46BB830B">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58230450">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2ADB6188">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5F266097">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593F3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46A0C4B9">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530" w:type="dxa"/>
            <w:vAlign w:val="center"/>
          </w:tcPr>
          <w:p w14:paraId="730B58CF">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07F41663">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11BAD2DE">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48E6F458">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41773426">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r w14:paraId="7A096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E9F3ED9">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530" w:type="dxa"/>
            <w:vAlign w:val="center"/>
          </w:tcPr>
          <w:p w14:paraId="7D40D7F4">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62" w:type="dxa"/>
          </w:tcPr>
          <w:p w14:paraId="596C729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485" w:type="dxa"/>
            <w:vAlign w:val="center"/>
          </w:tcPr>
          <w:p w14:paraId="033CA23C">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2164" w:type="dxa"/>
            <w:vAlign w:val="center"/>
          </w:tcPr>
          <w:p w14:paraId="3850E54A">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c>
          <w:tcPr>
            <w:tcW w:w="1923" w:type="dxa"/>
            <w:vAlign w:val="center"/>
          </w:tcPr>
          <w:p w14:paraId="73341D6C">
            <w:pPr>
              <w:pStyle w:val="287"/>
              <w:keepNext w:val="0"/>
              <w:keepLines w:val="0"/>
              <w:pageBreakBefore w:val="0"/>
              <w:kinsoku/>
              <w:wordWrap/>
              <w:overflowPunct/>
              <w:topLinePunct w:val="0"/>
              <w:autoSpaceDE/>
              <w:autoSpaceDN/>
              <w:bidi w:val="0"/>
              <w:spacing w:line="360" w:lineRule="auto"/>
              <w:jc w:val="center"/>
              <w:textAlignment w:val="auto"/>
              <w:rPr>
                <w:rFonts w:hAnsi="宋体" w:eastAsia="宋体" w:cs="宋体"/>
                <w:sz w:val="24"/>
                <w:szCs w:val="24"/>
              </w:rPr>
            </w:pPr>
          </w:p>
        </w:tc>
      </w:tr>
    </w:tbl>
    <w:p w14:paraId="48C4E7A6">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附：1.根据招标文件及评分标书填写，并附相关证明文件；</w:t>
      </w:r>
    </w:p>
    <w:p w14:paraId="0BE1E5B0">
      <w:pPr>
        <w:keepNext w:val="0"/>
        <w:keepLines w:val="0"/>
        <w:pageBreakBefore w:val="0"/>
        <w:numPr>
          <w:ilvl w:val="0"/>
          <w:numId w:val="3"/>
        </w:numPr>
        <w:kinsoku/>
        <w:wordWrap/>
        <w:overflowPunct/>
        <w:topLinePunct w:val="0"/>
        <w:autoSpaceDE/>
        <w:autoSpaceDN/>
        <w:bidi w:val="0"/>
        <w:spacing w:line="360" w:lineRule="auto"/>
        <w:ind w:left="420" w:firstLine="420"/>
        <w:jc w:val="both"/>
        <w:textAlignment w:val="auto"/>
        <w:rPr>
          <w:rFonts w:hAnsi="宋体"/>
          <w:sz w:val="24"/>
          <w:szCs w:val="24"/>
        </w:rPr>
      </w:pPr>
      <w:r>
        <w:rPr>
          <w:rFonts w:hint="eastAsia" w:hAnsi="宋体"/>
          <w:sz w:val="24"/>
          <w:szCs w:val="24"/>
        </w:rPr>
        <w:t>表格不够填写可添加。</w:t>
      </w:r>
    </w:p>
    <w:p w14:paraId="3941011C">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48BC8013">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6190125E">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4522D14E">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3F21CADF">
      <w:pPr>
        <w:keepNext w:val="0"/>
        <w:keepLines w:val="0"/>
        <w:pageBreakBefore w:val="0"/>
        <w:kinsoku/>
        <w:wordWrap/>
        <w:overflowPunct/>
        <w:topLinePunct w:val="0"/>
        <w:autoSpaceDE/>
        <w:autoSpaceDN/>
        <w:bidi w:val="0"/>
        <w:spacing w:line="360" w:lineRule="auto"/>
        <w:ind w:firstLine="4320"/>
        <w:textAlignment w:val="auto"/>
        <w:rPr>
          <w:rFonts w:hAnsi="宋体"/>
          <w:sz w:val="24"/>
          <w:szCs w:val="24"/>
        </w:rPr>
      </w:pPr>
      <w:r>
        <w:rPr>
          <w:rFonts w:hint="eastAsia" w:hAnsi="宋体"/>
          <w:sz w:val="24"/>
          <w:szCs w:val="24"/>
        </w:rPr>
        <w:t xml:space="preserve">投标单位（单位盖章）： </w:t>
      </w:r>
    </w:p>
    <w:p w14:paraId="0B08F12D">
      <w:pPr>
        <w:keepNext w:val="0"/>
        <w:keepLines w:val="0"/>
        <w:pageBreakBefore w:val="0"/>
        <w:kinsoku/>
        <w:wordWrap/>
        <w:overflowPunct/>
        <w:topLinePunct w:val="0"/>
        <w:autoSpaceDE/>
        <w:autoSpaceDN/>
        <w:bidi w:val="0"/>
        <w:spacing w:line="360" w:lineRule="auto"/>
        <w:ind w:firstLine="4320"/>
        <w:textAlignment w:val="auto"/>
        <w:rPr>
          <w:rFonts w:hAnsi="宋体"/>
          <w:sz w:val="24"/>
          <w:szCs w:val="24"/>
        </w:rPr>
      </w:pPr>
      <w:r>
        <w:rPr>
          <w:rFonts w:hint="eastAsia" w:hAnsi="宋体"/>
          <w:sz w:val="24"/>
          <w:szCs w:val="24"/>
        </w:rPr>
        <w:t>法定代表人或代理人（签字或盖章）：</w:t>
      </w:r>
    </w:p>
    <w:p w14:paraId="35752F1E">
      <w:pPr>
        <w:keepNext w:val="0"/>
        <w:keepLines w:val="0"/>
        <w:pageBreakBefore w:val="0"/>
        <w:kinsoku/>
        <w:wordWrap/>
        <w:overflowPunct/>
        <w:topLinePunct w:val="0"/>
        <w:autoSpaceDE/>
        <w:autoSpaceDN/>
        <w:bidi w:val="0"/>
        <w:spacing w:line="360" w:lineRule="auto"/>
        <w:ind w:firstLine="4320"/>
        <w:textAlignment w:val="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日</w:t>
      </w:r>
    </w:p>
    <w:p w14:paraId="1300FF9A">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18DF2212">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345165DE">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5F6BE28B">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4DE05156">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2478CB5F">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0F0416E8">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6044B406">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24745004">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21E077A5">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2104FF57">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11</w:t>
      </w:r>
      <w:r>
        <w:rPr>
          <w:rFonts w:hint="eastAsia" w:hAnsi="宋体"/>
          <w:b/>
          <w:bCs/>
          <w:sz w:val="24"/>
          <w:szCs w:val="24"/>
        </w:rPr>
        <w:t>、拟投入本项目的专业技术（服务）人员情况一览表</w:t>
      </w:r>
    </w:p>
    <w:p w14:paraId="5629B26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296D34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拟投入本项目的专业技术（服务）人员情况一览表</w:t>
      </w:r>
    </w:p>
    <w:tbl>
      <w:tblPr>
        <w:tblStyle w:val="41"/>
        <w:tblW w:w="936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7"/>
        <w:gridCol w:w="1344"/>
        <w:gridCol w:w="1276"/>
        <w:gridCol w:w="850"/>
        <w:gridCol w:w="851"/>
        <w:gridCol w:w="992"/>
        <w:gridCol w:w="1963"/>
        <w:gridCol w:w="1439"/>
      </w:tblGrid>
      <w:tr w14:paraId="3404C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7C3917C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序号</w:t>
            </w:r>
          </w:p>
        </w:tc>
        <w:tc>
          <w:tcPr>
            <w:tcW w:w="1344" w:type="dxa"/>
            <w:tcBorders>
              <w:top w:val="single" w:color="000000" w:sz="2" w:space="0"/>
              <w:left w:val="single" w:color="000000" w:sz="4" w:space="0"/>
              <w:bottom w:val="single" w:color="000000" w:sz="2" w:space="0"/>
              <w:right w:val="single" w:color="000000" w:sz="4" w:space="0"/>
            </w:tcBorders>
            <w:vAlign w:val="center"/>
          </w:tcPr>
          <w:p w14:paraId="25805B1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岗位</w:t>
            </w:r>
          </w:p>
        </w:tc>
        <w:tc>
          <w:tcPr>
            <w:tcW w:w="1276" w:type="dxa"/>
            <w:tcBorders>
              <w:top w:val="single" w:color="000000" w:sz="2" w:space="0"/>
              <w:left w:val="single" w:color="000000" w:sz="4" w:space="0"/>
              <w:bottom w:val="single" w:color="000000" w:sz="2" w:space="0"/>
              <w:right w:val="single" w:color="000000" w:sz="2" w:space="0"/>
            </w:tcBorders>
            <w:vAlign w:val="center"/>
          </w:tcPr>
          <w:p w14:paraId="5A8C940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姓名</w:t>
            </w:r>
          </w:p>
        </w:tc>
        <w:tc>
          <w:tcPr>
            <w:tcW w:w="850" w:type="dxa"/>
            <w:tcBorders>
              <w:top w:val="single" w:color="000000" w:sz="2" w:space="0"/>
              <w:left w:val="single" w:color="000000" w:sz="4" w:space="0"/>
              <w:bottom w:val="single" w:color="000000" w:sz="2" w:space="0"/>
              <w:right w:val="single" w:color="000000" w:sz="4" w:space="0"/>
            </w:tcBorders>
            <w:vAlign w:val="center"/>
          </w:tcPr>
          <w:p w14:paraId="2DD579C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性别</w:t>
            </w:r>
          </w:p>
        </w:tc>
        <w:tc>
          <w:tcPr>
            <w:tcW w:w="851" w:type="dxa"/>
            <w:tcBorders>
              <w:top w:val="single" w:color="000000" w:sz="2" w:space="0"/>
              <w:left w:val="single" w:color="000000" w:sz="4" w:space="0"/>
              <w:bottom w:val="single" w:color="000000" w:sz="2" w:space="0"/>
              <w:right w:val="single" w:color="000000" w:sz="4" w:space="0"/>
            </w:tcBorders>
            <w:vAlign w:val="center"/>
          </w:tcPr>
          <w:p w14:paraId="0BDACC7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年龄</w:t>
            </w:r>
          </w:p>
        </w:tc>
        <w:tc>
          <w:tcPr>
            <w:tcW w:w="992" w:type="dxa"/>
            <w:tcBorders>
              <w:top w:val="single" w:color="000000" w:sz="2" w:space="0"/>
              <w:left w:val="single" w:color="000000" w:sz="4" w:space="0"/>
              <w:bottom w:val="single" w:color="000000" w:sz="2" w:space="0"/>
              <w:right w:val="single" w:color="000000" w:sz="4" w:space="0"/>
            </w:tcBorders>
            <w:vAlign w:val="center"/>
          </w:tcPr>
          <w:p w14:paraId="4754742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学历</w:t>
            </w:r>
          </w:p>
        </w:tc>
        <w:tc>
          <w:tcPr>
            <w:tcW w:w="1963" w:type="dxa"/>
            <w:tcBorders>
              <w:top w:val="single" w:color="000000" w:sz="2" w:space="0"/>
              <w:left w:val="single" w:color="000000" w:sz="4" w:space="0"/>
              <w:bottom w:val="single" w:color="000000" w:sz="2" w:space="0"/>
              <w:right w:val="single" w:color="000000" w:sz="2" w:space="0"/>
            </w:tcBorders>
            <w:vAlign w:val="center"/>
          </w:tcPr>
          <w:p w14:paraId="2499FB2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职称/资格</w:t>
            </w:r>
          </w:p>
        </w:tc>
        <w:tc>
          <w:tcPr>
            <w:tcW w:w="1439" w:type="dxa"/>
            <w:tcBorders>
              <w:top w:val="single" w:color="000000" w:sz="2" w:space="0"/>
              <w:left w:val="single" w:color="000000" w:sz="4" w:space="0"/>
              <w:bottom w:val="single" w:color="000000" w:sz="2" w:space="0"/>
              <w:right w:val="single" w:color="000000" w:sz="2" w:space="0"/>
            </w:tcBorders>
            <w:vAlign w:val="center"/>
          </w:tcPr>
          <w:p w14:paraId="00B21DA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备注</w:t>
            </w:r>
          </w:p>
        </w:tc>
      </w:tr>
      <w:tr w14:paraId="0000D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729FB35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1</w:t>
            </w:r>
          </w:p>
        </w:tc>
        <w:tc>
          <w:tcPr>
            <w:tcW w:w="1344" w:type="dxa"/>
            <w:tcBorders>
              <w:top w:val="single" w:color="000000" w:sz="4" w:space="0"/>
              <w:left w:val="single" w:color="000000" w:sz="4" w:space="0"/>
              <w:bottom w:val="single" w:color="000000" w:sz="2" w:space="0"/>
              <w:right w:val="single" w:color="000000" w:sz="4" w:space="0"/>
            </w:tcBorders>
            <w:vAlign w:val="center"/>
          </w:tcPr>
          <w:p w14:paraId="3DDA5CF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6F2105D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333C6FE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2D8885F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4566E1A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12204CA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6023602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7AF9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0053A5A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2</w:t>
            </w:r>
          </w:p>
        </w:tc>
        <w:tc>
          <w:tcPr>
            <w:tcW w:w="1344" w:type="dxa"/>
            <w:tcBorders>
              <w:top w:val="single" w:color="000000" w:sz="4" w:space="0"/>
              <w:left w:val="single" w:color="000000" w:sz="4" w:space="0"/>
              <w:bottom w:val="single" w:color="000000" w:sz="2" w:space="0"/>
              <w:right w:val="single" w:color="000000" w:sz="4" w:space="0"/>
            </w:tcBorders>
            <w:vAlign w:val="center"/>
          </w:tcPr>
          <w:p w14:paraId="39361AA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053691B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35E64DE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53B4D7A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4B211E9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0CDCF48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58E2C51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5132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39748C9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Ansi="宋体"/>
                <w:sz w:val="24"/>
                <w:szCs w:val="24"/>
              </w:rPr>
              <w:t>3</w:t>
            </w:r>
          </w:p>
        </w:tc>
        <w:tc>
          <w:tcPr>
            <w:tcW w:w="1344" w:type="dxa"/>
            <w:tcBorders>
              <w:top w:val="single" w:color="000000" w:sz="4" w:space="0"/>
              <w:left w:val="single" w:color="000000" w:sz="4" w:space="0"/>
              <w:bottom w:val="single" w:color="000000" w:sz="2" w:space="0"/>
              <w:right w:val="single" w:color="000000" w:sz="4" w:space="0"/>
            </w:tcBorders>
            <w:vAlign w:val="center"/>
          </w:tcPr>
          <w:p w14:paraId="1C1DC73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5381BFB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6429E9F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07380EA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45A57EC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654ED1B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2C60887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0AE5A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6F0E55A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6C19A68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6FC9F46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3411413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64B6B86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5B05D74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6412317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1177793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3B7C1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1FB3311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79F62FF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281E20E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0EE8D71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1DB5022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15A98D6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037FA35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496A646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02EFA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10EF2D5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2E18DA3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3D685B7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35B475E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0DD3B41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3B4F606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5E781FE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61B6E11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04361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0802467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434BCA0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2C62BD1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75891D2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72B915F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6E967D7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4EB48EA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44856BB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6B18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7FB0E44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3D4FFAF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42DF1F0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158AB37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13D0937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620F2F7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5E33E35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4EA6903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5B33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7A3A897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49911BD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0B154C7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6471B4D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53FE178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03C526F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0C2800C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37E1CE1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15505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64200CF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31980F1D">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3F24B15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769704E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09BA059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67CA8DD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33EB280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2FFD5FB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6DD8B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4D75034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3B94ADE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7A1EF5A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3268EA72">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5C7A654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1FCCB98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3B0D99A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3D9B08DF">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464B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2" w:space="0"/>
              <w:right w:val="single" w:color="000000" w:sz="2" w:space="0"/>
            </w:tcBorders>
            <w:vAlign w:val="center"/>
          </w:tcPr>
          <w:p w14:paraId="4CC90E2B">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2" w:space="0"/>
              <w:right w:val="single" w:color="000000" w:sz="4" w:space="0"/>
            </w:tcBorders>
            <w:vAlign w:val="center"/>
          </w:tcPr>
          <w:p w14:paraId="703B446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2" w:space="0"/>
              <w:right w:val="single" w:color="000000" w:sz="2" w:space="0"/>
            </w:tcBorders>
            <w:vAlign w:val="center"/>
          </w:tcPr>
          <w:p w14:paraId="345932F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2" w:space="0"/>
              <w:right w:val="single" w:color="000000" w:sz="4" w:space="0"/>
            </w:tcBorders>
            <w:vAlign w:val="center"/>
          </w:tcPr>
          <w:p w14:paraId="1FC2F8C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2" w:space="0"/>
              <w:right w:val="single" w:color="000000" w:sz="4" w:space="0"/>
            </w:tcBorders>
            <w:vAlign w:val="center"/>
          </w:tcPr>
          <w:p w14:paraId="3688029A">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2" w:space="0"/>
              <w:right w:val="single" w:color="000000" w:sz="4" w:space="0"/>
            </w:tcBorders>
            <w:vAlign w:val="center"/>
          </w:tcPr>
          <w:p w14:paraId="3DCB14E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2" w:space="0"/>
              <w:right w:val="single" w:color="000000" w:sz="2" w:space="0"/>
            </w:tcBorders>
            <w:vAlign w:val="center"/>
          </w:tcPr>
          <w:p w14:paraId="6A6C23D3">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2" w:space="0"/>
              <w:right w:val="single" w:color="000000" w:sz="2" w:space="0"/>
            </w:tcBorders>
            <w:vAlign w:val="center"/>
          </w:tcPr>
          <w:p w14:paraId="640A9F15">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464A8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4" w:space="0"/>
              <w:right w:val="single" w:color="000000" w:sz="2" w:space="0"/>
            </w:tcBorders>
            <w:vAlign w:val="center"/>
          </w:tcPr>
          <w:p w14:paraId="308DD5F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4" w:space="0"/>
              <w:right w:val="single" w:color="000000" w:sz="4" w:space="0"/>
            </w:tcBorders>
            <w:vAlign w:val="center"/>
          </w:tcPr>
          <w:p w14:paraId="5968E95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4" w:space="0"/>
              <w:right w:val="single" w:color="000000" w:sz="2" w:space="0"/>
            </w:tcBorders>
            <w:vAlign w:val="center"/>
          </w:tcPr>
          <w:p w14:paraId="4893C4C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7EB707A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1AA8E31">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4" w:space="0"/>
              <w:right w:val="single" w:color="000000" w:sz="2" w:space="0"/>
            </w:tcBorders>
            <w:vAlign w:val="center"/>
          </w:tcPr>
          <w:p w14:paraId="733EDEE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4" w:space="0"/>
              <w:right w:val="single" w:color="000000" w:sz="2" w:space="0"/>
            </w:tcBorders>
            <w:vAlign w:val="center"/>
          </w:tcPr>
          <w:p w14:paraId="627FF20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4" w:space="0"/>
              <w:right w:val="single" w:color="000000" w:sz="2" w:space="0"/>
            </w:tcBorders>
            <w:vAlign w:val="center"/>
          </w:tcPr>
          <w:p w14:paraId="1A52ADD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r w14:paraId="2282F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47" w:type="dxa"/>
            <w:tcBorders>
              <w:top w:val="single" w:color="000000" w:sz="4" w:space="0"/>
              <w:left w:val="single" w:color="000000" w:sz="2" w:space="0"/>
              <w:bottom w:val="single" w:color="000000" w:sz="4" w:space="0"/>
              <w:right w:val="single" w:color="000000" w:sz="2" w:space="0"/>
            </w:tcBorders>
            <w:vAlign w:val="center"/>
          </w:tcPr>
          <w:p w14:paraId="5E4EE0C9">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344" w:type="dxa"/>
            <w:tcBorders>
              <w:top w:val="single" w:color="000000" w:sz="4" w:space="0"/>
              <w:left w:val="single" w:color="000000" w:sz="4" w:space="0"/>
              <w:bottom w:val="single" w:color="000000" w:sz="4" w:space="0"/>
              <w:right w:val="single" w:color="000000" w:sz="4" w:space="0"/>
            </w:tcBorders>
            <w:vAlign w:val="center"/>
          </w:tcPr>
          <w:p w14:paraId="34B211BE">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276" w:type="dxa"/>
            <w:tcBorders>
              <w:top w:val="single" w:color="000000" w:sz="4" w:space="0"/>
              <w:left w:val="single" w:color="000000" w:sz="4" w:space="0"/>
              <w:bottom w:val="single" w:color="000000" w:sz="4" w:space="0"/>
              <w:right w:val="single" w:color="000000" w:sz="2" w:space="0"/>
            </w:tcBorders>
            <w:vAlign w:val="center"/>
          </w:tcPr>
          <w:p w14:paraId="79699897">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03C7821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01C54CAC">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992" w:type="dxa"/>
            <w:tcBorders>
              <w:top w:val="single" w:color="000000" w:sz="4" w:space="0"/>
              <w:left w:val="single" w:color="000000" w:sz="4" w:space="0"/>
              <w:bottom w:val="single" w:color="000000" w:sz="4" w:space="0"/>
              <w:right w:val="single" w:color="000000" w:sz="2" w:space="0"/>
            </w:tcBorders>
            <w:vAlign w:val="center"/>
          </w:tcPr>
          <w:p w14:paraId="69276234">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963" w:type="dxa"/>
            <w:tcBorders>
              <w:top w:val="single" w:color="000000" w:sz="4" w:space="0"/>
              <w:left w:val="single" w:color="000000" w:sz="4" w:space="0"/>
              <w:bottom w:val="single" w:color="000000" w:sz="4" w:space="0"/>
              <w:right w:val="single" w:color="000000" w:sz="2" w:space="0"/>
            </w:tcBorders>
            <w:vAlign w:val="center"/>
          </w:tcPr>
          <w:p w14:paraId="222574B8">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c>
          <w:tcPr>
            <w:tcW w:w="1439" w:type="dxa"/>
            <w:tcBorders>
              <w:top w:val="single" w:color="000000" w:sz="4" w:space="0"/>
              <w:left w:val="single" w:color="000000" w:sz="4" w:space="0"/>
              <w:bottom w:val="single" w:color="000000" w:sz="4" w:space="0"/>
              <w:right w:val="single" w:color="000000" w:sz="2" w:space="0"/>
            </w:tcBorders>
            <w:vAlign w:val="center"/>
          </w:tcPr>
          <w:p w14:paraId="6BAA30E6">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p>
        </w:tc>
      </w:tr>
    </w:tbl>
    <w:p w14:paraId="76F65F66">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附：</w:t>
      </w:r>
      <w:r>
        <w:rPr>
          <w:rFonts w:hAnsi="宋体"/>
          <w:sz w:val="24"/>
          <w:szCs w:val="24"/>
        </w:rPr>
        <w:t>1</w:t>
      </w:r>
      <w:r>
        <w:rPr>
          <w:rFonts w:hint="eastAsia" w:hAnsi="宋体"/>
          <w:sz w:val="24"/>
          <w:szCs w:val="24"/>
        </w:rPr>
        <w:t>、按照招标文件要求提供相应资质证明材料（如有）。</w:t>
      </w:r>
    </w:p>
    <w:p w14:paraId="530F61F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CC2B44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9DF4043">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投标单位（单位盖章）：</w:t>
      </w:r>
      <w:r>
        <w:rPr>
          <w:rFonts w:hAnsi="宋体"/>
          <w:sz w:val="24"/>
          <w:szCs w:val="24"/>
        </w:rPr>
        <w:t xml:space="preserve"> </w:t>
      </w:r>
    </w:p>
    <w:p w14:paraId="6D18260C">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int="eastAsia" w:hAnsi="宋体"/>
          <w:sz w:val="24"/>
          <w:szCs w:val="24"/>
        </w:rPr>
        <w:t>法定代表人或代理人（签字或盖章）</w:t>
      </w:r>
    </w:p>
    <w:p w14:paraId="0C4F252E">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Ansi="宋体"/>
          <w:sz w:val="24"/>
          <w:szCs w:val="24"/>
        </w:rPr>
        <w:t>日期：    年    月    日</w:t>
      </w:r>
    </w:p>
    <w:p w14:paraId="4FB67C3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1CAC0B5">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98C9EA3">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12</w:t>
      </w:r>
      <w:r>
        <w:rPr>
          <w:rFonts w:hint="eastAsia" w:hAnsi="宋体"/>
          <w:b/>
          <w:bCs/>
          <w:sz w:val="24"/>
          <w:szCs w:val="24"/>
        </w:rPr>
        <w:t>、项目的技术及服务方案</w:t>
      </w:r>
    </w:p>
    <w:p w14:paraId="1254E674">
      <w:pPr>
        <w:pStyle w:val="277"/>
        <w:keepNext w:val="0"/>
        <w:keepLines w:val="0"/>
        <w:pageBreakBefore w:val="0"/>
        <w:kinsoku/>
        <w:wordWrap/>
        <w:overflowPunct/>
        <w:topLinePunct w:val="0"/>
        <w:autoSpaceDE/>
        <w:autoSpaceDN/>
        <w:bidi w:val="0"/>
        <w:spacing w:line="360" w:lineRule="auto"/>
        <w:ind w:firstLine="0"/>
        <w:textAlignment w:val="auto"/>
        <w:rPr>
          <w:rFonts w:hAnsi="宋体"/>
          <w:sz w:val="24"/>
          <w:szCs w:val="24"/>
        </w:rPr>
      </w:pPr>
    </w:p>
    <w:p w14:paraId="1A10AEA0">
      <w:pPr>
        <w:pStyle w:val="277"/>
        <w:keepNext w:val="0"/>
        <w:keepLines w:val="0"/>
        <w:pageBreakBefore w:val="0"/>
        <w:kinsoku/>
        <w:wordWrap/>
        <w:overflowPunct/>
        <w:topLinePunct w:val="0"/>
        <w:autoSpaceDE/>
        <w:autoSpaceDN/>
        <w:bidi w:val="0"/>
        <w:spacing w:line="360" w:lineRule="auto"/>
        <w:ind w:firstLine="0"/>
        <w:textAlignment w:val="auto"/>
        <w:rPr>
          <w:rFonts w:hAnsi="宋体"/>
          <w:sz w:val="24"/>
          <w:szCs w:val="24"/>
        </w:rPr>
      </w:pPr>
    </w:p>
    <w:p w14:paraId="39E9652B">
      <w:pPr>
        <w:pStyle w:val="277"/>
        <w:keepNext w:val="0"/>
        <w:keepLines w:val="0"/>
        <w:pageBreakBefore w:val="0"/>
        <w:kinsoku/>
        <w:wordWrap/>
        <w:overflowPunct/>
        <w:topLinePunct w:val="0"/>
        <w:autoSpaceDE/>
        <w:autoSpaceDN/>
        <w:bidi w:val="0"/>
        <w:spacing w:line="360" w:lineRule="auto"/>
        <w:ind w:firstLine="0"/>
        <w:textAlignment w:val="auto"/>
        <w:rPr>
          <w:rFonts w:hAnsi="宋体"/>
          <w:sz w:val="24"/>
          <w:szCs w:val="24"/>
        </w:rPr>
      </w:pPr>
    </w:p>
    <w:p w14:paraId="03593FF2">
      <w:pPr>
        <w:pStyle w:val="277"/>
        <w:keepNext w:val="0"/>
        <w:keepLines w:val="0"/>
        <w:pageBreakBefore w:val="0"/>
        <w:kinsoku/>
        <w:wordWrap/>
        <w:overflowPunct/>
        <w:topLinePunct w:val="0"/>
        <w:autoSpaceDE/>
        <w:autoSpaceDN/>
        <w:bidi w:val="0"/>
        <w:spacing w:line="360" w:lineRule="auto"/>
        <w:ind w:firstLine="0"/>
        <w:textAlignment w:val="auto"/>
        <w:rPr>
          <w:rFonts w:hAnsi="宋体"/>
          <w:sz w:val="24"/>
          <w:szCs w:val="24"/>
        </w:rPr>
      </w:pPr>
    </w:p>
    <w:p w14:paraId="52E20B7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r>
        <w:rPr>
          <w:rFonts w:hint="eastAsia" w:hAnsi="宋体"/>
          <w:sz w:val="24"/>
          <w:szCs w:val="24"/>
        </w:rPr>
        <w:t>（技术方案及服务管理方案的内容编排等由投标人自定）</w:t>
      </w:r>
    </w:p>
    <w:p w14:paraId="1B604965">
      <w:pPr>
        <w:keepNext w:val="0"/>
        <w:keepLines w:val="0"/>
        <w:pageBreakBefore w:val="0"/>
        <w:kinsoku/>
        <w:wordWrap/>
        <w:overflowPunct/>
        <w:topLinePunct w:val="0"/>
        <w:autoSpaceDE/>
        <w:autoSpaceDN/>
        <w:bidi w:val="0"/>
        <w:spacing w:line="360" w:lineRule="auto"/>
        <w:textAlignment w:val="auto"/>
        <w:rPr>
          <w:rFonts w:hAnsi="宋体"/>
          <w:sz w:val="24"/>
          <w:szCs w:val="24"/>
        </w:rPr>
      </w:pPr>
    </w:p>
    <w:p w14:paraId="1445762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AD1F53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65E1235">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7CCFCF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4B9F52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0D74C37">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F60A9C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EEA764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CC1351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BEA6FB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E33706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6A1DA6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69AD3E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E4DE3B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0F26E3FC">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70232F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A1E086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9D7B98B">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58C574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796F74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407B93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36D6BA0">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B805748">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93CE00C">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13</w:t>
      </w:r>
      <w:r>
        <w:rPr>
          <w:rFonts w:hint="eastAsia" w:hAnsi="宋体"/>
          <w:b/>
          <w:bCs/>
          <w:sz w:val="24"/>
          <w:szCs w:val="24"/>
        </w:rPr>
        <w:t>、中小企业声明函</w:t>
      </w:r>
    </w:p>
    <w:p w14:paraId="734024E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5106E1A">
      <w:pPr>
        <w:keepNext w:val="0"/>
        <w:keepLines w:val="0"/>
        <w:pageBreakBefore w:val="0"/>
        <w:widowControl/>
        <w:kinsoku/>
        <w:wordWrap/>
        <w:overflowPunct/>
        <w:topLinePunct w:val="0"/>
        <w:autoSpaceDE/>
        <w:autoSpaceDN/>
        <w:bidi w:val="0"/>
        <w:spacing w:line="360" w:lineRule="auto"/>
        <w:ind w:firstLine="643"/>
        <w:jc w:val="center"/>
        <w:textAlignment w:val="auto"/>
        <w:rPr>
          <w:rFonts w:hAnsi="宋体" w:cs="Times New Roman"/>
          <w:b/>
          <w:sz w:val="32"/>
          <w:szCs w:val="32"/>
          <w:lang w:val="zh-CN"/>
        </w:rPr>
      </w:pPr>
      <w:r>
        <w:rPr>
          <w:rFonts w:hint="eastAsia" w:hAnsi="宋体" w:cs="Times New Roman"/>
          <w:b/>
          <w:sz w:val="32"/>
          <w:szCs w:val="32"/>
          <w:lang w:val="zh-CN"/>
        </w:rPr>
        <w:t>中小企业声明函（货物类）</w:t>
      </w:r>
    </w:p>
    <w:p w14:paraId="0E6C92F4">
      <w:pPr>
        <w:keepNext w:val="0"/>
        <w:keepLines w:val="0"/>
        <w:pageBreakBefore w:val="0"/>
        <w:widowControl/>
        <w:kinsoku/>
        <w:wordWrap/>
        <w:overflowPunct/>
        <w:topLinePunct w:val="0"/>
        <w:autoSpaceDE/>
        <w:autoSpaceDN/>
        <w:bidi w:val="0"/>
        <w:spacing w:line="360" w:lineRule="auto"/>
        <w:ind w:firstLine="422"/>
        <w:textAlignment w:val="auto"/>
        <w:rPr>
          <w:rFonts w:hAnsi="宋体" w:cs="Times New Roman"/>
          <w:b/>
          <w:sz w:val="24"/>
          <w:szCs w:val="24"/>
        </w:rPr>
      </w:pPr>
    </w:p>
    <w:p w14:paraId="33E0CF4A">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江苏兆丰项目管理有限公司</w:t>
      </w:r>
      <w:r>
        <w:rPr>
          <w:rFonts w:hAnsi="宋体" w:cs="Times New Roman"/>
          <w:sz w:val="24"/>
          <w:szCs w:val="24"/>
        </w:rPr>
        <w:t xml:space="preserve"> </w:t>
      </w:r>
      <w:r>
        <w:rPr>
          <w:rFonts w:hint="eastAsia" w:hAnsi="宋体" w:cs="Times New Roman"/>
          <w:sz w:val="24"/>
          <w:szCs w:val="24"/>
        </w:rPr>
        <w:t>：</w:t>
      </w:r>
    </w:p>
    <w:p w14:paraId="2011A7EF">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本公司</w:t>
      </w:r>
      <w:r>
        <w:rPr>
          <w:rFonts w:hint="eastAsia" w:hAnsi="宋体" w:cs="Times New Roman"/>
          <w:sz w:val="24"/>
          <w:szCs w:val="24"/>
          <w:u w:val="single"/>
        </w:rPr>
        <w:t xml:space="preserve">                   </w:t>
      </w:r>
      <w:r>
        <w:rPr>
          <w:rFonts w:hint="eastAsia" w:hAnsi="宋体" w:cs="Times New Roman"/>
          <w:sz w:val="24"/>
          <w:szCs w:val="24"/>
        </w:rPr>
        <w:t>郑重声明，根据《政府采购促进中小企业发展管理办法》（财库﹝2020﹞46 号）的规定，本公司</w:t>
      </w:r>
      <w:r>
        <w:rPr>
          <w:rFonts w:hint="eastAsia" w:hAnsi="宋体" w:cs="Times New Roman"/>
          <w:sz w:val="24"/>
          <w:szCs w:val="24"/>
          <w:u w:val="single"/>
        </w:rPr>
        <w:t xml:space="preserve">          </w:t>
      </w:r>
      <w:r>
        <w:rPr>
          <w:rFonts w:hint="eastAsia" w:hAnsi="宋体" w:cs="Times New Roman"/>
          <w:sz w:val="24"/>
          <w:szCs w:val="24"/>
        </w:rPr>
        <w:t>参加</w:t>
      </w:r>
      <w:r>
        <w:rPr>
          <w:rFonts w:hint="eastAsia" w:hAnsi="宋体" w:cs="Times New Roman"/>
          <w:sz w:val="24"/>
          <w:szCs w:val="24"/>
          <w:u w:val="single"/>
        </w:rPr>
        <w:t xml:space="preserve">                    </w:t>
      </w:r>
      <w:r>
        <w:rPr>
          <w:rFonts w:hint="eastAsia" w:hAnsi="宋体" w:cs="Times New Roman"/>
          <w:sz w:val="24"/>
          <w:szCs w:val="24"/>
        </w:rPr>
        <w:t>的采购活动，提供的货物</w:t>
      </w:r>
      <w:r>
        <w:rPr>
          <w:rFonts w:hint="eastAsia" w:hAnsi="宋体" w:cs="Times New Roman"/>
          <w:b/>
          <w:bCs/>
          <w:sz w:val="24"/>
          <w:szCs w:val="24"/>
        </w:rPr>
        <w:t>全部</w:t>
      </w:r>
      <w:r>
        <w:rPr>
          <w:rFonts w:hint="eastAsia" w:hAnsi="宋体" w:cs="Times New Roman"/>
          <w:sz w:val="24"/>
          <w:szCs w:val="24"/>
        </w:rPr>
        <w:t>由符合政策要求的下列中小企业制造。相关企业（含联合体中的中小企业、签订分包意向协议的中小企业）的具体情况如下：</w:t>
      </w:r>
    </w:p>
    <w:p w14:paraId="6A0BE18F">
      <w:pPr>
        <w:keepNext w:val="0"/>
        <w:keepLines w:val="0"/>
        <w:pageBreakBefore w:val="0"/>
        <w:widowControl/>
        <w:kinsoku/>
        <w:wordWrap/>
        <w:overflowPunct/>
        <w:topLinePunct w:val="0"/>
        <w:autoSpaceDE/>
        <w:autoSpaceDN/>
        <w:bidi w:val="0"/>
        <w:spacing w:line="360" w:lineRule="auto"/>
        <w:ind w:firstLine="422"/>
        <w:textAlignment w:val="auto"/>
        <w:rPr>
          <w:rFonts w:hAnsi="宋体" w:cs="Times New Roman"/>
          <w:sz w:val="24"/>
          <w:szCs w:val="24"/>
          <w:u w:val="single"/>
        </w:rPr>
      </w:pPr>
      <w:r>
        <w:rPr>
          <w:rFonts w:hint="eastAsia" w:hAnsi="宋体" w:cs="Times New Roman"/>
          <w:b/>
          <w:sz w:val="24"/>
          <w:szCs w:val="24"/>
        </w:rPr>
        <w:t>1、</w:t>
      </w:r>
      <w:r>
        <w:rPr>
          <w:rFonts w:hint="eastAsia" w:hAnsi="宋体" w:cs="Times New Roman"/>
          <w:b/>
          <w:sz w:val="24"/>
          <w:szCs w:val="24"/>
          <w:u w:val="single"/>
          <w:lang w:val="zh-CN"/>
        </w:rPr>
        <w:t xml:space="preserve">  ……        </w:t>
      </w:r>
      <w:r>
        <w:rPr>
          <w:rFonts w:hint="eastAsia" w:hAnsi="宋体" w:cs="Times New Roman"/>
          <w:b/>
          <w:bCs/>
          <w:sz w:val="24"/>
          <w:szCs w:val="24"/>
          <w:u w:val="single"/>
        </w:rPr>
        <w:t xml:space="preserve"> </w:t>
      </w:r>
      <w:r>
        <w:rPr>
          <w:rFonts w:hint="eastAsia" w:hAnsi="宋体" w:cs="Times New Roman"/>
          <w:b/>
          <w:bCs/>
          <w:sz w:val="24"/>
          <w:szCs w:val="24"/>
        </w:rPr>
        <w:t>，属于</w:t>
      </w:r>
      <w:r>
        <w:rPr>
          <w:rFonts w:hint="eastAsia" w:hAnsi="宋体" w:cs="Times New Roman"/>
          <w:b/>
          <w:bCs/>
          <w:sz w:val="24"/>
          <w:szCs w:val="24"/>
          <w:u w:val="single"/>
        </w:rPr>
        <w:t xml:space="preserve">  工业  </w:t>
      </w:r>
      <w:r>
        <w:rPr>
          <w:rFonts w:hint="eastAsia" w:hAnsi="宋体" w:cs="Times New Roman"/>
          <w:sz w:val="24"/>
          <w:szCs w:val="24"/>
        </w:rPr>
        <w:t>；制造商</w:t>
      </w:r>
      <w:r>
        <w:rPr>
          <w:rFonts w:hint="eastAsia" w:hAnsi="宋体" w:cs="Times New Roman"/>
          <w:sz w:val="24"/>
          <w:szCs w:val="24"/>
          <w:u w:val="single"/>
        </w:rPr>
        <w:t xml:space="preserve">              </w:t>
      </w:r>
      <w:r>
        <w:rPr>
          <w:rFonts w:hint="eastAsia" w:hAnsi="宋体" w:cs="Times New Roman"/>
          <w:sz w:val="24"/>
          <w:szCs w:val="24"/>
        </w:rPr>
        <w:t>（企业名称），从业人员</w:t>
      </w:r>
      <w:r>
        <w:rPr>
          <w:rFonts w:hint="eastAsia" w:hAnsi="宋体" w:cs="Times New Roman"/>
          <w:sz w:val="24"/>
          <w:szCs w:val="24"/>
          <w:u w:val="single"/>
        </w:rPr>
        <w:t xml:space="preserve">      </w:t>
      </w:r>
      <w:r>
        <w:rPr>
          <w:rFonts w:hint="eastAsia" w:hAnsi="宋体" w:cs="Times New Roman"/>
          <w:sz w:val="24"/>
          <w:szCs w:val="24"/>
        </w:rPr>
        <w:t>人，营业收入为</w:t>
      </w:r>
      <w:r>
        <w:rPr>
          <w:rFonts w:hint="eastAsia" w:hAnsi="宋体" w:cs="Times New Roman"/>
          <w:sz w:val="24"/>
          <w:szCs w:val="24"/>
          <w:u w:val="single"/>
        </w:rPr>
        <w:t xml:space="preserve">       </w:t>
      </w:r>
      <w:r>
        <w:rPr>
          <w:rFonts w:hint="eastAsia" w:hAnsi="宋体" w:cs="Times New Roman"/>
          <w:sz w:val="24"/>
          <w:szCs w:val="24"/>
        </w:rPr>
        <w:t>万元，资产总额为</w:t>
      </w:r>
      <w:r>
        <w:rPr>
          <w:rFonts w:hint="eastAsia" w:hAnsi="宋体" w:cs="Times New Roman"/>
          <w:sz w:val="24"/>
          <w:szCs w:val="24"/>
          <w:u w:val="single"/>
        </w:rPr>
        <w:t xml:space="preserve">       </w:t>
      </w:r>
      <w:r>
        <w:rPr>
          <w:rFonts w:hint="eastAsia" w:hAnsi="宋体" w:cs="Times New Roman"/>
          <w:sz w:val="24"/>
          <w:szCs w:val="24"/>
        </w:rPr>
        <w:t>万元，制造商属于</w:t>
      </w:r>
      <w:r>
        <w:rPr>
          <w:rFonts w:hint="eastAsia" w:hAnsi="宋体" w:cs="Times New Roman"/>
          <w:sz w:val="24"/>
          <w:szCs w:val="24"/>
          <w:u w:val="single"/>
        </w:rPr>
        <w:t xml:space="preserve">     </w:t>
      </w:r>
      <w:r>
        <w:rPr>
          <w:rFonts w:hint="eastAsia" w:hAnsi="宋体" w:cs="Times New Roman"/>
          <w:sz w:val="24"/>
          <w:szCs w:val="24"/>
        </w:rPr>
        <w:t>（中型企业、小型企业、微型企业，</w:t>
      </w:r>
      <w:r>
        <w:rPr>
          <w:rFonts w:hint="eastAsia" w:hAnsi="宋体" w:cs="Times New Roman"/>
          <w:b/>
          <w:sz w:val="24"/>
          <w:szCs w:val="24"/>
          <w:u w:val="single"/>
        </w:rPr>
        <w:t>三选一填写</w:t>
      </w:r>
      <w:r>
        <w:rPr>
          <w:rFonts w:hint="eastAsia" w:hAnsi="宋体" w:cs="Times New Roman"/>
          <w:sz w:val="24"/>
          <w:szCs w:val="24"/>
        </w:rPr>
        <w:t>）；</w:t>
      </w:r>
    </w:p>
    <w:p w14:paraId="410167B7">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w:t>
      </w:r>
    </w:p>
    <w:p w14:paraId="060C37A1">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以上企业，不属于大企业的分支机构，不存在控股股东为大企业的情形，也不存在与大企业的负责人为同一人的情形。</w:t>
      </w:r>
    </w:p>
    <w:p w14:paraId="44B15E90">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本企业对上述声明内容的真实性负责。如有虚假，将依法承担相应责任。</w:t>
      </w:r>
    </w:p>
    <w:p w14:paraId="51BF07C4">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p>
    <w:p w14:paraId="6169463C">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企业名称（盖章）：</w:t>
      </w:r>
    </w:p>
    <w:p w14:paraId="78286F4D">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r>
        <w:rPr>
          <w:rFonts w:hint="eastAsia" w:hAnsi="宋体" w:cs="Times New Roman"/>
          <w:sz w:val="24"/>
          <w:szCs w:val="24"/>
        </w:rPr>
        <w:t>日 期：</w:t>
      </w:r>
    </w:p>
    <w:p w14:paraId="6A879518">
      <w:pPr>
        <w:keepNext w:val="0"/>
        <w:keepLines w:val="0"/>
        <w:pageBreakBefore w:val="0"/>
        <w:widowControl/>
        <w:kinsoku/>
        <w:wordWrap/>
        <w:overflowPunct/>
        <w:topLinePunct w:val="0"/>
        <w:autoSpaceDE/>
        <w:autoSpaceDN/>
        <w:bidi w:val="0"/>
        <w:spacing w:line="360" w:lineRule="auto"/>
        <w:ind w:firstLine="420"/>
        <w:textAlignment w:val="auto"/>
        <w:rPr>
          <w:rFonts w:hAnsi="宋体" w:cs="Times New Roman"/>
          <w:sz w:val="24"/>
          <w:szCs w:val="24"/>
        </w:rPr>
      </w:pPr>
    </w:p>
    <w:p w14:paraId="016EAEB8">
      <w:pPr>
        <w:keepNext w:val="0"/>
        <w:keepLines w:val="0"/>
        <w:pageBreakBefore w:val="0"/>
        <w:widowControl/>
        <w:kinsoku/>
        <w:wordWrap/>
        <w:overflowPunct/>
        <w:topLinePunct w:val="0"/>
        <w:autoSpaceDE/>
        <w:autoSpaceDN/>
        <w:bidi w:val="0"/>
        <w:spacing w:after="200" w:line="360" w:lineRule="auto"/>
        <w:ind w:firstLine="440"/>
        <w:textAlignment w:val="auto"/>
        <w:rPr>
          <w:rFonts w:ascii="Calibri" w:hAnsi="Calibri" w:eastAsia="Arial" w:cs="Calibri"/>
          <w:sz w:val="24"/>
          <w:szCs w:val="24"/>
        </w:rPr>
      </w:pPr>
      <w:r>
        <w:fldChar w:fldCharType="begin"/>
      </w:r>
      <w:r>
        <w:instrText xml:space="preserve"> HYPERLINK \l "_bookmark1" </w:instrText>
      </w:r>
      <w:r>
        <w:fldChar w:fldCharType="separate"/>
      </w:r>
      <w:r>
        <w:rPr>
          <w:rFonts w:ascii="Arial" w:hAnsi="Arial" w:eastAsia="Arial" w:cs="Times New Roman"/>
          <w:position w:val="16"/>
          <w:sz w:val="24"/>
          <w:szCs w:val="24"/>
        </w:rPr>
        <w:t>1</w:t>
      </w:r>
      <w:r>
        <w:rPr>
          <w:rFonts w:ascii="Arial" w:hAnsi="Arial" w:eastAsia="Arial" w:cs="Times New Roman"/>
          <w:position w:val="16"/>
          <w:sz w:val="24"/>
          <w:szCs w:val="24"/>
        </w:rPr>
        <w:fldChar w:fldCharType="end"/>
      </w:r>
      <w:r>
        <w:rPr>
          <w:rFonts w:hint="eastAsia" w:ascii="Calibri" w:hAnsi="Calibri" w:eastAsia="Arial" w:cs="Calibri"/>
          <w:sz w:val="24"/>
          <w:szCs w:val="24"/>
        </w:rPr>
        <w:t>从业人员、营业收入、资产总额填报上一年度数据，无上一年度数据的新成立企业可不填报。</w:t>
      </w:r>
    </w:p>
    <w:p w14:paraId="2C397F54">
      <w:pPr>
        <w:keepNext w:val="0"/>
        <w:keepLines w:val="0"/>
        <w:pageBreakBefore w:val="0"/>
        <w:widowControl/>
        <w:kinsoku/>
        <w:wordWrap/>
        <w:overflowPunct/>
        <w:topLinePunct w:val="0"/>
        <w:autoSpaceDE/>
        <w:autoSpaceDN/>
        <w:bidi w:val="0"/>
        <w:spacing w:after="200" w:line="360" w:lineRule="auto"/>
        <w:ind w:firstLine="480"/>
        <w:textAlignment w:val="auto"/>
        <w:rPr>
          <w:rFonts w:ascii="Calibri" w:hAnsi="Calibri" w:eastAsia="Arial" w:cs="Calibri"/>
          <w:sz w:val="24"/>
          <w:szCs w:val="24"/>
        </w:rPr>
      </w:pPr>
      <w:r>
        <w:rPr>
          <w:rFonts w:hint="eastAsia" w:ascii="Calibri" w:hAnsi="Calibri" w:eastAsia="Arial" w:cs="Calibri"/>
          <w:sz w:val="24"/>
          <w:szCs w:val="24"/>
        </w:rPr>
        <w:t>备注：</w:t>
      </w:r>
    </w:p>
    <w:p w14:paraId="3B489ACC">
      <w:pPr>
        <w:keepNext w:val="0"/>
        <w:keepLines w:val="0"/>
        <w:pageBreakBefore w:val="0"/>
        <w:widowControl/>
        <w:kinsoku/>
        <w:wordWrap/>
        <w:overflowPunct/>
        <w:topLinePunct w:val="0"/>
        <w:autoSpaceDE/>
        <w:autoSpaceDN/>
        <w:bidi w:val="0"/>
        <w:spacing w:after="200" w:line="360" w:lineRule="auto"/>
        <w:ind w:firstLine="480"/>
        <w:textAlignment w:val="auto"/>
        <w:rPr>
          <w:rFonts w:ascii="Calibri" w:hAnsi="Calibri" w:eastAsia="Arial" w:cs="Calibri"/>
          <w:sz w:val="24"/>
          <w:szCs w:val="24"/>
        </w:rPr>
      </w:pPr>
      <w:r>
        <w:rPr>
          <w:rFonts w:hint="eastAsia" w:ascii="Calibri" w:hAnsi="Calibri" w:eastAsia="Arial" w:cs="Calibri"/>
          <w:sz w:val="24"/>
          <w:szCs w:val="24"/>
        </w:rPr>
        <w:t>1、本项目专门面向中小企业采购，投标人应提供中小企业声明函或残疾人福利性单位声明函或省级以上监狱管理局、戒毒管理局（含新疆生产建设兵团）出具的属于监狱企业的证明文件,否则视为投标无效。</w:t>
      </w:r>
    </w:p>
    <w:p w14:paraId="4831AB5C">
      <w:pPr>
        <w:keepNext w:val="0"/>
        <w:keepLines w:val="0"/>
        <w:pageBreakBefore w:val="0"/>
        <w:widowControl/>
        <w:kinsoku/>
        <w:wordWrap/>
        <w:overflowPunct/>
        <w:topLinePunct w:val="0"/>
        <w:autoSpaceDE/>
        <w:autoSpaceDN/>
        <w:bidi w:val="0"/>
        <w:spacing w:after="200" w:line="360" w:lineRule="auto"/>
        <w:ind w:firstLine="480"/>
        <w:textAlignment w:val="auto"/>
        <w:rPr>
          <w:rFonts w:ascii="Calibri" w:hAnsi="Calibri" w:eastAsia="Arial" w:cs="Calibri"/>
          <w:sz w:val="24"/>
          <w:szCs w:val="24"/>
        </w:rPr>
      </w:pPr>
      <w:r>
        <w:rPr>
          <w:rFonts w:hint="eastAsia" w:ascii="Calibri" w:hAnsi="Calibri" w:eastAsia="Arial" w:cs="Calibri"/>
          <w:sz w:val="24"/>
          <w:szCs w:val="24"/>
        </w:rPr>
        <w:t>2、投标人提供的中小企业声明函必须包含本项目所有货物及其货物制造商，并按照声明函格式填写完整、明确，否则视为未按规定提供声明函，投标无效。</w:t>
      </w:r>
    </w:p>
    <w:p w14:paraId="30884FDC">
      <w:pPr>
        <w:keepNext w:val="0"/>
        <w:keepLines w:val="0"/>
        <w:pageBreakBefore w:val="0"/>
        <w:widowControl/>
        <w:kinsoku/>
        <w:wordWrap/>
        <w:overflowPunct/>
        <w:topLinePunct w:val="0"/>
        <w:autoSpaceDE/>
        <w:autoSpaceDN/>
        <w:bidi w:val="0"/>
        <w:spacing w:after="200" w:line="360" w:lineRule="auto"/>
        <w:ind w:firstLine="480"/>
        <w:textAlignment w:val="auto"/>
        <w:rPr>
          <w:rFonts w:ascii="Arial" w:hAnsi="Arial" w:eastAsia="Arial" w:cs="Times New Roman"/>
        </w:rPr>
      </w:pPr>
      <w:r>
        <w:rPr>
          <w:rFonts w:hint="eastAsia" w:ascii="Calibri" w:hAnsi="Calibri" w:eastAsia="Arial" w:cs="Calibri"/>
          <w:sz w:val="24"/>
          <w:szCs w:val="24"/>
        </w:rPr>
        <w:t>3、中标、成交供应商享受规定的中小企业扶持政策的，《中小企业声明函》应当随中标、成交结果同时公告，接受社会监督。</w:t>
      </w:r>
    </w:p>
    <w:p w14:paraId="0078F109">
      <w:pPr>
        <w:keepNext w:val="0"/>
        <w:keepLines w:val="0"/>
        <w:pageBreakBefore w:val="0"/>
        <w:kinsoku/>
        <w:wordWrap/>
        <w:overflowPunct/>
        <w:topLinePunct w:val="0"/>
        <w:autoSpaceDE/>
        <w:autoSpaceDN/>
        <w:bidi w:val="0"/>
        <w:spacing w:line="360" w:lineRule="auto"/>
        <w:textAlignment w:val="auto"/>
        <w:rPr>
          <w:rFonts w:hAnsi="宋体"/>
          <w:b/>
          <w:bCs/>
          <w:sz w:val="24"/>
          <w:szCs w:val="24"/>
        </w:rPr>
        <w:sectPr>
          <w:pgSz w:w="11906" w:h="16838"/>
          <w:pgMar w:top="1361" w:right="1304" w:bottom="1304" w:left="1361" w:header="851" w:footer="992" w:gutter="0"/>
          <w:cols w:space="720" w:num="1"/>
          <w:docGrid w:linePitch="360" w:charSpace="0"/>
        </w:sectPr>
      </w:pPr>
    </w:p>
    <w:p w14:paraId="30BD0E1D">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Ansi="宋体"/>
          <w:b/>
          <w:bCs/>
          <w:sz w:val="24"/>
          <w:szCs w:val="24"/>
        </w:rPr>
        <w:t>14、残疾人福利性单位声明函（如有）</w:t>
      </w:r>
    </w:p>
    <w:p w14:paraId="6C5EEFC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3CBF980">
      <w:pPr>
        <w:keepNext w:val="0"/>
        <w:keepLines w:val="0"/>
        <w:pageBreakBefore w:val="0"/>
        <w:kinsoku/>
        <w:wordWrap/>
        <w:overflowPunct/>
        <w:topLinePunct w:val="0"/>
        <w:autoSpaceDE/>
        <w:autoSpaceDN/>
        <w:bidi w:val="0"/>
        <w:spacing w:line="360" w:lineRule="auto"/>
        <w:jc w:val="center"/>
        <w:textAlignment w:val="auto"/>
        <w:rPr>
          <w:rFonts w:hAnsi="宋体"/>
          <w:sz w:val="24"/>
          <w:szCs w:val="24"/>
        </w:rPr>
      </w:pPr>
      <w:r>
        <w:rPr>
          <w:rFonts w:hint="eastAsia" w:hAnsi="宋体"/>
          <w:sz w:val="24"/>
          <w:szCs w:val="24"/>
        </w:rPr>
        <w:t>残疾人福利性单位声明函</w:t>
      </w:r>
    </w:p>
    <w:p w14:paraId="5B91143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4E509A8">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本单位郑重声明，根据《财政部</w:t>
      </w:r>
      <w:r>
        <w:rPr>
          <w:rFonts w:hAnsi="宋体"/>
          <w:sz w:val="24"/>
          <w:szCs w:val="24"/>
        </w:rPr>
        <w:t xml:space="preserve">  </w:t>
      </w:r>
      <w:r>
        <w:rPr>
          <w:rFonts w:hint="eastAsia" w:hAnsi="宋体"/>
          <w:sz w:val="24"/>
          <w:szCs w:val="24"/>
        </w:rPr>
        <w:t>民政部</w:t>
      </w:r>
      <w:r>
        <w:rPr>
          <w:rFonts w:hAnsi="宋体"/>
          <w:sz w:val="24"/>
          <w:szCs w:val="24"/>
        </w:rPr>
        <w:t xml:space="preserve">  </w:t>
      </w:r>
      <w:r>
        <w:rPr>
          <w:rFonts w:hint="eastAsia" w:hAnsi="宋体"/>
          <w:sz w:val="24"/>
          <w:szCs w:val="24"/>
        </w:rPr>
        <w:t>中国残疾人联合会关于促进残疾人就业政府采购政策的通知》（财库〔</w:t>
      </w:r>
      <w:r>
        <w:rPr>
          <w:rFonts w:hAnsi="宋体"/>
          <w:sz w:val="24"/>
          <w:szCs w:val="24"/>
        </w:rPr>
        <w:t>2017</w:t>
      </w:r>
      <w:r>
        <w:rPr>
          <w:rFonts w:hint="eastAsia" w:hAnsi="宋体"/>
          <w:sz w:val="24"/>
          <w:szCs w:val="24"/>
        </w:rPr>
        <w:t>〕</w:t>
      </w:r>
      <w:r>
        <w:rPr>
          <w:rFonts w:hAnsi="宋体"/>
          <w:sz w:val="24"/>
          <w:szCs w:val="24"/>
        </w:rPr>
        <w:t>141</w:t>
      </w:r>
      <w:r>
        <w:rPr>
          <w:rFonts w:hint="eastAsia" w:hAnsi="宋体"/>
          <w:sz w:val="24"/>
          <w:szCs w:val="24"/>
        </w:rPr>
        <w:t>号）的规定，本单位为符合条件的残疾人福利性单位，且本单位参加</w:t>
      </w:r>
      <w:r>
        <w:rPr>
          <w:rFonts w:hAnsi="宋体"/>
          <w:sz w:val="24"/>
          <w:szCs w:val="24"/>
        </w:rPr>
        <w:t>______</w:t>
      </w:r>
      <w:r>
        <w:rPr>
          <w:rFonts w:hint="eastAsia" w:hAnsi="宋体"/>
          <w:sz w:val="24"/>
          <w:szCs w:val="24"/>
        </w:rPr>
        <w:t>单位的</w:t>
      </w:r>
      <w:r>
        <w:rPr>
          <w:rFonts w:hAnsi="宋体"/>
          <w:sz w:val="24"/>
          <w:szCs w:val="24"/>
        </w:rPr>
        <w:t>______</w:t>
      </w:r>
      <w:r>
        <w:rPr>
          <w:rFonts w:hint="eastAsia" w:hAnsi="宋体"/>
          <w:sz w:val="24"/>
          <w:szCs w:val="24"/>
        </w:rPr>
        <w:t>项目采购活动提供本单位制造的货物（由本单位承担工程</w:t>
      </w:r>
      <w:r>
        <w:rPr>
          <w:rFonts w:hAnsi="宋体"/>
          <w:sz w:val="24"/>
          <w:szCs w:val="24"/>
        </w:rPr>
        <w:t>/</w:t>
      </w:r>
      <w:r>
        <w:rPr>
          <w:rFonts w:hint="eastAsia" w:hAnsi="宋体"/>
          <w:sz w:val="24"/>
          <w:szCs w:val="24"/>
        </w:rPr>
        <w:t>提供服务），或者提供其他残疾人福利性单位制造的货物（不包括使用非残疾人福利性单位注册商标的货物）。</w:t>
      </w:r>
    </w:p>
    <w:p w14:paraId="127F550B">
      <w:pPr>
        <w:keepNext w:val="0"/>
        <w:keepLines w:val="0"/>
        <w:pageBreakBefore w:val="0"/>
        <w:kinsoku/>
        <w:wordWrap/>
        <w:overflowPunct/>
        <w:topLinePunct w:val="0"/>
        <w:autoSpaceDE/>
        <w:autoSpaceDN/>
        <w:bidi w:val="0"/>
        <w:spacing w:line="360" w:lineRule="auto"/>
        <w:ind w:firstLine="420"/>
        <w:textAlignment w:val="auto"/>
        <w:rPr>
          <w:rFonts w:hAnsi="宋体"/>
          <w:sz w:val="24"/>
          <w:szCs w:val="24"/>
        </w:rPr>
      </w:pPr>
      <w:r>
        <w:rPr>
          <w:rFonts w:hint="eastAsia" w:hAnsi="宋体"/>
          <w:sz w:val="24"/>
          <w:szCs w:val="24"/>
        </w:rPr>
        <w:t>本单位对上述声明的真实性负责。如有虚假，将依法承担相应责任。</w:t>
      </w:r>
    </w:p>
    <w:p w14:paraId="0FCD68D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1F1652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B9DA96D">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Ansi="宋体"/>
          <w:sz w:val="24"/>
          <w:szCs w:val="24"/>
        </w:rPr>
        <w:t xml:space="preserve">                                         </w:t>
      </w:r>
      <w:r>
        <w:rPr>
          <w:rFonts w:hint="eastAsia" w:hAnsi="宋体"/>
          <w:sz w:val="24"/>
          <w:szCs w:val="24"/>
        </w:rPr>
        <w:t>单位名称（盖章）：</w:t>
      </w:r>
    </w:p>
    <w:p w14:paraId="3CF879B0">
      <w:pPr>
        <w:keepNext w:val="0"/>
        <w:keepLines w:val="0"/>
        <w:pageBreakBefore w:val="0"/>
        <w:kinsoku/>
        <w:wordWrap/>
        <w:overflowPunct/>
        <w:topLinePunct w:val="0"/>
        <w:autoSpaceDE/>
        <w:autoSpaceDN/>
        <w:bidi w:val="0"/>
        <w:spacing w:line="360" w:lineRule="auto"/>
        <w:textAlignment w:val="auto"/>
        <w:rPr>
          <w:rFonts w:hAnsi="宋体"/>
          <w:sz w:val="24"/>
          <w:szCs w:val="24"/>
        </w:rPr>
      </w:pPr>
      <w:r>
        <w:rPr>
          <w:rFonts w:hAnsi="宋体"/>
          <w:sz w:val="24"/>
          <w:szCs w:val="24"/>
        </w:rPr>
        <w:t xml:space="preserve">                                           </w:t>
      </w:r>
      <w:r>
        <w:rPr>
          <w:rFonts w:hint="eastAsia" w:hAnsi="宋体"/>
          <w:sz w:val="24"/>
          <w:szCs w:val="24"/>
        </w:rPr>
        <w:t>日</w:t>
      </w:r>
      <w:r>
        <w:rPr>
          <w:rFonts w:hAnsi="宋体"/>
          <w:sz w:val="24"/>
          <w:szCs w:val="24"/>
        </w:rPr>
        <w:t> </w:t>
      </w:r>
      <w:r>
        <w:rPr>
          <w:rFonts w:hint="eastAsia" w:hAnsi="宋体"/>
          <w:sz w:val="24"/>
          <w:szCs w:val="24"/>
        </w:rPr>
        <w:t>期：</w:t>
      </w:r>
    </w:p>
    <w:p w14:paraId="7E107AC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3B1FA3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59636D9">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C3B79B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72D8E2A0">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43D4D5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CDE040F">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6D6D3B2E">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6C144D4">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4ACD06A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57F4486">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1B37A7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D282DA1">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bookmarkEnd w:id="17"/>
    <w:bookmarkEnd w:id="18"/>
    <w:bookmarkEnd w:id="19"/>
    <w:bookmarkEnd w:id="20"/>
    <w:bookmarkEnd w:id="21"/>
    <w:p w14:paraId="3D9520BD">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3601F7C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5BC44B32">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27FCD9FE">
      <w:pPr>
        <w:keepNext w:val="0"/>
        <w:keepLines w:val="0"/>
        <w:pageBreakBefore w:val="0"/>
        <w:kinsoku/>
        <w:wordWrap/>
        <w:overflowPunct/>
        <w:topLinePunct w:val="0"/>
        <w:autoSpaceDE/>
        <w:autoSpaceDN/>
        <w:bidi w:val="0"/>
        <w:spacing w:line="360" w:lineRule="auto"/>
        <w:textAlignment w:val="auto"/>
        <w:rPr>
          <w:rFonts w:hAnsi="宋体"/>
          <w:b/>
          <w:bCs/>
          <w:sz w:val="24"/>
          <w:szCs w:val="24"/>
        </w:rPr>
      </w:pPr>
      <w:r>
        <w:rPr>
          <w:rFonts w:hint="eastAsia" w:hAnsi="宋体"/>
          <w:b/>
          <w:bCs/>
          <w:sz w:val="24"/>
          <w:szCs w:val="24"/>
        </w:rPr>
        <w:t>1</w:t>
      </w:r>
      <w:r>
        <w:rPr>
          <w:rFonts w:hAnsi="宋体"/>
          <w:b/>
          <w:bCs/>
          <w:sz w:val="24"/>
          <w:szCs w:val="24"/>
        </w:rPr>
        <w:t>5</w:t>
      </w:r>
      <w:r>
        <w:rPr>
          <w:rFonts w:hint="eastAsia" w:hAnsi="宋体"/>
          <w:b/>
          <w:bCs/>
          <w:sz w:val="24"/>
          <w:szCs w:val="24"/>
        </w:rPr>
        <w:t>、拟投产品情况一览表</w:t>
      </w:r>
    </w:p>
    <w:p w14:paraId="645C5344">
      <w:pPr>
        <w:keepNext w:val="0"/>
        <w:keepLines w:val="0"/>
        <w:pageBreakBefore w:val="0"/>
        <w:kinsoku/>
        <w:wordWrap/>
        <w:overflowPunct/>
        <w:topLinePunct w:val="0"/>
        <w:autoSpaceDE/>
        <w:autoSpaceDN/>
        <w:bidi w:val="0"/>
        <w:spacing w:line="360" w:lineRule="auto"/>
        <w:textAlignment w:val="auto"/>
        <w:rPr>
          <w:rFonts w:hAnsi="宋体"/>
          <w:b/>
          <w:bCs/>
          <w:sz w:val="24"/>
          <w:szCs w:val="24"/>
        </w:rPr>
      </w:pPr>
    </w:p>
    <w:p w14:paraId="48975083">
      <w:pPr>
        <w:pStyle w:val="16"/>
        <w:keepNext w:val="0"/>
        <w:keepLines w:val="0"/>
        <w:pageBreakBefore w:val="0"/>
        <w:kinsoku/>
        <w:wordWrap/>
        <w:overflowPunct/>
        <w:topLinePunct w:val="0"/>
        <w:autoSpaceDE/>
        <w:autoSpaceDN/>
        <w:bidi w:val="0"/>
        <w:spacing w:before="0" w:line="360" w:lineRule="auto"/>
        <w:ind w:left="0"/>
        <w:jc w:val="center"/>
        <w:textAlignment w:val="auto"/>
        <w:rPr>
          <w:rFonts w:hAnsi="宋体"/>
          <w:sz w:val="24"/>
          <w:szCs w:val="24"/>
        </w:rPr>
      </w:pPr>
      <w:r>
        <w:rPr>
          <w:rFonts w:hint="eastAsia" w:hAnsi="宋体"/>
          <w:b/>
          <w:bCs/>
          <w:sz w:val="24"/>
          <w:szCs w:val="24"/>
        </w:rPr>
        <w:t>拟投产品情况一览表</w:t>
      </w:r>
    </w:p>
    <w:p w14:paraId="6F0B912A">
      <w:pPr>
        <w:pStyle w:val="16"/>
        <w:keepNext w:val="0"/>
        <w:keepLines w:val="0"/>
        <w:pageBreakBefore w:val="0"/>
        <w:kinsoku/>
        <w:wordWrap/>
        <w:overflowPunct/>
        <w:topLinePunct w:val="0"/>
        <w:autoSpaceDE/>
        <w:autoSpaceDN/>
        <w:bidi w:val="0"/>
        <w:spacing w:before="0" w:line="360" w:lineRule="auto"/>
        <w:ind w:left="0" w:firstLine="240"/>
        <w:jc w:val="both"/>
        <w:textAlignment w:val="auto"/>
        <w:rPr>
          <w:rFonts w:hAnsi="宋体"/>
          <w:sz w:val="24"/>
          <w:szCs w:val="24"/>
        </w:rPr>
      </w:pPr>
      <w:bookmarkStart w:id="23" w:name="_Hlk98143718"/>
      <w:r>
        <w:rPr>
          <w:rFonts w:hint="eastAsia" w:hAnsi="宋体"/>
          <w:sz w:val="24"/>
          <w:szCs w:val="24"/>
        </w:rPr>
        <w:t xml:space="preserve">项目编号： </w:t>
      </w:r>
      <w:r>
        <w:rPr>
          <w:rFonts w:hAnsi="宋体"/>
          <w:sz w:val="24"/>
          <w:szCs w:val="24"/>
        </w:rPr>
        <w:t xml:space="preserve">                                                 </w:t>
      </w:r>
      <w:bookmarkEnd w:id="23"/>
    </w:p>
    <w:tbl>
      <w:tblPr>
        <w:tblStyle w:val="41"/>
        <w:tblW w:w="905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96"/>
        <w:gridCol w:w="2111"/>
        <w:gridCol w:w="3139"/>
        <w:gridCol w:w="1546"/>
        <w:gridCol w:w="1567"/>
      </w:tblGrid>
      <w:tr w14:paraId="07188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3CBF97A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序号</w:t>
            </w:r>
          </w:p>
        </w:tc>
        <w:tc>
          <w:tcPr>
            <w:tcW w:w="2111" w:type="dxa"/>
            <w:vAlign w:val="center"/>
          </w:tcPr>
          <w:p w14:paraId="0413F732">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标的物名称</w:t>
            </w:r>
          </w:p>
        </w:tc>
        <w:tc>
          <w:tcPr>
            <w:tcW w:w="3139" w:type="dxa"/>
            <w:tcBorders>
              <w:bottom w:val="single" w:color="auto" w:sz="4" w:space="0"/>
              <w:right w:val="single" w:color="auto" w:sz="4" w:space="0"/>
            </w:tcBorders>
            <w:vAlign w:val="center"/>
          </w:tcPr>
          <w:p w14:paraId="31CE6E7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规格、指标参数</w:t>
            </w:r>
          </w:p>
        </w:tc>
        <w:tc>
          <w:tcPr>
            <w:tcW w:w="1546" w:type="dxa"/>
            <w:tcBorders>
              <w:right w:val="single" w:color="auto" w:sz="4" w:space="0"/>
            </w:tcBorders>
            <w:vAlign w:val="center"/>
          </w:tcPr>
          <w:p w14:paraId="07FF93A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生产企业</w:t>
            </w:r>
          </w:p>
        </w:tc>
        <w:tc>
          <w:tcPr>
            <w:tcW w:w="1567" w:type="dxa"/>
            <w:tcBorders>
              <w:right w:val="single" w:color="auto" w:sz="4" w:space="0"/>
            </w:tcBorders>
            <w:vAlign w:val="center"/>
          </w:tcPr>
          <w:p w14:paraId="1060E93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数量</w:t>
            </w:r>
          </w:p>
        </w:tc>
      </w:tr>
      <w:tr w14:paraId="226ED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2AD5725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1</w:t>
            </w:r>
          </w:p>
        </w:tc>
        <w:tc>
          <w:tcPr>
            <w:tcW w:w="2111" w:type="dxa"/>
            <w:vAlign w:val="center"/>
          </w:tcPr>
          <w:p w14:paraId="5497977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0EF9087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48BE737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36D4739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11AC9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69E0E532">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r>
              <w:rPr>
                <w:rFonts w:hint="eastAsia" w:hAnsi="宋体"/>
                <w:sz w:val="24"/>
                <w:szCs w:val="24"/>
              </w:rPr>
              <w:t>2</w:t>
            </w:r>
          </w:p>
        </w:tc>
        <w:tc>
          <w:tcPr>
            <w:tcW w:w="2111" w:type="dxa"/>
            <w:vAlign w:val="center"/>
          </w:tcPr>
          <w:p w14:paraId="031D952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62051AF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66C8420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15E515A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64D58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26B1B75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5BDBBCD3">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71EEB8E9">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1F9F6A1E">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2DD5FD00">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12803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0094C7D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4A180F58">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082D9C7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492703E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0A607D4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2DB3C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5EC10C6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1F54D76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268BE1F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592A67A6">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24789F7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03282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4BFE92A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41AD311F">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7715BD8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66E93CC4">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380DC833">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7966C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6B795DED">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6619E3C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4EF06951">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4166ED0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4994DC15">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r w14:paraId="7CC1D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696" w:type="dxa"/>
            <w:vAlign w:val="center"/>
          </w:tcPr>
          <w:p w14:paraId="20F98B36">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2111" w:type="dxa"/>
            <w:vAlign w:val="center"/>
          </w:tcPr>
          <w:p w14:paraId="1039D3EB">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3139" w:type="dxa"/>
            <w:tcBorders>
              <w:right w:val="single" w:color="auto" w:sz="4" w:space="0"/>
            </w:tcBorders>
            <w:vAlign w:val="center"/>
          </w:tcPr>
          <w:p w14:paraId="49A5534A">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46" w:type="dxa"/>
            <w:tcBorders>
              <w:right w:val="single" w:color="auto" w:sz="4" w:space="0"/>
            </w:tcBorders>
            <w:vAlign w:val="center"/>
          </w:tcPr>
          <w:p w14:paraId="532A775C">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c>
          <w:tcPr>
            <w:tcW w:w="1567" w:type="dxa"/>
            <w:tcBorders>
              <w:right w:val="single" w:color="auto" w:sz="4" w:space="0"/>
            </w:tcBorders>
            <w:vAlign w:val="center"/>
          </w:tcPr>
          <w:p w14:paraId="2D0F6960">
            <w:pPr>
              <w:keepNext w:val="0"/>
              <w:keepLines w:val="0"/>
              <w:pageBreakBefore w:val="0"/>
              <w:kinsoku/>
              <w:wordWrap/>
              <w:overflowPunct/>
              <w:topLinePunct w:val="0"/>
              <w:autoSpaceDE/>
              <w:autoSpaceDN/>
              <w:bidi w:val="0"/>
              <w:spacing w:before="120" w:after="120" w:line="360" w:lineRule="auto"/>
              <w:jc w:val="center"/>
              <w:textAlignment w:val="auto"/>
              <w:rPr>
                <w:rFonts w:hAnsi="宋体"/>
                <w:sz w:val="24"/>
                <w:szCs w:val="24"/>
              </w:rPr>
            </w:pPr>
          </w:p>
        </w:tc>
      </w:tr>
    </w:tbl>
    <w:p w14:paraId="4B65AB5C">
      <w:pPr>
        <w:pStyle w:val="296"/>
        <w:keepNext w:val="0"/>
        <w:keepLines w:val="0"/>
        <w:pageBreakBefore w:val="0"/>
        <w:kinsoku/>
        <w:wordWrap/>
        <w:overflowPunct/>
        <w:topLinePunct w:val="0"/>
        <w:autoSpaceDE/>
        <w:autoSpaceDN/>
        <w:bidi w:val="0"/>
        <w:spacing w:line="360" w:lineRule="auto"/>
        <w:ind w:firstLine="480"/>
        <w:textAlignment w:val="auto"/>
        <w:rPr>
          <w:rFonts w:hAnsi="宋体" w:eastAsia="宋体"/>
          <w:sz w:val="24"/>
          <w:szCs w:val="24"/>
        </w:rPr>
      </w:pPr>
    </w:p>
    <w:p w14:paraId="35516D76">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p>
    <w:p w14:paraId="600343FF">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r>
        <w:rPr>
          <w:rFonts w:hint="eastAsia" w:hAnsi="宋体" w:eastAsia="宋体"/>
          <w:sz w:val="24"/>
        </w:rPr>
        <w:t>投标人：（盖章）</w:t>
      </w:r>
    </w:p>
    <w:p w14:paraId="2B4DDD02">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sz w:val="24"/>
        </w:rPr>
      </w:pPr>
      <w:r>
        <w:rPr>
          <w:rFonts w:hint="eastAsia" w:hAnsi="宋体" w:eastAsia="宋体"/>
          <w:sz w:val="24"/>
        </w:rPr>
        <w:t>法定代表人或授权代理人：（签字或盖章）</w:t>
      </w:r>
    </w:p>
    <w:p w14:paraId="2947B33A">
      <w:pPr>
        <w:pStyle w:val="256"/>
        <w:keepNext w:val="0"/>
        <w:keepLines w:val="0"/>
        <w:pageBreakBefore w:val="0"/>
        <w:kinsoku/>
        <w:wordWrap/>
        <w:overflowPunct/>
        <w:topLinePunct w:val="0"/>
        <w:autoSpaceDE/>
        <w:autoSpaceDN/>
        <w:bidi w:val="0"/>
        <w:spacing w:line="360" w:lineRule="auto"/>
        <w:ind w:firstLine="480"/>
        <w:textAlignment w:val="auto"/>
        <w:rPr>
          <w:rFonts w:hAnsi="宋体" w:eastAsia="宋体"/>
          <w:b/>
          <w:sz w:val="24"/>
        </w:rPr>
      </w:pPr>
      <w:r>
        <w:rPr>
          <w:rFonts w:hint="eastAsia" w:hAnsi="宋体" w:eastAsia="宋体"/>
          <w:sz w:val="24"/>
        </w:rPr>
        <w:t>日期：年月日</w:t>
      </w:r>
    </w:p>
    <w:p w14:paraId="6AF6FA63">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4"/>
          <w:szCs w:val="24"/>
        </w:rPr>
      </w:pPr>
    </w:p>
    <w:p w14:paraId="18E68BEA">
      <w:pPr>
        <w:pStyle w:val="16"/>
        <w:keepNext w:val="0"/>
        <w:keepLines w:val="0"/>
        <w:pageBreakBefore w:val="0"/>
        <w:kinsoku/>
        <w:wordWrap/>
        <w:overflowPunct/>
        <w:topLinePunct w:val="0"/>
        <w:autoSpaceDE/>
        <w:autoSpaceDN/>
        <w:bidi w:val="0"/>
        <w:spacing w:before="0" w:line="360" w:lineRule="auto"/>
        <w:ind w:left="0"/>
        <w:jc w:val="both"/>
        <w:textAlignment w:val="auto"/>
        <w:rPr>
          <w:rFonts w:hAnsi="宋体"/>
          <w:sz w:val="21"/>
        </w:rPr>
        <w:sectPr>
          <w:pgSz w:w="11906" w:h="16838"/>
          <w:pgMar w:top="1361" w:right="1304" w:bottom="1304" w:left="1361" w:header="851" w:footer="992" w:gutter="0"/>
          <w:cols w:space="720" w:num="1"/>
          <w:docGrid w:linePitch="360" w:charSpace="0"/>
        </w:sectPr>
      </w:pPr>
    </w:p>
    <w:p w14:paraId="61A013C6">
      <w:pPr>
        <w:keepNext w:val="0"/>
        <w:keepLines w:val="0"/>
        <w:pageBreakBefore w:val="0"/>
        <w:kinsoku/>
        <w:wordWrap/>
        <w:overflowPunct/>
        <w:topLinePunct w:val="0"/>
        <w:autoSpaceDE/>
        <w:autoSpaceDN/>
        <w:bidi w:val="0"/>
        <w:spacing w:line="360" w:lineRule="auto"/>
        <w:jc w:val="center"/>
        <w:textAlignment w:val="auto"/>
        <w:outlineLvl w:val="0"/>
        <w:rPr>
          <w:rFonts w:hAnsi="宋体"/>
          <w:b/>
          <w:bCs/>
          <w:sz w:val="32"/>
          <w:szCs w:val="32"/>
        </w:rPr>
      </w:pPr>
      <w:bookmarkStart w:id="24" w:name="_Toc188363125"/>
      <w:r>
        <w:rPr>
          <w:rFonts w:hint="eastAsia" w:hAnsi="宋体"/>
          <w:b/>
          <w:bCs/>
          <w:sz w:val="32"/>
          <w:szCs w:val="32"/>
        </w:rPr>
        <w:t>第六章 合同主要条款</w:t>
      </w:r>
      <w:bookmarkEnd w:id="24"/>
    </w:p>
    <w:p w14:paraId="184BFAA4">
      <w:pPr>
        <w:pStyle w:val="16"/>
        <w:keepNext w:val="0"/>
        <w:keepLines w:val="0"/>
        <w:pageBreakBefore w:val="0"/>
        <w:kinsoku/>
        <w:wordWrap/>
        <w:overflowPunct/>
        <w:topLinePunct w:val="0"/>
        <w:autoSpaceDE/>
        <w:autoSpaceDN/>
        <w:bidi w:val="0"/>
        <w:spacing w:before="6" w:line="360" w:lineRule="auto"/>
        <w:textAlignment w:val="auto"/>
        <w:rPr>
          <w:rFonts w:ascii="仿宋" w:hAnsi="仿宋" w:eastAsia="仿宋"/>
          <w:sz w:val="41"/>
        </w:rPr>
      </w:pPr>
    </w:p>
    <w:p w14:paraId="33737D9A">
      <w:pPr>
        <w:pStyle w:val="16"/>
        <w:keepNext w:val="0"/>
        <w:keepLines w:val="0"/>
        <w:pageBreakBefore w:val="0"/>
        <w:kinsoku/>
        <w:wordWrap/>
        <w:overflowPunct/>
        <w:topLinePunct w:val="0"/>
        <w:autoSpaceDE/>
        <w:autoSpaceDN/>
        <w:bidi w:val="0"/>
        <w:spacing w:line="360" w:lineRule="auto"/>
        <w:jc w:val="center"/>
        <w:textAlignment w:val="auto"/>
        <w:rPr>
          <w:rFonts w:ascii="仿宋" w:hAnsi="仿宋" w:eastAsia="仿宋" w:cs="宋体"/>
          <w:b/>
          <w:bCs/>
          <w:spacing w:val="-20"/>
          <w:sz w:val="48"/>
          <w:szCs w:val="48"/>
        </w:rPr>
      </w:pPr>
      <w:bookmarkStart w:id="25" w:name="_Hlt16619350"/>
      <w:bookmarkStart w:id="26" w:name="_Toc20823346"/>
      <w:bookmarkStart w:id="27" w:name="_Toc120614244"/>
      <w:bookmarkStart w:id="28" w:name="_Toc16938590"/>
    </w:p>
    <w:p w14:paraId="52883143">
      <w:pPr>
        <w:pStyle w:val="16"/>
        <w:keepNext w:val="0"/>
        <w:keepLines w:val="0"/>
        <w:pageBreakBefore w:val="0"/>
        <w:kinsoku/>
        <w:wordWrap/>
        <w:overflowPunct/>
        <w:topLinePunct w:val="0"/>
        <w:autoSpaceDE/>
        <w:autoSpaceDN/>
        <w:bidi w:val="0"/>
        <w:spacing w:line="360" w:lineRule="auto"/>
        <w:jc w:val="center"/>
        <w:textAlignment w:val="auto"/>
        <w:rPr>
          <w:rFonts w:ascii="仿宋" w:hAnsi="仿宋" w:eastAsia="仿宋" w:cs="宋体"/>
          <w:b/>
          <w:bCs/>
          <w:spacing w:val="-20"/>
          <w:sz w:val="48"/>
          <w:szCs w:val="48"/>
        </w:rPr>
      </w:pPr>
    </w:p>
    <w:p w14:paraId="1CFB2AC3">
      <w:pPr>
        <w:pStyle w:val="16"/>
        <w:keepNext w:val="0"/>
        <w:keepLines w:val="0"/>
        <w:pageBreakBefore w:val="0"/>
        <w:kinsoku/>
        <w:wordWrap/>
        <w:overflowPunct/>
        <w:topLinePunct w:val="0"/>
        <w:autoSpaceDE/>
        <w:autoSpaceDN/>
        <w:bidi w:val="0"/>
        <w:spacing w:line="360" w:lineRule="auto"/>
        <w:jc w:val="center"/>
        <w:textAlignment w:val="auto"/>
        <w:rPr>
          <w:rFonts w:ascii="仿宋" w:hAnsi="仿宋" w:eastAsia="仿宋" w:cs="宋体"/>
          <w:b/>
          <w:bCs/>
          <w:spacing w:val="-20"/>
          <w:sz w:val="48"/>
          <w:szCs w:val="48"/>
        </w:rPr>
      </w:pPr>
    </w:p>
    <w:p w14:paraId="4ECA2C73">
      <w:pPr>
        <w:pStyle w:val="16"/>
        <w:keepNext w:val="0"/>
        <w:keepLines w:val="0"/>
        <w:pageBreakBefore w:val="0"/>
        <w:kinsoku/>
        <w:wordWrap/>
        <w:overflowPunct/>
        <w:topLinePunct w:val="0"/>
        <w:autoSpaceDE/>
        <w:autoSpaceDN/>
        <w:bidi w:val="0"/>
        <w:spacing w:line="360" w:lineRule="auto"/>
        <w:jc w:val="center"/>
        <w:textAlignment w:val="auto"/>
        <w:rPr>
          <w:rFonts w:ascii="仿宋" w:hAnsi="仿宋" w:eastAsia="仿宋" w:cs="宋体"/>
          <w:b/>
          <w:bCs/>
          <w:spacing w:val="-20"/>
          <w:sz w:val="48"/>
          <w:szCs w:val="48"/>
        </w:rPr>
      </w:pPr>
    </w:p>
    <w:p w14:paraId="2C14ADC4">
      <w:pPr>
        <w:pStyle w:val="16"/>
        <w:keepNext w:val="0"/>
        <w:keepLines w:val="0"/>
        <w:pageBreakBefore w:val="0"/>
        <w:kinsoku/>
        <w:wordWrap/>
        <w:overflowPunct/>
        <w:topLinePunct w:val="0"/>
        <w:autoSpaceDE/>
        <w:autoSpaceDN/>
        <w:bidi w:val="0"/>
        <w:spacing w:line="360" w:lineRule="auto"/>
        <w:jc w:val="center"/>
        <w:textAlignment w:val="auto"/>
        <w:rPr>
          <w:rFonts w:ascii="仿宋" w:hAnsi="仿宋" w:eastAsia="仿宋" w:cs="宋体"/>
          <w:b/>
          <w:bCs/>
          <w:spacing w:val="-20"/>
          <w:sz w:val="48"/>
          <w:szCs w:val="48"/>
        </w:rPr>
      </w:pPr>
      <w:r>
        <w:rPr>
          <w:rFonts w:hint="eastAsia" w:ascii="仿宋" w:hAnsi="仿宋" w:eastAsia="仿宋" w:cs="宋体"/>
          <w:b/>
          <w:bCs/>
          <w:spacing w:val="-20"/>
          <w:sz w:val="48"/>
          <w:szCs w:val="48"/>
        </w:rPr>
        <w:t>政府采购货物买卖合同</w:t>
      </w:r>
    </w:p>
    <w:p w14:paraId="68A6B93A">
      <w:pPr>
        <w:keepNext w:val="0"/>
        <w:keepLines w:val="0"/>
        <w:pageBreakBefore w:val="0"/>
        <w:kinsoku/>
        <w:wordWrap/>
        <w:overflowPunct/>
        <w:topLinePunct w:val="0"/>
        <w:autoSpaceDE/>
        <w:autoSpaceDN/>
        <w:bidi w:val="0"/>
        <w:spacing w:line="360" w:lineRule="auto"/>
        <w:textAlignment w:val="auto"/>
        <w:rPr>
          <w:rFonts w:ascii="仿宋" w:hAnsi="仿宋" w:eastAsia="仿宋"/>
          <w:b/>
          <w:bCs/>
          <w:spacing w:val="-20"/>
          <w:sz w:val="40"/>
          <w:szCs w:val="40"/>
        </w:rPr>
      </w:pPr>
    </w:p>
    <w:p w14:paraId="0D80BC50">
      <w:pPr>
        <w:keepNext w:val="0"/>
        <w:keepLines w:val="0"/>
        <w:pageBreakBefore w:val="0"/>
        <w:kinsoku/>
        <w:wordWrap/>
        <w:overflowPunct/>
        <w:topLinePunct w:val="0"/>
        <w:autoSpaceDE/>
        <w:autoSpaceDN/>
        <w:bidi w:val="0"/>
        <w:spacing w:line="360" w:lineRule="auto"/>
        <w:textAlignment w:val="auto"/>
        <w:rPr>
          <w:rFonts w:ascii="仿宋" w:hAnsi="仿宋" w:eastAsia="仿宋"/>
          <w:b/>
          <w:bCs/>
          <w:spacing w:val="-20"/>
          <w:sz w:val="40"/>
          <w:szCs w:val="40"/>
        </w:rPr>
      </w:pPr>
    </w:p>
    <w:p w14:paraId="497B538F">
      <w:pPr>
        <w:keepNext w:val="0"/>
        <w:keepLines w:val="0"/>
        <w:pageBreakBefore w:val="0"/>
        <w:kinsoku/>
        <w:wordWrap/>
        <w:overflowPunct/>
        <w:topLinePunct w:val="0"/>
        <w:autoSpaceDE/>
        <w:autoSpaceDN/>
        <w:bidi w:val="0"/>
        <w:spacing w:line="360" w:lineRule="auto"/>
        <w:textAlignment w:val="auto"/>
        <w:rPr>
          <w:rFonts w:ascii="仿宋" w:hAnsi="仿宋" w:eastAsia="仿宋"/>
          <w:b/>
          <w:bCs/>
          <w:spacing w:val="-20"/>
          <w:sz w:val="40"/>
          <w:szCs w:val="40"/>
        </w:rPr>
      </w:pPr>
    </w:p>
    <w:p w14:paraId="4DC1CC23">
      <w:pPr>
        <w:keepNext w:val="0"/>
        <w:keepLines w:val="0"/>
        <w:pageBreakBefore w:val="0"/>
        <w:kinsoku/>
        <w:wordWrap/>
        <w:overflowPunct/>
        <w:topLinePunct w:val="0"/>
        <w:autoSpaceDE/>
        <w:autoSpaceDN/>
        <w:bidi w:val="0"/>
        <w:spacing w:line="360" w:lineRule="auto"/>
        <w:ind w:left="440"/>
        <w:textAlignment w:val="auto"/>
        <w:rPr>
          <w:rFonts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u w:val="single"/>
        </w:rPr>
        <w:t xml:space="preserve">                             </w:t>
      </w:r>
    </w:p>
    <w:p w14:paraId="6FDBD31B">
      <w:pPr>
        <w:keepNext w:val="0"/>
        <w:keepLines w:val="0"/>
        <w:pageBreakBefore w:val="0"/>
        <w:kinsoku/>
        <w:wordWrap/>
        <w:overflowPunct/>
        <w:topLinePunct w:val="0"/>
        <w:autoSpaceDE/>
        <w:autoSpaceDN/>
        <w:bidi w:val="0"/>
        <w:spacing w:line="360" w:lineRule="auto"/>
        <w:ind w:left="440"/>
        <w:textAlignment w:val="auto"/>
        <w:rPr>
          <w:rFonts w:ascii="仿宋" w:hAnsi="仿宋" w:eastAsia="仿宋"/>
          <w:sz w:val="32"/>
          <w:szCs w:val="32"/>
          <w:u w:val="single"/>
        </w:rPr>
      </w:pPr>
      <w:r>
        <w:rPr>
          <w:rFonts w:hint="eastAsia" w:ascii="仿宋" w:hAnsi="仿宋" w:eastAsia="仿宋"/>
          <w:sz w:val="32"/>
          <w:szCs w:val="32"/>
        </w:rPr>
        <w:t>合同编号：</w:t>
      </w:r>
      <w:r>
        <w:rPr>
          <w:rFonts w:hint="eastAsia" w:ascii="仿宋" w:hAnsi="仿宋" w:eastAsia="仿宋"/>
          <w:sz w:val="32"/>
          <w:szCs w:val="32"/>
          <w:u w:val="single"/>
        </w:rPr>
        <w:t xml:space="preserve">                             </w:t>
      </w:r>
    </w:p>
    <w:p w14:paraId="40EE1DA4">
      <w:pPr>
        <w:keepNext w:val="0"/>
        <w:keepLines w:val="0"/>
        <w:pageBreakBefore w:val="0"/>
        <w:kinsoku/>
        <w:wordWrap/>
        <w:overflowPunct/>
        <w:topLinePunct w:val="0"/>
        <w:autoSpaceDE/>
        <w:autoSpaceDN/>
        <w:bidi w:val="0"/>
        <w:spacing w:line="360" w:lineRule="auto"/>
        <w:ind w:left="440"/>
        <w:textAlignment w:val="auto"/>
        <w:rPr>
          <w:rFonts w:ascii="仿宋" w:hAnsi="仿宋" w:eastAsia="仿宋"/>
          <w:sz w:val="32"/>
          <w:szCs w:val="32"/>
        </w:rPr>
      </w:pPr>
      <w:r>
        <w:rPr>
          <w:rFonts w:hint="eastAsia" w:ascii="仿宋" w:hAnsi="仿宋" w:eastAsia="仿宋"/>
          <w:sz w:val="32"/>
          <w:szCs w:val="32"/>
        </w:rPr>
        <w:t>甲    方：</w:t>
      </w:r>
      <w:r>
        <w:rPr>
          <w:rFonts w:hint="eastAsia" w:ascii="仿宋" w:hAnsi="仿宋" w:eastAsia="仿宋"/>
          <w:sz w:val="32"/>
          <w:szCs w:val="32"/>
          <w:u w:val="single"/>
        </w:rPr>
        <w:t xml:space="preserve">                             </w:t>
      </w:r>
    </w:p>
    <w:p w14:paraId="46783CA1">
      <w:pPr>
        <w:keepNext w:val="0"/>
        <w:keepLines w:val="0"/>
        <w:pageBreakBefore w:val="0"/>
        <w:kinsoku/>
        <w:wordWrap/>
        <w:overflowPunct/>
        <w:topLinePunct w:val="0"/>
        <w:autoSpaceDE/>
        <w:autoSpaceDN/>
        <w:bidi w:val="0"/>
        <w:spacing w:line="360" w:lineRule="auto"/>
        <w:ind w:left="440"/>
        <w:textAlignment w:val="auto"/>
        <w:rPr>
          <w:rFonts w:ascii="仿宋" w:hAnsi="仿宋" w:eastAsia="仿宋"/>
          <w:sz w:val="32"/>
          <w:szCs w:val="32"/>
          <w:u w:val="single"/>
        </w:rPr>
      </w:pPr>
      <w:r>
        <w:rPr>
          <w:rFonts w:hint="eastAsia" w:ascii="仿宋" w:hAnsi="仿宋" w:eastAsia="仿宋"/>
          <w:sz w:val="32"/>
          <w:szCs w:val="32"/>
        </w:rPr>
        <w:t>乙    方：</w:t>
      </w:r>
      <w:r>
        <w:rPr>
          <w:rFonts w:hint="eastAsia" w:ascii="仿宋" w:hAnsi="仿宋" w:eastAsia="仿宋"/>
          <w:sz w:val="32"/>
          <w:szCs w:val="32"/>
          <w:u w:val="single"/>
        </w:rPr>
        <w:t xml:space="preserve">                             </w:t>
      </w:r>
    </w:p>
    <w:p w14:paraId="19DF4CD0">
      <w:pPr>
        <w:keepNext w:val="0"/>
        <w:keepLines w:val="0"/>
        <w:pageBreakBefore w:val="0"/>
        <w:kinsoku/>
        <w:wordWrap/>
        <w:overflowPunct/>
        <w:topLinePunct w:val="0"/>
        <w:autoSpaceDE/>
        <w:autoSpaceDN/>
        <w:bidi w:val="0"/>
        <w:spacing w:line="360" w:lineRule="auto"/>
        <w:ind w:left="440"/>
        <w:textAlignment w:val="auto"/>
        <w:rPr>
          <w:rFonts w:ascii="仿宋" w:hAnsi="仿宋" w:eastAsia="仿宋"/>
          <w:sz w:val="32"/>
          <w:szCs w:val="32"/>
        </w:rPr>
      </w:pPr>
      <w:r>
        <w:rPr>
          <w:rFonts w:hint="eastAsia" w:ascii="仿宋" w:hAnsi="仿宋" w:eastAsia="仿宋"/>
          <w:sz w:val="32"/>
          <w:szCs w:val="32"/>
        </w:rPr>
        <w:t>签订时间：</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u w:val="single"/>
        </w:rPr>
        <w:t xml:space="preserve">            </w:t>
      </w:r>
    </w:p>
    <w:p w14:paraId="3508AFBD">
      <w:pPr>
        <w:keepNext w:val="0"/>
        <w:keepLines w:val="0"/>
        <w:pageBreakBefore w:val="0"/>
        <w:kinsoku/>
        <w:wordWrap/>
        <w:overflowPunct/>
        <w:topLinePunct w:val="0"/>
        <w:autoSpaceDE/>
        <w:autoSpaceDN/>
        <w:bidi w:val="0"/>
        <w:spacing w:line="360" w:lineRule="auto"/>
        <w:textAlignment w:val="auto"/>
        <w:rPr>
          <w:rFonts w:ascii="仿宋" w:hAnsi="仿宋" w:eastAsia="仿宋"/>
        </w:rPr>
      </w:pPr>
    </w:p>
    <w:p w14:paraId="44CEEB4C">
      <w:pPr>
        <w:keepNext w:val="0"/>
        <w:keepLines w:val="0"/>
        <w:pageBreakBefore w:val="0"/>
        <w:kinsoku/>
        <w:wordWrap/>
        <w:overflowPunct/>
        <w:topLinePunct w:val="0"/>
        <w:autoSpaceDE/>
        <w:autoSpaceDN/>
        <w:bidi w:val="0"/>
        <w:spacing w:line="360" w:lineRule="auto"/>
        <w:textAlignment w:val="auto"/>
        <w:rPr>
          <w:rFonts w:ascii="仿宋" w:hAnsi="仿宋" w:eastAsia="仿宋"/>
          <w:sz w:val="44"/>
          <w:szCs w:val="44"/>
        </w:rPr>
      </w:pPr>
      <w:r>
        <w:rPr>
          <w:rFonts w:ascii="仿宋" w:hAnsi="仿宋" w:eastAsia="仿宋"/>
          <w:sz w:val="44"/>
          <w:szCs w:val="44"/>
        </w:rPr>
        <w:br w:type="page" w:clear="all"/>
      </w:r>
    </w:p>
    <w:p w14:paraId="25251EF8">
      <w:pPr>
        <w:keepNext w:val="0"/>
        <w:keepLines w:val="0"/>
        <w:pageBreakBefore w:val="0"/>
        <w:kinsoku/>
        <w:wordWrap/>
        <w:overflowPunct/>
        <w:topLinePunct w:val="0"/>
        <w:autoSpaceDE/>
        <w:autoSpaceDN/>
        <w:bidi w:val="0"/>
        <w:spacing w:line="360" w:lineRule="auto"/>
        <w:ind w:firstLine="880"/>
        <w:textAlignment w:val="auto"/>
        <w:rPr>
          <w:rFonts w:ascii="仿宋" w:hAnsi="仿宋" w:eastAsia="仿宋"/>
          <w:sz w:val="44"/>
          <w:szCs w:val="44"/>
        </w:rPr>
        <w:sectPr>
          <w:pgSz w:w="11906" w:h="16838"/>
          <w:pgMar w:top="1440" w:right="1800" w:bottom="1440" w:left="1800" w:header="851" w:footer="992" w:gutter="0"/>
          <w:cols w:space="425" w:num="1"/>
          <w:docGrid w:linePitch="360" w:charSpace="0"/>
        </w:sectPr>
      </w:pPr>
    </w:p>
    <w:p w14:paraId="63833365">
      <w:pPr>
        <w:pStyle w:val="3"/>
        <w:keepNext w:val="0"/>
        <w:keepLines w:val="0"/>
        <w:pageBreakBefore w:val="0"/>
        <w:kinsoku/>
        <w:wordWrap/>
        <w:overflowPunct/>
        <w:topLinePunct w:val="0"/>
        <w:autoSpaceDE/>
        <w:autoSpaceDN/>
        <w:bidi w:val="0"/>
        <w:spacing w:line="360" w:lineRule="auto"/>
        <w:ind w:left="0"/>
        <w:jc w:val="center"/>
        <w:textAlignment w:val="auto"/>
        <w:rPr>
          <w:rFonts w:ascii="仿宋" w:hAnsi="仿宋" w:eastAsia="仿宋"/>
          <w:b w:val="0"/>
          <w:bCs w:val="0"/>
          <w:sz w:val="28"/>
          <w:szCs w:val="28"/>
        </w:rPr>
      </w:pPr>
      <w:bookmarkStart w:id="29" w:name="_Toc188363126"/>
      <w:bookmarkStart w:id="30" w:name="_Toc22209"/>
      <w:r>
        <w:rPr>
          <w:rFonts w:hint="eastAsia" w:ascii="仿宋" w:hAnsi="仿宋" w:eastAsia="仿宋"/>
          <w:b w:val="0"/>
          <w:bCs w:val="0"/>
          <w:sz w:val="28"/>
          <w:szCs w:val="28"/>
        </w:rPr>
        <w:t>第一节 政府采购合同协议书</w:t>
      </w:r>
      <w:bookmarkEnd w:id="29"/>
      <w:bookmarkEnd w:id="30"/>
    </w:p>
    <w:p w14:paraId="33B0E726">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p>
    <w:p w14:paraId="12B9FD2C">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甲方（全称）：</w:t>
      </w:r>
      <w:r>
        <w:rPr>
          <w:rFonts w:hint="eastAsia" w:ascii="仿宋" w:hAnsi="仿宋" w:eastAsia="仿宋"/>
          <w:szCs w:val="21"/>
          <w:u w:val="single"/>
        </w:rPr>
        <w:t xml:space="preserve">                       </w:t>
      </w:r>
      <w:r>
        <w:rPr>
          <w:rFonts w:hint="eastAsia" w:ascii="仿宋" w:hAnsi="仿宋" w:eastAsia="仿宋"/>
          <w:szCs w:val="21"/>
        </w:rPr>
        <w:t>（采购人）</w:t>
      </w:r>
    </w:p>
    <w:p w14:paraId="2C90170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乙方（全称）：</w:t>
      </w:r>
      <w:r>
        <w:rPr>
          <w:rFonts w:hint="eastAsia" w:ascii="仿宋" w:hAnsi="仿宋" w:eastAsia="仿宋"/>
          <w:szCs w:val="21"/>
          <w:u w:val="single"/>
        </w:rPr>
        <w:t xml:space="preserve">                       </w:t>
      </w:r>
      <w:r>
        <w:rPr>
          <w:rFonts w:hint="eastAsia" w:ascii="仿宋" w:hAnsi="仿宋" w:eastAsia="仿宋"/>
          <w:szCs w:val="21"/>
        </w:rPr>
        <w:t>（供应商）</w:t>
      </w:r>
    </w:p>
    <w:p w14:paraId="6D9370FE">
      <w:pPr>
        <w:pStyle w:val="17"/>
        <w:keepNext w:val="0"/>
        <w:keepLines w:val="0"/>
        <w:pageBreakBefore w:val="0"/>
        <w:kinsoku/>
        <w:wordWrap/>
        <w:overflowPunct/>
        <w:topLinePunct w:val="0"/>
        <w:autoSpaceDE/>
        <w:autoSpaceDN/>
        <w:bidi w:val="0"/>
        <w:spacing w:after="0" w:line="360" w:lineRule="auto"/>
        <w:ind w:left="0" w:firstLine="440"/>
        <w:textAlignment w:val="auto"/>
        <w:rPr>
          <w:rFonts w:ascii="仿宋" w:hAnsi="仿宋" w:eastAsia="仿宋"/>
          <w:szCs w:val="21"/>
        </w:rPr>
      </w:pPr>
      <w:r>
        <w:rPr>
          <w:rFonts w:hint="eastAsia" w:ascii="仿宋" w:hAnsi="仿宋" w:eastAsia="仿宋"/>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284FB2D3">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项目信息</w:t>
      </w:r>
    </w:p>
    <w:p w14:paraId="43DA8DA2">
      <w:pPr>
        <w:pStyle w:val="17"/>
        <w:keepNext w:val="0"/>
        <w:keepLines w:val="0"/>
        <w:pageBreakBefore w:val="0"/>
        <w:numPr>
          <w:ilvl w:val="0"/>
          <w:numId w:val="5"/>
        </w:numPr>
        <w:kinsoku/>
        <w:wordWrap/>
        <w:overflowPunct/>
        <w:topLinePunct w:val="0"/>
        <w:autoSpaceDE/>
        <w:autoSpaceDN/>
        <w:bidi w:val="0"/>
        <w:spacing w:after="0" w:line="360" w:lineRule="auto"/>
        <w:ind w:left="0" w:firstLine="440"/>
        <w:jc w:val="both"/>
        <w:textAlignment w:val="auto"/>
        <w:rPr>
          <w:rFonts w:ascii="仿宋" w:hAnsi="仿宋" w:eastAsia="仿宋"/>
          <w:szCs w:val="21"/>
          <w:u w:val="single"/>
        </w:rPr>
      </w:pPr>
      <w:r>
        <w:rPr>
          <w:rFonts w:hint="eastAsia" w:ascii="仿宋" w:hAnsi="仿宋" w:eastAsia="仿宋"/>
          <w:szCs w:val="21"/>
        </w:rPr>
        <w:t>采购项目名称：</w:t>
      </w:r>
      <w:r>
        <w:rPr>
          <w:rFonts w:ascii="仿宋" w:hAnsi="仿宋" w:eastAsia="仿宋"/>
          <w:szCs w:val="21"/>
          <w:u w:val="single"/>
        </w:rPr>
        <w:t xml:space="preserve">                                          </w:t>
      </w:r>
    </w:p>
    <w:p w14:paraId="43DBD508">
      <w:pPr>
        <w:pStyle w:val="17"/>
        <w:keepNext w:val="0"/>
        <w:keepLines w:val="0"/>
        <w:pageBreakBefore w:val="0"/>
        <w:numPr>
          <w:ilvl w:val="255"/>
          <w:numId w:val="0"/>
        </w:numPr>
        <w:tabs>
          <w:tab w:val="left" w:pos="999"/>
        </w:tabs>
        <w:kinsoku/>
        <w:wordWrap/>
        <w:overflowPunct/>
        <w:topLinePunct w:val="0"/>
        <w:autoSpaceDE/>
        <w:autoSpaceDN/>
        <w:bidi w:val="0"/>
        <w:spacing w:after="0" w:line="360" w:lineRule="auto"/>
        <w:textAlignment w:val="auto"/>
        <w:rPr>
          <w:rFonts w:ascii="仿宋" w:hAnsi="仿宋" w:eastAsia="仿宋"/>
          <w:szCs w:val="21"/>
        </w:rPr>
      </w:pPr>
      <w:r>
        <w:rPr>
          <w:rFonts w:hint="eastAsia" w:ascii="仿宋" w:hAnsi="仿宋" w:eastAsia="仿宋"/>
          <w:szCs w:val="21"/>
        </w:rPr>
        <w:t xml:space="preserve">         采购项目编号：</w:t>
      </w:r>
      <w:r>
        <w:rPr>
          <w:rFonts w:ascii="仿宋" w:hAnsi="仿宋" w:eastAsia="仿宋"/>
          <w:szCs w:val="21"/>
          <w:u w:val="single"/>
        </w:rPr>
        <w:t xml:space="preserve">                                          </w:t>
      </w:r>
    </w:p>
    <w:p w14:paraId="4054C8AA">
      <w:pPr>
        <w:pStyle w:val="17"/>
        <w:keepNext w:val="0"/>
        <w:keepLines w:val="0"/>
        <w:pageBreakBefore w:val="0"/>
        <w:kinsoku/>
        <w:wordWrap/>
        <w:overflowPunct/>
        <w:topLinePunct w:val="0"/>
        <w:autoSpaceDE/>
        <w:autoSpaceDN/>
        <w:bidi w:val="0"/>
        <w:spacing w:after="0" w:line="360" w:lineRule="auto"/>
        <w:ind w:left="0" w:firstLine="440"/>
        <w:textAlignment w:val="auto"/>
        <w:rPr>
          <w:rFonts w:ascii="仿宋" w:hAnsi="仿宋" w:eastAsia="仿宋"/>
          <w:szCs w:val="21"/>
        </w:rPr>
      </w:pPr>
      <w:r>
        <w:rPr>
          <w:rFonts w:hint="eastAsia" w:ascii="仿宋" w:hAnsi="仿宋" w:eastAsia="仿宋"/>
          <w:szCs w:val="21"/>
        </w:rPr>
        <w:t>（2）采购计划编号：</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p>
    <w:p w14:paraId="02D2F16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（3）项目内容：</w:t>
      </w:r>
    </w:p>
    <w:p w14:paraId="45E76887">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     采购标的及数量（台/套</w:t>
      </w:r>
      <w:r>
        <w:rPr>
          <w:rFonts w:ascii="仿宋" w:hAnsi="仿宋" w:eastAsia="仿宋"/>
          <w:szCs w:val="21"/>
          <w:lang w:val="en"/>
        </w:rPr>
        <w:t>/</w:t>
      </w:r>
      <w:r>
        <w:rPr>
          <w:rFonts w:hint="eastAsia" w:ascii="仿宋" w:hAnsi="仿宋" w:eastAsia="仿宋"/>
          <w:szCs w:val="21"/>
          <w:lang w:val="en"/>
        </w:rPr>
        <w:t>个</w:t>
      </w:r>
      <w:r>
        <w:rPr>
          <w:rFonts w:ascii="仿宋" w:hAnsi="仿宋" w:eastAsia="仿宋"/>
          <w:szCs w:val="21"/>
          <w:lang w:val="en"/>
        </w:rPr>
        <w:t>/</w:t>
      </w:r>
      <w:r>
        <w:rPr>
          <w:rFonts w:hint="eastAsia" w:ascii="仿宋" w:hAnsi="仿宋" w:eastAsia="仿宋"/>
          <w:szCs w:val="21"/>
          <w:lang w:val="en"/>
        </w:rPr>
        <w:t>架</w:t>
      </w:r>
      <w:r>
        <w:rPr>
          <w:rFonts w:ascii="仿宋" w:hAnsi="仿宋" w:eastAsia="仿宋"/>
          <w:szCs w:val="21"/>
          <w:lang w:val="en"/>
        </w:rPr>
        <w:t>/</w:t>
      </w:r>
      <w:r>
        <w:rPr>
          <w:rFonts w:hint="eastAsia" w:ascii="仿宋" w:hAnsi="仿宋" w:eastAsia="仿宋"/>
          <w:szCs w:val="21"/>
          <w:lang w:val="en"/>
        </w:rPr>
        <w:t>组等</w:t>
      </w:r>
      <w:r>
        <w:rPr>
          <w:rFonts w:hint="eastAsia" w:ascii="仿宋" w:hAnsi="仿宋" w:eastAsia="仿宋"/>
          <w:szCs w:val="21"/>
        </w:rPr>
        <w:t>）：</w:t>
      </w:r>
      <w:r>
        <w:rPr>
          <w:rFonts w:hint="eastAsia" w:ascii="仿宋" w:hAnsi="仿宋" w:eastAsia="仿宋"/>
          <w:szCs w:val="21"/>
          <w:u w:val="single"/>
        </w:rPr>
        <w:t xml:space="preserve">             </w:t>
      </w:r>
    </w:p>
    <w:p w14:paraId="5E0035AC">
      <w:pPr>
        <w:keepNext w:val="0"/>
        <w:keepLines w:val="0"/>
        <w:pageBreakBefore w:val="0"/>
        <w:numPr>
          <w:ilvl w:val="255"/>
          <w:numId w:val="0"/>
        </w:numPr>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     品牌：</w:t>
      </w:r>
      <w:r>
        <w:rPr>
          <w:rFonts w:hint="eastAsia" w:ascii="仿宋" w:hAnsi="仿宋" w:eastAsia="仿宋"/>
          <w:szCs w:val="21"/>
          <w:u w:val="single"/>
        </w:rPr>
        <w:t xml:space="preserve">      </w:t>
      </w:r>
      <w:r>
        <w:rPr>
          <w:rFonts w:ascii="仿宋" w:hAnsi="仿宋" w:eastAsia="仿宋"/>
          <w:szCs w:val="21"/>
          <w:u w:val="single"/>
          <w:lang w:val="en"/>
        </w:rPr>
        <w:t xml:space="preserve">   </w:t>
      </w:r>
      <w:r>
        <w:rPr>
          <w:rFonts w:hint="eastAsia" w:ascii="仿宋" w:hAnsi="仿宋" w:eastAsia="仿宋"/>
          <w:szCs w:val="21"/>
          <w:u w:val="single"/>
        </w:rPr>
        <w:t xml:space="preserve">    </w:t>
      </w:r>
      <w:r>
        <w:rPr>
          <w:rFonts w:ascii="仿宋" w:hAnsi="仿宋" w:eastAsia="仿宋"/>
          <w:szCs w:val="21"/>
          <w:u w:val="single"/>
          <w:lang w:val="en"/>
        </w:rPr>
        <w:t xml:space="preserve"> </w:t>
      </w:r>
      <w:r>
        <w:rPr>
          <w:rFonts w:hint="eastAsia" w:ascii="仿宋" w:hAnsi="仿宋" w:eastAsia="仿宋"/>
          <w:szCs w:val="21"/>
          <w:u w:val="single"/>
        </w:rPr>
        <w:t xml:space="preserve"> </w:t>
      </w:r>
      <w:r>
        <w:rPr>
          <w:rFonts w:ascii="仿宋" w:hAnsi="仿宋" w:eastAsia="仿宋"/>
          <w:szCs w:val="21"/>
          <w:lang w:val="en"/>
        </w:rPr>
        <w:t xml:space="preserve">     </w:t>
      </w:r>
      <w:r>
        <w:rPr>
          <w:rFonts w:hint="eastAsia" w:ascii="仿宋" w:hAnsi="仿宋" w:eastAsia="仿宋"/>
          <w:szCs w:val="21"/>
        </w:rPr>
        <w:t>规格型号：</w:t>
      </w:r>
      <w:r>
        <w:rPr>
          <w:rFonts w:hint="eastAsia" w:ascii="仿宋" w:hAnsi="仿宋" w:eastAsia="仿宋"/>
          <w:szCs w:val="21"/>
          <w:u w:val="single"/>
        </w:rPr>
        <w:t xml:space="preserve">   </w:t>
      </w:r>
      <w:r>
        <w:rPr>
          <w:rFonts w:ascii="仿宋" w:hAnsi="仿宋" w:eastAsia="仿宋"/>
          <w:szCs w:val="21"/>
          <w:u w:val="single"/>
          <w:lang w:val="en"/>
        </w:rPr>
        <w:t xml:space="preserve">  </w:t>
      </w:r>
      <w:r>
        <w:rPr>
          <w:rFonts w:hint="eastAsia" w:ascii="仿宋" w:hAnsi="仿宋" w:eastAsia="仿宋"/>
          <w:szCs w:val="21"/>
          <w:u w:val="single"/>
        </w:rPr>
        <w:t xml:space="preserve">       </w:t>
      </w:r>
      <w:r>
        <w:rPr>
          <w:rFonts w:ascii="仿宋" w:hAnsi="仿宋" w:eastAsia="仿宋"/>
          <w:szCs w:val="21"/>
          <w:u w:val="single"/>
          <w:lang w:val="en"/>
        </w:rPr>
        <w:t xml:space="preserve">   </w:t>
      </w:r>
    </w:p>
    <w:p w14:paraId="76174139">
      <w:pPr>
        <w:keepNext w:val="0"/>
        <w:keepLines w:val="0"/>
        <w:pageBreakBefore w:val="0"/>
        <w:kinsoku/>
        <w:wordWrap/>
        <w:overflowPunct/>
        <w:topLinePunct w:val="0"/>
        <w:autoSpaceDE/>
        <w:autoSpaceDN/>
        <w:bidi w:val="0"/>
        <w:spacing w:line="360" w:lineRule="auto"/>
        <w:ind w:firstLine="990"/>
        <w:textAlignment w:val="auto"/>
        <w:rPr>
          <w:rFonts w:ascii="仿宋" w:hAnsi="仿宋" w:eastAsia="仿宋"/>
          <w:szCs w:val="21"/>
          <w:u w:val="single"/>
        </w:rPr>
      </w:pPr>
      <w:r>
        <w:rPr>
          <w:rFonts w:hint="eastAsia" w:ascii="仿宋" w:hAnsi="仿宋" w:eastAsia="仿宋"/>
          <w:szCs w:val="21"/>
        </w:rPr>
        <w:t>采购标的的技术要求、商务要求具体见附件。</w:t>
      </w:r>
    </w:p>
    <w:p w14:paraId="5F8FFD63">
      <w:pPr>
        <w:pStyle w:val="297"/>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cstheme="minorEastAsia"/>
          <w:sz w:val="21"/>
        </w:rPr>
      </w:pPr>
      <w:r>
        <w:rPr>
          <w:rFonts w:hint="eastAsia" w:ascii="仿宋" w:hAnsi="仿宋" w:eastAsia="仿宋" w:cstheme="minorEastAsia"/>
          <w:sz w:val="21"/>
        </w:rPr>
        <w:t xml:space="preserve">    （</w:t>
      </w:r>
      <w:r>
        <w:rPr>
          <w:rFonts w:ascii="仿宋" w:hAnsi="仿宋" w:eastAsia="仿宋" w:cstheme="minorEastAsia"/>
          <w:sz w:val="21"/>
          <w:lang w:val="en"/>
        </w:rPr>
        <w:t>4</w:t>
      </w:r>
      <w:r>
        <w:rPr>
          <w:rFonts w:hint="eastAsia" w:ascii="仿宋" w:hAnsi="仿宋" w:eastAsia="仿宋" w:cstheme="minorEastAsia"/>
          <w:sz w:val="21"/>
        </w:rPr>
        <w:t>）政府采购组织形式：</w:t>
      </w:r>
      <w:r>
        <w:rPr>
          <w:rFonts w:ascii="仿宋" w:hAnsi="仿宋" w:eastAsia="仿宋" w:cs="Wingdings"/>
          <w:sz w:val="21"/>
        </w:rPr>
        <w:t></w:t>
      </w:r>
      <w:r>
        <w:rPr>
          <w:rFonts w:hint="eastAsia" w:ascii="仿宋" w:hAnsi="仿宋" w:eastAsia="仿宋" w:cstheme="minorEastAsia"/>
          <w:sz w:val="21"/>
        </w:rPr>
        <w:t xml:space="preserve">政府集中采购  </w:t>
      </w:r>
      <w:r>
        <w:rPr>
          <w:rFonts w:ascii="仿宋" w:hAnsi="仿宋" w:eastAsia="仿宋" w:cs="Wingdings"/>
          <w:sz w:val="21"/>
        </w:rPr>
        <w:t></w:t>
      </w:r>
      <w:r>
        <w:rPr>
          <w:rFonts w:hint="eastAsia" w:ascii="仿宋" w:hAnsi="仿宋" w:eastAsia="仿宋" w:cstheme="minorEastAsia"/>
          <w:sz w:val="21"/>
        </w:rPr>
        <w:t xml:space="preserve">部门集中采购  </w:t>
      </w:r>
      <w:r>
        <w:rPr>
          <w:rFonts w:ascii="Wingdings 2" w:hAnsi="Wingdings 2" w:eastAsia="Wingdings 2" w:cs="Wingdings 2"/>
          <w:sz w:val="21"/>
        </w:rPr>
        <w:t>R</w:t>
      </w:r>
      <w:r>
        <w:rPr>
          <w:rFonts w:hint="eastAsia" w:ascii="仿宋" w:hAnsi="仿宋" w:eastAsia="仿宋" w:cstheme="minorEastAsia"/>
          <w:sz w:val="21"/>
        </w:rPr>
        <w:t>分散采购</w:t>
      </w:r>
    </w:p>
    <w:p w14:paraId="706CDE6B">
      <w:pPr>
        <w:pStyle w:val="297"/>
        <w:keepNext w:val="0"/>
        <w:keepLines w:val="0"/>
        <w:pageBreakBefore w:val="0"/>
        <w:numPr>
          <w:ilvl w:val="255"/>
          <w:numId w:val="0"/>
        </w:numPr>
        <w:kinsoku/>
        <w:wordWrap/>
        <w:overflowPunct/>
        <w:topLinePunct w:val="0"/>
        <w:autoSpaceDE/>
        <w:autoSpaceDN/>
        <w:bidi w:val="0"/>
        <w:spacing w:line="360" w:lineRule="auto"/>
        <w:ind w:firstLine="420"/>
        <w:textAlignment w:val="auto"/>
        <w:rPr>
          <w:rFonts w:ascii="仿宋" w:hAnsi="仿宋" w:eastAsia="仿宋" w:cstheme="minorEastAsia"/>
          <w:sz w:val="21"/>
        </w:rPr>
      </w:pPr>
      <w:r>
        <w:rPr>
          <w:rFonts w:hint="eastAsia" w:ascii="仿宋" w:hAnsi="仿宋" w:eastAsia="仿宋" w:cstheme="minorEastAsia"/>
          <w:sz w:val="21"/>
        </w:rPr>
        <w:t>（</w:t>
      </w:r>
      <w:r>
        <w:rPr>
          <w:rFonts w:ascii="仿宋" w:hAnsi="仿宋" w:eastAsia="仿宋" w:cstheme="minorEastAsia"/>
          <w:sz w:val="21"/>
          <w:lang w:val="en"/>
        </w:rPr>
        <w:t>5</w:t>
      </w:r>
      <w:r>
        <w:rPr>
          <w:rFonts w:hint="eastAsia" w:ascii="仿宋" w:hAnsi="仿宋" w:eastAsia="仿宋" w:cstheme="minorEastAsia"/>
          <w:sz w:val="21"/>
        </w:rPr>
        <w:t>）政府采购方式：</w:t>
      </w:r>
      <w:r>
        <w:rPr>
          <w:rFonts w:ascii="Wingdings 2" w:hAnsi="Wingdings 2" w:eastAsia="Wingdings 2" w:cs="Wingdings 2"/>
          <w:sz w:val="21"/>
        </w:rPr>
        <w:t>R</w:t>
      </w:r>
      <w:r>
        <w:rPr>
          <w:rFonts w:hint="eastAsia" w:ascii="仿宋" w:hAnsi="仿宋" w:eastAsia="仿宋" w:cstheme="minorEastAsia"/>
          <w:sz w:val="21"/>
        </w:rPr>
        <w:t xml:space="preserve">公开招标 </w:t>
      </w:r>
      <w:r>
        <w:rPr>
          <w:rFonts w:ascii="仿宋" w:hAnsi="仿宋" w:eastAsia="仿宋" w:cs="Wingdings"/>
          <w:sz w:val="21"/>
        </w:rPr>
        <w:t></w:t>
      </w:r>
      <w:r>
        <w:rPr>
          <w:rFonts w:hint="eastAsia" w:ascii="仿宋" w:hAnsi="仿宋" w:eastAsia="仿宋" w:cstheme="minorEastAsia"/>
          <w:sz w:val="21"/>
        </w:rPr>
        <w:t xml:space="preserve">邀请招标 </w:t>
      </w:r>
      <w:r>
        <w:rPr>
          <w:rFonts w:ascii="仿宋" w:hAnsi="仿宋" w:eastAsia="仿宋" w:cs="Wingdings"/>
          <w:sz w:val="21"/>
        </w:rPr>
        <w:t></w:t>
      </w:r>
      <w:r>
        <w:rPr>
          <w:rFonts w:hint="eastAsia" w:ascii="仿宋" w:hAnsi="仿宋" w:eastAsia="仿宋" w:cstheme="minorEastAsia"/>
          <w:sz w:val="21"/>
        </w:rPr>
        <w:t xml:space="preserve">竞争性谈判 </w:t>
      </w:r>
      <w:r>
        <w:rPr>
          <w:rFonts w:ascii="仿宋" w:hAnsi="仿宋" w:eastAsia="仿宋" w:cs="Wingdings"/>
          <w:sz w:val="21"/>
        </w:rPr>
        <w:t></w:t>
      </w:r>
      <w:r>
        <w:rPr>
          <w:rFonts w:hint="eastAsia" w:ascii="仿宋" w:hAnsi="仿宋" w:eastAsia="仿宋" w:cstheme="minorEastAsia"/>
          <w:sz w:val="21"/>
        </w:rPr>
        <w:t>竞争性磋商</w:t>
      </w:r>
    </w:p>
    <w:p w14:paraId="5B8BA96A">
      <w:pPr>
        <w:pStyle w:val="297"/>
        <w:keepNext w:val="0"/>
        <w:keepLines w:val="0"/>
        <w:pageBreakBefore w:val="0"/>
        <w:numPr>
          <w:ilvl w:val="255"/>
          <w:numId w:val="0"/>
        </w:numPr>
        <w:kinsoku/>
        <w:wordWrap/>
        <w:overflowPunct/>
        <w:topLinePunct w:val="0"/>
        <w:autoSpaceDE/>
        <w:autoSpaceDN/>
        <w:bidi w:val="0"/>
        <w:spacing w:line="360" w:lineRule="auto"/>
        <w:ind w:firstLine="420"/>
        <w:textAlignment w:val="auto"/>
        <w:rPr>
          <w:rFonts w:ascii="仿宋" w:hAnsi="仿宋" w:eastAsia="仿宋" w:cs="宋体"/>
          <w:sz w:val="21"/>
          <w:u w:val="single"/>
        </w:rPr>
      </w:pPr>
      <w:r>
        <w:rPr>
          <w:rFonts w:hint="eastAsia" w:ascii="仿宋" w:hAnsi="仿宋" w:eastAsia="仿宋" w:cs="宋体"/>
        </w:rPr>
        <w:t xml:space="preserve">                  </w:t>
      </w:r>
      <w:r>
        <w:rPr>
          <w:rFonts w:ascii="仿宋" w:hAnsi="仿宋" w:eastAsia="仿宋" w:cs="Wingdings"/>
          <w:sz w:val="21"/>
        </w:rPr>
        <w:t></w:t>
      </w:r>
      <w:r>
        <w:rPr>
          <w:rFonts w:hint="eastAsia" w:ascii="仿宋" w:hAnsi="仿宋" w:eastAsia="仿宋" w:cstheme="minorEastAsia"/>
          <w:sz w:val="21"/>
        </w:rPr>
        <w:t xml:space="preserve">询价 </w:t>
      </w:r>
      <w:r>
        <w:rPr>
          <w:rFonts w:ascii="仿宋" w:hAnsi="仿宋" w:eastAsia="仿宋" w:cs="Wingdings"/>
          <w:sz w:val="21"/>
        </w:rPr>
        <w:t></w:t>
      </w:r>
      <w:r>
        <w:rPr>
          <w:rFonts w:hint="eastAsia" w:ascii="仿宋" w:hAnsi="仿宋" w:eastAsia="仿宋" w:cstheme="minorEastAsia"/>
          <w:sz w:val="21"/>
        </w:rPr>
        <w:t xml:space="preserve">单一来源 </w:t>
      </w:r>
      <w:r>
        <w:rPr>
          <w:rFonts w:ascii="仿宋" w:hAnsi="仿宋" w:eastAsia="仿宋" w:cs="Wingdings"/>
          <w:sz w:val="21"/>
        </w:rPr>
        <w:t></w:t>
      </w:r>
      <w:r>
        <w:rPr>
          <w:rFonts w:hint="eastAsia" w:ascii="仿宋" w:hAnsi="仿宋" w:eastAsia="仿宋" w:cstheme="minorEastAsia"/>
          <w:sz w:val="21"/>
        </w:rPr>
        <w:t xml:space="preserve">框架协议 </w:t>
      </w:r>
      <w:r>
        <w:rPr>
          <w:rFonts w:ascii="仿宋" w:hAnsi="仿宋" w:eastAsia="仿宋" w:cs="Wingdings"/>
          <w:sz w:val="21"/>
        </w:rPr>
        <w:t></w:t>
      </w:r>
      <w:r>
        <w:rPr>
          <w:rFonts w:hint="eastAsia" w:ascii="仿宋" w:hAnsi="仿宋" w:eastAsia="仿宋" w:cstheme="minorEastAsia"/>
          <w:sz w:val="21"/>
        </w:rPr>
        <w:t>其他：</w:t>
      </w:r>
      <w:r>
        <w:rPr>
          <w:rFonts w:hint="eastAsia" w:ascii="仿宋" w:hAnsi="仿宋" w:eastAsia="仿宋" w:cs="宋体"/>
          <w:sz w:val="21"/>
          <w:u w:val="single"/>
        </w:rPr>
        <w:t xml:space="preserve">          </w:t>
      </w:r>
    </w:p>
    <w:p w14:paraId="7E21E4B6">
      <w:pPr>
        <w:pStyle w:val="297"/>
        <w:keepNext w:val="0"/>
        <w:keepLines w:val="0"/>
        <w:pageBreakBefore w:val="0"/>
        <w:numPr>
          <w:ilvl w:val="255"/>
          <w:numId w:val="0"/>
        </w:numPr>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rPr>
        <w:t>（</w:t>
      </w:r>
      <w:r>
        <w:rPr>
          <w:rFonts w:ascii="仿宋" w:hAnsi="仿宋" w:eastAsia="仿宋"/>
          <w:lang w:val="en"/>
        </w:rPr>
        <w:t>6</w:t>
      </w:r>
      <w:r>
        <w:rPr>
          <w:rFonts w:hint="eastAsia" w:ascii="仿宋" w:hAnsi="仿宋" w:eastAsia="仿宋"/>
        </w:rPr>
        <w:t>）</w:t>
      </w:r>
      <w:r>
        <w:rPr>
          <w:rFonts w:hint="eastAsia" w:ascii="仿宋" w:hAnsi="仿宋" w:eastAsia="仿宋" w:cs="Times New Roman"/>
          <w:sz w:val="21"/>
        </w:rPr>
        <w:t>中标（成交）采购标的制造商是否为中小企业：</w:t>
      </w:r>
      <w:r>
        <w:rPr>
          <w:rFonts w:ascii="Wingdings 2" w:hAnsi="Wingdings 2" w:eastAsia="Wingdings 2" w:cs="Wingdings 2"/>
          <w:sz w:val="21"/>
        </w:rPr>
        <w:t>R</w:t>
      </w:r>
      <w:r>
        <w:rPr>
          <w:rFonts w:hint="eastAsia" w:ascii="仿宋" w:hAnsi="仿宋" w:eastAsia="仿宋" w:cs="Times New Roman"/>
          <w:sz w:val="21"/>
        </w:rPr>
        <w:t xml:space="preserve">是      </w:t>
      </w:r>
      <w:r>
        <w:rPr>
          <w:rFonts w:ascii="仿宋" w:hAnsi="仿宋" w:eastAsia="仿宋" w:cs="Wingdings"/>
          <w:sz w:val="21"/>
        </w:rPr>
        <w:t></w:t>
      </w:r>
      <w:r>
        <w:rPr>
          <w:rFonts w:hint="eastAsia" w:ascii="仿宋" w:hAnsi="仿宋" w:eastAsia="仿宋" w:cs="Times New Roman"/>
          <w:sz w:val="21"/>
        </w:rPr>
        <w:t>否</w:t>
      </w:r>
    </w:p>
    <w:p w14:paraId="3DC8FFC7">
      <w:pPr>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szCs w:val="21"/>
        </w:rPr>
        <w:t xml:space="preserve">         本合同是否为专门面向中小企业的采购合同（中小企业预留合同）：</w:t>
      </w:r>
      <w:r>
        <w:rPr>
          <w:rFonts w:ascii="Wingdings 2" w:hAnsi="Wingdings 2" w:eastAsia="Wingdings 2" w:cs="Wingdings 2"/>
          <w:sz w:val="21"/>
        </w:rPr>
        <w:t>R</w:t>
      </w:r>
      <w:r>
        <w:rPr>
          <w:rFonts w:hint="eastAsia" w:ascii="仿宋" w:hAnsi="仿宋" w:eastAsia="仿宋"/>
          <w:iCs/>
          <w:szCs w:val="21"/>
        </w:rPr>
        <w:t xml:space="preserve">是    </w:t>
      </w:r>
      <w:r>
        <w:rPr>
          <w:rFonts w:ascii="仿宋" w:hAnsi="仿宋" w:eastAsia="仿宋" w:cs="Wingdings"/>
          <w:iCs/>
          <w:szCs w:val="21"/>
        </w:rPr>
        <w:t></w:t>
      </w:r>
      <w:r>
        <w:rPr>
          <w:rFonts w:hint="eastAsia" w:ascii="仿宋" w:hAnsi="仿宋" w:eastAsia="仿宋"/>
          <w:iCs/>
          <w:szCs w:val="21"/>
        </w:rPr>
        <w:t>否</w:t>
      </w:r>
    </w:p>
    <w:p w14:paraId="46F190BF">
      <w:pPr>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rPr>
        <w:t xml:space="preserve">         若本项目不专门面向中小企业采购，是否给予小微企业评审优惠：</w:t>
      </w:r>
      <w:r>
        <w:rPr>
          <w:rFonts w:ascii="仿宋" w:hAnsi="仿宋" w:eastAsia="仿宋" w:cs="Wingdings"/>
          <w:iCs/>
          <w:szCs w:val="21"/>
        </w:rPr>
        <w:t></w:t>
      </w:r>
      <w:r>
        <w:rPr>
          <w:rFonts w:hint="eastAsia" w:ascii="仿宋" w:hAnsi="仿宋" w:eastAsia="仿宋"/>
          <w:iCs/>
          <w:szCs w:val="21"/>
        </w:rPr>
        <w:t xml:space="preserve">是   </w:t>
      </w:r>
      <w:r>
        <w:rPr>
          <w:rFonts w:ascii="仿宋" w:hAnsi="仿宋" w:eastAsia="仿宋" w:cs="Wingdings 2"/>
          <w:sz w:val="21"/>
        </w:rPr>
        <w:t></w:t>
      </w:r>
      <w:r>
        <w:rPr>
          <w:rFonts w:hint="eastAsia" w:ascii="仿宋" w:hAnsi="仿宋" w:eastAsia="仿宋"/>
          <w:iCs/>
          <w:szCs w:val="21"/>
        </w:rPr>
        <w:t>否</w:t>
      </w:r>
    </w:p>
    <w:p w14:paraId="71DBAEB7">
      <w:pPr>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rPr>
        <w:t xml:space="preserve">         中标（成交）采购标的制造商是否为残疾人福利性单位：</w:t>
      </w:r>
      <w:r>
        <w:rPr>
          <w:rFonts w:ascii="仿宋" w:hAnsi="仿宋" w:eastAsia="仿宋" w:cs="Wingdings"/>
          <w:iCs/>
          <w:szCs w:val="21"/>
        </w:rPr>
        <w:t></w:t>
      </w:r>
      <w:r>
        <w:rPr>
          <w:rFonts w:hint="eastAsia" w:ascii="仿宋" w:hAnsi="仿宋" w:eastAsia="仿宋"/>
          <w:iCs/>
          <w:szCs w:val="21"/>
        </w:rPr>
        <w:t xml:space="preserve">是   </w:t>
      </w:r>
      <w:r>
        <w:rPr>
          <w:rFonts w:ascii="仿宋" w:hAnsi="仿宋" w:eastAsia="仿宋" w:cs="Wingdings"/>
          <w:iCs/>
          <w:szCs w:val="21"/>
        </w:rPr>
        <w:t></w:t>
      </w:r>
      <w:r>
        <w:rPr>
          <w:rFonts w:hint="eastAsia" w:ascii="仿宋" w:hAnsi="仿宋" w:eastAsia="仿宋"/>
          <w:iCs/>
          <w:szCs w:val="21"/>
        </w:rPr>
        <w:t>否</w:t>
      </w:r>
    </w:p>
    <w:p w14:paraId="39F6FD3E">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 xml:space="preserve">         中标（成交）采购标的制造商是否为监狱企业：</w:t>
      </w:r>
      <w:r>
        <w:rPr>
          <w:rFonts w:ascii="仿宋" w:hAnsi="仿宋" w:eastAsia="仿宋" w:cs="Wingdings"/>
          <w:iCs/>
          <w:szCs w:val="21"/>
        </w:rPr>
        <w:t></w:t>
      </w:r>
      <w:r>
        <w:rPr>
          <w:rFonts w:hint="eastAsia" w:ascii="仿宋" w:hAnsi="仿宋" w:eastAsia="仿宋"/>
          <w:iCs/>
          <w:szCs w:val="21"/>
        </w:rPr>
        <w:t xml:space="preserve">是       </w:t>
      </w:r>
      <w:r>
        <w:rPr>
          <w:rFonts w:ascii="仿宋" w:hAnsi="仿宋" w:eastAsia="仿宋" w:cs="Wingdings"/>
          <w:iCs/>
          <w:szCs w:val="21"/>
        </w:rPr>
        <w:t></w:t>
      </w:r>
      <w:r>
        <w:rPr>
          <w:rFonts w:hint="eastAsia" w:ascii="仿宋" w:hAnsi="仿宋" w:eastAsia="仿宋"/>
          <w:iCs/>
          <w:szCs w:val="21"/>
        </w:rPr>
        <w:t>否</w:t>
      </w:r>
    </w:p>
    <w:p w14:paraId="1E6D7079">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w:t>
      </w:r>
      <w:r>
        <w:rPr>
          <w:rFonts w:ascii="仿宋" w:hAnsi="仿宋" w:eastAsia="仿宋"/>
          <w:szCs w:val="21"/>
          <w:lang w:val="en"/>
        </w:rPr>
        <w:t>7</w:t>
      </w:r>
      <w:r>
        <w:rPr>
          <w:rFonts w:hint="eastAsia" w:ascii="仿宋" w:hAnsi="仿宋" w:eastAsia="仿宋"/>
          <w:szCs w:val="21"/>
        </w:rPr>
        <w:t>）合同是否分包：</w:t>
      </w:r>
      <w:r>
        <w:rPr>
          <w:rFonts w:ascii="仿宋" w:hAnsi="仿宋" w:eastAsia="仿宋" w:cs="Wingdings"/>
          <w:iCs/>
          <w:szCs w:val="21"/>
        </w:rPr>
        <w:t></w:t>
      </w:r>
      <w:r>
        <w:rPr>
          <w:rFonts w:hint="eastAsia" w:ascii="仿宋" w:hAnsi="仿宋" w:eastAsia="仿宋"/>
          <w:iCs/>
          <w:szCs w:val="21"/>
        </w:rPr>
        <w:t xml:space="preserve">是       </w:t>
      </w:r>
      <w:r>
        <w:rPr>
          <w:rFonts w:ascii="Wingdings 2" w:hAnsi="Wingdings 2" w:eastAsia="Wingdings 2" w:cs="Wingdings 2"/>
          <w:sz w:val="21"/>
        </w:rPr>
        <w:t>R</w:t>
      </w:r>
      <w:r>
        <w:rPr>
          <w:rFonts w:hint="eastAsia" w:ascii="仿宋" w:hAnsi="仿宋" w:eastAsia="仿宋"/>
          <w:iCs/>
          <w:szCs w:val="21"/>
        </w:rPr>
        <w:t>否</w:t>
      </w:r>
    </w:p>
    <w:p w14:paraId="7A162D3F">
      <w:pPr>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szCs w:val="21"/>
        </w:rPr>
        <w:t xml:space="preserve">    （</w:t>
      </w:r>
      <w:r>
        <w:rPr>
          <w:rFonts w:ascii="仿宋" w:hAnsi="仿宋" w:eastAsia="仿宋"/>
          <w:szCs w:val="21"/>
          <w:lang w:val="en"/>
        </w:rPr>
        <w:t>8</w:t>
      </w:r>
      <w:r>
        <w:rPr>
          <w:rFonts w:hint="eastAsia" w:ascii="仿宋" w:hAnsi="仿宋" w:eastAsia="仿宋"/>
          <w:szCs w:val="21"/>
        </w:rPr>
        <w:t>）中标（成交）供应商是否为外商投资企业：</w:t>
      </w:r>
      <w:r>
        <w:rPr>
          <w:rFonts w:ascii="仿宋" w:hAnsi="仿宋" w:eastAsia="仿宋" w:cs="Wingdings"/>
          <w:iCs/>
          <w:szCs w:val="21"/>
        </w:rPr>
        <w:t></w:t>
      </w:r>
      <w:r>
        <w:rPr>
          <w:rFonts w:hint="eastAsia" w:ascii="仿宋" w:hAnsi="仿宋" w:eastAsia="仿宋"/>
          <w:iCs/>
          <w:szCs w:val="21"/>
        </w:rPr>
        <w:t xml:space="preserve">是       </w:t>
      </w:r>
      <w:r>
        <w:rPr>
          <w:rFonts w:ascii="Wingdings 2" w:hAnsi="Wingdings 2" w:eastAsia="Wingdings 2" w:cs="Wingdings 2"/>
          <w:sz w:val="21"/>
        </w:rPr>
        <w:t>R</w:t>
      </w:r>
      <w:r>
        <w:rPr>
          <w:rFonts w:hint="eastAsia" w:ascii="仿宋" w:hAnsi="仿宋" w:eastAsia="仿宋"/>
          <w:iCs/>
          <w:szCs w:val="21"/>
        </w:rPr>
        <w:t>否</w:t>
      </w:r>
    </w:p>
    <w:p w14:paraId="28A2670C">
      <w:pPr>
        <w:pStyle w:val="297"/>
        <w:keepNext w:val="0"/>
        <w:keepLines w:val="0"/>
        <w:pageBreakBefore w:val="0"/>
        <w:tabs>
          <w:tab w:val="left" w:pos="1340"/>
        </w:tabs>
        <w:kinsoku/>
        <w:wordWrap/>
        <w:overflowPunct/>
        <w:topLinePunct w:val="0"/>
        <w:autoSpaceDE/>
        <w:autoSpaceDN/>
        <w:bidi w:val="0"/>
        <w:spacing w:line="360" w:lineRule="auto"/>
        <w:ind w:firstLine="420"/>
        <w:textAlignment w:val="auto"/>
        <w:rPr>
          <w:rFonts w:ascii="仿宋" w:hAnsi="仿宋" w:eastAsia="仿宋" w:cs="宋体"/>
          <w:sz w:val="21"/>
          <w:u w:val="single"/>
        </w:rPr>
      </w:pPr>
      <w:r>
        <w:rPr>
          <w:rFonts w:hint="eastAsia" w:ascii="仿宋" w:hAnsi="仿宋" w:eastAsia="仿宋" w:cs="宋体"/>
          <w:sz w:val="21"/>
        </w:rPr>
        <w:t xml:space="preserve">     外商投资企业类型：</w:t>
      </w:r>
      <w:r>
        <w:rPr>
          <w:rFonts w:ascii="仿宋" w:hAnsi="仿宋" w:eastAsia="仿宋" w:cs="Wingdings"/>
          <w:iCs/>
          <w:sz w:val="21"/>
        </w:rPr>
        <w:t></w:t>
      </w:r>
      <w:r>
        <w:rPr>
          <w:rFonts w:hint="eastAsia" w:ascii="仿宋" w:hAnsi="仿宋" w:eastAsia="仿宋" w:cs="宋体"/>
          <w:sz w:val="21"/>
        </w:rPr>
        <w:t xml:space="preserve">全部由外国投资者投资  </w:t>
      </w:r>
      <w:r>
        <w:rPr>
          <w:rFonts w:ascii="仿宋" w:hAnsi="仿宋" w:eastAsia="仿宋" w:cs="Wingdings"/>
          <w:iCs/>
          <w:sz w:val="21"/>
        </w:rPr>
        <w:t></w:t>
      </w:r>
      <w:r>
        <w:rPr>
          <w:rFonts w:hint="eastAsia" w:ascii="仿宋" w:hAnsi="仿宋" w:eastAsia="仿宋" w:cs="宋体"/>
          <w:iCs/>
          <w:sz w:val="21"/>
        </w:rPr>
        <w:t>部分由外国投资者投资</w:t>
      </w:r>
    </w:p>
    <w:p w14:paraId="58976127">
      <w:pPr>
        <w:keepNext w:val="0"/>
        <w:keepLines w:val="0"/>
        <w:pageBreakBefore w:val="0"/>
        <w:numPr>
          <w:ilvl w:val="255"/>
          <w:numId w:val="0"/>
        </w:numPr>
        <w:kinsoku/>
        <w:wordWrap/>
        <w:overflowPunct/>
        <w:topLinePunct w:val="0"/>
        <w:autoSpaceDE/>
        <w:autoSpaceDN/>
        <w:bidi w:val="0"/>
        <w:spacing w:line="360" w:lineRule="auto"/>
        <w:ind w:firstLine="420"/>
        <w:textAlignment w:val="auto"/>
        <w:rPr>
          <w:rFonts w:ascii="仿宋" w:hAnsi="仿宋" w:eastAsia="仿宋"/>
          <w:szCs w:val="21"/>
        </w:rPr>
      </w:pPr>
      <w:r>
        <w:rPr>
          <w:rFonts w:hint="eastAsia" w:ascii="仿宋" w:hAnsi="仿宋" w:eastAsia="仿宋"/>
          <w:sz w:val="21"/>
          <w:szCs w:val="21"/>
        </w:rPr>
        <w:t>（</w:t>
      </w:r>
      <w:r>
        <w:rPr>
          <w:rFonts w:ascii="仿宋" w:hAnsi="仿宋" w:eastAsia="仿宋"/>
          <w:sz w:val="21"/>
          <w:szCs w:val="21"/>
          <w:lang w:val="en"/>
        </w:rPr>
        <w:t>9</w:t>
      </w:r>
      <w:r>
        <w:rPr>
          <w:rFonts w:hint="eastAsia" w:ascii="仿宋" w:hAnsi="仿宋" w:eastAsia="仿宋"/>
          <w:sz w:val="21"/>
          <w:szCs w:val="21"/>
        </w:rPr>
        <w:t>）是否涉及进口产品：</w:t>
      </w:r>
    </w:p>
    <w:p w14:paraId="41E63FBF">
      <w:pPr>
        <w:keepNext w:val="0"/>
        <w:keepLines w:val="0"/>
        <w:pageBreakBefore w:val="0"/>
        <w:numPr>
          <w:ilvl w:val="255"/>
          <w:numId w:val="0"/>
        </w:numPr>
        <w:kinsoku/>
        <w:wordWrap/>
        <w:overflowPunct/>
        <w:topLinePunct w:val="0"/>
        <w:autoSpaceDE/>
        <w:autoSpaceDN/>
        <w:bidi w:val="0"/>
        <w:spacing w:line="360" w:lineRule="auto"/>
        <w:ind w:firstLine="880"/>
        <w:textAlignment w:val="auto"/>
        <w:rPr>
          <w:rFonts w:ascii="仿宋" w:hAnsi="仿宋" w:eastAsia="仿宋"/>
          <w:szCs w:val="21"/>
          <w:u w:val="single"/>
        </w:rPr>
      </w:pPr>
      <w:r>
        <w:rPr>
          <w:rFonts w:hint="eastAsia" w:ascii="仿宋" w:hAnsi="仿宋" w:eastAsia="仿宋"/>
          <w:szCs w:val="21"/>
        </w:rPr>
        <w:t xml:space="preserve"> </w:t>
      </w:r>
      <w:r>
        <w:rPr>
          <w:rFonts w:ascii="仿宋" w:hAnsi="仿宋" w:eastAsia="仿宋" w:cs="Wingdings"/>
          <w:szCs w:val="21"/>
        </w:rPr>
        <w:t></w:t>
      </w:r>
      <w:r>
        <w:rPr>
          <w:rFonts w:hint="eastAsia" w:ascii="仿宋" w:hAnsi="仿宋" w:eastAsia="仿宋"/>
          <w:szCs w:val="21"/>
        </w:rPr>
        <w:t>是，《政府采购品目分类目录》底级品目名称：</w:t>
      </w:r>
      <w:r>
        <w:rPr>
          <w:rFonts w:hint="eastAsia" w:ascii="仿宋" w:hAnsi="仿宋" w:eastAsia="仿宋"/>
          <w:szCs w:val="21"/>
          <w:u w:val="single"/>
        </w:rPr>
        <w:t xml:space="preserve">         </w:t>
      </w:r>
      <w:r>
        <w:rPr>
          <w:rFonts w:hint="eastAsia" w:ascii="仿宋" w:hAnsi="仿宋" w:eastAsia="仿宋"/>
          <w:szCs w:val="21"/>
        </w:rPr>
        <w:t xml:space="preserve"> 金额：</w:t>
      </w:r>
      <w:r>
        <w:rPr>
          <w:rFonts w:hint="eastAsia" w:ascii="仿宋" w:hAnsi="仿宋" w:eastAsia="仿宋"/>
          <w:szCs w:val="21"/>
          <w:u w:val="single"/>
        </w:rPr>
        <w:t xml:space="preserve">        </w:t>
      </w:r>
    </w:p>
    <w:p w14:paraId="636DD109">
      <w:pPr>
        <w:keepNext w:val="0"/>
        <w:keepLines w:val="0"/>
        <w:pageBreakBefore w:val="0"/>
        <w:numPr>
          <w:ilvl w:val="255"/>
          <w:numId w:val="0"/>
        </w:numPr>
        <w:kinsoku/>
        <w:wordWrap/>
        <w:overflowPunct/>
        <w:topLinePunct w:val="0"/>
        <w:autoSpaceDE/>
        <w:autoSpaceDN/>
        <w:bidi w:val="0"/>
        <w:spacing w:line="360" w:lineRule="auto"/>
        <w:ind w:firstLine="880"/>
        <w:textAlignment w:val="auto"/>
        <w:rPr>
          <w:rFonts w:ascii="仿宋" w:hAnsi="仿宋" w:eastAsia="仿宋"/>
          <w:szCs w:val="21"/>
        </w:rPr>
      </w:pPr>
      <w:r>
        <w:rPr>
          <w:rFonts w:hint="eastAsia" w:ascii="仿宋" w:hAnsi="仿宋" w:eastAsia="仿宋"/>
          <w:szCs w:val="21"/>
        </w:rPr>
        <w:t xml:space="preserve">        国别：</w:t>
      </w:r>
      <w:r>
        <w:rPr>
          <w:rFonts w:hint="eastAsia" w:ascii="仿宋" w:hAnsi="仿宋" w:eastAsia="仿宋"/>
          <w:szCs w:val="21"/>
          <w:u w:val="single"/>
        </w:rPr>
        <w:t xml:space="preserve">        </w:t>
      </w:r>
      <w:r>
        <w:rPr>
          <w:rFonts w:hint="eastAsia" w:ascii="仿宋" w:hAnsi="仿宋" w:eastAsia="仿宋"/>
          <w:szCs w:val="21"/>
        </w:rPr>
        <w:t xml:space="preserve"> 品牌：</w:t>
      </w:r>
      <w:r>
        <w:rPr>
          <w:rFonts w:hint="eastAsia" w:ascii="仿宋" w:hAnsi="仿宋" w:eastAsia="仿宋"/>
          <w:szCs w:val="21"/>
          <w:u w:val="single"/>
        </w:rPr>
        <w:t xml:space="preserve">        </w:t>
      </w:r>
      <w:r>
        <w:rPr>
          <w:rFonts w:hint="eastAsia" w:ascii="仿宋" w:hAnsi="仿宋" w:eastAsia="仿宋"/>
          <w:szCs w:val="21"/>
        </w:rPr>
        <w:t xml:space="preserve"> 规格型号：</w:t>
      </w:r>
      <w:r>
        <w:rPr>
          <w:rFonts w:hint="eastAsia" w:ascii="仿宋" w:hAnsi="仿宋" w:eastAsia="仿宋"/>
          <w:szCs w:val="21"/>
          <w:u w:val="single"/>
        </w:rPr>
        <w:t xml:space="preserve">        </w:t>
      </w:r>
      <w:r>
        <w:rPr>
          <w:rFonts w:hint="eastAsia" w:ascii="仿宋" w:hAnsi="仿宋" w:eastAsia="仿宋"/>
          <w:szCs w:val="21"/>
        </w:rPr>
        <w:t xml:space="preserve">      </w:t>
      </w:r>
    </w:p>
    <w:p w14:paraId="603577C8">
      <w:pPr>
        <w:keepNext w:val="0"/>
        <w:keepLines w:val="0"/>
        <w:pageBreakBefore w:val="0"/>
        <w:kinsoku/>
        <w:wordWrap/>
        <w:overflowPunct/>
        <w:topLinePunct w:val="0"/>
        <w:autoSpaceDE/>
        <w:autoSpaceDN/>
        <w:bidi w:val="0"/>
        <w:spacing w:line="360" w:lineRule="auto"/>
        <w:ind w:firstLine="880"/>
        <w:textAlignment w:val="auto"/>
        <w:rPr>
          <w:rFonts w:ascii="仿宋" w:hAnsi="仿宋" w:eastAsia="仿宋"/>
          <w:szCs w:val="21"/>
        </w:rPr>
      </w:pPr>
      <w:r>
        <w:rPr>
          <w:rFonts w:hint="eastAsia" w:ascii="仿宋" w:hAnsi="仿宋" w:eastAsia="仿宋"/>
          <w:szCs w:val="21"/>
        </w:rPr>
        <w:t xml:space="preserve"> </w:t>
      </w:r>
      <w:r>
        <w:rPr>
          <w:rFonts w:ascii="Wingdings 2" w:hAnsi="Wingdings 2" w:eastAsia="Wingdings 2" w:cs="Wingdings 2"/>
          <w:sz w:val="21"/>
        </w:rPr>
        <w:t>R</w:t>
      </w:r>
      <w:r>
        <w:rPr>
          <w:rFonts w:hint="eastAsia" w:ascii="仿宋" w:hAnsi="仿宋" w:eastAsia="仿宋"/>
          <w:szCs w:val="21"/>
        </w:rPr>
        <w:t>否</w:t>
      </w:r>
    </w:p>
    <w:p w14:paraId="32FBE879">
      <w:pPr>
        <w:keepNext w:val="0"/>
        <w:keepLines w:val="0"/>
        <w:pageBreakBefore w:val="0"/>
        <w:numPr>
          <w:ilvl w:val="255"/>
          <w:numId w:val="0"/>
        </w:numPr>
        <w:kinsoku/>
        <w:wordWrap/>
        <w:overflowPunct/>
        <w:topLinePunct w:val="0"/>
        <w:autoSpaceDE/>
        <w:autoSpaceDN/>
        <w:bidi w:val="0"/>
        <w:spacing w:line="360" w:lineRule="auto"/>
        <w:ind w:firstLine="420"/>
        <w:textAlignment w:val="auto"/>
        <w:rPr>
          <w:rFonts w:ascii="仿宋" w:hAnsi="仿宋" w:eastAsia="仿宋"/>
          <w:szCs w:val="21"/>
        </w:rPr>
      </w:pPr>
      <w:r>
        <w:rPr>
          <w:rFonts w:hint="eastAsia" w:ascii="仿宋" w:hAnsi="仿宋" w:eastAsia="仿宋"/>
          <w:sz w:val="21"/>
          <w:szCs w:val="21"/>
        </w:rPr>
        <w:t>（1</w:t>
      </w:r>
      <w:r>
        <w:rPr>
          <w:rFonts w:ascii="仿宋" w:hAnsi="仿宋" w:eastAsia="仿宋"/>
          <w:sz w:val="21"/>
          <w:szCs w:val="21"/>
          <w:lang w:val="en"/>
        </w:rPr>
        <w:t>0</w:t>
      </w:r>
      <w:r>
        <w:rPr>
          <w:rFonts w:hint="eastAsia" w:ascii="仿宋" w:hAnsi="仿宋" w:eastAsia="仿宋"/>
          <w:sz w:val="21"/>
          <w:szCs w:val="21"/>
        </w:rPr>
        <w:t>）是否涉及节能产品：</w:t>
      </w:r>
    </w:p>
    <w:p w14:paraId="513DA557">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sz w:val="21"/>
          <w:szCs w:val="21"/>
        </w:rPr>
        <w:t xml:space="preserve">         </w:t>
      </w:r>
      <w:r>
        <w:rPr>
          <w:rFonts w:ascii="仿宋" w:hAnsi="仿宋" w:eastAsia="仿宋" w:cs="Wingdings"/>
          <w:szCs w:val="21"/>
        </w:rPr>
        <w:t></w:t>
      </w:r>
      <w:r>
        <w:rPr>
          <w:rFonts w:hint="eastAsia" w:ascii="仿宋" w:hAnsi="仿宋" w:eastAsia="仿宋"/>
          <w:szCs w:val="21"/>
        </w:rPr>
        <w:t>是，《节能产品政府采购品目清单》的底级品目名称：</w:t>
      </w:r>
      <w:r>
        <w:rPr>
          <w:rFonts w:hint="eastAsia" w:ascii="仿宋" w:hAnsi="仿宋" w:eastAsia="仿宋"/>
          <w:szCs w:val="21"/>
          <w:u w:val="single"/>
        </w:rPr>
        <w:t xml:space="preserve">         </w:t>
      </w:r>
      <w:r>
        <w:rPr>
          <w:rFonts w:hint="eastAsia" w:ascii="仿宋" w:hAnsi="仿宋" w:eastAsia="仿宋"/>
          <w:iCs/>
          <w:szCs w:val="21"/>
        </w:rPr>
        <w:t xml:space="preserve">     </w:t>
      </w:r>
    </w:p>
    <w:p w14:paraId="7A509F22">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iCs/>
          <w:szCs w:val="21"/>
        </w:rPr>
        <w:t xml:space="preserve">                </w:t>
      </w:r>
      <w:r>
        <w:rPr>
          <w:rFonts w:ascii="仿宋" w:hAnsi="仿宋" w:eastAsia="仿宋" w:cs="Wingdings"/>
          <w:iCs/>
          <w:szCs w:val="21"/>
        </w:rPr>
        <w:t></w:t>
      </w:r>
      <w:r>
        <w:rPr>
          <w:rFonts w:hint="eastAsia" w:ascii="仿宋" w:hAnsi="仿宋" w:eastAsia="仿宋"/>
          <w:iCs/>
          <w:szCs w:val="21"/>
        </w:rPr>
        <w:t xml:space="preserve">强制采购       </w:t>
      </w:r>
      <w:r>
        <w:rPr>
          <w:rFonts w:ascii="仿宋" w:hAnsi="仿宋" w:eastAsia="仿宋" w:cs="Wingdings"/>
          <w:iCs/>
          <w:szCs w:val="21"/>
        </w:rPr>
        <w:t></w:t>
      </w:r>
      <w:r>
        <w:rPr>
          <w:rFonts w:hint="eastAsia" w:ascii="仿宋" w:hAnsi="仿宋" w:eastAsia="仿宋"/>
          <w:iCs/>
          <w:szCs w:val="21"/>
        </w:rPr>
        <w:t xml:space="preserve">优先采购    </w:t>
      </w:r>
    </w:p>
    <w:p w14:paraId="5E7C3233">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iCs/>
          <w:szCs w:val="21"/>
        </w:rPr>
        <w:t xml:space="preserve">        </w:t>
      </w:r>
      <w:r>
        <w:rPr>
          <w:rFonts w:ascii="Wingdings 2" w:hAnsi="Wingdings 2" w:eastAsia="Wingdings 2" w:cs="Wingdings 2"/>
          <w:sz w:val="21"/>
        </w:rPr>
        <w:t>R</w:t>
      </w:r>
      <w:r>
        <w:rPr>
          <w:rFonts w:hint="eastAsia" w:ascii="仿宋" w:hAnsi="仿宋" w:eastAsia="仿宋"/>
          <w:szCs w:val="21"/>
        </w:rPr>
        <w:t>否</w:t>
      </w:r>
    </w:p>
    <w:p w14:paraId="452B2EBB">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 w:val="21"/>
          <w:szCs w:val="21"/>
        </w:rPr>
        <w:t xml:space="preserve">          是否涉及环境标志产品：</w:t>
      </w:r>
    </w:p>
    <w:p w14:paraId="34066A42">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 w:val="21"/>
          <w:szCs w:val="21"/>
        </w:rPr>
        <w:t xml:space="preserve">         </w:t>
      </w:r>
      <w:r>
        <w:rPr>
          <w:rFonts w:ascii="仿宋" w:hAnsi="仿宋" w:eastAsia="仿宋" w:cs="Wingdings"/>
          <w:szCs w:val="21"/>
        </w:rPr>
        <w:t></w:t>
      </w:r>
      <w:r>
        <w:rPr>
          <w:rFonts w:hint="eastAsia" w:ascii="仿宋" w:hAnsi="仿宋" w:eastAsia="仿宋"/>
          <w:szCs w:val="21"/>
        </w:rPr>
        <w:t>是，《环境标志产品政府采购品目清单》的底级品目名称：</w:t>
      </w:r>
      <w:r>
        <w:rPr>
          <w:rFonts w:hint="eastAsia" w:ascii="仿宋" w:hAnsi="仿宋" w:eastAsia="仿宋"/>
          <w:szCs w:val="21"/>
          <w:u w:val="single"/>
        </w:rPr>
        <w:t xml:space="preserve">         </w:t>
      </w:r>
      <w:r>
        <w:rPr>
          <w:rFonts w:hint="eastAsia" w:ascii="仿宋" w:hAnsi="仿宋" w:eastAsia="仿宋"/>
          <w:iCs/>
          <w:szCs w:val="21"/>
        </w:rPr>
        <w:t xml:space="preserve"> </w:t>
      </w:r>
    </w:p>
    <w:p w14:paraId="6528A701">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iCs/>
          <w:szCs w:val="21"/>
        </w:rPr>
        <w:t xml:space="preserve">                </w:t>
      </w:r>
      <w:r>
        <w:rPr>
          <w:rFonts w:ascii="仿宋" w:hAnsi="仿宋" w:eastAsia="仿宋" w:cs="Wingdings"/>
          <w:iCs/>
          <w:szCs w:val="21"/>
        </w:rPr>
        <w:t></w:t>
      </w:r>
      <w:r>
        <w:rPr>
          <w:rFonts w:hint="eastAsia" w:ascii="仿宋" w:hAnsi="仿宋" w:eastAsia="仿宋"/>
          <w:iCs/>
          <w:szCs w:val="21"/>
        </w:rPr>
        <w:t xml:space="preserve">强制采购       </w:t>
      </w:r>
      <w:r>
        <w:rPr>
          <w:rFonts w:ascii="仿宋" w:hAnsi="仿宋" w:eastAsia="仿宋" w:cs="Wingdings"/>
          <w:iCs/>
          <w:szCs w:val="21"/>
        </w:rPr>
        <w:t></w:t>
      </w:r>
      <w:r>
        <w:rPr>
          <w:rFonts w:hint="eastAsia" w:ascii="仿宋" w:hAnsi="仿宋" w:eastAsia="仿宋"/>
          <w:iCs/>
          <w:szCs w:val="21"/>
        </w:rPr>
        <w:t xml:space="preserve">优先采购    </w:t>
      </w:r>
    </w:p>
    <w:p w14:paraId="006E1CE6">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iCs/>
          <w:szCs w:val="21"/>
        </w:rPr>
        <w:t xml:space="preserve">       </w:t>
      </w:r>
      <w:r>
        <w:rPr>
          <w:rFonts w:ascii="仿宋" w:hAnsi="仿宋" w:eastAsia="仿宋"/>
          <w:iCs/>
          <w:szCs w:val="21"/>
        </w:rPr>
        <w:t xml:space="preserve"> </w:t>
      </w:r>
      <w:r>
        <w:rPr>
          <w:rFonts w:hint="eastAsia" w:ascii="仿宋" w:hAnsi="仿宋" w:eastAsia="仿宋"/>
          <w:iCs/>
          <w:szCs w:val="21"/>
        </w:rPr>
        <w:t xml:space="preserve"> </w:t>
      </w:r>
      <w:r>
        <w:rPr>
          <w:rFonts w:ascii="Wingdings 2" w:hAnsi="Wingdings 2" w:eastAsia="Wingdings 2" w:cs="Wingdings 2"/>
          <w:sz w:val="21"/>
        </w:rPr>
        <w:t>R</w:t>
      </w:r>
      <w:r>
        <w:rPr>
          <w:rFonts w:hint="eastAsia" w:ascii="仿宋" w:hAnsi="仿宋" w:eastAsia="仿宋"/>
          <w:szCs w:val="21"/>
        </w:rPr>
        <w:t>否</w:t>
      </w:r>
    </w:p>
    <w:p w14:paraId="02117F62">
      <w:pPr>
        <w:pStyle w:val="297"/>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cs="Times New Roman"/>
          <w:sz w:val="21"/>
        </w:rPr>
      </w:pPr>
      <w:r>
        <w:rPr>
          <w:rFonts w:hint="eastAsia" w:ascii="仿宋" w:hAnsi="仿宋" w:eastAsia="仿宋"/>
          <w:sz w:val="21"/>
        </w:rPr>
        <w:t xml:space="preserve">          </w:t>
      </w:r>
      <w:r>
        <w:rPr>
          <w:rFonts w:hint="eastAsia" w:ascii="仿宋" w:hAnsi="仿宋" w:eastAsia="仿宋" w:cs="Times New Roman"/>
          <w:sz w:val="21"/>
        </w:rPr>
        <w:t xml:space="preserve">是否涉及绿色产品： </w:t>
      </w:r>
    </w:p>
    <w:p w14:paraId="4935242F">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u w:val="single"/>
        </w:rPr>
      </w:pPr>
      <w:r>
        <w:rPr>
          <w:rFonts w:hint="eastAsia" w:ascii="仿宋" w:hAnsi="仿宋" w:eastAsia="仿宋" w:cs="Times New Roman"/>
          <w:sz w:val="21"/>
        </w:rPr>
        <w:t xml:space="preserve">     </w:t>
      </w:r>
      <w:r>
        <w:rPr>
          <w:rFonts w:ascii="仿宋" w:hAnsi="仿宋" w:eastAsia="仿宋" w:cs="Wingdings"/>
          <w:sz w:val="21"/>
        </w:rPr>
        <w:t></w:t>
      </w:r>
      <w:r>
        <w:rPr>
          <w:rFonts w:hint="eastAsia" w:ascii="仿宋" w:hAnsi="仿宋" w:eastAsia="仿宋" w:cs="Times New Roman"/>
          <w:sz w:val="21"/>
        </w:rPr>
        <w:t>是，绿色产品政府采购相关政策确定的底级品目名称：</w:t>
      </w:r>
      <w:r>
        <w:rPr>
          <w:rFonts w:hint="eastAsia" w:ascii="仿宋" w:hAnsi="仿宋" w:eastAsia="仿宋"/>
          <w:u w:val="single"/>
        </w:rPr>
        <w:t xml:space="preserve">         </w:t>
      </w:r>
    </w:p>
    <w:p w14:paraId="145CDD78">
      <w:pPr>
        <w:keepNext w:val="0"/>
        <w:keepLines w:val="0"/>
        <w:pageBreakBefore w:val="0"/>
        <w:numPr>
          <w:ilvl w:val="255"/>
          <w:numId w:val="0"/>
        </w:numPr>
        <w:tabs>
          <w:tab w:val="left" w:pos="740"/>
        </w:tabs>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iCs/>
          <w:szCs w:val="21"/>
        </w:rPr>
        <w:t xml:space="preserve">                </w:t>
      </w:r>
      <w:r>
        <w:rPr>
          <w:rFonts w:ascii="仿宋" w:hAnsi="仿宋" w:eastAsia="仿宋" w:cs="Wingdings"/>
          <w:iCs/>
          <w:szCs w:val="21"/>
        </w:rPr>
        <w:t></w:t>
      </w:r>
      <w:r>
        <w:rPr>
          <w:rFonts w:hint="eastAsia" w:ascii="仿宋" w:hAnsi="仿宋" w:eastAsia="仿宋"/>
          <w:iCs/>
          <w:szCs w:val="21"/>
        </w:rPr>
        <w:t xml:space="preserve">强制采购       </w:t>
      </w:r>
      <w:r>
        <w:rPr>
          <w:rFonts w:ascii="仿宋" w:hAnsi="仿宋" w:eastAsia="仿宋" w:cs="Wingdings"/>
          <w:iCs/>
          <w:szCs w:val="21"/>
        </w:rPr>
        <w:t></w:t>
      </w:r>
      <w:r>
        <w:rPr>
          <w:rFonts w:hint="eastAsia" w:ascii="仿宋" w:hAnsi="仿宋" w:eastAsia="仿宋"/>
          <w:iCs/>
          <w:szCs w:val="21"/>
        </w:rPr>
        <w:t xml:space="preserve">优先采购    </w:t>
      </w:r>
    </w:p>
    <w:p w14:paraId="19FC4250">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sz w:val="21"/>
        </w:rPr>
      </w:pPr>
      <w:r>
        <w:rPr>
          <w:rFonts w:hint="eastAsia" w:ascii="仿宋" w:hAnsi="仿宋" w:eastAsia="仿宋" w:cs="Times New Roman"/>
          <w:sz w:val="21"/>
        </w:rPr>
        <w:t xml:space="preserve">     </w:t>
      </w:r>
      <w:r>
        <w:rPr>
          <w:rFonts w:ascii="Wingdings 2" w:hAnsi="Wingdings 2" w:eastAsia="Wingdings 2" w:cs="Wingdings 2"/>
          <w:sz w:val="21"/>
        </w:rPr>
        <w:t>R</w:t>
      </w:r>
      <w:r>
        <w:rPr>
          <w:rFonts w:hint="eastAsia" w:ascii="仿宋" w:hAnsi="仿宋" w:eastAsia="仿宋" w:cs="Times New Roman"/>
          <w:sz w:val="21"/>
        </w:rPr>
        <w:t>否</w:t>
      </w:r>
    </w:p>
    <w:p w14:paraId="1E85B577">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合同金额</w:t>
      </w:r>
    </w:p>
    <w:p w14:paraId="3C26E307">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（1）合同总价小写：</w:t>
      </w:r>
      <w:r>
        <w:rPr>
          <w:rFonts w:hint="eastAsia" w:ascii="仿宋" w:hAnsi="仿宋" w:eastAsia="仿宋"/>
          <w:szCs w:val="21"/>
          <w:u w:val="single"/>
        </w:rPr>
        <w:t xml:space="preserve">                       </w:t>
      </w:r>
    </w:p>
    <w:p w14:paraId="74D353D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u w:val="single"/>
        </w:rPr>
      </w:pPr>
      <w:r>
        <w:rPr>
          <w:rFonts w:hint="eastAsia" w:ascii="仿宋" w:hAnsi="仿宋" w:eastAsia="仿宋"/>
          <w:szCs w:val="21"/>
        </w:rPr>
        <w:t xml:space="preserve">                 大写：</w:t>
      </w:r>
      <w:r>
        <w:rPr>
          <w:rFonts w:hint="eastAsia" w:ascii="仿宋" w:hAnsi="仿宋" w:eastAsia="仿宋"/>
          <w:szCs w:val="21"/>
          <w:u w:val="single"/>
        </w:rPr>
        <w:t xml:space="preserve">                       </w:t>
      </w:r>
    </w:p>
    <w:p w14:paraId="1E2CD61A">
      <w:pPr>
        <w:pStyle w:val="282"/>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注：合同总价包括但不限于全部货物、各种税费及包装、运至最终目的地的运输、保险、检测验收、技术支持与培训、售后服务与维保及相关劳务支出等工作所发生的全部费用以及企业利润、税金和政策性文件规定、代理服务费及合同包含的所有风险、责任等各项应有费用。</w:t>
      </w:r>
    </w:p>
    <w:p w14:paraId="7A2DA46B">
      <w:pPr>
        <w:pStyle w:val="282"/>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（2）</w:t>
      </w:r>
      <w:r>
        <w:rPr>
          <w:rFonts w:hint="eastAsia" w:ascii="仿宋" w:hAnsi="仿宋" w:eastAsia="仿宋"/>
        </w:rPr>
        <w:t>合同</w:t>
      </w:r>
      <w:r>
        <w:rPr>
          <w:rFonts w:hint="eastAsia" w:ascii="仿宋" w:hAnsi="仿宋" w:eastAsia="仿宋"/>
          <w:szCs w:val="21"/>
        </w:rPr>
        <w:t>定价方式：</w:t>
      </w:r>
    </w:p>
    <w:p w14:paraId="56F3544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iCs/>
          <w:szCs w:val="21"/>
        </w:rPr>
        <w:t xml:space="preserve">  </w:t>
      </w:r>
      <w:r>
        <w:rPr>
          <w:rFonts w:ascii="仿宋" w:hAnsi="仿宋" w:eastAsia="仿宋" w:cs="Wingdings"/>
          <w:iCs/>
          <w:szCs w:val="21"/>
        </w:rPr>
        <w:t></w:t>
      </w:r>
      <w:r>
        <w:rPr>
          <w:rFonts w:hint="eastAsia" w:ascii="仿宋" w:hAnsi="仿宋" w:eastAsia="仿宋"/>
          <w:iCs/>
          <w:szCs w:val="21"/>
        </w:rPr>
        <w:t xml:space="preserve">固定总价 </w:t>
      </w:r>
      <w:r>
        <w:rPr>
          <w:rFonts w:ascii="Wingdings 2" w:hAnsi="Wingdings 2" w:eastAsia="Wingdings 2" w:cs="Wingdings 2"/>
          <w:sz w:val="21"/>
        </w:rPr>
        <w:t>R</w:t>
      </w:r>
      <w:r>
        <w:rPr>
          <w:rFonts w:hint="eastAsia" w:ascii="仿宋" w:hAnsi="仿宋" w:eastAsia="仿宋"/>
          <w:iCs/>
          <w:szCs w:val="21"/>
        </w:rPr>
        <w:t xml:space="preserve">固定单价 </w:t>
      </w:r>
      <w:r>
        <w:rPr>
          <w:rFonts w:ascii="仿宋" w:hAnsi="仿宋" w:eastAsia="仿宋" w:cs="Wingdings"/>
          <w:iCs/>
          <w:szCs w:val="21"/>
        </w:rPr>
        <w:t></w:t>
      </w:r>
      <w:r>
        <w:rPr>
          <w:rFonts w:hint="eastAsia" w:ascii="仿宋" w:hAnsi="仿宋" w:eastAsia="仿宋"/>
          <w:iCs/>
          <w:szCs w:val="21"/>
        </w:rPr>
        <w:t xml:space="preserve">固定费率 </w:t>
      </w:r>
      <w:r>
        <w:rPr>
          <w:rFonts w:ascii="仿宋" w:hAnsi="仿宋" w:eastAsia="仿宋" w:cs="Wingdings"/>
          <w:iCs/>
          <w:szCs w:val="21"/>
        </w:rPr>
        <w:t></w:t>
      </w:r>
      <w:r>
        <w:rPr>
          <w:rFonts w:hint="eastAsia" w:ascii="仿宋" w:hAnsi="仿宋" w:eastAsia="仿宋"/>
          <w:iCs/>
          <w:szCs w:val="21"/>
        </w:rPr>
        <w:t xml:space="preserve">成本补偿 </w:t>
      </w:r>
      <w:r>
        <w:rPr>
          <w:rFonts w:ascii="仿宋" w:hAnsi="仿宋" w:eastAsia="仿宋" w:cs="Wingdings"/>
          <w:iCs/>
          <w:szCs w:val="21"/>
        </w:rPr>
        <w:t></w:t>
      </w:r>
      <w:r>
        <w:rPr>
          <w:rFonts w:hint="eastAsia" w:ascii="仿宋" w:hAnsi="仿宋" w:eastAsia="仿宋"/>
          <w:iCs/>
          <w:szCs w:val="21"/>
        </w:rPr>
        <w:t xml:space="preserve">绩效激励 </w:t>
      </w:r>
      <w:r>
        <w:rPr>
          <w:rFonts w:ascii="仿宋" w:hAnsi="仿宋" w:eastAsia="仿宋" w:cs="Wingdings"/>
          <w:iCs/>
          <w:szCs w:val="21"/>
        </w:rPr>
        <w:t></w:t>
      </w:r>
      <w:r>
        <w:rPr>
          <w:rFonts w:hint="eastAsia" w:ascii="仿宋" w:hAnsi="仿宋" w:eastAsia="仿宋"/>
          <w:iCs/>
          <w:szCs w:val="21"/>
        </w:rPr>
        <w:t>其他</w:t>
      </w:r>
      <w:r>
        <w:rPr>
          <w:rFonts w:hint="eastAsia" w:ascii="仿宋" w:hAnsi="仿宋" w:eastAsia="仿宋"/>
          <w:szCs w:val="21"/>
          <w:u w:val="single"/>
        </w:rPr>
        <w:t xml:space="preserve">  </w:t>
      </w:r>
      <w:r>
        <w:rPr>
          <w:rFonts w:ascii="仿宋" w:hAnsi="仿宋" w:eastAsia="仿宋"/>
          <w:szCs w:val="21"/>
          <w:u w:val="single"/>
        </w:rPr>
        <w:t>/</w:t>
      </w:r>
      <w:r>
        <w:rPr>
          <w:rFonts w:hint="eastAsia" w:ascii="仿宋" w:hAnsi="仿宋" w:eastAsia="仿宋"/>
          <w:szCs w:val="21"/>
          <w:u w:val="single"/>
        </w:rPr>
        <w:t xml:space="preserve">   </w:t>
      </w:r>
    </w:p>
    <w:p w14:paraId="102B034A">
      <w:pPr>
        <w:pStyle w:val="282"/>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（3）付款步骤：</w:t>
      </w:r>
    </w:p>
    <w:p w14:paraId="04FB438E">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hint="eastAsia" w:ascii="仿宋" w:hAnsi="仿宋" w:eastAsia="仿宋"/>
          <w:szCs w:val="21"/>
          <w:u w:val="single"/>
        </w:rPr>
        <w:t>1）验收完成后付至合同价的90%，剩余尾款于第二年一次性付清。</w:t>
      </w:r>
    </w:p>
    <w:p w14:paraId="61592D32">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仿宋" w:hAnsi="仿宋" w:eastAsia="仿宋"/>
          <w:szCs w:val="21"/>
          <w:u w:val="single"/>
        </w:rPr>
        <w:t>2</w:t>
      </w:r>
      <w:r>
        <w:rPr>
          <w:rFonts w:hint="eastAsia" w:ascii="仿宋" w:hAnsi="仿宋" w:eastAsia="仿宋"/>
          <w:szCs w:val="21"/>
          <w:u w:val="single"/>
        </w:rPr>
        <w:t>）付款凭据：</w:t>
      </w:r>
    </w:p>
    <w:p w14:paraId="29035706">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付款申款；</w:t>
      </w:r>
      <w:r>
        <w:rPr>
          <w:rFonts w:ascii="仿宋" w:hAnsi="仿宋" w:eastAsia="仿宋"/>
          <w:szCs w:val="21"/>
          <w:u w:val="single"/>
        </w:rPr>
        <w:t xml:space="preserve"> </w:t>
      </w:r>
    </w:p>
    <w:p w14:paraId="29D9A5EE">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合格的发票；</w:t>
      </w:r>
    </w:p>
    <w:p w14:paraId="6F0C1B49">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本合同复印件；</w:t>
      </w:r>
      <w:r>
        <w:rPr>
          <w:rFonts w:ascii="仿宋" w:hAnsi="仿宋" w:eastAsia="仿宋"/>
          <w:szCs w:val="21"/>
          <w:u w:val="single"/>
        </w:rPr>
        <w:t xml:space="preserve"> </w:t>
      </w:r>
    </w:p>
    <w:p w14:paraId="464AA3D4">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货物接受清单；</w:t>
      </w:r>
    </w:p>
    <w:p w14:paraId="5BACD0B3">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产品说明书、合格证和质保资料；</w:t>
      </w:r>
    </w:p>
    <w:p w14:paraId="2611644A">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审计报告（如需，最终结清）</w:t>
      </w:r>
    </w:p>
    <w:p w14:paraId="3C79AB3E">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szCs w:val="21"/>
          <w:u w:val="single"/>
        </w:rPr>
      </w:pPr>
      <w:r>
        <w:rPr>
          <w:rFonts w:ascii="Segoe UI Symbol" w:hAnsi="Segoe UI Symbol" w:eastAsia="仿宋" w:cs="Segoe UI Symbol"/>
          <w:szCs w:val="21"/>
          <w:u w:val="single"/>
        </w:rPr>
        <w:t>☑</w:t>
      </w:r>
      <w:r>
        <w:rPr>
          <w:rFonts w:hint="eastAsia" w:ascii="仿宋" w:hAnsi="仿宋" w:eastAsia="仿宋"/>
          <w:szCs w:val="21"/>
          <w:u w:val="single"/>
        </w:rPr>
        <w:t>履约验收证明。</w:t>
      </w:r>
    </w:p>
    <w:p w14:paraId="6AD02FB7">
      <w:pPr>
        <w:pStyle w:val="282"/>
        <w:keepNext w:val="0"/>
        <w:keepLines w:val="0"/>
        <w:pageBreakBefore w:val="0"/>
        <w:kinsoku/>
        <w:wordWrap/>
        <w:overflowPunct/>
        <w:topLinePunct w:val="0"/>
        <w:autoSpaceDE/>
        <w:autoSpaceDN/>
        <w:bidi w:val="0"/>
        <w:spacing w:line="360" w:lineRule="auto"/>
        <w:ind w:firstLine="567"/>
        <w:textAlignment w:val="auto"/>
        <w:rPr>
          <w:rFonts w:ascii="仿宋" w:hAnsi="仿宋" w:eastAsia="仿宋"/>
        </w:rPr>
      </w:pPr>
      <w:r>
        <w:rPr>
          <w:rFonts w:ascii="仿宋" w:hAnsi="仿宋" w:eastAsia="仿宋"/>
          <w:szCs w:val="21"/>
          <w:u w:val="single"/>
        </w:rPr>
        <w:t>3</w:t>
      </w:r>
      <w:r>
        <w:rPr>
          <w:rFonts w:hint="eastAsia" w:ascii="仿宋" w:hAnsi="仿宋" w:eastAsia="仿宋"/>
          <w:szCs w:val="21"/>
          <w:u w:val="single"/>
        </w:rPr>
        <w:t>）本合同付款根据实际情况，将使用数字人民币、转账等形式支付。</w:t>
      </w:r>
    </w:p>
    <w:p w14:paraId="3916C7C8">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u w:val="single"/>
        </w:rPr>
      </w:pPr>
      <w:r>
        <w:rPr>
          <w:rFonts w:hint="eastAsia" w:ascii="仿宋" w:hAnsi="仿宋" w:eastAsia="仿宋"/>
          <w:b/>
          <w:szCs w:val="21"/>
        </w:rPr>
        <w:t>合同履行</w:t>
      </w:r>
    </w:p>
    <w:p w14:paraId="355BD61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（1）履约期限：</w:t>
      </w:r>
      <w:r>
        <w:rPr>
          <w:rFonts w:hint="eastAsia" w:ascii="仿宋" w:hAnsi="仿宋" w:eastAsia="仿宋"/>
          <w:szCs w:val="21"/>
          <w:u w:val="single"/>
        </w:rPr>
        <w:t xml:space="preserve">                             </w:t>
      </w:r>
    </w:p>
    <w:p w14:paraId="4A9614B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u w:val="single"/>
        </w:rPr>
      </w:pPr>
      <w:r>
        <w:rPr>
          <w:rFonts w:hint="eastAsia" w:ascii="仿宋" w:hAnsi="仿宋" w:eastAsia="仿宋"/>
          <w:szCs w:val="21"/>
        </w:rPr>
        <w:t>（2）履约地点</w:t>
      </w:r>
      <w:r>
        <w:rPr>
          <w:rFonts w:hint="eastAsia" w:ascii="仿宋" w:hAnsi="仿宋" w:eastAsia="仿宋"/>
          <w:bCs/>
          <w:szCs w:val="21"/>
        </w:rPr>
        <w:t>：</w:t>
      </w:r>
      <w:r>
        <w:rPr>
          <w:rFonts w:hint="eastAsia" w:ascii="仿宋" w:hAnsi="仿宋" w:eastAsia="仿宋"/>
          <w:szCs w:val="21"/>
          <w:u w:val="single"/>
        </w:rPr>
        <w:t xml:space="preserve">                             </w:t>
      </w:r>
    </w:p>
    <w:p w14:paraId="6EE5C316">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bCs/>
          <w:szCs w:val="21"/>
        </w:rPr>
        <w:t>（3）履约担保：</w:t>
      </w:r>
      <w:r>
        <w:rPr>
          <w:rFonts w:hint="eastAsia" w:ascii="仿宋" w:hAnsi="仿宋" w:eastAsia="仿宋"/>
          <w:sz w:val="21"/>
        </w:rPr>
        <w:t>是否收取履约保证金：</w:t>
      </w:r>
      <w:r>
        <w:rPr>
          <w:rFonts w:ascii="仿宋" w:hAnsi="仿宋" w:eastAsia="仿宋" w:cs="Wingdings 2"/>
          <w:sz w:val="21"/>
        </w:rPr>
        <w:t></w:t>
      </w:r>
      <w:r>
        <w:rPr>
          <w:rFonts w:hint="eastAsia" w:ascii="仿宋" w:hAnsi="仿宋" w:eastAsia="仿宋"/>
          <w:sz w:val="21"/>
          <w:szCs w:val="21"/>
        </w:rPr>
        <w:t xml:space="preserve">是    </w:t>
      </w:r>
      <w:r>
        <w:rPr>
          <w:rFonts w:ascii="Wingdings 2" w:hAnsi="Wingdings 2" w:eastAsia="Wingdings 2" w:cs="Wingdings 2"/>
          <w:sz w:val="21"/>
        </w:rPr>
        <w:t>R</w:t>
      </w:r>
      <w:r>
        <w:rPr>
          <w:rFonts w:hint="eastAsia" w:ascii="仿宋" w:hAnsi="仿宋" w:eastAsia="仿宋"/>
          <w:sz w:val="21"/>
          <w:szCs w:val="21"/>
        </w:rPr>
        <w:t>否</w:t>
      </w:r>
    </w:p>
    <w:p w14:paraId="7D34DFA9">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合同验收</w:t>
      </w:r>
    </w:p>
    <w:p w14:paraId="1927E86A">
      <w:pPr>
        <w:keepNext w:val="0"/>
        <w:keepLines w:val="0"/>
        <w:pageBreakBefore w:val="0"/>
        <w:numPr>
          <w:ilvl w:val="0"/>
          <w:numId w:val="6"/>
        </w:numPr>
        <w:kinsoku/>
        <w:wordWrap/>
        <w:overflowPunct/>
        <w:topLinePunct w:val="0"/>
        <w:autoSpaceDE/>
        <w:autoSpaceDN/>
        <w:bidi w:val="0"/>
        <w:spacing w:line="360" w:lineRule="auto"/>
        <w:ind w:firstLine="440"/>
        <w:jc w:val="both"/>
        <w:textAlignment w:val="auto"/>
        <w:rPr>
          <w:rFonts w:ascii="仿宋" w:hAnsi="仿宋" w:eastAsia="仿宋"/>
          <w:bCs/>
          <w:szCs w:val="21"/>
        </w:rPr>
      </w:pPr>
      <w:r>
        <w:rPr>
          <w:rFonts w:hint="eastAsia" w:ascii="仿宋" w:hAnsi="仿宋" w:eastAsia="仿宋"/>
          <w:bCs/>
          <w:szCs w:val="21"/>
        </w:rPr>
        <w:t>验收组织方式：</w:t>
      </w:r>
      <w:r>
        <w:rPr>
          <w:rFonts w:ascii="Wingdings 2" w:hAnsi="Wingdings 2" w:eastAsia="Wingdings 2" w:cs="Wingdings 2"/>
          <w:sz w:val="21"/>
        </w:rPr>
        <w:t>R</w:t>
      </w:r>
      <w:r>
        <w:rPr>
          <w:rFonts w:hint="eastAsia" w:ascii="仿宋" w:hAnsi="仿宋" w:eastAsia="仿宋"/>
          <w:bCs/>
          <w:szCs w:val="21"/>
        </w:rPr>
        <w:t xml:space="preserve">自行组织 </w:t>
      </w:r>
      <w:r>
        <w:rPr>
          <w:rFonts w:ascii="仿宋" w:hAnsi="仿宋" w:eastAsia="仿宋" w:cs="Wingdings"/>
          <w:sz w:val="21"/>
          <w:szCs w:val="21"/>
        </w:rPr>
        <w:t></w:t>
      </w:r>
      <w:r>
        <w:rPr>
          <w:rFonts w:hint="eastAsia" w:ascii="仿宋" w:hAnsi="仿宋" w:eastAsia="仿宋"/>
          <w:bCs/>
          <w:szCs w:val="21"/>
        </w:rPr>
        <w:t>委托第三方组织</w:t>
      </w:r>
    </w:p>
    <w:p w14:paraId="545EECEB">
      <w:pPr>
        <w:keepNext w:val="0"/>
        <w:keepLines w:val="0"/>
        <w:pageBreakBefore w:val="0"/>
        <w:kinsoku/>
        <w:wordWrap/>
        <w:overflowPunct/>
        <w:topLinePunct w:val="0"/>
        <w:autoSpaceDE/>
        <w:autoSpaceDN/>
        <w:bidi w:val="0"/>
        <w:spacing w:line="360" w:lineRule="auto"/>
        <w:textAlignment w:val="auto"/>
        <w:rPr>
          <w:rFonts w:ascii="仿宋" w:hAnsi="仿宋" w:eastAsia="仿宋"/>
          <w:bCs/>
          <w:szCs w:val="21"/>
        </w:rPr>
      </w:pPr>
      <w:r>
        <w:rPr>
          <w:rFonts w:hint="eastAsia" w:ascii="仿宋" w:hAnsi="仿宋" w:eastAsia="仿宋"/>
          <w:bCs/>
          <w:szCs w:val="21"/>
        </w:rPr>
        <w:t xml:space="preserve">         验收主体：</w:t>
      </w:r>
      <w:r>
        <w:rPr>
          <w:rFonts w:hint="eastAsia" w:ascii="仿宋" w:hAnsi="仿宋" w:eastAsia="仿宋"/>
          <w:bCs/>
          <w:szCs w:val="21"/>
          <w:u w:val="single"/>
        </w:rPr>
        <w:t xml:space="preserve"> 采购人 </w:t>
      </w:r>
    </w:p>
    <w:p w14:paraId="1AA1C6F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u w:val="single"/>
        </w:rPr>
      </w:pPr>
      <w:r>
        <w:rPr>
          <w:rFonts w:hint="eastAsia" w:ascii="仿宋" w:hAnsi="仿宋" w:eastAsia="仿宋"/>
          <w:bCs/>
          <w:szCs w:val="21"/>
        </w:rPr>
        <w:t>（2）履约验收时间：</w:t>
      </w:r>
      <w:r>
        <w:rPr>
          <w:rFonts w:hint="eastAsia" w:ascii="仿宋" w:hAnsi="仿宋" w:eastAsia="仿宋"/>
          <w:bCs/>
          <w:szCs w:val="21"/>
          <w:u w:val="single"/>
        </w:rPr>
        <w:t>全部货物到达采购人指定地点，并完成安装及调试后15个工作日内。</w:t>
      </w:r>
    </w:p>
    <w:p w14:paraId="4EBC09C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rPr>
      </w:pPr>
      <w:r>
        <w:rPr>
          <w:rFonts w:hint="eastAsia" w:ascii="仿宋" w:hAnsi="仿宋" w:eastAsia="仿宋"/>
          <w:bCs/>
          <w:szCs w:val="21"/>
        </w:rPr>
        <w:t>（3）履约验收方式：</w:t>
      </w:r>
      <w:r>
        <w:rPr>
          <w:rFonts w:ascii="Wingdings 2" w:hAnsi="Wingdings 2" w:eastAsia="Wingdings 2" w:cs="Wingdings 2"/>
          <w:sz w:val="21"/>
          <w:szCs w:val="21"/>
        </w:rPr>
        <w:t>R</w:t>
      </w:r>
      <w:r>
        <w:rPr>
          <w:rFonts w:hint="eastAsia" w:ascii="仿宋" w:hAnsi="仿宋" w:eastAsia="仿宋"/>
          <w:bCs/>
          <w:szCs w:val="21"/>
        </w:rPr>
        <w:t xml:space="preserve">一次性验收 </w:t>
      </w:r>
    </w:p>
    <w:p w14:paraId="30647868">
      <w:pPr>
        <w:keepNext w:val="0"/>
        <w:keepLines w:val="0"/>
        <w:pageBreakBefore w:val="0"/>
        <w:kinsoku/>
        <w:wordWrap/>
        <w:overflowPunct/>
        <w:topLinePunct w:val="0"/>
        <w:autoSpaceDE/>
        <w:autoSpaceDN/>
        <w:bidi w:val="0"/>
        <w:spacing w:line="360" w:lineRule="auto"/>
        <w:textAlignment w:val="auto"/>
        <w:rPr>
          <w:rFonts w:ascii="仿宋" w:hAnsi="仿宋" w:eastAsia="仿宋"/>
          <w:bCs/>
          <w:szCs w:val="21"/>
        </w:rPr>
      </w:pPr>
      <w:r>
        <w:rPr>
          <w:rFonts w:hint="eastAsia" w:ascii="仿宋" w:hAnsi="仿宋" w:eastAsia="仿宋"/>
          <w:bCs/>
          <w:szCs w:val="21"/>
        </w:rPr>
        <w:t xml:space="preserve">                       </w:t>
      </w:r>
      <w:r>
        <w:rPr>
          <w:rFonts w:ascii="仿宋" w:hAnsi="仿宋" w:eastAsia="仿宋" w:cs="Wingdings"/>
          <w:sz w:val="21"/>
          <w:szCs w:val="21"/>
        </w:rPr>
        <w:t></w:t>
      </w:r>
      <w:r>
        <w:rPr>
          <w:rFonts w:hint="eastAsia" w:ascii="仿宋" w:hAnsi="仿宋" w:eastAsia="仿宋"/>
          <w:bCs/>
          <w:szCs w:val="21"/>
        </w:rPr>
        <w:t>分期/分项验收：</w:t>
      </w:r>
      <w:r>
        <w:rPr>
          <w:rFonts w:hint="eastAsia" w:ascii="仿宋" w:hAnsi="仿宋" w:eastAsia="仿宋"/>
          <w:bCs/>
          <w:szCs w:val="21"/>
          <w:u w:val="single"/>
        </w:rPr>
        <w:t>/。</w:t>
      </w:r>
      <w:r>
        <w:rPr>
          <w:rFonts w:ascii="仿宋" w:hAnsi="仿宋" w:eastAsia="仿宋"/>
          <w:bCs/>
          <w:szCs w:val="21"/>
        </w:rPr>
        <w:t xml:space="preserve"> </w:t>
      </w:r>
    </w:p>
    <w:p w14:paraId="5D56B1D9">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rPr>
      </w:pPr>
      <w:r>
        <w:rPr>
          <w:rFonts w:hint="eastAsia" w:ascii="仿宋" w:hAnsi="仿宋" w:eastAsia="仿宋"/>
          <w:bCs/>
          <w:szCs w:val="21"/>
        </w:rPr>
        <w:t>（4）履约验收程序：</w:t>
      </w:r>
      <w:r>
        <w:rPr>
          <w:rFonts w:hint="eastAsia" w:ascii="仿宋" w:hAnsi="仿宋" w:eastAsia="仿宋"/>
          <w:bCs/>
          <w:szCs w:val="21"/>
          <w:u w:val="single"/>
        </w:rPr>
        <w:t>货物到达现场后，甲方有权邀请第三方检测机构进行验收及对相关指标进行抽检，如验收不合格或相关指标达不到招标文件要求或投标文件中所承诺的标准，甲方有权拒绝收货，并上报行政监督部门按相关规定处理，乙方须承担由此造成的相关损失及违约责任。</w:t>
      </w:r>
    </w:p>
    <w:p w14:paraId="3C3108D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u w:val="single"/>
        </w:rPr>
      </w:pPr>
      <w:r>
        <w:rPr>
          <w:rFonts w:hint="eastAsia" w:ascii="仿宋" w:hAnsi="仿宋" w:eastAsia="仿宋"/>
          <w:bCs/>
          <w:szCs w:val="21"/>
        </w:rPr>
        <w:t>（5）履约验收的内容：</w:t>
      </w:r>
      <w:r>
        <w:rPr>
          <w:rFonts w:hint="eastAsia" w:ascii="仿宋" w:hAnsi="仿宋" w:eastAsia="仿宋"/>
          <w:bCs/>
          <w:szCs w:val="21"/>
          <w:u w:val="single"/>
        </w:rPr>
        <w:t>货物应符合国家现行有关产品标准的规定，并保证其各项检测指标达到国家规范及招标文件要求，其安全性能符合国家标准要求。</w:t>
      </w:r>
    </w:p>
    <w:p w14:paraId="121BCF9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u w:val="single"/>
        </w:rPr>
      </w:pPr>
      <w:r>
        <w:rPr>
          <w:rFonts w:hint="eastAsia" w:ascii="仿宋" w:hAnsi="仿宋" w:eastAsia="仿宋"/>
          <w:bCs/>
          <w:szCs w:val="21"/>
        </w:rPr>
        <w:t>（6）履约验收标准：</w:t>
      </w:r>
      <w:r>
        <w:rPr>
          <w:rFonts w:hint="eastAsia" w:ascii="仿宋" w:hAnsi="仿宋" w:eastAsia="仿宋"/>
          <w:bCs/>
          <w:szCs w:val="21"/>
          <w:u w:val="single"/>
        </w:rPr>
        <w:t>按本招标文件、供应商的投标文件、承诺及国家相关标准为准。按《江苏省政府采购履约验收管理办法》（苏财规〔2024〕7号）的通知的要求，提供验收通知单、验收书。如双方对验收结果有分歧，则以苏州市技术质量监督局的检验结果为准，检验费用由有过失的一方支付。</w:t>
      </w:r>
    </w:p>
    <w:p w14:paraId="37CF01E8">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宋体"/>
          <w:sz w:val="21"/>
        </w:rPr>
      </w:pPr>
      <w:r>
        <w:rPr>
          <w:rFonts w:hint="eastAsia" w:ascii="仿宋" w:hAnsi="仿宋" w:eastAsia="仿宋" w:cs="宋体"/>
          <w:bCs/>
          <w:sz w:val="21"/>
        </w:rPr>
        <w:t>（7）是否以采购活动中供应商提供的样品作为参考：</w:t>
      </w:r>
      <w:r>
        <w:rPr>
          <w:rFonts w:ascii="仿宋" w:hAnsi="仿宋" w:eastAsia="仿宋" w:cs="Wingdings"/>
          <w:sz w:val="21"/>
        </w:rPr>
        <w:t></w:t>
      </w:r>
      <w:r>
        <w:rPr>
          <w:rFonts w:hint="eastAsia" w:ascii="仿宋" w:hAnsi="仿宋" w:eastAsia="仿宋" w:cs="宋体"/>
          <w:bCs/>
          <w:sz w:val="21"/>
        </w:rPr>
        <w:t xml:space="preserve">是  </w:t>
      </w:r>
      <w:r>
        <w:rPr>
          <w:rFonts w:ascii="Wingdings 2" w:hAnsi="Wingdings 2" w:eastAsia="Wingdings 2" w:cs="Wingdings 2"/>
          <w:sz w:val="21"/>
        </w:rPr>
        <w:t>R</w:t>
      </w:r>
      <w:r>
        <w:rPr>
          <w:rFonts w:hint="eastAsia" w:ascii="仿宋" w:hAnsi="仿宋" w:eastAsia="仿宋" w:cs="宋体"/>
          <w:bCs/>
          <w:sz w:val="21"/>
        </w:rPr>
        <w:t>否</w:t>
      </w:r>
    </w:p>
    <w:p w14:paraId="6DDDEF65">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组成合同的文件</w:t>
      </w:r>
    </w:p>
    <w:p w14:paraId="4696E26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本协议书与下列文件一起构成合同文件，如下述文件之间有任何抵触、矛盾或歧义，应按以下顺序解释：</w:t>
      </w:r>
    </w:p>
    <w:p w14:paraId="071E854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（1）政府采购合同协议书及其变更、补充协议</w:t>
      </w:r>
    </w:p>
    <w:p w14:paraId="5581615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（2）政府采购合同专用条款</w:t>
      </w:r>
    </w:p>
    <w:p w14:paraId="5C4C0F66">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（3）政府采购合同通用条款</w:t>
      </w:r>
    </w:p>
    <w:p w14:paraId="6E1C81A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（4）中标（成交）通知书</w:t>
      </w:r>
    </w:p>
    <w:p w14:paraId="260BF30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（5）投标（响应）文件</w:t>
      </w:r>
    </w:p>
    <w:p w14:paraId="6F0F371E">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（6）采购文件</w:t>
      </w:r>
    </w:p>
    <w:p w14:paraId="28B68C9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（7）有关技术文件，图纸</w:t>
      </w:r>
    </w:p>
    <w:p w14:paraId="7FAC213E">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（8）国家法律、行政法规和规章制度规定或合同约定的作为合同组成部分的其他文件</w:t>
      </w:r>
    </w:p>
    <w:p w14:paraId="02B74531">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合同生效</w:t>
      </w:r>
    </w:p>
    <w:p w14:paraId="7B0B884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本合同自</w:t>
      </w:r>
      <w:r>
        <w:rPr>
          <w:rFonts w:hint="eastAsia" w:ascii="仿宋" w:hAnsi="仿宋" w:eastAsia="仿宋"/>
          <w:szCs w:val="21"/>
          <w:u w:val="single"/>
        </w:rPr>
        <w:t xml:space="preserve">    甲乙双方签字盖章之日起     </w:t>
      </w:r>
      <w:r>
        <w:rPr>
          <w:rFonts w:hint="eastAsia" w:ascii="仿宋" w:hAnsi="仿宋" w:eastAsia="仿宋"/>
          <w:szCs w:val="21"/>
        </w:rPr>
        <w:t>生效。</w:t>
      </w:r>
    </w:p>
    <w:p w14:paraId="0BB805A7">
      <w:pPr>
        <w:keepNext w:val="0"/>
        <w:keepLines w:val="0"/>
        <w:pageBreakBefore w:val="0"/>
        <w:numPr>
          <w:ilvl w:val="0"/>
          <w:numId w:val="4"/>
        </w:numPr>
        <w:kinsoku/>
        <w:wordWrap/>
        <w:overflowPunct/>
        <w:topLinePunct w:val="0"/>
        <w:autoSpaceDE/>
        <w:autoSpaceDN/>
        <w:bidi w:val="0"/>
        <w:spacing w:line="360" w:lineRule="auto"/>
        <w:ind w:firstLine="442"/>
        <w:jc w:val="both"/>
        <w:textAlignment w:val="auto"/>
        <w:rPr>
          <w:rFonts w:ascii="仿宋" w:hAnsi="仿宋" w:eastAsia="仿宋"/>
          <w:b/>
          <w:szCs w:val="21"/>
        </w:rPr>
      </w:pPr>
      <w:r>
        <w:rPr>
          <w:rFonts w:hint="eastAsia" w:ascii="仿宋" w:hAnsi="仿宋" w:eastAsia="仿宋"/>
          <w:b/>
          <w:szCs w:val="21"/>
        </w:rPr>
        <w:t>合同份数</w:t>
      </w:r>
    </w:p>
    <w:p w14:paraId="2471FDA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本合同一式</w:t>
      </w:r>
      <w:r>
        <w:rPr>
          <w:rFonts w:hint="eastAsia" w:ascii="仿宋" w:hAnsi="仿宋" w:eastAsia="仿宋"/>
          <w:szCs w:val="21"/>
          <w:u w:val="single"/>
        </w:rPr>
        <w:t xml:space="preserve"> </w:t>
      </w:r>
      <w:r>
        <w:rPr>
          <w:rFonts w:ascii="仿宋" w:hAnsi="仿宋" w:eastAsia="仿宋"/>
          <w:szCs w:val="21"/>
          <w:u w:val="single"/>
        </w:rPr>
        <w:t>5</w:t>
      </w:r>
      <w:r>
        <w:rPr>
          <w:rFonts w:hint="eastAsia" w:ascii="仿宋" w:hAnsi="仿宋" w:eastAsia="仿宋"/>
          <w:szCs w:val="21"/>
          <w:u w:val="single"/>
        </w:rPr>
        <w:t xml:space="preserve"> </w:t>
      </w:r>
      <w:r>
        <w:rPr>
          <w:rFonts w:hint="eastAsia" w:ascii="仿宋" w:hAnsi="仿宋" w:eastAsia="仿宋"/>
          <w:szCs w:val="21"/>
        </w:rPr>
        <w:t>份，甲方执</w:t>
      </w:r>
      <w:r>
        <w:rPr>
          <w:rFonts w:hint="eastAsia" w:ascii="仿宋" w:hAnsi="仿宋" w:eastAsia="仿宋"/>
          <w:szCs w:val="21"/>
          <w:u w:val="single"/>
        </w:rPr>
        <w:t xml:space="preserve"> </w:t>
      </w:r>
      <w:r>
        <w:rPr>
          <w:rFonts w:ascii="仿宋" w:hAnsi="仿宋" w:eastAsia="仿宋"/>
          <w:szCs w:val="21"/>
          <w:u w:val="single"/>
        </w:rPr>
        <w:t>2</w:t>
      </w:r>
      <w:r>
        <w:rPr>
          <w:rFonts w:hint="eastAsia" w:ascii="仿宋" w:hAnsi="仿宋" w:eastAsia="仿宋"/>
          <w:szCs w:val="21"/>
          <w:u w:val="single"/>
        </w:rPr>
        <w:t xml:space="preserve"> </w:t>
      </w:r>
      <w:r>
        <w:rPr>
          <w:rFonts w:hint="eastAsia" w:ascii="仿宋" w:hAnsi="仿宋" w:eastAsia="仿宋"/>
          <w:szCs w:val="21"/>
        </w:rPr>
        <w:t>份，乙方执</w:t>
      </w:r>
      <w:r>
        <w:rPr>
          <w:rFonts w:hint="eastAsia" w:ascii="仿宋" w:hAnsi="仿宋" w:eastAsia="仿宋"/>
          <w:szCs w:val="21"/>
          <w:u w:val="single"/>
        </w:rPr>
        <w:t xml:space="preserve"> </w:t>
      </w:r>
      <w:r>
        <w:rPr>
          <w:rFonts w:ascii="仿宋" w:hAnsi="仿宋" w:eastAsia="仿宋"/>
          <w:szCs w:val="21"/>
          <w:u w:val="single"/>
        </w:rPr>
        <w:t>2</w:t>
      </w:r>
      <w:r>
        <w:rPr>
          <w:rFonts w:hint="eastAsia" w:ascii="仿宋" w:hAnsi="仿宋" w:eastAsia="仿宋"/>
          <w:szCs w:val="21"/>
          <w:u w:val="single"/>
        </w:rPr>
        <w:t xml:space="preserve"> </w:t>
      </w:r>
      <w:r>
        <w:rPr>
          <w:rFonts w:hint="eastAsia" w:ascii="仿宋" w:hAnsi="仿宋" w:eastAsia="仿宋"/>
          <w:szCs w:val="21"/>
        </w:rPr>
        <w:t>份，代理机构执</w:t>
      </w:r>
      <w:r>
        <w:rPr>
          <w:rFonts w:hint="eastAsia" w:ascii="仿宋" w:hAnsi="仿宋" w:eastAsia="仿宋"/>
          <w:szCs w:val="21"/>
          <w:u w:val="single"/>
        </w:rPr>
        <w:t>1</w:t>
      </w:r>
      <w:r>
        <w:rPr>
          <w:rFonts w:hint="eastAsia" w:ascii="仿宋" w:hAnsi="仿宋" w:eastAsia="仿宋"/>
          <w:szCs w:val="21"/>
        </w:rPr>
        <w:t>份，均具有同等法律效力。</w:t>
      </w:r>
    </w:p>
    <w:p w14:paraId="7CE2A607">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合同订立时间：</w:t>
      </w:r>
      <w:r>
        <w:rPr>
          <w:rFonts w:hint="eastAsia" w:ascii="仿宋" w:hAnsi="仿宋" w:eastAsia="仿宋"/>
          <w:szCs w:val="21"/>
          <w:u w:val="single"/>
        </w:rPr>
        <w:t xml:space="preserve">         </w:t>
      </w:r>
      <w:r>
        <w:rPr>
          <w:rFonts w:hint="eastAsia" w:ascii="仿宋" w:hAnsi="仿宋" w:eastAsia="仿宋"/>
          <w:szCs w:val="21"/>
        </w:rPr>
        <w:t>年</w:t>
      </w:r>
      <w:r>
        <w:rPr>
          <w:rFonts w:hint="eastAsia" w:ascii="仿宋" w:hAnsi="仿宋" w:eastAsia="仿宋"/>
          <w:szCs w:val="21"/>
          <w:u w:val="single"/>
        </w:rPr>
        <w:t xml:space="preserve">      </w:t>
      </w:r>
      <w:r>
        <w:rPr>
          <w:rFonts w:hint="eastAsia" w:ascii="仿宋" w:hAnsi="仿宋" w:eastAsia="仿宋"/>
          <w:szCs w:val="21"/>
        </w:rPr>
        <w:t>月</w:t>
      </w:r>
      <w:r>
        <w:rPr>
          <w:rFonts w:hint="eastAsia" w:ascii="仿宋" w:hAnsi="仿宋" w:eastAsia="仿宋"/>
          <w:szCs w:val="21"/>
          <w:u w:val="single"/>
        </w:rPr>
        <w:t xml:space="preserve">      </w:t>
      </w:r>
      <w:r>
        <w:rPr>
          <w:rFonts w:hint="eastAsia" w:ascii="仿宋" w:hAnsi="仿宋" w:eastAsia="仿宋"/>
          <w:szCs w:val="21"/>
        </w:rPr>
        <w:t>日</w:t>
      </w:r>
    </w:p>
    <w:p w14:paraId="42814B18">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合同订立地点：</w:t>
      </w:r>
      <w:r>
        <w:rPr>
          <w:rFonts w:hint="eastAsia" w:ascii="仿宋" w:hAnsi="仿宋" w:eastAsia="仿宋"/>
          <w:szCs w:val="21"/>
          <w:u w:val="single"/>
        </w:rPr>
        <w:t xml:space="preserve">                           </w:t>
      </w:r>
    </w:p>
    <w:p w14:paraId="62699BCD">
      <w:pPr>
        <w:keepNext w:val="0"/>
        <w:keepLines w:val="0"/>
        <w:pageBreakBefore w:val="0"/>
        <w:kinsoku/>
        <w:wordWrap/>
        <w:overflowPunct/>
        <w:topLinePunct w:val="0"/>
        <w:autoSpaceDE/>
        <w:autoSpaceDN/>
        <w:bidi w:val="0"/>
        <w:spacing w:line="360" w:lineRule="auto"/>
        <w:textAlignment w:val="auto"/>
        <w:rPr>
          <w:rFonts w:ascii="仿宋" w:hAnsi="仿宋" w:eastAsia="仿宋"/>
        </w:rPr>
        <w:sectPr>
          <w:pgSz w:w="11906" w:h="16838"/>
          <w:pgMar w:top="1361" w:right="1304" w:bottom="1304" w:left="1361" w:header="851" w:footer="992" w:gutter="0"/>
          <w:cols w:space="720" w:num="1"/>
          <w:docGrid w:linePitch="360" w:charSpace="0"/>
        </w:sectPr>
      </w:pPr>
    </w:p>
    <w:p w14:paraId="0984B63E">
      <w:pPr>
        <w:pStyle w:val="282"/>
        <w:keepNext w:val="0"/>
        <w:keepLines w:val="0"/>
        <w:pageBreakBefore w:val="0"/>
        <w:kinsoku/>
        <w:wordWrap/>
        <w:overflowPunct/>
        <w:topLinePunct w:val="0"/>
        <w:autoSpaceDE/>
        <w:autoSpaceDN/>
        <w:bidi w:val="0"/>
        <w:spacing w:line="360" w:lineRule="auto"/>
        <w:textAlignment w:val="auto"/>
        <w:rPr>
          <w:rFonts w:ascii="仿宋" w:hAnsi="仿宋" w:eastAsia="仿宋"/>
        </w:rPr>
      </w:pPr>
    </w:p>
    <w:tbl>
      <w:tblPr>
        <w:tblStyle w:val="4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71"/>
        <w:gridCol w:w="2899"/>
        <w:gridCol w:w="2378"/>
        <w:gridCol w:w="2546"/>
      </w:tblGrid>
      <w:tr w14:paraId="395FF7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450ED451">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rPr>
            </w:pPr>
            <w:r>
              <w:rPr>
                <w:rFonts w:ascii="仿宋" w:hAnsi="仿宋" w:eastAsia="仿宋"/>
                <w:szCs w:val="21"/>
              </w:rPr>
              <w:t>甲方</w:t>
            </w:r>
            <w:r>
              <w:rPr>
                <w:rFonts w:hint="eastAsia" w:ascii="仿宋" w:hAnsi="仿宋" w:eastAsia="仿宋"/>
                <w:szCs w:val="21"/>
              </w:rPr>
              <w:t>（采购人）</w:t>
            </w:r>
          </w:p>
        </w:tc>
        <w:tc>
          <w:tcPr>
            <w:tcW w:w="2438" w:type="pct"/>
            <w:gridSpan w:val="2"/>
            <w:tcBorders>
              <w:left w:val="single" w:color="auto" w:sz="2" w:space="0"/>
              <w:bottom w:val="single" w:color="auto" w:sz="2" w:space="0"/>
            </w:tcBorders>
            <w:vAlign w:val="center"/>
          </w:tcPr>
          <w:p w14:paraId="2A862A2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rPr>
            </w:pPr>
            <w:r>
              <w:rPr>
                <w:rFonts w:ascii="仿宋" w:hAnsi="仿宋" w:eastAsia="仿宋"/>
                <w:szCs w:val="21"/>
              </w:rPr>
              <w:t>乙方</w:t>
            </w:r>
            <w:r>
              <w:rPr>
                <w:rFonts w:hint="eastAsia" w:ascii="仿宋" w:hAnsi="仿宋" w:eastAsia="仿宋"/>
                <w:szCs w:val="21"/>
              </w:rPr>
              <w:t>（供应商）</w:t>
            </w:r>
          </w:p>
        </w:tc>
      </w:tr>
      <w:tr w14:paraId="32852F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13C48CCC">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单位名称</w:t>
            </w:r>
            <w:r>
              <w:rPr>
                <w:rFonts w:hint="eastAsia" w:ascii="仿宋" w:hAnsi="仿宋" w:eastAsia="仿宋"/>
                <w:szCs w:val="21"/>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5822D424">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0FA734C">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单位名称</w:t>
            </w:r>
            <w:r>
              <w:rPr>
                <w:rFonts w:hint="eastAsia" w:ascii="仿宋" w:hAnsi="仿宋" w:eastAsia="仿宋"/>
                <w:szCs w:val="21"/>
              </w:rPr>
              <w:t>（公章或合同章）</w:t>
            </w:r>
          </w:p>
        </w:tc>
        <w:tc>
          <w:tcPr>
            <w:tcW w:w="1259" w:type="pct"/>
            <w:tcBorders>
              <w:top w:val="single" w:color="auto" w:sz="2" w:space="0"/>
              <w:left w:val="single" w:color="auto" w:sz="2" w:space="0"/>
              <w:bottom w:val="single" w:color="auto" w:sz="2" w:space="0"/>
            </w:tcBorders>
            <w:vAlign w:val="center"/>
          </w:tcPr>
          <w:p w14:paraId="11DCD4AC">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3EDA56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62BFFE5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法定代表人</w:t>
            </w:r>
          </w:p>
          <w:p w14:paraId="16131DEC">
            <w:pPr>
              <w:keepNext w:val="0"/>
              <w:keepLines w:val="0"/>
              <w:pageBreakBefore w:val="0"/>
              <w:kinsoku/>
              <w:wordWrap/>
              <w:overflowPunct/>
              <w:topLinePunct w:val="0"/>
              <w:autoSpaceDE/>
              <w:autoSpaceDN/>
              <w:bidi w:val="0"/>
              <w:spacing w:line="360" w:lineRule="auto"/>
              <w:ind w:firstLine="106"/>
              <w:jc w:val="center"/>
              <w:textAlignment w:val="auto"/>
              <w:rPr>
                <w:rFonts w:ascii="仿宋" w:hAnsi="仿宋" w:eastAsia="仿宋"/>
                <w:szCs w:val="21"/>
              </w:rPr>
            </w:pPr>
            <w:r>
              <w:rPr>
                <w:rFonts w:hint="eastAsia" w:ascii="仿宋" w:hAnsi="仿宋" w:eastAsia="仿宋"/>
                <w:szCs w:val="21"/>
              </w:rPr>
              <w:t>或其</w:t>
            </w:r>
            <w:r>
              <w:rPr>
                <w:rFonts w:ascii="仿宋" w:hAnsi="仿宋" w:eastAsia="仿宋"/>
                <w:szCs w:val="21"/>
              </w:rPr>
              <w:t>委托代理人</w:t>
            </w:r>
            <w:r>
              <w:rPr>
                <w:rFonts w:hint="eastAsia" w:ascii="仿宋" w:hAnsi="仿宋" w:eastAsia="仿宋"/>
                <w:szCs w:val="21"/>
              </w:rPr>
              <w:t>（签章）</w:t>
            </w:r>
          </w:p>
        </w:tc>
        <w:tc>
          <w:tcPr>
            <w:tcW w:w="1436" w:type="pct"/>
            <w:vMerge w:val="restart"/>
            <w:tcBorders>
              <w:top w:val="single" w:color="auto" w:sz="2" w:space="0"/>
              <w:left w:val="single" w:color="auto" w:sz="2" w:space="0"/>
              <w:right w:val="single" w:color="auto" w:sz="2" w:space="0"/>
            </w:tcBorders>
            <w:vAlign w:val="center"/>
          </w:tcPr>
          <w:p w14:paraId="0A75D31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right w:val="single" w:color="auto" w:sz="2" w:space="0"/>
            </w:tcBorders>
            <w:vAlign w:val="center"/>
          </w:tcPr>
          <w:p w14:paraId="2AB9B18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法定代表人</w:t>
            </w:r>
          </w:p>
          <w:p w14:paraId="3C2C96E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或其</w:t>
            </w:r>
            <w:r>
              <w:rPr>
                <w:rFonts w:ascii="仿宋" w:hAnsi="仿宋" w:eastAsia="仿宋"/>
                <w:szCs w:val="21"/>
              </w:rPr>
              <w:t>委托代理人</w:t>
            </w:r>
            <w:r>
              <w:rPr>
                <w:rFonts w:hint="eastAsia" w:ascii="仿宋" w:hAnsi="仿宋" w:eastAsia="仿宋"/>
                <w:szCs w:val="21"/>
              </w:rPr>
              <w:t>（签章）</w:t>
            </w:r>
          </w:p>
        </w:tc>
        <w:tc>
          <w:tcPr>
            <w:tcW w:w="1259" w:type="pct"/>
            <w:tcBorders>
              <w:top w:val="single" w:color="auto" w:sz="2" w:space="0"/>
              <w:left w:val="single" w:color="auto" w:sz="2" w:space="0"/>
              <w:bottom w:val="single" w:color="auto" w:sz="2" w:space="0"/>
            </w:tcBorders>
            <w:vAlign w:val="center"/>
          </w:tcPr>
          <w:p w14:paraId="58E341C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r>
      <w:tr w14:paraId="49962E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0DDE798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436" w:type="pct"/>
            <w:vMerge w:val="continue"/>
            <w:tcBorders>
              <w:left w:val="single" w:color="auto" w:sz="2" w:space="0"/>
              <w:bottom w:val="single" w:color="auto" w:sz="2" w:space="0"/>
              <w:right w:val="single" w:color="auto" w:sz="2" w:space="0"/>
            </w:tcBorders>
            <w:vAlign w:val="center"/>
          </w:tcPr>
          <w:p w14:paraId="1BBEB98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C80F10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拥有者性别</w:t>
            </w:r>
          </w:p>
        </w:tc>
        <w:tc>
          <w:tcPr>
            <w:tcW w:w="1259" w:type="pct"/>
            <w:tcBorders>
              <w:top w:val="single" w:color="auto" w:sz="2" w:space="0"/>
              <w:left w:val="single" w:color="auto" w:sz="2" w:space="0"/>
              <w:bottom w:val="single" w:color="auto" w:sz="2" w:space="0"/>
            </w:tcBorders>
            <w:vAlign w:val="center"/>
          </w:tcPr>
          <w:p w14:paraId="333F0E35">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4B951BA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0A962A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0F25E10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FE1D37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联 系 人</w:t>
            </w:r>
          </w:p>
        </w:tc>
        <w:tc>
          <w:tcPr>
            <w:tcW w:w="1259" w:type="pct"/>
            <w:tcBorders>
              <w:top w:val="single" w:color="auto" w:sz="2" w:space="0"/>
              <w:left w:val="single" w:color="auto" w:sz="2" w:space="0"/>
              <w:bottom w:val="single" w:color="auto" w:sz="2" w:space="0"/>
            </w:tcBorders>
            <w:vAlign w:val="center"/>
          </w:tcPr>
          <w:p w14:paraId="4F08C86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24EE9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46C2166">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6C336D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4E892B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联系电话</w:t>
            </w:r>
          </w:p>
        </w:tc>
        <w:tc>
          <w:tcPr>
            <w:tcW w:w="1259" w:type="pct"/>
            <w:tcBorders>
              <w:top w:val="single" w:color="auto" w:sz="2" w:space="0"/>
              <w:left w:val="single" w:color="auto" w:sz="2" w:space="0"/>
              <w:bottom w:val="single" w:color="auto" w:sz="2" w:space="0"/>
            </w:tcBorders>
            <w:vAlign w:val="center"/>
          </w:tcPr>
          <w:p w14:paraId="50389FBC">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59FB11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62223A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DA7159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8A3D5E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通信地址</w:t>
            </w:r>
          </w:p>
        </w:tc>
        <w:tc>
          <w:tcPr>
            <w:tcW w:w="1259" w:type="pct"/>
            <w:tcBorders>
              <w:top w:val="single" w:color="auto" w:sz="2" w:space="0"/>
              <w:left w:val="single" w:color="auto" w:sz="2" w:space="0"/>
              <w:bottom w:val="single" w:color="auto" w:sz="2" w:space="0"/>
            </w:tcBorders>
            <w:vAlign w:val="center"/>
          </w:tcPr>
          <w:p w14:paraId="698E0B5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1AFFEC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894D9E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424595B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B616C0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邮政编码</w:t>
            </w:r>
          </w:p>
        </w:tc>
        <w:tc>
          <w:tcPr>
            <w:tcW w:w="1259" w:type="pct"/>
            <w:tcBorders>
              <w:top w:val="single" w:color="auto" w:sz="2" w:space="0"/>
              <w:left w:val="single" w:color="auto" w:sz="2" w:space="0"/>
              <w:bottom w:val="single" w:color="auto" w:sz="2" w:space="0"/>
            </w:tcBorders>
            <w:vAlign w:val="center"/>
          </w:tcPr>
          <w:p w14:paraId="20DCB16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22739E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2AF6A5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0ED21CB1">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BBF8E42">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电子邮箱</w:t>
            </w:r>
          </w:p>
        </w:tc>
        <w:tc>
          <w:tcPr>
            <w:tcW w:w="1259" w:type="pct"/>
            <w:tcBorders>
              <w:top w:val="single" w:color="auto" w:sz="2" w:space="0"/>
              <w:left w:val="single" w:color="auto" w:sz="2" w:space="0"/>
              <w:bottom w:val="single" w:color="auto" w:sz="2" w:space="0"/>
            </w:tcBorders>
            <w:vAlign w:val="center"/>
          </w:tcPr>
          <w:p w14:paraId="238E0A64">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4DD0F5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35C43C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1D343D15">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6E3062">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统一社会信用代码</w:t>
            </w:r>
          </w:p>
        </w:tc>
        <w:tc>
          <w:tcPr>
            <w:tcW w:w="1259" w:type="pct"/>
            <w:tcBorders>
              <w:top w:val="single" w:color="auto" w:sz="2" w:space="0"/>
              <w:left w:val="single" w:color="auto" w:sz="2" w:space="0"/>
              <w:bottom w:val="single" w:color="auto" w:sz="2" w:space="0"/>
            </w:tcBorders>
            <w:vAlign w:val="center"/>
          </w:tcPr>
          <w:p w14:paraId="57F9F5E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3B9B39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C13BA1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E08B6A1">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CD6EC0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开户名称</w:t>
            </w:r>
          </w:p>
        </w:tc>
        <w:tc>
          <w:tcPr>
            <w:tcW w:w="1259" w:type="pct"/>
            <w:tcBorders>
              <w:top w:val="single" w:color="auto" w:sz="2" w:space="0"/>
              <w:left w:val="single" w:color="auto" w:sz="2" w:space="0"/>
              <w:bottom w:val="single" w:color="auto" w:sz="2" w:space="0"/>
            </w:tcBorders>
            <w:vAlign w:val="center"/>
          </w:tcPr>
          <w:p w14:paraId="38E5E67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65766E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99074A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87D1FD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113B75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开户银行</w:t>
            </w:r>
          </w:p>
        </w:tc>
        <w:tc>
          <w:tcPr>
            <w:tcW w:w="1259" w:type="pct"/>
            <w:tcBorders>
              <w:top w:val="single" w:color="auto" w:sz="2" w:space="0"/>
              <w:left w:val="single" w:color="auto" w:sz="2" w:space="0"/>
              <w:bottom w:val="single" w:color="auto" w:sz="2" w:space="0"/>
            </w:tcBorders>
            <w:vAlign w:val="center"/>
          </w:tcPr>
          <w:p w14:paraId="3CA6B5F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345C8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B54E61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3D33173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3EC2876">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ascii="仿宋" w:hAnsi="仿宋" w:eastAsia="仿宋"/>
                <w:szCs w:val="21"/>
              </w:rPr>
              <w:t>银行账号</w:t>
            </w:r>
          </w:p>
        </w:tc>
        <w:tc>
          <w:tcPr>
            <w:tcW w:w="1259" w:type="pct"/>
            <w:tcBorders>
              <w:top w:val="single" w:color="auto" w:sz="2" w:space="0"/>
              <w:left w:val="single" w:color="auto" w:sz="2" w:space="0"/>
              <w:bottom w:val="single" w:color="auto" w:sz="2" w:space="0"/>
            </w:tcBorders>
            <w:vAlign w:val="center"/>
          </w:tcPr>
          <w:p w14:paraId="7AF8D3E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pacing w:val="20"/>
                <w:szCs w:val="21"/>
              </w:rPr>
            </w:pPr>
          </w:p>
        </w:tc>
      </w:tr>
      <w:tr w14:paraId="08DFD6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092D723">
            <w:pPr>
              <w:pStyle w:val="17"/>
              <w:keepNext w:val="0"/>
              <w:keepLines w:val="0"/>
              <w:pageBreakBefore w:val="0"/>
              <w:kinsoku/>
              <w:wordWrap/>
              <w:overflowPunct/>
              <w:topLinePunct w:val="0"/>
              <w:autoSpaceDE/>
              <w:autoSpaceDN/>
              <w:bidi w:val="0"/>
              <w:spacing w:before="120" w:after="0" w:line="360" w:lineRule="auto"/>
              <w:ind w:left="0"/>
              <w:textAlignment w:val="auto"/>
              <w:rPr>
                <w:rFonts w:ascii="仿宋" w:hAnsi="仿宋" w:eastAsia="仿宋"/>
                <w:spacing w:val="20"/>
                <w:szCs w:val="21"/>
              </w:rPr>
            </w:pPr>
            <w:r>
              <w:rPr>
                <w:rFonts w:hint="eastAsia" w:ascii="仿宋" w:hAnsi="仿宋" w:eastAsia="仿宋"/>
                <w:szCs w:val="21"/>
              </w:rPr>
              <w:t>注：涉及联合体或其他合同主体的信息应按上表格式加列。</w:t>
            </w:r>
          </w:p>
        </w:tc>
      </w:tr>
    </w:tbl>
    <w:p w14:paraId="1A91AC02">
      <w:pPr>
        <w:pStyle w:val="3"/>
        <w:keepNext w:val="0"/>
        <w:keepLines w:val="0"/>
        <w:pageBreakBefore w:val="0"/>
        <w:kinsoku/>
        <w:wordWrap/>
        <w:overflowPunct/>
        <w:topLinePunct w:val="0"/>
        <w:autoSpaceDE/>
        <w:autoSpaceDN/>
        <w:bidi w:val="0"/>
        <w:spacing w:before="120" w:line="360" w:lineRule="auto"/>
        <w:ind w:left="0"/>
        <w:jc w:val="center"/>
        <w:textAlignment w:val="auto"/>
        <w:rPr>
          <w:rFonts w:ascii="仿宋" w:hAnsi="仿宋" w:eastAsia="仿宋"/>
          <w:sz w:val="28"/>
          <w:szCs w:val="28"/>
        </w:rPr>
      </w:pPr>
      <w:r>
        <w:rPr>
          <w:rFonts w:ascii="仿宋" w:hAnsi="仿宋" w:eastAsia="仿宋"/>
          <w:sz w:val="21"/>
          <w:szCs w:val="21"/>
          <w:u w:val="single"/>
        </w:rPr>
        <w:br w:type="page" w:clear="all"/>
      </w:r>
      <w:bookmarkStart w:id="31" w:name="_Toc188363127"/>
      <w:bookmarkStart w:id="32" w:name="_Toc27624"/>
      <w:r>
        <w:rPr>
          <w:rFonts w:hint="eastAsia" w:ascii="仿宋" w:hAnsi="仿宋" w:eastAsia="仿宋"/>
          <w:b w:val="0"/>
          <w:bCs w:val="0"/>
          <w:sz w:val="28"/>
          <w:szCs w:val="28"/>
        </w:rPr>
        <w:t>第二节 政府采购合同通用条款</w:t>
      </w:r>
      <w:bookmarkEnd w:id="31"/>
      <w:bookmarkEnd w:id="32"/>
    </w:p>
    <w:p w14:paraId="6A5BCC0C">
      <w:pPr>
        <w:keepNext w:val="0"/>
        <w:keepLines w:val="0"/>
        <w:pageBreakBefore w:val="0"/>
        <w:tabs>
          <w:tab w:val="left" w:pos="8820"/>
          <w:tab w:val="left" w:pos="9345"/>
          <w:tab w:val="left" w:pos="9765"/>
        </w:tabs>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定义</w:t>
      </w:r>
    </w:p>
    <w:p w14:paraId="3EBEE6B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1.1合同当事人</w:t>
      </w:r>
    </w:p>
    <w:p w14:paraId="1DB1B26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（1）采购人（以下称甲方）是指使用财政性资金，通过政府采购方式向供应商购买货物及其相关服务的国家机关、事业单位、团体组织。</w:t>
      </w:r>
    </w:p>
    <w:p w14:paraId="0388CA4E">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（2）供应商（以下称乙方）是指参加政府采购活动并且中标（成交），向采购人提供合同约定的货物及其相关服务的法人、非法人组织或者自然人。</w:t>
      </w:r>
    </w:p>
    <w:p w14:paraId="690D925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（3）其他合同主体是指除采购人和供应商以外，</w:t>
      </w:r>
      <w:r>
        <w:rPr>
          <w:rFonts w:hint="eastAsia" w:ascii="仿宋" w:hAnsi="仿宋" w:eastAsia="仿宋"/>
          <w:bCs/>
          <w:szCs w:val="21"/>
        </w:rPr>
        <w:t>依法参与合同缔结或履行，享有权利、承担义务的合同当事人</w:t>
      </w:r>
      <w:r>
        <w:rPr>
          <w:rFonts w:hint="eastAsia" w:ascii="仿宋" w:hAnsi="仿宋" w:eastAsia="仿宋"/>
          <w:szCs w:val="21"/>
        </w:rPr>
        <w:t>。</w:t>
      </w:r>
    </w:p>
    <w:p w14:paraId="43888175">
      <w:pPr>
        <w:keepNext w:val="0"/>
        <w:keepLines w:val="0"/>
        <w:pageBreakBefore w:val="0"/>
        <w:tabs>
          <w:tab w:val="left" w:pos="570"/>
          <w:tab w:val="left" w:pos="9240"/>
          <w:tab w:val="left" w:pos="9555"/>
        </w:tabs>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1.2本合同下列术语应解释为：</w:t>
      </w:r>
    </w:p>
    <w:p w14:paraId="56190A2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（1）“合同”系指</w:t>
      </w:r>
      <w:r>
        <w:rPr>
          <w:rFonts w:hint="eastAsia" w:ascii="仿宋" w:hAnsi="仿宋" w:eastAsia="仿宋"/>
          <w:bCs/>
          <w:szCs w:val="21"/>
        </w:rPr>
        <w:t>合同当事人意思表示达成一致的任何协议，包括签署的</w:t>
      </w:r>
      <w:r>
        <w:rPr>
          <w:rFonts w:hint="eastAsia" w:ascii="仿宋" w:hAnsi="仿宋" w:eastAsia="仿宋"/>
          <w:szCs w:val="21"/>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sz w:val="21"/>
          <w:szCs w:val="21"/>
        </w:rPr>
        <w:t>国家法律、行政法规和规章制度规定或合同约定的作为合同组成部分的其他文件</w:t>
      </w:r>
      <w:r>
        <w:rPr>
          <w:rFonts w:hint="eastAsia" w:ascii="仿宋" w:hAnsi="仿宋" w:eastAsia="仿宋"/>
          <w:szCs w:val="21"/>
        </w:rPr>
        <w:t>。</w:t>
      </w:r>
    </w:p>
    <w:p w14:paraId="4B313D86">
      <w:pPr>
        <w:keepNext w:val="0"/>
        <w:keepLines w:val="0"/>
        <w:pageBreakBefore w:val="0"/>
        <w:tabs>
          <w:tab w:val="left" w:pos="570"/>
          <w:tab w:val="left" w:pos="9240"/>
          <w:tab w:val="left" w:pos="9555"/>
        </w:tabs>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（2）“合同价款”系指根据本合同规定乙方在全面履行合同义务后甲方应支付给乙方的价款。</w:t>
      </w:r>
    </w:p>
    <w:p w14:paraId="311F2FEC">
      <w:pPr>
        <w:keepNext w:val="0"/>
        <w:keepLines w:val="0"/>
        <w:pageBreakBefore w:val="0"/>
        <w:tabs>
          <w:tab w:val="left" w:pos="570"/>
          <w:tab w:val="left" w:pos="9240"/>
          <w:tab w:val="left" w:pos="9555"/>
        </w:tabs>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（3）“货物”系指乙方根据本合同规定须向甲方提供的各种形态和种类的物品，包括原材料、设备、产品（包括软件）及相关的其备品备件、工具、手册及</w:t>
      </w:r>
      <w:r>
        <w:rPr>
          <w:rFonts w:ascii="仿宋" w:hAnsi="仿宋" w:eastAsia="仿宋"/>
          <w:szCs w:val="21"/>
          <w:lang w:val="en"/>
        </w:rPr>
        <w:t>其他</w:t>
      </w:r>
      <w:r>
        <w:rPr>
          <w:rFonts w:hint="eastAsia" w:ascii="仿宋" w:hAnsi="仿宋" w:eastAsia="仿宋"/>
          <w:szCs w:val="21"/>
        </w:rPr>
        <w:t>技术资料和材料等。</w:t>
      </w:r>
    </w:p>
    <w:p w14:paraId="587A902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（4）“相关服务”系指根据合同规定，乙方应提供的与货物有关的技术、管理和</w:t>
      </w:r>
      <w:r>
        <w:rPr>
          <w:rFonts w:ascii="仿宋" w:hAnsi="仿宋" w:eastAsia="仿宋"/>
          <w:szCs w:val="21"/>
          <w:lang w:val="en"/>
        </w:rPr>
        <w:t>其他</w:t>
      </w:r>
      <w:r>
        <w:rPr>
          <w:rFonts w:hint="eastAsia" w:ascii="仿宋" w:hAnsi="仿宋" w:eastAsia="仿宋"/>
          <w:szCs w:val="21"/>
        </w:rPr>
        <w:t>服务，包括但不限于：管理和质量保证、运输、保险、检验、现场准备、安装、集成、调试、培训、维修、废弃处置、技术支持等以及合同中规定乙方应承担的</w:t>
      </w:r>
      <w:r>
        <w:rPr>
          <w:rFonts w:ascii="仿宋" w:hAnsi="仿宋" w:eastAsia="仿宋"/>
          <w:szCs w:val="21"/>
          <w:lang w:val="en"/>
        </w:rPr>
        <w:t>其他</w:t>
      </w:r>
      <w:r>
        <w:rPr>
          <w:rFonts w:hint="eastAsia" w:ascii="仿宋" w:hAnsi="仿宋" w:eastAsia="仿宋"/>
          <w:szCs w:val="21"/>
        </w:rPr>
        <w:t>义务。</w:t>
      </w:r>
    </w:p>
    <w:p w14:paraId="6738687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（5）“分包”系指中标（成交）供应商按采购文件、投标（响应）文件的规定，根据分包意向协议，将中标（成交）项目中的部分履约内容，分给具有相应资质条件的供应商履行合同的行为。</w:t>
      </w:r>
    </w:p>
    <w:p w14:paraId="5D689703">
      <w:pPr>
        <w:keepNext w:val="0"/>
        <w:keepLines w:val="0"/>
        <w:pageBreakBefore w:val="0"/>
        <w:tabs>
          <w:tab w:val="left" w:pos="570"/>
          <w:tab w:val="left" w:pos="9240"/>
          <w:tab w:val="left" w:pos="9555"/>
        </w:tabs>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szCs w:val="21"/>
        </w:rPr>
        <w:t>政府采购合同专用条款</w:t>
      </w:r>
      <w:r>
        <w:rPr>
          <w:rFonts w:hint="eastAsia" w:ascii="仿宋" w:hAnsi="仿宋" w:eastAsia="仿宋"/>
          <w:szCs w:val="21"/>
        </w:rPr>
        <w:t>】。</w:t>
      </w:r>
    </w:p>
    <w:p w14:paraId="569D57AC">
      <w:pPr>
        <w:keepNext w:val="0"/>
        <w:keepLines w:val="0"/>
        <w:pageBreakBefore w:val="0"/>
        <w:tabs>
          <w:tab w:val="left" w:pos="570"/>
          <w:tab w:val="left" w:pos="9240"/>
          <w:tab w:val="left" w:pos="9555"/>
        </w:tabs>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（7）其他术语解释，见【</w:t>
      </w:r>
      <w:r>
        <w:rPr>
          <w:rFonts w:hint="eastAsia" w:ascii="仿宋" w:hAnsi="仿宋" w:eastAsia="仿宋"/>
          <w:b/>
          <w:bCs/>
          <w:szCs w:val="21"/>
        </w:rPr>
        <w:t>政府采购合同专用条款</w:t>
      </w:r>
      <w:r>
        <w:rPr>
          <w:rFonts w:hint="eastAsia" w:ascii="仿宋" w:hAnsi="仿宋" w:eastAsia="仿宋"/>
          <w:szCs w:val="21"/>
        </w:rPr>
        <w:t>】。</w:t>
      </w:r>
    </w:p>
    <w:p w14:paraId="2B99D65A">
      <w:pPr>
        <w:keepNext w:val="0"/>
        <w:keepLines w:val="0"/>
        <w:pageBreakBefore w:val="0"/>
        <w:numPr>
          <w:ilvl w:val="0"/>
          <w:numId w:val="7"/>
        </w:numPr>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sz w:val="24"/>
        </w:rPr>
        <w:t>合同标的及金额</w:t>
      </w:r>
    </w:p>
    <w:p w14:paraId="4FC2825E">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
          <w:bCs/>
          <w:i/>
          <w:iCs/>
          <w:szCs w:val="21"/>
        </w:rPr>
      </w:pPr>
      <w:r>
        <w:rPr>
          <w:rFonts w:hint="eastAsia" w:ascii="仿宋" w:hAnsi="仿宋" w:eastAsia="仿宋"/>
          <w:szCs w:val="21"/>
        </w:rPr>
        <w:t>2.1 合同标的及金额应与中标（成交）结果一致。乙方为履行本合同而发生的所有费用均应包含在合同价款中，甲方不再另行支付</w:t>
      </w:r>
      <w:r>
        <w:rPr>
          <w:rFonts w:ascii="仿宋" w:hAnsi="仿宋" w:eastAsia="仿宋"/>
          <w:szCs w:val="21"/>
          <w:lang w:val="en"/>
        </w:rPr>
        <w:t>其他</w:t>
      </w:r>
      <w:r>
        <w:rPr>
          <w:rFonts w:hint="eastAsia" w:ascii="仿宋" w:hAnsi="仿宋" w:eastAsia="仿宋"/>
          <w:szCs w:val="21"/>
        </w:rPr>
        <w:t>任何费用。</w:t>
      </w:r>
    </w:p>
    <w:p w14:paraId="6EFB4DD9">
      <w:pPr>
        <w:keepNext w:val="0"/>
        <w:keepLines w:val="0"/>
        <w:pageBreakBefore w:val="0"/>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sz w:val="24"/>
        </w:rPr>
        <w:t>3. 履行合同的时间、地点和方式</w:t>
      </w:r>
    </w:p>
    <w:p w14:paraId="0BB456A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3.1 乙方应当在约定的时间、地点，按照约定方式履行合同。</w:t>
      </w:r>
    </w:p>
    <w:p w14:paraId="7B843367">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4. 甲方的权利和义务</w:t>
      </w:r>
    </w:p>
    <w:p w14:paraId="2B92CDBE">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4.1</w:t>
      </w:r>
      <w:r>
        <w:rPr>
          <w:rFonts w:ascii="仿宋" w:hAnsi="仿宋" w:eastAsia="仿宋"/>
          <w:szCs w:val="21"/>
        </w:rPr>
        <w:t xml:space="preserve"> 签署合同后，甲方</w:t>
      </w:r>
      <w:r>
        <w:rPr>
          <w:rFonts w:hint="eastAsia" w:ascii="仿宋" w:hAnsi="仿宋" w:eastAsia="仿宋"/>
          <w:szCs w:val="21"/>
        </w:rPr>
        <w:t>应</w:t>
      </w:r>
      <w:r>
        <w:rPr>
          <w:rFonts w:ascii="仿宋" w:hAnsi="仿宋" w:eastAsia="仿宋"/>
          <w:szCs w:val="21"/>
        </w:rPr>
        <w:t>确定</w:t>
      </w:r>
      <w:r>
        <w:rPr>
          <w:rFonts w:hint="eastAsia" w:ascii="仿宋" w:hAnsi="仿宋" w:eastAsia="仿宋"/>
          <w:szCs w:val="21"/>
        </w:rPr>
        <w:t>项目负责人（或项目联系人）</w:t>
      </w:r>
      <w:r>
        <w:rPr>
          <w:rFonts w:ascii="仿宋" w:hAnsi="仿宋" w:eastAsia="仿宋"/>
          <w:szCs w:val="21"/>
        </w:rPr>
        <w:t>，负责与本合同有关的事务。</w:t>
      </w:r>
      <w:r>
        <w:rPr>
          <w:rFonts w:hint="eastAsia" w:ascii="仿宋" w:hAnsi="仿宋" w:eastAsia="仿宋"/>
          <w:szCs w:val="21"/>
        </w:rPr>
        <w:t>甲方有权对乙方的履约行为进行检查，并</w:t>
      </w:r>
      <w:r>
        <w:rPr>
          <w:rFonts w:ascii="仿宋" w:hAnsi="仿宋" w:eastAsia="仿宋"/>
          <w:szCs w:val="21"/>
        </w:rPr>
        <w:t>及时确认乙方提交的事项</w:t>
      </w:r>
      <w:r>
        <w:rPr>
          <w:rFonts w:hint="eastAsia" w:ascii="仿宋" w:hAnsi="仿宋" w:eastAsia="仿宋"/>
          <w:szCs w:val="21"/>
        </w:rPr>
        <w:t>。甲方应当</w:t>
      </w:r>
      <w:r>
        <w:rPr>
          <w:rFonts w:ascii="仿宋" w:hAnsi="仿宋" w:eastAsia="仿宋"/>
          <w:szCs w:val="21"/>
        </w:rPr>
        <w:t>配合乙方完成</w:t>
      </w:r>
      <w:r>
        <w:rPr>
          <w:rFonts w:hint="eastAsia" w:ascii="仿宋" w:hAnsi="仿宋" w:eastAsia="仿宋"/>
          <w:szCs w:val="21"/>
        </w:rPr>
        <w:t>相关项目</w:t>
      </w:r>
      <w:r>
        <w:rPr>
          <w:rFonts w:ascii="仿宋" w:hAnsi="仿宋" w:eastAsia="仿宋"/>
          <w:szCs w:val="21"/>
        </w:rPr>
        <w:t>实施工作。</w:t>
      </w:r>
    </w:p>
    <w:p w14:paraId="0A2452B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4.2 </w:t>
      </w:r>
      <w:r>
        <w:rPr>
          <w:rFonts w:ascii="仿宋" w:hAnsi="仿宋" w:eastAsia="仿宋"/>
          <w:szCs w:val="21"/>
        </w:rPr>
        <w:t>甲方有权要求乙方按时提交各阶段有关</w:t>
      </w:r>
      <w:r>
        <w:rPr>
          <w:rFonts w:hint="eastAsia" w:ascii="仿宋" w:hAnsi="仿宋" w:eastAsia="仿宋"/>
          <w:szCs w:val="21"/>
        </w:rPr>
        <w:t>安排计划</w:t>
      </w:r>
      <w:r>
        <w:rPr>
          <w:rFonts w:ascii="仿宋" w:hAnsi="仿宋" w:eastAsia="仿宋"/>
          <w:szCs w:val="21"/>
        </w:rPr>
        <w:t>，并有权</w:t>
      </w:r>
      <w:r>
        <w:rPr>
          <w:rFonts w:hint="eastAsia" w:ascii="仿宋" w:hAnsi="仿宋" w:eastAsia="仿宋"/>
          <w:szCs w:val="21"/>
        </w:rPr>
        <w:t>定期核对乙方提供货物数量、规格、质量等内容。甲方</w:t>
      </w:r>
      <w:r>
        <w:rPr>
          <w:rFonts w:ascii="仿宋" w:hAnsi="仿宋" w:eastAsia="仿宋"/>
          <w:szCs w:val="21"/>
        </w:rPr>
        <w:t>有权督促乙方工作并要求乙方</w:t>
      </w:r>
      <w:r>
        <w:rPr>
          <w:rFonts w:hint="eastAsia" w:ascii="仿宋" w:hAnsi="仿宋" w:eastAsia="仿宋"/>
          <w:szCs w:val="21"/>
        </w:rPr>
        <w:t>更</w:t>
      </w:r>
      <w:r>
        <w:rPr>
          <w:rFonts w:ascii="仿宋" w:hAnsi="仿宋" w:eastAsia="仿宋"/>
          <w:szCs w:val="21"/>
        </w:rPr>
        <w:t>换不符合要求的</w:t>
      </w:r>
      <w:r>
        <w:rPr>
          <w:rFonts w:hint="eastAsia" w:ascii="仿宋" w:hAnsi="仿宋" w:eastAsia="仿宋"/>
          <w:szCs w:val="21"/>
        </w:rPr>
        <w:t>货物</w:t>
      </w:r>
      <w:r>
        <w:rPr>
          <w:rFonts w:ascii="仿宋" w:hAnsi="仿宋" w:eastAsia="仿宋"/>
          <w:szCs w:val="21"/>
        </w:rPr>
        <w:t>。</w:t>
      </w:r>
    </w:p>
    <w:p w14:paraId="206F2A4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w:t>
      </w:r>
      <w:r>
        <w:rPr>
          <w:rFonts w:ascii="仿宋" w:hAnsi="仿宋" w:eastAsia="仿宋"/>
          <w:szCs w:val="21"/>
        </w:rPr>
        <w:t>3</w:t>
      </w:r>
      <w:r>
        <w:rPr>
          <w:rFonts w:hint="eastAsia" w:ascii="仿宋" w:hAnsi="仿宋" w:eastAsia="仿宋"/>
          <w:szCs w:val="21"/>
        </w:rPr>
        <w:t xml:space="preserve"> </w:t>
      </w:r>
      <w:r>
        <w:rPr>
          <w:rFonts w:ascii="仿宋" w:hAnsi="仿宋" w:eastAsia="仿宋"/>
          <w:szCs w:val="21"/>
        </w:rPr>
        <w:t>甲方</w:t>
      </w:r>
      <w:r>
        <w:rPr>
          <w:rFonts w:hint="eastAsia" w:ascii="仿宋" w:hAnsi="仿宋" w:eastAsia="仿宋"/>
          <w:szCs w:val="21"/>
        </w:rPr>
        <w:t>有权要求乙方对缺陷部分予以修复，并按合同约定享有货物保修及其他合同约定的权利。</w:t>
      </w:r>
    </w:p>
    <w:p w14:paraId="4F81F77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ascii="仿宋" w:hAnsi="仿宋" w:eastAsia="仿宋"/>
          <w:szCs w:val="21"/>
        </w:rPr>
        <w:t>4.4 甲方应当按照合同约定及时对交付的货物进行验收</w:t>
      </w:r>
      <w:r>
        <w:rPr>
          <w:rFonts w:hint="eastAsia" w:ascii="仿宋" w:hAnsi="仿宋" w:eastAsia="仿宋"/>
          <w:szCs w:val="21"/>
        </w:rPr>
        <w:t>，未在</w:t>
      </w:r>
      <w:r>
        <w:rPr>
          <w:rFonts w:hint="eastAsia" w:ascii="仿宋" w:hAnsi="仿宋" w:eastAsia="仿宋"/>
          <w:b/>
          <w:bCs/>
          <w:szCs w:val="21"/>
        </w:rPr>
        <w:t>【政府采购合同专用条款】</w:t>
      </w:r>
      <w:r>
        <w:rPr>
          <w:rFonts w:hint="eastAsia" w:ascii="仿宋" w:hAnsi="仿宋" w:eastAsia="仿宋"/>
          <w:szCs w:val="21"/>
        </w:rPr>
        <w:t>约定的期限内对乙方履约提出任何异议或者向乙方作出任何说明的，视为验收通过。</w:t>
      </w:r>
    </w:p>
    <w:p w14:paraId="374130E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ascii="仿宋" w:hAnsi="仿宋" w:eastAsia="仿宋"/>
          <w:szCs w:val="21"/>
        </w:rPr>
        <w:t>4</w:t>
      </w:r>
      <w:r>
        <w:rPr>
          <w:rFonts w:hint="eastAsia" w:ascii="仿宋" w:hAnsi="仿宋" w:eastAsia="仿宋"/>
          <w:szCs w:val="21"/>
        </w:rPr>
        <w:t>.</w:t>
      </w:r>
      <w:r>
        <w:rPr>
          <w:rFonts w:ascii="仿宋" w:hAnsi="仿宋" w:eastAsia="仿宋"/>
          <w:szCs w:val="21"/>
        </w:rPr>
        <w:t xml:space="preserve">5 </w:t>
      </w:r>
      <w:r>
        <w:rPr>
          <w:rFonts w:hint="eastAsia" w:ascii="仿宋" w:hAnsi="仿宋" w:eastAsia="仿宋"/>
          <w:szCs w:val="21"/>
        </w:rPr>
        <w:t>甲方应当根据合同约定及时向乙方支付合同价款</w:t>
      </w:r>
      <w:r>
        <w:rPr>
          <w:rFonts w:ascii="仿宋" w:hAnsi="仿宋" w:eastAsia="仿宋"/>
          <w:szCs w:val="21"/>
        </w:rPr>
        <w:t>，不得以内部人员变更、履行内部付款流程等为由，拒绝或迟延支付。</w:t>
      </w:r>
    </w:p>
    <w:p w14:paraId="153504B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4.6</w:t>
      </w:r>
      <w:r>
        <w:rPr>
          <w:rFonts w:ascii="仿宋" w:hAnsi="仿宋" w:eastAsia="仿宋"/>
          <w:szCs w:val="21"/>
        </w:rPr>
        <w:t xml:space="preserve"> </w:t>
      </w:r>
      <w:r>
        <w:rPr>
          <w:rFonts w:hint="eastAsia" w:ascii="仿宋" w:hAnsi="仿宋" w:eastAsia="仿宋"/>
          <w:szCs w:val="21"/>
        </w:rPr>
        <w:t>国家法律法规规定及</w:t>
      </w:r>
      <w:r>
        <w:rPr>
          <w:rFonts w:hint="eastAsia" w:ascii="仿宋" w:hAnsi="仿宋" w:eastAsia="仿宋"/>
          <w:b/>
          <w:bCs/>
          <w:szCs w:val="21"/>
        </w:rPr>
        <w:t>【政府采购合同专用条款】</w:t>
      </w:r>
      <w:r>
        <w:rPr>
          <w:rFonts w:hint="eastAsia" w:ascii="仿宋" w:hAnsi="仿宋" w:eastAsia="仿宋"/>
          <w:szCs w:val="21"/>
        </w:rPr>
        <w:t>约定应由甲方承担的其他义务和责任。</w:t>
      </w:r>
    </w:p>
    <w:p w14:paraId="189BBC3D">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5. 乙方的权利和义务</w:t>
      </w:r>
    </w:p>
    <w:p w14:paraId="200ACF8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5.1 </w:t>
      </w:r>
      <w:r>
        <w:rPr>
          <w:rFonts w:ascii="仿宋" w:hAnsi="仿宋" w:eastAsia="仿宋"/>
          <w:szCs w:val="21"/>
        </w:rPr>
        <w:t>签署合同后，乙方</w:t>
      </w:r>
      <w:r>
        <w:rPr>
          <w:rFonts w:hint="eastAsia" w:ascii="仿宋" w:hAnsi="仿宋" w:eastAsia="仿宋"/>
          <w:szCs w:val="21"/>
        </w:rPr>
        <w:t>应</w:t>
      </w:r>
      <w:r>
        <w:rPr>
          <w:rFonts w:ascii="仿宋" w:hAnsi="仿宋" w:eastAsia="仿宋"/>
          <w:szCs w:val="21"/>
        </w:rPr>
        <w:t>确定</w:t>
      </w:r>
      <w:r>
        <w:rPr>
          <w:rFonts w:hint="eastAsia" w:ascii="仿宋" w:hAnsi="仿宋" w:eastAsia="仿宋"/>
          <w:szCs w:val="21"/>
        </w:rPr>
        <w:t>项目负责人（或项目联系人）</w:t>
      </w:r>
      <w:r>
        <w:rPr>
          <w:rFonts w:ascii="仿宋" w:hAnsi="仿宋" w:eastAsia="仿宋"/>
          <w:szCs w:val="21"/>
        </w:rPr>
        <w:t>，负责与本合同有关的事务。</w:t>
      </w:r>
    </w:p>
    <w:p w14:paraId="2593284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5.</w:t>
      </w:r>
      <w:r>
        <w:rPr>
          <w:rFonts w:ascii="仿宋" w:hAnsi="仿宋" w:eastAsia="仿宋"/>
          <w:szCs w:val="21"/>
        </w:rPr>
        <w:t>2 乙方应按照合同要求</w:t>
      </w:r>
      <w:r>
        <w:rPr>
          <w:rFonts w:hint="eastAsia" w:ascii="仿宋" w:hAnsi="仿宋" w:eastAsia="仿宋"/>
          <w:szCs w:val="21"/>
        </w:rPr>
        <w:t>履约</w:t>
      </w:r>
      <w:r>
        <w:rPr>
          <w:rFonts w:ascii="仿宋" w:hAnsi="仿宋" w:eastAsia="仿宋"/>
          <w:szCs w:val="21"/>
        </w:rPr>
        <w:t>，充分合理安排，确保</w:t>
      </w:r>
      <w:r>
        <w:rPr>
          <w:rFonts w:hint="eastAsia" w:ascii="仿宋" w:hAnsi="仿宋" w:eastAsia="仿宋"/>
          <w:szCs w:val="21"/>
        </w:rPr>
        <w:t>提供的货物及相关服务符合合同有关</w:t>
      </w:r>
      <w:r>
        <w:rPr>
          <w:rFonts w:ascii="仿宋" w:hAnsi="仿宋" w:eastAsia="仿宋"/>
          <w:szCs w:val="21"/>
        </w:rPr>
        <w:t>要求</w:t>
      </w:r>
      <w:r>
        <w:rPr>
          <w:rFonts w:hint="eastAsia" w:ascii="仿宋" w:hAnsi="仿宋" w:eastAsia="仿宋"/>
          <w:szCs w:val="21"/>
        </w:rPr>
        <w:t>。接受项目行业管理部门及政府有关部门的指导，配合甲方的履约检查及验收，并</w:t>
      </w:r>
      <w:r>
        <w:rPr>
          <w:rFonts w:ascii="仿宋" w:hAnsi="仿宋" w:eastAsia="仿宋"/>
          <w:szCs w:val="21"/>
        </w:rPr>
        <w:t>负责项目实施过程中的所有协调工作。</w:t>
      </w:r>
    </w:p>
    <w:p w14:paraId="72680D5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5.</w:t>
      </w:r>
      <w:r>
        <w:rPr>
          <w:rFonts w:ascii="仿宋" w:hAnsi="仿宋" w:eastAsia="仿宋"/>
          <w:szCs w:val="21"/>
        </w:rPr>
        <w:t>3</w:t>
      </w:r>
      <w:r>
        <w:rPr>
          <w:rFonts w:hint="eastAsia" w:ascii="仿宋" w:hAnsi="仿宋" w:eastAsia="仿宋"/>
          <w:szCs w:val="21"/>
        </w:rPr>
        <w:t>乙方有权根据合同约定向甲方收取合同价款。</w:t>
      </w:r>
    </w:p>
    <w:p w14:paraId="38AE587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5.</w:t>
      </w:r>
      <w:r>
        <w:rPr>
          <w:rFonts w:ascii="仿宋" w:hAnsi="仿宋" w:eastAsia="仿宋"/>
          <w:szCs w:val="21"/>
        </w:rPr>
        <w:t>4</w:t>
      </w:r>
      <w:r>
        <w:rPr>
          <w:rFonts w:hint="eastAsia" w:ascii="仿宋" w:hAnsi="仿宋" w:eastAsia="仿宋"/>
          <w:szCs w:val="21"/>
        </w:rPr>
        <w:t>国家法律法规规定及【政府采购合同专用条款】约定应由乙方承担的其他义务和责任。</w:t>
      </w:r>
    </w:p>
    <w:p w14:paraId="55FC9166">
      <w:pPr>
        <w:keepNext w:val="0"/>
        <w:keepLines w:val="0"/>
        <w:pageBreakBefore w:val="0"/>
        <w:numPr>
          <w:ilvl w:val="0"/>
          <w:numId w:val="8"/>
        </w:numPr>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合同履行</w:t>
      </w:r>
    </w:p>
    <w:p w14:paraId="53537E9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6.1 甲乙双方应当按照</w:t>
      </w:r>
      <w:r>
        <w:rPr>
          <w:rFonts w:hint="eastAsia" w:ascii="仿宋" w:hAnsi="仿宋" w:eastAsia="仿宋"/>
          <w:b/>
          <w:bCs/>
          <w:szCs w:val="21"/>
        </w:rPr>
        <w:t>【政府采购合同专用条款】</w:t>
      </w:r>
      <w:r>
        <w:rPr>
          <w:rFonts w:hint="eastAsia" w:ascii="仿宋" w:hAnsi="仿宋" w:eastAsia="仿宋"/>
          <w:szCs w:val="21"/>
        </w:rPr>
        <w:t>约定顺序履行合同义务；如果没有先后顺序的，应当同时履行。</w:t>
      </w:r>
    </w:p>
    <w:p w14:paraId="2DD6209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szCs w:val="21"/>
        </w:rPr>
        <w:t>6.2 甲乙双方按照合同约定顺序履行合同义务时，应当先履行一方未履行的，后履行一方有权拒绝其履行请求。先履行一方履行不符合约定的，后履行一方有权拒绝其相应的履行请求。</w:t>
      </w:r>
    </w:p>
    <w:p w14:paraId="074EA18C">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7. 货物包装、运输、保险和交付要求</w:t>
      </w:r>
    </w:p>
    <w:p w14:paraId="0058D1C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7.1 本合同</w:t>
      </w:r>
      <w:r>
        <w:rPr>
          <w:rFonts w:hint="eastAsia" w:ascii="仿宋" w:hAnsi="仿宋" w:eastAsia="仿宋"/>
          <w:bCs/>
          <w:szCs w:val="21"/>
        </w:rPr>
        <w:t>涉及商品包装、快递包装的，</w:t>
      </w:r>
      <w:r>
        <w:rPr>
          <w:rFonts w:hint="eastAsia" w:ascii="仿宋" w:hAnsi="仿宋" w:eastAsia="仿宋"/>
          <w:szCs w:val="21"/>
        </w:rPr>
        <w:t>除</w:t>
      </w:r>
      <w:r>
        <w:rPr>
          <w:rFonts w:hint="eastAsia" w:ascii="仿宋" w:hAnsi="仿宋" w:eastAsia="仿宋"/>
          <w:b/>
          <w:szCs w:val="21"/>
        </w:rPr>
        <w:t>【政府采购合同专用条款】</w:t>
      </w:r>
      <w:r>
        <w:rPr>
          <w:rFonts w:hint="eastAsia" w:ascii="仿宋" w:hAnsi="仿宋" w:eastAsia="仿宋"/>
          <w:bCs/>
          <w:szCs w:val="21"/>
        </w:rPr>
        <w:t>另有约定外，</w:t>
      </w:r>
      <w:r>
        <w:rPr>
          <w:rFonts w:hint="eastAsia" w:ascii="仿宋" w:hAnsi="仿宋" w:eastAsia="仿宋"/>
          <w:szCs w:val="21"/>
        </w:rPr>
        <w:t>包装应适应远距离运输、防潮、防震、防锈和防野蛮装卸等要求，确保货物安全无损地运抵</w:t>
      </w:r>
      <w:r>
        <w:rPr>
          <w:rFonts w:hint="eastAsia" w:ascii="仿宋" w:hAnsi="仿宋" w:eastAsia="仿宋"/>
          <w:b/>
          <w:szCs w:val="21"/>
        </w:rPr>
        <w:t>【政府采购合同专用条款】</w:t>
      </w:r>
      <w:r>
        <w:rPr>
          <w:rFonts w:hint="eastAsia" w:ascii="仿宋" w:hAnsi="仿宋" w:eastAsia="仿宋"/>
          <w:bCs/>
          <w:szCs w:val="21"/>
        </w:rPr>
        <w:t>约定的</w:t>
      </w:r>
      <w:r>
        <w:rPr>
          <w:rFonts w:hint="eastAsia" w:ascii="仿宋" w:hAnsi="仿宋" w:eastAsia="仿宋"/>
          <w:szCs w:val="21"/>
        </w:rPr>
        <w:t>指定现场。</w:t>
      </w:r>
    </w:p>
    <w:p w14:paraId="7158E25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7.2 除</w:t>
      </w:r>
      <w:r>
        <w:rPr>
          <w:rFonts w:hint="eastAsia" w:ascii="仿宋" w:hAnsi="仿宋" w:eastAsia="仿宋"/>
          <w:b/>
          <w:szCs w:val="21"/>
        </w:rPr>
        <w:t>【政府采购合同专用条款】</w:t>
      </w:r>
      <w:r>
        <w:rPr>
          <w:rFonts w:hint="eastAsia" w:ascii="仿宋" w:hAnsi="仿宋" w:eastAsia="仿宋"/>
          <w:bCs/>
          <w:szCs w:val="21"/>
        </w:rPr>
        <w:t>另有约定外，</w:t>
      </w:r>
      <w:r>
        <w:rPr>
          <w:rFonts w:hint="eastAsia" w:ascii="仿宋" w:hAnsi="仿宋" w:eastAsia="仿宋"/>
          <w:szCs w:val="21"/>
        </w:rPr>
        <w:t>乙方负责办理将货物运抵本合同规定的交货地点，并装卸、交付至甲方的一切运输事项，相关费用应包含在合同价款中。</w:t>
      </w:r>
    </w:p>
    <w:p w14:paraId="3DD78B8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7.3 货物保险要求按</w:t>
      </w:r>
      <w:r>
        <w:rPr>
          <w:rFonts w:hint="eastAsia" w:ascii="仿宋" w:hAnsi="仿宋" w:eastAsia="仿宋"/>
          <w:b/>
          <w:szCs w:val="21"/>
        </w:rPr>
        <w:t>【政府采购合同专用条款】</w:t>
      </w:r>
      <w:r>
        <w:rPr>
          <w:rFonts w:hint="eastAsia" w:ascii="仿宋" w:hAnsi="仿宋" w:eastAsia="仿宋"/>
          <w:bCs/>
          <w:szCs w:val="21"/>
        </w:rPr>
        <w:t>规定执行</w:t>
      </w:r>
      <w:r>
        <w:rPr>
          <w:rFonts w:hint="eastAsia" w:ascii="仿宋" w:hAnsi="仿宋" w:eastAsia="仿宋"/>
          <w:szCs w:val="21"/>
        </w:rPr>
        <w:t>。</w:t>
      </w:r>
    </w:p>
    <w:p w14:paraId="15272F5B">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9A4656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7.5 乙方在运输到达之前应提前通知甲方，并提示货物运输装卸的注意事项，甲方配合乙方做好货物的接收工作。</w:t>
      </w:r>
    </w:p>
    <w:p w14:paraId="010F6E0F">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sz w:val="21"/>
        </w:rPr>
      </w:pPr>
      <w:r>
        <w:rPr>
          <w:rFonts w:hint="eastAsia" w:ascii="仿宋" w:hAnsi="仿宋" w:eastAsia="仿宋" w:cs="Times New Roman"/>
          <w:sz w:val="21"/>
        </w:rPr>
        <w:t>7.6 如因包装、运输问题导致货物损毁、丢失或者品质下降，甲方有权要求降价、换货、拒收部分或整批货物，由此产生的费用和损失，均由乙方承担。</w:t>
      </w:r>
    </w:p>
    <w:p w14:paraId="2D246AE6">
      <w:pPr>
        <w:keepNext w:val="0"/>
        <w:keepLines w:val="0"/>
        <w:pageBreakBefore w:val="0"/>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sz w:val="24"/>
        </w:rPr>
        <w:t>8. 质量标准和保证</w:t>
      </w:r>
    </w:p>
    <w:p w14:paraId="14478C33">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cs="Times New Roman"/>
          <w:sz w:val="21"/>
        </w:rPr>
        <w:t>8.1 质量标准</w:t>
      </w:r>
    </w:p>
    <w:p w14:paraId="7D36046D">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cs="Times New Roman"/>
          <w:sz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B47C3F0">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cs="Times New Roman"/>
          <w:sz w:val="21"/>
        </w:rPr>
        <w:t>（2）采用中华人民共和国法定计量单位。</w:t>
      </w:r>
    </w:p>
    <w:p w14:paraId="400EA8AB">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cs="Times New Roman"/>
          <w:sz w:val="21"/>
        </w:rPr>
        <w:t>（3）乙方所提供的货物应符合国家有关安全、环保、卫生的规定。</w:t>
      </w:r>
    </w:p>
    <w:p w14:paraId="428FCE6C">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Times New Roman"/>
          <w:sz w:val="21"/>
        </w:rPr>
      </w:pPr>
      <w:r>
        <w:rPr>
          <w:rFonts w:hint="eastAsia" w:ascii="仿宋" w:hAnsi="仿宋" w:eastAsia="仿宋" w:cs="Times New Roman"/>
          <w:sz w:val="21"/>
        </w:rPr>
        <w:t>（4）乙方应向甲方提交所提供货物的技术文件，包括相应的中文技术文件，如：产品目录、图纸、操作手册、使用说明、维护手册或服务指南等。上述文件应包装好随货物一同发运。</w:t>
      </w:r>
    </w:p>
    <w:p w14:paraId="24B90B1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8.2 保证</w:t>
      </w:r>
    </w:p>
    <w:p w14:paraId="11D866B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b/>
          <w:szCs w:val="21"/>
        </w:rPr>
        <w:t>【政府采购合同专用条款】</w:t>
      </w:r>
      <w:r>
        <w:rPr>
          <w:rFonts w:hint="eastAsia" w:ascii="仿宋" w:hAnsi="仿宋" w:eastAsia="仿宋"/>
          <w:szCs w:val="21"/>
        </w:rPr>
        <w:t>规定或乙方书面承诺（两者以较长的为准）的质量保证期内，本保证保持有效。</w:t>
      </w:r>
    </w:p>
    <w:p w14:paraId="7619FFC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（2）在质量保证期内所发现的缺陷，甲方应尽快以书面形式通知乙方。</w:t>
      </w:r>
    </w:p>
    <w:p w14:paraId="3AD226E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（3）乙方收到通知后，应在</w:t>
      </w:r>
      <w:r>
        <w:rPr>
          <w:rFonts w:hint="eastAsia" w:ascii="仿宋" w:hAnsi="仿宋" w:eastAsia="仿宋"/>
          <w:b/>
          <w:szCs w:val="21"/>
        </w:rPr>
        <w:t>【政府采购合同专用条款】</w:t>
      </w:r>
      <w:r>
        <w:rPr>
          <w:rFonts w:hint="eastAsia" w:ascii="仿宋" w:hAnsi="仿宋" w:eastAsia="仿宋"/>
          <w:szCs w:val="21"/>
        </w:rPr>
        <w:t>规定的响应时间内以合理的速度免费维修或更换有缺陷的货物或部件。</w:t>
      </w:r>
    </w:p>
    <w:p w14:paraId="27D85B79">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7819D36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szCs w:val="21"/>
        </w:rPr>
        <w:t>（5）乙方在约定的时间内未能弥补缺陷，甲方可采取必要的补救措施，但其风险和费用将由乙方承担，甲方根据合同约定对乙方行使的其他权利不受影响。</w:t>
      </w:r>
    </w:p>
    <w:p w14:paraId="7057395B">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9. 权利瑕疵担保</w:t>
      </w:r>
    </w:p>
    <w:p w14:paraId="1036B019">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9.1 乙方保证对其出售的货物享有合法的权利。</w:t>
      </w:r>
    </w:p>
    <w:p w14:paraId="1817AAE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9.2 </w:t>
      </w:r>
      <w:r>
        <w:rPr>
          <w:rFonts w:hint="eastAsia" w:ascii="仿宋" w:hAnsi="仿宋" w:eastAsia="仿宋"/>
          <w:szCs w:val="15"/>
        </w:rPr>
        <w:t>乙方保证在交付的货物上不存在抵押权等担保物权。</w:t>
      </w:r>
    </w:p>
    <w:p w14:paraId="42AAF1D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9.3 如甲方使用上述货物构成对第三人侵权的，则由乙方承担全部责任。</w:t>
      </w:r>
    </w:p>
    <w:p w14:paraId="6930B24E">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10. 知识产权保护</w:t>
      </w:r>
    </w:p>
    <w:p w14:paraId="4B3FA61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10.1 乙方对其所销售的货物应当享有知识产权或经权利人合法授权，保证没有侵犯任何第三人的知识产权等权利。</w:t>
      </w:r>
      <w:bookmarkStart w:id="33" w:name="_Hlk163047038"/>
      <w:r>
        <w:rPr>
          <w:rFonts w:hint="eastAsia" w:ascii="仿宋" w:hAnsi="仿宋" w:eastAsia="仿宋"/>
          <w:szCs w:val="15"/>
        </w:rPr>
        <w:t>因违反前述约定对第三人构成侵权的，应当由乙方向第三人承担法律责任；甲方依法向第三人赔偿后，有权向乙方追偿。甲方有其他损失的，乙方应当赔偿</w:t>
      </w:r>
      <w:bookmarkEnd w:id="33"/>
      <w:r>
        <w:rPr>
          <w:rFonts w:hint="eastAsia" w:ascii="仿宋" w:hAnsi="仿宋" w:eastAsia="仿宋"/>
          <w:szCs w:val="21"/>
        </w:rPr>
        <w:t>。</w:t>
      </w:r>
    </w:p>
    <w:p w14:paraId="02AC52AA">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11. 保密义务</w:t>
      </w:r>
    </w:p>
    <w:p w14:paraId="6589465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15"/>
        </w:rPr>
      </w:pPr>
      <w:r>
        <w:rPr>
          <w:rFonts w:hint="eastAsia" w:ascii="仿宋" w:hAnsi="仿宋" w:eastAsia="仿宋"/>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b/>
          <w:bCs/>
          <w:szCs w:val="15"/>
        </w:rPr>
        <w:t>【政府采购合同专用条款】</w:t>
      </w:r>
      <w:r>
        <w:rPr>
          <w:rFonts w:hint="eastAsia" w:ascii="仿宋" w:hAnsi="仿宋" w:eastAsia="仿宋"/>
          <w:szCs w:val="15"/>
        </w:rPr>
        <w:t>中约定。</w:t>
      </w:r>
    </w:p>
    <w:p w14:paraId="1B05B6D1">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12. 合同价款支付</w:t>
      </w:r>
    </w:p>
    <w:p w14:paraId="37E2CD9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12.1 合同价款支付按照国库集中支付制度及财政管理相关规定执行。</w:t>
      </w:r>
    </w:p>
    <w:p w14:paraId="0E5AC78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12.2具体合同价款支付时间在</w:t>
      </w:r>
      <w:r>
        <w:rPr>
          <w:rFonts w:hint="eastAsia" w:ascii="仿宋" w:hAnsi="仿宋" w:eastAsia="仿宋"/>
          <w:b/>
          <w:szCs w:val="21"/>
        </w:rPr>
        <w:t>【政府采购合同专用条款】</w:t>
      </w:r>
      <w:r>
        <w:rPr>
          <w:rFonts w:hint="eastAsia" w:ascii="仿宋" w:hAnsi="仿宋" w:eastAsia="仿宋"/>
          <w:szCs w:val="21"/>
        </w:rPr>
        <w:t>中约定。</w:t>
      </w:r>
    </w:p>
    <w:p w14:paraId="6A3E28FB">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13. 履约保证金</w:t>
      </w:r>
    </w:p>
    <w:p w14:paraId="6122AFA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 xml:space="preserve">13.1 </w:t>
      </w:r>
      <w:r>
        <w:rPr>
          <w:rFonts w:hint="eastAsia" w:ascii="仿宋" w:hAnsi="仿宋" w:eastAsia="仿宋"/>
          <w:szCs w:val="15"/>
        </w:rPr>
        <w:t>乙方应当以支票、汇票、本票或者金融机构、担保机构出具的保函等非现金形式提交。</w:t>
      </w:r>
    </w:p>
    <w:p w14:paraId="5719A30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13.2 如果乙方出现</w:t>
      </w:r>
      <w:r>
        <w:rPr>
          <w:rFonts w:hint="eastAsia" w:ascii="仿宋" w:hAnsi="仿宋" w:eastAsia="仿宋"/>
          <w:b/>
          <w:bCs/>
          <w:szCs w:val="15"/>
        </w:rPr>
        <w:t>【政府采购合同专用条款】</w:t>
      </w:r>
      <w:r>
        <w:rPr>
          <w:rFonts w:hint="eastAsia" w:ascii="仿宋" w:hAnsi="仿宋" w:eastAsia="仿宋"/>
          <w:szCs w:val="15"/>
        </w:rPr>
        <w:t>约定情形的</w:t>
      </w:r>
      <w:r>
        <w:rPr>
          <w:rFonts w:hint="eastAsia" w:ascii="仿宋" w:hAnsi="仿宋" w:eastAsia="仿宋"/>
          <w:szCs w:val="21"/>
        </w:rPr>
        <w:t>，履约保证金不予退还；如果乙方未能按合同约定全面履行义务，甲方有权从履约保证金中取得补偿或赔偿，且不影响甲方要求乙方承担合同约定的超过履约保证金的违约责任的权利。</w:t>
      </w:r>
    </w:p>
    <w:p w14:paraId="75C60AA4">
      <w:pPr>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rPr>
      </w:pPr>
      <w:r>
        <w:rPr>
          <w:rFonts w:hint="eastAsia" w:ascii="仿宋" w:hAnsi="仿宋" w:eastAsia="仿宋"/>
          <w:szCs w:val="21"/>
        </w:rPr>
        <w:t>13.3 甲方在项目通过验收后按照</w:t>
      </w:r>
      <w:r>
        <w:rPr>
          <w:rFonts w:hint="eastAsia" w:ascii="仿宋" w:hAnsi="仿宋" w:eastAsia="仿宋"/>
          <w:b/>
          <w:szCs w:val="21"/>
        </w:rPr>
        <w:t>【政府采购合同专用条款】</w:t>
      </w:r>
      <w:r>
        <w:rPr>
          <w:rFonts w:hint="eastAsia" w:ascii="仿宋" w:hAnsi="仿宋" w:eastAsia="仿宋"/>
          <w:szCs w:val="21"/>
        </w:rPr>
        <w:t>规定的时间内将履约保证金退还乙方；逾期退还的，乙方可要求甲方支付违约金，违约金按照</w:t>
      </w:r>
      <w:r>
        <w:rPr>
          <w:rFonts w:hint="eastAsia" w:ascii="仿宋" w:hAnsi="仿宋" w:eastAsia="仿宋"/>
          <w:b/>
          <w:szCs w:val="21"/>
        </w:rPr>
        <w:t>【政府采购合同专用条款】</w:t>
      </w:r>
      <w:r>
        <w:rPr>
          <w:rFonts w:hint="eastAsia" w:ascii="仿宋" w:hAnsi="仿宋" w:eastAsia="仿宋"/>
          <w:szCs w:val="21"/>
        </w:rPr>
        <w:t>规定支付。</w:t>
      </w:r>
    </w:p>
    <w:p w14:paraId="0299D691">
      <w:pPr>
        <w:keepNext w:val="0"/>
        <w:keepLines w:val="0"/>
        <w:pageBreakBefore w:val="0"/>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售后服务</w:t>
      </w:r>
    </w:p>
    <w:p w14:paraId="57AFFD3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14.1 除项目不涉及或采购活动中明确约定无须承担外，乙方还应提供下列服务：</w:t>
      </w:r>
    </w:p>
    <w:p w14:paraId="336523A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（1）货物的现场移动、安装、调试、启动监督及技术支持；</w:t>
      </w:r>
    </w:p>
    <w:p w14:paraId="11450AB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（2）提供货物组装和维修所需的专用工具和辅助材料；</w:t>
      </w:r>
    </w:p>
    <w:p w14:paraId="1779347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（3）在</w:t>
      </w:r>
      <w:r>
        <w:rPr>
          <w:rFonts w:hint="eastAsia" w:ascii="仿宋" w:hAnsi="仿宋" w:eastAsia="仿宋"/>
          <w:b/>
          <w:bCs/>
          <w:szCs w:val="15"/>
        </w:rPr>
        <w:t>【政府采购合同专用条款】</w:t>
      </w:r>
      <w:r>
        <w:rPr>
          <w:rFonts w:hint="eastAsia" w:ascii="仿宋" w:hAnsi="仿宋" w:eastAsia="仿宋"/>
          <w:szCs w:val="21"/>
        </w:rPr>
        <w:t>约定的期限内对所有的货物实施运行监督、维修，但前提条件是该服务并不能免除乙方在质量保证期内所承担的义务；</w:t>
      </w:r>
    </w:p>
    <w:p w14:paraId="3A176B0C">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（4）在制造商所在地或指定现场就货物的安装、启动、运营、维护、废弃处置等对甲方操作人员进行培训</w:t>
      </w:r>
      <w:r>
        <w:rPr>
          <w:rFonts w:hint="eastAsia" w:ascii="仿宋" w:hAnsi="仿宋" w:eastAsia="仿宋"/>
          <w:szCs w:val="15"/>
        </w:rPr>
        <w:t>；</w:t>
      </w:r>
    </w:p>
    <w:p w14:paraId="61D04D19">
      <w:pPr>
        <w:pStyle w:val="297"/>
        <w:keepNext w:val="0"/>
        <w:keepLines w:val="0"/>
        <w:pageBreakBefore w:val="0"/>
        <w:kinsoku/>
        <w:wordWrap/>
        <w:overflowPunct/>
        <w:topLinePunct w:val="0"/>
        <w:autoSpaceDE/>
        <w:autoSpaceDN/>
        <w:bidi w:val="0"/>
        <w:spacing w:line="360" w:lineRule="auto"/>
        <w:ind w:firstLine="420"/>
        <w:textAlignment w:val="auto"/>
        <w:rPr>
          <w:rFonts w:ascii="仿宋" w:hAnsi="仿宋" w:eastAsia="仿宋" w:cs="宋体"/>
          <w:sz w:val="21"/>
        </w:rPr>
      </w:pPr>
      <w:r>
        <w:rPr>
          <w:rFonts w:hint="eastAsia" w:ascii="仿宋" w:hAnsi="仿宋" w:eastAsia="仿宋" w:cs="宋体"/>
          <w:sz w:val="21"/>
        </w:rPr>
        <w:t>（5）依照法律、行政法规的规定或者按照</w:t>
      </w:r>
      <w:r>
        <w:rPr>
          <w:rFonts w:hint="eastAsia" w:ascii="仿宋" w:hAnsi="仿宋" w:eastAsia="仿宋" w:cs="宋体"/>
          <w:b/>
          <w:bCs/>
          <w:sz w:val="21"/>
        </w:rPr>
        <w:t>【政府采购合同专用条款】</w:t>
      </w:r>
      <w:r>
        <w:rPr>
          <w:rFonts w:hint="eastAsia" w:ascii="仿宋" w:hAnsi="仿宋" w:eastAsia="仿宋" w:cs="宋体"/>
          <w:sz w:val="21"/>
        </w:rPr>
        <w:t>约定，货物在有效使用年限届满后应予回收的，乙方负有自行或者委托第三人对货物予以回收的义务；</w:t>
      </w:r>
    </w:p>
    <w:p w14:paraId="6C459DC3">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（6）</w:t>
      </w:r>
      <w:r>
        <w:rPr>
          <w:rFonts w:hint="eastAsia" w:ascii="仿宋" w:hAnsi="仿宋" w:eastAsia="仿宋"/>
          <w:b/>
          <w:szCs w:val="21"/>
        </w:rPr>
        <w:t>【政府采购合同专用条款】</w:t>
      </w:r>
      <w:r>
        <w:rPr>
          <w:rFonts w:hint="eastAsia" w:ascii="仿宋" w:hAnsi="仿宋" w:eastAsia="仿宋"/>
          <w:szCs w:val="21"/>
        </w:rPr>
        <w:t>规定由乙方提供的其他服务。</w:t>
      </w:r>
    </w:p>
    <w:p w14:paraId="5AD11F14">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14.2 乙方提供的售后服务的费用已包含在合同价款中，甲方不再另行支付。</w:t>
      </w:r>
    </w:p>
    <w:p w14:paraId="7E5FD0E2">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15. 违约责任</w:t>
      </w:r>
    </w:p>
    <w:p w14:paraId="3718B836">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rPr>
      </w:pPr>
      <w:r>
        <w:rPr>
          <w:rFonts w:hint="eastAsia" w:ascii="仿宋" w:hAnsi="仿宋" w:eastAsia="仿宋"/>
          <w:bCs/>
          <w:szCs w:val="21"/>
        </w:rPr>
        <w:t>15.1质量瑕疵的违约责任</w:t>
      </w:r>
    </w:p>
    <w:p w14:paraId="5C7B942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乙方提供的产品不符合合同约定的质量标准或存在产品质量缺陷，甲方有权要求乙方根据</w:t>
      </w:r>
      <w:r>
        <w:rPr>
          <w:rFonts w:hint="eastAsia" w:ascii="仿宋" w:hAnsi="仿宋" w:eastAsia="仿宋"/>
          <w:b/>
          <w:szCs w:val="21"/>
        </w:rPr>
        <w:t>【政府采购合同专用条款】</w:t>
      </w:r>
      <w:r>
        <w:rPr>
          <w:rFonts w:hint="eastAsia" w:ascii="仿宋" w:hAnsi="仿宋" w:eastAsia="仿宋"/>
          <w:bCs/>
          <w:szCs w:val="21"/>
        </w:rPr>
        <w:t>要求</w:t>
      </w:r>
      <w:r>
        <w:rPr>
          <w:rFonts w:hint="eastAsia" w:ascii="仿宋" w:hAnsi="仿宋" w:eastAsia="仿宋"/>
          <w:szCs w:val="21"/>
        </w:rPr>
        <w:t>及时修理、重作、更换，并承担由此给甲方造成的损失。</w:t>
      </w:r>
    </w:p>
    <w:p w14:paraId="445E4DE9">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rPr>
      </w:pPr>
      <w:r>
        <w:rPr>
          <w:rFonts w:hint="eastAsia" w:ascii="仿宋" w:hAnsi="仿宋" w:eastAsia="仿宋"/>
          <w:bCs/>
          <w:szCs w:val="21"/>
        </w:rPr>
        <w:t>15.2 迟延交货的违约责任</w:t>
      </w:r>
    </w:p>
    <w:p w14:paraId="2614715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E2B6C4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（2）如果乙方没有按照合同规定的时间交货和提供相关服务，甲方有权从货款中扣除误期赔偿费而不影响合同项下的其他补救方法，赔偿费按</w:t>
      </w:r>
      <w:r>
        <w:rPr>
          <w:rFonts w:hint="eastAsia" w:ascii="仿宋" w:hAnsi="仿宋" w:eastAsia="仿宋"/>
          <w:b/>
          <w:szCs w:val="21"/>
        </w:rPr>
        <w:t>【政府采购合同专用条款】</w:t>
      </w:r>
      <w:r>
        <w:rPr>
          <w:rFonts w:hint="eastAsia" w:ascii="仿宋" w:hAnsi="仿宋" w:eastAsia="仿宋"/>
          <w:szCs w:val="21"/>
        </w:rPr>
        <w:t>规定执行。如果涉及公共利益，且赔偿金额无法弥补公共利益损失，甲方可要求继续履行或者采取其他补救措施。</w:t>
      </w:r>
    </w:p>
    <w:p w14:paraId="66D69EF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15.3 迟延支付的违约责任</w:t>
      </w:r>
    </w:p>
    <w:p w14:paraId="1E5FD65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甲方存在迟延支付乙方合同款项的，应当承担</w:t>
      </w:r>
      <w:r>
        <w:rPr>
          <w:rFonts w:hint="eastAsia" w:ascii="仿宋" w:hAnsi="仿宋" w:eastAsia="仿宋"/>
          <w:b/>
          <w:bCs/>
          <w:szCs w:val="21"/>
        </w:rPr>
        <w:t>【政府采购合同专用条款】</w:t>
      </w:r>
      <w:r>
        <w:rPr>
          <w:rFonts w:hint="eastAsia" w:ascii="仿宋" w:hAnsi="仿宋" w:eastAsia="仿宋"/>
          <w:szCs w:val="21"/>
        </w:rPr>
        <w:t>规定的逾期付款利息。</w:t>
      </w:r>
    </w:p>
    <w:p w14:paraId="3825665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bCs/>
          <w:szCs w:val="21"/>
        </w:rPr>
        <w:t>15.4其他违约责任根据项目实际需要按</w:t>
      </w:r>
      <w:r>
        <w:rPr>
          <w:rFonts w:hint="eastAsia" w:ascii="仿宋" w:hAnsi="仿宋" w:eastAsia="仿宋"/>
          <w:b/>
          <w:bCs/>
          <w:szCs w:val="21"/>
        </w:rPr>
        <w:t>【政府采购合同专用条款】</w:t>
      </w:r>
      <w:r>
        <w:rPr>
          <w:rFonts w:hint="eastAsia" w:ascii="仿宋" w:hAnsi="仿宋" w:eastAsia="仿宋"/>
          <w:szCs w:val="21"/>
        </w:rPr>
        <w:t>规定执行。</w:t>
      </w:r>
    </w:p>
    <w:p w14:paraId="7376003B">
      <w:pPr>
        <w:keepNext w:val="0"/>
        <w:keepLines w:val="0"/>
        <w:pageBreakBefore w:val="0"/>
        <w:numPr>
          <w:ilvl w:val="0"/>
          <w:numId w:val="9"/>
        </w:numPr>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sz w:val="24"/>
        </w:rPr>
        <w:t>合同变更、中止与终止</w:t>
      </w:r>
    </w:p>
    <w:p w14:paraId="616E7C36">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szCs w:val="21"/>
        </w:rPr>
        <w:t xml:space="preserve">   </w:t>
      </w:r>
      <w:r>
        <w:rPr>
          <w:rFonts w:hint="eastAsia" w:ascii="仿宋" w:hAnsi="仿宋" w:eastAsia="仿宋"/>
        </w:rPr>
        <w:t xml:space="preserve"> 16.1合同的变更</w:t>
      </w:r>
    </w:p>
    <w:p w14:paraId="2187A13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政府采购合同履行中，在不改变合同其他条款的前提下，甲方可以在合同价款10%的范围内追加与合同标的相同的货物，并就此与乙方协商一致后签订补充协议。</w:t>
      </w:r>
    </w:p>
    <w:p w14:paraId="472457FD">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16.2合同的中止</w:t>
      </w:r>
    </w:p>
    <w:p w14:paraId="7DC8B5B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（1）合同履行过程中因供应商就采购文件、采购过程或结果提起投诉的，甲方认为有必要的，可以中止合同的履行。</w:t>
      </w:r>
    </w:p>
    <w:p w14:paraId="668F1D5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888D27F">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szCs w:val="22"/>
        </w:rPr>
      </w:pPr>
      <w:r>
        <w:rPr>
          <w:rFonts w:hint="eastAsia" w:ascii="仿宋" w:hAnsi="仿宋" w:eastAsia="仿宋" w:cs="宋体"/>
          <w:szCs w:val="22"/>
        </w:rPr>
        <w:t>（3）乙方分立、合并或者变更住所的，应当及时以书面形式告知甲方。乙方没有及时告知甲方，致使合同履行发生困难的，甲方可以中止合同履行并要求乙方承担由此给甲方造成的损失。</w:t>
      </w:r>
    </w:p>
    <w:p w14:paraId="06162C58">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（4）甲方不得以行政区划调整、政府换届、机构或者职能调整以及相关责任人更替为由中止合同。</w:t>
      </w:r>
    </w:p>
    <w:p w14:paraId="2AE3A97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16.3合同的终止</w:t>
      </w:r>
    </w:p>
    <w:p w14:paraId="4610551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（1）合同因有效期限届满而终止；</w:t>
      </w:r>
    </w:p>
    <w:p w14:paraId="2C1B0C61">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（2）乙方未按合同约定履行，构成根本性违约的，甲方有权终止合同，并追究乙方的违约责任。</w:t>
      </w:r>
    </w:p>
    <w:p w14:paraId="68EF3BF5">
      <w:pPr>
        <w:pStyle w:val="297"/>
        <w:keepNext w:val="0"/>
        <w:keepLines w:val="0"/>
        <w:pageBreakBefore w:val="0"/>
        <w:kinsoku/>
        <w:wordWrap/>
        <w:overflowPunct/>
        <w:topLinePunct w:val="0"/>
        <w:autoSpaceDE/>
        <w:autoSpaceDN/>
        <w:bidi w:val="0"/>
        <w:spacing w:line="360" w:lineRule="auto"/>
        <w:textAlignment w:val="auto"/>
        <w:rPr>
          <w:rFonts w:ascii="仿宋" w:hAnsi="仿宋" w:eastAsia="仿宋"/>
          <w:szCs w:val="22"/>
        </w:rPr>
      </w:pPr>
      <w:r>
        <w:rPr>
          <w:rFonts w:hint="eastAsia" w:ascii="仿宋" w:hAnsi="仿宋" w:eastAsia="仿宋"/>
          <w:szCs w:val="22"/>
        </w:rPr>
        <w:t xml:space="preserve">16.4 </w:t>
      </w:r>
      <w:r>
        <w:rPr>
          <w:rFonts w:hint="eastAsia" w:ascii="仿宋" w:hAnsi="仿宋" w:eastAsia="仿宋" w:cs="Times New Roman"/>
          <w:szCs w:val="22"/>
        </w:rPr>
        <w:t>涉及国家利益、社会公共利益的情形</w:t>
      </w:r>
    </w:p>
    <w:p w14:paraId="2C5F6A8B">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szCs w:val="22"/>
        </w:rPr>
      </w:pPr>
      <w:r>
        <w:rPr>
          <w:rFonts w:hint="eastAsia" w:ascii="仿宋" w:hAnsi="仿宋" w:eastAsia="仿宋" w:cs="宋体"/>
          <w:szCs w:val="22"/>
        </w:rPr>
        <w:t>政府采购合同继续履行将损害国家利益和社会公共利益的，双方当事人应当变更、中止或者终止合同。有过错的一方应当承担赔偿责任，双方都有过错的，各自承担相应的责任。</w:t>
      </w:r>
    </w:p>
    <w:p w14:paraId="1D561FDC">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17. 合同分包</w:t>
      </w:r>
    </w:p>
    <w:p w14:paraId="5FE19D8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17.1 乙方不得将合同转包给其他供应商。涉及合同分包的，乙方应根据采购文件和投标（响应）文件规定进行合同分包。</w:t>
      </w:r>
    </w:p>
    <w:p w14:paraId="5E3A1608">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17.2 乙方执行政府采购政策向中小企业依法分包的，乙方应当按采购文件和投标（响应）文件签订分包意向协议，分包意向协议属于本合同组成部分。</w:t>
      </w:r>
    </w:p>
    <w:p w14:paraId="36391FEA">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18. 不可抗力</w:t>
      </w:r>
    </w:p>
    <w:p w14:paraId="3CA6463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18.1 不可抗力是指合同双方不能预见、不能避免且不能克服的客观情况。</w:t>
      </w:r>
    </w:p>
    <w:p w14:paraId="2554EA95">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18.2 任何一方对由于不可抗力造成的部分或全部不能履行合同不承担违约责任。但迟延履行后发生不可抗力的，不能免除责任。</w:t>
      </w:r>
    </w:p>
    <w:p w14:paraId="1591F96A">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szCs w:val="21"/>
        </w:rPr>
      </w:pPr>
      <w:r>
        <w:rPr>
          <w:rFonts w:hint="eastAsia" w:ascii="仿宋" w:hAnsi="仿宋" w:eastAsia="仿宋"/>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07B79C6">
      <w:pPr>
        <w:keepNext w:val="0"/>
        <w:keepLines w:val="0"/>
        <w:pageBreakBefore w:val="0"/>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19. 解决争议的方法</w:t>
      </w:r>
    </w:p>
    <w:p w14:paraId="7AAED5F0">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19.1 因本合同及合同有关事项发生的争议，由甲乙双方友好协商解决。协商不成时，可以向有关组织申请调解。合同一方或双方不愿调解或调解不成的，可以通过仲裁或诉讼的方式解决争议。</w:t>
      </w:r>
    </w:p>
    <w:p w14:paraId="35E2DD73">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19.2 选择仲裁的，应在</w:t>
      </w:r>
      <w:r>
        <w:rPr>
          <w:rFonts w:hint="eastAsia" w:ascii="仿宋" w:hAnsi="仿宋" w:eastAsia="仿宋" w:cs="宋体"/>
          <w:b/>
          <w:bCs/>
          <w:szCs w:val="22"/>
        </w:rPr>
        <w:t>【政府采购合同专用条款】</w:t>
      </w:r>
      <w:r>
        <w:rPr>
          <w:rFonts w:hint="eastAsia" w:ascii="仿宋" w:hAnsi="仿宋" w:eastAsia="仿宋" w:cs="宋体"/>
          <w:szCs w:val="22"/>
        </w:rPr>
        <w:t>中明确仲裁机构及仲裁地；通过诉讼方式解决的，可以在</w:t>
      </w:r>
      <w:r>
        <w:rPr>
          <w:rFonts w:hint="eastAsia" w:ascii="仿宋" w:hAnsi="仿宋" w:eastAsia="仿宋" w:cs="宋体"/>
          <w:b/>
          <w:bCs/>
          <w:szCs w:val="22"/>
        </w:rPr>
        <w:t>【政府采购合同专用条款】</w:t>
      </w:r>
      <w:r>
        <w:rPr>
          <w:rFonts w:hint="eastAsia" w:ascii="仿宋" w:hAnsi="仿宋" w:eastAsia="仿宋" w:cs="宋体"/>
          <w:szCs w:val="22"/>
        </w:rPr>
        <w:t>中进一步约定选择与争议有实际联系的地点的人民法院管辖，但管辖法院的约定不得违反级别管辖和专属管辖的规定。</w:t>
      </w:r>
    </w:p>
    <w:p w14:paraId="0E21B2BE">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19.3 如甲乙双方有争议的事项不影响合同其他部分的履行，在争议解决期间，合同其他部分应当继续履行。</w:t>
      </w:r>
    </w:p>
    <w:p w14:paraId="329F2174">
      <w:pPr>
        <w:keepNext w:val="0"/>
        <w:keepLines w:val="0"/>
        <w:pageBreakBefore w:val="0"/>
        <w:kinsoku/>
        <w:wordWrap/>
        <w:overflowPunct/>
        <w:topLinePunct w:val="0"/>
        <w:autoSpaceDE/>
        <w:autoSpaceDN/>
        <w:bidi w:val="0"/>
        <w:spacing w:line="360" w:lineRule="auto"/>
        <w:textAlignment w:val="auto"/>
        <w:rPr>
          <w:rFonts w:ascii="仿宋" w:hAnsi="仿宋" w:eastAsia="仿宋"/>
          <w:sz w:val="24"/>
        </w:rPr>
      </w:pPr>
      <w:r>
        <w:rPr>
          <w:rFonts w:hint="eastAsia" w:ascii="仿宋" w:hAnsi="仿宋" w:eastAsia="仿宋"/>
          <w:b/>
          <w:sz w:val="24"/>
        </w:rPr>
        <w:t>20. 政府采购政策</w:t>
      </w:r>
    </w:p>
    <w:p w14:paraId="69FABB7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lang w:val="en-GB"/>
        </w:rPr>
        <w:t>20.1 本合同应当按照规定执行政府采购政策。</w:t>
      </w:r>
    </w:p>
    <w:p w14:paraId="6B43E7E0">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ascii="仿宋" w:hAnsi="仿宋" w:eastAsia="仿宋"/>
          <w:lang w:val="en-GB"/>
        </w:rPr>
        <w:t>2</w:t>
      </w:r>
      <w:r>
        <w:rPr>
          <w:rFonts w:hint="eastAsia" w:ascii="仿宋" w:hAnsi="仿宋" w:eastAsia="仿宋"/>
          <w:lang w:val="en-GB"/>
        </w:rPr>
        <w:t>0.2 本合同依法执行政府采购政策的方式和内容，属于合同履约验收的范围。甲乙双方未按规定要求执行政府采购政策造成损失的，有过错的一方应当承担赔偿责任，双方都有过错的，各自承担相应的责任。</w:t>
      </w:r>
    </w:p>
    <w:p w14:paraId="3CE94D6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ascii="仿宋" w:hAnsi="仿宋" w:eastAsia="仿宋"/>
          <w:lang w:val="en-GB"/>
        </w:rPr>
        <w:t>2</w:t>
      </w:r>
      <w:r>
        <w:rPr>
          <w:rFonts w:hint="eastAsia" w:ascii="仿宋" w:hAnsi="仿宋" w:eastAsia="仿宋"/>
          <w:lang w:val="en-GB"/>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w:t>
      </w:r>
      <w:r>
        <w:rPr>
          <w:rFonts w:hint="eastAsia" w:ascii="仿宋" w:hAnsi="仿宋" w:eastAsia="仿宋"/>
        </w:rPr>
        <w:t>动或者合同分包的，须将联合协议或者分包意向协议作为采购合同的组成部分。</w:t>
      </w:r>
    </w:p>
    <w:p w14:paraId="51BF6C2A">
      <w:pPr>
        <w:keepNext w:val="0"/>
        <w:keepLines w:val="0"/>
        <w:pageBreakBefore w:val="0"/>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sz w:val="24"/>
        </w:rPr>
        <w:t>21. 法律适用</w:t>
      </w:r>
    </w:p>
    <w:p w14:paraId="70BB4AFB">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21.1 本合同的订立、生效、解释、履行及与本合同有关的争议解决，均适用法律、行政法规。</w:t>
      </w:r>
    </w:p>
    <w:p w14:paraId="39FDEACC">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21.2 本合同条款与法律、行政法规的强制性规定不一致的，双方当事人应按照法律、行政法规的强制性规定修改本合同的相关条款。</w:t>
      </w:r>
    </w:p>
    <w:p w14:paraId="5C5A1212">
      <w:pPr>
        <w:keepNext w:val="0"/>
        <w:keepLines w:val="0"/>
        <w:pageBreakBefore w:val="0"/>
        <w:numPr>
          <w:ilvl w:val="255"/>
          <w:numId w:val="0"/>
        </w:numPr>
        <w:kinsoku/>
        <w:wordWrap/>
        <w:overflowPunct/>
        <w:topLinePunct w:val="0"/>
        <w:autoSpaceDE/>
        <w:autoSpaceDN/>
        <w:bidi w:val="0"/>
        <w:spacing w:line="360" w:lineRule="auto"/>
        <w:textAlignment w:val="auto"/>
        <w:rPr>
          <w:rFonts w:ascii="仿宋" w:hAnsi="仿宋" w:eastAsia="仿宋"/>
          <w:b/>
          <w:sz w:val="24"/>
        </w:rPr>
      </w:pPr>
      <w:r>
        <w:rPr>
          <w:rFonts w:hint="eastAsia" w:ascii="仿宋" w:hAnsi="仿宋" w:eastAsia="仿宋"/>
          <w:b/>
          <w:sz w:val="24"/>
        </w:rPr>
        <w:t>22. 通知</w:t>
      </w:r>
    </w:p>
    <w:p w14:paraId="3FBFB9E2">
      <w:pPr>
        <w:pStyle w:val="297"/>
        <w:keepNext w:val="0"/>
        <w:keepLines w:val="0"/>
        <w:pageBreakBefore w:val="0"/>
        <w:kinsoku/>
        <w:wordWrap/>
        <w:overflowPunct/>
        <w:topLinePunct w:val="0"/>
        <w:autoSpaceDE/>
        <w:autoSpaceDN/>
        <w:bidi w:val="0"/>
        <w:spacing w:line="360" w:lineRule="auto"/>
        <w:jc w:val="both"/>
        <w:textAlignment w:val="auto"/>
        <w:rPr>
          <w:rFonts w:ascii="仿宋" w:hAnsi="仿宋" w:eastAsia="仿宋" w:cs="宋体"/>
          <w:szCs w:val="22"/>
        </w:rPr>
      </w:pPr>
      <w:r>
        <w:rPr>
          <w:rFonts w:hint="eastAsia" w:ascii="仿宋" w:hAnsi="仿宋" w:eastAsia="仿宋" w:cs="宋体"/>
          <w:szCs w:val="22"/>
        </w:rPr>
        <w:t>22.1 本合同任何一方向对方发出的通知、信件、数据电文等，应当发送至本合同第一部分《政府采购合同协议书》所约定的通讯地址、联系人、联系电话或电子邮箱。</w:t>
      </w:r>
    </w:p>
    <w:p w14:paraId="359F5F47">
      <w:pPr>
        <w:pStyle w:val="297"/>
        <w:keepNext w:val="0"/>
        <w:keepLines w:val="0"/>
        <w:pageBreakBefore w:val="0"/>
        <w:kinsoku/>
        <w:wordWrap/>
        <w:overflowPunct/>
        <w:topLinePunct w:val="0"/>
        <w:autoSpaceDE/>
        <w:autoSpaceDN/>
        <w:bidi w:val="0"/>
        <w:spacing w:line="360" w:lineRule="auto"/>
        <w:ind w:firstLine="0"/>
        <w:jc w:val="both"/>
        <w:textAlignment w:val="auto"/>
        <w:rPr>
          <w:rFonts w:ascii="仿宋" w:hAnsi="仿宋" w:eastAsia="仿宋"/>
          <w:szCs w:val="22"/>
        </w:rPr>
      </w:pPr>
      <w:r>
        <w:rPr>
          <w:rFonts w:hint="eastAsia" w:ascii="仿宋" w:hAnsi="仿宋" w:eastAsia="仿宋" w:cs="宋体"/>
          <w:szCs w:val="22"/>
        </w:rPr>
        <w:t xml:space="preserve">    22.2 一方当事人变更名称、住所、联系人、联系电话或电子邮箱等信息的，应当在变更后3日内及时书面通知对方，对方实际收到变更通知前的送达仍为有效送达。</w:t>
      </w:r>
    </w:p>
    <w:p w14:paraId="1F3EBB27">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22.3本合同一方给另一方的通知均应采用书面形式，传真或快递送到本合同中规定的对方的地址和办理签收手续。</w:t>
      </w:r>
    </w:p>
    <w:p w14:paraId="077429CF">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rPr>
      </w:pPr>
      <w:r>
        <w:rPr>
          <w:rFonts w:hint="eastAsia" w:ascii="仿宋" w:hAnsi="仿宋" w:eastAsia="仿宋"/>
        </w:rPr>
        <w:t>22.4通知以送达之日或通知书中规定的生效之日起生效，两者中以较迟之日为准。</w:t>
      </w:r>
    </w:p>
    <w:p w14:paraId="4C2E48F0">
      <w:pPr>
        <w:keepNext w:val="0"/>
        <w:keepLines w:val="0"/>
        <w:pageBreakBefore w:val="0"/>
        <w:numPr>
          <w:ilvl w:val="0"/>
          <w:numId w:val="10"/>
        </w:numPr>
        <w:kinsoku/>
        <w:wordWrap/>
        <w:overflowPunct/>
        <w:topLinePunct w:val="0"/>
        <w:autoSpaceDE/>
        <w:autoSpaceDN/>
        <w:bidi w:val="0"/>
        <w:spacing w:line="360" w:lineRule="auto"/>
        <w:textAlignment w:val="auto"/>
        <w:rPr>
          <w:rFonts w:ascii="仿宋" w:hAnsi="仿宋" w:eastAsia="仿宋"/>
          <w:b/>
          <w:bCs/>
          <w:sz w:val="24"/>
        </w:rPr>
      </w:pPr>
      <w:r>
        <w:rPr>
          <w:rFonts w:hint="eastAsia" w:ascii="仿宋" w:hAnsi="仿宋" w:eastAsia="仿宋"/>
          <w:b/>
          <w:bCs/>
          <w:sz w:val="24"/>
        </w:rPr>
        <w:t>合同未尽事项</w:t>
      </w:r>
    </w:p>
    <w:p w14:paraId="6F4175F2">
      <w:pPr>
        <w:keepNext w:val="0"/>
        <w:keepLines w:val="0"/>
        <w:pageBreakBefore w:val="0"/>
        <w:kinsoku/>
        <w:wordWrap/>
        <w:overflowPunct/>
        <w:topLinePunct w:val="0"/>
        <w:autoSpaceDE/>
        <w:autoSpaceDN/>
        <w:bidi w:val="0"/>
        <w:spacing w:line="360" w:lineRule="auto"/>
        <w:ind w:firstLine="440"/>
        <w:textAlignment w:val="auto"/>
        <w:rPr>
          <w:rFonts w:ascii="仿宋" w:hAnsi="仿宋" w:eastAsia="仿宋"/>
          <w:bCs/>
          <w:szCs w:val="21"/>
        </w:rPr>
      </w:pPr>
      <w:r>
        <w:rPr>
          <w:rFonts w:hint="eastAsia" w:ascii="仿宋" w:hAnsi="仿宋" w:eastAsia="仿宋"/>
          <w:bCs/>
          <w:szCs w:val="21"/>
        </w:rPr>
        <w:t>23.1合同未尽事项见</w:t>
      </w:r>
      <w:r>
        <w:rPr>
          <w:rFonts w:hint="eastAsia" w:ascii="仿宋" w:hAnsi="仿宋" w:eastAsia="仿宋"/>
          <w:b/>
          <w:szCs w:val="21"/>
        </w:rPr>
        <w:t>【政府采购合同专用条款】</w:t>
      </w:r>
      <w:r>
        <w:rPr>
          <w:rFonts w:hint="eastAsia" w:ascii="仿宋" w:hAnsi="仿宋" w:eastAsia="仿宋"/>
          <w:bCs/>
          <w:szCs w:val="21"/>
        </w:rPr>
        <w:t>。</w:t>
      </w:r>
    </w:p>
    <w:p w14:paraId="6BF5C531">
      <w:pPr>
        <w:keepNext w:val="0"/>
        <w:keepLines w:val="0"/>
        <w:pageBreakBefore w:val="0"/>
        <w:kinsoku/>
        <w:wordWrap/>
        <w:overflowPunct/>
        <w:topLinePunct w:val="0"/>
        <w:autoSpaceDE/>
        <w:autoSpaceDN/>
        <w:bidi w:val="0"/>
        <w:spacing w:line="360" w:lineRule="auto"/>
        <w:textAlignment w:val="auto"/>
        <w:rPr>
          <w:rFonts w:ascii="仿宋" w:hAnsi="仿宋" w:eastAsia="仿宋"/>
          <w:sz w:val="28"/>
          <w:szCs w:val="28"/>
        </w:rPr>
      </w:pPr>
      <w:r>
        <w:rPr>
          <w:rFonts w:hint="eastAsia" w:ascii="仿宋" w:hAnsi="仿宋" w:eastAsia="仿宋"/>
          <w:bCs/>
          <w:szCs w:val="21"/>
        </w:rPr>
        <w:t xml:space="preserve">    23.2 合同附件与合同正文具有同等的法律效力。</w:t>
      </w:r>
      <w:bookmarkStart w:id="34" w:name="_Toc20313"/>
    </w:p>
    <w:p w14:paraId="2252044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 w:val="28"/>
          <w:szCs w:val="28"/>
        </w:rPr>
      </w:pPr>
      <w:r>
        <w:rPr>
          <w:rFonts w:hint="eastAsia" w:ascii="仿宋" w:hAnsi="仿宋" w:eastAsia="仿宋"/>
          <w:sz w:val="28"/>
          <w:szCs w:val="28"/>
        </w:rPr>
        <w:br w:type="page" w:clear="all"/>
      </w:r>
    </w:p>
    <w:p w14:paraId="3852F489">
      <w:pPr>
        <w:pStyle w:val="3"/>
        <w:keepNext w:val="0"/>
        <w:keepLines w:val="0"/>
        <w:pageBreakBefore w:val="0"/>
        <w:kinsoku/>
        <w:wordWrap/>
        <w:overflowPunct/>
        <w:topLinePunct w:val="0"/>
        <w:autoSpaceDE/>
        <w:autoSpaceDN/>
        <w:bidi w:val="0"/>
        <w:spacing w:line="360" w:lineRule="auto"/>
        <w:ind w:left="0"/>
        <w:jc w:val="center"/>
        <w:textAlignment w:val="auto"/>
        <w:rPr>
          <w:rFonts w:ascii="仿宋" w:hAnsi="仿宋" w:eastAsia="仿宋"/>
          <w:b w:val="0"/>
          <w:bCs w:val="0"/>
          <w:sz w:val="28"/>
          <w:szCs w:val="28"/>
        </w:rPr>
      </w:pPr>
      <w:bookmarkStart w:id="35" w:name="_Toc188363128"/>
      <w:r>
        <w:rPr>
          <w:rFonts w:hint="eastAsia" w:ascii="仿宋" w:hAnsi="仿宋" w:eastAsia="仿宋"/>
          <w:b w:val="0"/>
          <w:bCs w:val="0"/>
          <w:sz w:val="28"/>
          <w:szCs w:val="28"/>
        </w:rPr>
        <w:t>第三节 政府采购合同专用条款</w:t>
      </w:r>
      <w:bookmarkEnd w:id="34"/>
      <w:bookmarkEnd w:id="35"/>
    </w:p>
    <w:tbl>
      <w:tblPr>
        <w:tblStyle w:val="41"/>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CC738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B0ED5EA">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0615362A">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第1.2（6）项</w:t>
            </w:r>
          </w:p>
        </w:tc>
        <w:tc>
          <w:tcPr>
            <w:tcW w:w="1742" w:type="dxa"/>
            <w:vAlign w:val="center"/>
          </w:tcPr>
          <w:p w14:paraId="412B0CC6">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联合体具体要求</w:t>
            </w:r>
          </w:p>
        </w:tc>
        <w:tc>
          <w:tcPr>
            <w:tcW w:w="5170" w:type="dxa"/>
            <w:vAlign w:val="center"/>
          </w:tcPr>
          <w:p w14:paraId="5469E14F">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本项目无联合体投标。</w:t>
            </w:r>
          </w:p>
        </w:tc>
      </w:tr>
      <w:tr w14:paraId="1D18E2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7AEBF1E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57D4047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第1.2（7）项</w:t>
            </w:r>
          </w:p>
        </w:tc>
        <w:tc>
          <w:tcPr>
            <w:tcW w:w="1742" w:type="dxa"/>
            <w:vAlign w:val="center"/>
          </w:tcPr>
          <w:p w14:paraId="515500E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其他术语解释</w:t>
            </w:r>
          </w:p>
        </w:tc>
        <w:tc>
          <w:tcPr>
            <w:tcW w:w="5170" w:type="dxa"/>
            <w:vAlign w:val="center"/>
          </w:tcPr>
          <w:p w14:paraId="2E9FE2D9">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1FF0DB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8F4745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4F78CC8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第4.4款</w:t>
            </w:r>
          </w:p>
        </w:tc>
        <w:tc>
          <w:tcPr>
            <w:tcW w:w="1742" w:type="dxa"/>
            <w:vAlign w:val="center"/>
          </w:tcPr>
          <w:p w14:paraId="4FFD1953">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履约验收中甲方提出异议或作出说明的期限</w:t>
            </w:r>
          </w:p>
        </w:tc>
        <w:tc>
          <w:tcPr>
            <w:tcW w:w="5170" w:type="dxa"/>
            <w:vAlign w:val="center"/>
          </w:tcPr>
          <w:p w14:paraId="3877B37A">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1</w:t>
            </w:r>
            <w:r>
              <w:rPr>
                <w:rFonts w:ascii="仿宋" w:hAnsi="仿宋" w:eastAsia="仿宋"/>
                <w:szCs w:val="21"/>
              </w:rPr>
              <w:t>4</w:t>
            </w:r>
            <w:r>
              <w:rPr>
                <w:rFonts w:hint="eastAsia" w:ascii="仿宋" w:hAnsi="仿宋" w:eastAsia="仿宋"/>
                <w:szCs w:val="21"/>
              </w:rPr>
              <w:t>个工作日内。</w:t>
            </w:r>
          </w:p>
        </w:tc>
      </w:tr>
      <w:tr w14:paraId="40BF0D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B2D685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56903D5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第4.6款</w:t>
            </w:r>
          </w:p>
        </w:tc>
        <w:tc>
          <w:tcPr>
            <w:tcW w:w="1742" w:type="dxa"/>
            <w:vAlign w:val="center"/>
          </w:tcPr>
          <w:p w14:paraId="6496F0CD">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约定甲方承担的其他义务和责任</w:t>
            </w:r>
          </w:p>
        </w:tc>
        <w:tc>
          <w:tcPr>
            <w:tcW w:w="5170" w:type="dxa"/>
            <w:vAlign w:val="center"/>
          </w:tcPr>
          <w:p w14:paraId="43C7063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34E646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DEFEF4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06F6CBC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rPr>
            </w:pPr>
            <w:r>
              <w:rPr>
                <w:rFonts w:hint="eastAsia" w:ascii="仿宋" w:hAnsi="仿宋" w:eastAsia="仿宋"/>
                <w:szCs w:val="21"/>
              </w:rPr>
              <w:t>第5.4款</w:t>
            </w:r>
          </w:p>
        </w:tc>
        <w:tc>
          <w:tcPr>
            <w:tcW w:w="1742" w:type="dxa"/>
            <w:vAlign w:val="center"/>
          </w:tcPr>
          <w:p w14:paraId="1C36CC59">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约定乙方承担的其他义务和责任</w:t>
            </w:r>
          </w:p>
        </w:tc>
        <w:tc>
          <w:tcPr>
            <w:tcW w:w="5170" w:type="dxa"/>
            <w:vAlign w:val="center"/>
          </w:tcPr>
          <w:p w14:paraId="2EB0E32E">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1111AA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609F2A1">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37E6F46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第6.1款</w:t>
            </w:r>
          </w:p>
        </w:tc>
        <w:tc>
          <w:tcPr>
            <w:tcW w:w="1742" w:type="dxa"/>
            <w:vAlign w:val="center"/>
          </w:tcPr>
          <w:p w14:paraId="77677B0D">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履行合同义务的顺序</w:t>
            </w:r>
          </w:p>
        </w:tc>
        <w:tc>
          <w:tcPr>
            <w:tcW w:w="5170" w:type="dxa"/>
            <w:vAlign w:val="center"/>
          </w:tcPr>
          <w:p w14:paraId="7DA01C75">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657B13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00A19AE5">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5666E326">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第7.1款</w:t>
            </w:r>
          </w:p>
        </w:tc>
        <w:tc>
          <w:tcPr>
            <w:tcW w:w="1742" w:type="dxa"/>
            <w:vAlign w:val="center"/>
          </w:tcPr>
          <w:p w14:paraId="4A6920B9">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包装特殊要求</w:t>
            </w:r>
          </w:p>
        </w:tc>
        <w:tc>
          <w:tcPr>
            <w:tcW w:w="5170" w:type="dxa"/>
            <w:vAlign w:val="center"/>
          </w:tcPr>
          <w:p w14:paraId="14803E7F">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w:t>
            </w:r>
          </w:p>
        </w:tc>
      </w:tr>
      <w:tr w14:paraId="3AF701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0C48B81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p>
        </w:tc>
        <w:tc>
          <w:tcPr>
            <w:tcW w:w="1742" w:type="dxa"/>
            <w:vAlign w:val="center"/>
          </w:tcPr>
          <w:p w14:paraId="724BFCB1">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指定现场</w:t>
            </w:r>
          </w:p>
        </w:tc>
        <w:tc>
          <w:tcPr>
            <w:tcW w:w="5170" w:type="dxa"/>
            <w:vAlign w:val="center"/>
          </w:tcPr>
          <w:p w14:paraId="0F049968">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甲方指定地点，乙方负责全部产品的供货、装卸。</w:t>
            </w:r>
          </w:p>
        </w:tc>
      </w:tr>
      <w:tr w14:paraId="7B6A1A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75C4ABBF">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249839BF">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第7.2款</w:t>
            </w:r>
          </w:p>
        </w:tc>
        <w:tc>
          <w:tcPr>
            <w:tcW w:w="1742" w:type="dxa"/>
            <w:vAlign w:val="center"/>
          </w:tcPr>
          <w:p w14:paraId="686EC54A">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运输特殊要求</w:t>
            </w:r>
          </w:p>
        </w:tc>
        <w:tc>
          <w:tcPr>
            <w:tcW w:w="5170" w:type="dxa"/>
            <w:vAlign w:val="center"/>
          </w:tcPr>
          <w:p w14:paraId="20CB716C">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运输损失由乙方承担。</w:t>
            </w:r>
          </w:p>
        </w:tc>
      </w:tr>
      <w:tr w14:paraId="643ED5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1D8473EF">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70CC490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第7.3款</w:t>
            </w:r>
          </w:p>
        </w:tc>
        <w:tc>
          <w:tcPr>
            <w:tcW w:w="1742" w:type="dxa"/>
            <w:vAlign w:val="center"/>
          </w:tcPr>
          <w:p w14:paraId="74A3C733">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保险要求</w:t>
            </w:r>
          </w:p>
        </w:tc>
        <w:tc>
          <w:tcPr>
            <w:tcW w:w="5170" w:type="dxa"/>
            <w:vAlign w:val="center"/>
          </w:tcPr>
          <w:p w14:paraId="075C0E01">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w:t>
            </w:r>
          </w:p>
        </w:tc>
      </w:tr>
      <w:tr w14:paraId="1F14A1B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44CCE8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69F3687A">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第8.2（1）项</w:t>
            </w:r>
          </w:p>
        </w:tc>
        <w:tc>
          <w:tcPr>
            <w:tcW w:w="1742" w:type="dxa"/>
            <w:vAlign w:val="center"/>
          </w:tcPr>
          <w:p w14:paraId="166FACB1">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质量保证期</w:t>
            </w:r>
          </w:p>
        </w:tc>
        <w:tc>
          <w:tcPr>
            <w:tcW w:w="5170" w:type="dxa"/>
            <w:vAlign w:val="center"/>
          </w:tcPr>
          <w:p w14:paraId="179922D7">
            <w:pPr>
              <w:keepNext w:val="0"/>
              <w:keepLines w:val="0"/>
              <w:pageBreakBefore w:val="0"/>
              <w:kinsoku/>
              <w:wordWrap/>
              <w:overflowPunct/>
              <w:topLinePunct w:val="0"/>
              <w:autoSpaceDE/>
              <w:autoSpaceDN/>
              <w:bidi w:val="0"/>
              <w:spacing w:line="360" w:lineRule="auto"/>
              <w:textAlignment w:val="auto"/>
              <w:rPr>
                <w:rFonts w:ascii="仿宋" w:hAnsi="仿宋" w:eastAsia="仿宋"/>
              </w:rPr>
            </w:pPr>
            <w:r>
              <w:rPr>
                <w:rFonts w:hint="eastAsia" w:ascii="仿宋" w:hAnsi="仿宋" w:eastAsia="仿宋"/>
              </w:rPr>
              <w:t>自项目验收合格（以双方在验收报告签订日期为准），提供3年整体免费保修服务。免费保修期内，除人为损坏和不可抗拒因素外，中标人对设备进行免费维修或更换。</w:t>
            </w:r>
          </w:p>
        </w:tc>
      </w:tr>
      <w:tr w14:paraId="664CC5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5D6A24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3A4B0FC4">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第8.2（3）项</w:t>
            </w:r>
          </w:p>
        </w:tc>
        <w:tc>
          <w:tcPr>
            <w:tcW w:w="1742" w:type="dxa"/>
            <w:vAlign w:val="center"/>
          </w:tcPr>
          <w:p w14:paraId="1ACA9B62">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货物质量缺陷</w:t>
            </w:r>
          </w:p>
          <w:p w14:paraId="361B2258">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响应时间</w:t>
            </w:r>
          </w:p>
        </w:tc>
        <w:tc>
          <w:tcPr>
            <w:tcW w:w="5170" w:type="dxa"/>
            <w:vAlign w:val="center"/>
          </w:tcPr>
          <w:p w14:paraId="12FDB407">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3日内</w:t>
            </w:r>
          </w:p>
        </w:tc>
      </w:tr>
      <w:tr w14:paraId="0FC5C9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EF13596">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701C045A">
            <w:pPr>
              <w:pStyle w:val="297"/>
              <w:keepNext w:val="0"/>
              <w:keepLines w:val="0"/>
              <w:pageBreakBefore w:val="0"/>
              <w:kinsoku/>
              <w:wordWrap/>
              <w:overflowPunct/>
              <w:topLinePunct w:val="0"/>
              <w:autoSpaceDE/>
              <w:autoSpaceDN/>
              <w:bidi w:val="0"/>
              <w:spacing w:line="360" w:lineRule="auto"/>
              <w:ind w:firstLine="0"/>
              <w:jc w:val="center"/>
              <w:textAlignment w:val="auto"/>
              <w:rPr>
                <w:rFonts w:ascii="仿宋" w:hAnsi="仿宋" w:eastAsia="仿宋"/>
              </w:rPr>
            </w:pPr>
            <w:r>
              <w:rPr>
                <w:rFonts w:hint="eastAsia" w:ascii="仿宋" w:hAnsi="仿宋" w:eastAsia="仿宋" w:cs="宋体"/>
              </w:rPr>
              <w:t>第11.1款</w:t>
            </w:r>
          </w:p>
        </w:tc>
        <w:tc>
          <w:tcPr>
            <w:tcW w:w="1742" w:type="dxa"/>
            <w:vAlign w:val="center"/>
          </w:tcPr>
          <w:p w14:paraId="4E1441B3">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其他应当保密的信息</w:t>
            </w:r>
          </w:p>
        </w:tc>
        <w:tc>
          <w:tcPr>
            <w:tcW w:w="5170" w:type="dxa"/>
            <w:vAlign w:val="center"/>
          </w:tcPr>
          <w:p w14:paraId="3402F286">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1D24D1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1A1F7D7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69F96F3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第12.2款</w:t>
            </w:r>
          </w:p>
        </w:tc>
        <w:tc>
          <w:tcPr>
            <w:tcW w:w="1742" w:type="dxa"/>
            <w:vAlign w:val="center"/>
          </w:tcPr>
          <w:p w14:paraId="1B013B7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合同价款支付时间</w:t>
            </w:r>
          </w:p>
        </w:tc>
        <w:tc>
          <w:tcPr>
            <w:tcW w:w="5170" w:type="dxa"/>
            <w:vAlign w:val="center"/>
          </w:tcPr>
          <w:p w14:paraId="12F77A44">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见本合同第一节</w:t>
            </w:r>
          </w:p>
        </w:tc>
      </w:tr>
      <w:tr w14:paraId="70BC15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220A2CA7">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2A745DD1">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第13.2款</w:t>
            </w:r>
          </w:p>
        </w:tc>
        <w:tc>
          <w:tcPr>
            <w:tcW w:w="1742" w:type="dxa"/>
            <w:vAlign w:val="center"/>
          </w:tcPr>
          <w:p w14:paraId="156041A3">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履约保证金不予退还的情形</w:t>
            </w:r>
          </w:p>
        </w:tc>
        <w:tc>
          <w:tcPr>
            <w:tcW w:w="5170" w:type="dxa"/>
            <w:vAlign w:val="center"/>
          </w:tcPr>
          <w:p w14:paraId="187CBA69">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571842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C20D8A9">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56D4C20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第13.3款</w:t>
            </w:r>
          </w:p>
        </w:tc>
        <w:tc>
          <w:tcPr>
            <w:tcW w:w="1742" w:type="dxa"/>
            <w:vAlign w:val="center"/>
          </w:tcPr>
          <w:p w14:paraId="59B34E9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履约保证金退还时间及逾期退还的违约金</w:t>
            </w:r>
          </w:p>
        </w:tc>
        <w:tc>
          <w:tcPr>
            <w:tcW w:w="5170" w:type="dxa"/>
            <w:vAlign w:val="center"/>
          </w:tcPr>
          <w:p w14:paraId="0BA3A12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21391A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0E0D898F">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31E2080F">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第14.1（3）项</w:t>
            </w:r>
          </w:p>
        </w:tc>
        <w:tc>
          <w:tcPr>
            <w:tcW w:w="1742" w:type="dxa"/>
            <w:vAlign w:val="center"/>
          </w:tcPr>
          <w:p w14:paraId="46DAFA58">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运行监督、维修期限</w:t>
            </w:r>
          </w:p>
        </w:tc>
        <w:tc>
          <w:tcPr>
            <w:tcW w:w="5170" w:type="dxa"/>
            <w:vAlign w:val="center"/>
          </w:tcPr>
          <w:p w14:paraId="766178C7">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12B58E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4581A37C">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1B1005F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第14.1（5）项</w:t>
            </w:r>
          </w:p>
        </w:tc>
        <w:tc>
          <w:tcPr>
            <w:tcW w:w="1742" w:type="dxa"/>
            <w:vAlign w:val="center"/>
          </w:tcPr>
          <w:p w14:paraId="22EC6EEC">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货物回收的约定</w:t>
            </w:r>
          </w:p>
        </w:tc>
        <w:tc>
          <w:tcPr>
            <w:tcW w:w="5170" w:type="dxa"/>
            <w:vAlign w:val="center"/>
          </w:tcPr>
          <w:p w14:paraId="371AAC10">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2B9C96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92F7E4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304FEC5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第14.1（6）项</w:t>
            </w:r>
          </w:p>
        </w:tc>
        <w:tc>
          <w:tcPr>
            <w:tcW w:w="1742" w:type="dxa"/>
            <w:vAlign w:val="center"/>
          </w:tcPr>
          <w:p w14:paraId="4F62E62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乙方提供的其他服务</w:t>
            </w:r>
          </w:p>
        </w:tc>
        <w:tc>
          <w:tcPr>
            <w:tcW w:w="5170" w:type="dxa"/>
            <w:vAlign w:val="center"/>
          </w:tcPr>
          <w:p w14:paraId="4FC081B0">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2D1E0D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36A4C34">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19AFE33B">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第15.1款</w:t>
            </w:r>
          </w:p>
        </w:tc>
        <w:tc>
          <w:tcPr>
            <w:tcW w:w="1742" w:type="dxa"/>
            <w:vAlign w:val="center"/>
          </w:tcPr>
          <w:p w14:paraId="755A6960">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修理、重作、更换相关具体规定</w:t>
            </w:r>
          </w:p>
        </w:tc>
        <w:tc>
          <w:tcPr>
            <w:tcW w:w="5170" w:type="dxa"/>
            <w:vAlign w:val="center"/>
          </w:tcPr>
          <w:p w14:paraId="388CA48A">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w:t>
            </w:r>
          </w:p>
        </w:tc>
      </w:tr>
      <w:tr w14:paraId="7C7F06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5D8B366">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5EB7974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第15.2（2）项</w:t>
            </w:r>
          </w:p>
        </w:tc>
        <w:tc>
          <w:tcPr>
            <w:tcW w:w="1742" w:type="dxa"/>
            <w:vAlign w:val="center"/>
          </w:tcPr>
          <w:p w14:paraId="0538608A">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迟延交货赔偿费</w:t>
            </w:r>
          </w:p>
        </w:tc>
        <w:tc>
          <w:tcPr>
            <w:tcW w:w="5170" w:type="dxa"/>
            <w:vAlign w:val="center"/>
          </w:tcPr>
          <w:p w14:paraId="0E5C1325">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rPr>
              <w:t>1、乙方不能交货（超过交货期限的交货，视为不能交货），或交货不合格从而影响甲方按期正常使用的，应向甲方偿付合同总价款5%的违约金，违约金不足以补偿损失的，甲方有权要求乙方补足。</w:t>
            </w:r>
          </w:p>
          <w:p w14:paraId="2C3924E3">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ascii="仿宋" w:hAnsi="仿宋" w:eastAsia="仿宋"/>
                <w:szCs w:val="21"/>
              </w:rPr>
              <w:t>2</w:t>
            </w:r>
            <w:r>
              <w:rPr>
                <w:rFonts w:hint="eastAsia" w:ascii="仿宋" w:hAnsi="仿宋" w:eastAsia="仿宋"/>
                <w:szCs w:val="21"/>
              </w:rPr>
              <w:t>、乙方逾期交货的，应在发货前与甲方和采购管理部门协商，甲方仍需求的，乙方应立即发货，按照合同总价款的每天万分之四支付逾期交货违约金,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p>
        </w:tc>
      </w:tr>
      <w:tr w14:paraId="03D6FA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250954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1F216E4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第15.3款</w:t>
            </w:r>
          </w:p>
        </w:tc>
        <w:tc>
          <w:tcPr>
            <w:tcW w:w="1742" w:type="dxa"/>
            <w:vAlign w:val="center"/>
          </w:tcPr>
          <w:p w14:paraId="72C2DF9B">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逾期付款利息</w:t>
            </w:r>
          </w:p>
        </w:tc>
        <w:tc>
          <w:tcPr>
            <w:tcW w:w="5170" w:type="dxa"/>
            <w:vAlign w:val="center"/>
          </w:tcPr>
          <w:p w14:paraId="79DE8B0E">
            <w:pPr>
              <w:keepNext w:val="0"/>
              <w:keepLines w:val="0"/>
              <w:pageBreakBefore w:val="0"/>
              <w:kinsoku/>
              <w:wordWrap/>
              <w:overflowPunct/>
              <w:topLinePunct w:val="0"/>
              <w:autoSpaceDE/>
              <w:autoSpaceDN/>
              <w:bidi w:val="0"/>
              <w:spacing w:line="360" w:lineRule="auto"/>
              <w:textAlignment w:val="auto"/>
              <w:rPr>
                <w:rFonts w:ascii="仿宋" w:hAnsi="仿宋" w:eastAsia="仿宋"/>
                <w:szCs w:val="21"/>
                <w:u w:val="single"/>
              </w:rPr>
            </w:pPr>
            <w:r>
              <w:rPr>
                <w:rFonts w:hint="eastAsia" w:ascii="仿宋" w:hAnsi="仿宋" w:eastAsia="仿宋"/>
                <w:szCs w:val="21"/>
                <w:u w:val="single"/>
              </w:rPr>
              <w:t>/</w:t>
            </w:r>
          </w:p>
        </w:tc>
      </w:tr>
      <w:tr w14:paraId="7FC965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056C87C3">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262FF16E">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第15.4款</w:t>
            </w:r>
          </w:p>
        </w:tc>
        <w:tc>
          <w:tcPr>
            <w:tcW w:w="1742" w:type="dxa"/>
            <w:tcBorders>
              <w:left w:val="single" w:color="auto" w:sz="2" w:space="0"/>
              <w:bottom w:val="single" w:color="auto" w:sz="2" w:space="0"/>
              <w:right w:val="single" w:color="auto" w:sz="2" w:space="0"/>
            </w:tcBorders>
            <w:vAlign w:val="center"/>
          </w:tcPr>
          <w:p w14:paraId="520A9462">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其他违约责任</w:t>
            </w:r>
          </w:p>
        </w:tc>
        <w:tc>
          <w:tcPr>
            <w:tcW w:w="5170" w:type="dxa"/>
            <w:tcBorders>
              <w:left w:val="single" w:color="auto" w:sz="2" w:space="0"/>
              <w:bottom w:val="single" w:color="auto" w:sz="2" w:space="0"/>
            </w:tcBorders>
            <w:vAlign w:val="center"/>
          </w:tcPr>
          <w:p w14:paraId="72D2176F">
            <w:pPr>
              <w:keepNext w:val="0"/>
              <w:keepLines w:val="0"/>
              <w:pageBreakBefore w:val="0"/>
              <w:kinsoku/>
              <w:wordWrap/>
              <w:overflowPunct/>
              <w:topLinePunct w:val="0"/>
              <w:autoSpaceDE/>
              <w:autoSpaceDN/>
              <w:bidi w:val="0"/>
              <w:spacing w:line="360" w:lineRule="auto"/>
              <w:textAlignment w:val="auto"/>
              <w:rPr>
                <w:rFonts w:ascii="仿宋" w:hAnsi="仿宋" w:eastAsia="仿宋"/>
                <w:szCs w:val="21"/>
                <w:u w:val="single"/>
              </w:rPr>
            </w:pPr>
            <w:r>
              <w:rPr>
                <w:rFonts w:hint="eastAsia" w:ascii="仿宋" w:hAnsi="仿宋" w:eastAsia="仿宋"/>
                <w:szCs w:val="21"/>
                <w:u w:val="single"/>
              </w:rPr>
              <w:t>/</w:t>
            </w:r>
          </w:p>
        </w:tc>
      </w:tr>
      <w:tr w14:paraId="58AA93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2B37830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1DC6FB98">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第19.2款</w:t>
            </w:r>
          </w:p>
        </w:tc>
        <w:tc>
          <w:tcPr>
            <w:tcW w:w="1742" w:type="dxa"/>
            <w:tcBorders>
              <w:top w:val="single" w:color="auto" w:sz="2" w:space="0"/>
              <w:left w:val="single" w:color="auto" w:sz="2" w:space="0"/>
              <w:right w:val="single" w:color="auto" w:sz="2" w:space="0"/>
            </w:tcBorders>
            <w:vAlign w:val="center"/>
          </w:tcPr>
          <w:p w14:paraId="4B641E42">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szCs w:val="21"/>
              </w:rPr>
              <w:t>解决争议的方法</w:t>
            </w:r>
          </w:p>
        </w:tc>
        <w:tc>
          <w:tcPr>
            <w:tcW w:w="5170" w:type="dxa"/>
            <w:tcBorders>
              <w:top w:val="single" w:color="auto" w:sz="2" w:space="0"/>
              <w:left w:val="single" w:color="auto" w:sz="2" w:space="0"/>
            </w:tcBorders>
            <w:vAlign w:val="center"/>
          </w:tcPr>
          <w:p w14:paraId="4C7986A2">
            <w:pPr>
              <w:keepNext w:val="0"/>
              <w:keepLines w:val="0"/>
              <w:pageBreakBefore w:val="0"/>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iCs/>
                <w:szCs w:val="21"/>
              </w:rPr>
              <w:t>因本合同及合同有关事项发生的争议，按下列第</w:t>
            </w:r>
            <w:r>
              <w:rPr>
                <w:rFonts w:hint="eastAsia" w:ascii="仿宋" w:hAnsi="仿宋" w:eastAsia="仿宋"/>
                <w:iCs/>
                <w:szCs w:val="21"/>
                <w:u w:val="single"/>
              </w:rPr>
              <w:t xml:space="preserve"> </w:t>
            </w:r>
            <w:r>
              <w:rPr>
                <w:rFonts w:ascii="仿宋" w:hAnsi="仿宋" w:eastAsia="仿宋"/>
                <w:iCs/>
                <w:szCs w:val="21"/>
                <w:u w:val="single"/>
              </w:rPr>
              <w:t xml:space="preserve">2 </w:t>
            </w:r>
            <w:r>
              <w:rPr>
                <w:rFonts w:hint="eastAsia" w:ascii="仿宋" w:hAnsi="仿宋" w:eastAsia="仿宋"/>
                <w:iCs/>
                <w:szCs w:val="21"/>
              </w:rPr>
              <w:t>种方式解决：</w:t>
            </w:r>
          </w:p>
          <w:p w14:paraId="33410DA2">
            <w:pPr>
              <w:keepNext w:val="0"/>
              <w:keepLines w:val="0"/>
              <w:pageBreakBefore w:val="0"/>
              <w:kinsoku/>
              <w:wordWrap/>
              <w:overflowPunct/>
              <w:topLinePunct w:val="0"/>
              <w:autoSpaceDE/>
              <w:autoSpaceDN/>
              <w:bidi w:val="0"/>
              <w:spacing w:line="360" w:lineRule="auto"/>
              <w:textAlignment w:val="auto"/>
              <w:rPr>
                <w:rFonts w:ascii="仿宋" w:hAnsi="仿宋" w:eastAsia="仿宋"/>
                <w:iCs/>
                <w:szCs w:val="21"/>
              </w:rPr>
            </w:pPr>
            <w:r>
              <w:rPr>
                <w:rFonts w:hint="eastAsia" w:ascii="仿宋" w:hAnsi="仿宋" w:eastAsia="仿宋"/>
                <w:iCs/>
                <w:szCs w:val="21"/>
              </w:rPr>
              <w:t>（1）向</w:t>
            </w:r>
            <w:r>
              <w:rPr>
                <w:rFonts w:hint="eastAsia" w:ascii="仿宋" w:hAnsi="仿宋" w:eastAsia="仿宋"/>
                <w:iCs/>
                <w:szCs w:val="21"/>
                <w:u w:val="single"/>
              </w:rPr>
              <w:t xml:space="preserve">     </w:t>
            </w:r>
            <w:r>
              <w:rPr>
                <w:rFonts w:ascii="仿宋" w:hAnsi="仿宋" w:eastAsia="仿宋"/>
                <w:iCs/>
                <w:szCs w:val="21"/>
                <w:u w:val="single"/>
              </w:rPr>
              <w:t>/</w:t>
            </w:r>
            <w:r>
              <w:rPr>
                <w:rFonts w:hint="eastAsia" w:ascii="仿宋" w:hAnsi="仿宋" w:eastAsia="仿宋"/>
                <w:iCs/>
                <w:szCs w:val="21"/>
                <w:u w:val="single"/>
              </w:rPr>
              <w:t xml:space="preserve">       </w:t>
            </w:r>
            <w:r>
              <w:rPr>
                <w:rFonts w:hint="eastAsia" w:ascii="仿宋" w:hAnsi="仿宋" w:eastAsia="仿宋"/>
                <w:iCs/>
                <w:szCs w:val="21"/>
              </w:rPr>
              <w:t>仲裁委员会申请仲裁，仲裁地点为</w:t>
            </w:r>
            <w:r>
              <w:rPr>
                <w:rFonts w:hint="eastAsia" w:ascii="仿宋" w:hAnsi="仿宋" w:eastAsia="仿宋"/>
                <w:iCs/>
                <w:szCs w:val="21"/>
                <w:u w:val="single"/>
              </w:rPr>
              <w:t xml:space="preserve">   </w:t>
            </w:r>
            <w:r>
              <w:rPr>
                <w:rFonts w:ascii="仿宋" w:hAnsi="仿宋" w:eastAsia="仿宋"/>
                <w:iCs/>
                <w:szCs w:val="21"/>
                <w:u w:val="single"/>
              </w:rPr>
              <w:t>/</w:t>
            </w:r>
            <w:r>
              <w:rPr>
                <w:rFonts w:hint="eastAsia" w:ascii="仿宋" w:hAnsi="仿宋" w:eastAsia="仿宋"/>
                <w:iCs/>
                <w:szCs w:val="21"/>
                <w:u w:val="single"/>
              </w:rPr>
              <w:t xml:space="preserve">    </w:t>
            </w:r>
            <w:r>
              <w:rPr>
                <w:rFonts w:hint="eastAsia" w:ascii="仿宋" w:hAnsi="仿宋" w:eastAsia="仿宋"/>
                <w:iCs/>
                <w:szCs w:val="21"/>
              </w:rPr>
              <w:t>；</w:t>
            </w:r>
          </w:p>
          <w:p w14:paraId="6DF60AB7">
            <w:pPr>
              <w:keepNext w:val="0"/>
              <w:keepLines w:val="0"/>
              <w:pageBreakBefore w:val="0"/>
              <w:kinsoku/>
              <w:wordWrap/>
              <w:overflowPunct/>
              <w:topLinePunct w:val="0"/>
              <w:autoSpaceDE/>
              <w:autoSpaceDN/>
              <w:bidi w:val="0"/>
              <w:spacing w:line="360" w:lineRule="auto"/>
              <w:textAlignment w:val="auto"/>
              <w:rPr>
                <w:rFonts w:ascii="仿宋" w:hAnsi="仿宋" w:eastAsia="仿宋"/>
                <w:szCs w:val="21"/>
                <w:u w:val="single"/>
              </w:rPr>
            </w:pPr>
            <w:r>
              <w:rPr>
                <w:rFonts w:hint="eastAsia" w:ascii="仿宋" w:hAnsi="仿宋" w:eastAsia="仿宋"/>
                <w:iCs/>
                <w:szCs w:val="21"/>
              </w:rPr>
              <w:t>（2）向</w:t>
            </w:r>
            <w:r>
              <w:rPr>
                <w:rFonts w:hint="eastAsia" w:ascii="仿宋" w:hAnsi="仿宋" w:eastAsia="仿宋"/>
                <w:iCs/>
                <w:szCs w:val="21"/>
                <w:u w:val="single"/>
              </w:rPr>
              <w:t xml:space="preserve">   太仓市    </w:t>
            </w:r>
            <w:r>
              <w:rPr>
                <w:rFonts w:hint="eastAsia" w:ascii="仿宋" w:hAnsi="仿宋" w:eastAsia="仿宋"/>
                <w:iCs/>
                <w:szCs w:val="21"/>
              </w:rPr>
              <w:t>人民法院起诉。</w:t>
            </w:r>
          </w:p>
        </w:tc>
      </w:tr>
      <w:tr w14:paraId="4F447E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70496AE0">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第二节</w:t>
            </w:r>
          </w:p>
          <w:p w14:paraId="489D911D">
            <w:pPr>
              <w:keepNext w:val="0"/>
              <w:keepLines w:val="0"/>
              <w:pageBreakBefore w:val="0"/>
              <w:kinsoku/>
              <w:wordWrap/>
              <w:overflowPunct/>
              <w:topLinePunct w:val="0"/>
              <w:autoSpaceDE/>
              <w:autoSpaceDN/>
              <w:bidi w:val="0"/>
              <w:spacing w:line="360" w:lineRule="auto"/>
              <w:jc w:val="center"/>
              <w:textAlignment w:val="auto"/>
              <w:rPr>
                <w:rFonts w:ascii="仿宋" w:hAnsi="仿宋" w:eastAsia="仿宋"/>
                <w:szCs w:val="21"/>
              </w:rPr>
            </w:pPr>
            <w:r>
              <w:rPr>
                <w:rFonts w:hint="eastAsia" w:ascii="仿宋" w:hAnsi="仿宋" w:eastAsia="仿宋"/>
                <w:szCs w:val="21"/>
              </w:rPr>
              <w:t>第23.1款</w:t>
            </w:r>
          </w:p>
        </w:tc>
        <w:tc>
          <w:tcPr>
            <w:tcW w:w="1742" w:type="dxa"/>
            <w:vAlign w:val="center"/>
          </w:tcPr>
          <w:p w14:paraId="51F2C3C1">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hint="eastAsia" w:ascii="仿宋" w:hAnsi="仿宋" w:eastAsia="仿宋"/>
                <w:bCs/>
                <w:szCs w:val="21"/>
              </w:rPr>
              <w:t>其他专用条款</w:t>
            </w:r>
            <w:bookmarkEnd w:id="25"/>
            <w:bookmarkEnd w:id="26"/>
            <w:bookmarkEnd w:id="27"/>
            <w:bookmarkEnd w:id="28"/>
          </w:p>
        </w:tc>
        <w:tc>
          <w:tcPr>
            <w:tcW w:w="5170" w:type="dxa"/>
            <w:vAlign w:val="center"/>
          </w:tcPr>
          <w:p w14:paraId="23CECEFF">
            <w:pPr>
              <w:keepNext w:val="0"/>
              <w:keepLines w:val="0"/>
              <w:pageBreakBefore w:val="0"/>
              <w:kinsoku/>
              <w:wordWrap/>
              <w:overflowPunct/>
              <w:topLinePunct w:val="0"/>
              <w:autoSpaceDE/>
              <w:autoSpaceDN/>
              <w:bidi w:val="0"/>
              <w:spacing w:line="360" w:lineRule="auto"/>
              <w:textAlignment w:val="auto"/>
              <w:rPr>
                <w:rFonts w:ascii="仿宋" w:hAnsi="仿宋" w:eastAsia="仿宋"/>
                <w:szCs w:val="21"/>
              </w:rPr>
            </w:pPr>
            <w:r>
              <w:rPr>
                <w:rFonts w:ascii="仿宋" w:hAnsi="仿宋" w:eastAsia="仿宋"/>
                <w:szCs w:val="21"/>
              </w:rPr>
              <w:t>/</w:t>
            </w:r>
          </w:p>
        </w:tc>
      </w:tr>
    </w:tbl>
    <w:p w14:paraId="0A2132F9">
      <w:pPr>
        <w:keepNext w:val="0"/>
        <w:keepLines w:val="0"/>
        <w:pageBreakBefore w:val="0"/>
        <w:kinsoku/>
        <w:wordWrap/>
        <w:overflowPunct/>
        <w:topLinePunct w:val="0"/>
        <w:autoSpaceDE/>
        <w:autoSpaceDN/>
        <w:bidi w:val="0"/>
        <w:spacing w:line="360" w:lineRule="auto"/>
        <w:textAlignment w:val="auto"/>
        <w:rPr>
          <w:rFonts w:ascii="仿宋" w:hAnsi="仿宋" w:eastAsia="仿宋"/>
        </w:rPr>
      </w:pPr>
    </w:p>
    <w:p w14:paraId="118D1423">
      <w:pPr>
        <w:spacing w:line="242" w:lineRule="auto"/>
        <w:ind w:left="470" w:right="757"/>
        <w:jc w:val="center"/>
        <w:rPr>
          <w:rFonts w:hAnsi="宋体"/>
          <w:sz w:val="24"/>
          <w:szCs w:val="24"/>
        </w:rPr>
      </w:pPr>
    </w:p>
    <w:sectPr>
      <w:pgSz w:w="11910" w:h="16840"/>
      <w:pgMar w:top="1360" w:right="800" w:bottom="1180" w:left="1080" w:header="880" w:footer="99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DengXian">
    <w:altName w:val="宋体"/>
    <w:panose1 w:val="02010600030101010101"/>
    <w:charset w:val="86"/>
    <w:family w:val="auto"/>
    <w:pitch w:val="default"/>
    <w:sig w:usb0="00000000" w:usb1="00000000" w:usb2="00000016" w:usb3="00000000" w:csb0="0004000F" w:csb1="00000000"/>
  </w:font>
  <w:font w:name="宋体ラ...">
    <w:altName w:val="宋体"/>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 w:name="华文楷体">
    <w:altName w:val="宋体"/>
    <w:panose1 w:val="00000000000000000000"/>
    <w:charset w:val="00"/>
    <w:family w:val="auto"/>
    <w:pitch w:val="default"/>
    <w:sig w:usb0="00000000" w:usb1="00000000" w:usb2="00000000" w:usb3="00000000" w:csb0="00000000" w:csb1="00000000"/>
  </w:font>
  <w:font w:name="FZXiaoBiaoSong-B05S">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swiss"/>
    <w:pitch w:val="default"/>
    <w:sig w:usb0="900002AF" w:usb1="01D77CFB" w:usb2="00000012" w:usb3="00000000" w:csb0="00080001" w:csb1="00000000"/>
  </w:font>
  <w:font w:name="Wingdings 2">
    <w:altName w:val="Wingdings"/>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06F" w:usb1="1200FBEF" w:usb2="0064C000" w:usb3="00000002" w:csb0="00000001" w:csb1="40000000"/>
  </w:font>
  <w:font w:name="Arial">
    <w:panose1 w:val="020B0604020202020204"/>
    <w:charset w:val="00"/>
    <w:family w:val="auto"/>
    <w:pitch w:val="default"/>
    <w:sig w:usb0="E0002AFF" w:usb1="C0007843" w:usb2="00000009" w:usb3="00000000" w:csb0="400001FF" w:csb1="FFFF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FDA53">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505D10">
                          <w:pPr>
                            <w:pStyle w:val="25"/>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p w14:paraId="3965C0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505D10">
                    <w:pPr>
                      <w:pStyle w:val="25"/>
                      <w:jc w:val="center"/>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p w14:paraId="3965C0A1"/>
                </w:txbxContent>
              </v:textbox>
            </v:shape>
          </w:pict>
        </mc:Fallback>
      </mc:AlternateContent>
    </w:r>
  </w:p>
  <w:p w14:paraId="2B0C7BEA">
    <w:pPr>
      <w:pStyle w:val="16"/>
      <w:spacing w:before="0" w:line="14" w:lineRule="auto"/>
      <w:ind w:left="0"/>
      <w:rPr>
        <w:rFonts w:ascii="Times New Roman" w:eastAsia="DengXian"/>
        <w:szCs w:val="20"/>
      </w:rPr>
    </w:pPr>
  </w:p>
  <w:p w14:paraId="17EEB319">
    <w:pPr>
      <w:pStyle w:val="16"/>
      <w:spacing w:before="0" w:line="14" w:lineRule="auto"/>
      <w:ind w:left="0"/>
      <w:rPr>
        <w:rFonts w:ascii="Times New Roman" w:eastAsia="DengXian"/>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03E1">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03AB401D">
                          <w:pPr>
                            <w:pStyle w:val="25"/>
                            <w:jc w:val="center"/>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p w14:paraId="66755E1A"/>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60288;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0+a3NQAAAAEAQAADwAAAAAAAAABACAAAAAiAAAAZHJzL2Rv&#10;d25yZXYueG1sUEsBAhQAFAAAAAgAh07iQBbiUKvMAQAAjgMAAA4AAAAAAAAAAQAgAAAAIwEAAGRy&#10;cy9lMm9Eb2MueG1sUEsFBgAAAAAGAAYAWQEAAGEFAAAAAA==&#10;">
              <v:fill on="f" focussize="0,0"/>
              <v:stroke on="f"/>
              <v:imagedata o:title=""/>
              <o:lock v:ext="edit" aspectratio="f"/>
              <v:textbox inset="0mm,0mm,0mm,0mm">
                <w:txbxContent>
                  <w:p w14:paraId="03AB401D">
                    <w:pPr>
                      <w:pStyle w:val="25"/>
                      <w:jc w:val="center"/>
                    </w:pPr>
                    <w:r>
                      <w:t xml:space="preserve">第 </w:t>
                    </w:r>
                    <w:r>
                      <w:fldChar w:fldCharType="begin"/>
                    </w:r>
                    <w:r>
                      <w:instrText xml:space="preserve"> PAGE  \* MERGEFORMAT </w:instrText>
                    </w:r>
                    <w:r>
                      <w:fldChar w:fldCharType="separate"/>
                    </w:r>
                    <w:r>
                      <w:t>40</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p>
                  <w:p w14:paraId="66755E1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EE1D4">
    <w:pPr>
      <w:pStyle w:val="25"/>
      <w:jc w:val="center"/>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77</w:t>
    </w:r>
    <w:r>
      <w:fldChar w:fldCharType="end"/>
    </w:r>
    <w:r>
      <w:t xml:space="preserve"> 页</w: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8D57AD">
                          <w:pPr>
                            <w:pStyle w:val="25"/>
                            <w:tabs>
                              <w:tab w:val="clear" w:pos="4153"/>
                              <w:tab w:val="clear" w:pos="8306"/>
                            </w:tabs>
                          </w:pP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yosK9MBAACn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SYpnBgV9+fL/8/H359Y28&#10;S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ByosK9MBAACnAwAADgAAAAAAAAABACAAAAAeAQAA&#10;ZHJzL2Uyb0RvYy54bWxQSwUGAAAAAAYABgBZAQAAYwUAAAAA&#10;">
              <v:fill on="f" focussize="0,0"/>
              <v:stroke on="f"/>
              <v:imagedata o:title=""/>
              <o:lock v:ext="edit" aspectratio="f"/>
              <v:textbox inset="0mm,0mm,0mm,0mm" style="mso-fit-shape-to-text:t;">
                <w:txbxContent>
                  <w:p w14:paraId="378D57AD">
                    <w:pPr>
                      <w:pStyle w:val="25"/>
                      <w:tabs>
                        <w:tab w:val="clear" w:pos="4153"/>
                        <w:tab w:val="clear" w:pos="8306"/>
                      </w:tabs>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DFEC6">
    <w:pPr>
      <w:pStyle w:val="2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6A578">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8CC83">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5686E">
    <w:pPr>
      <w:pStyle w:val="2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1B05A"/>
    <w:multiLevelType w:val="singleLevel"/>
    <w:tmpl w:val="B2F1B05A"/>
    <w:lvl w:ilvl="0" w:tentative="0">
      <w:start w:val="2"/>
      <w:numFmt w:val="chineseCounting"/>
      <w:suff w:val="nothing"/>
      <w:lvlText w:val="（%1）"/>
      <w:lvlJc w:val="left"/>
      <w:rPr>
        <w:rFonts w:hint="eastAsia"/>
      </w:rPr>
    </w:lvl>
  </w:abstractNum>
  <w:abstractNum w:abstractNumId="1">
    <w:nsid w:val="DAC6B630"/>
    <w:multiLevelType w:val="multilevel"/>
    <w:tmpl w:val="DAC6B630"/>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FB5BF1D"/>
    <w:multiLevelType w:val="multilevel"/>
    <w:tmpl w:val="EFB5BF1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84684FF"/>
    <w:multiLevelType w:val="multilevel"/>
    <w:tmpl w:val="F84684F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04BE9A7"/>
    <w:multiLevelType w:val="multilevel"/>
    <w:tmpl w:val="104BE9A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43E29EB"/>
    <w:multiLevelType w:val="multilevel"/>
    <w:tmpl w:val="243E29E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9F08654"/>
    <w:multiLevelType w:val="multilevel"/>
    <w:tmpl w:val="29F08654"/>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4A4A375E"/>
    <w:multiLevelType w:val="multilevel"/>
    <w:tmpl w:val="4A4A375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1675C10"/>
    <w:multiLevelType w:val="multilevel"/>
    <w:tmpl w:val="71675C10"/>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4A7ED6B"/>
    <w:multiLevelType w:val="multilevel"/>
    <w:tmpl w:val="74A7ED6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1"/>
  </w:num>
  <w:num w:numId="5">
    <w:abstractNumId w:val="4"/>
  </w:num>
  <w:num w:numId="6">
    <w:abstractNumId w:val="9"/>
  </w:num>
  <w:num w:numId="7">
    <w:abstractNumId w:val="7"/>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CEE"/>
    <w:rsid w:val="004821C7"/>
    <w:rsid w:val="0069204D"/>
    <w:rsid w:val="007D33AA"/>
    <w:rsid w:val="007E78B7"/>
    <w:rsid w:val="00B57DDD"/>
    <w:rsid w:val="00CB1CEE"/>
    <w:rsid w:val="024D0F2E"/>
    <w:rsid w:val="059A4635"/>
    <w:rsid w:val="07A12E9F"/>
    <w:rsid w:val="07CC0694"/>
    <w:rsid w:val="082E7759"/>
    <w:rsid w:val="0A7F346C"/>
    <w:rsid w:val="0B3B6B90"/>
    <w:rsid w:val="11D86F98"/>
    <w:rsid w:val="155A1B85"/>
    <w:rsid w:val="16565924"/>
    <w:rsid w:val="1C5E39B1"/>
    <w:rsid w:val="1FF2092F"/>
    <w:rsid w:val="22307864"/>
    <w:rsid w:val="22C25FF7"/>
    <w:rsid w:val="23A245C8"/>
    <w:rsid w:val="29D37560"/>
    <w:rsid w:val="2AB27559"/>
    <w:rsid w:val="2D1A2144"/>
    <w:rsid w:val="2E913546"/>
    <w:rsid w:val="31BB4F42"/>
    <w:rsid w:val="328431B1"/>
    <w:rsid w:val="372709D9"/>
    <w:rsid w:val="3DC01751"/>
    <w:rsid w:val="3EFF1A9C"/>
    <w:rsid w:val="430B014C"/>
    <w:rsid w:val="451915A9"/>
    <w:rsid w:val="47D34659"/>
    <w:rsid w:val="4A5A4C2D"/>
    <w:rsid w:val="4A5C2011"/>
    <w:rsid w:val="4B1132B6"/>
    <w:rsid w:val="4F2A0756"/>
    <w:rsid w:val="51251B1C"/>
    <w:rsid w:val="51314964"/>
    <w:rsid w:val="53193986"/>
    <w:rsid w:val="5514640E"/>
    <w:rsid w:val="586A1EAA"/>
    <w:rsid w:val="5886561A"/>
    <w:rsid w:val="5B050B05"/>
    <w:rsid w:val="5C9B67BA"/>
    <w:rsid w:val="65637313"/>
    <w:rsid w:val="6B8630D0"/>
    <w:rsid w:val="6E42248A"/>
    <w:rsid w:val="6EF44796"/>
    <w:rsid w:val="6EFD4C28"/>
    <w:rsid w:val="70B87038"/>
    <w:rsid w:val="70CF55F6"/>
    <w:rsid w:val="7743412F"/>
    <w:rsid w:val="7CDF1272"/>
    <w:rsid w:val="7CEE2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Times New Roman" w:eastAsia="宋体" w:cs="宋体"/>
      <w:sz w:val="22"/>
      <w:szCs w:val="22"/>
      <w:lang w:val="en-US" w:eastAsia="zh-CN" w:bidi="ar-SA"/>
    </w:rPr>
  </w:style>
  <w:style w:type="paragraph" w:styleId="2">
    <w:name w:val="heading 1"/>
    <w:basedOn w:val="1"/>
    <w:next w:val="1"/>
    <w:link w:val="71"/>
    <w:qFormat/>
    <w:uiPriority w:val="1"/>
    <w:pPr>
      <w:ind w:right="406"/>
      <w:jc w:val="center"/>
      <w:outlineLvl w:val="0"/>
    </w:pPr>
    <w:rPr>
      <w:rFonts w:cs="Times New Roman"/>
      <w:b/>
      <w:bCs/>
      <w:sz w:val="72"/>
      <w:szCs w:val="72"/>
    </w:rPr>
  </w:style>
  <w:style w:type="paragraph" w:styleId="3">
    <w:name w:val="heading 2"/>
    <w:basedOn w:val="1"/>
    <w:next w:val="1"/>
    <w:link w:val="72"/>
    <w:qFormat/>
    <w:uiPriority w:val="0"/>
    <w:pPr>
      <w:spacing w:before="26"/>
      <w:ind w:left="2791"/>
      <w:outlineLvl w:val="1"/>
    </w:pPr>
    <w:rPr>
      <w:rFonts w:cs="Times New Roman"/>
      <w:b/>
      <w:bCs/>
      <w:sz w:val="44"/>
      <w:szCs w:val="44"/>
    </w:rPr>
  </w:style>
  <w:style w:type="paragraph" w:styleId="4">
    <w:name w:val="heading 3"/>
    <w:basedOn w:val="1"/>
    <w:next w:val="1"/>
    <w:link w:val="73"/>
    <w:qFormat/>
    <w:uiPriority w:val="1"/>
    <w:pPr>
      <w:spacing w:before="1"/>
      <w:ind w:left="909"/>
      <w:outlineLvl w:val="2"/>
    </w:pPr>
    <w:rPr>
      <w:rFonts w:cs="Times New Roman"/>
      <w:b/>
      <w:bCs/>
      <w:sz w:val="36"/>
      <w:szCs w:val="36"/>
    </w:rPr>
  </w:style>
  <w:style w:type="paragraph" w:styleId="5">
    <w:name w:val="heading 4"/>
    <w:basedOn w:val="1"/>
    <w:next w:val="1"/>
    <w:link w:val="74"/>
    <w:qFormat/>
    <w:uiPriority w:val="1"/>
    <w:pPr>
      <w:outlineLvl w:val="3"/>
    </w:pPr>
    <w:rPr>
      <w:rFonts w:cs="Times New Roman"/>
      <w:b/>
      <w:bCs/>
      <w:sz w:val="32"/>
      <w:szCs w:val="32"/>
    </w:rPr>
  </w:style>
  <w:style w:type="paragraph" w:styleId="6">
    <w:name w:val="heading 5"/>
    <w:basedOn w:val="1"/>
    <w:next w:val="1"/>
    <w:link w:val="75"/>
    <w:qFormat/>
    <w:uiPriority w:val="1"/>
    <w:pPr>
      <w:ind w:left="847"/>
      <w:outlineLvl w:val="4"/>
    </w:pPr>
    <w:rPr>
      <w:rFonts w:cs="Times New Roman"/>
      <w:sz w:val="24"/>
      <w:szCs w:val="24"/>
    </w:rPr>
  </w:style>
  <w:style w:type="paragraph" w:styleId="7">
    <w:name w:val="heading 6"/>
    <w:basedOn w:val="1"/>
    <w:next w:val="1"/>
    <w:link w:val="76"/>
    <w:qFormat/>
    <w:uiPriority w:val="1"/>
    <w:pPr>
      <w:ind w:left="367"/>
      <w:outlineLvl w:val="5"/>
    </w:pPr>
    <w:rPr>
      <w:rFonts w:cs="Times New Roman"/>
      <w:b/>
      <w:bCs/>
      <w:sz w:val="20"/>
      <w:szCs w:val="21"/>
    </w:rPr>
  </w:style>
  <w:style w:type="paragraph" w:styleId="8">
    <w:name w:val="heading 7"/>
    <w:basedOn w:val="1"/>
    <w:next w:val="1"/>
    <w:link w:val="77"/>
    <w:unhideWhenUsed/>
    <w:qFormat/>
    <w:uiPriority w:val="9"/>
    <w:pPr>
      <w:keepNext/>
      <w:keepLines/>
      <w:spacing w:before="320" w:after="200"/>
      <w:outlineLvl w:val="6"/>
    </w:pPr>
    <w:rPr>
      <w:rFonts w:ascii="Arial" w:hAnsi="Arial" w:eastAsia="Arial" w:cs="Arial"/>
      <w:b/>
      <w:bCs/>
      <w:i/>
      <w:iCs/>
    </w:rPr>
  </w:style>
  <w:style w:type="paragraph" w:styleId="9">
    <w:name w:val="heading 8"/>
    <w:basedOn w:val="1"/>
    <w:next w:val="1"/>
    <w:link w:val="78"/>
    <w:unhideWhenUsed/>
    <w:qFormat/>
    <w:uiPriority w:val="9"/>
    <w:pPr>
      <w:keepNext/>
      <w:keepLines/>
      <w:spacing w:before="320" w:after="200"/>
      <w:outlineLvl w:val="7"/>
    </w:pPr>
    <w:rPr>
      <w:rFonts w:ascii="Arial" w:hAnsi="Arial" w:eastAsia="Arial" w:cs="Arial"/>
      <w:i/>
      <w:iCs/>
    </w:rPr>
  </w:style>
  <w:style w:type="paragraph" w:styleId="10">
    <w:name w:val="heading 9"/>
    <w:basedOn w:val="1"/>
    <w:next w:val="1"/>
    <w:link w:val="79"/>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80"/>
    <w:qFormat/>
    <w:uiPriority w:val="0"/>
    <w:pPr>
      <w:ind w:firstLine="420"/>
    </w:pPr>
    <w:rPr>
      <w:rFonts w:ascii="Times New Roman" w:eastAsia="楷体_GB2312" w:cs="Times New Roman"/>
      <w:sz w:val="21"/>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81"/>
    <w:qFormat/>
    <w:uiPriority w:val="99"/>
    <w:pPr>
      <w:framePr w:wrap="around" w:vAnchor="margin" w:hAnchor="text" w:y="1"/>
      <w:widowControl/>
    </w:pPr>
    <w:rPr>
      <w:rFonts w:eastAsia="Arial Unicode MS" w:cs="Times New Roman"/>
      <w:sz w:val="18"/>
      <w:szCs w:val="18"/>
      <w:lang w:eastAsia="en-US"/>
    </w:rPr>
  </w:style>
  <w:style w:type="paragraph" w:styleId="15">
    <w:name w:val="annotation text"/>
    <w:basedOn w:val="1"/>
    <w:link w:val="82"/>
    <w:qFormat/>
    <w:uiPriority w:val="0"/>
    <w:rPr>
      <w:rFonts w:ascii="Calibri" w:hAnsi="Calibri" w:cs="Times New Roman"/>
      <w:sz w:val="20"/>
      <w:szCs w:val="20"/>
    </w:rPr>
  </w:style>
  <w:style w:type="paragraph" w:styleId="16">
    <w:name w:val="Body Text"/>
    <w:basedOn w:val="1"/>
    <w:link w:val="83"/>
    <w:qFormat/>
    <w:uiPriority w:val="0"/>
    <w:pPr>
      <w:spacing w:before="132"/>
      <w:ind w:left="367"/>
    </w:pPr>
    <w:rPr>
      <w:rFonts w:cs="Times New Roman"/>
      <w:sz w:val="20"/>
      <w:szCs w:val="21"/>
    </w:rPr>
  </w:style>
  <w:style w:type="paragraph" w:styleId="17">
    <w:name w:val="Body Text Indent"/>
    <w:basedOn w:val="1"/>
    <w:link w:val="84"/>
    <w:unhideWhenUsed/>
    <w:qFormat/>
    <w:uiPriority w:val="0"/>
    <w:pPr>
      <w:spacing w:after="120"/>
      <w:ind w:left="420"/>
    </w:pPr>
    <w:rPr>
      <w:rFonts w:cs="Times New Roman"/>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85"/>
    <w:qFormat/>
    <w:uiPriority w:val="0"/>
    <w:pPr>
      <w:jc w:val="both"/>
    </w:pPr>
    <w:rPr>
      <w:rFonts w:hAnsi="Courier New" w:eastAsia="楷体_GB2312" w:cs="Times New Roman"/>
      <w:sz w:val="26"/>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86"/>
    <w:unhideWhenUsed/>
    <w:qFormat/>
    <w:uiPriority w:val="99"/>
    <w:pPr>
      <w:ind w:left="100"/>
    </w:pPr>
    <w:rPr>
      <w:rFonts w:cs="Times New Roman"/>
    </w:rPr>
  </w:style>
  <w:style w:type="paragraph" w:styleId="23">
    <w:name w:val="endnote text"/>
    <w:basedOn w:val="1"/>
    <w:link w:val="87"/>
    <w:semiHidden/>
    <w:unhideWhenUsed/>
    <w:qFormat/>
    <w:uiPriority w:val="99"/>
    <w:rPr>
      <w:sz w:val="20"/>
    </w:rPr>
  </w:style>
  <w:style w:type="paragraph" w:styleId="24">
    <w:name w:val="Balloon Text"/>
    <w:basedOn w:val="1"/>
    <w:link w:val="88"/>
    <w:semiHidden/>
    <w:unhideWhenUsed/>
    <w:qFormat/>
    <w:uiPriority w:val="99"/>
    <w:rPr>
      <w:sz w:val="18"/>
      <w:szCs w:val="18"/>
    </w:rPr>
  </w:style>
  <w:style w:type="paragraph" w:styleId="25">
    <w:name w:val="footer"/>
    <w:basedOn w:val="1"/>
    <w:link w:val="89"/>
    <w:unhideWhenUsed/>
    <w:qFormat/>
    <w:uiPriority w:val="99"/>
    <w:pPr>
      <w:tabs>
        <w:tab w:val="center" w:pos="4153"/>
        <w:tab w:val="right" w:pos="8306"/>
      </w:tabs>
    </w:pPr>
    <w:rPr>
      <w:rFonts w:cs="Times New Roman"/>
      <w:sz w:val="18"/>
      <w:szCs w:val="18"/>
    </w:rPr>
  </w:style>
  <w:style w:type="paragraph" w:styleId="26">
    <w:name w:val="header"/>
    <w:basedOn w:val="1"/>
    <w:link w:val="90"/>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27">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28">
    <w:name w:val="toc 4"/>
    <w:basedOn w:val="1"/>
    <w:next w:val="1"/>
    <w:unhideWhenUsed/>
    <w:qFormat/>
    <w:uiPriority w:val="39"/>
    <w:pPr>
      <w:spacing w:after="57"/>
      <w:ind w:left="850"/>
    </w:pPr>
  </w:style>
  <w:style w:type="paragraph" w:styleId="29">
    <w:name w:val="Subtitle"/>
    <w:basedOn w:val="1"/>
    <w:next w:val="1"/>
    <w:link w:val="91"/>
    <w:qFormat/>
    <w:uiPriority w:val="11"/>
    <w:pPr>
      <w:spacing w:before="200" w:after="200"/>
    </w:pPr>
    <w:rPr>
      <w:sz w:val="24"/>
      <w:szCs w:val="24"/>
    </w:rPr>
  </w:style>
  <w:style w:type="paragraph" w:styleId="30">
    <w:name w:val="footnote text"/>
    <w:basedOn w:val="1"/>
    <w:link w:val="92"/>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Body Text Indent 3"/>
    <w:basedOn w:val="1"/>
    <w:link w:val="93"/>
    <w:unhideWhenUsed/>
    <w:qFormat/>
    <w:uiPriority w:val="99"/>
    <w:pPr>
      <w:spacing w:after="120"/>
      <w:ind w:left="420"/>
    </w:pPr>
    <w:rPr>
      <w:rFonts w:cs="Times New Roman"/>
      <w:sz w:val="16"/>
      <w:szCs w:val="16"/>
    </w:r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next w:val="1"/>
    <w:link w:val="94"/>
    <w:qFormat/>
    <w:uiPriority w:val="0"/>
    <w:pPr>
      <w:jc w:val="both"/>
    </w:pPr>
    <w:rPr>
      <w:rFonts w:ascii="Times New Roman" w:cs="Times New Roman"/>
      <w:sz w:val="24"/>
      <w:szCs w:val="21"/>
    </w:rPr>
  </w:style>
  <w:style w:type="paragraph" w:styleId="37">
    <w:name w:val="Title"/>
    <w:basedOn w:val="1"/>
    <w:next w:val="1"/>
    <w:link w:val="95"/>
    <w:qFormat/>
    <w:uiPriority w:val="10"/>
    <w:pPr>
      <w:spacing w:before="300" w:after="200"/>
      <w:contextualSpacing/>
    </w:pPr>
    <w:rPr>
      <w:sz w:val="48"/>
      <w:szCs w:val="48"/>
    </w:rPr>
  </w:style>
  <w:style w:type="paragraph" w:styleId="38">
    <w:name w:val="annotation subject"/>
    <w:basedOn w:val="15"/>
    <w:next w:val="15"/>
    <w:link w:val="96"/>
    <w:unhideWhenUsed/>
    <w:qFormat/>
    <w:uiPriority w:val="99"/>
    <w:rPr>
      <w:rFonts w:ascii="宋体" w:hAnsi="Times New Roman"/>
      <w:b/>
      <w:bCs/>
      <w:sz w:val="22"/>
      <w:szCs w:val="22"/>
    </w:rPr>
  </w:style>
  <w:style w:type="paragraph" w:styleId="39">
    <w:name w:val="Body Text First Indent"/>
    <w:basedOn w:val="16"/>
    <w:link w:val="97"/>
    <w:semiHidden/>
    <w:unhideWhenUsed/>
    <w:qFormat/>
    <w:uiPriority w:val="99"/>
    <w:pPr>
      <w:spacing w:before="0" w:after="120"/>
      <w:ind w:left="0" w:firstLine="420"/>
    </w:pPr>
    <w:rPr>
      <w:rFonts w:cs="宋体"/>
      <w:sz w:val="22"/>
      <w:szCs w:val="22"/>
    </w:rPr>
  </w:style>
  <w:style w:type="paragraph" w:styleId="40">
    <w:name w:val="Body Text First Indent 2"/>
    <w:basedOn w:val="17"/>
    <w:link w:val="98"/>
    <w:semiHidden/>
    <w:unhideWhenUsed/>
    <w:qFormat/>
    <w:uiPriority w:val="99"/>
    <w:pPr>
      <w:ind w:left="200" w:firstLine="420"/>
    </w:pPr>
    <w:rPr>
      <w:rFonts w:cs="宋体"/>
      <w:szCs w:val="22"/>
    </w:rPr>
  </w:style>
  <w:style w:type="table" w:styleId="42">
    <w:name w:val="Table Grid"/>
    <w:basedOn w:val="4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qFormat/>
    <w:uiPriority w:val="22"/>
    <w:rPr>
      <w:b/>
    </w:rPr>
  </w:style>
  <w:style w:type="character" w:styleId="45">
    <w:name w:val="endnote reference"/>
    <w:semiHidden/>
    <w:unhideWhenUsed/>
    <w:qFormat/>
    <w:uiPriority w:val="99"/>
    <w:rPr>
      <w:vertAlign w:val="superscript"/>
    </w:rPr>
  </w:style>
  <w:style w:type="character" w:styleId="46">
    <w:name w:val="page number"/>
    <w:basedOn w:val="43"/>
    <w:qFormat/>
    <w:uiPriority w:val="0"/>
  </w:style>
  <w:style w:type="character" w:styleId="47">
    <w:name w:val="HTML Typewriter"/>
    <w:qFormat/>
    <w:uiPriority w:val="0"/>
    <w:rPr>
      <w:rFonts w:ascii="黑体" w:hAnsi="Courier New" w:eastAsia="黑体" w:cs="Courier New"/>
      <w:sz w:val="14"/>
      <w:szCs w:val="14"/>
      <w:lang w:val="en-US" w:eastAsia="zh-CN" w:bidi="ar-SA"/>
    </w:rPr>
  </w:style>
  <w:style w:type="character" w:styleId="48">
    <w:name w:val="Hyperlink"/>
    <w:unhideWhenUsed/>
    <w:qFormat/>
    <w:uiPriority w:val="99"/>
    <w:rPr>
      <w:color w:val="0563C1"/>
      <w:u w:val="single"/>
    </w:rPr>
  </w:style>
  <w:style w:type="character" w:styleId="49">
    <w:name w:val="annotation reference"/>
    <w:unhideWhenUsed/>
    <w:qFormat/>
    <w:uiPriority w:val="99"/>
    <w:rPr>
      <w:sz w:val="21"/>
      <w:szCs w:val="21"/>
    </w:rPr>
  </w:style>
  <w:style w:type="character" w:styleId="50">
    <w:name w:val="footnote reference"/>
    <w:unhideWhenUsed/>
    <w:qFormat/>
    <w:uiPriority w:val="99"/>
    <w:rPr>
      <w:vertAlign w:val="superscript"/>
    </w:rPr>
  </w:style>
  <w:style w:type="table" w:customStyle="1" w:styleId="51">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无格式表格 31"/>
    <w:basedOn w:val="41"/>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无格式表格 41"/>
    <w:basedOn w:val="41"/>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无格式表格 51"/>
    <w:basedOn w:val="41"/>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清单表 1 浅色1"/>
    <w:basedOn w:val="41"/>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清单表 6 彩色1"/>
    <w:basedOn w:val="41"/>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清单表 7 彩色1"/>
    <w:basedOn w:val="41"/>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标题1"/>
    <w:unhideWhenUsed/>
    <w:qFormat/>
    <w:uiPriority w:val="39"/>
    <w:rPr>
      <w:rFonts w:ascii="Times New Roman" w:hAnsi="Times New Roman" w:eastAsia="宋体" w:cs="Times New Roman"/>
      <w:lang w:val="en-US" w:eastAsia="zh-CN" w:bidi="ar-SA"/>
    </w:rPr>
  </w:style>
  <w:style w:type="character" w:customStyle="1" w:styleId="71">
    <w:name w:val="标题 1 字符"/>
    <w:link w:val="2"/>
    <w:qFormat/>
    <w:uiPriority w:val="1"/>
    <w:rPr>
      <w:rFonts w:ascii="宋体" w:hAnsi="Times New Roman" w:eastAsia="宋体" w:cs="宋体"/>
      <w:b/>
      <w:bCs/>
      <w:sz w:val="72"/>
      <w:szCs w:val="72"/>
    </w:rPr>
  </w:style>
  <w:style w:type="character" w:customStyle="1" w:styleId="72">
    <w:name w:val="标题 2 字符"/>
    <w:link w:val="3"/>
    <w:qFormat/>
    <w:uiPriority w:val="0"/>
    <w:rPr>
      <w:rFonts w:ascii="宋体" w:hAnsi="Times New Roman" w:eastAsia="宋体" w:cs="宋体"/>
      <w:b/>
      <w:bCs/>
      <w:sz w:val="44"/>
      <w:szCs w:val="44"/>
    </w:rPr>
  </w:style>
  <w:style w:type="character" w:customStyle="1" w:styleId="73">
    <w:name w:val="标题 3 字符"/>
    <w:link w:val="4"/>
    <w:qFormat/>
    <w:uiPriority w:val="1"/>
    <w:rPr>
      <w:rFonts w:ascii="宋体" w:hAnsi="Times New Roman" w:eastAsia="宋体" w:cs="宋体"/>
      <w:b/>
      <w:bCs/>
      <w:sz w:val="36"/>
      <w:szCs w:val="36"/>
    </w:rPr>
  </w:style>
  <w:style w:type="character" w:customStyle="1" w:styleId="74">
    <w:name w:val="标题 4 字符"/>
    <w:link w:val="5"/>
    <w:qFormat/>
    <w:uiPriority w:val="1"/>
    <w:rPr>
      <w:rFonts w:ascii="宋体" w:hAnsi="Times New Roman" w:eastAsia="宋体" w:cs="宋体"/>
      <w:b/>
      <w:bCs/>
      <w:sz w:val="32"/>
      <w:szCs w:val="32"/>
    </w:rPr>
  </w:style>
  <w:style w:type="character" w:customStyle="1" w:styleId="75">
    <w:name w:val="标题 5 字符"/>
    <w:link w:val="6"/>
    <w:qFormat/>
    <w:uiPriority w:val="1"/>
    <w:rPr>
      <w:rFonts w:ascii="宋体" w:hAnsi="Times New Roman" w:eastAsia="宋体" w:cs="宋体"/>
      <w:sz w:val="24"/>
      <w:szCs w:val="24"/>
    </w:rPr>
  </w:style>
  <w:style w:type="character" w:customStyle="1" w:styleId="76">
    <w:name w:val="标题 6 字符"/>
    <w:link w:val="7"/>
    <w:qFormat/>
    <w:uiPriority w:val="1"/>
    <w:rPr>
      <w:rFonts w:ascii="宋体" w:hAnsi="Times New Roman" w:eastAsia="宋体" w:cs="宋体"/>
      <w:b/>
      <w:bCs/>
      <w:szCs w:val="21"/>
    </w:rPr>
  </w:style>
  <w:style w:type="character" w:customStyle="1" w:styleId="77">
    <w:name w:val="标题 7 字符"/>
    <w:link w:val="8"/>
    <w:qFormat/>
    <w:uiPriority w:val="9"/>
    <w:rPr>
      <w:rFonts w:ascii="Arial" w:hAnsi="Arial" w:eastAsia="Arial" w:cs="Arial"/>
      <w:b/>
      <w:bCs/>
      <w:i/>
      <w:iCs/>
      <w:sz w:val="22"/>
      <w:szCs w:val="22"/>
    </w:rPr>
  </w:style>
  <w:style w:type="character" w:customStyle="1" w:styleId="78">
    <w:name w:val="标题 8 字符"/>
    <w:link w:val="9"/>
    <w:qFormat/>
    <w:uiPriority w:val="9"/>
    <w:rPr>
      <w:rFonts w:ascii="Arial" w:hAnsi="Arial" w:eastAsia="Arial" w:cs="Arial"/>
      <w:i/>
      <w:iCs/>
      <w:sz w:val="22"/>
      <w:szCs w:val="22"/>
    </w:rPr>
  </w:style>
  <w:style w:type="character" w:customStyle="1" w:styleId="79">
    <w:name w:val="标题 9 字符"/>
    <w:link w:val="10"/>
    <w:qFormat/>
    <w:uiPriority w:val="9"/>
    <w:rPr>
      <w:rFonts w:ascii="Arial" w:hAnsi="Arial" w:eastAsia="Arial" w:cs="Arial"/>
      <w:i/>
      <w:iCs/>
      <w:sz w:val="21"/>
      <w:szCs w:val="21"/>
    </w:rPr>
  </w:style>
  <w:style w:type="character" w:customStyle="1" w:styleId="80">
    <w:name w:val="正文缩进 字符"/>
    <w:link w:val="12"/>
    <w:qFormat/>
    <w:uiPriority w:val="0"/>
    <w:rPr>
      <w:rFonts w:ascii="Times New Roman" w:hAnsi="Times New Roman" w:eastAsia="楷体_GB2312"/>
      <w:sz w:val="21"/>
    </w:rPr>
  </w:style>
  <w:style w:type="character" w:customStyle="1" w:styleId="81">
    <w:name w:val="文档结构图 字符"/>
    <w:link w:val="14"/>
    <w:qFormat/>
    <w:uiPriority w:val="99"/>
    <w:rPr>
      <w:rFonts w:ascii="宋体" w:hAnsi="Times New Roman" w:eastAsia="Arial Unicode MS"/>
      <w:sz w:val="18"/>
      <w:szCs w:val="18"/>
      <w:lang w:eastAsia="en-US"/>
    </w:rPr>
  </w:style>
  <w:style w:type="character" w:customStyle="1" w:styleId="82">
    <w:name w:val="批注文字 字符"/>
    <w:link w:val="15"/>
    <w:qFormat/>
    <w:uiPriority w:val="0"/>
    <w:rPr>
      <w:rFonts w:ascii="Calibri" w:hAnsi="Calibri" w:eastAsia="宋体" w:cs="宋体"/>
    </w:rPr>
  </w:style>
  <w:style w:type="character" w:customStyle="1" w:styleId="83">
    <w:name w:val="正文文本 字符"/>
    <w:link w:val="16"/>
    <w:qFormat/>
    <w:uiPriority w:val="99"/>
    <w:rPr>
      <w:rFonts w:ascii="宋体" w:hAnsi="Times New Roman" w:eastAsia="宋体" w:cs="宋体"/>
      <w:szCs w:val="21"/>
    </w:rPr>
  </w:style>
  <w:style w:type="character" w:customStyle="1" w:styleId="84">
    <w:name w:val="正文文本缩进 字符"/>
    <w:link w:val="17"/>
    <w:qFormat/>
    <w:uiPriority w:val="99"/>
    <w:rPr>
      <w:rFonts w:ascii="宋体" w:hAnsi="Times New Roman" w:eastAsia="宋体" w:cs="宋体"/>
      <w:sz w:val="22"/>
    </w:rPr>
  </w:style>
  <w:style w:type="character" w:customStyle="1" w:styleId="85">
    <w:name w:val="纯文本 字符2"/>
    <w:link w:val="20"/>
    <w:qFormat/>
    <w:uiPriority w:val="0"/>
    <w:rPr>
      <w:rFonts w:ascii="宋体" w:hAnsi="Courier New" w:eastAsia="楷体_GB2312"/>
      <w:sz w:val="26"/>
    </w:rPr>
  </w:style>
  <w:style w:type="character" w:customStyle="1" w:styleId="86">
    <w:name w:val="日期 字符"/>
    <w:link w:val="22"/>
    <w:semiHidden/>
    <w:qFormat/>
    <w:uiPriority w:val="99"/>
    <w:rPr>
      <w:rFonts w:ascii="宋体" w:hAnsi="Times New Roman" w:eastAsia="宋体" w:cs="宋体"/>
      <w:sz w:val="22"/>
      <w:szCs w:val="22"/>
    </w:rPr>
  </w:style>
  <w:style w:type="character" w:customStyle="1" w:styleId="87">
    <w:name w:val="尾注文本 字符"/>
    <w:link w:val="23"/>
    <w:qFormat/>
    <w:uiPriority w:val="99"/>
    <w:rPr>
      <w:sz w:val="20"/>
    </w:rPr>
  </w:style>
  <w:style w:type="character" w:customStyle="1" w:styleId="88">
    <w:name w:val="批注框文本 字符"/>
    <w:basedOn w:val="43"/>
    <w:link w:val="24"/>
    <w:semiHidden/>
    <w:qFormat/>
    <w:uiPriority w:val="99"/>
    <w:rPr>
      <w:rFonts w:ascii="宋体" w:cs="宋体"/>
      <w:sz w:val="18"/>
      <w:szCs w:val="18"/>
    </w:rPr>
  </w:style>
  <w:style w:type="character" w:customStyle="1" w:styleId="89">
    <w:name w:val="页脚 字符"/>
    <w:link w:val="25"/>
    <w:qFormat/>
    <w:uiPriority w:val="99"/>
    <w:rPr>
      <w:rFonts w:ascii="宋体" w:hAnsi="Times New Roman" w:eastAsia="宋体" w:cs="宋体"/>
      <w:sz w:val="18"/>
      <w:szCs w:val="18"/>
    </w:rPr>
  </w:style>
  <w:style w:type="character" w:customStyle="1" w:styleId="90">
    <w:name w:val="页眉 字符"/>
    <w:link w:val="26"/>
    <w:qFormat/>
    <w:uiPriority w:val="99"/>
    <w:rPr>
      <w:rFonts w:ascii="宋体" w:hAnsi="Times New Roman" w:eastAsia="宋体" w:cs="宋体"/>
      <w:sz w:val="18"/>
      <w:szCs w:val="18"/>
    </w:rPr>
  </w:style>
  <w:style w:type="character" w:customStyle="1" w:styleId="91">
    <w:name w:val="副标题 字符"/>
    <w:link w:val="29"/>
    <w:qFormat/>
    <w:uiPriority w:val="11"/>
    <w:rPr>
      <w:sz w:val="24"/>
      <w:szCs w:val="24"/>
    </w:rPr>
  </w:style>
  <w:style w:type="character" w:customStyle="1" w:styleId="92">
    <w:name w:val="脚注文本 字符"/>
    <w:link w:val="30"/>
    <w:qFormat/>
    <w:uiPriority w:val="99"/>
    <w:rPr>
      <w:sz w:val="18"/>
    </w:rPr>
  </w:style>
  <w:style w:type="character" w:customStyle="1" w:styleId="93">
    <w:name w:val="正文文本缩进 3 字符"/>
    <w:link w:val="32"/>
    <w:qFormat/>
    <w:uiPriority w:val="99"/>
    <w:rPr>
      <w:rFonts w:ascii="宋体" w:hAnsi="Times New Roman" w:eastAsia="宋体" w:cs="宋体"/>
      <w:sz w:val="16"/>
      <w:szCs w:val="16"/>
    </w:rPr>
  </w:style>
  <w:style w:type="character" w:customStyle="1" w:styleId="94">
    <w:name w:val="普通(网站) 字符"/>
    <w:link w:val="36"/>
    <w:qFormat/>
    <w:uiPriority w:val="99"/>
    <w:rPr>
      <w:rFonts w:ascii="Times New Roman" w:hAnsi="Times New Roman" w:eastAsia="宋体" w:cs="宋体"/>
      <w:sz w:val="24"/>
      <w:szCs w:val="21"/>
    </w:rPr>
  </w:style>
  <w:style w:type="character" w:customStyle="1" w:styleId="95">
    <w:name w:val="标题 字符"/>
    <w:link w:val="37"/>
    <w:qFormat/>
    <w:uiPriority w:val="10"/>
    <w:rPr>
      <w:sz w:val="48"/>
      <w:szCs w:val="48"/>
    </w:rPr>
  </w:style>
  <w:style w:type="character" w:customStyle="1" w:styleId="96">
    <w:name w:val="批注主题 字符"/>
    <w:link w:val="38"/>
    <w:semiHidden/>
    <w:qFormat/>
    <w:uiPriority w:val="99"/>
    <w:rPr>
      <w:rFonts w:ascii="宋体" w:hAnsi="Times New Roman" w:eastAsia="宋体" w:cs="宋体"/>
      <w:b/>
      <w:bCs/>
      <w:sz w:val="22"/>
      <w:szCs w:val="22"/>
    </w:rPr>
  </w:style>
  <w:style w:type="character" w:customStyle="1" w:styleId="97">
    <w:name w:val="正文首行缩进 字符"/>
    <w:basedOn w:val="83"/>
    <w:link w:val="39"/>
    <w:semiHidden/>
    <w:qFormat/>
    <w:uiPriority w:val="99"/>
    <w:rPr>
      <w:rFonts w:ascii="宋体" w:hAnsi="Times New Roman" w:eastAsia="宋体" w:cs="宋体"/>
      <w:sz w:val="22"/>
      <w:szCs w:val="22"/>
    </w:rPr>
  </w:style>
  <w:style w:type="character" w:customStyle="1" w:styleId="98">
    <w:name w:val="正文首行缩进 2 字符"/>
    <w:basedOn w:val="84"/>
    <w:link w:val="40"/>
    <w:semiHidden/>
    <w:qFormat/>
    <w:uiPriority w:val="99"/>
    <w:rPr>
      <w:rFonts w:ascii="宋体" w:hAnsi="Times New Roman" w:eastAsia="宋体" w:cs="宋体"/>
      <w:sz w:val="22"/>
      <w:szCs w:val="22"/>
    </w:rPr>
  </w:style>
  <w:style w:type="character" w:customStyle="1" w:styleId="99">
    <w:name w:val="Heading 7 Char"/>
    <w:basedOn w:val="43"/>
    <w:qFormat/>
    <w:uiPriority w:val="9"/>
    <w:rPr>
      <w:rFonts w:ascii="Arial" w:hAnsi="Arial" w:eastAsia="Arial" w:cs="Arial"/>
      <w:b/>
      <w:bCs/>
      <w:i/>
      <w:iCs/>
      <w:sz w:val="22"/>
      <w:szCs w:val="22"/>
    </w:rPr>
  </w:style>
  <w:style w:type="character" w:customStyle="1" w:styleId="100">
    <w:name w:val="Heading 8 Char"/>
    <w:basedOn w:val="43"/>
    <w:qFormat/>
    <w:uiPriority w:val="9"/>
    <w:rPr>
      <w:rFonts w:ascii="Arial" w:hAnsi="Arial" w:eastAsia="Arial" w:cs="Arial"/>
      <w:i/>
      <w:iCs/>
      <w:sz w:val="22"/>
      <w:szCs w:val="22"/>
    </w:rPr>
  </w:style>
  <w:style w:type="character" w:customStyle="1" w:styleId="101">
    <w:name w:val="Heading 9 Char"/>
    <w:basedOn w:val="43"/>
    <w:qFormat/>
    <w:uiPriority w:val="9"/>
    <w:rPr>
      <w:rFonts w:ascii="Arial" w:hAnsi="Arial" w:eastAsia="Arial" w:cs="Arial"/>
      <w:i/>
      <w:iCs/>
      <w:sz w:val="21"/>
      <w:szCs w:val="21"/>
    </w:rPr>
  </w:style>
  <w:style w:type="character" w:customStyle="1" w:styleId="102">
    <w:name w:val="Title Char"/>
    <w:basedOn w:val="43"/>
    <w:qFormat/>
    <w:uiPriority w:val="10"/>
    <w:rPr>
      <w:sz w:val="48"/>
      <w:szCs w:val="48"/>
    </w:rPr>
  </w:style>
  <w:style w:type="character" w:customStyle="1" w:styleId="103">
    <w:name w:val="Subtitle Char"/>
    <w:basedOn w:val="43"/>
    <w:qFormat/>
    <w:uiPriority w:val="11"/>
    <w:rPr>
      <w:sz w:val="24"/>
      <w:szCs w:val="24"/>
    </w:rPr>
  </w:style>
  <w:style w:type="character" w:customStyle="1" w:styleId="104">
    <w:name w:val="Quote Char"/>
    <w:qFormat/>
    <w:uiPriority w:val="29"/>
    <w:rPr>
      <w:i/>
    </w:rPr>
  </w:style>
  <w:style w:type="character" w:customStyle="1" w:styleId="105">
    <w:name w:val="Intense Quote Char"/>
    <w:qFormat/>
    <w:uiPriority w:val="30"/>
    <w:rPr>
      <w:i/>
    </w:rPr>
  </w:style>
  <w:style w:type="character" w:customStyle="1" w:styleId="106">
    <w:name w:val="Footnote Text Char"/>
    <w:qFormat/>
    <w:uiPriority w:val="99"/>
    <w:rPr>
      <w:sz w:val="18"/>
    </w:rPr>
  </w:style>
  <w:style w:type="character" w:customStyle="1" w:styleId="107">
    <w:name w:val="Endnote Text Char"/>
    <w:qFormat/>
    <w:uiPriority w:val="99"/>
    <w:rPr>
      <w:sz w:val="20"/>
    </w:rPr>
  </w:style>
  <w:style w:type="paragraph" w:customStyle="1" w:styleId="108">
    <w:name w:val="TOC 标题111"/>
    <w:unhideWhenUsed/>
    <w:qFormat/>
    <w:uiPriority w:val="39"/>
    <w:rPr>
      <w:rFonts w:ascii="Times New Roman" w:hAnsi="Times New Roman" w:eastAsia="宋体" w:cs="Times New Roman"/>
      <w:lang w:val="en-US" w:eastAsia="zh-CN" w:bidi="ar-SA"/>
    </w:rPr>
  </w:style>
  <w:style w:type="paragraph" w:customStyle="1" w:styleId="109">
    <w:name w:val="正文1"/>
    <w:basedOn w:val="1"/>
    <w:qFormat/>
    <w:uiPriority w:val="0"/>
    <w:pPr>
      <w:tabs>
        <w:tab w:val="left" w:pos="420"/>
      </w:tabs>
      <w:spacing w:line="360" w:lineRule="auto"/>
      <w:ind w:firstLine="420"/>
      <w:jc w:val="both"/>
    </w:pPr>
    <w:rPr>
      <w:rFonts w:hAnsi="宋体" w:cs="Times New Roman"/>
      <w:sz w:val="21"/>
      <w:szCs w:val="20"/>
    </w:rPr>
  </w:style>
  <w:style w:type="character" w:customStyle="1" w:styleId="110">
    <w:name w:val="Heading 1 Char"/>
    <w:qFormat/>
    <w:uiPriority w:val="9"/>
    <w:rPr>
      <w:rFonts w:ascii="Arial" w:hAnsi="Arial" w:eastAsia="Arial" w:cs="Arial"/>
      <w:sz w:val="40"/>
      <w:szCs w:val="40"/>
    </w:rPr>
  </w:style>
  <w:style w:type="character" w:customStyle="1" w:styleId="111">
    <w:name w:val="Heading 2 Char"/>
    <w:qFormat/>
    <w:uiPriority w:val="9"/>
    <w:rPr>
      <w:rFonts w:ascii="Arial" w:hAnsi="Arial" w:eastAsia="Arial" w:cs="Arial"/>
      <w:sz w:val="34"/>
    </w:rPr>
  </w:style>
  <w:style w:type="character" w:customStyle="1" w:styleId="112">
    <w:name w:val="Heading 3 Char"/>
    <w:qFormat/>
    <w:uiPriority w:val="9"/>
    <w:rPr>
      <w:rFonts w:ascii="Arial" w:hAnsi="Arial" w:eastAsia="Arial" w:cs="Arial"/>
      <w:sz w:val="30"/>
      <w:szCs w:val="30"/>
    </w:rPr>
  </w:style>
  <w:style w:type="character" w:customStyle="1" w:styleId="113">
    <w:name w:val="Heading 4 Char"/>
    <w:qFormat/>
    <w:uiPriority w:val="9"/>
    <w:rPr>
      <w:rFonts w:ascii="Arial" w:hAnsi="Arial" w:eastAsia="Arial" w:cs="Arial"/>
      <w:b/>
      <w:bCs/>
      <w:sz w:val="26"/>
      <w:szCs w:val="26"/>
    </w:rPr>
  </w:style>
  <w:style w:type="character" w:customStyle="1" w:styleId="114">
    <w:name w:val="Heading 5 Char"/>
    <w:qFormat/>
    <w:uiPriority w:val="9"/>
    <w:rPr>
      <w:rFonts w:ascii="Arial" w:hAnsi="Arial" w:eastAsia="Arial" w:cs="Arial"/>
      <w:b/>
      <w:bCs/>
      <w:sz w:val="24"/>
      <w:szCs w:val="24"/>
    </w:rPr>
  </w:style>
  <w:style w:type="character" w:customStyle="1" w:styleId="115">
    <w:name w:val="Heading 6 Char"/>
    <w:qFormat/>
    <w:uiPriority w:val="9"/>
    <w:rPr>
      <w:rFonts w:ascii="Arial" w:hAnsi="Arial" w:eastAsia="Arial" w:cs="Arial"/>
      <w:b/>
      <w:bCs/>
      <w:sz w:val="22"/>
      <w:szCs w:val="22"/>
    </w:rPr>
  </w:style>
  <w:style w:type="paragraph" w:styleId="116">
    <w:name w:val="List Paragraph"/>
    <w:basedOn w:val="1"/>
    <w:link w:val="117"/>
    <w:qFormat/>
    <w:uiPriority w:val="34"/>
    <w:pPr>
      <w:ind w:left="720"/>
      <w:contextualSpacing/>
    </w:pPr>
  </w:style>
  <w:style w:type="character" w:customStyle="1" w:styleId="117">
    <w:name w:val="列出段落 字符"/>
    <w:link w:val="116"/>
    <w:qFormat/>
    <w:uiPriority w:val="34"/>
    <w:rPr>
      <w:rFonts w:ascii="宋体" w:cs="宋体"/>
      <w:sz w:val="22"/>
      <w:szCs w:val="22"/>
    </w:rPr>
  </w:style>
  <w:style w:type="paragraph" w:styleId="118">
    <w:name w:val="No Spacing"/>
    <w:qFormat/>
    <w:uiPriority w:val="1"/>
    <w:pPr>
      <w:widowControl w:val="0"/>
      <w:jc w:val="both"/>
    </w:pPr>
    <w:rPr>
      <w:rFonts w:ascii="Times New Roman" w:hAnsi="Times New Roman" w:eastAsia="宋体" w:cs="Times New Roman"/>
      <w:sz w:val="21"/>
      <w:szCs w:val="22"/>
      <w:lang w:val="en-US" w:eastAsia="zh-CN" w:bidi="ar-SA"/>
    </w:rPr>
  </w:style>
  <w:style w:type="paragraph" w:styleId="119">
    <w:name w:val="Quote"/>
    <w:basedOn w:val="1"/>
    <w:next w:val="1"/>
    <w:link w:val="120"/>
    <w:qFormat/>
    <w:uiPriority w:val="29"/>
    <w:pPr>
      <w:ind w:left="720" w:right="720"/>
    </w:pPr>
    <w:rPr>
      <w:i/>
    </w:rPr>
  </w:style>
  <w:style w:type="character" w:customStyle="1" w:styleId="120">
    <w:name w:val="引用 字符"/>
    <w:link w:val="119"/>
    <w:qFormat/>
    <w:uiPriority w:val="29"/>
    <w:rPr>
      <w:i/>
    </w:rPr>
  </w:style>
  <w:style w:type="paragraph" w:styleId="121">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2">
    <w:name w:val="明显引用 字符"/>
    <w:link w:val="121"/>
    <w:qFormat/>
    <w:uiPriority w:val="30"/>
    <w:rPr>
      <w:i/>
    </w:rPr>
  </w:style>
  <w:style w:type="character" w:customStyle="1" w:styleId="123">
    <w:name w:val="Header Char"/>
    <w:qFormat/>
    <w:uiPriority w:val="99"/>
  </w:style>
  <w:style w:type="character" w:customStyle="1" w:styleId="124">
    <w:name w:val="Footer Char"/>
    <w:qFormat/>
    <w:uiPriority w:val="99"/>
  </w:style>
  <w:style w:type="character" w:customStyle="1" w:styleId="125">
    <w:name w:val="Caption Char"/>
    <w:qFormat/>
    <w:uiPriority w:val="99"/>
  </w:style>
  <w:style w:type="table" w:customStyle="1" w:styleId="12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32">
    <w:name w:val="TOC 标题11"/>
    <w:unhideWhenUsed/>
    <w:qFormat/>
    <w:uiPriority w:val="39"/>
    <w:rPr>
      <w:rFonts w:ascii="Times New Roman" w:hAnsi="Times New Roman" w:eastAsia="宋体" w:cs="Times New Roman"/>
      <w:lang w:val="en-US" w:eastAsia="zh-CN" w:bidi="ar-SA"/>
    </w:rPr>
  </w:style>
  <w:style w:type="character" w:customStyle="1" w:styleId="233">
    <w:name w:val="纯文本 字符"/>
    <w:qFormat/>
    <w:uiPriority w:val="0"/>
    <w:rPr>
      <w:rFonts w:ascii="宋体" w:hAnsi="Courier New" w:eastAsia="楷体_GB2312"/>
      <w:sz w:val="26"/>
    </w:rPr>
  </w:style>
  <w:style w:type="paragraph" w:customStyle="1" w:styleId="234">
    <w:name w:val="正文文本首行缩进1"/>
    <w:basedOn w:val="16"/>
    <w:link w:val="235"/>
    <w:unhideWhenUsed/>
    <w:qFormat/>
    <w:uiPriority w:val="99"/>
    <w:pPr>
      <w:spacing w:before="0" w:after="120"/>
      <w:ind w:left="0" w:firstLine="420"/>
    </w:pPr>
    <w:rPr>
      <w:sz w:val="22"/>
      <w:szCs w:val="22"/>
    </w:rPr>
  </w:style>
  <w:style w:type="character" w:customStyle="1" w:styleId="235">
    <w:name w:val="正文文本首行缩进 字符"/>
    <w:link w:val="234"/>
    <w:qFormat/>
    <w:uiPriority w:val="99"/>
    <w:rPr>
      <w:rFonts w:ascii="宋体" w:hAnsi="Times New Roman" w:eastAsia="宋体" w:cs="宋体"/>
      <w:sz w:val="22"/>
      <w:szCs w:val="22"/>
    </w:rPr>
  </w:style>
  <w:style w:type="paragraph" w:customStyle="1" w:styleId="236">
    <w:name w:val="正文文本首行缩进 21"/>
    <w:basedOn w:val="17"/>
    <w:link w:val="237"/>
    <w:qFormat/>
    <w:uiPriority w:val="0"/>
    <w:pPr>
      <w:ind w:firstLine="420"/>
      <w:jc w:val="both"/>
    </w:pPr>
    <w:rPr>
      <w:sz w:val="21"/>
      <w:szCs w:val="24"/>
    </w:rPr>
  </w:style>
  <w:style w:type="character" w:customStyle="1" w:styleId="237">
    <w:name w:val="正文文本首行缩进 2 字符"/>
    <w:link w:val="236"/>
    <w:qFormat/>
    <w:uiPriority w:val="0"/>
    <w:rPr>
      <w:rFonts w:ascii="宋体" w:hAnsi="Times New Roman" w:eastAsia="宋体" w:cs="宋体"/>
      <w:sz w:val="21"/>
      <w:szCs w:val="24"/>
    </w:rPr>
  </w:style>
  <w:style w:type="paragraph" w:customStyle="1" w:styleId="23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39">
    <w:name w:val="列表段落1"/>
    <w:basedOn w:val="1"/>
    <w:link w:val="240"/>
    <w:qFormat/>
    <w:uiPriority w:val="34"/>
    <w:pPr>
      <w:spacing w:before="132"/>
      <w:ind w:left="367" w:firstLine="420"/>
    </w:pPr>
    <w:rPr>
      <w:sz w:val="24"/>
      <w:szCs w:val="24"/>
    </w:rPr>
  </w:style>
  <w:style w:type="character" w:customStyle="1" w:styleId="240">
    <w:name w:val="列表段落 字符"/>
    <w:link w:val="239"/>
    <w:qFormat/>
    <w:uiPriority w:val="34"/>
    <w:rPr>
      <w:rFonts w:ascii="宋体" w:cs="宋体"/>
      <w:sz w:val="24"/>
      <w:szCs w:val="24"/>
    </w:rPr>
  </w:style>
  <w:style w:type="paragraph" w:customStyle="1" w:styleId="241">
    <w:name w:val="Table Paragraph"/>
    <w:basedOn w:val="1"/>
    <w:qFormat/>
    <w:uiPriority w:val="1"/>
    <w:pPr>
      <w:spacing w:before="111"/>
      <w:jc w:val="center"/>
    </w:pPr>
    <w:rPr>
      <w:sz w:val="24"/>
      <w:szCs w:val="24"/>
    </w:rPr>
  </w:style>
  <w:style w:type="paragraph" w:customStyle="1" w:styleId="242">
    <w:name w:val="Plain Text2"/>
    <w:basedOn w:val="1"/>
    <w:qFormat/>
    <w:uiPriority w:val="0"/>
    <w:pPr>
      <w:jc w:val="both"/>
    </w:pPr>
    <w:rPr>
      <w:rFonts w:hAnsi="Courier New" w:eastAsia="楷体_GB2312" w:cs="Times New Roman"/>
      <w:sz w:val="28"/>
      <w:szCs w:val="24"/>
    </w:rPr>
  </w:style>
  <w:style w:type="paragraph" w:customStyle="1" w:styleId="243">
    <w:name w:val="列表段落11"/>
    <w:basedOn w:val="1"/>
    <w:qFormat/>
    <w:uiPriority w:val="34"/>
    <w:pPr>
      <w:ind w:firstLine="420"/>
      <w:jc w:val="both"/>
    </w:pPr>
    <w:rPr>
      <w:rFonts w:ascii="DengXian" w:hAnsi="DengXian" w:eastAsia="DengXian" w:cs="Times New Roman"/>
      <w:sz w:val="21"/>
      <w:szCs w:val="24"/>
    </w:rPr>
  </w:style>
  <w:style w:type="paragraph" w:customStyle="1" w:styleId="244">
    <w:name w:val="彩色列表 - 强调文字颜色 11"/>
    <w:basedOn w:val="1"/>
    <w:qFormat/>
    <w:uiPriority w:val="0"/>
    <w:pPr>
      <w:ind w:firstLine="420"/>
      <w:jc w:val="both"/>
    </w:pPr>
    <w:rPr>
      <w:rFonts w:ascii="Times New Roman" w:eastAsia="DengXian" w:cs="Times New Roman"/>
      <w:sz w:val="21"/>
      <w:szCs w:val="24"/>
    </w:rPr>
  </w:style>
  <w:style w:type="character" w:customStyle="1" w:styleId="245">
    <w:name w:val="标题 4 Char"/>
    <w:qFormat/>
    <w:uiPriority w:val="0"/>
    <w:rPr>
      <w:rFonts w:ascii="Arial" w:hAnsi="Arial" w:eastAsia="黑体"/>
      <w:b/>
      <w:sz w:val="28"/>
    </w:rPr>
  </w:style>
  <w:style w:type="paragraph" w:customStyle="1" w:styleId="246">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47">
    <w:name w:val="正文文本缩进 字符1"/>
    <w:qFormat/>
    <w:uiPriority w:val="0"/>
    <w:rPr>
      <w:rFonts w:ascii="宋体" w:eastAsia="宋体"/>
      <w:sz w:val="28"/>
      <w:lang w:val="en-US" w:eastAsia="zh-CN" w:bidi="ar-SA"/>
    </w:rPr>
  </w:style>
  <w:style w:type="character" w:customStyle="1" w:styleId="248">
    <w:name w:val="方案正文 Char"/>
    <w:link w:val="249"/>
    <w:qFormat/>
    <w:uiPriority w:val="0"/>
    <w:rPr>
      <w:sz w:val="24"/>
    </w:rPr>
  </w:style>
  <w:style w:type="paragraph" w:customStyle="1" w:styleId="249">
    <w:name w:val="方案正文"/>
    <w:basedOn w:val="1"/>
    <w:link w:val="248"/>
    <w:qFormat/>
    <w:uiPriority w:val="0"/>
    <w:pPr>
      <w:spacing w:line="440" w:lineRule="atLeast"/>
      <w:jc w:val="both"/>
    </w:pPr>
    <w:rPr>
      <w:rFonts w:ascii="Times New Roman" w:cs="Times New Roman"/>
      <w:sz w:val="24"/>
      <w:szCs w:val="20"/>
    </w:rPr>
  </w:style>
  <w:style w:type="paragraph" w:customStyle="1" w:styleId="250">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51">
    <w:name w:val="Default"/>
    <w:qFormat/>
    <w:uiPriority w:val="0"/>
    <w:pPr>
      <w:widowControl w:val="0"/>
    </w:pPr>
    <w:rPr>
      <w:rFonts w:ascii="宋体ラ..." w:hAnsi="Times New Roman" w:eastAsia="宋体ラ..." w:cs="宋体ラ..."/>
      <w:color w:val="000000"/>
      <w:sz w:val="24"/>
      <w:szCs w:val="24"/>
      <w:lang w:val="en-US" w:eastAsia="zh-CN" w:bidi="ar-SA"/>
    </w:rPr>
  </w:style>
  <w:style w:type="paragraph" w:customStyle="1" w:styleId="252">
    <w:name w:val="列出段落12"/>
    <w:basedOn w:val="1"/>
    <w:qFormat/>
    <w:uiPriority w:val="0"/>
    <w:pPr>
      <w:ind w:firstLine="420"/>
      <w:jc w:val="both"/>
    </w:pPr>
    <w:rPr>
      <w:rFonts w:ascii="Times New Roman" w:cs="Times New Roman"/>
      <w:sz w:val="21"/>
      <w:szCs w:val="20"/>
    </w:rPr>
  </w:style>
  <w:style w:type="paragraph" w:customStyle="1" w:styleId="253">
    <w:name w:val="列出段落5"/>
    <w:basedOn w:val="1"/>
    <w:qFormat/>
    <w:uiPriority w:val="0"/>
    <w:pPr>
      <w:ind w:firstLine="420"/>
      <w:jc w:val="both"/>
    </w:pPr>
    <w:rPr>
      <w:rFonts w:ascii="Calibri" w:hAnsi="Calibri" w:cs="Times New Roman"/>
      <w:sz w:val="21"/>
      <w:szCs w:val="20"/>
    </w:rPr>
  </w:style>
  <w:style w:type="character" w:customStyle="1" w:styleId="254">
    <w:name w:val="font41"/>
    <w:qFormat/>
    <w:uiPriority w:val="0"/>
    <w:rPr>
      <w:rFonts w:hint="eastAsia" w:ascii="宋体" w:hAnsi="宋体" w:eastAsia="宋体" w:cs="宋体"/>
      <w:color w:val="000000"/>
      <w:sz w:val="20"/>
      <w:szCs w:val="20"/>
      <w:u w:val="none"/>
    </w:rPr>
  </w:style>
  <w:style w:type="character" w:customStyle="1" w:styleId="255">
    <w:name w:val="Plain Text Char1"/>
    <w:link w:val="256"/>
    <w:qFormat/>
    <w:uiPriority w:val="0"/>
    <w:rPr>
      <w:rFonts w:ascii="宋体" w:hAnsi="Courier New" w:eastAsia="楷体_GB2312"/>
      <w:sz w:val="26"/>
    </w:rPr>
  </w:style>
  <w:style w:type="paragraph" w:customStyle="1" w:styleId="256">
    <w:name w:val="纯文本1"/>
    <w:basedOn w:val="1"/>
    <w:link w:val="255"/>
    <w:qFormat/>
    <w:uiPriority w:val="0"/>
    <w:pPr>
      <w:jc w:val="both"/>
    </w:pPr>
    <w:rPr>
      <w:rFonts w:hAnsi="Courier New" w:eastAsia="楷体_GB2312" w:cs="Times New Roman"/>
      <w:sz w:val="26"/>
      <w:szCs w:val="20"/>
    </w:rPr>
  </w:style>
  <w:style w:type="character" w:customStyle="1" w:styleId="257">
    <w:name w:val="页眉 字符2"/>
    <w:qFormat/>
    <w:uiPriority w:val="99"/>
    <w:rPr>
      <w:rFonts w:eastAsia="宋体"/>
      <w:sz w:val="18"/>
      <w:lang w:val="en-US" w:eastAsia="zh-CN" w:bidi="ar-SA"/>
    </w:rPr>
  </w:style>
  <w:style w:type="character" w:customStyle="1" w:styleId="258">
    <w:name w:val="页脚 字符2"/>
    <w:qFormat/>
    <w:uiPriority w:val="99"/>
    <w:rPr>
      <w:rFonts w:eastAsia="宋体"/>
      <w:sz w:val="18"/>
      <w:lang w:val="en-US" w:eastAsia="zh-CN" w:bidi="ar-SA"/>
    </w:rPr>
  </w:style>
  <w:style w:type="character" w:customStyle="1" w:styleId="259">
    <w:name w:val="01 章标 Char"/>
    <w:link w:val="260"/>
    <w:qFormat/>
    <w:uiPriority w:val="0"/>
    <w:rPr>
      <w:b/>
      <w:sz w:val="44"/>
      <w:szCs w:val="44"/>
    </w:rPr>
  </w:style>
  <w:style w:type="paragraph" w:customStyle="1" w:styleId="260">
    <w:name w:val="01 章标"/>
    <w:basedOn w:val="1"/>
    <w:link w:val="259"/>
    <w:qFormat/>
    <w:uiPriority w:val="0"/>
    <w:pPr>
      <w:ind w:firstLine="883"/>
      <w:jc w:val="center"/>
      <w:outlineLvl w:val="0"/>
    </w:pPr>
    <w:rPr>
      <w:rFonts w:ascii="Times New Roman" w:cs="Times New Roman"/>
      <w:b/>
      <w:sz w:val="44"/>
      <w:szCs w:val="44"/>
    </w:rPr>
  </w:style>
  <w:style w:type="character" w:customStyle="1" w:styleId="261">
    <w:name w:val="纯文本 字符1"/>
    <w:qFormat/>
    <w:uiPriority w:val="0"/>
    <w:rPr>
      <w:rFonts w:ascii="宋体" w:hAnsi="Courier New" w:eastAsia="宋体" w:cs="Courier New"/>
      <w:sz w:val="21"/>
      <w:szCs w:val="21"/>
    </w:rPr>
  </w:style>
  <w:style w:type="paragraph" w:customStyle="1" w:styleId="262">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3">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264">
    <w:name w:val="未处理的提及1"/>
    <w:unhideWhenUsed/>
    <w:qFormat/>
    <w:uiPriority w:val="99"/>
    <w:rPr>
      <w:color w:val="605E5C"/>
      <w:shd w:val="clear" w:color="auto" w:fill="E1DFDD"/>
    </w:rPr>
  </w:style>
  <w:style w:type="character" w:customStyle="1" w:styleId="265">
    <w:name w:val="font01"/>
    <w:qFormat/>
    <w:uiPriority w:val="0"/>
    <w:rPr>
      <w:rFonts w:ascii="Arial" w:hAnsi="Arial" w:cs="Arial"/>
      <w:color w:val="000000"/>
      <w:sz w:val="20"/>
      <w:szCs w:val="20"/>
      <w:u w:val="none"/>
    </w:rPr>
  </w:style>
  <w:style w:type="paragraph" w:customStyle="1" w:styleId="266">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267">
    <w:name w:val="NormalCharacter1"/>
    <w:qFormat/>
    <w:uiPriority w:val="0"/>
  </w:style>
  <w:style w:type="paragraph" w:customStyle="1" w:styleId="268">
    <w:name w:val="Andy_正文"/>
    <w:basedOn w:val="1"/>
    <w:qFormat/>
    <w:uiPriority w:val="0"/>
    <w:pPr>
      <w:spacing w:line="360" w:lineRule="auto"/>
      <w:ind w:firstLine="480"/>
      <w:jc w:val="both"/>
    </w:pPr>
    <w:rPr>
      <w:rFonts w:ascii="Times New Roman" w:cs="Times New Roman"/>
      <w:sz w:val="24"/>
      <w:szCs w:val="24"/>
    </w:rPr>
  </w:style>
  <w:style w:type="character" w:customStyle="1" w:styleId="269">
    <w:name w:val="font51"/>
    <w:qFormat/>
    <w:uiPriority w:val="0"/>
    <w:rPr>
      <w:rFonts w:hint="eastAsia" w:ascii="宋体" w:hAnsi="宋体" w:eastAsia="宋体" w:cs="宋体"/>
      <w:b/>
      <w:bCs/>
      <w:color w:val="000000"/>
      <w:sz w:val="21"/>
      <w:szCs w:val="21"/>
      <w:u w:val="none"/>
    </w:rPr>
  </w:style>
  <w:style w:type="character" w:customStyle="1" w:styleId="270">
    <w:name w:val="font71"/>
    <w:qFormat/>
    <w:uiPriority w:val="0"/>
    <w:rPr>
      <w:rFonts w:hint="eastAsia" w:ascii="宋体" w:hAnsi="宋体" w:eastAsia="宋体" w:cs="宋体"/>
      <w:color w:val="000000"/>
      <w:sz w:val="24"/>
      <w:szCs w:val="24"/>
      <w:u w:val="none"/>
    </w:rPr>
  </w:style>
  <w:style w:type="character" w:customStyle="1" w:styleId="271">
    <w:name w:val="font91"/>
    <w:qFormat/>
    <w:uiPriority w:val="0"/>
    <w:rPr>
      <w:rFonts w:hint="eastAsia" w:ascii="宋体" w:hAnsi="宋体" w:eastAsia="宋体" w:cs="宋体"/>
      <w:color w:val="000000"/>
      <w:sz w:val="21"/>
      <w:szCs w:val="21"/>
      <w:u w:val="none"/>
    </w:rPr>
  </w:style>
  <w:style w:type="character" w:customStyle="1" w:styleId="272">
    <w:name w:val="font61"/>
    <w:qFormat/>
    <w:uiPriority w:val="0"/>
    <w:rPr>
      <w:rFonts w:hint="eastAsia" w:ascii="宋体" w:hAnsi="宋体" w:eastAsia="宋体" w:cs="宋体"/>
      <w:color w:val="000000"/>
      <w:sz w:val="21"/>
      <w:szCs w:val="21"/>
      <w:u w:val="none"/>
    </w:rPr>
  </w:style>
  <w:style w:type="character" w:customStyle="1" w:styleId="273">
    <w:name w:val="font81"/>
    <w:qFormat/>
    <w:uiPriority w:val="0"/>
    <w:rPr>
      <w:rFonts w:ascii="Calibri" w:hAnsi="Calibri" w:cs="Calibri"/>
      <w:color w:val="000000"/>
      <w:sz w:val="21"/>
      <w:szCs w:val="21"/>
      <w:u w:val="none"/>
    </w:rPr>
  </w:style>
  <w:style w:type="character" w:customStyle="1" w:styleId="274">
    <w:name w:val="font101"/>
    <w:qFormat/>
    <w:uiPriority w:val="0"/>
    <w:rPr>
      <w:rFonts w:ascii="Calibri" w:hAnsi="Calibri" w:cs="Calibri"/>
      <w:b/>
      <w:bCs/>
      <w:color w:val="000000"/>
      <w:sz w:val="21"/>
      <w:szCs w:val="21"/>
      <w:u w:val="none"/>
    </w:rPr>
  </w:style>
  <w:style w:type="character" w:customStyle="1" w:styleId="275">
    <w:name w:val="font111"/>
    <w:qFormat/>
    <w:uiPriority w:val="0"/>
    <w:rPr>
      <w:rFonts w:hint="eastAsia" w:ascii="宋体" w:hAnsi="宋体" w:eastAsia="宋体" w:cs="宋体"/>
      <w:b/>
      <w:bCs/>
      <w:color w:val="000000"/>
      <w:sz w:val="22"/>
      <w:szCs w:val="22"/>
      <w:u w:val="none"/>
    </w:rPr>
  </w:style>
  <w:style w:type="character" w:customStyle="1" w:styleId="276">
    <w:name w:val="正文缩进 字符1"/>
    <w:qFormat/>
    <w:uiPriority w:val="0"/>
    <w:rPr>
      <w:rFonts w:eastAsia="宋体"/>
      <w:sz w:val="21"/>
      <w:szCs w:val="24"/>
      <w:lang w:val="en-US" w:eastAsia="zh-CN" w:bidi="ar-SA"/>
    </w:rPr>
  </w:style>
  <w:style w:type="paragraph" w:customStyle="1" w:styleId="277">
    <w:name w:val="首行缩进"/>
    <w:basedOn w:val="1"/>
    <w:qFormat/>
    <w:uiPriority w:val="0"/>
    <w:pPr>
      <w:ind w:firstLine="480"/>
    </w:pPr>
    <w:rPr>
      <w:szCs w:val="20"/>
      <w:lang w:val="zh-CN"/>
    </w:rPr>
  </w:style>
  <w:style w:type="paragraph" w:customStyle="1" w:styleId="278">
    <w:name w:val="+正文"/>
    <w:basedOn w:val="1"/>
    <w:qFormat/>
    <w:uiPriority w:val="0"/>
    <w:pPr>
      <w:widowControl/>
      <w:spacing w:line="360" w:lineRule="auto"/>
      <w:ind w:firstLine="200"/>
    </w:pPr>
    <w:rPr>
      <w:rFonts w:ascii="Times New Roman" w:cs="Times New Roman"/>
      <w:sz w:val="24"/>
      <w:szCs w:val="24"/>
    </w:rPr>
  </w:style>
  <w:style w:type="paragraph" w:customStyle="1" w:styleId="279">
    <w:name w:val="*正文"/>
    <w:basedOn w:val="1"/>
    <w:link w:val="280"/>
    <w:qFormat/>
    <w:uiPriority w:val="0"/>
    <w:rPr>
      <w:rFonts w:hAnsi="宋体"/>
      <w:sz w:val="24"/>
      <w:lang w:val="zh-CN"/>
    </w:rPr>
  </w:style>
  <w:style w:type="character" w:customStyle="1" w:styleId="280">
    <w:name w:val="*正文 Char"/>
    <w:link w:val="279"/>
    <w:qFormat/>
    <w:uiPriority w:val="0"/>
    <w:rPr>
      <w:rFonts w:ascii="宋体" w:hAnsi="宋体" w:cs="宋体"/>
      <w:sz w:val="24"/>
      <w:szCs w:val="22"/>
      <w:lang w:val="zh-CN"/>
    </w:rPr>
  </w:style>
  <w:style w:type="paragraph" w:customStyle="1" w:styleId="281">
    <w:name w:val="p17"/>
    <w:basedOn w:val="1"/>
    <w:qFormat/>
    <w:uiPriority w:val="99"/>
    <w:pPr>
      <w:widowControl/>
    </w:pPr>
    <w:rPr>
      <w:rFonts w:hAnsi="宋体"/>
      <w:sz w:val="26"/>
      <w:szCs w:val="26"/>
    </w:rPr>
  </w:style>
  <w:style w:type="paragraph" w:customStyle="1" w:styleId="282">
    <w:name w:val="列出段落1"/>
    <w:basedOn w:val="1"/>
    <w:qFormat/>
    <w:uiPriority w:val="0"/>
    <w:pPr>
      <w:ind w:firstLine="420"/>
    </w:pPr>
    <w:rPr>
      <w:rFonts w:ascii="Calibri" w:hAnsi="Calibri"/>
    </w:rPr>
  </w:style>
  <w:style w:type="character" w:customStyle="1" w:styleId="283">
    <w:name w:val="正文缩进 Char"/>
    <w:qFormat/>
    <w:uiPriority w:val="0"/>
    <w:rPr>
      <w:rFonts w:eastAsia="楷体_GB2312"/>
      <w:sz w:val="24"/>
      <w:lang w:bidi="ar-SA"/>
    </w:rPr>
  </w:style>
  <w:style w:type="paragraph" w:customStyle="1" w:styleId="284">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285">
    <w:name w:val="正文缩进 字符3"/>
    <w:qFormat/>
    <w:uiPriority w:val="0"/>
    <w:rPr>
      <w:sz w:val="21"/>
    </w:rPr>
  </w:style>
  <w:style w:type="character" w:customStyle="1" w:styleId="286">
    <w:name w:val="Plain Text Char Char"/>
    <w:link w:val="287"/>
    <w:qFormat/>
    <w:uiPriority w:val="0"/>
    <w:rPr>
      <w:rFonts w:ascii="宋体" w:hAnsi="Courier New" w:eastAsia="楷体_GB2312"/>
      <w:sz w:val="26"/>
    </w:rPr>
  </w:style>
  <w:style w:type="paragraph" w:customStyle="1" w:styleId="287">
    <w:name w:val="纯文本2"/>
    <w:basedOn w:val="1"/>
    <w:link w:val="286"/>
    <w:qFormat/>
    <w:uiPriority w:val="0"/>
    <w:pPr>
      <w:jc w:val="both"/>
    </w:pPr>
    <w:rPr>
      <w:rFonts w:hAnsi="Courier New" w:eastAsia="楷体_GB2312" w:cs="Times New Roman"/>
      <w:sz w:val="26"/>
      <w:szCs w:val="20"/>
    </w:rPr>
  </w:style>
  <w:style w:type="character" w:customStyle="1" w:styleId="288">
    <w:name w:val="正文文本 Char"/>
    <w:qFormat/>
    <w:uiPriority w:val="99"/>
    <w:rPr>
      <w:rFonts w:ascii="宋体" w:hAnsi="Times New Roman" w:eastAsia="宋体" w:cs="宋体"/>
      <w:szCs w:val="21"/>
    </w:rPr>
  </w:style>
  <w:style w:type="character" w:customStyle="1" w:styleId="289">
    <w:name w:val="纯文本 Char"/>
    <w:qFormat/>
    <w:uiPriority w:val="0"/>
    <w:rPr>
      <w:rFonts w:ascii="宋体" w:hAnsi="Courier New" w:eastAsia="楷体_GB2312"/>
      <w:sz w:val="26"/>
    </w:rPr>
  </w:style>
  <w:style w:type="paragraph" w:customStyle="1" w:styleId="290">
    <w:name w:val="_Style 172"/>
    <w:basedOn w:val="1"/>
    <w:next w:val="116"/>
    <w:qFormat/>
    <w:uiPriority w:val="0"/>
    <w:pPr>
      <w:spacing w:line="360" w:lineRule="auto"/>
      <w:ind w:firstLine="420"/>
      <w:jc w:val="both"/>
    </w:pPr>
    <w:rPr>
      <w:rFonts w:ascii="Calibri" w:hAnsi="Calibri" w:cs="Times New Roman"/>
      <w:sz w:val="24"/>
      <w:szCs w:val="20"/>
    </w:rPr>
  </w:style>
  <w:style w:type="character" w:customStyle="1" w:styleId="291">
    <w:name w:val="_正文段落 Char"/>
    <w:link w:val="292"/>
    <w:qFormat/>
    <w:uiPriority w:val="0"/>
    <w:rPr>
      <w:rFonts w:ascii="宋体" w:hAnsi="宋体"/>
      <w:sz w:val="24"/>
      <w:szCs w:val="24"/>
    </w:rPr>
  </w:style>
  <w:style w:type="paragraph" w:customStyle="1" w:styleId="292">
    <w:name w:val="_正文段落"/>
    <w:basedOn w:val="1"/>
    <w:next w:val="1"/>
    <w:link w:val="291"/>
    <w:qFormat/>
    <w:uiPriority w:val="0"/>
    <w:pPr>
      <w:spacing w:line="360" w:lineRule="auto"/>
      <w:ind w:firstLine="200"/>
      <w:jc w:val="both"/>
    </w:pPr>
    <w:rPr>
      <w:rFonts w:hAnsi="宋体" w:cs="Times New Roman"/>
      <w:sz w:val="24"/>
      <w:szCs w:val="24"/>
    </w:rPr>
  </w:style>
  <w:style w:type="table" w:customStyle="1" w:styleId="293">
    <w:name w:val="Table Normal"/>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94">
    <w:name w:val="正文首行缩进 2 Char"/>
    <w:qFormat/>
    <w:uiPriority w:val="99"/>
    <w:rPr>
      <w:rFonts w:ascii="方正仿宋简体" w:hAnsi="创艺简仿宋" w:eastAsia="方正仿宋简体" w:cs="宋体"/>
      <w:sz w:val="24"/>
    </w:rPr>
  </w:style>
  <w:style w:type="character" w:customStyle="1" w:styleId="295">
    <w:name w:val="Plain Text Char"/>
    <w:qFormat/>
    <w:uiPriority w:val="0"/>
    <w:rPr>
      <w:rFonts w:ascii="宋体" w:hAnsi="Courier New" w:eastAsia="楷体_GB2312"/>
      <w:sz w:val="26"/>
    </w:rPr>
  </w:style>
  <w:style w:type="paragraph" w:customStyle="1" w:styleId="296">
    <w:name w:val="纯文本11"/>
    <w:basedOn w:val="1"/>
    <w:qFormat/>
    <w:uiPriority w:val="0"/>
    <w:pPr>
      <w:jc w:val="both"/>
    </w:pPr>
    <w:rPr>
      <w:rFonts w:hAnsi="Courier New" w:eastAsia="楷体_GB2312" w:cs="Times New Roman"/>
      <w:sz w:val="26"/>
      <w:szCs w:val="20"/>
    </w:rPr>
  </w:style>
  <w:style w:type="paragraph" w:customStyle="1" w:styleId="29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98">
    <w:name w:val="正文缩进1"/>
    <w:basedOn w:val="1"/>
    <w:qFormat/>
    <w:uiPriority w:val="0"/>
    <w:pPr>
      <w:ind w:firstLine="420"/>
    </w:pPr>
  </w:style>
  <w:style w:type="paragraph" w:customStyle="1" w:styleId="299">
    <w:name w:val="投标正文"/>
    <w:basedOn w:val="1"/>
    <w:qFormat/>
    <w:uiPriority w:val="0"/>
    <w:pPr>
      <w:ind w:firstLine="480"/>
    </w:pPr>
    <w:rPr>
      <w:rFonts w:ascii="Calibri" w:hAnsi="Calibri"/>
    </w:rPr>
  </w:style>
  <w:style w:type="character" w:customStyle="1" w:styleId="300">
    <w:name w:val="NormalCharacter"/>
    <w:semiHidden/>
    <w:qFormat/>
    <w:uiPriority w:val="0"/>
  </w:style>
  <w:style w:type="paragraph" w:customStyle="1" w:styleId="301">
    <w:name w:val="正文文本缩进1"/>
    <w:next w:val="1"/>
    <w:qFormat/>
    <w:uiPriority w:val="0"/>
    <w:pPr>
      <w:widowControl w:val="0"/>
      <w:spacing w:line="360" w:lineRule="auto"/>
      <w:ind w:firstLine="570"/>
      <w:jc w:val="both"/>
    </w:pPr>
    <w:rPr>
      <w:rFonts w:ascii="宋体"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1ABD53-9BC4-4CCF-9444-E8FFEB1986CC}">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18876</Words>
  <Characters>20542</Characters>
  <Lines>354</Lines>
  <Paragraphs>99</Paragraphs>
  <TotalTime>215</TotalTime>
  <ScaleCrop>false</ScaleCrop>
  <LinksUpToDate>false</LinksUpToDate>
  <CharactersWithSpaces>20855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2025-01-02T01:56:00Z</dcterms:created>
  <dc:creator>aminfh</dc:creator>
  <cp:lastModifiedBy>Chen</cp:lastModifiedBy>
  <dcterms:modified xsi:type="dcterms:W3CDTF">2025-04-28T07:43:22Z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8EF13F520D514C05803909F95E23B6D1_13</vt:lpwstr>
  </property>
  <property fmtid="{D5CDD505-2E9C-101B-9397-08002B2CF9AE}" pid="4" name="KSOTemplateDocerSaveRecord">
    <vt:lpwstr>eyJoZGlkIjoiNmRjNDI1ZTVmNGE2MWE4ZGYzNjIxYWMwMDNmYmM1ZDgiLCJ1c2VySWQiOiI0NDI4MzcyMTYifQ==</vt:lpwstr>
  </property>
</Properties>
</file>