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jc w:val="center"/>
        <w:rPr>
          <w:rFonts w:hint="eastAsia" w:eastAsia="黑体"/>
          <w:b/>
          <w:bCs/>
          <w:sz w:val="84"/>
        </w:rPr>
      </w:pPr>
      <w:r/>
      <w:bookmarkStart w:id="0" w:name="_Toc479757207"/>
      <w:r/>
      <w:bookmarkStart w:id="1" w:name="_Toc120614221"/>
      <w:r/>
      <w:bookmarkStart w:id="2" w:name="_Toc16938558"/>
      <w:r/>
      <w:bookmarkStart w:id="3" w:name="_Toc513029242"/>
      <w:r/>
      <w:bookmarkStart w:id="4" w:name="_Toc20823314"/>
      <w:r>
        <w:rPr>
          <w:rFonts w:hint="eastAsia" w:eastAsia="黑体"/>
          <w:b/>
          <w:bCs/>
          <w:sz w:val="84"/>
        </w:rPr>
        <w:t xml:space="preserve">招　标　文　件</w:t>
      </w:r>
      <w:r>
        <w:rPr>
          <w:rFonts w:hint="eastAsia" w:eastAsia="黑体"/>
          <w:b/>
          <w:bCs/>
          <w:sz w:val="84"/>
        </w:rPr>
      </w:r>
      <w:r/>
    </w:p>
    <w:p>
      <w:pPr>
        <w:pStyle w:val="1009"/>
        <w:ind w:firstLine="2249"/>
        <w:rPr>
          <w:rFonts w:hint="eastAsia"/>
          <w:b/>
          <w:bCs/>
          <w:sz w:val="32"/>
        </w:rPr>
      </w:pPr>
      <w:r>
        <w:rPr>
          <w:rFonts w:hint="eastAsia"/>
          <w:b/>
          <w:bCs/>
          <w:sz w:val="32"/>
        </w:rPr>
        <w:t xml:space="preserve">项目名称：</w:t>
      </w:r>
      <w:r>
        <w:rPr>
          <w:rFonts w:hint="eastAsia" w:hAnsi="宋体"/>
        </w:rPr>
        <w:t xml:space="preserve">横扇卫生院及区域性养老中心工程家具</w:t>
      </w:r>
      <w:r>
        <w:rPr>
          <w:rFonts w:hint="eastAsia"/>
          <w:b/>
          <w:bCs/>
          <w:sz w:val="32"/>
        </w:rPr>
      </w:r>
      <w:r/>
    </w:p>
    <w:p>
      <w:pPr>
        <w:pStyle w:val="923"/>
        <w:ind w:left="2100" w:firstLine="161"/>
        <w:rPr>
          <w:b/>
          <w:sz w:val="30"/>
          <w:szCs w:val="30"/>
        </w:rPr>
      </w:pPr>
      <w:r>
        <w:rPr>
          <w:rFonts w:hint="eastAsia"/>
          <w:b/>
          <w:bCs/>
          <w:sz w:val="32"/>
        </w:rPr>
        <w:t xml:space="preserve">项目编号：JSZC-320509-JZCG-G2024-00</w:t>
      </w:r>
      <w:r>
        <w:rPr>
          <w:rFonts w:hint="eastAsia"/>
          <w:b/>
          <w:bCs/>
          <w:sz w:val="32"/>
          <w:lang w:val="en-US" w:eastAsia="zh-CN"/>
        </w:rPr>
        <w:t xml:space="preserve">21</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1009"/>
        <w:ind w:firstLine="2249"/>
        <w:rPr>
          <w:rFonts w:hint="eastAsia"/>
          <w:b/>
          <w:bCs/>
          <w:sz w:val="32"/>
        </w:rPr>
      </w:pPr>
      <w:r>
        <w:rPr>
          <w:rFonts w:hint="eastAsia"/>
          <w:b/>
          <w:bCs/>
          <w:sz w:val="32"/>
        </w:rPr>
        <w:t xml:space="preserve">采购类别：</w:t>
      </w:r>
      <w:r>
        <w:rPr>
          <w:rFonts w:hint="eastAsia" w:hAnsi="宋体"/>
          <w:lang w:val="en-US" w:eastAsia="zh-CN"/>
        </w:rPr>
        <w:t xml:space="preserve">货物</w:t>
      </w:r>
      <w:r>
        <w:rPr>
          <w:rFonts w:hint="eastAsia" w:hAnsi="宋体"/>
        </w:rPr>
        <w:t xml:space="preserve">类</w:t>
      </w:r>
      <w:r>
        <w:rPr>
          <w:rFonts w:hint="eastAsia"/>
          <w:b/>
          <w:bCs/>
          <w:sz w:val="32"/>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spacing w:before="0" w:after="0"/>
        <w:rPr>
          <w:rFonts w:hint="eastAsia" w:ascii="宋体" w:hAnsi="宋体"/>
        </w:rPr>
      </w:pPr>
      <w:r>
        <w:rPr>
          <w:rFonts w:hint="eastAsia" w:ascii="宋体" w:hAnsi="宋体"/>
        </w:rPr>
      </w:r>
      <w:r/>
    </w:p>
    <w:p>
      <w:pPr>
        <w:pStyle w:val="1009"/>
        <w:ind w:firstLine="0"/>
        <w:jc w:val="center"/>
        <w:rPr>
          <w:rFonts w:hint="eastAsia"/>
          <w:b/>
          <w:bCs/>
          <w:sz w:val="32"/>
        </w:rPr>
      </w:pPr>
      <w:r>
        <w:rPr>
          <w:rFonts w:hint="eastAsia"/>
          <w:b/>
          <w:bCs/>
          <w:sz w:val="32"/>
        </w:rPr>
        <w:t xml:space="preserve">苏州市公共资源交易中心吴江分中心</w:t>
      </w:r>
      <w:r>
        <w:rPr>
          <w:rFonts w:hint="eastAsia"/>
          <w:b/>
          <w:bCs/>
          <w:sz w:val="32"/>
        </w:rPr>
      </w:r>
      <w:r/>
    </w:p>
    <w:p>
      <w:pPr>
        <w:pStyle w:val="1009"/>
        <w:ind w:firstLine="0"/>
        <w:jc w:val="center"/>
        <w:rPr>
          <w:rFonts w:hint="eastAsia"/>
          <w:b/>
          <w:bCs/>
          <w:sz w:val="32"/>
        </w:rPr>
      </w:pPr>
      <w:r>
        <w:rPr>
          <w:b/>
          <w:bCs/>
          <w:sz w:val="32"/>
        </w:rPr>
        <w:t xml:space="preserve">2024</w:t>
      </w:r>
      <w:r>
        <w:rPr>
          <w:rFonts w:hint="eastAsia"/>
          <w:b/>
          <w:bCs/>
          <w:sz w:val="32"/>
        </w:rPr>
        <w:t xml:space="preserve">年</w:t>
      </w:r>
      <w:r>
        <w:rPr>
          <w:b/>
          <w:bCs/>
          <w:sz w:val="32"/>
        </w:rPr>
        <w:t xml:space="preserve">0</w:t>
      </w:r>
      <w:r>
        <w:rPr>
          <w:rFonts w:hint="eastAsia"/>
          <w:b/>
          <w:bCs/>
          <w:sz w:val="32"/>
          <w:lang w:val="en-US" w:eastAsia="zh-CN"/>
        </w:rPr>
        <w:t xml:space="preserve">5</w:t>
      </w:r>
      <w:r>
        <w:rPr>
          <w:rFonts w:hint="eastAsia"/>
          <w:b/>
          <w:bCs/>
          <w:sz w:val="32"/>
        </w:rPr>
        <w:t xml:space="preserve">月</w:t>
      </w:r>
      <w:r>
        <w:rPr>
          <w:rFonts w:hint="eastAsia"/>
          <w:b/>
          <w:bCs/>
          <w:sz w:val="32"/>
        </w:rPr>
      </w:r>
      <w:r/>
    </w:p>
    <w:p>
      <w:pPr>
        <w:pStyle w:val="1009"/>
        <w:ind w:firstLine="0"/>
        <w:rPr>
          <w:rFonts w:hint="eastAsia"/>
          <w:u w:val="single"/>
        </w:rPr>
      </w:pPr>
      <w:r>
        <w:rPr>
          <w:rFonts w:hint="eastAsia"/>
        </w:rPr>
        <w:t xml:space="preserve">                        </w:t>
      </w:r>
      <w:r>
        <w:rPr>
          <w:rFonts w:hint="eastAsia"/>
          <w:u w:val="single"/>
        </w:rPr>
      </w:r>
      <w:r/>
    </w:p>
    <w:p>
      <w:pPr>
        <w:pStyle w:val="1009"/>
        <w:ind w:firstLine="0"/>
        <w:jc w:val="center"/>
        <w:rPr>
          <w:rFonts w:hint="eastAsia"/>
        </w:rPr>
      </w:pPr>
      <w:r>
        <w:rPr>
          <w:rFonts w:hint="eastAsia"/>
        </w:rPr>
      </w:r>
      <w:r/>
    </w:p>
    <w:p>
      <w:pPr>
        <w:pStyle w:val="923"/>
        <w:jc w:val="center"/>
        <w:spacing w:line="480" w:lineRule="auto"/>
        <w:rPr>
          <w:rFonts w:hint="eastAsia" w:ascii="黑体" w:hAnsi="Arial" w:eastAsia="黑体"/>
          <w:b/>
          <w:sz w:val="44"/>
        </w:rPr>
        <w:outlineLvl w:val="0"/>
      </w:pPr>
      <w:r>
        <w:br w:type="page" w:clear="all"/>
      </w:r>
      <w:r>
        <w:rPr>
          <w:rFonts w:hint="eastAsia"/>
        </w:rPr>
        <w:t xml:space="preserve"> </w:t>
      </w:r>
      <w:bookmarkStart w:id="5" w:name="_Toc162532988"/>
      <w:r>
        <w:rPr>
          <w:rFonts w:hint="eastAsia" w:ascii="黑体" w:hAnsi="Arial" w:eastAsia="黑体"/>
          <w:b/>
          <w:sz w:val="44"/>
        </w:rPr>
        <w:t xml:space="preserve">总  目  录</w:t>
      </w:r>
      <w:bookmarkEnd w:id="5"/>
      <w:r>
        <w:rPr>
          <w:rFonts w:hint="eastAsia" w:ascii="黑体" w:hAnsi="Arial" w:eastAsia="黑体"/>
          <w:b/>
          <w:sz w:val="44"/>
        </w:rPr>
      </w:r>
      <w:r/>
    </w:p>
    <w:p>
      <w:pPr>
        <w:pStyle w:val="974"/>
        <w:tabs>
          <w:tab w:val="right" w:pos="8720" w:leader="dot"/>
        </w:tabs>
        <w:rPr>
          <w:caps w:val="0"/>
          <w:lang w:val="en-US" w:eastAsia="zh-CN"/>
        </w:rPr>
      </w:pPr>
      <w:r>
        <w:rPr>
          <w:lang w:val="en-US"/>
        </w:rPr>
        <w:fldChar w:fldCharType="begin"/>
      </w:r>
      <w:r>
        <w:instrText xml:space="preserve"> TOC \o "1-3" \h \z \u </w:instrText>
      </w:r>
      <w:r>
        <w:rPr>
          <w:lang w:val="en-US"/>
        </w:rPr>
        <w:fldChar w:fldCharType="separate"/>
      </w:r>
      <w:r>
        <w:rPr>
          <w:rStyle w:val="997"/>
          <w:color w:val="000000"/>
        </w:rPr>
        <w:fldChar w:fldCharType="begin"/>
      </w:r>
      <w:r>
        <w:rPr>
          <w:rStyle w:val="997"/>
          <w:color w:val="000000"/>
        </w:rPr>
        <w:instrText xml:space="preserve"> </w:instrText>
      </w:r>
      <w:r>
        <w:instrText xml:space="preserve">HYPERLINK \l "_Toc162532989"</w:instrText>
      </w:r>
      <w:r>
        <w:rPr>
          <w:rStyle w:val="997"/>
          <w:color w:val="000000"/>
        </w:rPr>
        <w:instrText xml:space="preserve"> </w:instrText>
      </w:r>
      <w:r>
        <w:rPr>
          <w:rStyle w:val="997"/>
          <w:color w:val="000000"/>
        </w:rPr>
        <w:fldChar w:fldCharType="separate"/>
      </w:r>
      <w:r>
        <w:rPr>
          <w:rStyle w:val="997"/>
          <w:color w:val="000000"/>
        </w:rPr>
        <w:t xml:space="preserve">第一章  投标邀请</w:t>
      </w:r>
      <w:r>
        <w:tab/>
      </w:r>
      <w:r>
        <w:rPr>
          <w:rFonts w:hint="eastAsia"/>
          <w:lang w:val="en-US" w:eastAsia="zh-CN"/>
        </w:rPr>
        <w:t xml:space="preserve">2</w:t>
      </w:r>
      <w:r>
        <w:rPr>
          <w:rStyle w:val="997"/>
          <w:color w:val="000000"/>
        </w:rPr>
        <w:fldChar w:fldCharType="end"/>
      </w:r>
      <w:r>
        <w:rPr>
          <w:caps w:val="0"/>
          <w:lang w:val="en-US" w:eastAsia="zh-CN"/>
        </w:rPr>
      </w:r>
      <w:r/>
    </w:p>
    <w:p>
      <w:pPr>
        <w:pStyle w:val="981"/>
        <w:ind w:left="0"/>
        <w:tabs>
          <w:tab w:val="right" w:pos="8943" w:leader="dot"/>
        </w:tabs>
        <w:rPr>
          <w:rFonts w:ascii="宋体" w:hAnsi="宋体"/>
          <w:smallCaps w:val="0"/>
          <w:sz w:val="24"/>
        </w:rPr>
      </w:pPr>
      <w:r>
        <w:rPr>
          <w:rStyle w:val="997"/>
          <w:rFonts w:ascii="宋体" w:hAnsi="宋体"/>
          <w:color w:val="000000"/>
          <w:sz w:val="24"/>
        </w:rPr>
        <w:fldChar w:fldCharType="begin"/>
      </w:r>
      <w:r>
        <w:rPr>
          <w:rStyle w:val="997"/>
          <w:rFonts w:ascii="宋体" w:hAnsi="宋体"/>
          <w:color w:val="000000"/>
          <w:sz w:val="24"/>
        </w:rPr>
        <w:instrText xml:space="preserve"> </w:instrText>
      </w:r>
      <w:r>
        <w:rPr>
          <w:rFonts w:ascii="宋体" w:hAnsi="宋体"/>
          <w:sz w:val="24"/>
        </w:rPr>
        <w:instrText xml:space="preserve">HYPERLINK \l "_Toc162532998"</w:instrText>
      </w:r>
      <w:r>
        <w:rPr>
          <w:rStyle w:val="997"/>
          <w:rFonts w:ascii="宋体" w:hAnsi="宋体"/>
          <w:color w:val="000000"/>
          <w:sz w:val="24"/>
        </w:rPr>
        <w:instrText xml:space="preserve"> </w:instrText>
      </w:r>
      <w:r>
        <w:rPr>
          <w:rStyle w:val="997"/>
          <w:rFonts w:ascii="宋体" w:hAnsi="宋体"/>
          <w:color w:val="000000"/>
          <w:sz w:val="24"/>
        </w:rPr>
        <w:fldChar w:fldCharType="separate"/>
      </w:r>
      <w:r>
        <w:rPr>
          <w:rStyle w:val="997"/>
          <w:rFonts w:ascii="宋体" w:hAnsi="宋体"/>
          <w:color w:val="000000"/>
          <w:sz w:val="24"/>
        </w:rPr>
        <w:t xml:space="preserve">第二章  投标人须知</w:t>
      </w:r>
      <w:r>
        <w:rPr>
          <w:rFonts w:ascii="宋体" w:hAnsi="宋体"/>
          <w:sz w:val="24"/>
        </w:rPr>
        <w:tab/>
      </w:r>
      <w:r>
        <w:rPr>
          <w:rFonts w:hint="eastAsia" w:ascii="宋体" w:hAnsi="宋体"/>
          <w:sz w:val="24"/>
          <w:lang w:val="en-US" w:eastAsia="zh-CN"/>
        </w:rPr>
        <w:t xml:space="preserve">6</w:t>
      </w:r>
      <w:r>
        <w:rPr>
          <w:rStyle w:val="997"/>
          <w:rFonts w:ascii="宋体" w:hAnsi="宋体"/>
          <w:color w:val="000000"/>
          <w:sz w:val="24"/>
        </w:rPr>
        <w:fldChar w:fldCharType="end"/>
      </w:r>
      <w:r>
        <w:rPr>
          <w:rFonts w:ascii="宋体" w:hAnsi="宋体"/>
          <w:smallCaps w:val="0"/>
          <w:sz w:val="24"/>
        </w:rPr>
      </w:r>
      <w:r/>
    </w:p>
    <w:p>
      <w:pPr>
        <w:pStyle w:val="974"/>
        <w:tabs>
          <w:tab w:val="right" w:pos="8720" w:leader="dot"/>
        </w:tabs>
        <w:rPr>
          <w:rFonts w:hint="eastAsia" w:eastAsia="宋体"/>
          <w:caps w:val="0"/>
          <w:lang w:val="en-US" w:eastAsia="zh-CN"/>
        </w:rPr>
      </w:pPr>
      <w:r>
        <w:rPr>
          <w:rStyle w:val="997"/>
          <w:color w:val="000000"/>
        </w:rPr>
        <w:fldChar w:fldCharType="begin"/>
      </w:r>
      <w:r>
        <w:rPr>
          <w:rStyle w:val="997"/>
          <w:color w:val="000000"/>
        </w:rPr>
        <w:instrText xml:space="preserve"> </w:instrText>
      </w:r>
      <w:r>
        <w:instrText xml:space="preserve">HYPERLINK \l "_Toc162533006"</w:instrText>
      </w:r>
      <w:r>
        <w:rPr>
          <w:rStyle w:val="997"/>
          <w:color w:val="000000"/>
        </w:rPr>
        <w:instrText xml:space="preserve"> </w:instrText>
      </w:r>
      <w:r>
        <w:rPr>
          <w:rStyle w:val="997"/>
          <w:color w:val="000000"/>
        </w:rPr>
        <w:fldChar w:fldCharType="separate"/>
      </w:r>
      <w:r>
        <w:rPr>
          <w:rStyle w:val="997"/>
          <w:color w:val="000000"/>
        </w:rPr>
        <w:t xml:space="preserve">第三章  合同文本</w:t>
      </w:r>
      <w:r>
        <w:tab/>
      </w:r>
      <w:r>
        <w:rPr>
          <w:rFonts w:hint="eastAsia"/>
          <w:lang w:val="en-US" w:eastAsia="zh-CN"/>
        </w:rPr>
        <w:t xml:space="preserve">1</w:t>
      </w:r>
      <w:r>
        <w:rPr>
          <w:rStyle w:val="997"/>
          <w:color w:val="000000"/>
        </w:rPr>
        <w:fldChar w:fldCharType="end"/>
      </w:r>
      <w:r>
        <w:rPr>
          <w:rStyle w:val="997"/>
          <w:rFonts w:hint="eastAsia"/>
          <w:color w:val="000000"/>
          <w:u w:val="none"/>
          <w:lang w:val="en-US" w:eastAsia="zh-CN"/>
        </w:rPr>
        <w:t xml:space="preserve">7</w:t>
      </w:r>
      <w:r>
        <w:rPr>
          <w:rFonts w:hint="eastAsia" w:eastAsia="宋体"/>
          <w:caps w:val="0"/>
          <w:lang w:val="en-US" w:eastAsia="zh-CN"/>
        </w:rPr>
      </w:r>
      <w:r/>
    </w:p>
    <w:p>
      <w:pPr>
        <w:pStyle w:val="974"/>
        <w:tabs>
          <w:tab w:val="right" w:pos="8720" w:leader="dot"/>
        </w:tabs>
        <w:rPr>
          <w:rFonts w:hint="eastAsia" w:eastAsia="宋体"/>
          <w:caps w:val="0"/>
          <w:lang w:val="en-US" w:eastAsia="zh-CN"/>
        </w:rPr>
      </w:pPr>
      <w:r>
        <w:rPr>
          <w:rStyle w:val="997"/>
          <w:color w:val="000000"/>
        </w:rPr>
        <w:fldChar w:fldCharType="begin"/>
      </w:r>
      <w:r>
        <w:rPr>
          <w:rStyle w:val="997"/>
          <w:color w:val="000000"/>
        </w:rPr>
        <w:instrText xml:space="preserve"> </w:instrText>
      </w:r>
      <w:r>
        <w:instrText xml:space="preserve">HYPERLINK \l "_Toc162533007"</w:instrText>
      </w:r>
      <w:r>
        <w:rPr>
          <w:rStyle w:val="997"/>
          <w:color w:val="000000"/>
        </w:rPr>
        <w:instrText xml:space="preserve"> </w:instrText>
      </w:r>
      <w:r>
        <w:rPr>
          <w:rStyle w:val="997"/>
          <w:color w:val="000000"/>
        </w:rPr>
        <w:fldChar w:fldCharType="separate"/>
      </w:r>
      <w:r>
        <w:rPr>
          <w:rStyle w:val="997"/>
          <w:color w:val="000000"/>
        </w:rPr>
        <w:t xml:space="preserve">第四章 采购需求</w:t>
      </w:r>
      <w:r>
        <w:tab/>
      </w:r>
      <w:r>
        <w:fldChar w:fldCharType="begin"/>
      </w:r>
      <w:r>
        <w:instrText xml:space="preserve"> PAGEREF _Toc162533007 \h </w:instrText>
      </w:r>
      <w:r>
        <w:fldChar w:fldCharType="separate"/>
      </w:r>
      <w:r>
        <w:rPr>
          <w:rFonts w:hint="eastAsia"/>
          <w:lang w:val="en-US" w:eastAsia="zh-CN"/>
        </w:rPr>
        <w:t xml:space="preserve">2</w:t>
      </w:r>
      <w:r>
        <w:fldChar w:fldCharType="end"/>
      </w:r>
      <w:r>
        <w:rPr>
          <w:rStyle w:val="997"/>
          <w:color w:val="000000"/>
        </w:rPr>
        <w:fldChar w:fldCharType="end"/>
      </w:r>
      <w:r>
        <w:rPr>
          <w:rStyle w:val="997"/>
          <w:rFonts w:hint="eastAsia"/>
          <w:color w:val="000000"/>
          <w:u w:val="none"/>
          <w:lang w:val="en-US" w:eastAsia="zh-CN"/>
        </w:rPr>
        <w:t xml:space="preserve">3</w:t>
      </w:r>
      <w:r>
        <w:rPr>
          <w:rFonts w:hint="eastAsia" w:eastAsia="宋体"/>
          <w:caps w:val="0"/>
          <w:u w:val="none"/>
          <w:lang w:val="en-US" w:eastAsia="zh-CN"/>
        </w:rPr>
      </w:r>
      <w:r/>
    </w:p>
    <w:p>
      <w:pPr>
        <w:pStyle w:val="974"/>
        <w:tabs>
          <w:tab w:val="right" w:pos="8720" w:leader="dot"/>
        </w:tabs>
        <w:rPr>
          <w:rFonts w:hint="eastAsia" w:eastAsia="宋体"/>
          <w:caps w:val="0"/>
          <w:lang w:val="en-US" w:eastAsia="zh-CN"/>
        </w:rPr>
      </w:pPr>
      <w:r>
        <w:rPr>
          <w:rStyle w:val="997"/>
          <w:color w:val="000000"/>
        </w:rPr>
        <w:fldChar w:fldCharType="begin"/>
      </w:r>
      <w:r>
        <w:rPr>
          <w:rStyle w:val="997"/>
          <w:color w:val="000000"/>
        </w:rPr>
        <w:instrText xml:space="preserve"> </w:instrText>
      </w:r>
      <w:r>
        <w:instrText xml:space="preserve">HYPERLINK \l "_Toc162533016"</w:instrText>
      </w:r>
      <w:r>
        <w:rPr>
          <w:rStyle w:val="997"/>
          <w:color w:val="000000"/>
        </w:rPr>
        <w:instrText xml:space="preserve"> </w:instrText>
      </w:r>
      <w:r>
        <w:rPr>
          <w:rStyle w:val="997"/>
          <w:color w:val="000000"/>
        </w:rPr>
        <w:fldChar w:fldCharType="separate"/>
      </w:r>
      <w:r>
        <w:rPr>
          <w:rStyle w:val="997"/>
          <w:color w:val="000000"/>
        </w:rPr>
        <w:t xml:space="preserve">第五章  评标方法与评标标准</w:t>
      </w:r>
      <w:r>
        <w:tab/>
      </w:r>
      <w:r>
        <w:rPr>
          <w:rFonts w:hint="eastAsia"/>
          <w:lang w:val="en-US" w:eastAsia="zh-CN"/>
        </w:rPr>
        <w:t xml:space="preserve">20</w:t>
      </w:r>
      <w:r>
        <w:rPr>
          <w:rStyle w:val="997"/>
          <w:color w:val="000000"/>
        </w:rPr>
        <w:fldChar w:fldCharType="end"/>
      </w:r>
      <w:r>
        <w:rPr>
          <w:rStyle w:val="997"/>
          <w:rFonts w:hint="eastAsia"/>
          <w:color w:val="000000"/>
          <w:u w:val="none"/>
          <w:lang w:val="en-US" w:eastAsia="zh-CN"/>
        </w:rPr>
        <w:t xml:space="preserve">9</w:t>
      </w:r>
      <w:r>
        <w:rPr>
          <w:rFonts w:hint="eastAsia" w:eastAsia="宋体"/>
          <w:caps w:val="0"/>
          <w:lang w:val="en-US" w:eastAsia="zh-CN"/>
        </w:rPr>
      </w:r>
      <w:r/>
    </w:p>
    <w:p>
      <w:pPr>
        <w:pStyle w:val="974"/>
        <w:tabs>
          <w:tab w:val="right" w:pos="8720" w:leader="dot"/>
        </w:tabs>
        <w:rPr>
          <w:rFonts w:eastAsia="宋体"/>
          <w:caps w:val="0"/>
          <w:lang w:val="en-US" w:eastAsia="zh-CN"/>
        </w:rPr>
      </w:pPr>
      <w:r>
        <w:rPr>
          <w:rStyle w:val="997"/>
          <w:color w:val="000000"/>
        </w:rPr>
        <w:fldChar w:fldCharType="begin"/>
      </w:r>
      <w:r>
        <w:rPr>
          <w:rStyle w:val="997"/>
          <w:color w:val="000000"/>
        </w:rPr>
        <w:instrText xml:space="preserve"> </w:instrText>
      </w:r>
      <w:r>
        <w:instrText xml:space="preserve">HYPERLINK \l "_Toc162533017"</w:instrText>
      </w:r>
      <w:r>
        <w:rPr>
          <w:rStyle w:val="997"/>
          <w:color w:val="000000"/>
        </w:rPr>
        <w:instrText xml:space="preserve"> </w:instrText>
      </w:r>
      <w:r>
        <w:rPr>
          <w:rStyle w:val="997"/>
          <w:color w:val="000000"/>
        </w:rPr>
        <w:fldChar w:fldCharType="separate"/>
      </w:r>
      <w:r>
        <w:rPr>
          <w:rStyle w:val="997"/>
          <w:color w:val="000000"/>
        </w:rPr>
        <w:t xml:space="preserve">第六章  投标文件格式</w:t>
      </w:r>
      <w:r>
        <w:tab/>
      </w:r>
      <w:r>
        <w:rPr>
          <w:rFonts w:hint="eastAsia"/>
          <w:lang w:val="en-US" w:eastAsia="zh-CN"/>
        </w:rPr>
        <w:t xml:space="preserve">2</w:t>
      </w:r>
      <w:r>
        <w:rPr>
          <w:rStyle w:val="997"/>
          <w:color w:val="000000"/>
        </w:rPr>
        <w:fldChar w:fldCharType="end"/>
      </w:r>
      <w:r>
        <w:rPr>
          <w:rStyle w:val="997"/>
          <w:rFonts w:hint="eastAsia"/>
          <w:color w:val="000000"/>
          <w:u w:val="none"/>
          <w:lang w:val="en-US" w:eastAsia="zh-CN"/>
        </w:rPr>
        <w:t xml:space="preserve">13</w:t>
      </w:r>
      <w:r>
        <w:rPr>
          <w:rFonts w:eastAsia="宋体"/>
          <w:caps w:val="0"/>
          <w:u w:val="none"/>
          <w:lang w:val="en-US" w:eastAsia="zh-CN"/>
        </w:rPr>
      </w:r>
      <w:r/>
    </w:p>
    <w:p>
      <w:pPr>
        <w:pStyle w:val="923"/>
        <w:rPr>
          <w:b/>
          <w:bCs/>
          <w:lang w:val="zh-CN"/>
        </w:rPr>
      </w:pPr>
      <w:r>
        <w:rPr>
          <w:b/>
          <w:bCs/>
          <w:lang w:val="zh-CN"/>
        </w:rPr>
        <w:fldChar w:fldCharType="end"/>
      </w:r>
      <w:r>
        <w:rPr>
          <w:b/>
          <w:bCs/>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1037"/>
        <w:tabs>
          <w:tab w:val="left" w:pos="5250" w:leader="none"/>
        </w:tabs>
        <w:rPr>
          <w:lang w:val="zh-CN"/>
        </w:rPr>
      </w:pPr>
      <w:r>
        <w:rPr>
          <w:lang w:val="zh-CN"/>
        </w:rPr>
      </w:r>
      <w:r/>
    </w:p>
    <w:p>
      <w:pPr>
        <w:pStyle w:val="923"/>
        <w:rPr>
          <w:lang w:val="zh-CN"/>
        </w:rPr>
      </w:pPr>
      <w:r>
        <w:rPr>
          <w:lang w:val="zh-CN"/>
        </w:rPr>
      </w:r>
      <w:r/>
    </w:p>
    <w:p>
      <w:pPr>
        <w:pStyle w:val="923"/>
        <w:rPr>
          <w:lang w:val="zh-CN"/>
        </w:rPr>
      </w:pPr>
      <w:r>
        <w:rPr>
          <w:lang w:val="zh-CN"/>
        </w:rPr>
      </w:r>
      <w:r/>
    </w:p>
    <w:p>
      <w:pPr>
        <w:pStyle w:val="923"/>
        <w:rPr>
          <w:lang w:val="zh-CN"/>
        </w:rPr>
      </w:pPr>
      <w:r>
        <w:rPr>
          <w:lang w:val="zh-CN"/>
        </w:rPr>
      </w:r>
      <w:r/>
    </w:p>
    <w:p>
      <w:pPr>
        <w:pStyle w:val="923"/>
        <w:rPr>
          <w:rFonts w:hint="eastAsia"/>
          <w:lang w:val="zh-CN"/>
        </w:rPr>
      </w:pPr>
      <w:r>
        <w:rPr>
          <w:rFonts w:hint="eastAsia"/>
          <w:lang w:val="zh-CN"/>
        </w:rPr>
      </w:r>
      <w:r/>
    </w:p>
    <w:p>
      <w:pPr>
        <w:pStyle w:val="923"/>
        <w:jc w:val="center"/>
        <w:keepLines w:val="0"/>
        <w:keepNext/>
        <w:pageBreakBefore w:val="0"/>
        <w:spacing w:line="580" w:lineRule="exact"/>
        <w:widowControl w:val="off"/>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投标邀请</w:t>
      </w:r>
      <w:r>
        <w:rPr>
          <w:rFonts w:hint="eastAsia" w:ascii="黑体" w:hAnsi="Times New Roman" w:eastAsia="黑体"/>
          <w:bCs/>
          <w:color w:val="000000"/>
          <w:sz w:val="44"/>
          <w:szCs w:val="44"/>
        </w:rPr>
      </w:r>
      <w:r/>
    </w:p>
    <w:p>
      <w:pPr>
        <w:pStyle w:val="923"/>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3"/>
        <w:ind w:firstLine="480"/>
        <w:spacing w:after="12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eastAsia="zh-CN"/>
        </w:rPr>
        <w:t xml:space="preserve">横扇卫生院及区域性养老中心工程家具</w:t>
      </w:r>
      <w:r>
        <w:rPr>
          <w:rFonts w:hint="eastAsia" w:ascii="宋体" w:hAnsi="宋体"/>
          <w:color w:val="000000"/>
          <w:sz w:val="24"/>
          <w:szCs w:val="24"/>
          <w:u w:val="none"/>
        </w:rPr>
        <w:t xml:space="preserve">JSZC-320509-JZCG-G2024-0021 </w:t>
      </w:r>
      <w:r>
        <w:rPr>
          <w:rFonts w:hint="eastAsia" w:ascii="宋体" w:hAnsi="宋体"/>
          <w:color w:val="000000"/>
          <w:sz w:val="24"/>
          <w:szCs w:val="24"/>
        </w:rPr>
        <w:t xml:space="preserve">招标项目的潜在投标人应在“苏采云”系统（网址：http://jszfcg.jsczt.cn/） 获取招标文件，并于2024-06-</w:t>
      </w:r>
      <w:r>
        <w:rPr>
          <w:rFonts w:hint="eastAsia" w:ascii="宋体" w:hAnsi="宋体"/>
          <w:color w:val="000000"/>
          <w:sz w:val="24"/>
          <w:szCs w:val="24"/>
          <w:lang w:val="en-US" w:eastAsia="zh-CN"/>
        </w:rPr>
        <w:t xml:space="preserve">24</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13</w:t>
      </w:r>
      <w:r>
        <w:rPr>
          <w:rFonts w:hint="eastAsia" w:ascii="宋体" w:hAnsi="宋体"/>
          <w:color w:val="000000"/>
          <w:sz w:val="24"/>
          <w:szCs w:val="24"/>
        </w:rPr>
        <w:t xml:space="preserve">:30 （北京时间）前递交投标文件。</w:t>
      </w:r>
      <w:r>
        <w:rPr>
          <w:rFonts w:ascii="宋体" w:hAnsi="宋体"/>
          <w:color w:val="000000"/>
          <w:sz w:val="24"/>
          <w:szCs w:val="24"/>
        </w:rPr>
      </w:r>
      <w:r/>
    </w:p>
    <w:p>
      <w:pPr>
        <w:pStyle w:val="923"/>
        <w:keepLines/>
        <w:keepNext/>
        <w:pageBreakBefore w:val="0"/>
        <w:spacing w:line="58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一、项目基本情况</w:t>
      </w:r>
      <w:r>
        <w:rPr>
          <w:rFonts w:ascii="Times New Roman" w:hAnsi="Times New Roman"/>
          <w:b/>
          <w:bCs/>
          <w:color w:val="000000"/>
          <w:sz w:val="32"/>
          <w:szCs w:val="32"/>
        </w:rPr>
      </w:r>
      <w:r/>
    </w:p>
    <w:p>
      <w:pPr>
        <w:pStyle w:val="923"/>
        <w:ind w:firstLine="480"/>
        <w:keepLines w:val="0"/>
        <w:keepNext w:val="0"/>
        <w:pageBreakBefore w:val="0"/>
        <w:spacing w:line="580" w:lineRule="exact"/>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：JSZC-320509-JZCG-G2024-00</w:t>
      </w:r>
      <w:r>
        <w:rPr>
          <w:rFonts w:hint="eastAsia" w:ascii="宋体" w:hAnsi="宋体"/>
          <w:color w:val="000000"/>
          <w:sz w:val="24"/>
          <w:szCs w:val="24"/>
          <w:lang w:val="en-US" w:eastAsia="zh-CN"/>
        </w:rPr>
        <w:t xml:space="preserve">21</w:t>
      </w:r>
      <w:r>
        <w:rPr>
          <w:rFonts w:ascii="宋体" w:hAnsi="宋体" w:eastAsia="宋体"/>
          <w:color w:val="000000"/>
          <w:sz w:val="24"/>
          <w:szCs w:val="24"/>
          <w:lang w:val="en-US" w:eastAsia="zh-CN"/>
        </w:rPr>
      </w:r>
      <w:r/>
    </w:p>
    <w:p>
      <w:pPr>
        <w:pStyle w:val="923"/>
        <w:ind w:firstLine="480"/>
        <w:keepLines w:val="0"/>
        <w:keepNext w:val="0"/>
        <w:pageBreakBefore w:val="0"/>
        <w:spacing w:line="580" w:lineRule="exact"/>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：横扇卫生院及区域性养老中心工程家具</w:t>
      </w:r>
      <w:r>
        <w:rPr>
          <w:rFonts w:hint="eastAsia" w:ascii="宋体" w:hAnsi="宋体" w:eastAsia="宋体"/>
          <w:color w:val="000000"/>
          <w:sz w:val="24"/>
          <w:szCs w:val="24"/>
          <w:lang w:eastAsia="zh-CN"/>
        </w:rPr>
      </w:r>
      <w:r/>
    </w:p>
    <w:p>
      <w:pPr>
        <w:pStyle w:val="923"/>
        <w:ind w:firstLine="480"/>
        <w:keepLines w:val="0"/>
        <w:keepNext w:val="0"/>
        <w:pageBreakBefore w:val="0"/>
        <w:spacing w:after="120" w:line="580" w:lineRule="exact"/>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预算金额</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200万元</w:t>
      </w:r>
      <w:r>
        <w:rPr>
          <w:rFonts w:ascii="宋体" w:hAnsi="宋体" w:eastAsia="宋体"/>
          <w:color w:val="000000"/>
          <w:sz w:val="24"/>
          <w:szCs w:val="24"/>
          <w:lang w:val="en-US" w:eastAsia="zh-CN"/>
        </w:rPr>
      </w:r>
      <w:r/>
    </w:p>
    <w:p>
      <w:pPr>
        <w:pStyle w:val="923"/>
        <w:ind w:firstLine="480"/>
        <w:keepLines w:val="0"/>
        <w:keepNext w:val="0"/>
        <w:pageBreakBefore w:val="0"/>
        <w:spacing w:line="580" w:lineRule="exact"/>
        <w:widowControl w:val="off"/>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最高限价（</w:t>
      </w:r>
      <w:r>
        <w:rPr>
          <w:rFonts w:hint="eastAsia" w:ascii="宋体" w:hAnsi="宋体"/>
          <w:color w:val="000000"/>
          <w:sz w:val="24"/>
          <w:szCs w:val="24"/>
          <w:lang w:val="en-US" w:eastAsia="zh-CN"/>
        </w:rPr>
        <w:t xml:space="preserve">如有</w:t>
      </w:r>
      <w:r>
        <w:rPr>
          <w:rFonts w:hint="eastAsia" w:ascii="宋体" w:hAnsi="宋体"/>
          <w:color w:val="000000"/>
          <w:sz w:val="24"/>
          <w:szCs w:val="24"/>
          <w:lang w:eastAsia="zh-CN"/>
        </w:rPr>
        <w:t xml:space="preserve">）：189</w:t>
      </w:r>
      <w:r>
        <w:rPr>
          <w:rFonts w:hint="eastAsia" w:ascii="宋体" w:hAnsi="宋体"/>
          <w:color w:val="000000"/>
          <w:sz w:val="24"/>
          <w:szCs w:val="24"/>
          <w:lang w:val="en-US" w:eastAsia="zh-CN"/>
        </w:rPr>
        <w:t xml:space="preserve">.</w:t>
      </w:r>
      <w:r>
        <w:rPr>
          <w:rFonts w:hint="eastAsia" w:ascii="宋体" w:hAnsi="宋体"/>
          <w:color w:val="000000"/>
          <w:sz w:val="24"/>
          <w:szCs w:val="24"/>
          <w:lang w:eastAsia="zh-CN"/>
        </w:rPr>
        <w:t xml:space="preserve">863715</w:t>
      </w:r>
      <w:r>
        <w:rPr>
          <w:rFonts w:hint="eastAsia" w:ascii="宋体" w:hAnsi="宋体"/>
          <w:color w:val="000000"/>
          <w:sz w:val="24"/>
          <w:szCs w:val="24"/>
          <w:lang w:val="en-US" w:eastAsia="zh-CN"/>
        </w:rPr>
        <w:t xml:space="preserve">万</w:t>
      </w:r>
      <w:r>
        <w:rPr>
          <w:rFonts w:hint="eastAsia" w:ascii="宋体" w:hAnsi="宋体"/>
          <w:color w:val="000000"/>
          <w:sz w:val="24"/>
          <w:szCs w:val="24"/>
          <w:lang w:eastAsia="zh-CN"/>
        </w:rPr>
        <w:t xml:space="preserve">元</w:t>
      </w:r>
      <w:r>
        <w:rPr>
          <w:rFonts w:hint="eastAsia" w:ascii="宋体" w:hAnsi="宋体" w:eastAsia="宋体"/>
          <w:color w:val="000000"/>
          <w:sz w:val="24"/>
          <w:szCs w:val="24"/>
          <w:lang w:eastAsia="zh-CN"/>
        </w:rPr>
      </w:r>
      <w:r/>
    </w:p>
    <w:p>
      <w:pPr>
        <w:pStyle w:val="923"/>
        <w:ind w:firstLine="480"/>
        <w:keepLines w:val="0"/>
        <w:keepNext w:val="0"/>
        <w:pageBreakBefore w:val="0"/>
        <w:spacing w:line="58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rPr>
      </w:r>
      <w:r/>
    </w:p>
    <w:tbl>
      <w:tblPr>
        <w:tblStyle w:val="993"/>
        <w:tblW w:w="70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382"/>
        <w:gridCol w:w="1412"/>
        <w:gridCol w:w="1950"/>
      </w:tblGrid>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序号</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品名</w:t>
            </w: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数量</w:t>
            </w:r>
            <w:r>
              <w:rPr>
                <w:rFonts w:hint="eastAsia"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rPr>
              <w:t xml:space="preserve">单位</w:t>
            </w:r>
            <w:r>
              <w:rPr>
                <w:rFonts w:hint="eastAsia"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功能转椅</w:t>
            </w:r>
            <w:r>
              <w:rPr>
                <w:rFonts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把</w:t>
            </w:r>
            <w:r>
              <w:rPr>
                <w:rFonts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功能转椅</w:t>
            </w:r>
            <w:r>
              <w:rPr>
                <w:rFonts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2</w:t>
            </w:r>
            <w:r>
              <w:rPr>
                <w:rFonts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把</w:t>
            </w:r>
            <w:r>
              <w:rPr>
                <w:rFonts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三连位等候椅</w:t>
            </w:r>
            <w:r>
              <w:rPr>
                <w:rFonts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8</w:t>
            </w:r>
            <w:r>
              <w:rPr>
                <w:rFonts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张</w:t>
            </w:r>
            <w:r>
              <w:rPr>
                <w:rFonts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收费桌</w:t>
            </w: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11</w:t>
            </w:r>
            <w:r>
              <w:rPr>
                <w:rFonts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Times New Roman"/>
                <w:color w:val="000000"/>
                <w:sz w:val="24"/>
                <w:szCs w:val="24"/>
                <w:highlight w:val="none"/>
                <w:lang w:val="en-US" w:eastAsia="zh-CN" w:bidi="ar-SA"/>
              </w:rPr>
            </w:r>
            <w:r/>
          </w:p>
        </w:tc>
      </w:tr>
      <w:tr>
        <w:trPr/>
        <w:tc>
          <w:tcPr>
            <w:tcW w:w="1354"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微软雅黑" w:hAnsi="微软雅黑" w:eastAsia="微软雅黑" w:cs="微软雅黑"/>
                <w:sz w:val="21"/>
                <w:szCs w:val="21"/>
                <w:highlight w:val="none"/>
              </w:rPr>
              <w:t xml:space="preserve">……</w:t>
            </w:r>
            <w:r>
              <w:rPr>
                <w:rFonts w:hint="eastAsia" w:ascii="宋体" w:hAnsi="宋体" w:eastAsia="宋体" w:cs="Times New Roman"/>
                <w:color w:val="000000"/>
                <w:sz w:val="24"/>
                <w:szCs w:val="24"/>
                <w:highlight w:val="none"/>
                <w:lang w:val="en-US" w:eastAsia="zh-CN" w:bidi="ar-SA"/>
              </w:rPr>
            </w:r>
            <w:r/>
          </w:p>
        </w:tc>
        <w:tc>
          <w:tcPr>
            <w:tcW w:w="2382"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微软雅黑" w:hAnsi="微软雅黑" w:eastAsia="微软雅黑" w:cs="微软雅黑"/>
                <w:sz w:val="21"/>
                <w:szCs w:val="21"/>
                <w:highlight w:val="none"/>
              </w:rPr>
              <w:t xml:space="preserve">……</w:t>
            </w:r>
            <w:r>
              <w:rPr>
                <w:rFonts w:hint="eastAsia" w:ascii="宋体" w:hAnsi="宋体" w:eastAsia="宋体" w:cs="Times New Roman"/>
                <w:color w:val="000000"/>
                <w:sz w:val="24"/>
                <w:szCs w:val="24"/>
                <w:highlight w:val="none"/>
                <w:lang w:val="en-US" w:eastAsia="zh-CN" w:bidi="ar-SA"/>
              </w:rPr>
            </w:r>
            <w:r/>
          </w:p>
        </w:tc>
        <w:tc>
          <w:tcPr>
            <w:tcW w:w="1412"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微软雅黑" w:hAnsi="微软雅黑" w:eastAsia="微软雅黑" w:cs="微软雅黑"/>
                <w:sz w:val="21"/>
                <w:szCs w:val="21"/>
                <w:highlight w:val="none"/>
              </w:rPr>
              <w:t xml:space="preserve">……</w:t>
            </w:r>
            <w:r>
              <w:rPr>
                <w:rFonts w:hint="eastAsia" w:ascii="宋体" w:hAnsi="宋体" w:eastAsia="宋体" w:cs="Times New Roman"/>
                <w:color w:val="000000"/>
                <w:sz w:val="24"/>
                <w:szCs w:val="24"/>
                <w:highlight w:val="none"/>
                <w:lang w:val="en-US" w:eastAsia="zh-CN" w:bidi="ar-SA"/>
              </w:rPr>
            </w:r>
            <w:r/>
          </w:p>
        </w:tc>
        <w:tc>
          <w:tcPr>
            <w:tcW w:w="1950" w:type="dxa"/>
            <w:vAlign w:val="center"/>
            <w:textDirection w:val="lrTb"/>
            <w:noWrap w:val="false"/>
          </w:tcPr>
          <w:p>
            <w:pPr>
              <w:pStyle w:val="954"/>
              <w:jc w:val="center"/>
              <w:rPr>
                <w:rFonts w:hint="eastAsia" w:ascii="宋体" w:hAnsi="宋体" w:eastAsia="宋体" w:cs="Times New Roman"/>
                <w:color w:val="000000"/>
                <w:sz w:val="24"/>
                <w:szCs w:val="24"/>
                <w:highlight w:val="none"/>
                <w:lang w:val="en-US" w:eastAsia="zh-CN" w:bidi="ar-SA"/>
              </w:rPr>
            </w:pPr>
            <w:r>
              <w:rPr>
                <w:rFonts w:hint="eastAsia" w:ascii="微软雅黑" w:hAnsi="微软雅黑" w:eastAsia="微软雅黑" w:cs="微软雅黑"/>
                <w:sz w:val="21"/>
                <w:szCs w:val="21"/>
                <w:highlight w:val="none"/>
              </w:rPr>
              <w:t xml:space="preserve">……</w:t>
            </w:r>
            <w:r>
              <w:rPr>
                <w:rFonts w:hint="eastAsia" w:ascii="宋体" w:hAnsi="宋体" w:eastAsia="宋体" w:cs="Times New Roman"/>
                <w:color w:val="000000"/>
                <w:sz w:val="24"/>
                <w:szCs w:val="24"/>
                <w:highlight w:val="none"/>
                <w:lang w:val="en-US" w:eastAsia="zh-CN" w:bidi="ar-SA"/>
              </w:rPr>
            </w:r>
            <w:r/>
          </w:p>
        </w:tc>
      </w:tr>
    </w:tbl>
    <w:p>
      <w:pPr>
        <w:pStyle w:val="923"/>
        <w:ind w:firstLine="480"/>
        <w:keepLines w:val="0"/>
        <w:keepNext w:val="0"/>
        <w:pageBreakBefore w:val="0"/>
        <w:spacing w:line="5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合同履行期限：</w:t>
      </w:r>
      <w:r>
        <w:rPr>
          <w:rFonts w:hint="eastAsia" w:ascii="宋体" w:hAnsi="宋体" w:eastAsia="宋体" w:cs="Times New Roman"/>
          <w:color w:val="000000"/>
          <w:sz w:val="24"/>
          <w:szCs w:val="24"/>
          <w:lang w:val="en-US" w:eastAsia="zh-CN"/>
        </w:rPr>
        <w:t xml:space="preserve">60天，具体以采购人通知为准。</w:t>
      </w:r>
      <w:r>
        <w:rPr>
          <w:rFonts w:hint="eastAsia" w:ascii="宋体" w:hAnsi="宋体" w:eastAsia="宋体" w:cs="Times New Roman"/>
          <w:color w:val="000000"/>
          <w:sz w:val="24"/>
          <w:szCs w:val="24"/>
          <w:lang w:eastAsia="zh-CN"/>
        </w:rPr>
      </w:r>
      <w:r/>
    </w:p>
    <w:p>
      <w:pPr>
        <w:pStyle w:val="923"/>
        <w:ind w:firstLine="480"/>
        <w:keepLines w:val="0"/>
        <w:keepNext w:val="0"/>
        <w:pageBreakBefore w:val="0"/>
        <w:spacing w:line="58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本项目（是/否）接受联合体投标：不接受联合体</w:t>
      </w:r>
      <w:r>
        <w:rPr>
          <w:rFonts w:hint="eastAsia" w:ascii="宋体" w:hAnsi="宋体" w:eastAsia="宋体" w:cs="Times New Roman"/>
          <w:color w:val="000000"/>
          <w:sz w:val="24"/>
          <w:szCs w:val="24"/>
        </w:rPr>
      </w:r>
      <w:r/>
    </w:p>
    <w:p>
      <w:pPr>
        <w:pStyle w:val="923"/>
        <w:keepLines/>
        <w:keepNext/>
        <w:pageBreakBefore w:val="0"/>
        <w:spacing w:before="145" w:after="145" w:line="580" w:lineRule="exact"/>
        <w:widowControl w:val="off"/>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r>
        <w:rPr>
          <w:rFonts w:ascii="Times New Roman" w:hAnsi="Times New Roman"/>
          <w:b/>
          <w:bCs/>
          <w:color w:val="000000"/>
          <w:sz w:val="32"/>
          <w:szCs w:val="32"/>
        </w:rPr>
      </w:r>
      <w:r/>
    </w:p>
    <w:p>
      <w:pPr>
        <w:pStyle w:val="923"/>
        <w:ind w:firstLine="480"/>
        <w:pageBreakBefore w:val="0"/>
        <w:spacing w:line="580" w:lineRule="exact"/>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满足《中华人民共和国政府采购法》第二十二条规定：</w:t>
      </w:r>
      <w:r>
        <w:rPr>
          <w:rFonts w:hint="eastAsia" w:ascii="宋体" w:hAnsi="宋体"/>
          <w:color w:val="000000"/>
          <w:sz w:val="24"/>
          <w:szCs w:val="24"/>
        </w:rPr>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1.具有独立承担民事责任的能力。提供法人或者其他组织的营业执照等证明文件，自然人的身份证明。</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2.具有良好的商业信誉和健全的财务会计制度证明。提供最近一期经审计的财务报告或银行出具的资信证明。</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3.有依法缴纳税收和社会保障资金的良好记录。提供参加本次政府采购活动前依法缴纳税收和社会保障资金的相关材料。</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4.提供具有履行合同所必需的设备和专业技术能力的书面声明。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5.提供参加政府采购活动前三年内在经营活动中没有重大违法记录的书面声明。</w:t>
      </w:r>
      <w:r/>
    </w:p>
    <w:p>
      <w:pPr>
        <w:pStyle w:val="923"/>
        <w:ind w:firstLine="480"/>
        <w:pageBreakBefore w:val="0"/>
        <w:spacing w:line="580" w:lineRule="exact"/>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3"/>
        <w:ind w:firstLine="480"/>
        <w:pageBreakBefore w:val="0"/>
        <w:spacing w:line="58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（二）</w:t>
      </w:r>
      <w:r>
        <w:rPr>
          <w:rFonts w:hint="eastAsia" w:ascii="宋体" w:hAnsi="宋体"/>
          <w:color w:val="000000"/>
          <w:sz w:val="24"/>
          <w:szCs w:val="24"/>
        </w:rPr>
        <w:t xml:space="preserve">落实政府采购政策需满足的资格要求：</w:t>
      </w:r>
      <w:r>
        <w:rPr>
          <w:rFonts w:hint="eastAsia" w:ascii="宋体" w:hAnsi="宋体"/>
          <w:color w:val="000000"/>
          <w:sz w:val="24"/>
          <w:szCs w:val="24"/>
        </w:rPr>
      </w:r>
      <w:r/>
    </w:p>
    <w:p>
      <w:pPr>
        <w:pStyle w:val="923"/>
        <w:ind w:firstLine="480"/>
        <w:pageBreakBefore w:val="0"/>
        <w:spacing w:line="580" w:lineRule="exact"/>
        <w:widowControl w:val="off"/>
        <w:rPr>
          <w:rFonts w:ascii="宋体" w:hAnsi="宋体"/>
          <w:b w:val="0"/>
          <w:bCs w:val="0"/>
          <w:color w:val="000000"/>
          <w:sz w:val="24"/>
          <w:szCs w:val="24"/>
          <w:lang w:val="en-US" w:eastAsia="zh-CN"/>
        </w:rPr>
      </w:pPr>
      <w:r>
        <w:rPr>
          <w:rFonts w:hint="eastAsia" w:ascii="宋体" w:hAnsi="宋体" w:eastAsia="宋体" w:cs="Times New Roman"/>
          <w:b w:val="0"/>
          <w:bCs w:val="0"/>
          <w:sz w:val="24"/>
          <w:szCs w:val="24"/>
        </w:rPr>
        <w:t xml:space="preserve">根据《政府采购促进中小企业发展管理办法》的相关规定，本项目专门面向中小企业，承接服务的供应商应为中小微企业、监狱企业、残疾人福利性单位。</w:t>
      </w:r>
      <w:r>
        <w:rPr>
          <w:rFonts w:ascii="宋体" w:hAnsi="宋体"/>
          <w:b w:val="0"/>
          <w:bCs w:val="0"/>
          <w:color w:val="000000"/>
          <w:sz w:val="24"/>
          <w:szCs w:val="24"/>
          <w:lang w:val="en-US" w:eastAsia="zh-CN"/>
        </w:rPr>
      </w:r>
      <w:r/>
    </w:p>
    <w:p>
      <w:pPr>
        <w:pStyle w:val="923"/>
        <w:ind w:firstLine="480"/>
        <w:pageBreakBefore w:val="0"/>
        <w:spacing w:line="580" w:lineRule="exact"/>
        <w:widowControl w:val="off"/>
        <w:rPr>
          <w:rFonts w:hint="eastAsia" w:ascii="宋体" w:hAnsi="宋体"/>
          <w:color w:val="000000"/>
          <w:sz w:val="24"/>
          <w:szCs w:val="24"/>
          <w:highlight w:val="none"/>
          <w:lang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23"/>
        <w:ind w:firstLine="480"/>
        <w:pageBreakBefore w:val="0"/>
        <w:spacing w:line="580" w:lineRule="exact"/>
        <w:widowControl w:val="off"/>
        <w:rPr>
          <w:rFonts w:hint="eastAsia"/>
          <w:lang w:eastAsia="zh-CN"/>
        </w:rPr>
      </w:pPr>
      <w:r>
        <w:rPr>
          <w:rFonts w:hint="eastAsia" w:ascii="宋体" w:hAnsi="宋体"/>
          <w:color w:val="000000"/>
          <w:sz w:val="24"/>
          <w:szCs w:val="24"/>
        </w:rPr>
        <w:t xml:space="preserve">未被“信用中国”网站（www.creditchina.gov.cn）列入失信被执行人、重大税收违法案件当事人名单、政府采购严重失信行为记录名单。</w:t>
      </w:r>
      <w:r>
        <w:rPr>
          <w:rFonts w:hint="eastAsia"/>
          <w:lang w:eastAsia="zh-CN"/>
        </w:rPr>
      </w:r>
      <w:r/>
    </w:p>
    <w:p>
      <w:pPr>
        <w:pStyle w:val="923"/>
        <w:keepLines/>
        <w:keepNext/>
        <w:pageBreakBefore w:val="0"/>
        <w:spacing w:before="145" w:after="145" w:line="58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时间：</w:t>
      </w:r>
      <w:r>
        <w:rPr>
          <w:rFonts w:hint="eastAsia" w:ascii="宋体" w:hAnsi="宋体" w:cs="宋体"/>
          <w:color w:val="000000"/>
          <w:sz w:val="24"/>
          <w:szCs w:val="24"/>
          <w:lang w:val="en-US" w:eastAsia="zh-CN"/>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2024年06月3日至2024年06月11日，每天上午00:00-12:00，下午12:00-23:59（北京时间，法定节假日除外）</w:t>
      </w:r>
      <w:r>
        <w:rPr>
          <w:rFonts w:hint="eastAsia" w:ascii="宋体" w:hAnsi="宋体" w:cs="宋体"/>
          <w:color w:val="000000"/>
          <w:sz w:val="24"/>
          <w:szCs w:val="24"/>
          <w:lang w:val="en-US" w:eastAsia="zh-CN"/>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地点：“苏采云”系统（网址：http://jszfcg.jsczt.cn/） </w:t>
      </w:r>
      <w:r>
        <w:rPr>
          <w:rFonts w:hint="eastAsia" w:ascii="宋体" w:hAnsi="宋体" w:cs="宋体"/>
          <w:color w:val="000000"/>
          <w:sz w:val="24"/>
          <w:szCs w:val="24"/>
          <w:lang w:val="en-US" w:eastAsia="zh-CN"/>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方式：自行下载</w:t>
      </w:r>
      <w:r>
        <w:rPr>
          <w:rFonts w:hint="eastAsia" w:ascii="宋体" w:hAnsi="宋体" w:cs="宋体"/>
          <w:color w:val="000000"/>
          <w:sz w:val="24"/>
          <w:szCs w:val="24"/>
          <w:lang w:val="en-US" w:eastAsia="zh-CN"/>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售价：0.00元 </w:t>
      </w:r>
      <w:r>
        <w:rPr>
          <w:rFonts w:hint="eastAsia" w:ascii="宋体" w:hAnsi="宋体" w:cs="宋体"/>
          <w:color w:val="000000"/>
          <w:sz w:val="24"/>
          <w:szCs w:val="24"/>
          <w:lang w:val="en-US" w:eastAsia="zh-CN"/>
        </w:rPr>
      </w:r>
      <w:r/>
    </w:p>
    <w:p>
      <w:pPr>
        <w:pStyle w:val="923"/>
        <w:ind w:firstLine="480"/>
        <w:pageBreakBefore w:val="0"/>
        <w:spacing w:line="5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r>
      <w:r/>
    </w:p>
    <w:p>
      <w:pPr>
        <w:pStyle w:val="923"/>
        <w:keepLines/>
        <w:keepNext/>
        <w:pageBreakBefore w:val="0"/>
        <w:spacing w:before="145" w:after="145" w:line="58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四、提交投标文件截止时间、开标时间和地点</w:t>
      </w:r>
      <w:r>
        <w:rPr>
          <w:rFonts w:ascii="Times New Roman" w:hAnsi="Times New Roman"/>
          <w:b/>
          <w:bCs/>
          <w:color w:val="000000"/>
          <w:sz w:val="32"/>
          <w:szCs w:val="32"/>
        </w:rPr>
      </w:r>
      <w:r/>
    </w:p>
    <w:p>
      <w:pPr>
        <w:pStyle w:val="923"/>
        <w:ind w:firstLine="480"/>
        <w:pageBreakBefore w:val="0"/>
        <w:spacing w:after="120" w:line="580" w:lineRule="exact"/>
        <w:rPr>
          <w:rFonts w:ascii="宋体" w:hAnsi="宋体"/>
          <w:bCs/>
          <w:color w:val="000000"/>
          <w:sz w:val="24"/>
          <w:szCs w:val="24"/>
          <w:u w:val="single"/>
        </w:rPr>
      </w:pPr>
      <w:r>
        <w:rPr>
          <w:rFonts w:hint="eastAsia" w:ascii="宋体" w:hAnsi="宋体"/>
          <w:bCs/>
          <w:color w:val="000000"/>
          <w:sz w:val="24"/>
          <w:szCs w:val="24"/>
          <w:highlight w:val="none"/>
          <w:u w:val="none"/>
          <w:lang w:val="en-US" w:eastAsia="zh-CN"/>
        </w:rPr>
        <w:t xml:space="preserve">2024-06-24 13:30</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923"/>
        <w:ind w:firstLine="480"/>
        <w:pageBreakBefore w:val="0"/>
        <w:spacing w:line="580" w:lineRule="exact"/>
        <w:rPr>
          <w:rFonts w:hint="eastAsia" w:ascii="宋体" w:hAnsi="宋体"/>
          <w:bCs/>
          <w:color w:val="000000"/>
          <w:sz w:val="24"/>
          <w:szCs w:val="24"/>
          <w:u w:val="single"/>
        </w:rPr>
      </w:pPr>
      <w:r>
        <w:rPr>
          <w:rFonts w:hint="eastAsia" w:ascii="宋体" w:hAnsi="宋体"/>
          <w:color w:val="000000"/>
          <w:sz w:val="24"/>
          <w:szCs w:val="24"/>
        </w:rPr>
        <w:t xml:space="preserve">地</w:t>
      </w:r>
      <w:r>
        <w:rPr>
          <w:rFonts w:hint="eastAsia" w:ascii="宋体" w:hAnsi="宋体"/>
          <w:bCs/>
          <w:color w:val="000000"/>
          <w:sz w:val="24"/>
          <w:szCs w:val="24"/>
          <w:u w:val="none"/>
          <w:lang w:eastAsia="zh-CN"/>
        </w:rPr>
        <w:t xml:space="preserve">点：“苏采云”</w:t>
      </w:r>
      <w:r>
        <w:rPr>
          <w:rFonts w:hint="eastAsia" w:ascii="宋体" w:hAnsi="宋体"/>
          <w:bCs/>
          <w:color w:val="000000"/>
          <w:sz w:val="24"/>
          <w:szCs w:val="24"/>
          <w:u w:val="none"/>
          <w:lang w:val="en-US" w:eastAsia="zh-CN"/>
        </w:rPr>
        <w:t xml:space="preserve">系统</w:t>
      </w:r>
      <w:r>
        <w:rPr>
          <w:rFonts w:hint="eastAsia" w:ascii="宋体" w:hAnsi="宋体"/>
          <w:bCs/>
          <w:color w:val="000000"/>
          <w:sz w:val="24"/>
          <w:szCs w:val="24"/>
          <w:u w:val="none"/>
          <w:lang w:eastAsia="zh-CN"/>
        </w:rPr>
        <w:t xml:space="preserve">（网址：http://jszfcg.jsczt.cn/） </w:t>
      </w:r>
      <w:r>
        <w:rPr>
          <w:rFonts w:hint="eastAsia" w:ascii="宋体" w:hAnsi="宋体"/>
          <w:bCs/>
          <w:color w:val="000000"/>
          <w:sz w:val="24"/>
          <w:szCs w:val="24"/>
          <w:u w:val="single"/>
        </w:rPr>
      </w:r>
      <w:r/>
    </w:p>
    <w:p>
      <w:pPr>
        <w:pStyle w:val="923"/>
        <w:keepLines/>
        <w:keepNext/>
        <w:pageBreakBefore w:val="0"/>
        <w:spacing w:before="145" w:after="145" w:line="58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r>
        <w:rPr>
          <w:rFonts w:ascii="Times New Roman" w:hAnsi="Times New Roman"/>
          <w:b/>
          <w:bCs/>
          <w:color w:val="000000"/>
          <w:sz w:val="32"/>
          <w:szCs w:val="32"/>
        </w:rPr>
      </w:r>
      <w:r/>
    </w:p>
    <w:p>
      <w:pPr>
        <w:pStyle w:val="923"/>
        <w:keepLines/>
        <w:keepNext/>
        <w:pageBreakBefore w:val="0"/>
        <w:spacing w:before="145" w:after="145" w:line="580" w:lineRule="exact"/>
        <w:rPr>
          <w:rFonts w:hint="eastAsia" w:ascii="宋体" w:hAnsi="宋体" w:cs="宋体"/>
          <w:color w:val="000000"/>
          <w:sz w:val="24"/>
          <w:szCs w:val="24"/>
        </w:rPr>
        <w:outlineLvl w:val="2"/>
      </w:pPr>
      <w:r>
        <w:rPr>
          <w:rFonts w:hint="eastAsia" w:ascii="宋体" w:hAnsi="宋体" w:cs="宋体"/>
          <w:color w:val="000000"/>
          <w:sz w:val="24"/>
          <w:szCs w:val="24"/>
        </w:rPr>
        <w:t xml:space="preserve">自本公告发布之日起5个工作日。</w:t>
      </w:r>
      <w:r>
        <w:rPr>
          <w:rFonts w:hint="eastAsia" w:ascii="宋体" w:hAnsi="宋体" w:cs="宋体"/>
          <w:color w:val="000000"/>
          <w:sz w:val="24"/>
          <w:szCs w:val="24"/>
        </w:rPr>
      </w:r>
      <w:r/>
    </w:p>
    <w:p>
      <w:pPr>
        <w:pStyle w:val="923"/>
        <w:keepLines/>
        <w:keepNext/>
        <w:pageBreakBefore w:val="0"/>
        <w:spacing w:before="145" w:after="145" w:line="58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lang w:val="en-US" w:eastAsia="zh-CN"/>
        </w:rPr>
        <w:t xml:space="preserve">六、</w:t>
      </w:r>
      <w:r>
        <w:rPr>
          <w:rFonts w:hint="eastAsia" w:ascii="Times New Roman" w:hAnsi="Times New Roman"/>
          <w:b/>
          <w:bCs/>
          <w:color w:val="000000"/>
          <w:sz w:val="32"/>
          <w:szCs w:val="32"/>
        </w:rPr>
        <w:t xml:space="preserve">其他补充事宜</w:t>
      </w:r>
      <w:r>
        <w:rPr>
          <w:rFonts w:hint="eastAsia" w:ascii="Times New Roman" w:hAnsi="Times New Roman"/>
          <w:b/>
          <w:bCs/>
          <w:color w:val="000000"/>
          <w:sz w:val="32"/>
          <w:szCs w:val="32"/>
        </w:rPr>
      </w:r>
      <w:r/>
    </w:p>
    <w:p>
      <w:pPr>
        <w:pStyle w:val="923"/>
        <w:ind w:firstLine="480"/>
        <w:spacing w:line="560" w:lineRule="exact"/>
        <w:tabs>
          <w:tab w:val="left" w:pos="900" w:leader="none"/>
        </w:tabs>
        <w:rPr>
          <w:rFonts w:ascii="宋体" w:hAnsi="宋体"/>
          <w:bCs/>
          <w:color w:val="000000"/>
          <w:sz w:val="24"/>
          <w:szCs w:val="24"/>
        </w:rPr>
      </w:pP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000000"/>
          <w:sz w:val="24"/>
          <w:szCs w:val="24"/>
        </w:rPr>
      </w:r>
      <w:r/>
    </w:p>
    <w:p>
      <w:pPr>
        <w:pStyle w:val="923"/>
        <w:ind w:firstLine="480"/>
        <w:spacing w:line="56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操作手册及CA办理指南下载链接：http://www.ccgp-jiangsu.gov.cn/jiangsu/zlxz/aa/aa22e7f645df4922b5056d34396771d3.html。</w:t>
      </w:r>
      <w:r>
        <w:rPr>
          <w:rFonts w:ascii="宋体" w:hAnsi="宋体"/>
          <w:bCs/>
          <w:color w:val="000000"/>
          <w:sz w:val="24"/>
          <w:szCs w:val="24"/>
        </w:rPr>
      </w:r>
      <w:r/>
    </w:p>
    <w:p>
      <w:pPr>
        <w:pStyle w:val="923"/>
        <w:ind w:firstLine="480"/>
        <w:spacing w:line="560" w:lineRule="exact"/>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领取CA和办理电子签章请至苏州市姑苏区平泷路251号政务服务中心4楼公共交易中心窗口，咨询电话：0512-69820834。</w:t>
      </w:r>
      <w:r>
        <w:rPr>
          <w:rFonts w:hint="eastAsia" w:ascii="宋体" w:hAnsi="宋体" w:eastAsia="宋体" w:cs="宋体"/>
          <w:color w:val="000000"/>
          <w:sz w:val="24"/>
          <w:szCs w:val="24"/>
          <w:highlight w:val="none"/>
        </w:rPr>
      </w:r>
      <w:r/>
    </w:p>
    <w:p>
      <w:pPr>
        <w:pStyle w:val="923"/>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有关本次招标的事项若存在变动或修改，敬请及时关注</w:t>
      </w:r>
      <w:r>
        <w:rPr>
          <w:rFonts w:hint="eastAsia" w:ascii="宋体" w:hAnsi="宋体"/>
          <w:bCs/>
          <w:sz w:val="24"/>
          <w:szCs w:val="24"/>
          <w:lang w:eastAsia="zh-CN"/>
        </w:rPr>
        <w:t xml:space="preserve">苏州市公共资源交易中心吴江分中心</w:t>
      </w:r>
      <w:r>
        <w:rPr>
          <w:rFonts w:hint="eastAsia" w:ascii="宋体" w:hAnsi="宋体"/>
          <w:bCs/>
          <w:sz w:val="24"/>
          <w:szCs w:val="24"/>
        </w:rPr>
        <w:t xml:space="preserve">在“</w:t>
      </w:r>
      <w:r>
        <w:rPr>
          <w:rFonts w:hint="eastAsia" w:ascii="宋体" w:hAnsi="宋体"/>
          <w:bCs/>
          <w:sz w:val="24"/>
          <w:szCs w:val="24"/>
          <w:lang w:eastAsia="zh-CN"/>
        </w:rPr>
        <w:t xml:space="preserve">江苏政府采购网、苏州市政府采购网</w:t>
      </w:r>
      <w:r>
        <w:rPr>
          <w:rFonts w:hint="eastAsia" w:ascii="宋体" w:hAnsi="宋体"/>
          <w:bCs/>
          <w:sz w:val="24"/>
          <w:szCs w:val="24"/>
        </w:rPr>
        <w:t xml:space="preserve">”发布的更正公告。</w:t>
      </w:r>
      <w:r>
        <w:rPr>
          <w:rFonts w:ascii="宋体" w:hAnsi="宋体"/>
          <w:bCs/>
          <w:sz w:val="24"/>
          <w:szCs w:val="24"/>
        </w:rPr>
      </w:r>
      <w:r/>
    </w:p>
    <w:p>
      <w:pPr>
        <w:pStyle w:val="923"/>
        <w:ind w:firstLine="480"/>
        <w:spacing w:line="56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本次招标不收取投标保证金。</w:t>
      </w:r>
      <w:r>
        <w:rPr>
          <w:rFonts w:ascii="宋体" w:hAnsi="宋体"/>
          <w:bCs/>
          <w:sz w:val="24"/>
          <w:szCs w:val="24"/>
        </w:rPr>
      </w:r>
      <w:r/>
    </w:p>
    <w:p>
      <w:pPr>
        <w:pStyle w:val="923"/>
        <w:keepLines/>
        <w:keepNext/>
        <w:pageBreakBefore w:val="0"/>
        <w:spacing w:before="145" w:after="145" w:line="58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七、本次招标联系方式</w:t>
      </w:r>
      <w:r>
        <w:rPr>
          <w:rFonts w:ascii="Times New Roman" w:hAnsi="Times New Roman"/>
          <w:b/>
          <w:bCs/>
          <w:color w:val="000000"/>
          <w:sz w:val="32"/>
          <w:szCs w:val="32"/>
        </w:rPr>
      </w:r>
      <w:r/>
    </w:p>
    <w:p>
      <w:pPr>
        <w:pStyle w:val="923"/>
        <w:ind w:firstLine="480"/>
        <w:spacing w:line="560" w:lineRule="exact"/>
        <w:tabs>
          <w:tab w:val="left" w:pos="900" w:leader="none"/>
        </w:tabs>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1.采购人信息</w:t>
      </w:r>
      <w:r>
        <w:rPr>
          <w:rFonts w:ascii="宋体" w:hAnsi="宋体" w:eastAsia="宋体" w:cs="Times New Roman"/>
          <w:color w:val="000000"/>
          <w:sz w:val="24"/>
          <w:szCs w:val="21"/>
        </w:rPr>
      </w:r>
      <w:r/>
    </w:p>
    <w:p>
      <w:pPr>
        <w:pStyle w:val="923"/>
        <w:ind w:left="0" w:firstLine="480"/>
        <w:jc w:val="left"/>
        <w:keepLines w:val="0"/>
        <w:keepNext w:val="0"/>
        <w:pageBreakBefore w:val="0"/>
        <w:spacing w:line="360" w:lineRule="auto"/>
        <w:widowControl w:val="off"/>
        <w:rPr>
          <w:rFonts w:ascii="宋体" w:hAnsi="宋体"/>
          <w:color w:val="000000"/>
          <w:sz w:val="24"/>
          <w:szCs w:val="24"/>
          <w:u w:val="none"/>
        </w:rPr>
      </w:pPr>
      <w:r>
        <w:rPr>
          <w:rFonts w:hint="eastAsia" w:ascii="宋体" w:hAnsi="宋体"/>
          <w:color w:val="000000"/>
          <w:sz w:val="24"/>
          <w:szCs w:val="24"/>
          <w:lang w:val="en-US" w:eastAsia="zh-CN"/>
        </w:rPr>
        <w:t xml:space="preserve">单位</w:t>
      </w:r>
      <w:r>
        <w:rPr>
          <w:rFonts w:hint="eastAsia" w:ascii="宋体" w:hAnsi="宋体"/>
          <w:color w:val="000000"/>
          <w:sz w:val="24"/>
          <w:szCs w:val="24"/>
        </w:rPr>
        <w:t xml:space="preserve">名称：</w:t>
      </w:r>
      <w:r>
        <w:rPr>
          <w:rFonts w:hint="eastAsia" w:ascii="宋体" w:hAnsi="宋体" w:eastAsia="宋体" w:cs="Times New Roman"/>
          <w:color w:val="000000"/>
          <w:sz w:val="24"/>
          <w:szCs w:val="24"/>
          <w:u w:val="none"/>
          <w:lang w:val="zh-CN" w:eastAsia="zh-CN"/>
        </w:rPr>
        <w:t xml:space="preserve">苏州市吴江区人民政府横扇街道办事处</w:t>
      </w:r>
      <w:r>
        <w:rPr>
          <w:rFonts w:ascii="宋体" w:hAnsi="宋体"/>
          <w:color w:val="000000"/>
          <w:sz w:val="24"/>
          <w:szCs w:val="24"/>
          <w:u w:val="none"/>
        </w:rPr>
      </w:r>
      <w:r/>
    </w:p>
    <w:p>
      <w:pPr>
        <w:pStyle w:val="923"/>
        <w:ind w:left="0" w:firstLine="480"/>
        <w:jc w:val="left"/>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t xml:space="preserve">地址：</w:t>
      </w:r>
      <w:r>
        <w:rPr>
          <w:rFonts w:hint="eastAsia" w:ascii="宋体" w:hAnsi="宋体" w:eastAsia="宋体" w:cs="Times New Roman"/>
          <w:color w:val="000000"/>
          <w:sz w:val="24"/>
          <w:szCs w:val="24"/>
          <w:u w:val="none"/>
          <w:lang w:val="zh-CN" w:eastAsia="zh-CN"/>
        </w:rPr>
        <w:t xml:space="preserve">苏州市吴江区横扇街道北举路228号</w:t>
      </w:r>
      <w:r>
        <w:rPr>
          <w:rFonts w:ascii="宋体" w:hAnsi="宋体"/>
          <w:color w:val="000000"/>
          <w:sz w:val="24"/>
          <w:szCs w:val="24"/>
        </w:rPr>
      </w:r>
      <w:r/>
    </w:p>
    <w:p>
      <w:pPr>
        <w:pStyle w:val="923"/>
        <w:ind w:left="0" w:firstLine="480"/>
        <w:jc w:val="left"/>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none"/>
          <w:lang w:val="en-US" w:eastAsia="zh-CN"/>
        </w:rPr>
        <w:t xml:space="preserve">孙路</w:t>
      </w:r>
      <w:r>
        <w:rPr>
          <w:rFonts w:ascii="宋体" w:hAnsi="宋体" w:eastAsia="宋体"/>
          <w:color w:val="000000"/>
          <w:sz w:val="24"/>
          <w:szCs w:val="24"/>
          <w:lang w:val="en-US" w:eastAsia="zh-CN"/>
        </w:rPr>
      </w:r>
      <w:r/>
    </w:p>
    <w:p>
      <w:pPr>
        <w:pStyle w:val="923"/>
        <w:ind w:left="0" w:firstLine="480"/>
        <w:jc w:val="left"/>
        <w:keepLines w:val="0"/>
        <w:keepNext w:val="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eastAsia="宋体" w:cs="Times New Roman"/>
          <w:color w:val="000000"/>
          <w:sz w:val="24"/>
          <w:szCs w:val="24"/>
          <w:u w:val="none"/>
          <w:lang w:val="zh-CN" w:eastAsia="zh-CN"/>
        </w:rPr>
        <w:t xml:space="preserve">17803879387</w:t>
      </w:r>
      <w:r>
        <w:rPr>
          <w:rFonts w:ascii="宋体" w:hAnsi="宋体"/>
          <w:color w:val="000000"/>
          <w:sz w:val="24"/>
          <w:szCs w:val="24"/>
          <w:u w:val="single"/>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val="en-US" w:eastAsia="zh-CN"/>
        </w:rPr>
        <w:t xml:space="preserve">2.</w:t>
      </w:r>
      <w:r>
        <w:rPr>
          <w:rFonts w:hint="eastAsia" w:ascii="宋体" w:hAnsi="宋体" w:eastAsia="宋体" w:cs="Times New Roman"/>
          <w:color w:val="000000"/>
          <w:sz w:val="24"/>
          <w:szCs w:val="21"/>
        </w:rPr>
        <w:t xml:space="preserve">采购代理机构信息（如有）</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单位名称：苏州市公共资源交易中心吴江分中心</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单位地址：苏州市吴江区开平路998号</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联系人：汪亮</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联系电话：0512-60905855</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3.项目联系方式</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lang w:eastAsia="zh-CN"/>
        </w:rPr>
        <w:t xml:space="preserve">项目联系人：汪亮</w:t>
      </w:r>
      <w:r>
        <w:rPr>
          <w:rFonts w:hint="eastAsia" w:ascii="宋体" w:hAnsi="宋体" w:eastAsia="宋体" w:cs="Times New Roman"/>
          <w:color w:val="000000"/>
          <w:sz w:val="24"/>
          <w:szCs w:val="21"/>
          <w:lang w:eastAsia="zh-CN"/>
        </w:rPr>
      </w:r>
      <w:r/>
    </w:p>
    <w:p>
      <w:pPr>
        <w:pStyle w:val="923"/>
        <w:ind w:firstLine="480"/>
        <w:spacing w:line="560" w:lineRule="exact"/>
        <w:tabs>
          <w:tab w:val="left" w:pos="900" w:leader="none"/>
        </w:tabs>
        <w:rPr>
          <w:rFonts w:hint="eastAsia" w:ascii="宋体" w:hAnsi="宋体"/>
          <w:sz w:val="24"/>
          <w:szCs w:val="24"/>
        </w:rPr>
      </w:pPr>
      <w:r>
        <w:rPr>
          <w:rFonts w:hint="eastAsia" w:ascii="宋体" w:hAnsi="宋体" w:eastAsia="宋体" w:cs="Times New Roman"/>
          <w:color w:val="000000"/>
          <w:sz w:val="24"/>
          <w:szCs w:val="21"/>
          <w:lang w:eastAsia="zh-CN"/>
        </w:rPr>
        <w:t xml:space="preserve">电话：0512-60905855</w:t>
      </w:r>
      <w:r>
        <w:rPr>
          <w:rFonts w:ascii="宋体" w:hAnsi="宋体"/>
          <w:sz w:val="24"/>
          <w:szCs w:val="24"/>
        </w:rPr>
        <w:br w:type="page" w:clear="all"/>
      </w:r>
      <w:r>
        <w:rPr>
          <w:rFonts w:hint="eastAsia" w:ascii="宋体" w:hAnsi="宋体"/>
          <w:sz w:val="24"/>
          <w:szCs w:val="24"/>
        </w:rPr>
      </w:r>
      <w:r/>
    </w:p>
    <w:p>
      <w:pPr>
        <w:pStyle w:val="925"/>
        <w:ind w:firstLine="2429"/>
        <w:jc w:val="both"/>
        <w:rPr>
          <w:rFonts w:hint="eastAsia" w:ascii="黑体" w:eastAsia="黑体"/>
          <w:b w:val="0"/>
          <w:bCs w:val="0"/>
        </w:rPr>
      </w:pPr>
      <w:r/>
      <w:bookmarkStart w:id="6" w:name="_Toc162532998"/>
      <w:r>
        <w:rPr>
          <w:rFonts w:hint="eastAsia" w:ascii="黑体" w:eastAsia="黑体"/>
        </w:rPr>
        <w:t xml:space="preserve">第二章  投标人须知</w:t>
      </w:r>
      <w:bookmarkEnd w:id="6"/>
      <w:r>
        <w:rPr>
          <w:rFonts w:hint="eastAsia" w:ascii="黑体" w:eastAsia="黑体"/>
          <w:b w:val="0"/>
          <w:bCs w:val="0"/>
        </w:rPr>
      </w:r>
      <w:r/>
    </w:p>
    <w:p>
      <w:pPr>
        <w:pStyle w:val="926"/>
        <w:ind w:firstLine="498"/>
        <w:spacing w:before="145" w:after="145" w:line="360" w:lineRule="auto"/>
        <w:rPr>
          <w:rFonts w:hint="eastAsia"/>
        </w:rPr>
      </w:pPr>
      <w:r/>
      <w:bookmarkStart w:id="7" w:name="_Toc162532999"/>
      <w:r>
        <w:rPr>
          <w:rFonts w:hint="eastAsia"/>
        </w:rPr>
        <w:t xml:space="preserve">一、总则</w:t>
      </w:r>
      <w:bookmarkEnd w:id="7"/>
      <w:r>
        <w:rPr>
          <w:rFonts w:hint="eastAsia"/>
        </w:rPr>
      </w:r>
      <w:r/>
    </w:p>
    <w:p>
      <w:pPr>
        <w:pStyle w:val="927"/>
        <w:ind w:firstLine="420"/>
        <w:spacing w:before="0" w:after="0" w:line="240" w:lineRule="auto"/>
        <w:rPr>
          <w:rFonts w:hint="eastAsia"/>
          <w:b w:val="0"/>
          <w:bCs w:val="0"/>
        </w:rPr>
      </w:pPr>
      <w:r>
        <w:rPr>
          <w:rFonts w:hint="eastAsia"/>
          <w:b w:val="0"/>
          <w:bCs w:val="0"/>
        </w:rPr>
        <w:t xml:space="preserve">1、招标方式</w:t>
      </w:r>
      <w:r>
        <w:rPr>
          <w:rFonts w:hint="eastAsia"/>
          <w:b w:val="0"/>
          <w:bCs w:val="0"/>
        </w:rPr>
      </w:r>
      <w:r/>
    </w:p>
    <w:p>
      <w:pPr>
        <w:pStyle w:val="92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7"/>
        <w:ind w:firstLine="420"/>
        <w:spacing w:before="0" w:after="0" w:line="240" w:lineRule="auto"/>
        <w:rPr>
          <w:rFonts w:hint="eastAsia"/>
          <w:b w:val="0"/>
          <w:bCs w:val="0"/>
        </w:rPr>
      </w:pPr>
      <w:r>
        <w:rPr>
          <w:rFonts w:hint="eastAsia"/>
          <w:b w:val="0"/>
          <w:bCs w:val="0"/>
        </w:rPr>
        <w:t xml:space="preserve">2、合格的投标人</w:t>
      </w:r>
      <w:r>
        <w:rPr>
          <w:rFonts w:hint="eastAsia"/>
          <w:b w:val="0"/>
          <w:bCs w:val="0"/>
        </w:rPr>
      </w:r>
      <w:r/>
    </w:p>
    <w:p>
      <w:pPr>
        <w:pStyle w:val="92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2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27"/>
        <w:ind w:firstLine="420"/>
        <w:spacing w:before="0" w:after="0" w:line="240" w:lineRule="auto"/>
        <w:rPr>
          <w:rFonts w:hint="eastAsia"/>
          <w:b w:val="0"/>
          <w:bCs w:val="0"/>
        </w:rPr>
      </w:pPr>
      <w:r>
        <w:rPr>
          <w:rFonts w:hint="eastAsia"/>
          <w:b w:val="0"/>
          <w:bCs w:val="0"/>
        </w:rPr>
        <w:t xml:space="preserve">3、适用法律</w:t>
      </w:r>
      <w:r>
        <w:rPr>
          <w:rFonts w:hint="eastAsia"/>
          <w:b w:val="0"/>
          <w:bCs w:val="0"/>
        </w:rPr>
      </w:r>
      <w:r/>
    </w:p>
    <w:p>
      <w:pPr>
        <w:pStyle w:val="92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7"/>
        <w:ind w:firstLine="420"/>
        <w:spacing w:before="0" w:after="0" w:line="240" w:lineRule="auto"/>
        <w:rPr>
          <w:rFonts w:hint="eastAsia"/>
          <w:b w:val="0"/>
          <w:bCs w:val="0"/>
        </w:rPr>
      </w:pPr>
      <w:r>
        <w:rPr>
          <w:rFonts w:hint="eastAsia"/>
          <w:b w:val="0"/>
          <w:bCs w:val="0"/>
        </w:rPr>
        <w:t xml:space="preserve">4、投标费用</w:t>
      </w:r>
      <w:r>
        <w:rPr>
          <w:rFonts w:hint="eastAsia"/>
          <w:b w:val="0"/>
          <w:bCs w:val="0"/>
        </w:rPr>
      </w:r>
      <w:r/>
    </w:p>
    <w:p>
      <w:pPr>
        <w:pStyle w:val="92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投标人应自行承担所有与参加投标有关的费用，无论投标过程中的做法和结果如何，苏州市公共资源交易中心吴江分中心（以下简称交易中心）在任何情况下均无义务和责任承担这些费用。</w:t>
      </w:r>
      <w:r>
        <w:rPr>
          <w:rFonts w:hint="eastAsia" w:ascii="宋体" w:hAnsi="宋体"/>
          <w:sz w:val="24"/>
        </w:rPr>
      </w:r>
      <w:r/>
    </w:p>
    <w:p>
      <w:pPr>
        <w:pStyle w:val="923"/>
        <w:ind w:firstLine="480"/>
        <w:spacing w:line="500" w:lineRule="exact"/>
        <w:rPr>
          <w:rFonts w:hint="eastAsia" w:ascii="宋体" w:hAnsi="宋体"/>
          <w:sz w:val="24"/>
        </w:rPr>
      </w:pPr>
      <w:r>
        <w:rPr>
          <w:rFonts w:hint="eastAsia" w:ascii="宋体" w:hAnsi="宋体"/>
          <w:sz w:val="24"/>
        </w:rPr>
        <w:t xml:space="preserve">4.2本次招标交易中心和采购人不收取标书工本费与中标服务费。</w:t>
      </w:r>
      <w:r>
        <w:rPr>
          <w:rFonts w:hint="eastAsia" w:ascii="宋体" w:hAnsi="宋体"/>
          <w:sz w:val="24"/>
        </w:rPr>
      </w:r>
      <w:r/>
    </w:p>
    <w:p>
      <w:pPr>
        <w:pStyle w:val="92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2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6"/>
        <w:ind w:firstLine="321"/>
        <w:spacing w:before="145" w:after="145" w:line="360" w:lineRule="auto"/>
        <w:rPr>
          <w:rFonts w:hint="eastAsia"/>
        </w:rPr>
      </w:pPr>
      <w:r/>
      <w:bookmarkStart w:id="8" w:name="_Toc162533000"/>
      <w:r>
        <w:rPr>
          <w:rFonts w:hint="eastAsia"/>
        </w:rPr>
        <w:t xml:space="preserve">二、招标文件</w:t>
      </w:r>
      <w:bookmarkEnd w:id="8"/>
      <w:r>
        <w:rPr>
          <w:rFonts w:hint="eastAsia"/>
        </w:rPr>
      </w:r>
      <w:r/>
    </w:p>
    <w:p>
      <w:pPr>
        <w:pStyle w:val="927"/>
        <w:ind w:firstLine="420"/>
        <w:spacing w:before="0" w:after="0" w:line="240" w:lineRule="auto"/>
        <w:rPr>
          <w:rFonts w:hint="eastAsia"/>
          <w:b w:val="0"/>
          <w:bCs w:val="0"/>
        </w:rPr>
      </w:pPr>
      <w:r>
        <w:rPr>
          <w:rFonts w:hint="eastAsia"/>
          <w:b w:val="0"/>
          <w:bCs w:val="0"/>
        </w:rPr>
        <w:t xml:space="preserve">6、招标文件构成</w:t>
      </w:r>
      <w:r>
        <w:rPr>
          <w:rFonts w:hint="eastAsia"/>
          <w:b w:val="0"/>
          <w:bCs w:val="0"/>
        </w:rPr>
      </w:r>
      <w:r/>
    </w:p>
    <w:p>
      <w:pPr>
        <w:pStyle w:val="92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2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2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2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2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2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92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7"/>
        <w:ind w:firstLine="560"/>
        <w:spacing w:before="0" w:after="0" w:line="240" w:lineRule="auto"/>
        <w:rPr>
          <w:rFonts w:hint="eastAsia"/>
          <w:b w:val="0"/>
          <w:bCs w:val="0"/>
        </w:rPr>
      </w:pPr>
      <w:r>
        <w:rPr>
          <w:rFonts w:hint="eastAsia"/>
          <w:b w:val="0"/>
          <w:bCs w:val="0"/>
        </w:rPr>
        <w:t xml:space="preserve">7、招标文件的澄清</w:t>
      </w:r>
      <w:r>
        <w:rPr>
          <w:rFonts w:hint="eastAsia"/>
          <w:b w:val="0"/>
          <w:bCs w:val="0"/>
        </w:rPr>
      </w:r>
      <w:r/>
    </w:p>
    <w:p>
      <w:pPr>
        <w:pStyle w:val="92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按招标公告中的通讯地址，以书面形式通知交易中心。</w:t>
      </w:r>
      <w:r>
        <w:rPr>
          <w:rFonts w:hint="eastAsia" w:ascii="宋体" w:hAnsi="宋体"/>
          <w:sz w:val="24"/>
          <w:szCs w:val="24"/>
        </w:rPr>
      </w:r>
      <w:r/>
    </w:p>
    <w:p>
      <w:pPr>
        <w:pStyle w:val="927"/>
        <w:ind w:firstLine="560"/>
        <w:spacing w:before="0" w:after="0" w:line="240" w:lineRule="auto"/>
        <w:rPr>
          <w:rFonts w:hint="eastAsia"/>
          <w:b w:val="0"/>
          <w:bCs w:val="0"/>
        </w:rPr>
      </w:pPr>
      <w:r>
        <w:rPr>
          <w:rFonts w:hint="eastAsia"/>
          <w:b w:val="0"/>
          <w:bCs w:val="0"/>
        </w:rPr>
        <w:t xml:space="preserve">8、招标文件的修改</w:t>
      </w:r>
      <w:r>
        <w:rPr>
          <w:rFonts w:hint="eastAsia"/>
          <w:b w:val="0"/>
          <w:bCs w:val="0"/>
        </w:rPr>
      </w:r>
      <w:r/>
    </w:p>
    <w:p>
      <w:pPr>
        <w:pStyle w:val="92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，交易中心可以对招标文件进行修改。</w:t>
      </w:r>
      <w:r>
        <w:rPr>
          <w:rFonts w:hint="eastAsia" w:ascii="宋体" w:hAnsi="宋体"/>
          <w:sz w:val="24"/>
        </w:rPr>
      </w:r>
      <w:r/>
    </w:p>
    <w:p>
      <w:pPr>
        <w:pStyle w:val="92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招标文件的修改将在苏州市政府采购网公布，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6"/>
        <w:ind w:firstLine="482"/>
        <w:spacing w:before="145" w:after="145" w:line="360" w:lineRule="auto"/>
        <w:rPr>
          <w:rFonts w:hint="eastAsia"/>
        </w:rPr>
      </w:pPr>
      <w:r/>
      <w:bookmarkStart w:id="9" w:name="_Toc162533001"/>
      <w:r>
        <w:rPr>
          <w:rFonts w:hint="eastAsia"/>
        </w:rPr>
        <w:t xml:space="preserve">三、投标文件的编制</w:t>
      </w:r>
      <w:bookmarkEnd w:id="9"/>
      <w:r>
        <w:rPr>
          <w:rFonts w:hint="eastAsia"/>
        </w:rPr>
      </w:r>
      <w:r/>
    </w:p>
    <w:p>
      <w:pPr>
        <w:pStyle w:val="927"/>
        <w:ind w:firstLine="560"/>
        <w:spacing w:before="0" w:after="0" w:line="240" w:lineRule="auto"/>
        <w:rPr>
          <w:rFonts w:hint="eastAsia"/>
          <w:bCs w:val="0"/>
        </w:rPr>
      </w:pPr>
      <w:r>
        <w:rPr>
          <w:rFonts w:hint="eastAsia"/>
          <w:b w:val="0"/>
          <w:bCs w:val="0"/>
        </w:rPr>
        <w:t xml:space="preserve">9、投标文件的语言及度量衡单位</w:t>
      </w:r>
      <w:r>
        <w:rPr>
          <w:rFonts w:hint="eastAsia"/>
          <w:bCs w:val="0"/>
        </w:rPr>
      </w:r>
      <w:r/>
    </w:p>
    <w:p>
      <w:pPr>
        <w:pStyle w:val="92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投标人提交的投标文件以及投标人与交易中心就有关投标的所有来往通知、函件和文件均应使用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2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7"/>
        <w:ind w:firstLine="420"/>
        <w:spacing w:before="0" w:after="0" w:line="240" w:lineRule="auto"/>
        <w:rPr>
          <w:rFonts w:hint="eastAsia"/>
          <w:b w:val="0"/>
          <w:bCs w:val="0"/>
        </w:rPr>
      </w:pPr>
      <w:r>
        <w:rPr>
          <w:rFonts w:hint="eastAsia"/>
          <w:b w:val="0"/>
          <w:bCs w:val="0"/>
        </w:rPr>
        <w:t xml:space="preserve">10、投标文件构成</w:t>
      </w:r>
      <w:r>
        <w:rPr>
          <w:rFonts w:hint="eastAsia"/>
          <w:b w:val="0"/>
          <w:bCs w:val="0"/>
        </w:rPr>
      </w:r>
      <w:r/>
    </w:p>
    <w:p>
      <w:pPr>
        <w:pStyle w:val="92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23"/>
        <w:ind w:firstLine="480"/>
        <w:spacing w:line="440" w:lineRule="exact"/>
        <w:rPr>
          <w:rFonts w:hint="eastAsia" w:ascii="宋体" w:hAnsi="宋体"/>
          <w:sz w:val="24"/>
        </w:rPr>
      </w:pPr>
      <w:r>
        <w:rPr>
          <w:rFonts w:hint="eastAsia" w:ascii="宋体" w:hAnsi="宋体"/>
          <w:sz w:val="24"/>
        </w:rPr>
        <w:t xml:space="preserve">10.2 如标书制作工具中格式和内容与“苏州市政府采购网”发布的招标文件不一致，请以“苏州市政府采购网”发布的招标文件为准。</w:t>
      </w:r>
      <w:r>
        <w:rPr>
          <w:rFonts w:hint="eastAsia" w:ascii="宋体" w:hAnsi="宋体"/>
          <w:sz w:val="24"/>
        </w:rPr>
      </w:r>
      <w:r/>
    </w:p>
    <w:p>
      <w:pPr>
        <w:pStyle w:val="927"/>
        <w:ind w:firstLine="420"/>
        <w:spacing w:before="0" w:after="0" w:line="240" w:lineRule="auto"/>
        <w:rPr>
          <w:rFonts w:hint="eastAsia"/>
          <w:b w:val="0"/>
          <w:bCs w:val="0"/>
        </w:rPr>
      </w:pPr>
      <w:r>
        <w:rPr>
          <w:rFonts w:hint="eastAsia"/>
          <w:b w:val="0"/>
          <w:bCs w:val="0"/>
        </w:rPr>
        <w:t xml:space="preserve">11、证明投标人及投标标的符合招标文件规定的文件</w:t>
      </w:r>
      <w:r>
        <w:rPr>
          <w:rFonts w:hint="eastAsia"/>
          <w:b w:val="0"/>
          <w:bCs w:val="0"/>
        </w:rPr>
      </w:r>
      <w:r/>
    </w:p>
    <w:p>
      <w:pPr>
        <w:pStyle w:val="923"/>
        <w:spacing w:line="480" w:lineRule="exact"/>
        <w:rPr>
          <w:rFonts w:hint="eastAsia" w:ascii="宋体" w:hAnsi="宋体"/>
          <w:sz w:val="24"/>
          <w:szCs w:val="24"/>
        </w:rPr>
      </w:pPr>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27"/>
        <w:ind w:firstLine="420"/>
        <w:spacing w:before="0" w:after="0" w:line="240" w:lineRule="auto"/>
        <w:rPr>
          <w:rFonts w:hint="eastAsia"/>
          <w:b w:val="0"/>
          <w:bCs w:val="0"/>
        </w:rPr>
      </w:pPr>
      <w:r>
        <w:rPr>
          <w:rFonts w:hint="eastAsia"/>
          <w:b w:val="0"/>
          <w:bCs w:val="0"/>
        </w:rPr>
        <w:t xml:space="preserve">12、投标分项报价</w:t>
      </w:r>
      <w:bookmarkStart w:id="10" w:name="_Hlt26670373"/>
      <w:r/>
      <w:bookmarkEnd w:id="10"/>
      <w:r>
        <w:rPr>
          <w:rFonts w:hint="eastAsia"/>
          <w:b w:val="0"/>
          <w:bCs w:val="0"/>
        </w:rPr>
        <w:t xml:space="preserve">表</w:t>
      </w:r>
      <w:r>
        <w:rPr>
          <w:rFonts w:hint="eastAsia"/>
          <w:b w:val="0"/>
          <w:bCs w:val="0"/>
        </w:rPr>
      </w:r>
      <w:r/>
    </w:p>
    <w:p>
      <w:pPr>
        <w:pStyle w:val="92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 w:name="_Hlt26954840"/>
      <w:r/>
      <w:bookmarkEnd w:id="11"/>
      <w:r>
        <w:rPr>
          <w:rFonts w:hint="eastAsia" w:ascii="宋体" w:hAnsi="宋体"/>
          <w:sz w:val="24"/>
        </w:rPr>
        <w:t xml:space="preserve">标人应按照招标文件规定格式填报投标分项报价表</w:t>
      </w:r>
      <w:bookmarkStart w:id="12" w:name="_Hlt26670399"/>
      <w:r/>
      <w:bookmarkEnd w:id="12"/>
      <w:r>
        <w:rPr>
          <w:rFonts w:hint="eastAsia" w:ascii="宋体" w:hAnsi="宋体"/>
          <w:sz w:val="24"/>
        </w:rPr>
        <w:t xml:space="preserve">。</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7"/>
        <w:ind w:firstLine="420"/>
        <w:spacing w:before="0" w:after="0" w:line="240" w:lineRule="auto"/>
        <w:rPr>
          <w:rFonts w:hint="eastAsia"/>
          <w:b w:val="0"/>
          <w:bCs w:val="0"/>
        </w:rPr>
      </w:pPr>
      <w:r/>
      <w:bookmarkStart w:id="13" w:name="_Hlt26670425"/>
      <w:r/>
      <w:bookmarkEnd w:id="13"/>
      <w:r/>
      <w:bookmarkStart w:id="14" w:name="_Hlt26670403"/>
      <w:r/>
      <w:bookmarkEnd w:id="14"/>
      <w:r/>
      <w:bookmarkStart w:id="15" w:name="_Hlt26668983"/>
      <w:r/>
      <w:bookmarkEnd w:id="15"/>
      <w:r/>
      <w:bookmarkStart w:id="16" w:name="_Hlt26954842"/>
      <w:r/>
      <w:bookmarkEnd w:id="16"/>
      <w:r/>
      <w:bookmarkStart w:id="17" w:name="_Hlt26954844"/>
      <w:r/>
      <w:bookmarkEnd w:id="17"/>
      <w:r>
        <w:rPr>
          <w:rFonts w:hint="eastAsia"/>
          <w:b w:val="0"/>
          <w:bCs w:val="0"/>
        </w:rPr>
        <w:t xml:space="preserve">13、技术要求响应及偏离表、商务要求响应及偏离表</w:t>
      </w:r>
      <w:r>
        <w:rPr>
          <w:rFonts w:hint="eastAsia"/>
          <w:b w:val="0"/>
          <w:bCs w:val="0"/>
        </w:rPr>
      </w:r>
      <w:r/>
    </w:p>
    <w:p>
      <w:pPr>
        <w:pStyle w:val="92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2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7"/>
        <w:ind w:firstLine="420"/>
        <w:spacing w:before="0" w:after="0" w:line="240" w:lineRule="auto"/>
        <w:rPr>
          <w:rFonts w:hint="eastAsia"/>
          <w:b w:val="0"/>
          <w:bCs w:val="0"/>
        </w:rPr>
      </w:pPr>
      <w:r>
        <w:rPr>
          <w:rFonts w:hint="eastAsia"/>
          <w:b w:val="0"/>
          <w:bCs w:val="0"/>
        </w:rPr>
        <w:t xml:space="preserve">14、投标函和开标一览表</w:t>
      </w:r>
      <w:r>
        <w:rPr>
          <w:rFonts w:hint="eastAsia"/>
          <w:b w:val="0"/>
          <w:bCs w:val="0"/>
        </w:rPr>
      </w:r>
      <w:r/>
    </w:p>
    <w:p>
      <w:pPr>
        <w:pStyle w:val="92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2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7"/>
        <w:ind w:firstLine="420"/>
        <w:spacing w:before="0" w:after="0" w:line="240" w:lineRule="auto"/>
        <w:rPr>
          <w:rFonts w:hint="eastAsia"/>
          <w:b w:val="0"/>
          <w:bCs w:val="0"/>
        </w:rPr>
      </w:pPr>
      <w:r/>
      <w:bookmarkStart w:id="18" w:name="_Hlt26670489"/>
      <w:r/>
      <w:bookmarkEnd w:id="18"/>
      <w:r/>
      <w:bookmarkStart w:id="19" w:name="_Hlt26954850"/>
      <w:r/>
      <w:bookmarkEnd w:id="19"/>
      <w:r/>
      <w:bookmarkStart w:id="20" w:name="_Hlt26954734"/>
      <w:r/>
      <w:bookmarkEnd w:id="20"/>
      <w:r>
        <w:rPr>
          <w:rFonts w:hint="eastAsia"/>
          <w:b w:val="0"/>
          <w:bCs w:val="0"/>
        </w:rPr>
        <w:t xml:space="preserve">15、投标有效期</w:t>
      </w:r>
      <w:r>
        <w:rPr>
          <w:rFonts w:hint="eastAsia"/>
          <w:b w:val="0"/>
          <w:bCs w:val="0"/>
        </w:rPr>
      </w:r>
      <w:r/>
    </w:p>
    <w:p>
      <w:pPr>
        <w:pStyle w:val="92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投标有效期为交易中心规定的开标之日后</w:t>
      </w:r>
      <w:r>
        <w:rPr>
          <w:rFonts w:hint="eastAsia" w:ascii="仿宋_GB2312" w:hAnsi="仿宋_GB2312"/>
          <w:b/>
          <w:sz w:val="24"/>
          <w:u w:val="single"/>
        </w:rPr>
        <w:t xml:space="preserve">九十（</w:t>
      </w:r>
      <w:r>
        <w:rPr>
          <w:rFonts w:ascii="仿宋_GB2312" w:hAnsi="仿宋_GB2312"/>
          <w:b/>
          <w:sz w:val="24"/>
          <w:u w:val="single"/>
        </w:rPr>
        <w:t xml:space="preserve">9</w:t>
      </w:r>
      <w:r>
        <w:rPr>
          <w:rFonts w:hint="eastAsia" w:ascii="仿宋_GB2312" w:hAnsi="仿宋_GB2312"/>
          <w:b/>
          <w:sz w:val="24"/>
          <w:u w:val="single"/>
        </w:rPr>
        <w:t xml:space="preserve">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7"/>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2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6"/>
        <w:ind w:firstLine="482"/>
        <w:spacing w:before="145" w:after="145" w:line="360" w:lineRule="auto"/>
        <w:rPr>
          <w:rFonts w:hint="eastAsia"/>
        </w:rPr>
      </w:pPr>
      <w:r/>
      <w:bookmarkStart w:id="21" w:name="_Toc162533002"/>
      <w:r>
        <w:rPr>
          <w:rFonts w:hint="eastAsia"/>
        </w:rPr>
        <w:t xml:space="preserve">四、投标文件的递交</w:t>
      </w:r>
      <w:bookmarkEnd w:id="21"/>
      <w:r>
        <w:rPr>
          <w:rFonts w:hint="eastAsia"/>
        </w:rPr>
      </w:r>
      <w:r/>
    </w:p>
    <w:p>
      <w:pPr>
        <w:pStyle w:val="927"/>
        <w:ind w:firstLine="560"/>
        <w:spacing w:before="0" w:after="0" w:line="240" w:lineRule="auto"/>
        <w:rPr>
          <w:rFonts w:hint="eastAsia" w:ascii="黑体"/>
          <w:b w:val="0"/>
          <w:bCs w:val="0"/>
        </w:rPr>
      </w:pPr>
      <w:r>
        <w:rPr>
          <w:rFonts w:hint="eastAsia"/>
          <w:b w:val="0"/>
          <w:bCs w:val="0"/>
        </w:rPr>
        <w:t xml:space="preserve">17、</w:t>
      </w:r>
      <w:r>
        <w:rPr>
          <w:rFonts w:hint="eastAsia" w:ascii="黑体"/>
          <w:b w:val="0"/>
          <w:bCs w:val="0"/>
        </w:rPr>
        <w:t xml:space="preserve">投标文件的递交</w:t>
      </w:r>
      <w:r>
        <w:rPr>
          <w:rFonts w:hint="eastAsia" w:ascii="黑体"/>
          <w:b w:val="0"/>
          <w:bCs w:val="0"/>
        </w:rPr>
      </w:r>
      <w:r/>
    </w:p>
    <w:p>
      <w:pPr>
        <w:pStyle w:val="92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3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r>
        <w:rPr>
          <w:rFonts w:hint="eastAsia" w:ascii="宋体" w:hAnsi="宋体"/>
          <w:bCs/>
          <w:sz w:val="24"/>
        </w:rPr>
      </w:r>
      <w:r/>
    </w:p>
    <w:p>
      <w:pPr>
        <w:pStyle w:val="927"/>
        <w:ind w:firstLine="420"/>
        <w:rPr>
          <w:rFonts w:hint="eastAsia"/>
          <w:b w:val="0"/>
        </w:rPr>
      </w:pPr>
      <w:r>
        <w:rPr>
          <w:rFonts w:hint="eastAsia"/>
          <w:b w:val="0"/>
        </w:rPr>
        <w:t xml:space="preserve">18、投标截止时间</w:t>
      </w:r>
      <w:r>
        <w:rPr>
          <w:rFonts w:hint="eastAsia"/>
          <w:b w:val="0"/>
        </w:rPr>
      </w:r>
      <w:r/>
    </w:p>
    <w:p>
      <w:pPr>
        <w:pStyle w:val="923"/>
        <w:ind w:firstLine="480"/>
        <w:spacing w:line="500" w:lineRule="exact"/>
        <w:rPr>
          <w:rFonts w:hint="eastAsia" w:ascii="宋体" w:hAnsi="宋体"/>
          <w:bCs/>
          <w:i/>
          <w:sz w:val="24"/>
          <w:u w:val="single"/>
        </w:rPr>
      </w:pPr>
      <w:r>
        <w:rPr>
          <w:rFonts w:hint="eastAsia" w:ascii="宋体" w:hAnsi="宋体"/>
          <w:bCs/>
          <w:iCs/>
          <w:sz w:val="24"/>
        </w:rPr>
        <w:t xml:space="preserve">★</w:t>
      </w:r>
      <w:r>
        <w:rPr>
          <w:rFonts w:hint="eastAsia" w:ascii="宋体" w:hAnsi="宋体"/>
          <w:b/>
          <w:bCs/>
          <w:i w:val="0"/>
          <w:iCs/>
          <w:sz w:val="24"/>
          <w:u w:val="none"/>
        </w:rPr>
        <w:t xml:space="preserve">18.1 投标人上传电子投标文件的时间不得迟于招标公告中规定的投标截止时间。</w:t>
      </w:r>
      <w:r>
        <w:rPr>
          <w:rFonts w:hint="eastAsia" w:ascii="宋体" w:hAnsi="宋体"/>
          <w:bCs/>
          <w:i/>
          <w:sz w:val="24"/>
          <w:u w:val="single"/>
        </w:rPr>
      </w:r>
      <w:r/>
    </w:p>
    <w:p>
      <w:pPr>
        <w:pStyle w:val="92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交易中心可以按照规定，通过修改招标文件酌情延长投标截止时间，在此情况下，投标人的所有权利和义务以及投标人受制的截止时间均应以延长后新的截止时间为准。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7"/>
        <w:ind w:firstLine="420"/>
        <w:spacing w:before="0" w:after="0" w:line="240" w:lineRule="auto"/>
        <w:rPr>
          <w:rFonts w:hint="eastAsia"/>
          <w:b w:val="0"/>
          <w:bCs w:val="0"/>
        </w:rPr>
      </w:pPr>
      <w:r>
        <w:rPr>
          <w:rFonts w:hint="eastAsia"/>
          <w:b w:val="0"/>
          <w:bCs w:val="0"/>
        </w:rPr>
        <w:t xml:space="preserve">19、投标文件的拒收</w:t>
      </w:r>
      <w:r>
        <w:rPr>
          <w:rFonts w:hint="eastAsia"/>
          <w:b w:val="0"/>
          <w:bCs w:val="0"/>
        </w:rPr>
      </w:r>
      <w:r/>
    </w:p>
    <w:p>
      <w:pPr>
        <w:pStyle w:val="92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927"/>
        <w:ind w:firstLine="420"/>
        <w:spacing w:before="0" w:after="0" w:line="240" w:lineRule="auto"/>
        <w:rPr>
          <w:rFonts w:hint="eastAsia"/>
          <w:b w:val="0"/>
          <w:bCs w:val="0"/>
        </w:rPr>
      </w:pPr>
      <w:r>
        <w:rPr>
          <w:rFonts w:hint="eastAsia"/>
          <w:b w:val="0"/>
          <w:bCs w:val="0"/>
        </w:rPr>
        <w:t xml:space="preserve">20、投标文件的撤回和修改</w:t>
      </w:r>
      <w:r>
        <w:rPr>
          <w:rFonts w:hint="eastAsia"/>
          <w:b w:val="0"/>
          <w:bCs w:val="0"/>
        </w:rPr>
      </w:r>
      <w:r/>
    </w:p>
    <w:p>
      <w:pPr>
        <w:pStyle w:val="923"/>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92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2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2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6"/>
        <w:ind w:firstLine="482"/>
        <w:spacing w:before="145" w:after="145" w:line="360" w:lineRule="auto"/>
        <w:rPr>
          <w:rFonts w:hint="eastAsia"/>
        </w:rPr>
      </w:pPr>
      <w:r/>
      <w:bookmarkStart w:id="22" w:name="_Toc162533003"/>
      <w:r>
        <w:rPr>
          <w:rFonts w:hint="eastAsia"/>
        </w:rPr>
        <w:t xml:space="preserve">五、开标与评标</w:t>
      </w:r>
      <w:bookmarkEnd w:id="22"/>
      <w:r>
        <w:rPr>
          <w:rFonts w:hint="eastAsia"/>
        </w:rPr>
      </w:r>
      <w:r/>
    </w:p>
    <w:p>
      <w:pPr>
        <w:pStyle w:val="927"/>
        <w:ind w:firstLine="420"/>
        <w:spacing w:before="0" w:after="0" w:line="240" w:lineRule="auto"/>
        <w:rPr>
          <w:rFonts w:hint="eastAsia"/>
          <w:b w:val="0"/>
          <w:bCs w:val="0"/>
        </w:rPr>
      </w:pPr>
      <w:r>
        <w:rPr>
          <w:rFonts w:hint="eastAsia"/>
          <w:b w:val="0"/>
          <w:bCs w:val="0"/>
        </w:rPr>
        <w:t xml:space="preserve">21、开标</w:t>
      </w:r>
      <w:r>
        <w:rPr>
          <w:rFonts w:hint="eastAsia"/>
          <w:b w:val="0"/>
          <w:bCs w:val="0"/>
        </w:rPr>
      </w:r>
      <w:r/>
    </w:p>
    <w:p>
      <w:pPr>
        <w:pStyle w:val="923"/>
        <w:ind w:firstLine="360"/>
        <w:rPr>
          <w:rFonts w:hint="eastAsia"/>
        </w:rPr>
      </w:pPr>
      <w:r>
        <w:rPr>
          <w:rFonts w:hint="eastAsia" w:ascii="宋体" w:hAnsi="宋体"/>
          <w:sz w:val="24"/>
        </w:rPr>
        <w:t xml:space="preserve">21.1</w:t>
      </w:r>
      <w:r>
        <w:rPr>
          <w:rFonts w:hint="eastAsia" w:ascii="宋体" w:hAnsi="宋体"/>
          <w:bCs/>
          <w:sz w:val="24"/>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2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927"/>
        <w:ind w:firstLine="420"/>
        <w:spacing w:before="0" w:after="0" w:line="240" w:lineRule="auto"/>
        <w:rPr>
          <w:rFonts w:hint="eastAsia"/>
          <w:b w:val="0"/>
          <w:bCs w:val="0"/>
        </w:rPr>
      </w:pPr>
      <w:r>
        <w:rPr>
          <w:rFonts w:hint="eastAsia"/>
          <w:b w:val="0"/>
          <w:bCs w:val="0"/>
        </w:rPr>
        <w:t xml:space="preserve">22、评标委员会</w:t>
      </w:r>
      <w:r>
        <w:rPr>
          <w:rFonts w:hint="eastAsia"/>
          <w:b w:val="0"/>
          <w:bCs w:val="0"/>
        </w:rPr>
      </w:r>
      <w:r/>
    </w:p>
    <w:p>
      <w:pPr>
        <w:pStyle w:val="92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hint="eastAsia" w:ascii="宋体" w:hAnsi="宋体"/>
          <w:b/>
          <w:sz w:val="24"/>
          <w:szCs w:val="24"/>
        </w:rPr>
      </w:r>
      <w:r/>
    </w:p>
    <w:p>
      <w:pPr>
        <w:pStyle w:val="92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2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27"/>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23"/>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92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rPr>
          <w:rFonts w:hint="eastAsia"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927"/>
        <w:ind w:firstLine="420"/>
        <w:spacing w:before="0" w:after="0" w:line="240" w:lineRule="auto"/>
        <w:rPr>
          <w:rFonts w:hint="eastAsia"/>
          <w:b w:val="0"/>
          <w:bCs w:val="0"/>
        </w:rPr>
      </w:pPr>
      <w:r>
        <w:rPr>
          <w:rFonts w:hint="eastAsia"/>
          <w:b w:val="0"/>
          <w:bCs w:val="0"/>
        </w:rPr>
        <w:t xml:space="preserve">24、投标文件的澄清</w:t>
      </w:r>
      <w:r>
        <w:rPr>
          <w:rFonts w:hint="eastAsia"/>
          <w:b w:val="0"/>
          <w:bCs w:val="0"/>
        </w:rPr>
      </w:r>
      <w:r/>
    </w:p>
    <w:p>
      <w:pPr>
        <w:pStyle w:val="92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92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27"/>
        <w:ind w:firstLine="420"/>
        <w:spacing w:before="0" w:after="0" w:line="240" w:lineRule="auto"/>
        <w:rPr>
          <w:rFonts w:hint="eastAsia"/>
          <w:b w:val="0"/>
          <w:bCs w:val="0"/>
        </w:rPr>
      </w:pPr>
      <w:r>
        <w:rPr>
          <w:rFonts w:hint="eastAsia"/>
          <w:b w:val="0"/>
          <w:bCs w:val="0"/>
        </w:rPr>
        <w:t xml:space="preserve">25、对投标文件的初审</w:t>
      </w:r>
      <w:r>
        <w:rPr>
          <w:rFonts w:hint="eastAsia"/>
          <w:b w:val="0"/>
          <w:bCs w:val="0"/>
        </w:rPr>
      </w:r>
      <w:r/>
    </w:p>
    <w:p>
      <w:pPr>
        <w:pStyle w:val="92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未通过资格审查或符合性审查的投标人，交易中心将在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2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2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2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2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2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3"/>
        <w:ind w:firstLine="420"/>
        <w:spacing w:line="460" w:lineRule="exact"/>
        <w:rPr>
          <w:rFonts w:hint="eastAsia" w:ascii="宋体" w:hAnsi="宋体"/>
          <w:sz w:val="24"/>
        </w:rPr>
      </w:pPr>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并安排专人与交易中心及评标委员会联系。</w:t>
      </w:r>
      <w:r>
        <w:rPr>
          <w:rFonts w:hint="eastAsia" w:ascii="宋体" w:hAnsi="宋体"/>
          <w:sz w:val="24"/>
        </w:rPr>
      </w:r>
      <w:r/>
    </w:p>
    <w:p>
      <w:pPr>
        <w:pStyle w:val="927"/>
        <w:ind w:firstLine="420"/>
        <w:spacing w:before="0" w:after="0" w:line="240" w:lineRule="auto"/>
        <w:rPr>
          <w:rFonts w:hint="eastAsia"/>
          <w:b w:val="0"/>
          <w:bCs w:val="0"/>
        </w:rPr>
      </w:pPr>
      <w:r>
        <w:rPr>
          <w:rFonts w:hint="eastAsia"/>
          <w:b w:val="0"/>
          <w:bCs w:val="0"/>
        </w:rPr>
        <w:t xml:space="preserve">26、无效投标条款和废标条款</w:t>
      </w:r>
      <w:r>
        <w:rPr>
          <w:rFonts w:hint="eastAsia"/>
          <w:b w:val="0"/>
          <w:bCs w:val="0"/>
        </w:rPr>
      </w:r>
      <w:r/>
    </w:p>
    <w:p>
      <w:pPr>
        <w:pStyle w:val="923"/>
        <w:ind w:left="479"/>
        <w:spacing w:line="440" w:lineRule="exact"/>
        <w:rPr>
          <w:rFonts w:hint="eastAsia" w:ascii="宋体" w:hAnsi="宋体"/>
          <w:bCs/>
          <w:sz w:val="24"/>
        </w:rPr>
      </w:pPr>
      <w:r>
        <w:rPr>
          <w:rFonts w:hint="eastAsia" w:ascii="宋体" w:hAnsi="宋体"/>
          <w:bCs/>
          <w:sz w:val="24"/>
        </w:rPr>
        <w:t xml:space="preserve">26.1无效投标条款</w:t>
      </w:r>
      <w:r>
        <w:rPr>
          <w:rFonts w:hint="eastAsia" w:ascii="宋体" w:hAnsi="宋体"/>
          <w:bCs/>
          <w:sz w:val="24"/>
        </w:rPr>
      </w:r>
      <w:r/>
    </w:p>
    <w:p>
      <w:pPr>
        <w:pStyle w:val="92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2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2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3"/>
        <w:ind w:firstLine="360"/>
        <w:spacing w:line="440" w:lineRule="exact"/>
        <w:rPr>
          <w:rFonts w:hint="eastAsia" w:ascii="宋体" w:hAnsi="宋体"/>
          <w:bCs/>
          <w:iCs/>
          <w:sz w:val="24"/>
        </w:rPr>
      </w:pPr>
      <w:r>
        <w:rPr>
          <w:rFonts w:hint="eastAsia" w:ascii="宋体" w:hAnsi="宋体"/>
          <w:bCs/>
          <w:sz w:val="24"/>
        </w:rPr>
        <w:t xml:space="preserve"> 26.1.7不符合招标文件中规定的实质性要求和条件的（</w:t>
      </w:r>
      <w:r>
        <w:rPr>
          <w:rFonts w:hint="eastAsia" w:ascii="宋体" w:hAnsi="宋体"/>
          <w:bCs/>
          <w:iCs/>
          <w:sz w:val="24"/>
        </w:rPr>
        <w:t xml:space="preserve">本招标文件中打“★”为实质性要求和条件）。</w:t>
      </w:r>
      <w:r>
        <w:rPr>
          <w:rFonts w:hint="eastAsia" w:ascii="宋体" w:hAnsi="宋体"/>
          <w:bCs/>
          <w:i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2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6"/>
        <w:ind w:firstLine="482"/>
        <w:spacing w:before="145" w:after="145" w:line="360" w:lineRule="auto"/>
        <w:rPr>
          <w:rFonts w:hint="eastAsia"/>
        </w:rPr>
      </w:pPr>
      <w:r/>
      <w:bookmarkStart w:id="23" w:name="_Toc162533004"/>
      <w:r>
        <w:rPr>
          <w:rFonts w:hint="eastAsia"/>
        </w:rPr>
        <w:t xml:space="preserve">六、定标</w:t>
      </w:r>
      <w:bookmarkEnd w:id="23"/>
      <w:r>
        <w:rPr>
          <w:rFonts w:hint="eastAsia"/>
        </w:rPr>
      </w:r>
      <w:r/>
    </w:p>
    <w:p>
      <w:pPr>
        <w:pStyle w:val="92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27、确定中标单位</w:t>
      </w:r>
      <w:r>
        <w:rPr>
          <w:rFonts w:hint="eastAsia" w:ascii="黑体" w:hAnsi="宋体" w:cs="Times New Roman"/>
          <w:b w:val="0"/>
          <w:sz w:val="30"/>
          <w:szCs w:val="30"/>
        </w:rPr>
      </w:r>
      <w:r/>
    </w:p>
    <w:p>
      <w:pPr>
        <w:pStyle w:val="92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2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92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交易中心将在“苏州市政府采购网”发布中标公告，公告期限为1个工作日。</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r>
        <w:rPr>
          <w:rFonts w:hint="eastAsia" w:ascii="黑体" w:hAnsi="宋体" w:cs="Times New Roman"/>
          <w:b w:val="0"/>
          <w:sz w:val="30"/>
          <w:szCs w:val="30"/>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sz w:val="24"/>
          <w:szCs w:val="24"/>
        </w:rPr>
      </w:r>
      <w:r/>
    </w:p>
    <w:p>
      <w:pPr>
        <w:pStyle w:val="92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供应商应当在法定质疑期内一次性提出针对同一采购程序环节的质疑。供应商如在法定期限内对同一采购程序环节提出多次质疑的，交易中心、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2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、质疑请向交易中心提出，由交易中心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交易中心及采购人只接收以纸质原件形式送达的质疑,建议供应商尽量通过邮寄方式提交质疑（采购人和交易中心不接受未填写快递运单的快件）。</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交易中心质疑联系人：</w:t>
      </w:r>
      <w:r>
        <w:rPr>
          <w:rFonts w:hint="eastAsia" w:ascii="宋体" w:hAnsi="宋体"/>
          <w:sz w:val="24"/>
          <w:szCs w:val="24"/>
          <w:lang w:val="en-US" w:eastAsia="zh-CN"/>
        </w:rPr>
        <w:t xml:space="preserve">沈宇明</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联系地址：苏州市吴江区开平路998号 苏州市公共资源交易中心吴江分中心，联系电话：</w:t>
      </w:r>
      <w:r>
        <w:rPr>
          <w:rFonts w:ascii="宋体" w:hAnsi="宋体"/>
          <w:sz w:val="24"/>
          <w:szCs w:val="24"/>
        </w:rPr>
        <w:t xml:space="preserve">0512-609058</w:t>
      </w:r>
      <w:r>
        <w:rPr>
          <w:rFonts w:hint="eastAsia" w:ascii="宋体" w:hAnsi="宋体"/>
          <w:sz w:val="24"/>
          <w:szCs w:val="24"/>
          <w:lang w:val="en-US" w:eastAsia="zh-CN"/>
        </w:rPr>
        <w:t xml:space="preserve">61</w:t>
      </w:r>
      <w:r>
        <w:rPr>
          <w:rFonts w:hint="eastAsia" w:ascii="宋体" w:hAnsi="宋体"/>
          <w:sz w:val="24"/>
          <w:szCs w:val="24"/>
        </w:rPr>
        <w:t xml:space="preserve">。</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2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92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2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92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26"/>
        <w:spacing w:before="145" w:after="145" w:line="360" w:lineRule="auto"/>
        <w:rPr>
          <w:rFonts w:hint="eastAsia"/>
        </w:rPr>
      </w:pPr>
      <w:r/>
      <w:bookmarkStart w:id="24" w:name="_Toc162533005"/>
      <w:r>
        <w:rPr>
          <w:rFonts w:hint="eastAsia"/>
        </w:rPr>
        <w:t xml:space="preserve">七、授予合同</w:t>
      </w:r>
      <w:bookmarkEnd w:id="24"/>
      <w:r>
        <w:rPr>
          <w:rFonts w:hint="eastAsia"/>
        </w:rPr>
      </w:r>
      <w:r/>
    </w:p>
    <w:p>
      <w:pPr>
        <w:pStyle w:val="92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2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2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2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bCs/>
          <w:iCs/>
          <w:sz w:val="24"/>
        </w:rPr>
        <w:t xml:space="preserve">★</w:t>
      </w:r>
      <w:r>
        <w:rPr>
          <w:rFonts w:hint="eastAsia" w:ascii="宋体" w:hAnsi="宋体"/>
          <w:b/>
          <w:bCs/>
          <w:i w:val="0"/>
          <w:iCs/>
          <w:sz w:val="24"/>
          <w:szCs w:val="24"/>
          <w:u w:val="non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2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2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27"/>
        <w:ind w:firstLine="600"/>
        <w:spacing w:before="0" w:after="0" w:line="240" w:lineRule="auto"/>
        <w:rPr>
          <w:rFonts w:ascii="黑体" w:hAnsi="宋体" w:cs="Times New Roman"/>
          <w:b w:val="0"/>
          <w:sz w:val="30"/>
          <w:szCs w:val="30"/>
        </w:rPr>
      </w:pPr>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37"/>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937"/>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rPr>
          <w:rFonts w:hint="eastAsia"/>
        </w:rPr>
      </w:pPr>
      <w:r>
        <w:rPr>
          <w:rFonts w:hint="eastAsia"/>
        </w:rPr>
      </w:r>
      <w:r/>
    </w:p>
    <w:p>
      <w:pPr>
        <w:pStyle w:val="923"/>
      </w:pPr>
      <w:r/>
      <w:r/>
    </w:p>
    <w:p>
      <w:pPr>
        <w:pStyle w:val="923"/>
      </w:pPr>
      <w:r/>
      <w:r/>
    </w:p>
    <w:p>
      <w:pPr>
        <w:pStyle w:val="923"/>
      </w:pPr>
      <w:r/>
      <w:r/>
    </w:p>
    <w:p>
      <w:pPr>
        <w:pStyle w:val="923"/>
      </w:pPr>
      <w:r/>
      <w:r/>
    </w:p>
    <w:p>
      <w:pPr>
        <w:pStyle w:val="923"/>
      </w:pPr>
      <w:r/>
      <w:r/>
    </w:p>
    <w:p>
      <w:pPr>
        <w:pStyle w:val="923"/>
        <w:rPr>
          <w:rFonts w:hint="eastAsia"/>
        </w:rPr>
      </w:pPr>
      <w:r>
        <w:rPr>
          <w:rFonts w:hint="eastAsia"/>
        </w:r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pPr>
      <w:r/>
      <w:r/>
    </w:p>
    <w:p>
      <w:pPr>
        <w:pStyle w:val="923"/>
        <w:ind w:firstLine="1760"/>
        <w:jc w:val="center"/>
        <w:keepNext/>
        <w:rPr>
          <w:rFonts w:hint="eastAsia" w:ascii="黑体" w:hAnsi="Times New Roman" w:eastAsia="黑体"/>
          <w:bCs/>
          <w:color w:val="000000"/>
          <w:sz w:val="44"/>
          <w:szCs w:val="28"/>
        </w:rPr>
        <w:sectPr>
          <w:headerReference w:type="default" r:id="rId9"/>
          <w:headerReference w:type="first" r:id="rId10"/>
          <w:footerReference w:type="default"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hAnsi="Times New Roman" w:eastAsia="黑体"/>
          <w:bCs/>
          <w:color w:val="000000"/>
          <w:sz w:val="44"/>
          <w:szCs w:val="28"/>
        </w:rPr>
      </w:r>
      <w:r/>
    </w:p>
    <w:p>
      <w:pPr>
        <w:pStyle w:val="923"/>
        <w:ind w:firstLine="176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0"/>
      <w:r/>
      <w:bookmarkEnd w:id="1"/>
      <w:r/>
      <w:bookmarkEnd w:id="2"/>
      <w:r/>
      <w:bookmarkEnd w:id="3"/>
      <w:r/>
      <w:bookmarkEnd w:id="4"/>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23"/>
        <w:ind w:firstLine="480"/>
        <w:spacing w:line="500" w:lineRule="exact"/>
        <w:rPr>
          <w:rFonts w:hint="eastAsia" w:ascii="宋体" w:hAnsi="宋体"/>
          <w:bCs/>
          <w:color w:val="000000"/>
          <w:sz w:val="24"/>
          <w:szCs w:val="21"/>
        </w:rPr>
      </w:pPr>
      <w:r/>
      <w:bookmarkStart w:id="25" w:name="_Toc16938559"/>
      <w:r/>
      <w:bookmarkStart w:id="26" w:name="_Toc513029243"/>
      <w:r/>
      <w:bookmarkStart w:id="27" w:name="_Toc20823315"/>
      <w:r>
        <w:rPr>
          <w:rFonts w:hint="eastAsia" w:ascii="宋体" w:hAnsi="宋体"/>
          <w:bCs/>
          <w:color w:val="000000"/>
          <w:sz w:val="24"/>
          <w:szCs w:val="21"/>
        </w:rPr>
        <w:t xml:space="preserve">以下为中标后签定本项目合同的通用条款，中标人不得提出实质性的修改。</w:t>
      </w:r>
      <w:r>
        <w:rPr>
          <w:rFonts w:hint="eastAsia" w:ascii="宋体" w:hAnsi="宋体"/>
          <w:bCs/>
          <w:color w:val="000000"/>
          <w:sz w:val="24"/>
          <w:szCs w:val="21"/>
        </w:rPr>
      </w:r>
      <w:r/>
    </w:p>
    <w:p>
      <w:pPr>
        <w:pStyle w:val="923"/>
        <w:jc w:val="center"/>
        <w:spacing w:before="145" w:after="145"/>
        <w:rPr>
          <w:rFonts w:ascii="宋体" w:hAnsi="宋体"/>
          <w:b/>
          <w:bCs/>
          <w:color w:val="000000"/>
          <w:sz w:val="30"/>
          <w:szCs w:val="20"/>
        </w:rPr>
        <w:outlineLvl w:val="0"/>
      </w:pPr>
      <w:r>
        <w:rPr>
          <w:rFonts w:hint="eastAsia" w:ascii="宋体" w:hAnsi="宋体"/>
          <w:b/>
          <w:color w:val="000000"/>
          <w:sz w:val="30"/>
          <w:szCs w:val="21"/>
        </w:rPr>
        <w:t xml:space="preserve">江苏省政府采购合同（货物）（合同编号）</w:t>
      </w:r>
      <w:r>
        <w:rPr>
          <w:rFonts w:ascii="宋体" w:hAnsi="宋体"/>
          <w:b/>
          <w:bCs/>
          <w:color w:val="000000"/>
          <w:sz w:val="30"/>
          <w:szCs w:val="20"/>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甲方：（买方）_________</w:t>
      </w:r>
      <w:r>
        <w:rPr>
          <w:rFonts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ascii="宋体" w:hAnsi="宋体" w:cs="Courier New"/>
          <w:color w:val="000000"/>
          <w:sz w:val="24"/>
          <w:szCs w:val="24"/>
        </w:rPr>
        <w:t xml:space="preserve">乙方：（卖方）_________</w:t>
      </w:r>
      <w:r>
        <w:rPr>
          <w:rFonts w:hint="eastAsia"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923"/>
        <w:spacing w:before="120" w:after="120"/>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923"/>
        <w:spacing w:before="120" w:after="120"/>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 本合同金额</w:t>
      </w:r>
      <w:r>
        <w:rPr>
          <w:rFonts w:hint="eastAsia" w:ascii="宋体" w:hAnsi="宋体" w:cs="Courier New"/>
          <w:color w:val="000000"/>
          <w:sz w:val="24"/>
          <w:szCs w:val="24"/>
          <w:lang w:eastAsia="en-US"/>
        </w:rPr>
        <w:t xml:space="preserve">（</w:t>
      </w:r>
      <w:r>
        <w:rPr>
          <w:rFonts w:hint="eastAsia" w:ascii="宋体" w:hAnsi="宋体" w:cs="Courier New"/>
          <w:color w:val="000000"/>
          <w:sz w:val="24"/>
          <w:szCs w:val="24"/>
          <w:lang w:val="en-US" w:eastAsia="en-US"/>
        </w:rPr>
        <w:t xml:space="preserve">含税价）</w:t>
      </w:r>
      <w:r>
        <w:rPr>
          <w:rFonts w:ascii="宋体" w:hAnsi="宋体" w:cs="Courier New"/>
          <w:color w:val="000000"/>
          <w:sz w:val="24"/>
          <w:szCs w:val="24"/>
        </w:rPr>
        <w:t xml:space="preserve">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923"/>
        <w:ind w:left="410" w:hanging="410"/>
        <w:spacing w:before="120" w:after="120"/>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923"/>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923"/>
        <w:spacing w:line="0" w:lineRule="atLeast"/>
        <w:rPr>
          <w:rFonts w:hint="eastAsia" w:ascii="宋体" w:hAnsi="宋体"/>
          <w:color w:val="000000"/>
          <w:sz w:val="24"/>
          <w:szCs w:val="21"/>
        </w:rPr>
      </w:pPr>
      <w:r>
        <w:rPr>
          <w:rFonts w:ascii="Times New Roman" w:hAnsi="宋体"/>
          <w:color w:val="000000"/>
          <w:sz w:val="24"/>
          <w:szCs w:val="24"/>
        </w:rPr>
        <w:t xml:space="preserve">4.1乙</w:t>
      </w:r>
      <w:r>
        <w:rPr>
          <w:rFonts w:hint="eastAsia" w:ascii="宋体" w:hAnsi="宋体"/>
          <w:color w:val="000000"/>
          <w:sz w:val="24"/>
          <w:szCs w:val="21"/>
        </w:rPr>
        <w:t xml:space="preserve">方应保证甲方在使用、接受本合同货物</w:t>
      </w:r>
      <w:r>
        <w:rPr>
          <w:rFonts w:hint="eastAsia" w:ascii="Times New Roman" w:hAnsi="宋体"/>
          <w:color w:val="000000"/>
          <w:sz w:val="24"/>
          <w:szCs w:val="24"/>
        </w:rPr>
        <w:t xml:space="preserve">（包含与货物相关的服务）</w:t>
      </w:r>
      <w:r>
        <w:rPr>
          <w:rFonts w:hint="eastAsia" w:ascii="宋体" w:hAnsi="宋体"/>
          <w:color w:val="000000"/>
          <w:sz w:val="24"/>
          <w:szCs w:val="21"/>
        </w:rPr>
        <w:t xml:space="preserve">或其任何一部分时不受第三方提出侵犯其专利权、版权、商标权和工业设计权等知识产权的起诉。一旦出现侵权，由乙方负全部责任。</w:t>
      </w:r>
      <w:r>
        <w:rPr>
          <w:rFonts w:hint="eastAsia" w:ascii="宋体" w:hAnsi="宋体"/>
          <w:color w:val="000000"/>
          <w:sz w:val="24"/>
          <w:szCs w:val="21"/>
        </w:rPr>
      </w:r>
      <w:r/>
    </w:p>
    <w:p>
      <w:pPr>
        <w:pStyle w:val="923"/>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923"/>
        <w:ind w:left="408" w:hanging="408"/>
        <w:spacing w:before="120" w:after="120"/>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923"/>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923"/>
        <w:ind w:left="408" w:hanging="408"/>
        <w:spacing w:before="120" w:after="120"/>
        <w:rPr>
          <w:rFonts w:ascii="宋体" w:hAnsi="宋体" w:eastAsia="宋体" w:cs="Courier New"/>
          <w:color w:val="000000"/>
          <w:sz w:val="24"/>
          <w:szCs w:val="24"/>
        </w:rPr>
      </w:pPr>
      <w:r>
        <w:rPr>
          <w:rFonts w:ascii="宋体" w:hAnsi="宋体" w:cs="Courier New"/>
          <w:color w:val="000000"/>
          <w:sz w:val="24"/>
          <w:szCs w:val="24"/>
        </w:rPr>
        <w:t xml:space="preserve">6.1 乙方交纳人民币_________元作为本合同的履约保</w:t>
      </w:r>
      <w:r>
        <w:rPr>
          <w:rFonts w:hint="eastAsia" w:ascii="宋体" w:hAnsi="宋体" w:cs="Courier New"/>
          <w:color w:val="000000"/>
          <w:sz w:val="24"/>
          <w:szCs w:val="24"/>
          <w:lang w:val="en-US" w:eastAsia="zh-CN"/>
        </w:rPr>
        <w:t xml:space="preserve">担保</w:t>
      </w:r>
      <w:r>
        <w:rPr>
          <w:rFonts w:ascii="宋体" w:hAnsi="宋体" w:cs="Courier New"/>
          <w:color w:val="000000"/>
          <w:sz w:val="24"/>
          <w:szCs w:val="24"/>
        </w:rPr>
        <w:t xml:space="preserve">。</w:t>
      </w:r>
      <w:r>
        <w:rPr>
          <w:rFonts w:hint="eastAsia" w:ascii="宋体" w:hAnsi="宋体" w:eastAsia="宋体" w:cs="Courier New"/>
          <w:color w:val="000000"/>
          <w:sz w:val="24"/>
          <w:szCs w:val="24"/>
        </w:rPr>
        <w:t xml:space="preserve">履约担保的金额为中标金额的</w:t>
      </w:r>
      <w:r>
        <w:rPr>
          <w:rFonts w:ascii="宋体" w:hAnsi="宋体" w:eastAsia="宋体" w:cs="Courier New"/>
          <w:color w:val="000000"/>
          <w:sz w:val="24"/>
          <w:szCs w:val="24"/>
        </w:rPr>
        <w:t xml:space="preserve">10%，形式为</w:t>
      </w:r>
      <w:r>
        <w:rPr>
          <w:rFonts w:hint="eastAsia" w:ascii="宋体" w:hAnsi="宋体" w:eastAsia="宋体" w:cs="Courier New"/>
          <w:color w:val="000000"/>
          <w:sz w:val="24"/>
          <w:szCs w:val="24"/>
        </w:rPr>
        <w:t xml:space="preserve">银行</w:t>
      </w:r>
      <w:r>
        <w:rPr>
          <w:rFonts w:ascii="宋体" w:hAnsi="宋体" w:eastAsia="宋体" w:cs="Courier New"/>
          <w:color w:val="000000"/>
          <w:sz w:val="24"/>
          <w:szCs w:val="24"/>
        </w:rPr>
        <w:t xml:space="preserve">履约保函或保证金（无息）</w:t>
      </w:r>
      <w:r>
        <w:rPr>
          <w:rFonts w:hint="eastAsia" w:ascii="宋体" w:hAnsi="宋体" w:eastAsia="宋体" w:cs="Courier New"/>
          <w:color w:val="000000"/>
          <w:sz w:val="24"/>
          <w:szCs w:val="24"/>
        </w:rPr>
        <w:t xml:space="preserve">或履约保证保险凭证或融资担保公司提供的担保保函</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56"/>
        <w:ind w:firstLine="480"/>
        <w:keepLines w:val="0"/>
        <w:keepNext w:val="0"/>
        <w:pageBreakBefore w:val="0"/>
        <w:spacing w:line="320" w:lineRule="exact"/>
        <w:widowControl w:val="off"/>
        <w:tabs>
          <w:tab w:val="left" w:pos="0" w:leader="none"/>
          <w:tab w:val="left" w:pos="993" w:leader="none"/>
          <w:tab w:val="left" w:pos="1134" w:leader="none"/>
        </w:tabs>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乙方需在合同签订前向甲方提供履约担保，如逾期提供履约担保的，逾期每天支付合同金额的万分之0.5的违约金，甲方有权从未付款中直接扣除，最高不超过20万元，甲方保留取消其中标资格的权利。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rPr>
          <w:rFonts w:hint="eastAsia" w:ascii="宋体" w:hAnsi="宋体" w:eastAsia="宋体" w:cs="Courier New"/>
          <w:color w:val="000000"/>
          <w:sz w:val="24"/>
          <w:szCs w:val="24"/>
          <w:lang w:val="en-US" w:eastAsia="zh-CN" w:bidi="ar-SA"/>
        </w:rPr>
      </w:r>
      <w:r/>
    </w:p>
    <w:p>
      <w:pPr>
        <w:pStyle w:val="923"/>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w:t>
      </w:r>
      <w:r>
        <w:rPr>
          <w:rFonts w:hint="eastAsia" w:ascii="宋体" w:hAnsi="宋体" w:cs="Courier New"/>
          <w:color w:val="000000"/>
          <w:sz w:val="24"/>
          <w:szCs w:val="24"/>
          <w:lang w:val="en-US" w:eastAsia="zh-CN"/>
        </w:rPr>
        <w:t xml:space="preserve">担保</w:t>
      </w:r>
      <w:r>
        <w:rPr>
          <w:rFonts w:hint="eastAsia" w:ascii="宋体" w:hAnsi="宋体" w:cs="Courier New"/>
          <w:color w:val="000000"/>
          <w:sz w:val="24"/>
          <w:szCs w:val="24"/>
        </w:rPr>
        <w:t xml:space="preserve">。</w:t>
      </w:r>
      <w:r>
        <w:rPr>
          <w:rFonts w:hint="eastAsia" w:ascii="宋体" w:hAnsi="宋体" w:cs="Courier New"/>
          <w:color w:val="000000"/>
          <w:sz w:val="24"/>
          <w:szCs w:val="24"/>
        </w:rPr>
      </w:r>
      <w:r/>
    </w:p>
    <w:p>
      <w:pPr>
        <w:pStyle w:val="923"/>
        <w:ind w:left="408" w:hanging="408"/>
        <w:spacing w:before="120" w:after="120"/>
        <w:rPr>
          <w:rFonts w:hint="eastAsia" w:ascii="宋体" w:hAnsi="宋体" w:eastAsia="宋体" w:cs="Courier New"/>
          <w:color w:val="000000"/>
          <w:sz w:val="24"/>
          <w:szCs w:val="24"/>
          <w:lang w:val="en-US" w:eastAsia="zh-CN"/>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lang w:val="en-US" w:eastAsia="zh-CN"/>
        </w:rPr>
        <w:t xml:space="preserve">/</w:t>
      </w:r>
      <w:r>
        <w:rPr>
          <w:rFonts w:hint="eastAsia" w:ascii="宋体" w:hAnsi="宋体" w:eastAsia="宋体" w:cs="Courier New"/>
          <w:color w:val="000000"/>
          <w:sz w:val="24"/>
          <w:szCs w:val="24"/>
          <w:lang w:val="en-US" w:eastAsia="zh-CN"/>
        </w:rPr>
      </w:r>
      <w:r/>
    </w:p>
    <w:p>
      <w:pPr>
        <w:pStyle w:val="923"/>
        <w:ind w:left="408" w:hanging="408"/>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eastAsia="宋体" w:cs="Courier New"/>
          <w:color w:val="000000"/>
          <w:sz w:val="24"/>
          <w:szCs w:val="24"/>
          <w:lang w:val="en-US" w:eastAsia="zh-CN" w:bidi="ar-SA"/>
        </w:rPr>
        <w:t xml:space="preserve">竣工验收合格并经甲方确认后无息返还。</w:t>
      </w:r>
      <w:r>
        <w:rPr>
          <w:rFonts w:hint="eastAsia" w:ascii="宋体" w:hAnsi="宋体" w:cs="Courier New"/>
          <w:color w:val="000000"/>
          <w:sz w:val="24"/>
          <w:szCs w:val="24"/>
        </w:rPr>
      </w:r>
      <w:r/>
    </w:p>
    <w:p>
      <w:pPr>
        <w:pStyle w:val="923"/>
        <w:ind w:left="408" w:hanging="408"/>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rPr>
        <w:t xml:space="preserve">6.2.3履约保证金退还条件：</w:t>
      </w:r>
      <w:r>
        <w:rPr>
          <w:rFonts w:hint="eastAsia" w:ascii="宋体" w:hAnsi="宋体" w:eastAsia="宋体" w:cs="Courier New"/>
          <w:color w:val="000000"/>
          <w:sz w:val="24"/>
          <w:szCs w:val="24"/>
          <w:lang w:val="en-US" w:eastAsia="zh-CN" w:bidi="ar-SA"/>
        </w:rPr>
        <w:t xml:space="preserve">竣工验收合格并经甲方确认。</w:t>
      </w:r>
      <w:r>
        <w:rPr>
          <w:rFonts w:hint="eastAsia" w:ascii="宋体" w:hAnsi="宋体" w:cs="Courier New"/>
          <w:color w:val="000000"/>
          <w:sz w:val="24"/>
          <w:szCs w:val="24"/>
          <w:highlight w:val="none"/>
        </w:rPr>
      </w:r>
      <w:r/>
    </w:p>
    <w:p>
      <w:pPr>
        <w:pStyle w:val="923"/>
        <w:ind w:left="408" w:hanging="408"/>
        <w:spacing w:before="120" w:after="120"/>
        <w:rPr>
          <w:rFonts w:hint="eastAsia" w:ascii="宋体" w:hAnsi="宋体" w:cs="Courier New"/>
          <w:color w:val="000000"/>
          <w:sz w:val="24"/>
          <w:szCs w:val="24"/>
          <w:lang w:val="en-US" w:eastAsia="zh-CN"/>
        </w:rPr>
      </w:pPr>
      <w:r>
        <w:rPr>
          <w:rFonts w:hint="eastAsia" w:ascii="宋体" w:hAnsi="宋体" w:cs="Courier New"/>
          <w:color w:val="000000"/>
          <w:sz w:val="24"/>
          <w:szCs w:val="24"/>
        </w:rPr>
        <w:t xml:space="preserve">6.2.4履约保证金不予退还的情形：</w:t>
      </w:r>
      <w:r>
        <w:rPr>
          <w:rFonts w:hint="eastAsia" w:ascii="宋体" w:hAnsi="宋体" w:cs="Courier New"/>
          <w:color w:val="000000"/>
          <w:sz w:val="24"/>
          <w:szCs w:val="24"/>
          <w:lang w:val="en-US" w:eastAsia="zh-CN"/>
        </w:rPr>
        <w:t xml:space="preserve">不满足以上条件时。</w:t>
      </w:r>
      <w:r>
        <w:rPr>
          <w:rFonts w:hint="eastAsia" w:ascii="宋体" w:hAnsi="宋体" w:cs="Courier New"/>
          <w:color w:val="000000"/>
          <w:sz w:val="24"/>
          <w:szCs w:val="24"/>
          <w:lang w:val="en-US" w:eastAsia="zh-CN"/>
        </w:rPr>
      </w:r>
      <w:r/>
    </w:p>
    <w:p>
      <w:pPr>
        <w:pStyle w:val="923"/>
        <w:ind w:left="0" w:firstLine="480"/>
        <w:keepLines w:val="0"/>
        <w:keepNext w:val="0"/>
        <w:pageBreakBefore w:val="0"/>
        <w:spacing w:before="120" w:after="120"/>
        <w:widowControl w:val="off"/>
        <w:rPr>
          <w:rFonts w:hint="eastAsia" w:ascii="宋体" w:hAnsi="宋体" w:cs="Courier New"/>
          <w:color w:val="000000"/>
          <w:sz w:val="24"/>
          <w:szCs w:val="24"/>
          <w:lang w:val="en-US" w:eastAsia="zh-CN"/>
        </w:rPr>
      </w:pPr>
      <w:r>
        <w:rPr>
          <w:rFonts w:hint="eastAsia" w:ascii="宋体" w:hAnsi="宋体" w:cs="Courier New"/>
          <w:color w:val="000000"/>
          <w:sz w:val="24"/>
          <w:szCs w:val="24"/>
          <w:lang w:val="en-US" w:eastAsia="zh-CN"/>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cs="Courier New"/>
          <w:color w:val="000000"/>
          <w:sz w:val="24"/>
          <w:szCs w:val="24"/>
          <w:lang w:val="en-US" w:eastAsia="zh-CN"/>
        </w:rPr>
      </w:r>
      <w:r/>
    </w:p>
    <w:p>
      <w:pPr>
        <w:pStyle w:val="923"/>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923"/>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923"/>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923"/>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923"/>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923"/>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923"/>
        <w:spacing w:before="120" w:after="120"/>
        <w:rPr>
          <w:rFonts w:hint="eastAsia" w:ascii="宋体" w:hAnsi="宋体" w:cs="Courier New"/>
          <w:bCs/>
          <w:color w:val="000000"/>
          <w:sz w:val="24"/>
          <w:szCs w:val="24"/>
          <w:highlight w:val="none"/>
        </w:rPr>
      </w:pPr>
      <w:r>
        <w:rPr>
          <w:rFonts w:hint="eastAsia" w:ascii="宋体" w:hAnsi="宋体" w:cs="Courier New"/>
          <w:bCs/>
          <w:color w:val="000000"/>
          <w:sz w:val="24"/>
          <w:szCs w:val="24"/>
        </w:rPr>
        <w:t xml:space="preserve">8</w:t>
      </w:r>
      <w:r>
        <w:rPr>
          <w:rFonts w:hint="eastAsia" w:ascii="宋体" w:hAnsi="宋体" w:cs="Courier New"/>
          <w:bCs/>
          <w:color w:val="000000"/>
          <w:sz w:val="24"/>
          <w:szCs w:val="24"/>
          <w:lang w:val="en-US" w:eastAsia="zh-CN"/>
        </w:rPr>
        <w:t xml:space="preserve">.</w:t>
      </w:r>
      <w:r>
        <w:rPr>
          <w:rFonts w:hint="eastAsia" w:ascii="宋体" w:hAnsi="宋体" w:cs="Courier New"/>
          <w:bCs/>
          <w:color w:val="000000"/>
          <w:sz w:val="24"/>
          <w:szCs w:val="24"/>
        </w:rPr>
        <w:t xml:space="preserve">1.1 预付款支付时间：</w:t>
      </w:r>
      <w:r>
        <w:rPr>
          <w:rFonts w:hint="eastAsia" w:ascii="宋体" w:hAnsi="宋体" w:cs="Courier New"/>
          <w:bCs/>
          <w:color w:val="000000"/>
          <w:sz w:val="24"/>
          <w:szCs w:val="24"/>
          <w:highlight w:val="none"/>
          <w:u w:val="single"/>
        </w:rPr>
        <w:t xml:space="preserve">合同签订后</w:t>
      </w:r>
      <w:r>
        <w:rPr>
          <w:rFonts w:hint="eastAsia" w:ascii="宋体" w:hAnsi="宋体" w:cs="Courier New"/>
          <w:bCs/>
          <w:color w:val="000000"/>
          <w:sz w:val="24"/>
          <w:szCs w:val="24"/>
          <w:highlight w:val="none"/>
          <w:u w:val="single"/>
          <w:lang w:eastAsia="zh-CN"/>
        </w:rPr>
        <w:t xml:space="preserve">，</w:t>
      </w:r>
      <w:r>
        <w:rPr>
          <w:rFonts w:hint="eastAsia" w:ascii="宋体" w:hAnsi="宋体" w:cs="Courier New"/>
          <w:bCs/>
          <w:color w:val="000000"/>
          <w:sz w:val="24"/>
          <w:szCs w:val="24"/>
        </w:rPr>
        <w:t xml:space="preserve">预付款支付比例</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u w:val="single"/>
          <w:lang w:val="en-US" w:eastAsia="zh-CN"/>
        </w:rPr>
        <w:t xml:space="preserve">3</w:t>
      </w:r>
      <w:r>
        <w:rPr>
          <w:rFonts w:hint="eastAsia" w:ascii="宋体" w:hAnsi="宋体" w:cs="Courier New"/>
          <w:bCs/>
          <w:color w:val="000000"/>
          <w:sz w:val="24"/>
          <w:szCs w:val="24"/>
          <w:highlight w:val="none"/>
          <w:u w:val="single"/>
          <w:lang w:val="en-US" w:eastAsia="zh-CN"/>
        </w:rPr>
        <w:t xml:space="preserve">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r>
      <w:r/>
    </w:p>
    <w:p>
      <w:pPr>
        <w:pStyle w:val="923"/>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8.1.2 尾款支付时间：产品验收通过,采购人收到发票后15日内，尾款支付比例：</w:t>
      </w:r>
      <w:r>
        <w:rPr>
          <w:rFonts w:hint="eastAsia" w:ascii="宋体" w:hAnsi="宋体" w:eastAsia="宋体"/>
          <w:color w:val="000000"/>
          <w:sz w:val="21"/>
          <w:szCs w:val="21"/>
        </w:rPr>
        <w:t xml:space="preserve">结算审定价的</w:t>
      </w:r>
      <w:r>
        <w:rPr>
          <w:rFonts w:hint="eastAsia" w:ascii="宋体" w:hAnsi="宋体" w:cs="Courier New"/>
          <w:bCs/>
          <w:color w:val="000000"/>
          <w:sz w:val="24"/>
          <w:szCs w:val="24"/>
          <w:u w:val="single"/>
          <w:lang w:val="en-US" w:eastAsia="zh-CN"/>
        </w:rPr>
        <w:t xml:space="preserve">10%</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923"/>
        <w:ind w:firstLine="480"/>
        <w:keepLines w:val="0"/>
        <w:keepNext w:val="0"/>
        <w:pageBreakBefore w:val="0"/>
        <w:spacing w:line="320" w:lineRule="exact"/>
        <w:widowControl w:val="off"/>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合同签订后甲方支付合同价款的30%的货款；全部货物到达现场，验收合格后甲方付至合同价款的50%；安装完毕且验收合格后付至合同价款的60%；调试完毕验收合格后，乙方提供相关单据，经审计后付至结算审定价的80%，余下20%留作保修金，待质保期满“质保期年限-1”年后付至结算审定价的90%，余款待质保期满后付清。</w:t>
      </w:r>
      <w:r>
        <w:rPr>
          <w:rFonts w:hint="eastAsia" w:ascii="宋体" w:hAnsi="宋体" w:eastAsia="宋体" w:cs="Courier New"/>
          <w:color w:val="000000"/>
          <w:sz w:val="24"/>
          <w:szCs w:val="24"/>
          <w:lang w:val="en-US" w:eastAsia="zh-CN" w:bidi="ar-SA"/>
        </w:rPr>
      </w:r>
      <w:r/>
    </w:p>
    <w:p>
      <w:pPr>
        <w:pStyle w:val="923"/>
        <w:ind w:firstLine="480"/>
        <w:keepLines w:val="0"/>
        <w:keepNext w:val="0"/>
        <w:pageBreakBefore w:val="0"/>
        <w:spacing w:line="320" w:lineRule="exact"/>
        <w:widowControl w:val="off"/>
        <w:rPr>
          <w:rFonts w:ascii="宋体" w:hAnsi="宋体" w:cs="Courier New"/>
          <w:bCs/>
          <w:color w:val="000000"/>
          <w:sz w:val="24"/>
          <w:szCs w:val="24"/>
        </w:rPr>
      </w:pPr>
      <w:r>
        <w:rPr>
          <w:rFonts w:hint="eastAsia" w:ascii="宋体" w:hAnsi="宋体" w:eastAsia="宋体" w:cs="Courier New"/>
          <w:color w:val="000000"/>
          <w:sz w:val="24"/>
          <w:szCs w:val="24"/>
          <w:lang w:val="en-US" w:eastAsia="zh-CN" w:bidi="ar-SA"/>
        </w:rPr>
        <w:t xml:space="preserve">每次付款前，乙方需提供有效增值税发票以及下款所列的甲方要求的付款凭证资料等，发票需符合税务部门及公司的要求，否则甲方有权延缓支付。所有款项在甲方确认后进行支付。</w:t>
      </w:r>
      <w:r>
        <w:rPr>
          <w:rFonts w:ascii="宋体" w:hAnsi="宋体" w:cs="Courier New"/>
          <w:bCs/>
          <w:color w:val="000000"/>
          <w:sz w:val="24"/>
          <w:szCs w:val="24"/>
        </w:rPr>
      </w:r>
      <w:r/>
    </w:p>
    <w:p>
      <w:pPr>
        <w:pStyle w:val="923"/>
        <w:ind w:left="480" w:hanging="480"/>
        <w:spacing w:before="120" w:after="120"/>
        <w:rPr>
          <w:rFonts w:ascii="宋体" w:hAnsi="宋体" w:cs="Courier New"/>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w:t>
      </w:r>
      <w:r>
        <w:rPr>
          <w:rFonts w:ascii="宋体" w:hAnsi="宋体" w:cs="Courier New"/>
          <w:color w:val="000000"/>
          <w:sz w:val="24"/>
          <w:szCs w:val="24"/>
        </w:rPr>
      </w:r>
      <w:r/>
    </w:p>
    <w:p>
      <w:pPr>
        <w:pStyle w:val="923"/>
        <w:ind w:left="480" w:hanging="480"/>
        <w:spacing w:before="120" w:after="120"/>
        <w:rPr>
          <w:rFonts w:ascii="宋体" w:hAnsi="宋体" w:cs="Courier New"/>
          <w:bCs/>
          <w:color w:val="000000"/>
          <w:sz w:val="24"/>
          <w:szCs w:val="24"/>
        </w:rPr>
      </w:pPr>
      <w:r>
        <w:rPr>
          <w:rFonts w:ascii="宋体" w:hAnsi="宋体" w:cs="Courier New"/>
          <w:color w:val="000000"/>
          <w:sz w:val="24"/>
          <w:szCs w:val="24"/>
        </w:rPr>
        <w:t xml:space="preserve">算金额按实际使用量乘以成交单价进行计算。</w:t>
      </w:r>
      <w:r>
        <w:rPr>
          <w:rFonts w:ascii="宋体" w:hAnsi="宋体" w:cs="Courier New"/>
          <w:bCs/>
          <w:color w:val="000000"/>
          <w:sz w:val="24"/>
          <w:szCs w:val="24"/>
        </w:rPr>
      </w:r>
      <w:r/>
    </w:p>
    <w:p>
      <w:pPr>
        <w:pStyle w:val="923"/>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923"/>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923"/>
        <w:ind w:left="412" w:hanging="412"/>
        <w:spacing w:before="120" w:after="120"/>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923"/>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923"/>
        <w:ind w:firstLine="420"/>
        <w:spacing w:before="120" w:after="120"/>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923"/>
        <w:ind w:left="420"/>
        <w:spacing w:before="120" w:after="120"/>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923"/>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乙方应在货物发运前对其进行满足运输距离、防潮、防震、防锈和防破损装卸等要求包装，以保证货物安全运达甲方指定地</w:t>
      </w:r>
      <w:r>
        <w:rPr>
          <w:rFonts w:ascii="宋体" w:hAnsi="宋体" w:cs="Courier New"/>
          <w:color w:val="000000"/>
          <w:sz w:val="24"/>
          <w:szCs w:val="24"/>
        </w:rPr>
        <w:t xml:space="preserve">点。</w:t>
      </w:r>
      <w:r>
        <w:rPr>
          <w:rFonts w:hint="eastAsia" w:ascii="宋体" w:hAnsi="宋体"/>
          <w:color w:val="000000"/>
          <w:sz w:val="24"/>
          <w:szCs w:val="24"/>
        </w:rPr>
        <w:t xml:space="preserve">乙方对货物的包装应符合《商品包装政府采购需求标准（试行）》、《快递包装政府采购需求标准（试行）》的规定。</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923"/>
        <w:ind w:left="480" w:right="26" w:hanging="480"/>
        <w:spacing w:before="156" w:after="156"/>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923"/>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923"/>
        <w:ind w:left="480" w:hanging="480"/>
        <w:spacing w:before="120" w:after="120"/>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923"/>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923"/>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923"/>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923"/>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923"/>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923"/>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923"/>
        <w:ind w:firstLine="240"/>
        <w:spacing w:before="120" w:after="120" w:line="0" w:lineRule="atLeast"/>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923"/>
        <w:jc w:val="center"/>
        <w:spacing w:before="120" w:after="120" w:line="0" w:lineRule="atLeast"/>
        <w:rPr>
          <w:rFonts w:hint="eastAsia" w:ascii="宋体" w:hAnsi="宋体" w:cs="Courier New"/>
          <w:color w:val="000000"/>
          <w:sz w:val="24"/>
          <w:szCs w:val="24"/>
        </w:rPr>
      </w:pPr>
      <w:r>
        <w:rPr>
          <w:rFonts w:hint="eastAsia" w:ascii="宋体" w:hAnsi="Courier New" w:cs="Courier New"/>
          <w:color w:val="000000"/>
          <w:szCs w:val="21"/>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923"/>
        <w:jc w:val="center"/>
        <w:spacing w:before="120" w:after="120" w:line="0" w:lineRule="atLeast"/>
        <w:rPr>
          <w:rFonts w:hint="eastAsia" w:ascii="宋体" w:hAnsi="宋体" w:cs="Courier New"/>
          <w:color w:val="000000"/>
          <w:sz w:val="24"/>
          <w:szCs w:val="24"/>
        </w:rPr>
      </w:pPr>
      <w:r>
        <w:rPr>
          <w:rFonts w:hint="eastAsia" w:ascii="宋体" w:hAnsi="宋体" w:cs="Courier New"/>
          <w:color w:val="000000"/>
          <w:sz w:val="24"/>
          <w:szCs w:val="24"/>
        </w:rPr>
      </w:r>
      <w:r/>
    </w:p>
    <w:p>
      <w:pPr>
        <w:pStyle w:val="923"/>
        <w:jc w:val="center"/>
        <w:spacing w:before="120" w:after="120" w:line="0" w:lineRule="atLeast"/>
        <w:rPr>
          <w:rFonts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25"/>
      <w:r/>
      <w:bookmarkEnd w:id="26"/>
      <w:r/>
      <w:bookmarkEnd w:id="27"/>
      <w:r/>
      <w:bookmarkStart w:id="28" w:name="_Hlt16619369"/>
      <w:r/>
      <w:bookmarkEnd w:id="28"/>
      <w:r/>
      <w:bookmarkStart w:id="29" w:name="_Hlt16619350"/>
      <w:r/>
      <w:bookmarkStart w:id="30" w:name="_Toc20823346"/>
      <w:r/>
      <w:bookmarkStart w:id="31" w:name="_Toc16938590"/>
      <w:r/>
      <w:bookmarkStart w:id="32" w:name="_Toc120614244"/>
      <w:r/>
      <w:bookmarkStart w:id="33" w:name="_Toc479757211"/>
      <w:r/>
      <w:bookmarkStart w:id="34" w:name="_Toc462564139"/>
      <w:r>
        <w:rPr>
          <w:rFonts w:ascii="宋体" w:hAnsi="宋体" w:cs="Courier New"/>
          <w:color w:val="000000"/>
          <w:sz w:val="24"/>
          <w:szCs w:val="24"/>
        </w:rPr>
      </w:r>
      <w:r/>
    </w:p>
    <w:p>
      <w:pPr>
        <w:pStyle w:val="923"/>
        <w:jc w:val="both"/>
        <w:spacing w:before="120" w:after="120" w:line="0" w:lineRule="atLeast"/>
        <w:rPr>
          <w:rFonts w:ascii="宋体" w:hAnsi="宋体" w:cs="Courier New"/>
          <w:color w:val="000000"/>
          <w:sz w:val="24"/>
          <w:szCs w:val="24"/>
        </w:rPr>
      </w:pPr>
      <w:r>
        <w:rPr>
          <w:rFonts w:ascii="宋体" w:hAnsi="宋体" w:cs="Courier New"/>
          <w:color w:val="000000"/>
          <w:sz w:val="24"/>
          <w:szCs w:val="24"/>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r>
      <w:r/>
    </w:p>
    <w:p>
      <w:pPr>
        <w:pStyle w:val="923"/>
        <w:jc w:val="both"/>
        <w:spacing w:before="120" w:after="120" w:line="0" w:lineRule="atLeast"/>
        <w:rPr>
          <w:rFonts w:hint="eastAsia" w:ascii="宋体" w:hAnsi="宋体" w:cs="Courier New"/>
          <w:b w:val="0"/>
          <w:bCs w:val="0"/>
          <w:color w:val="000000"/>
          <w:sz w:val="24"/>
          <w:szCs w:val="24"/>
          <w:lang w:val="en-US" w:eastAsia="zh-CN"/>
        </w:rPr>
      </w:pPr>
      <w:r>
        <w:rPr>
          <w:rFonts w:hint="eastAsia" w:ascii="宋体" w:hAnsi="宋体" w:cs="Courier New"/>
          <w:b w:val="0"/>
          <w:bCs w:val="0"/>
          <w:color w:val="000000"/>
          <w:sz w:val="24"/>
          <w:szCs w:val="24"/>
          <w:lang w:val="en-US" w:eastAsia="zh-CN"/>
        </w:rPr>
        <w:t xml:space="preserve">合同附件：</w:t>
      </w:r>
      <w:r>
        <w:rPr>
          <w:rFonts w:hint="eastAsia" w:ascii="宋体" w:hAnsi="宋体" w:cs="Courier New"/>
          <w:b w:val="0"/>
          <w:bCs w:val="0"/>
          <w:color w:val="000000"/>
          <w:sz w:val="24"/>
          <w:szCs w:val="24"/>
          <w:lang w:val="en-US" w:eastAsia="zh-CN"/>
        </w:rPr>
      </w:r>
      <w:r/>
    </w:p>
    <w:p>
      <w:pPr>
        <w:pStyle w:val="923"/>
        <w:jc w:val="center"/>
        <w:spacing w:before="120" w:after="120" w:line="0" w:lineRule="atLeast"/>
        <w:rPr>
          <w:rFonts w:hint="eastAsia" w:ascii="宋体" w:hAnsi="宋体" w:cs="Courier New"/>
          <w:b/>
          <w:bCs/>
          <w:color w:val="000000"/>
          <w:sz w:val="24"/>
          <w:szCs w:val="24"/>
          <w:lang w:val="en-US" w:eastAsia="zh-CN"/>
        </w:rPr>
      </w:pPr>
      <w:r>
        <w:rPr>
          <w:rFonts w:hint="eastAsia" w:ascii="宋体" w:hAnsi="宋体" w:cs="Courier New"/>
          <w:b/>
          <w:bCs/>
          <w:color w:val="000000"/>
          <w:sz w:val="24"/>
          <w:szCs w:val="24"/>
          <w:lang w:val="en-US" w:eastAsia="zh-CN"/>
        </w:rPr>
        <w:t xml:space="preserve">项目验收方案</w:t>
      </w:r>
      <w:r>
        <w:rPr>
          <w:rFonts w:hint="eastAsia" w:ascii="宋体" w:hAnsi="宋体" w:cs="Courier New"/>
          <w:b/>
          <w:bCs/>
          <w:color w:val="000000"/>
          <w:sz w:val="24"/>
          <w:szCs w:val="24"/>
          <w:lang w:val="en-US" w:eastAsia="zh-CN"/>
        </w:rPr>
      </w:r>
      <w:r/>
    </w:p>
    <w:p>
      <w:pPr>
        <w:pStyle w:val="923"/>
        <w:jc w:val="left"/>
        <w:spacing w:before="120" w:after="120" w:line="0" w:lineRule="atLeast"/>
        <w:rPr>
          <w:rFonts w:hint="eastAsia" w:ascii="宋体" w:hAnsi="宋体" w:cs="Courier New"/>
          <w:b/>
          <w:bCs/>
          <w:color w:val="000000"/>
          <w:sz w:val="24"/>
          <w:szCs w:val="24"/>
          <w:lang w:val="en-US" w:eastAsia="zh-CN"/>
        </w:rPr>
      </w:pPr>
      <w:r>
        <w:rPr>
          <w:rFonts w:hint="eastAsia" w:ascii="宋体" w:hAnsi="宋体" w:cs="Courier New"/>
          <w:b/>
          <w:bCs/>
          <w:color w:val="000000"/>
          <w:sz w:val="24"/>
          <w:szCs w:val="24"/>
          <w:lang w:val="en-US" w:eastAsia="zh-CN"/>
        </w:rPr>
      </w:r>
      <w:r/>
    </w:p>
    <w:p>
      <w:pPr>
        <w:pStyle w:val="923"/>
        <w:jc w:val="left"/>
        <w:spacing w:before="120" w:after="120" w:line="0" w:lineRule="atLeast"/>
        <w:rPr>
          <w:rFonts w:ascii="宋体" w:hAnsi="宋体" w:cs="Courier New"/>
          <w:b w:val="0"/>
          <w:bCs w:val="0"/>
          <w:color w:val="000000"/>
          <w:sz w:val="24"/>
          <w:szCs w:val="24"/>
          <w:lang w:val="en-US" w:eastAsia="zh-CN"/>
        </w:rPr>
      </w:pPr>
      <w:r>
        <w:rPr>
          <w:rFonts w:ascii="宋体" w:hAnsi="宋体" w:cs="Courier New"/>
          <w:b w:val="0"/>
          <w:bCs w:val="0"/>
          <w:color w:val="000000"/>
          <w:sz w:val="24"/>
          <w:szCs w:val="24"/>
          <w:lang w:val="en-US" w:eastAsia="zh-CN"/>
        </w:rPr>
        <w:t xml:space="preserve">1.本项目货物检测及验收须提前通知采购方，将货物交到采购方指定地点由采购单位指定部门对货物数量、质量、材质、规格、性能、外观（有破损或划痕的均不予验收通过）、包装、出厂产品检验合格证、装箱单进行查验，所送产品必须为生产厂家原厂包装，包装箱上须有生产厂家的厂名及商标，否则采购单位有权不予接收；</w:t>
      </w:r>
      <w:r>
        <w:rPr>
          <w:rFonts w:ascii="宋体" w:hAnsi="宋体" w:cs="Courier New"/>
          <w:b w:val="0"/>
          <w:bCs w:val="0"/>
          <w:color w:val="000000"/>
          <w:sz w:val="24"/>
          <w:szCs w:val="24"/>
          <w:lang w:val="en-US" w:eastAsia="zh-CN"/>
        </w:rPr>
      </w:r>
      <w:r/>
    </w:p>
    <w:p>
      <w:pPr>
        <w:pStyle w:val="923"/>
        <w:jc w:val="left"/>
        <w:spacing w:before="120" w:after="120" w:line="0" w:lineRule="atLeast"/>
        <w:rPr>
          <w:rFonts w:ascii="宋体" w:hAnsi="宋体" w:cs="Courier New"/>
          <w:b w:val="0"/>
          <w:bCs w:val="0"/>
          <w:color w:val="000000"/>
          <w:sz w:val="24"/>
          <w:szCs w:val="24"/>
          <w:lang w:val="en-US" w:eastAsia="zh-CN"/>
        </w:rPr>
      </w:pPr>
      <w:r>
        <w:rPr>
          <w:rFonts w:ascii="宋体" w:hAnsi="宋体" w:cs="Courier New"/>
          <w:b w:val="0"/>
          <w:bCs w:val="0"/>
          <w:color w:val="000000"/>
          <w:sz w:val="24"/>
          <w:szCs w:val="24"/>
          <w:lang w:val="en-US" w:eastAsia="zh-CN"/>
        </w:rPr>
        <w:t xml:space="preserve">采购单位及采购单位指定部门将对交货产品进行随机抽样检测（破坏性检测的产品若检测合格，由采购方根据中标价格支付补全；若检测不合格，则由中标单位承担），待检测合格后方可进行性安装、调试。安装、调试完毕由采购方委托第三方检测部门对项目现场空气质量进行检测，确保检测合格后付款，若不达标，采购方有权拒收本批次产品。</w:t>
      </w:r>
      <w:r>
        <w:rPr>
          <w:rFonts w:ascii="宋体" w:hAnsi="宋体" w:cs="Courier New"/>
          <w:b w:val="0"/>
          <w:bCs w:val="0"/>
          <w:color w:val="000000"/>
          <w:sz w:val="24"/>
          <w:szCs w:val="24"/>
          <w:lang w:val="en-US" w:eastAsia="zh-CN"/>
        </w:rPr>
        <w:t xml:space="preserve">检测合格的，检测费用由采购方支付；检测不合格的，相关检测费用由中标单位承担。</w:t>
      </w:r>
      <w:r>
        <w:rPr>
          <w:rFonts w:ascii="宋体" w:hAnsi="宋体" w:cs="Courier New"/>
          <w:b w:val="0"/>
          <w:bCs w:val="0"/>
          <w:color w:val="000000"/>
          <w:sz w:val="24"/>
          <w:szCs w:val="24"/>
          <w:lang w:val="en-US" w:eastAsia="zh-CN"/>
        </w:rPr>
      </w:r>
      <w:r/>
    </w:p>
    <w:p>
      <w:pPr>
        <w:pStyle w:val="923"/>
        <w:jc w:val="left"/>
        <w:spacing w:before="120" w:after="120" w:line="0" w:lineRule="atLeast"/>
        <w:rPr>
          <w:rFonts w:ascii="宋体" w:hAnsi="宋体" w:cs="Courier New"/>
          <w:b w:val="0"/>
          <w:bCs w:val="0"/>
          <w:color w:val="000000"/>
          <w:sz w:val="24"/>
          <w:szCs w:val="24"/>
          <w:lang w:val="en-US" w:eastAsia="zh-CN"/>
        </w:rPr>
      </w:pPr>
      <w:r>
        <w:rPr>
          <w:rFonts w:ascii="宋体" w:hAnsi="宋体" w:cs="Courier New"/>
          <w:b w:val="0"/>
          <w:bCs w:val="0"/>
          <w:color w:val="000000"/>
          <w:sz w:val="24"/>
          <w:szCs w:val="24"/>
          <w:lang w:val="en-US" w:eastAsia="zh-CN"/>
        </w:rPr>
        <w:t xml:space="preserve">2.验收期限：自标的物交付之日起个7日历日内。特殊情况需延长的，双方特别约定。</w:t>
      </w:r>
      <w:r>
        <w:rPr>
          <w:rFonts w:ascii="宋体" w:hAnsi="宋体" w:cs="Courier New"/>
          <w:b w:val="0"/>
          <w:bCs w:val="0"/>
          <w:color w:val="000000"/>
          <w:sz w:val="24"/>
          <w:szCs w:val="24"/>
          <w:lang w:val="en-US" w:eastAsia="zh-CN"/>
        </w:rPr>
      </w:r>
      <w:r/>
    </w:p>
    <w:p>
      <w:pPr>
        <w:pStyle w:val="923"/>
        <w:jc w:val="left"/>
        <w:spacing w:before="120" w:after="120" w:line="0" w:lineRule="atLeast"/>
        <w:rPr>
          <w:rFonts w:ascii="宋体" w:hAnsi="宋体" w:cs="Courier New"/>
          <w:b w:val="0"/>
          <w:bCs w:val="0"/>
          <w:color w:val="000000"/>
          <w:sz w:val="24"/>
          <w:szCs w:val="24"/>
          <w:lang w:val="en-US" w:eastAsia="zh-CN"/>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Courier New"/>
          <w:b w:val="0"/>
          <w:bCs w:val="0"/>
          <w:color w:val="000000"/>
          <w:sz w:val="24"/>
          <w:szCs w:val="24"/>
          <w:lang w:val="en-US" w:eastAsia="zh-CN"/>
        </w:rPr>
        <w:t xml:space="preserve">3</w:t>
      </w:r>
      <w:r>
        <w:rPr>
          <w:rFonts w:ascii="宋体" w:hAnsi="宋体" w:cs="Courier New"/>
          <w:b w:val="0"/>
          <w:bCs w:val="0"/>
          <w:color w:val="000000"/>
          <w:sz w:val="24"/>
          <w:szCs w:val="24"/>
          <w:lang w:val="en-US" w:eastAsia="zh-CN"/>
        </w:rPr>
        <w:t xml:space="preserve">.以上验收项或检测项不符合采购要求及国家标准要求的，采购单位书面通知中标单位15天内进行整改，若中标单位未按时完成整改或整改后再次抽检仍不合格的，则采购单位有权终止合同，并不予支付货款，相关检测费用等由中标单位承担，同时对采购单位造成的损失，采购单位保留追溯权，中标单位自行承担由此造成的一切损失。</w:t>
      </w:r>
      <w:r>
        <w:rPr>
          <w:rFonts w:ascii="宋体" w:hAnsi="宋体" w:cs="Courier New"/>
          <w:b w:val="0"/>
          <w:bCs w:val="0"/>
          <w:color w:val="000000"/>
          <w:sz w:val="24"/>
          <w:szCs w:val="24"/>
          <w:lang w:val="en-US" w:eastAsia="zh-CN"/>
        </w:rPr>
      </w:r>
      <w:r/>
    </w:p>
    <w:p>
      <w:pPr>
        <w:pStyle w:val="92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9"/>
      <w:r>
        <w:rPr>
          <w:rFonts w:hint="eastAsia" w:ascii="黑体" w:hAnsi="Courier New" w:eastAsia="黑体" w:cs="Courier New"/>
          <w:bCs/>
          <w:color w:val="000000"/>
          <w:sz w:val="44"/>
          <w:szCs w:val="21"/>
        </w:rPr>
        <w:t xml:space="preserve">四章 采购需求</w:t>
      </w:r>
      <w:bookmarkEnd w:id="30"/>
      <w:r/>
      <w:bookmarkEnd w:id="31"/>
      <w:r/>
      <w:bookmarkEnd w:id="32"/>
      <w:r>
        <w:rPr>
          <w:rFonts w:hint="eastAsia" w:ascii="宋体" w:hAnsi="宋体" w:cs="Courier New"/>
          <w:color w:val="000000"/>
          <w:sz w:val="24"/>
          <w:szCs w:val="24"/>
        </w:rPr>
      </w:r>
      <w:r/>
    </w:p>
    <w:p>
      <w:pPr>
        <w:pStyle w:val="923"/>
        <w:spacing w:line="0" w:lineRule="atLeast"/>
        <w:rPr>
          <w:rFonts w:hint="eastAsia" w:ascii="宋体" w:hAnsi="宋体"/>
          <w:color w:val="000000"/>
          <w:sz w:val="24"/>
          <w:szCs w:val="24"/>
        </w:rPr>
      </w:pPr>
      <w:r/>
      <w:bookmarkStart w:id="35" w:name="_Toc26554093"/>
      <w:r/>
      <w:bookmarkStart w:id="36" w:name="_Toc49090575"/>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923"/>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23"/>
        <w:spacing w:line="0" w:lineRule="atLeas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923"/>
        <w:numPr>
          <w:ilvl w:val="0"/>
          <w:numId w:val="4"/>
        </w:numPr>
        <w:spacing w:line="0" w:lineRule="atLeast"/>
        <w:rPr>
          <w:rFonts w:hint="eastAsia" w:ascii="宋体" w:hAnsi="宋体"/>
          <w:bCs/>
          <w:color w:val="00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color w:val="000000"/>
          <w:sz w:val="24"/>
          <w:szCs w:val="24"/>
        </w:rPr>
      </w:r>
      <w:r/>
    </w:p>
    <w:tbl>
      <w:tblPr>
        <w:tblW w:w="1483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696"/>
        <w:gridCol w:w="1166"/>
        <w:gridCol w:w="2575"/>
        <w:gridCol w:w="1093"/>
        <w:gridCol w:w="7420"/>
        <w:gridCol w:w="728"/>
        <w:gridCol w:w="634"/>
      </w:tblGrid>
      <w:tr>
        <w:trPr>
          <w:trHeight w:val="620"/>
        </w:trPr>
        <w:tc>
          <w:tcPr>
            <w:gridSpan w:val="8"/>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ind w:right="571"/>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横扇卫生院家具清单</w:t>
            </w:r>
            <w:r>
              <w:rPr>
                <w:rFonts w:hint="eastAsia" w:ascii="宋体" w:hAnsi="宋体" w:eastAsia="宋体" w:cs="宋体"/>
                <w:b/>
                <w:bCs/>
                <w:i w:val="0"/>
                <w:iCs w:val="0"/>
                <w:color w:val="000000"/>
                <w:sz w:val="20"/>
                <w:szCs w:val="20"/>
                <w:u w:val="none"/>
              </w:rPr>
            </w:r>
            <w:r/>
          </w:p>
        </w:tc>
      </w:tr>
      <w:tr>
        <w:trPr>
          <w:trHeight w:val="460"/>
        </w:trPr>
        <w:tc>
          <w:tcPr>
            <w:shd w:val="clear" w:color="auto" w:fill="d9d9d9"/>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序号</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区域</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货物名称</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图片</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规格</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性能、技术指标说明与描述</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数量</w:t>
            </w:r>
            <w:r>
              <w:rPr>
                <w:rFonts w:hint="eastAsia" w:ascii="宋体" w:hAnsi="宋体" w:eastAsia="宋体" w:cs="宋体"/>
                <w:b w:val="0"/>
                <w:bCs w:val="0"/>
                <w:i w:val="0"/>
                <w:iCs w:val="0"/>
                <w:color w:val="000000"/>
                <w:sz w:val="20"/>
                <w:szCs w:val="20"/>
                <w:u w:val="none"/>
              </w:rPr>
            </w:r>
            <w:r/>
          </w:p>
        </w:tc>
        <w:tc>
          <w:tcPr>
            <w:shd w:val="clear" w:color="auto" w:fill="d9d9d9"/>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单位</w:t>
            </w:r>
            <w:r>
              <w:rPr>
                <w:rFonts w:hint="eastAsia" w:ascii="宋体" w:hAnsi="宋体" w:eastAsia="宋体" w:cs="宋体"/>
                <w:b w:val="0"/>
                <w:bCs w:val="0"/>
                <w:i w:val="0"/>
                <w:iCs w:val="0"/>
                <w:color w:val="000000"/>
                <w:sz w:val="20"/>
                <w:szCs w:val="20"/>
                <w:u w:val="none"/>
              </w:rPr>
            </w:r>
            <w:r/>
          </w:p>
        </w:tc>
      </w:tr>
      <w:tr>
        <w:trPr>
          <w:trHeight w:val="9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tabs>
                <w:tab w:val="left" w:pos="21840" w:leader="none"/>
              </w:tabs>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一楼</w:t>
            </w:r>
            <w:r>
              <w:rPr>
                <w:rFonts w:hint="eastAsia" w:ascii="宋体" w:hAnsi="宋体" w:eastAsia="宋体" w:cs="宋体"/>
                <w:b w:val="0"/>
                <w:bCs w:val="0"/>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sz w:val="20"/>
                <w:szCs w:val="20"/>
                <w:u w:val="none"/>
                <w:lang w:val="en-US" w:eastAsia="zh-CN" w:bidi="ar"/>
              </w:rPr>
              <w:t xml:space="preserve">大厅、门厅</w:t>
            </w:r>
            <w:r>
              <w:rPr>
                <w:rFonts w:hint="eastAsia" w:ascii="宋体" w:hAnsi="宋体" w:eastAsia="宋体" w:cs="宋体"/>
                <w:b w:val="0"/>
                <w:bCs w:val="0"/>
                <w:i w:val="0"/>
                <w:iCs w:val="0"/>
                <w:color w:val="000000"/>
                <w:sz w:val="20"/>
                <w:szCs w:val="20"/>
                <w:u w:val="none"/>
              </w:rPr>
            </w:r>
            <w:r/>
          </w:p>
        </w:tc>
      </w:tr>
      <w:tr>
        <w:trPr>
          <w:trHeight w:val="3238"/>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导医台、护士站、门厅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74602" cy="155958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0" r="1971" b="0"/>
                              <a:stretch/>
                            </pic:blipFill>
                            <pic:spPr bwMode="auto">
                              <a:xfrm>
                                <a:off x="0" y="0"/>
                                <a:ext cx="974602" cy="1559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7pt;height:122.8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819"/>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24675" cy="106362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2467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9pt;height:83.8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直径330*480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1、面材：采用优质环保皮，触感舒适，抗拉强度高、耐用耐磨。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填充：采用高密度聚氨酯定型海绵，回弹性可达95%；海绵密度为55KG/m³，环保无毒无异味，回弹舒适，长期使用不变形，不塌陷；内衬9层实木胶合板，其中甲醛释放量≤0.5mg/L，厚度≥12mm，绿色环保，坚固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3、椅脚：电镀钢制脚，CNC机器人全自动焊接，焊缝均匀，强度好，360°抛光，表面电镀，耐用防锈不褪色，外径470mm；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4、椅轮：静音滑轮，耐磨耐用。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5、气杆：优质三级防爆气杆，内芯壁厚2mm，外管壁厚1.5mm，升降行程150mm。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9846-2015《普通胶合板》；GB/T16799-2018 《家具用皮革》、GB/T3325-2017《金属家具通用技术条件》；；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3325-2017《金属家具通用技术》；GB/T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大厅、门厅等候区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49350" cy="69538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49350" cy="695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5pt;height:54.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门诊收费、急诊挂号、药房、药库</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门诊收费、急诊挂号、药房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收费桌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05255" cy="87693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405255" cy="876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0.6pt;height:69.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5、功能要求：桌面可放置打印机，抽拉式台板，方便使用，桌内走线功能；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杯状暗铰链》；QB/T4767-2014《家具用钢构件》、GB/T35601-2017《绿色产品评价 人造板和木质地板》；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门诊收费、急诊挂号、药房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93883" cy="158987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971" b="0"/>
                              <a:stretch/>
                            </pic:blipFill>
                            <pic:spPr bwMode="auto">
                              <a:xfrm>
                                <a:off x="0" y="0"/>
                                <a:ext cx="993882" cy="158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8.3pt;height:125.2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门诊收费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45825" cy="20034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45825" cy="200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4.5pt;height:15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杯状暗铰链》；QB/T4767-2014《家具用钢构件》、GB/T35601-2017《绿色产品评价 人造板和木质地板》；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单面药品柜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56640" cy="136525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56640" cy="136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3.2pt;height:10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1000*450*2000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药盘、底座等主要材料采用0.7mm一级冷轧钢板，立柱采用壁厚1.2mm的40*40mm铝合金方管，铝合金的抗拉强度、规定非比例延伸强度、断后伸长率、维氏硬度、压痕硬度、附着性、耐冲击性、抗弯曲性、耐盐酸性、光泽度、耐腐蚀、附着力、冲击强度符合要求，整体厚度均匀，表面质量优越，符合标准中的力学性能要求；所有材料采用折弯机自动折弯，弯角过渡圆滑平整，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3、每面标配6层药盘，药盘高度可调节；药盘带分割板；药盘可水平/倾角放置；</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外观性能要求（金属件焊接件、喷涂层；塑料件）、安全性能要求（结构安全）、产品表面涂饰层/覆面材料理化性能（金属喷漆（塑）涂层硬度、冲击强度、耐腐蚀、附着力）、力学性能（柜类强度和耐久性、柜类稳定性）、产品有害物质（苯、甲苯、二甲苯、总挥发性有机化合物、家具涂层可迁移元素（铅、镉、铬、汞、硒、钡））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急诊药房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西药转盘架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81215" cy="154559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21288" t="20535" r="45508" b="15935"/>
                              <a:stretch/>
                            </pic:blipFill>
                            <pic:spPr bwMode="auto">
                              <a:xfrm>
                                <a:off x="0" y="0"/>
                                <a:ext cx="1081215" cy="1545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5.1pt;height:121.7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φ900*1818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1、钢板：药盘、底座等主要材料采用0.7mm一级冷轧钢板，支撑柱采用 40*40铝合金方管壁厚1.2mm，铝合金的抗拉强度、规定非比例延伸强度、断后伸长率、维氏硬度、压痕硬度、附着性、耐冲击性、抗弯曲性、耐盐酸性、光泽度、耐腐蚀、附着力、冲击强度符合要求，整体厚度均匀，表面质量优越，符合标准中的力学性能要求；所有材料采用折弯机自动折弯，弯角过渡圆滑平整，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3、每层药盘可旋转；药盘带分割板；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4、成品金属件外观，金属喷漆（塑）涂层（冲击强度、耐腐蚀、附着力）、成品力学性能（柜类强度和耐久性、柜类稳定性）、安全性能（结构安全）、有害物质限量要求符合国标要求。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单面药品柜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56640" cy="136525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56640" cy="136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3.2pt;height:10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1000*450*2000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药盘、底座等主要材料采用0.7mm一级冷轧钢板，立柱采用壁厚1.2mm的40*40mm铝合金方管，铝合金的抗拉强度、规定非比例延伸强度、断后伸长率、维氏硬度、压痕硬度、附着性、耐冲击性、抗弯曲性、耐盐酸性、光泽度、耐腐蚀、附着力、冲击强度符合要求，整体厚度均匀，表面质量优越，符合标准中的力学性能要求；所有材料采用折弯机自动折弯，弯角过渡圆滑平整，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3、每面标配6层药盘，药盘高度可调节；药盘带分割板；药盘可水平/倾角放置；</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外观性能要求（金属件焊接件、喷涂层；塑料件）、安全性能要求（结构安全）、产品表面涂饰层/覆面材料理化性能（金属喷漆（塑）涂层硬度、冲击强度、耐腐蚀、附着力）、力学性能（柜类强度和耐久性、柜类稳定性）、产品有害物质（苯、甲苯、二甲苯、总挥发性有机化合物、家具涂层可迁移元素（铅、镉、铬、汞、硒、钡））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双面药品架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71212" cy="105346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71212" cy="1053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6.5pt;height:83.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1200*850*2000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药盘、底座等主要材料采用0.7mm一级冷轧钢板，立柱采用壁厚1.2mm的40*40mm铝合金方管，铝合金的抗拉强度、规定非比例延伸强度、断后伸长率、维氏硬度、压痕硬度、附着性、耐冲击性、抗弯曲性、耐盐酸性、光泽度、耐腐蚀、附着力、冲击强度符合要求，整体厚度均匀，表面质量优越，符合标准中的力学性能要求；所有材料采用折弯机自动折弯，弯角过渡圆滑平整，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3、每面标配6层药盘，药盘高度可调节；药盘带分割板；药盘可水平/倾角放置；</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外观性能要求（金属件焊接件、喷涂层；塑料件）、安全性能要求（结构安全）、产品表面涂饰层/覆面材料理化性能（金属喷漆（塑）涂层硬度、冲击强度、耐腐蚀、附着力）、力学性能（柜类强度和耐久性、柜类稳定性）、产品有害物质（苯、甲苯、二甲苯、总挥发性有机化合物、家具涂层可迁移元素（铅、镉、铬、汞、硒、钡））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药库、物品间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钢制货架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86738" cy="1108139"/>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86738" cy="1108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4pt;height:87.3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裸板采用冷轧钢折弯，表面采用环氧聚酯型粉末涂料，高压静电喷塑前经过13道前期处理，无甲醛释放量，各零部件、组合件表面应光滑、平整，表光泽度为60%～70%，耐冲击力大于60kg/cm2，不得有尖角、划口、凸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2、立柱材料厚度1.2mm，横梁厚度1.5mm，连接螺丝采用强度8.8级螺丝，整体承重≥250公斤，强焊接技术，每个焊点必须牢固可靠，不脱离不变形；层板厚度0.7mm，背部焊有加强筋，增加承重，长期负载不变形；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3、工艺要求：立柱上开蝴蝶孔，方便拆卸组装，可根据需要调整层高；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4、成品金属件外观，金属喷漆（塑）涂层（冲击强度、耐腐蚀、附着力）、成品力学性能（柜类强度和耐久性、柜类稳定性）、安全性能（结构安全）、有害物质限量要求符合国标要求。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药库</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不锈钢垛架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53909" cy="60127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53909" cy="601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0.9pt;height:47.3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1、整体采用国标SUS304抗菌不锈钢，管材壁厚1.2mm，层面采用方管焊接，不锈钢的抗菌（乙型溶血性链球菌）性能及理化性能等符合GB/T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2、加高橡胶脚垫，稳定性高，抗震强；</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3、成品金属件外观性能要求、表面耐腐蚀、材料厚度符合国标要求；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 24820-2009《实验室家具通用技术条件》；GB/T13668-2015《钢制书柜、资料柜通用技术条件》。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带锁衣柜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85052" cy="1411605"/>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85052" cy="1411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9.7pt;height:111.1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深度500*高度2000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5、主要五金：铰链采用缓冲阻尼门铰，表面盐雾18h无锈蚀，乙酸盐雾试验、过载、功能、操作力、理化性能检测符合要求；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6、主要功能：带鞋柜；每门带锁，内置挂衣杆和层板；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单人床（含床垫）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62380" cy="78676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rcRect l="10918" t="14186" r="12807" b="15298"/>
                              <a:stretch/>
                            </pic:blipFill>
                            <pic:spPr bwMode="auto">
                              <a:xfrm>
                                <a:off x="0" y="0"/>
                                <a:ext cx="1262380" cy="786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9.4pt;height:61.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4、主要五金：优质连接件；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杯状暗铰链》、GB/T35601-2017《绿色产品评价 人造板和木质地板》；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63320" cy="101155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rcRect l="30856" t="38488" r="31851" b="13123"/>
                              <a:stretch/>
                            </pic:blipFill>
                            <pic:spPr bwMode="auto">
                              <a:xfrm>
                                <a:off x="0" y="0"/>
                                <a:ext cx="1163320" cy="1011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1.6pt;height:79.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450*450*500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外科诊室（2）、便民门诊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18209" cy="842216"/>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318209" cy="84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3.8pt;height:66.3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外科诊室（2）、便民门诊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2.1pt;height:91.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其它诊室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0930" cy="82378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50930" cy="8237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8.5pt;height:64.9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侧柜：600*400*750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其它诊室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2.1pt;height:91.7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诊室、B超室、护士站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6.2pt;height:106.0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外科、骨伤科、便民、心电图室、急诊内科、肠道门诊、B超室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不锈钢诊疗床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63625" cy="594318"/>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063625" cy="594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83.8pt;height:46.8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1810*620*700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皮革，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3、下架：抗菌不锈钢方形钢管下架；地面接触面采用塑胶脚塞，防滑耐磨静音，不锈钢的抗菌（乙型溶血性链球菌）性能及理化性能等符合GB/T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4、成品的外观（金属件、塑料件）、安全性能要求（结构安全）、重金属含量、力学性能、金属件盐雾试验等都需符合国家标准；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《冷轧低碳钢板及钢带》；QB/T 4199-2011《皮革 防霉性能测试方法》；GB/T16799-2018 《家具用皮革》；GB/T 10802-2006《通用软质聚醚型聚氨酯泡沫塑料》、GB/T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放射科、医生办公室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17240" cy="1022101"/>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217240" cy="1022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5.8pt;height:80.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9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17240" cy="1022101"/>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217240" cy="10221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5.8pt;height:80.5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放射科、医生办公室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03162" cy="1605191"/>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rcRect l="0" t="0" r="1971" b="0"/>
                              <a:stretch/>
                            </pic:blipFill>
                            <pic:spPr bwMode="auto">
                              <a:xfrm>
                                <a:off x="0" y="0"/>
                                <a:ext cx="1003162" cy="16051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9.0pt;height:126.4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放射科、医生办公室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80745" cy="186690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80745" cy="186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9.3pt;height:147.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输液室</w:t>
            </w:r>
            <w:r>
              <w:rPr>
                <w:rFonts w:hint="eastAsia" w:ascii="宋体" w:hAnsi="宋体" w:eastAsia="宋体" w:cs="宋体"/>
                <w:i w:val="0"/>
                <w:iCs w:val="0"/>
                <w:color w:val="000000"/>
                <w:sz w:val="20"/>
                <w:szCs w:val="20"/>
                <w:u w:val="none"/>
              </w:rPr>
            </w:r>
            <w:r/>
          </w:p>
        </w:tc>
      </w:tr>
      <w:tr>
        <w:trPr>
          <w:trHeight w:val="36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成人输液区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单人输液椅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35685" cy="132016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0" t="15015" r="0" b="0"/>
                              <a:stretch/>
                            </pic:blipFill>
                            <pic:spPr bwMode="auto">
                              <a:xfrm>
                                <a:off x="0" y="0"/>
                                <a:ext cx="1035685" cy="1320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1.5pt;height:103.9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625*760*1060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椅及靠背：医用级环保水性皮，耐污、易清洁、抗菌，经高级衣车裁剪车线订制而成，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3、椅架：采用30*60mm*1.2mm的冷轧钢管冲压、焊接成型；表面喷涂处理，性能突出，环保无污染，具有优异的耐候、耐热、耐冲击性能，符合标准要求；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4、每座位配1支抗菌不锈钢输液杆，不锈钢的抗菌（乙型溶血性链球菌）性能及理化性能等符合GB/T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产品主要尺寸及其偏差、形状和位置公差、外观(金属件外观、软包件外观、塑料件、配件)；结构安全；金属喷漆涂层《硬度、冲击强度、耐腐蚀、附着力)；覆面材料（耐干摩擦、耐湿摩擦、皮革PH值)；力学性能椅凳类稳定性、椅类强度和耐久性；甲醛释放里、苯、甲苯、二甲苯、TVOC、涂层可迁移元素、可分解芳香胺染料，五氯苯酚、苯并芘检测数据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4341-2012《抗菌聚氨酯合成革 抗菌性能试验方法和抗菌结果》；QB/T 4199-2011《皮革 防霉性能测试方法》；GB/T16799-2018 《家具用皮革》；GB/T 10802-2006《通用软质聚醚型聚氨酯泡沫塑料》、GB/T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108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成人输液区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双人输液椅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91895" cy="1201985"/>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rcRect l="7645" t="3403" r="16364" b="0"/>
                              <a:stretch/>
                            </pic:blipFill>
                            <pic:spPr bwMode="auto">
                              <a:xfrm>
                                <a:off x="0" y="0"/>
                                <a:ext cx="1191895" cy="1201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3.8pt;height:94.6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1200*760*1060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椅及靠背：医用级环保水性皮，耐污、易清洁、抗菌，经高级衣车裁剪车线订制而成，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3、椅架：采用30*60mm*1.2mm的冷轧钢管冲压、焊接成型；表面喷涂处理，性能突出，环保无污染，具有优异的耐候、耐热、耐冲击性能，符合标准要求；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4、每座位配1支抗菌不锈钢输液杆，不锈钢的抗菌（乙型溶血性链球菌）性能及理化性能等符合GB/T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产品主要尺寸及其偏差、形状和位置公差、外观(金属件外观、软包件外观、塑料件、配件)；结构安全；金属喷漆涂层《硬度、冲击强度、耐腐蚀、附着力)；覆面材料（耐干摩擦、耐湿摩擦、皮革PH值)；力学性能椅凳类稳定性、椅类强度和耐久性；甲醛释放里、苯、甲苯、二甲苯、TVOC、涂层可迁移元素、可分解芳香胺染料，五氯苯酚、苯并芘检测数据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4341-2012《抗菌聚氨酯合成革 抗菌性能试验方法和抗菌结果》；QB/T 4199-2011《皮革 防霉性能测试方法》；GB/T16799-2018 《家具用皮革》；GB/T 10802-2006《通用软质聚醚型聚氨酯泡沫塑料》、GB/T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15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成人输液区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简易输液边凳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01662" cy="1118870"/>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01662" cy="1118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8.9pt;height:88.1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3、床架基材：环保生态板，甲醛及有害物质排放量符合标准，游离甲醛含量≤0.124mg/m³，环保、安全，材料稳定性高；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6、每座位配1~2支抗菌不锈钢输液杆，不锈钢的抗菌（乙型溶血性链球菌）性能及理化性能等符合GB/T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w:t>
            </w:r>
            <w:r>
              <w:rPr>
                <w:rFonts w:hint="eastAsia" w:ascii="宋体" w:hAnsi="宋体" w:eastAsia="宋体" w:cs="宋体"/>
                <w:i w:val="0"/>
                <w:iCs w:val="0"/>
                <w:color w:val="000000"/>
                <w:sz w:val="20"/>
                <w:szCs w:val="20"/>
                <w:u w:val="none"/>
                <w:lang w:val="en-US" w:eastAsia="zh-CN" w:bidi="ar"/>
              </w:rPr>
              <w:t xml:space="preserve">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45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成人输液区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输液隔断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13485" cy="696656"/>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rcRect l="4266" t="8403" r="2414" b="8852"/>
                              <a:stretch/>
                            </pic:blipFill>
                            <pic:spPr bwMode="auto">
                              <a:xfrm>
                                <a:off x="0" y="0"/>
                                <a:ext cx="1213485" cy="6966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5.5pt;height:54.9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1、基材：实木颗粒板，环保、安全，材料稳定性高，甲醛及有害物质排放量符合标准GB 18580-2017《室内装饰装修材料人造板及其制品中甲醛释放限量》，游离甲醛含量≤0.124mg/m³；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2、饰面：表面采用耐磨三聚氢胺浸渍饰面，表面理化性能要求：覆面的耐夜性（满足碳酸钠溶液、乙酸溶液，24小时，不低于3级），外观无明显污斑、划痕、压痕及色差，耐火、耐磨、防污、硬度高；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钢铝结构屏风；内置承重受力框架采用冷轧钢，共用走线屏风厚度40mm，满足3~4人走线使用；外挂材料选用铝合金，铝合金的抗拉强度、规定非比例延伸强度、断后伸长率、维氏硬度、压痕硬度、附着性、耐冲击性、抗弯曲性、耐盐酸性、光泽度、耐腐蚀、附着力、冲击强度符合要求；屏风装饰材料可选用钢化玻璃、木饰面组合；</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4、五金件及配件：塑胶件符合GB/T 3325-2017《金属家具通用技术条件》中产品部件材质理化性能，耐老化性能，户外使用的产品塑料件耐老化试验时间500h，试验后拉伸强度、断裂伸长率、冲击强度的保持率不小于60%，外观颜色变色评级不小于3级等要求；钢化玻璃通过GB/T 9963-1998 钢化玻璃耐热、耐冲击强度检测要求；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5、屏风高度为1200mm，走线屏风厚度为40mm，侧面独立屏风厚度为30mm，可视玻璃窗口高度为400mm，屏风内部含左右及上下走线（含USB/国标插座)，屏风须与地面固定，屏风具体要求按客户实际使用要求；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15102-2017《浸渍胶膜纸饰面纤维板和刨花板》；GB28481-2012《塑料家具中有害物质限量》；GB/T23999-2009《室内装饰装修用水性木器涂料》；GB 18581-2020 《木器涂料中有害物质限量》；GB/T 5237.4-2017《铝合金建筑型材 第4部分：喷粉型材》；GB/T 26695-2011 《家具用钢化玻璃板》、GB/T3325-2017《金属家具通用技术条件》；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成品检验标准：参考标准GB/T 3325-2017《金属家具通用技术》，木质件及金属件外观、表面贴面层理化性能要求，成品的力学性能、安全性能要求，成品的整体甲醛释放量，都需符合标准；GB/T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36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儿童输液区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83335" cy="95313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283335" cy="953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01.0pt;height:75.0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1250*500*1200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3、框架基材：环保生态板，甲醛及有害物质排放量符合标准，游离甲醛含量≤0.124mg/m³，环保、安全，材料稳定性高；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6、每座位配1支抗菌不锈钢输液杆，不锈钢的抗菌（乙型溶血性链球菌）性能及理化性能等符合GB/T 24170.1-2023《表面抗菌不锈钢 第1部分：电化学法》、GB/T3280-2015《不锈钢冷轧钢板和钢带》；配活动方凳，不用时可收纳在椅子下方，输液椅的需求满足实际使用需求；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w:t>
            </w:r>
            <w:r>
              <w:rPr>
                <w:rFonts w:hint="eastAsia" w:ascii="宋体" w:hAnsi="宋体" w:eastAsia="宋体" w:cs="宋体"/>
                <w:i w:val="0"/>
                <w:iCs w:val="0"/>
                <w:color w:val="000000"/>
                <w:sz w:val="20"/>
                <w:szCs w:val="20"/>
                <w:u w:val="none"/>
                <w:lang w:val="en-US" w:eastAsia="zh-CN" w:bidi="ar"/>
              </w:rPr>
              <w:t xml:space="preserve">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杯状暗铰链》；QB/T4767-2014《家具用钢构件》、YB/T 4171-2020《含铜抗菌不锈钢》、GB/T3280-2015《不锈钢冷轧钢板和钢带》；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治疗室</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犬伤治疗室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不锈钢诊疗床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63625" cy="594318"/>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063625" cy="594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3.8pt;height:46.8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1810*620*700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皮革，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3、下架：抗菌不锈钢方形钢管下架，不锈钢的抗菌（乙型溶血性链球菌）性能及理化性能等符合GB/T 24170.1-2023《表面抗菌不锈钢 第1部分：电化学法》、GB/T3280-2015《不锈钢冷轧钢板和钢带》；地面接触面采用塑胶脚塞，防滑耐磨静音；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4、成品的外观（金属件、塑料件）、安全性能要求（结构安全）、重金属含量、力学性能、金属件盐雾试验等都需符合国家标准；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《冷轧低碳钢板及钢带》；QB/T 4341-2012《抗菌聚氨酯合成革 抗菌性能试验方法和抗菌结果》；QB/T 4199-2011《皮革 防霉性能测试方法》；GB/T16799-2018 《家具用皮革》；GB/T 10802-2006《通用软质聚醚型聚氨酯泡沫塑料》、YB/T 4171-2020《含铜抗菌不锈钢》、GB/T3280-2015《不锈钢冷轧钢板和钢带》；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输液室护士站更衣室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75109" cy="1466698"/>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875109" cy="1466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8.9pt;height:115.5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，方便配合不同室内的地面水平；内置挂衣杆、小镜子、名片槽；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7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输液室护士站更衣室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83005" cy="590550"/>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rcRect l="10191" t="21136" r="17227" b="14412"/>
                              <a:stretch/>
                            </pic:blipFill>
                            <pic:spPr bwMode="auto">
                              <a:xfrm>
                                <a:off x="0" y="0"/>
                                <a:ext cx="1183005"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3.1pt;height:46.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1500*400*450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3、坐垫采用皮革软包海绵坐垫；两层鞋柜设计，方便使用；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2006-2015《热固性粉末涂料》；GB/T16799-2008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二楼</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rPr>
                <w:rFonts w:hint="eastAsia" w:ascii="宋体" w:hAnsi="宋体" w:eastAsia="宋体" w:cs="宋体"/>
                <w:i w:val="0"/>
                <w:iCs w:val="0"/>
                <w:color w:val="000000"/>
                <w:sz w:val="20"/>
                <w:szCs w:val="20"/>
                <w:u w:val="none"/>
              </w:rPr>
            </w:r>
            <w:r/>
          </w:p>
        </w:tc>
      </w:tr>
      <w:tr>
        <w:trPr>
          <w:trHeight w:val="37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培训椅（带写字翻板）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9205" cy="14408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rcRect l="14383" t="0" r="19843" b="0"/>
                              <a:stretch/>
                            </pic:blipFill>
                            <pic:spPr bwMode="auto">
                              <a:xfrm>
                                <a:off x="0" y="0"/>
                                <a:ext cx="1259205" cy="144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9.1pt;height:113.4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610*570*830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1、材料：背架采用全新PA+30%玻纤，环保不褪色，抗裂性强；扶手采用PA+30%玻纤、耐磨；脚垫采用超韧尼龙+15%玻纤；</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2、椅架：采用管壁厚1.5mm扁圆碳素钢，表面喷涂处理，表面性能突出，具有优异的耐候、耐热、耐冲击性能，盐雾测试100h后无锈蚀、剥落、起皱；表面附着力不低于2级；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3、覆面材料：靠背采用弹性网布，坐面采用绒布，内衬高密度高支撑海绵，密度≥48kg/m³，回弹性≥40%，防火等级符合标准，长期使用不变形；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4、带可翻转写字板；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70940" cy="920750"/>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170940" cy="920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2.2pt;height:72.5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4、钢架：表面喷涂处理，表面性能突出，具有优异的耐候、耐热、耐冲击性能，盐雾测试100h后无锈蚀、剥落、起皱；表面附着力不低于2级；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功能：桌面含护角，直角型的控制杆，单手按压翻折，利于收纳，外置防护罩；钢制支撑脚架采用20mm*25mm的钢管，桌面横管采用20mm*40mm的方管，脚架采用25mm*50mm的方管，壁厚为1.8mm；带钢制储物层及活动万向轮，符合会议使用需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3325-2017《金属家具通用技术条件》；HG/T 2006-2015《热固性粉末涂料性能要求》；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75690" cy="141555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rcRect l="17857" t="0" r="0" b="0"/>
                              <a:stretch/>
                            </pic:blipFill>
                            <pic:spPr bwMode="auto">
                              <a:xfrm>
                                <a:off x="0" y="0"/>
                                <a:ext cx="1075690" cy="1415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84.7pt;height:111.5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610*570*830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1、材料：背架采用全新PA+30%玻纤，环保不褪色，抗裂性强；扶手采用PA+30%玻纤、耐磨；脚垫采用超韧尼龙+15%玻纤；</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2、椅架：采用管壁厚1.5mm扁圆碳素钢，表面喷涂处理，表面性能突出，具有优异的耐候、耐热、耐冲击性能，盐雾测试100h后无锈蚀、剥落、起皱；表面附着力不低于2级；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3、覆面材料：靠背采用弹性网布，坐面采用绒布，内衬高密度高支撑海绵，密度≥48kg/m³，回弹性≥40%，防火等级符合标准，长期使用不变形；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硬度、冲击强度、耐盐雾、附着力；理化性能（软质聚氨酯泡沫塑料密度、回弹性、75%压缩永久变形）；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预防保健科</w:t>
            </w:r>
            <w:r>
              <w:rPr>
                <w:rFonts w:hint="eastAsia" w:ascii="宋体" w:hAnsi="宋体" w:eastAsia="宋体" w:cs="宋体"/>
                <w:i w:val="0"/>
                <w:iCs w:val="0"/>
                <w:color w:val="000000"/>
                <w:sz w:val="20"/>
                <w:szCs w:val="20"/>
                <w:u w:val="none"/>
              </w:rPr>
            </w:r>
            <w:r/>
          </w:p>
        </w:tc>
      </w:tr>
      <w:tr>
        <w:trPr>
          <w:trHeight w:val="9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预防保健科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71270" cy="836728"/>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271270" cy="836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00.1pt;height:65.9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1200*600*750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侧柜：600*400*750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预防保健科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6.2pt;height:106.0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4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预防保健科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2.1pt;height:91.7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接种室</w:t>
            </w:r>
            <w:r>
              <w:rPr>
                <w:rFonts w:hint="eastAsia" w:ascii="宋体" w:hAnsi="宋体" w:eastAsia="宋体" w:cs="宋体"/>
                <w:i w:val="0"/>
                <w:iCs w:val="0"/>
                <w:color w:val="000000"/>
                <w:sz w:val="20"/>
                <w:szCs w:val="20"/>
                <w:u w:val="none"/>
              </w:rPr>
            </w:r>
            <w:r/>
          </w:p>
        </w:tc>
      </w:tr>
      <w:tr>
        <w:trPr>
          <w:trHeight w:val="28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0333" cy="846030"/>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290333" cy="84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01.6pt;height:66.6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1800*1600*750/1200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3、封边：同色ABS激光封边条，采用3D镭射封边技术，封边条的外观、理化性能检测、有害物质限量、多溴二苯醚、邻苯二甲酸酯等符合标准；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5、主要五金：抽屉采用三节静音阻尼导轨，铰链采用缓冲阻尼门铰，表面盐雾18h无锈蚀，乙酸盐雾试验、过载、功能、操作力、理化性能检测符合要求；导轨表面黑色喷涂，通过耐久性测试；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6、主要功能：落地带锁三抽柜，预留冰箱放置位置；屏风高度为1200mm（含86五孔插座），实际使用需求符合接种桌的功能；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18580-2017《室内装饰装修材料人造板及其制品中甲醛释放量》；GB/T 15102-2017《浸渍胶膜纸饰面纤维板和刨花板》；QB/T4463-2013 《家具用封边条技术要求》；GB28481-2012《塑料家具中有害物质限量》；GB/T 3325-2017《金属家具通用技术条件》；QB/T 2189-2013《家具五金 杯状暗铰链》；QB/T2454-2013《家具五金 抽屉导轨》；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6.2pt;height:106.0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接种室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2.1pt;height:91.7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等候区</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63655" cy="76517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263655" cy="76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9.5pt;height:60.2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各办公室</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93800" cy="900059"/>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193800" cy="9000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94.0pt;height:70.9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93800" cy="900059"/>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193800" cy="9000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94.0pt;height:70.9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84260" cy="1574927"/>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rcRect l="0" t="0" r="1971" b="0"/>
                              <a:stretch/>
                            </pic:blipFill>
                            <pic:spPr bwMode="auto">
                              <a:xfrm>
                                <a:off x="0" y="0"/>
                                <a:ext cx="984260" cy="1574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7.5pt;height:124.0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35990" cy="1983740"/>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35990" cy="198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3.7pt;height:156.2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母婴护理台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06634" cy="1203350"/>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06634" cy="1203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1.4pt;height:94.8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900*580*980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3、床架基材：环保生态板，甲醛及有害物质排放量符合标准，游离甲醛含量≤0.124mg/m³，环保、安全，材料稳定性高；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2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1590" cy="895609"/>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rcRect l="12862" t="18575" r="11715" b="2697"/>
                              <a:stretch/>
                            </pic:blipFill>
                            <pic:spPr bwMode="auto">
                              <a:xfrm>
                                <a:off x="0" y="0"/>
                                <a:ext cx="1291590" cy="8956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01.7pt;height:70.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1450*700*870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1、内框架：木材含水率要求在8~12％，甲醛释放量≤1.5mg/L；内衬多层板胶合强度≥7MPa，甲醛释放量≤0.08mg/m3；</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表面材料：采用环保医用合成皮革，内衬高回弹海绵，耐污、易清洁、抗菌性能达标，经高级衣车裁剪车线订制而成，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3、海绵：高密度回弹海绵，座面密度≥28kg/m³，压缩永久变形≤10%，泡沫回弹性≥35%；</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金属支撑脚：采用铝合金压铸成型，铝合金的抗拉强度、规定非比例延伸强度、断后伸长率、维氏硬度、压痕硬度、附着性、耐冲击性、抗弯曲性、耐盐酸性、光泽度、耐腐蚀、附着力、冲击强度符合要求；表面静电粉末喷涂，符合标准中表面理化性能等要求，附着力≥1级，耐冲击强度≥50mm，耐碱性、耐酸性、耐沸水性良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5、产品的用料、加工、外观性能（面料、缝纫和包覆）、力学性能（沙发座、背及扶手耐久性）、理化性能（覆面材料理化性能）、产品有害物质（甲醛释放量、苯、甲苯、二甲苯、TVOC等)等都需符合国家标准。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3324-2017《木家具通用技术条件》；GB/T 9846-2015《普通胶合板》；QB/T 4341-2012《抗菌聚氨酯合成革 抗菌性能试验方法和抗菌结果》；QB/T 4199-2011《皮革 防霉性能测试方法》；GB/T16799-2018 《家具用皮革》、GB/T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1952.1-2012《软体家具 沙发》、GB/T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26734" cy="1385545"/>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26734" cy="1385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5.1pt;height:109.1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，方便配合不同室内的地面水平；内置挂衣杆、小镜子、名片槽；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83005" cy="62865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rcRect l="10191" t="22314" r="17227" b="9075"/>
                              <a:stretch/>
                            </pic:blipFill>
                            <pic:spPr bwMode="auto">
                              <a:xfrm>
                                <a:off x="0" y="0"/>
                                <a:ext cx="1183005"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3.1pt;height:49.5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1500*400*450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3、坐垫采用皮革软包海绵坐垫；两层鞋柜设计，方便使用；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2006-2015《热固性粉末涂料》；GB/T16799-2008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抽血窗口</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抽血窗口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采血功能柜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96183" cy="897626"/>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096183" cy="897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6.3pt;height:70.7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900*420*720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抽血窗口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6.2pt;height:106.0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抽血窗口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2.1pt;height:91.7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检验科</w:t>
            </w:r>
            <w:r>
              <w:rPr>
                <w:rFonts w:hint="eastAsia" w:ascii="宋体" w:hAnsi="宋体" w:eastAsia="宋体" w:cs="宋体"/>
                <w:i w:val="0"/>
                <w:iCs w:val="0"/>
                <w:color w:val="000000"/>
                <w:sz w:val="20"/>
                <w:szCs w:val="20"/>
                <w:u w:val="none"/>
              </w:rPr>
            </w:r>
            <w:r/>
          </w:p>
        </w:tc>
      </w:tr>
      <w:tr>
        <w:trPr>
          <w:trHeight w:val="26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24675" cy="106362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824675" cy="1063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4.9pt;height:83.8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直径330*480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1、面材：采用优质环保皮，触感舒适，抗拉强度高、耐用耐磨。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填充：采用高密度聚氨酯定型海绵，回弹性可达95%；海绵密度为55KG/m³，环保无毒无异味，回弹舒适，长期使用不变形，不塌陷；内衬9层实木胶合板，其中甲醛释放量≤0.5mg/L，厚度≥12mm，绿色环保，坚固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3、椅脚：电镀钢制脚，CNC机器人全自动焊接，焊缝均匀，强度好，360°抛光，表面电镀，耐用防锈不褪色，外径470mm；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4、椅轮：静音滑轮，耐磨耐用。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5、气杆：优质三级防爆气杆，内芯壁厚2mm，外管壁厚1.5mm，升降行程150mm。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9846-2015《普通胶合板》；QB/T 4199-2011《皮革 防霉性能测试方法》；GB/T16799-2018 《家具用皮革》、GB/T3325-2017《金属家具通用技术条件》；；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3325-2017《金属家具通用技术》；GB/T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三楼</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综合办公室</w:t>
            </w:r>
            <w:r>
              <w:rPr>
                <w:rFonts w:hint="eastAsia" w:ascii="宋体" w:hAnsi="宋体" w:eastAsia="宋体" w:cs="宋体"/>
                <w:i w:val="0"/>
                <w:iCs w:val="0"/>
                <w:color w:val="000000"/>
                <w:sz w:val="20"/>
                <w:szCs w:val="20"/>
                <w:u w:val="none"/>
              </w:rPr>
            </w:r>
            <w:r/>
          </w:p>
        </w:tc>
      </w:tr>
      <w:tr>
        <w:trPr>
          <w:trHeight w:val="36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09370" cy="776605"/>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309370" cy="77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03.1pt;height:61.1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1400*1400*750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抽屉采用三节导轨，导轨的过载、外观性能要求、柜类强度和耐久性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6、主要功能：带办公用品收纳抽屉，抽屉带锁可放置重要物品；桌面设置上下过线孔位；带绒布桌上屏；</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6.2pt;height:106.0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792480" cy="1679575"/>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92480" cy="167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2.4pt;height:132.2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体检中心</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6.2pt;height:106.0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37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75702" cy="772657"/>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275702" cy="77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00.4pt;height:60.8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91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内科、外科、口腔、耳鼻喉、眼科、妇科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9870" cy="835025"/>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299870" cy="835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2.4pt;height:65.8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内科、外科、口腔、耳鼻喉、眼科、妇科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6.2pt;height:106.0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内科、外科、口腔、耳鼻喉、眼科、妇科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2.1pt;height:91.7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内科、外科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不锈钢诊疗床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63625" cy="594318"/>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063625" cy="594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3.8pt;height:46.8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1810*620*700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皮革，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3、下架：抗菌不锈钢方形钢管下架，不锈钢的抗菌（乙型溶血性链球菌）性能及理化性能等符合GB/T 24170.1-2023《表面抗菌不锈钢 第1部分：电化学法》、GB/T3280-2015《不锈钢冷轧钢板和钢带》；地面接触面采用塑胶脚塞，防滑耐磨静音；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4、成品的外观（金属件、塑料件）、安全性能要求（结构安全）、重金属含量、力学性能、金属件盐雾试验等都需符合国家标准；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《冷轧低碳钢板及钢带》；QB/T 4341-2012《抗菌聚氨酯合成革 抗菌性能试验方法和抗菌结果》；QB/T 4199-2011《皮革 防霉性能测试方法》；GB/T16799-2018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心电图、超声室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34178" cy="880745"/>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034178"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1.4pt;height:69.3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心电图、超声室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不锈钢诊疗床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63625" cy="594318"/>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063625" cy="5943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83.8pt;height:46.8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1810*620*700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皮革，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3、下架：抗菌不锈钢方形钢管下架，不锈钢的抗菌（乙型溶血性链球菌）性能及理化性能等符合GB/T 24170.1-2023《表面抗菌不锈钢 第1部分：电化学法》、GB/T3280-2015《不锈钢冷轧钢板和钢带》；地面接触面采用塑胶脚塞，防滑耐磨静音；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4、成品的外观（金属件、塑料件）、安全性能要求（结构安全）、重金属含量、力学性能、金属件盐雾试验等都需符合国家标准；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《冷轧低碳钢板及钢带》；QB/T 4341-2012《抗菌聚氨酯合成革 抗菌性能试验方法和抗菌结果》；QB/T 4199-2011《皮革 防霉性能测试方法》；GB/T16799-2018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6.2pt;height:106.0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内科、慢病科、哮喘与肥胖中心</w:t>
            </w:r>
            <w:r>
              <w:rPr>
                <w:rFonts w:hint="eastAsia" w:ascii="宋体" w:hAnsi="宋体" w:eastAsia="宋体" w:cs="宋体"/>
                <w:i w:val="0"/>
                <w:iCs w:val="0"/>
                <w:color w:val="000000"/>
                <w:sz w:val="20"/>
                <w:szCs w:val="20"/>
                <w:u w:val="none"/>
              </w:rPr>
            </w:r>
            <w:r/>
          </w:p>
        </w:tc>
      </w:tr>
      <w:tr>
        <w:trPr>
          <w:trHeight w:val="2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挂号、收费</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6.2pt;height:106.0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9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自主服务等候区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38852" cy="750684"/>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238852" cy="75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7.5pt;height:59.1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174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内科、慢病科、哮喘与肥胖中心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20165" cy="848572"/>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320165" cy="8485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03.9pt;height:66.8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内科、慢病科、哮喘与肥胖中心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65678" cy="1545666"/>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rcRect l="0" t="0" r="1971" b="0"/>
                              <a:stretch/>
                            </pic:blipFill>
                            <pic:spPr bwMode="auto">
                              <a:xfrm>
                                <a:off x="0" y="0"/>
                                <a:ext cx="965678" cy="1545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6.0pt;height:121.7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2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内科、慢病科、哮喘与肥胖中心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2.1pt;height:91.7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哮喘与肥胖中心</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50265" cy="1802130"/>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850265" cy="180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7.0pt;height:141.9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75702" cy="772657"/>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275702" cy="772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00.4pt;height:60.8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42466" cy="862330"/>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342466"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05.7pt;height:67.9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41314" cy="1346340"/>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rcRect l="0" t="0" r="1971" b="0"/>
                              <a:stretch/>
                            </pic:blipFill>
                            <pic:spPr bwMode="auto">
                              <a:xfrm>
                                <a:off x="0" y="0"/>
                                <a:ext cx="841314" cy="134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6.2pt;height:106.0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儿科诊室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2.1pt;height:91.7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雾化室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雾化桌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70305" cy="136588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rcRect l="29787" t="22075" r="31843" b="18123"/>
                              <a:stretch/>
                            </pic:blipFill>
                            <pic:spPr bwMode="auto">
                              <a:xfrm>
                                <a:off x="0" y="0"/>
                                <a:ext cx="1170305" cy="1365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92.1pt;height:107.5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雾化室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15810" cy="116474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15810" cy="1164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2.1pt;height:91.7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母婴护理台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21655" cy="1355077"/>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1021655" cy="13550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80.4pt;height:106.7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900*580*980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水性皮，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3、床架基材：环保生态板，甲醛及有害物质排放量符合标准，游离甲醛含量≤0.124mg/m³，环保、安全，材料稳定性高；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2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母婴室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等候沙发</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53185" cy="936926"/>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rcRect l="12862" t="18575" r="11715" b="2697"/>
                              <a:stretch/>
                            </pic:blipFill>
                            <pic:spPr bwMode="auto">
                              <a:xfrm>
                                <a:off x="0" y="0"/>
                                <a:ext cx="1353185" cy="9369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06.5pt;height:73.8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1450*700*870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1、内框架：木材含水率要求在8~12％，甲醛释放量≤1.5mg/L；内衬多层板胶合强度≥7MPa，甲醛释放量≤0.08mg/m3；</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表面材料：采用环保医用合成皮革，内衬高回弹海绵，耐污、易清洁、抗菌性能达标，经高级衣车裁剪车线订制而成，舒适耐用。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3、海绵：高密度回弹海绵，座面密度≥28kg/m³，压缩永久变形≤10%，泡沫回弹性≥35%；</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金属支撑脚：采用铝合金压铸成型，铝合金的抗拉强度、规定非比例延伸强度、断后伸长率、维氏硬度、压痕硬度、附着性、耐冲击性、抗弯曲性、耐盐酸性、光泽度、耐腐蚀、附着力、冲击强度符合要求；表面静电粉末喷涂，符合标准中表面理化性能等要求，附着力≥1级，耐冲击强度≥50mm，耐碱性、耐酸性、耐沸水性良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5、产品的用料、加工、外观性能（面料、缝纫和包覆）、力学性能（沙发座、背及扶手耐久性）、理化性能（覆面材料理化性能）、产品有害物质（甲醛释放量、苯、甲苯、二甲苯、TVOC等)等都需符合国家标准。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3324-2017《木家具通用技术条件》；GB/T 9846-2015《普通胶合板》；QB/T 4341-2012《抗菌聚氨酯合成革 抗菌性能试验方法和抗菌结果》；QB/T 4199-2011《皮革 防霉性能测试方法》；GB/T16799-2018 《家具用皮革》、GB/T 5237.4-2017《铝合金建筑型材  第4部分：喷粉型材》、GB/T3325-2017《金属家具通用技术条件》；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1952.1-2012《软体家具 沙发》、GB/T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中药区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32抽中药柜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90954" cy="1899285"/>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90954" cy="1899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8.0pt;height:149.5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1200*500*2460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1、钢板：柜体采用裸板厚度0.8mm一级冷轧钢板，厚度均匀，表面质量优越，符合标准中的力学性能要求；柜体侧板、顶板、层板、门板等采用数控设备一次成型；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3、功能：一次成型内嵌式拉手；带可锁定活动滚轮；</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4、五金件：抽屉采用优质滚轮导轨；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2006-2015《热固性粉末涂料》；QB/T2454-2013《家具五金 抽屉导轨》；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141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中药区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不锈钢中央整理台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09020" cy="910586"/>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1209020" cy="9105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95.2pt;height:71.7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2000*1000*800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1、整体采用国标SUS304抗菌不锈钢，管材壁厚1.2mm，不锈钢的抗菌（乙型溶血性链球菌）性能及理化性能等符合GB/T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2、防滑橡胶脚垫，稳定性高，抗震强；</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3、成品金属件外观性能要求、表面耐腐蚀、材料厚度符合国标要求；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 24820-2009《实验室家具通用技术条件》；GB/T13668-2015《钢制书柜、资料柜通用技术条件》。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38852" cy="750684"/>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238852" cy="750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97.5pt;height:59.1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7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中医专家诊室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76147" cy="1341755"/>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376147" cy="13417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08.4pt;height:105.6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3、工艺采用榫卯结构，结构稳固；桌面加厚，经久耐用；两侧框架实木脚，中间配有储物抽屉；中间腿部落座不顶脚，落座不拘束。</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9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中医专家诊室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中医医师椅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30630" cy="1647825"/>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230630" cy="1647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96.9pt;height:129.8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630*520*900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3、椅身稳固结实，靠背符合人体美学的弧度，贴合人体脊椎曲线；四脚底部加固横杆，经久耐用；座椅表面平整光滑，线条圆润流畅，触感舒适。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中医专家诊室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中医候诊凳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78560" cy="1412875"/>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rcRect l="21494" t="23009" r="23180" b="12503"/>
                              <a:stretch/>
                            </pic:blipFill>
                            <pic:spPr bwMode="auto">
                              <a:xfrm>
                                <a:off x="0" y="0"/>
                                <a:ext cx="1178560" cy="141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2.8pt;height:111.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直径300*450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中医专家诊室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75269" cy="1958975"/>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75269" cy="1958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8.9pt;height:154.2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不锈钢诊疗床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69060" cy="765175"/>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1369060" cy="765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07.8pt;height:60.2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1810*620*700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覆面材料：医用级环保皮革，皮革的甲醛含量、可萃取重金属、皮革抗菌（大肠杆菌、金色葡萄球菌、肠沙门氏菌肠亚种鼠伤寒血清型）、皮革防霉（产黄青霉、桔灰青霉、变幻青霉、马氏拟青霉）、往复式摩擦色牢度、增塑剂、可分解有害芳香胺染料、涂层粘着牢度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2、海绵：高密度回弹海绵，座面密度≥28kg/m³，压缩永久变形≤10%，泡沫回弹性≥35%；内衬E1级成型胶合板，甲醛释放量≤0.124mg/m³；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3、下架：抗菌不锈钢方形钢管下架；地面接触面采用塑胶脚塞，防滑耐磨静音，不锈钢的抗菌（乙型溶血性链球菌）性能及理化性能等符合GB/T 24170.1-2023《表面抗菌不锈钢 第1部分：电化学法》、GB/T3280-2015《不锈钢冷轧钢板和钢带》；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4、成品的外观（金属件、塑料件）、安全性能要求（结构安全）、重金属含量、力学性能、金属件盐雾试验等都需符合国家标准；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《冷轧低碳钢板及钢带》；QB/T 4341-2012《抗菌聚氨酯合成革 抗菌性能试验方法和抗菌结果》；QB/T 4199-2011《皮革 防霉性能测试方法》；GB/T16799-2018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中医内外、针灸室、艾灸室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33995" cy="1243965"/>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433995" cy="1243965"/>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12.9pt;height:97.9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3、工艺采用榫卯结构，结构稳固；桌面加厚，经久耐用；两侧框架实木脚，中间配有储物抽屉；中间腿部落座不顶脚，落座不拘束。</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中医内外、针灸室、艾灸室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中医候诊凳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75055" cy="1379855"/>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1075055" cy="1379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84.6pt;height:108.6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480*350*420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3、椅身稳固结实，靠背符合人体美学的弧度，贴合人体脊椎曲线；四脚底部加固横杆，经久耐用；座椅表面平整光滑，线条圆润流畅，触感舒适。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中医内外、针灸室、艾灸室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中医候诊凳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26160" cy="1229995"/>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rcRect l="21494" t="23009" r="23180" b="12503"/>
                              <a:stretch/>
                            </pic:blipFill>
                            <pic:spPr bwMode="auto">
                              <a:xfrm>
                                <a:off x="0" y="0"/>
                                <a:ext cx="1026160" cy="1229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0.8pt;height:96.8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直径300*450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针灸室、艾灸室、推拿理疗室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理疗床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left"/>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51661" cy="903573"/>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rcRect l="0" t="24100" r="0" b="13998"/>
                              <a:stretch/>
                            </pic:blipFill>
                            <pic:spPr bwMode="auto">
                              <a:xfrm>
                                <a:off x="0" y="0"/>
                                <a:ext cx="1451661" cy="903573"/>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14.3pt;height:71.1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1900*750*650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1、面料：品牌环保皮，皮革耐磨性、可溶解的有害元素（锑、砷、钡、镉、铬、铅、汞、硒）、有机锡化合物、挥发性物质、氯乙烯单体、感官要求需符合GB/T 40350-2021《家居用聚氯乙烯人造革通用技术要求》、GB/T16799-2018《家具用皮革》的要求；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2、海绵：高密度海绵，阻燃处理（CM成型座棉），密度及回弹率符合国家标准的要求。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3、床架主材：采用松木实木，加粗支撑腿100*100mm，整体床架使用榫卯工艺结构，经过高温蒸汽烘干，防虫防腐，木质结构均匀，木质较硬，纹理清晰自然，色泽一致，表面无明显疤节；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表面采用环保水性漆，根据GB/T23999-2009《室内装饰装修用水性木器涂料》标准中硬度、不挥发物、附着力、耐磨性、耐划伤性、耐污染性、耐黄变性、耐水性、耐碱性、防霉等级达到0级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要求：参考标准GB/T 3324-2017《木家具通用技术条件》，GB/T 35607-2017《绿色产品评价 家具》，漆膜外观要求、木工要求、五金件外观、漆膜理化性、成品的力学性能、安全性能、产品有害物质（甲醛释放量、家具涂层可迁移元素、苯、甲苯、二甲苯、TVOC)等都需符合国家标准；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推拿理疗室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活动推柜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left"/>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97610" cy="1516418"/>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rcRect l="0" t="8917" r="0" b="9831"/>
                              <a:stretch/>
                            </pic:blipFill>
                            <pic:spPr bwMode="auto">
                              <a:xfrm>
                                <a:off x="0" y="0"/>
                                <a:ext cx="1397610" cy="15164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10.0pt;height:119.4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580*450*750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1、材质：采用橡胶木实木，橡胶木的外观要求及含水率符合标准要求；甲醛释放量、苯、甲苯、二甲苯、TVOC、可分解芳香胺染料符合国标要求；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漆膜外观要求、木工要求、漆膜理化性能（耐液性、耐湿热、耐干热、耐磨性、抗冲击）、成品的力学性能、结构安全性能、产品有害物质（甲醛释放量、家具涂层可迁移元素、苯、甲苯、二甲苯、TVOC、可分解芳香胺染料)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推拿理疗室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活动方凳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left"/>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9134" cy="134307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rcRect l="13683" t="15884" r="11876" b="7662"/>
                              <a:stretch/>
                            </pic:blipFill>
                            <pic:spPr bwMode="auto">
                              <a:xfrm>
                                <a:off x="0" y="0"/>
                                <a:ext cx="1299134" cy="1343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02.3pt;height:105.8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400*300*430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1、面料：品牌环保皮，皮革耐磨性、可溶解的有害元素（锑、砷、钡、镉、铬、铅、汞、硒）、有机锡化合物、挥发性物质、氯乙烯单体、感官要求需符合GB/T 40350-2021《家居用聚氯乙烯人造革通用技术要求》、GB/T16799-2018《家具用皮革》的要求；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2、海绵：高密度海绵，阻燃处理（CM成型座棉），密度及回弹率符合国家标准的要求。                                                                           3、主材：采用松木实木，加粗桌腿，经过高温蒸汽烘干，防虫防腐，木质结构均匀，木质较硬，纹理清晰自然，色泽一致，表面无明显疤节；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表面采用环保水性漆，表面高环保水性面漆与水性底漆，水性底漆和水性面漆的物理性能（细度、干燥时间、贮存稳定性、耐冻融性、打磨性、附着力、耐黄变性（168h）；化学性能（有害物质中VOC含量、甲醛含量、总铅含量、可溶性重金属含量镉、铬、汞、乙二醇醚及醚酯总和含量、苯系物总和含量（苯、甲苯、二甲苯（含乙苯））、烷基酚聚氧乙烯醚总和含量）；不挥发物的要求等达到标准；经多道油漆工艺，产品表面色彩色泽一致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原材料检测参考标准：GB18581-2020《木器涂料中有害物质限量》；GB/T 3324-2017《木家具通用技术条件》；GB/T 23999-2009《室内装饰装修用水性木器涂料》；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成品检测标准GB/T 3324-2017《木家具通用技术条件》，GB/T 35607-2017《绿色产品评价 家具》，漆膜外观要求、木工要求、五金件外观、漆膜理化性、成品的力学性能、安全性能、产品有害物质（甲醛释放量、家具涂层可迁移元素、苯、甲苯、二甲苯、TVOC)等都需符合国家标准；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四楼</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妇产科</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3472" cy="759583"/>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1253472" cy="759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98.7pt;height:59.8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79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59904" cy="1695298"/>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rcRect l="0" t="0" r="1971" b="0"/>
                              <a:stretch/>
                            </pic:blipFill>
                            <pic:spPr bwMode="auto">
                              <a:xfrm>
                                <a:off x="0" y="0"/>
                                <a:ext cx="1059904" cy="1695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3.5pt;height:133.5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41755" cy="862330"/>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1341755" cy="86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05.6pt;height:67.9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8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41319" cy="1666062"/>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rcRect l="0" t="0" r="1971" b="0"/>
                              <a:stretch/>
                            </pic:blipFill>
                            <pic:spPr bwMode="auto">
                              <a:xfrm>
                                <a:off x="0" y="0"/>
                                <a:ext cx="1041319" cy="16660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2.0pt;height:131.2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2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20534" cy="1551800"/>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1220534" cy="1551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96.1pt;height:122.2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02975" cy="1511922"/>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02974" cy="1511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71.1pt;height:119.0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，方便配合不同室内的地面水平；内置挂衣杆、小镜子、名片槽；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84634" cy="1477124"/>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884634" cy="14771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9.7pt;height:116.3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其他科室</w:t>
            </w:r>
            <w:r>
              <w:rPr>
                <w:rFonts w:hint="eastAsia" w:ascii="宋体" w:hAnsi="宋体" w:eastAsia="宋体" w:cs="宋体"/>
                <w:i w:val="0"/>
                <w:iCs w:val="0"/>
                <w:color w:val="000000"/>
                <w:sz w:val="20"/>
                <w:szCs w:val="20"/>
                <w:u w:val="none"/>
              </w:rPr>
            </w:r>
            <w:r/>
          </w:p>
        </w:tc>
      </w:tr>
      <w:tr>
        <w:trPr>
          <w:trHeight w:val="6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等候区</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三连位等候椅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43330" cy="753227"/>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1243330" cy="7532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97.9pt;height:59.3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1780*600*820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1、座板、背板：为PU材质连体板，内层采用 1.5mm 优质冷轧钢板，外部采用100%纯高密度聚氨酯（PU)模注成型，保证椅座和椅背造型上无外露钢架，椅座及椅背内不填充其它物质；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2、横梁：采用1780*110*1.2mm优质冷轧钢板折压焊接成三角形，除油除锈后静电喷粉处理，金属件的硬度、冲击强度、耐腐蚀性、附着力，检验依据参照：GB/T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3、扶手脚：采用 40*20*1.2mm无缝冷轧钢管，通过专用大型弯管机配置专用模具冷弯成型，打磨抛光处理，再进行表面涂装处理，硬度、冲击强度、耐腐蚀性、附着力， 检验依据参照：GB/T 3325-2017《金属家具通用条件》；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4、成品的安全性能、力学性能合格，外观要求及金属喷涂层符合标准；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07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77620" cy="820788"/>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1277620" cy="820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00.6pt;height:64.6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侧柜：700*400*750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5、主要五金：抽屉采用三节导轨，导轨的过载、外观性能要求、柜类强度和耐久性等符合标准要求；导轨表面黑色喷涂；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6、金属脚：圆柱形钢制支撑脚、下挂冲孔钢制前挡板，表面静电粉末喷涂；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7、主要功能：带主机位及抽拉式打印机放置位，办公用品收纳抽屉，主抽屉带锁可放置印章钱币等重要物品；桌内设置上下线及左右走线系统；人体接触面圆弧过渡；</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21011" cy="1635836"/>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rcRect l="0" t="0" r="1971" b="0"/>
                              <a:stretch/>
                            </pic:blipFill>
                            <pic:spPr bwMode="auto">
                              <a:xfrm>
                                <a:off x="0" y="0"/>
                                <a:ext cx="1021011" cy="16358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80.4pt;height:128.8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诊室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24529" cy="1429880"/>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1124529" cy="1429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8.5pt;height:112.6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口腔科、胃肠镜室、心理咨询室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56360" cy="1147321"/>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1356360" cy="1147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06.8pt;height:90.3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口腔科、胃肠镜室、心理咨询室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69205" cy="1713154"/>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rcRect l="0" t="0" r="1971" b="0"/>
                              <a:stretch/>
                            </pic:blipFill>
                            <pic:spPr bwMode="auto">
                              <a:xfrm>
                                <a:off x="0" y="0"/>
                                <a:ext cx="1069205" cy="17131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4.2pt;height:134.9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口腔科、胃肠镜室、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86437" cy="127190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986437" cy="1271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7.7pt;height:100.1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直径330*480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1、面材：采用优质环保皮，触感舒适，抗拉强度高、耐用耐磨。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填充：采用高密度聚氨酯定型海绵，回弹性可达95%；海绵密度为55KG/m³，环保无毒无异味，回弹舒适，长期使用不变形，不塌陷；内衬9层实木胶合板，其中甲醛释放量≤0.5mg/L，厚度≥12mm，绿色环保，坚固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3、椅脚：电镀钢制脚，CNC机器人全自动焊接，焊缝均匀，强度好，360°抛光，表面电镀，耐用防锈不褪色，外径470mm；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4、椅轮：静音滑轮，耐磨耐用。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5、气杆：优质三级防爆气杆，内芯壁厚2mm，外管壁厚1.5mm，升降行程150mm。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9846-2015《普通胶合板》；QB/T 4199-2011《皮革 防霉性能测试方法》；GB/T16799-2018 《家具用皮革》、GB/T3325-2017《金属家具通用技术条件》；；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3325-2017《金属家具通用技术》；GB/T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1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心理咨询室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候诊椅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87126" cy="1382573"/>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087126" cy="1382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85.6pt;height:108.9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505*490*760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1、椅架：采用34*16喷涂铁钢管，壁厚1.5mm，表面采用高温静电喷涂，牢固抗冲击不变形。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2、胶壳：采用全新PP工程塑料(PP聚丙烯）一体成型，环保不褪色，质地轻、抗裂性强；拉力测试承重150KG。</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3、脚塞：防滑塑料胶塞，保护地板不受伤害，移动时减少噪音。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4、功能：椅子可层叠，方便收纳、节省空间。</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产品的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0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57901" cy="1771739"/>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1057901" cy="1771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83.3pt;height:139.5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，方便配合不同室内的地面水平；内置挂衣杆、小镜子、名片槽；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更衣室、换鞋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更衣凳</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34834" cy="1003032"/>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rcRect l="9544" t="0" r="15649" b="0"/>
                              <a:stretch/>
                            </pic:blipFill>
                            <pic:spPr bwMode="auto">
                              <a:xfrm>
                                <a:off x="0" y="0"/>
                                <a:ext cx="1334834" cy="1003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105.1pt;height:79.0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1200*400*450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2、塑粉：塑表面采用环氧聚酯型粉末涂料，表面性能突出，环保无污染，具有优异的耐候、耐热、耐冲击性能，符合标准要求；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3、坐垫采用皮革软包海绵坐垫；两层鞋柜设计，方便使用；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2006-2015《热固性粉末涂料》；GB/T16799-2008 《家具用皮革》；GB/T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洁净室、技工室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钢制货架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01204" cy="1401343"/>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501204" cy="14013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118.2pt;height:110.3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裸板采用冷轧钢折弯，表面采用环氧聚酯型粉末涂料，高压静电喷塑前经过13道前期处理，无甲醛释放量，各零部件、组合件表面应光滑、平整，表光泽度为60%～70%，耐冲击力大于60kg/cm2，不得有尖角、划口、凸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2、立柱材料厚度1.2mm，横梁厚度1.5mm，连接螺丝采用强度8.8级螺丝，整体承重≥250公斤，强焊接技术，每个焊点必须牢固可靠，不脱离不变形；层板厚度0.7mm，背部焊有加强筋，增加承重，长期负载不变形；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3、工艺要求：立柱上开蝴蝶孔，方便拆卸组装，可根据需要调整层高；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4、成品金属件外观，金属喷漆（塑）涂层（冲击强度、耐腐蚀、附着力）、成品力学性能（柜类强度和耐久性、柜类稳定性）、安全性能（结构安全）、有害物质限量要求符合国标要求。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r>
      <w:tr>
        <w:trPr>
          <w:trHeight w:val="30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66545" cy="929640"/>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566545" cy="929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123.3pt;height:73.2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1400*1400*750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抽屉采用三节导轨，导轨的过载、外观性能要求、柜类强度和耐久性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6、主要功能：带办公用品收纳抽屉，抽屉带锁可放置重要物品；桌面设置上下过线孔位；带绒布桌上屏；</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2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16208" cy="1788922"/>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rcRect l="0" t="0" r="1971" b="0"/>
                              <a:stretch/>
                            </pic:blipFill>
                            <pic:spPr bwMode="auto">
                              <a:xfrm>
                                <a:off x="0" y="0"/>
                                <a:ext cx="1116208" cy="1788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87.9pt;height:140.9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4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09819" cy="1431290"/>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1109819" cy="1431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7.4pt;height:112.7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直径330*480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1、面材：采用优质环保皮，触感舒适，抗拉强度高、耐用耐磨。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填充：采用高密度聚氨酯定型海绵，回弹性可达95%；海绵密度为55KG/m³，环保无毒无异味，回弹舒适，长期使用不变形，不塌陷；内衬9层实木胶合板，其中甲醛释放量≤0.5mg/L，厚度≥12mm，绿色环保，坚固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3、椅脚：电镀钢制脚，CNC机器人全自动焊接，焊缝均匀，强度好，360°抛光，表面电镀，耐用防锈不褪色，外径470mm；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4、椅轮：静音滑轮，耐磨耐用。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5、气杆：优质三级防爆气杆，内芯壁厚2mm，外管壁厚1.5mm，升降行程150mm。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9846-2015《普通胶合板》；QB/T 4199-2011《皮革 防霉性能测试方法》；GB/T16799-2018 《家具用皮革》、GB/T3325-2017《金属家具通用技术条件》；；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3325-2017《金属家具通用技术》；GB/T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行政办公区</w:t>
            </w:r>
            <w:r>
              <w:rPr>
                <w:rFonts w:hint="eastAsia" w:ascii="宋体" w:hAnsi="宋体" w:eastAsia="宋体" w:cs="宋体"/>
                <w:i w:val="0"/>
                <w:iCs w:val="0"/>
                <w:color w:val="000000"/>
                <w:sz w:val="20"/>
                <w:szCs w:val="20"/>
                <w:u w:val="none"/>
              </w:rPr>
            </w:r>
            <w:r/>
          </w:p>
        </w:tc>
      </w:tr>
      <w:tr>
        <w:trPr>
          <w:trHeight w:val="102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院长副院长室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49705" cy="1082486"/>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1449705" cy="10824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14.1pt;height:85.2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1650*1500*750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1、基材：采用三聚氰胺浸渍饰面纸贴面刨花板，产品表面应无裂纹、鼓泡、</w:t>
            </w:r>
            <w:r>
              <w:rPr>
                <w:rFonts w:hint="eastAsia" w:ascii="宋体" w:hAnsi="宋体" w:eastAsia="宋体" w:cs="宋体"/>
                <w:i w:val="0"/>
                <w:iCs w:val="0"/>
                <w:color w:val="000000"/>
                <w:sz w:val="20"/>
                <w:szCs w:val="20"/>
                <w:u w:val="none"/>
                <w:lang w:val="en-US" w:eastAsia="zh-CN" w:bidi="ar"/>
              </w:rPr>
              <w:t xml:space="preserve">变色、起皱，表面无连续划痕，磨100r后应保留50%以上花纹、表面磨耗值100r后≤80mg；产品的含水率、密度、2h吸水厚度膨胀率、静曲强度、弹性模量、内结合强度、表面胶合强度、握螺钉力（板面、板边）、表面耐冷热循环、表面耐磨、表面耐香烟灼烧、表面耐干热、表面耐污染腐蚀、表面耐龟裂、表面耐水蒸气、耐光色牢度、甲醛释放量、可挥发性有机化合物苯、甲苯、二甲苯、TVOC都符合国标GB/T15102-2017《浸渍胶膜纸饰面纤维板和刨花板》、GB/T35601-2017《绿色产品评价 人造板和木质地板》的要求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耐磨三聚氰胺浸渍饰面纸，其甲醛释放限量符合标准GB18580-2017《室内装饰装修材料人造板及其制品中甲醛释放量》，甲醛释放限量≤0.124mg/m³，可挥发性有机化合物苯、甲苯、二甲苯、TVOC符合国标GB/T35601-2017《绿色产品评价 人造板和木质地板》的要求；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采用abs激光封边条，根据QB/T4463-2013《家具用封边条技术要求》、GB28481-2012《塑料家具中有害物质限量》，表面应无皱纹、裂纹、染色线、无明显的气泡、针孔、划痕等瑕疵，表面涂层可迁移元素(铅、汞、镉、铬、锑、砷、钡、硒)、甲醛释放量、开裂性（耐龟裂性）、耐老化性无开裂、耐光色牢度、多溴二苯醚、邻苯二甲酸酯、多溴联苯、多溴联苯醚都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4、五金件及配件：五金连接件；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要求：参考标准GB/T 3324-2017《木家具通用技术条件》、GB/T 35607-2017《绿色产品评价 家具》，产品的形状和位置公差（邻边垂直度、平整度、着地平稳性）、外观性能要求（木制件）、软硬质覆面要求、成品的力学性能、安全性能、产品有害物质（甲醛释放量、苯、甲苯、二甲苯、总挥发性有机化合物）等都需符合国家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45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院长副院长室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58240" cy="186245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1158240" cy="186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91.2pt;height:146.7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615*575*1140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1、面材：环保三明治网布，弹力舒适，色牢度高，长期使用不褪色，亲肤透气不闷热，耐磨耐用不起毛，耐脏耐污易打理。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2、头枕：环绕式弹性头枕，亲肤透气，舒适贴合，放松肩颈。</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3、填充：原生聚氨酯海绵，密度≥40KG/M3，回弹性可达35%，环保无毒无异味，回弹舒适，长期使用不变形，不塌陷。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4、基材：靠背和扶手基材为玻璃纤维增强食品接触级原生聚丙烯（PP+GF），环保无毒无异味，强度高，不变形，韧性好，坐垫基材为9层实木胶合板，其中甲醛释放量≤0.5mg/L，厚度≥12mm，绿色环保，坚固耐用。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扶手：两点式扶手，扶手由玻璃纤维增强食品接触级原生聚丙烯（PP+GF）注塑而成，环保无毒无异味，质感光滑细腻，工艺细致，舒适承托，色泽均匀，色牢度好，长期使用不褪色；强度高，不变形，韧性好，耐磨耐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6、气杆：三级防爆气杆，内芯壁厚2mm，外管壁厚1.5mm，内充氮气6-8MPa，升降行程85mm。</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7、底盘：2.5mm厚冷轧钢板底盘，大角度逍遥，可在起始位置锁定，靠背倾仰功能可通过BIFMA X5.1-2017标准的12万次拉背测试。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8、椅脚：椅脚用玻璃纤维增强工程尼龙（PA+GF）注塑而成，半径为320mm，可通过BIFMA X5.1-2017椅脚测试，静压1300kg一分钟，测试两次不断裂。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9、脚轮：脚轮基材为玻璃纤维增强工程尼龙（PA+GF），柔性聚氨酯（PU）包边，静音顺滑，耐磨耐用，不伤木地板。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院长副院长室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67425" cy="1850619"/>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1167425" cy="18506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91.9pt;height:145.7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17866" cy="1327531"/>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1317866" cy="13275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03.8pt;height:104.5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815*400*850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开合门采用缓冲阻尼门铰，表面盐雾18h无锈蚀，乙酸盐雾试验、过载、功能、操作力、理化性能检测符合要求；抽屉采用三节导轨，导轨的过载、外观性能要求、柜类强度和耐久性等符合标准要求；导轨表面黑色喷涂；斜切式开门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360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多人办公室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64932" cy="928027"/>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1564932" cy="9280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123.2pt;height:73.1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1400*1400*750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抽屉采用三节导轨，导轨的过载、外观性能要求、柜类强度和耐久性等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6、主要功能：带办公用品收纳抽屉，抽屉带锁可放置重要物品；桌面设置上下过线孔位；带绒布桌上屏；</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8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多人办公室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75345" cy="1563535"/>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rcRect l="0" t="0" r="1971" b="0"/>
                              <a:stretch/>
                            </pic:blipFill>
                            <pic:spPr bwMode="auto">
                              <a:xfrm>
                                <a:off x="0" y="0"/>
                                <a:ext cx="975345" cy="15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76.8pt;height:123.1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多人办公室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38530" cy="1990090"/>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938530" cy="1990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73.9pt;height:156.7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多人办公室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89909" cy="1258570"/>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1189909" cy="1258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93.7pt;height:99.1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815*400*850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开合门采用缓冲阻尼门铰，表面盐雾18h无锈蚀，乙酸盐雾试验、过载、功能、操作力、理化性能检测符合要求；抽屉采用三节导轨，导轨的过载、外观性能要求、柜类强度和耐久性等符合标准要求；导轨表面黑色喷涂；开门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93190" cy="760219"/>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rcRect l="7954" t="19125" r="6811" b="13180"/>
                              <a:stretch/>
                            </pic:blipFill>
                            <pic:spPr bwMode="auto">
                              <a:xfrm>
                                <a:off x="0" y="0"/>
                                <a:ext cx="1393190" cy="7602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109.7pt;height:59.9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2400*1100*750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4、钢架：表面喷涂处理，表面性能突出，具有优异的耐候、耐热、耐冲击性能，盐雾测试100h后无锈蚀、剥落、起皱；表面附着力不低于2级；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5、带上线箱系统，桌面带功能翻盖线盒；</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3325-2017《金属家具通用技术条件》；HG/T 2006-2015《热固性粉末涂料性能要求》；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80745" cy="115876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rcRect l="17857" t="0" r="0" b="0"/>
                              <a:stretch/>
                            </pic:blipFill>
                            <pic:spPr bwMode="auto">
                              <a:xfrm>
                                <a:off x="0" y="0"/>
                                <a:ext cx="880745" cy="11587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9.3pt;height:91.2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610*570*830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1、材料：背架采用全新PA+30%玻纤，环保不褪色，抗裂性强；扶手采用PA+30%玻纤、耐磨；脚垫采用超韧尼龙+15%玻纤；</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2、椅架：采用管壁厚1.5mm扁圆碳素钢，表面喷涂处理，表面性能突出，具有优异的耐候、耐热、耐冲击性能，盐雾测试100h后无锈蚀、剥落、起皱；表面附着力不低于2级；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3、覆面材料：靠背采用弹性网布，坐面采用绒布，内衬高密度高支撑海绵，密度≥48kg/m³，回弹性≥40%，防火等级符合标准，长期使用不变形；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品的硬度、冲击强度、耐盐雾、附着力；理化性能（软质聚氨酯泡沫塑料密度、回弹性、75%压缩永久变形）；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79525" cy="1353185"/>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1279525" cy="1353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100.8pt;height:106.5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815*400*850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开合门采用缓冲阻尼门铰，表面盐雾18h无锈蚀，乙酸盐雾试验、过载、功能、操作力、理化性能检测符合要求；抽屉采用三节导轨，导轨的过载、外观性能要求、柜类强度和耐久性等符合标准要求；导轨表面黑色喷涂；开门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8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病案资料室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84362" cy="1785061"/>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1084362" cy="17850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85.4pt;height:140.6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3、功能：一次成型全钢内嵌式拉手；一体式底座内置可调脚 ，方便配合不同室内的地面水平；内置层板；一片式钢化玻璃开门；</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五楼</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会议区</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折叠会议桌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65591" cy="994959"/>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1265591" cy="9949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99.7pt;height:78.3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4、钢架：表面喷涂处理，表面性能突出，具有优异的耐候、耐热、耐冲击性能，盐雾测试100h后无锈蚀、剥落、起皱；表面附着力不低于2级；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功能：桌面含护角，直角型的控制杆，单手按压翻折，利于收纳，外置防护罩；钢制支撑脚架采用20mm*25mm的钢管，桌面横管采用20mm*40mm的方管，脚架采用25mm*50mm的方管，壁厚为1.8mm；带钢制储物层及活动万向轮，符合会议使用需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3325-2017《金属家具通用技术条件》；HG/T 2006-2015《热固性粉末涂料性能要求》；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31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折叠会议桌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65591" cy="994959"/>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1265591" cy="9949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99.7pt;height:78.3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1400*450*750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4、钢架：表面喷涂处理，表面性能突出，具有优异的耐候、耐热、耐冲击性能，盐雾测试100h后无锈蚀、剥落、起皱；表面附着力不低于2级；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功能：桌面含护角，直角型的控制杆，单手按压翻折，利于收纳，外置防护罩；钢制支撑脚架采用20mm*25mm的钢管，桌面横管采用20mm*40mm的方管，脚架采用25mm*50mm的方管，壁厚为1.8mm；带钢制储物层及活动万向轮，符合会议使用需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3325-2017《金属家具通用技术条件》；HG/T 2006-2015《热固性粉末涂料性能要求》；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192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39469" cy="1407795"/>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939469" cy="14077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4.0pt;height:110.8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580*480*610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1）椅背采用全新PP工程塑料，一体注塑成型，环保防火；</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2）Φ12mm实心电镀弓形架，地面接触面有软质脚垫，防滑防倾倒；</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等都需符合国家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6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大会议室、小会议室、培训室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90113" cy="1434465"/>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rcRect l="17857" t="0" r="0" b="0"/>
                              <a:stretch/>
                            </pic:blipFill>
                            <pic:spPr bwMode="auto">
                              <a:xfrm>
                                <a:off x="0" y="0"/>
                                <a:ext cx="1090113" cy="1434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85.8pt;height:112.9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610*570*830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1、材料：背架采用全新PA+30%玻纤，环保不褪色，抗裂性强；扶手采用PA+30%玻纤、耐磨；脚垫采用超韧尼龙+15%玻纤；</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2、椅架：采用管壁厚1.5mm扁圆碳素钢，表面喷涂处理，表面性能突出，具有优异的耐候、耐热、耐冲击性能，盐雾测试100h后无锈蚀、剥落、起皱；表面附着力不低于2级；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3、覆面材料：靠背采用弹性网布，坐面采用绒布，内衬高密度高支撑海绵，密度≥48kg/m³，回弹性≥40%，防火等级符合标准，长期使用不变形；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品的硬度、冲击强度、耐盐雾、附着力；理化性能（软质聚氨酯泡沫塑料密度、回弹性、75%压缩永久变形）；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70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培训椅（带写字翻板）</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9205" cy="1440815"/>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rcRect l="14383" t="0" r="19843" b="0"/>
                              <a:stretch/>
                            </pic:blipFill>
                            <pic:spPr bwMode="auto">
                              <a:xfrm>
                                <a:off x="0" y="0"/>
                                <a:ext cx="1259205" cy="144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99.1pt;height:113.4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610*570*830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1、材料：背架采用全新PA+30%玻纤，环保不褪色，抗裂性强；扶手采用PA+30%玻纤、耐磨；脚垫采用超韧尼龙+15%玻纤；</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2、椅架：采用管壁厚1.5mm扁圆碳素钢，表面喷涂处理，表面性能突出，具有优异的耐候、耐热、耐冲击性能，盐雾测试100h后无锈蚀、剥落、起皱；表面附着力不低于2级；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3、覆面材料：靠背采用弹性网布，坐面采用绒布，内衬高密度高支撑海绵，密度≥48kg/m³，回弹性≥40%，防火等级符合标准，长期使用不变形；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4、带可翻转写字板；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05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小会议室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12996" cy="117665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1112996" cy="117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87.6pt;height:92.6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815*400*850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开合门采用缓冲阻尼门铰，表面盐雾18h无锈蚀，乙酸盐雾试验、过载、功能、操作力、理化性能检测符合要求；抽屉采用三节导轨，导轨的过载、外观性能要求、柜类强度和耐久性等符合标准要求；导轨表面黑色喷涂；开门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住院部</w:t>
            </w:r>
            <w:r>
              <w:rPr>
                <w:rFonts w:hint="eastAsia" w:ascii="宋体" w:hAnsi="宋体" w:eastAsia="宋体" w:cs="宋体"/>
                <w:i w:val="0"/>
                <w:iCs w:val="0"/>
                <w:color w:val="000000"/>
                <w:sz w:val="20"/>
                <w:szCs w:val="20"/>
                <w:u w:val="none"/>
              </w:rPr>
            </w:r>
            <w:r/>
          </w:p>
        </w:tc>
      </w:tr>
      <w:tr>
        <w:trPr>
          <w:trHeight w:val="40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06015" cy="1611592"/>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rcRect l="0" t="0" r="1971" b="0"/>
                              <a:stretch/>
                            </pic:blipFill>
                            <pic:spPr bwMode="auto">
                              <a:xfrm>
                                <a:off x="0" y="0"/>
                                <a:ext cx="1006015" cy="1611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79.2pt;height:126.9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33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17650" cy="1286510"/>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1517650" cy="1286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119.5pt;height:101.3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5、钢制下架：钢架，钢管壁厚≥1.5mm，表面静电粉末喷涂；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6、主要五金：抽屉采用三节导轨，导轨的过载、外观性能要求、柜类强度和耐久性等符合标准要求；导轨表面黑色喷涂；金属脚、侧边悬挂挡板；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杯状暗铰链》；QB/T2454-2013《家具五金 抽屉导轨》；HG/T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r>
      <w:tr>
        <w:trPr>
          <w:trHeight w:val="278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功能转椅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49198" cy="1678953"/>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rcRect l="0" t="0" r="1971" b="0"/>
                              <a:stretch/>
                            </pic:blipFill>
                            <pic:spPr bwMode="auto">
                              <a:xfrm>
                                <a:off x="0" y="0"/>
                                <a:ext cx="1049198" cy="1678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82.6pt;height:132.2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600*550*670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1、面料：靠背采用透气网布，坐面采用医用皮革，表面具有耐腐蚀、耐紫外线消毒及抗老化性能、高耐磨耐用性、防霉抗菌抗有害微生物抗病毒性能、具备100% 防水防渗透能力，医用等级的抗污易清洁能力，皮革的感官要求、耐磨性、可溶解的有害元素、挥发性物质、有机锡化合物、氯乙烯单体符合标准；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2、背框：黑色PP+玻纤，可承受801N载荷强度试验；</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3、海绵：采用高密度一次成型定型绵，密度≥48kg/m³，回弹性≥40%，防火等级符合标准，长期使用不变形；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尼龙五星脚，可承受垂直方向施力11120N持续1分钟；PA椅轮，载荷122kg在无障碍平台进行98000次，有障碍物平台进行2000次往返无破损；三级气杆，行程92±2mm，升降平稳，无漏声、噪声，气弹簧活塞杆、密封性能、循环寿命、抗拉强度符合标准要求；含可调节PP扶手及腰托调节；STG背座同步倾仰，单档初</w:t>
            </w:r>
            <w:r>
              <w:rPr>
                <w:rFonts w:hint="eastAsia" w:ascii="宋体" w:hAnsi="宋体" w:eastAsia="宋体" w:cs="宋体"/>
                <w:i w:val="0"/>
                <w:iCs w:val="0"/>
                <w:color w:val="000000"/>
                <w:sz w:val="20"/>
                <w:szCs w:val="20"/>
                <w:u w:val="none"/>
                <w:lang w:val="en-US" w:eastAsia="zh-CN" w:bidi="ar"/>
              </w:rPr>
              <w:t xml:space="preserve">始位置锁定，旋钮可调节倾仰松紧力度，椅轮的塑料件外观要求（应无裂缝、无明显变、应无明显缩孔、气泡、杂质、伤痕、外表用塑料件表面应光洁、无划痕、无污渍、无明显色差、金属件外观要求（金属件应无裂痕、结疤）、电镀层（耐盐雾-18h)、脚轮往复磨损试验（10万次）符合要求；                                                                                                                           </w:t>
            </w:r>
            <w:r>
              <w:rPr>
                <w:rFonts w:hint="eastAsia" w:ascii="宋体" w:hAnsi="宋体" w:eastAsia="宋体" w:cs="宋体"/>
                <w:i w:val="0"/>
                <w:iCs w:val="0"/>
                <w:color w:val="000000"/>
                <w:sz w:val="20"/>
                <w:szCs w:val="20"/>
                <w:u w:val="none"/>
                <w:lang w:val="en-US" w:eastAsia="zh-CN" w:bidi="ar"/>
              </w:rPr>
              <w:t xml:space="preserve">                                    5、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可分解芳香胺染料（座面布料）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原材料检测参考标准：GB18401-2010《国家纺织产品基本安全技术规范》、GB/T19817-2005《纺织品 装饰用织物》、GB8624-2012《建筑材料及制品燃烧性能分级》；GB/T 10802-2006《通用软质聚醚型聚氨酯泡沫塑料》、GB/T 40350-2021《家居用聚氯乙烯人造革通用技术要求》、GB/T 16799-2018《家具用皮革》、GB/T 29525-2013《座椅升降气弹簧 技术条件》、GB/T 25751-2010《压缩气弹簧技术条件》；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家具》、GB/T39223.3-2020《健康家居的人类工效学要求  第3部分：办公桌椅》、GB8624-2012《建筑材料及制品燃烧性能分级》。</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28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文件高柜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14740" cy="2152091"/>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1014740" cy="2152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79.9pt;height:169.5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800*420*2170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5、主要五金：开合门采用缓冲阻尼门铰，表面盐雾18h无锈蚀，乙酸盐雾试验、过载、功能、操作力、理化性能检测符合要求；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13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16355" cy="139192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1316355" cy="1391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103.6pt;height:109.6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815*400*850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开合门采用缓冲阻尼门铰，表面盐雾18h无锈蚀，乙酸盐雾试验、过载、功能、操作力、理化性能检测符合要求；抽屉采用三节导轨，导轨的过载、外观性能要求、柜类强度和耐久性等符合标准要求；导轨表面黑色喷涂；开门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《家具用封边条技术要求》；GB28481-2012《塑料家具中有害物质限量》；GB/T 3325-2017《金属家具通用技术条件》；QB/T 2189-2013《家具五金 杯状暗铰链》；QB/T4767-2014《家具用钢构件》；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09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带锁衣柜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81188" cy="1851025"/>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1181188" cy="185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93.0pt;height:145.8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深度500*高度2000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3、封边：同色ABS激光封边条，采用3D镭射封边技术，封边条的外观、理化性能检测、有害物质限量、多溴二苯醚、邻苯二甲酸酯等符合标准；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4、塑胶拉手：塑胶件的理化性能，耐老化性能，户外使用的产品塑料件耐老化试验时间500h，试验后拉伸强度、断裂伸长率、冲击强度的保持率不小于60%，外观颜色变色评级不小于3级等要求；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5、主要五金：铰链采用缓冲阻尼门铰，表面盐雾18h无锈蚀，乙酸盐雾试验、过载、功能、操作力、理化性能检测符合要求；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6、主要功能：带鞋柜；每门带锁，内置挂衣杆和层板；</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30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单人床（含床垫）</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63675" cy="1034178"/>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rcRect l="19122" t="18062" r="17256" b="15298"/>
                              <a:stretch/>
                            </pic:blipFill>
                            <pic:spPr bwMode="auto">
                              <a:xfrm>
                                <a:off x="0" y="0"/>
                                <a:ext cx="1463675" cy="10341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115.2pt;height:81.4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2000*1200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4、主要五金：优质连接件；</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305"/>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27632" cy="124457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1427632" cy="12445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112.4pt;height:98.0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450*450*500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26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写字桌</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45641" cy="1045210"/>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1345641" cy="1045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106.0pt;height:82.3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1、基材：环保生态板，甲醛及有害物质排放量符合标准，游离甲醛含量≤0.124mg/m³，环保、安全，材料稳定性高；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饰面：表面采用三聚氢胺浸渍饰面纸贴面，表面耐冷热、耐划痕、耐磨、耐污染腐蚀、耐光色牢度性能符合要求；表面的耐香烟灼烧等级4级以上；甲醛释放量及挥发性有机化合物未检出或检出数值低于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3、封边：同色ABS封边条，封边条的外观、理化性能检测、有害物质限量、多溴二苯醚、邻苯二甲酸酯等符合标准；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主要五金：抽屉采用三节导轨，三节导轨的过载（垂直向下静载荷、水平侧向静载荷、猛关或猛开）、功能（操作力、抽屉导轨组件底部变形、抽屉导轨组件结构强度、耐久性、拉出安全性下沉量）、耐腐蚀、外观性能要求-金属件（喷涂层、电镀层）、金属喷漆（塑）涂层（硬度、冲击强度、耐腐蚀、附着力）、金属电镀层-扛盐雾（18h）、柜类强度和耐久性（推拉构件耐久性试验）符合标准要求；导轨表面黑色喷涂，通过耐久性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6、成品的人造板件外观、木工要求、表面理化性能要求，成品力学性能，成品的整体甲醛排放含量，都需符合标准。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18580-2017《室内装饰装修材料人造板及其制品中甲醛释放限量》；GB/T 15102-2017《浸渍胶膜纸饰面纤维板和刨花板》；QB/T4463-2013 《家具用封边条技术要求》；GB28481-2012《塑料家具中有害物质限量》；QB/T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 3324-2017《木家具通用技术条件》；GB/T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14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值班椅</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57901" cy="143637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957901" cy="1436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75.4pt;height:113.1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580*480*610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1）椅背采用全新PP工程塑料，一体注塑成型，环保防火；</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2）Φ12mm实心电镀弓形架，地面接触面有软质脚垫，防滑防倾倒；</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成品的硬度、冲击强度、耐盐雾、附着力；理化性能（软质聚氨酯泡沫塑料密度、回弹性、75%压缩永久变形）；力学性能（脚轮往复磨损试验）；阻燃性；形状和位置公差、外观性能要求、理化性能要求、椅凳类强度和耐久性、椅凳类稳定性；产品有害物质（甲醛释放量、苯、甲苯、二甲苯、总挥发性有机化合物（TVOC）、家具涂层可迁移元素（椅腿涂层）等都需符合国家标准；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原材料检测参考标准：GB28481-2012《塑料家具中有害物质限量》、GB/T32487-2016《塑料家具通用技术条件》、GB/T 12670-2008《聚丙烯(pp)树脂》；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成品检测参考标准：参考标准QB/T 2280-2016《办公家具 办公椅》、GB/T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r>
      <w:tr>
        <w:trPr>
          <w:trHeight w:val="179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备品间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钢制货架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10577" cy="122364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1310577" cy="1223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103.2pt;height:96.3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1500*500*2000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料：裸板采用冷轧钢折弯，表面采用环氧聚酯型粉末涂料，高压静电喷塑前经过13道前期处理，无甲醛释放量，各零部件、组合件表面应光滑、平整，表光泽度为60%～70%，耐冲击力大于60kg/cm2，不得有尖角、划口、凸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2、立柱材料厚度1.2mm，横梁厚度1.5mm，连接螺丝采用强度8.8级螺丝，整体承重≥250公斤，强焊接技术，每个焊点必须牢固可靠，不脱离不变形；层板厚度0.7mm，背部焊有加强筋，增加承重，长期负载不变形；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3、工艺要求：立柱上开蝴蝶孔，方便拆卸组装，可根据需要调整层高；</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4、成品金属件外观，金属喷漆（塑）涂层（冲击强度、耐腐蚀、附着力）、成品力学性能（柜类强度和耐久性、柜类稳定性）、安全性能（结构安全）、有害物质限量要求符合国标要求。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710"/>
        </w:trPr>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备品间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存储货柜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textDirection w:val="lrTb"/>
            <w:noWrap w:val="false"/>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00188" cy="1441526"/>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1200188" cy="14415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94.5pt;height:113.5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材料说明：</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1、钢板：柜体、层板采用裸板厚度0.7mm一级冷轧钢板，厚度均匀，表面质量优越，符合标准中的力学性能要求；层板及顶板采用折弯机自动折弯，柜体及其他部件采用手动折弯设备及气动折弯成型；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2、塑粉：表面采用环氧聚酯型粉末涂料，表面性能突出，环保无污染，具有优异的耐候、耐热、耐冲击性能，符合标准要求；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3、功能：一次成型内嵌式拉手；一体式底座内置可调脚 ，方便配合不同室内的地面水平；</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4、五金件：钢柜锁具为锌合金锁壳，表面镀铬，结构安全性能优异；阻尼自动回闭功能，铰链表面镀镍处理，通过耐久性4万次，垂直静载荷20KG，水平静载荷40N测试；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5、成品的金属件外观，金属喷漆（塑）涂层（冲击强度、耐腐蚀、附着力）、成品力学性能（柜类强度和耐久性、柜类稳定性）、安全性能（结构安全）、有害物质限量要求符合标准求。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原材料检测参考标准：GB/T 5213-2019 《冷轧低碳钢板及钢带》；HG/T 2006-2015《热固性粉末涂料》；QB/T 1621-2015《家具锁》；QB/T 2189-2013《家具五金 杯状暗铰链》；</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r>
      <w:tr>
        <w:trPr>
          <w:trHeight w:val="48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医用定制柜</w:t>
            </w:r>
            <w:r>
              <w:rPr>
                <w:rFonts w:hint="eastAsia" w:ascii="宋体" w:hAnsi="宋体" w:eastAsia="宋体" w:cs="宋体"/>
                <w:b/>
                <w:bCs/>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一层定制柜</w:t>
            </w:r>
            <w:r>
              <w:rPr>
                <w:rFonts w:hint="eastAsia" w:ascii="宋体" w:hAnsi="宋体" w:eastAsia="宋体" w:cs="宋体"/>
                <w:b/>
                <w:bCs/>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清创治疗室-医用环保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65664" cy="1270724"/>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265664" cy="1270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99.7pt;height:100.1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26696-2011《家具用高分子材料台面板》、JC/T 908-2013《人造石》、GB 6566-2010《建筑材料放射性核素限量》，防霉测试、抗菌（乙型溶血性链球菌）测试可达国标医用要求，可有效抗霉菌侵蚀、阻止细菌传播；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w:t>
            </w:r>
            <w:r>
              <w:rPr>
                <w:rFonts w:hint="eastAsia" w:ascii="宋体" w:hAnsi="宋体" w:eastAsia="宋体" w:cs="宋体"/>
                <w:i w:val="0"/>
                <w:iCs w:val="0"/>
                <w:color w:val="000000"/>
                <w:sz w:val="20"/>
                <w:szCs w:val="20"/>
                <w:u w:val="none"/>
                <w:lang w:val="en-US" w:eastAsia="zh-CN" w:bidi="ar"/>
              </w:rPr>
              <w:t xml:space="preserve">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304不锈钢符合标准GB/T 3325-2017《金属家具通用技术条件》、GB/T 3280-2015《不锈钢冷轧钢板和钢带》、QB/T 3832-1999《轻工产品金属镀层腐蚀试验结果的评价》；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ff"/>
                <w:sz w:val="20"/>
                <w:szCs w:val="20"/>
                <w:u w:val="none"/>
                <w:lang w:val="en-US" w:eastAsia="zh-CN" w:bidi="ar"/>
              </w:rPr>
              <w:t xml:space="preserve">水龙头</w:t>
            </w:r>
            <w:r>
              <w:rPr>
                <w:rFonts w:hint="eastAsia" w:ascii="宋体" w:hAnsi="宋体" w:eastAsia="宋体" w:cs="宋体"/>
                <w:i w:val="0"/>
                <w:iCs w:val="0"/>
                <w:color w:val="000000"/>
                <w:sz w:val="20"/>
                <w:szCs w:val="20"/>
                <w:u w:val="none"/>
                <w:lang w:val="en-US" w:eastAsia="zh-CN" w:bidi="ar"/>
              </w:rPr>
              <w:t xml:space="preserve">（非感应）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抢救室-医用环保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无菌物品壁柜 （上）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10296" cy="1626311"/>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1010296" cy="1626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79.6pt;height:128.1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L*350*550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2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处置间-医用环保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处置柜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医用环保处置台（下）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61974" cy="1077643"/>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1161974" cy="10776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91.5pt;height:84.9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配置：门板配嵌入式标签卡槽，水槽处设有机玻璃挡水装置，垃圾柜根据院感要求配备不同颜色抗菌ABS垃圾盖，配置脚踏带缓降功能的垃圾收纳装置，配ABS抗菌桶或电解钢板静电喷涂定制垃圾桶，ABS抗菌桶的要求及抗菌（乙型溶血性链球菌）符合GB/T 32487-2016《塑料家具通用技术条件》、GB/T 35607-2017《绿色产品评价 家具》；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2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医用环保处置台台面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疫苗注射室-医用环保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无菌物品壁柜 （上）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887025" cy="1649692"/>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887025" cy="1649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9.8pt;height:129.9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L*350*550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狂犬病冲洗-医用环保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0293" cy="1306157"/>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1250293" cy="13061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98.4pt;height:102.8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4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9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污洗间-清洗柜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医用环保清洗柜（304）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59636" cy="1074546"/>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1559636" cy="10745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122.8pt;height:84.6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不锈钢：采用国标SUS304不锈钢材质，不锈钢材具有优异的耐蚀性、成型性、相容性以及在很宽温度范围内的强韧性等系列特点。对于不锈钢的材质和质量要求，包括化学成分、力学性能、耐腐蚀性能需提供合格的检测报告，且检测结果需符合本次项目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水嘴：主体材质选用62精铜锭，采用先进的重力浇铸工艺，经精密机械加工制造，坚固耐用。不锈钢水槽：采用304不锈钢，厚度1.0mm，抗腐蚀，耐磨损，耐高温，抗氧化能力强，具有很强的使用寿命，304不锈钢符合标准GB/T 3325-2017《金属家具通用技术条件》、GB/T 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（3）不锈钢的整板剪裁采用数控剪板机进行裁剪，成品分解后的各部分通过激光焊接技术，激光切割及数控折边成型。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（4）成品的形状与位置公差、金属件外观、表面理化性能要求，成品的力学性能、安全性能要求，都需符合标准。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25501-2019《水嘴水效限定值及水效等级》；GB/T38484-2020《家用不锈钢水槽》；GB/T 5213-2019 《冷轧低碳钢板及钢带》；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医用环保拖把柜+医用环保拖把架（304）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L*600*1700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二层定制柜</w:t>
            </w:r>
            <w:r>
              <w:rPr>
                <w:rFonts w:hint="eastAsia" w:ascii="宋体" w:hAnsi="宋体" w:eastAsia="宋体" w:cs="宋体"/>
                <w:b/>
                <w:bCs/>
                <w:i w:val="0"/>
                <w:iCs w:val="0"/>
                <w:color w:val="000000"/>
                <w:sz w:val="20"/>
                <w:szCs w:val="20"/>
                <w:u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污物暂存间-医用环保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污物存储柜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40485" cy="1304290"/>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1340485" cy="130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105.5pt;height:102.7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水槽处设有机玻璃挡水装置，垃圾柜根据院感要求配备不同颜色抗菌ABS垃圾盖，配置脚踏带缓降功能的垃圾收纳装置，配ABS抗菌桶或电解钢板静电喷涂定制垃圾桶，ABS抗菌桶的要求及抗菌（乙型溶血性链球菌）符合GB/T 32487-2016《塑料家具通用技术条件》、GB/T 35607-2017《绿色产品评价 家具》；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2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检验科-实验台</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医用环保边台（下）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402080" cy="132975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1402080" cy="13297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110.4pt;height:104.7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台面：采用耐蚀实芯理化板，厚度12.7mm，边缘加厚至25.4mm。台面要求具有防腐蚀、耐酸碱、耐高温、防水、耐磨、抗污染等优点，螺丝固定后再用胶水高压黏结，操作面前缘上边经圆滑处理，美观且光滑不伤手，台面拼接时要求尽量整板，少拼接。</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（4）水嘴：采用三联水嘴、出水嘴为铜质尖嘴型，高头鹅颈部分360度旋转，便于多用途使用，水龙头的螺纹、弯臂强度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（5）水槽：采用高密度PP材料，受力边厚7mm，平整不变形；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 24820-2009《实验室家具通用技术条件》、GB/T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医用环保化验台台面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医用环保中央台（下）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医用环保化验台台面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L*1500*12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实验室专用试剂架</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L*350*800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实验室专用水槽（PP）</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430*330*280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实验室专用双水龙头（三口）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7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医用环保边台（下）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523975" cy="1136015"/>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1523975" cy="1136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120.0pt;height:89.4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台面：采用耐蚀实芯理化板，厚度12.7mm，边缘加厚至25.4mm。台面要求具有防腐蚀、耐酸碱、耐高温、防水、耐磨、抗污染等优点，螺丝固定后再用胶水高压黏结，操作面前缘上边经圆滑处理，美观且光滑不伤手，台面拼接时要求尽量整板，少拼接。</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（7）配置：门板配嵌入式标签卡槽，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（8）成品的外观性能、结构安全、有害物质限量、理化性能、力学性能、有害物质限量、产品寿命、耐腐蚀等的检测要求符合标准GB 24820-2009《实验室家具通用技术条件》、GB/T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7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医用环保化验台台面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L*750*12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240"/>
        </w:trPr>
        <w:tc>
          <w:tcPr>
            <w:gridSpan w:val="8"/>
            <w:shd w:val="clear" w:color="auto" w:fill="d9d9d9"/>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三层定制柜</w:t>
            </w:r>
            <w:r>
              <w:rPr>
                <w:rFonts w:hint="eastAsia" w:ascii="宋体" w:hAnsi="宋体" w:eastAsia="宋体" w:cs="宋体"/>
                <w:b/>
                <w:bCs/>
                <w:i w:val="0"/>
                <w:iCs w:val="0"/>
                <w:color w:val="000000"/>
                <w:sz w:val="20"/>
                <w:szCs w:val="20"/>
                <w:u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检验室-实验室边柜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医用环保边台（下）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1603" cy="943563"/>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rcRect l="4924" t="10013" r="0" b="7424"/>
                              <a:stretch/>
                            </pic:blipFill>
                            <pic:spPr bwMode="auto">
                              <a:xfrm>
                                <a:off x="0" y="0"/>
                                <a:ext cx="1291603" cy="9435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101.7pt;height:74.3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台面：采用耐蚀实芯理化板，厚度12.7mm，边缘加厚至25.4mm。台面要求具有防腐蚀、耐酸碱、耐高温、防水、耐磨、抗污染等优点，螺丝固定后再用胶水高压黏结，操作面前缘上边经圆滑处理，美观且光滑不伤手，台面拼接时要求尽量整板，少拼接。</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（4）水嘴：采用三联水嘴、出水嘴为铜质尖嘴型，高头鹅颈部分360度旋转，便于多用途使用，水龙头的螺纹、弯臂强度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（5）水槽：采用高密度PP材料，受力边厚7mm，平整不变形；</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 24820-2009《实验室家具通用技术条件》、GB/T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医用环保边台台面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实验室专用水槽（PP）</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430*330*280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实验室专用双水龙头（三口）</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78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开水间-医用环保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医用环保开水台（下）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74851" cy="1422489"/>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374851" cy="1422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108.3pt;height:112.0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7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医用环保开水台台面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污物暂存间-医用环保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00799" cy="1059189"/>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1200799" cy="1059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94.6pt;height:83.4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304不锈钢符合标准GB/T 3325-2017《金属家具通用技术条件》、GB/T 3280-2015《不锈钢冷轧钢板和钢带》；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gridSpan w:val="8"/>
            <w:shd w:val="clear" w:color="auto" w:fill="d0cece"/>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四层定制柜</w:t>
            </w:r>
            <w:r>
              <w:rPr>
                <w:rFonts w:hint="eastAsia" w:ascii="宋体" w:hAnsi="宋体" w:eastAsia="宋体" w:cs="宋体"/>
                <w:i w:val="0"/>
                <w:iCs w:val="0"/>
                <w:color w:val="000000"/>
                <w:sz w:val="20"/>
                <w:szCs w:val="20"/>
                <w:u w:val="none"/>
              </w:rPr>
            </w:r>
            <w:r/>
          </w:p>
        </w:tc>
      </w:tr>
      <w:tr>
        <w:trPr>
          <w:trHeight w:val="16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污物打包清洗-医用环保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污物柜/不锈钢制品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05891" cy="1052198"/>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rcRect l="7468" t="0" r="0" b="0"/>
                              <a:stretch/>
                            </pic:blipFill>
                            <pic:spPr bwMode="auto">
                              <a:xfrm>
                                <a:off x="0" y="0"/>
                                <a:ext cx="1005891" cy="1052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79.2pt;height:82.9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6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6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污物打包清洗-/不锈钢制品</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医用环保洗手柜（304）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86281" cy="990088"/>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rcRect l="0" t="0" r="0" b="18257"/>
                              <a:stretch/>
                            </pic:blipFill>
                            <pic:spPr bwMode="auto">
                              <a:xfrm>
                                <a:off x="0" y="0"/>
                                <a:ext cx="1386281" cy="9900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109.2pt;height:78.0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不锈钢：采用国标SUS304不锈钢材质，不锈钢材具有优异的耐蚀性、成型性、相容性以及在很宽温度范围内的强韧性等系列特点。对于不锈钢的材质和质量要求，包括化学成分、力学性能、耐腐蚀性能需提供合格的检测报告，且检测结果需符合本次项目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（2）水嘴：主体材质选用62精铜锭，采用先进的重力浇铸工艺，经精密机械加工制造，坚固耐用。不锈钢水槽：采用304不锈钢，厚度1.0mm，抗腐蚀，耐磨损，耐高温，抗氧化能力强，具有很强的使用寿命。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（3）不锈钢的整板剪裁采用数控剪板机进行裁剪，成品分解后的各部分通过激光焊接技术，激光切割及数控折边成型。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（4）成品的形状与位置公差、金属件外观、表面理化性能要求，成品的力学性能、安全性能要求，都需符合标准。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25501-2019《水嘴水效限定值及水效等级》；GB/T38484-2020《家用不锈钢水槽》；GB/T 5213-2019 《冷轧低碳钢板及钢带》；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5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刷手-妇产科-不锈钢制清洗柜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医用环保清洗柜（304）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32624" cy="1251361"/>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1332624" cy="12513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104.9pt;height:98.5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L*600*1100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（1）不锈</w:t>
            </w:r>
            <w:r>
              <w:rPr>
                <w:rFonts w:hint="eastAsia" w:ascii="宋体" w:hAnsi="宋体" w:eastAsia="宋体" w:cs="宋体"/>
                <w:i w:val="0"/>
                <w:iCs w:val="0"/>
                <w:color w:val="000000"/>
                <w:sz w:val="20"/>
                <w:szCs w:val="20"/>
                <w:u w:val="none"/>
                <w:lang w:val="en-US" w:eastAsia="zh-CN" w:bidi="ar"/>
              </w:rPr>
              <w:t xml:space="preserve">钢：采用国标SUS304抗菌不锈钢材质，不锈钢材具有优异的耐蚀性、成型性、相容性以及在很宽温度范围内的强韧性等系列特点。对于不锈钢的材质和质量要求，包括化学成分、力学性能、耐腐蚀性能需提供合格的检测报告，且检测结果需符合本次项目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水嘴：主体材质选用62精铜锭，采用先进的重力浇铸工艺，经精密机械加工制造，坚固耐用。不锈钢水槽：采用304不锈钢，厚度1.0mm，抗腐蚀，耐磨损，耐高温，抗氧化能力强，具有很强的使用寿命，304不锈钢符合标准GB/T 3325-2017《金属家具通用技术条件》、GB/T 3280-2015《不锈钢冷轧钢板和钢带》、QB/T 3832-1999《轻工产品金属镀层腐蚀试验结果的评价》。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（3）不锈钢的整板剪裁采用数控剪板机进行裁剪，成品分解后的各部分通过激光焊接技术，激光切割及数控折边成型。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（4）成品的形状与位置公差、金属件外观、表面理化性能要求，成品的力学性能、安全性能要求，都需符合标准。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25501-2019《水嘴水效限定值及水效等级》；GB/T38484-2020《家用不锈钢水槽》；GB/T 5213-2019 《冷轧低碳钢板及钢带》；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6815"/>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lef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污物暂存间-医用环保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污物存储柜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2860" cy="1429385"/>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1292860" cy="142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101.8pt;height:112.5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水槽处设有机玻璃挡水装置，垃圾柜根据院感要求配备不同颜色抗菌ABS垃圾盖，配置脚踏带缓降功能的垃圾收纳装置，配ABS抗菌桶或电解钢板静电喷涂定制垃圾桶，ABS抗菌桶的要求及抗菌（乙型溶血性链球菌）要求符合GB/T 32487-2016《塑料家具通用技术条件》、GB/T 35607-2017《绿色产品评价 家具》；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2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技工室—环保污物柜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333500" cy="1176040"/>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1333500" cy="117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105.0pt;height:92.6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3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口腔科*3-医用环保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97940" cy="1161941"/>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1297940" cy="11619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102.2pt;height:91.5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手术室-不锈钢刷手柜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医用环保刷手柜（304，手术室）</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6675" cy="1610919"/>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rcRect l="0" t="0" r="0" b="6239"/>
                              <a:stretch/>
                            </pic:blipFill>
                            <pic:spPr bwMode="auto">
                              <a:xfrm>
                                <a:off x="0" y="0"/>
                                <a:ext cx="1256675" cy="16109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99.0pt;height:126.8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L*600*2000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不锈钢：采用国标SUS304不锈钢材质，不锈钢材具有优异的耐蚀性、成型性、相容性以及在很宽温度范围内的强韧性等系列特点。对于不锈钢的材质和质量要求，包括化学成分、力学性能、耐腐蚀性能需提供合格的检测报告，且检测结果需符合本次项目要求。                                                                                                                                           </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（2）水嘴：主体材质选用62精铜锭，采用先进的重力浇铸工艺，经精密机械加工制造，坚固耐用。不锈钢水槽：采用304不锈钢，厚度1.0mm，抗腐蚀，耐磨损，耐高温，抗氧化能力强，具有很强的使用寿命。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（3）不锈钢的整板剪裁采用数控剪板机进行裁剪，成品分解后的各部分通过激光焊接技术，激光切割及数控折边成型。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（4）成品的形状与位置公差、金属件外观、表面理化性能要求，成品的力学性能、安全性能要求，都需符合标准。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原材料检测参考标准：GB 25501-2019《水嘴水效限定值及水效等级》；GB/T38484-2020《家用不锈钢水槽》；GB/T 5213-2019 《冷轧低碳钢板及钢带》；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成品检测参考标准：参考标准GB/T3325-2017《金属家具通用技术条件》、GB/T 35607-2017《绿色产品评价 家具》。</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40"/>
        </w:trPr>
        <w:tc>
          <w:tcPr>
            <w:gridSpan w:val="8"/>
            <w:shd w:val="clear" w:color="auto" w:fill="d0cece"/>
            <w:tcBorders>
              <w:top w:val="single" w:color="000000" w:sz="4" w:space="0"/>
              <w:left w:val="single" w:color="000000" w:sz="4" w:space="0"/>
              <w:bottom w:val="single" w:color="000000" w:sz="4" w:space="0"/>
              <w:right w:val="single" w:color="000000" w:sz="4" w:space="0"/>
            </w:tcBorders>
            <w:tcW w:w="14837"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五层定制柜</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操作间-医用环保治疗柜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无菌物品壁柜 （上）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82059" cy="1346264"/>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1082059" cy="1346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85.2pt;height:106.0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L*350*550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治疗室-医用环保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无菌物品壁柜 （上）</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suppressLineNumbers w:val="0"/>
            </w:p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56050" cy="1074454"/>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rcRect l="4378" t="0" r="0" b="7721"/>
                              <a:stretch/>
                            </pic:blipFill>
                            <pic:spPr bwMode="auto">
                              <a:xfrm>
                                <a:off x="0" y="0"/>
                                <a:ext cx="1256050" cy="1074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98.9pt;height:84.6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L*350*600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置物架（中）</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L*350*550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7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处置室-医用环保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污物存储柜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175328" cy="989386"/>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rcRect l="0" t="0" r="0" b="8114"/>
                              <a:stretch/>
                            </pic:blipFill>
                            <pic:spPr bwMode="auto">
                              <a:xfrm>
                                <a:off x="0" y="0"/>
                                <a:ext cx="1175328" cy="989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92.5pt;height:77.9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水槽处设有机玻璃挡水装置，垃圾柜根据院感要求配备不同颜色抗菌ABS垃圾盖，配置脚踏带缓降功能的垃圾收纳装置，配ABS抗菌桶或电解钢板静电喷涂定制垃圾桶，ABS抗菌桶的要求及抗菌（乙型溶血性链球菌）符合GB/T 32487-2016《塑料家具通用技术条件》、GB/T 35607-2017《绿色产品评价 家具》；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0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58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6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抢救室-医用环保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治疗柜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247751" cy="1282065"/>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1247751" cy="1282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98.2pt;height:100.9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8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医用环保治疗台台面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22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污物暂存-医用环保污物存储柜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1088390" cy="1043076"/>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1088390" cy="1043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85.7pt;height:82.1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（4）水嘴：采用弧形高抛水嘴，水嘴的螺纹、弯臂强度 、耐温性能 防潮湿性能、 抗水压机械性能、 密封性能、 操作性能、 控制距离误差、 断电保护 、流量 、抗安装负载、 表面耐腐蚀性能 、水嘴水效等级、水嘴水效限定值、流量均匀性、电子电气产品中限用物质的检测符合标准GB/T 35763-2017《不锈钢水龙头》，GB25501-2019《水嘴水效限定值及水效等级》；</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水槽：采用单孔位304不锈钢水槽，材料厚度1.0mm，材料（竖直表面(槽体侧壁）t≥0.56mm、角落部位（槽体底部R角处）t≥0.51mm、水平表面(槽体法兰表面及底部）t≥0.64mm、材料的耐腐蚀性能达到10级，接触部位无毛刺，表面质量、承载能力、防结露涂层、焊接、外形尺寸及极限偏差、耐振动性能、排水机构、配件要求的检测符合标准QB/T4013-2010《家用不锈钢水槽》；</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配置：门板配嵌入式标签卡槽，水槽处设有机玻璃挡水装置，垃圾柜根据院感要求配备不同颜色抗菌ABS垃圾盖，配置脚踏带缓降功能的垃圾收纳装置，配ABS抗菌桶或电解钢板静电喷涂定制垃圾桶，ABS抗菌桶的要求及抗菌（乙型溶血性链球菌）要求符合GB/T 32487-2016《塑料家具通用技术条件》、GB/T 35607-2017《绿色产品评价 家具》；</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医用环保污物台台面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3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水龙头（非感应）</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宽180高350（管径50）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106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大单水槽</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440*340*280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有机玻璃挡水</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650*550*380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r>
      <w:tr>
        <w:trPr>
          <w:trHeight w:val="2000"/>
        </w:trPr>
        <w:tc>
          <w:tcPr>
            <w:tcBorders>
              <w:top w:val="single" w:color="000000" w:sz="4" w:space="0"/>
              <w:left w:val="single" w:color="000000" w:sz="4" w:space="0"/>
              <w:bottom w:val="single" w:color="000000" w:sz="4" w:space="0"/>
              <w:right w:val="single" w:color="000000" w:sz="4" w:space="0"/>
            </w:tcBorders>
            <w:tcW w:w="525" w:type="dxa"/>
            <w:vAlign w:val="center"/>
            <w:vMerge w:val="restart"/>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开水间-医用环保</w:t>
            </w:r>
            <w:r>
              <w:rPr>
                <w:rFonts w:hint="eastAsia" w:ascii="宋体" w:hAnsi="宋体" w:eastAsia="宋体" w:cs="宋体"/>
                <w:i w:val="0"/>
                <w:iCs w:val="0"/>
                <w:color w:val="000000"/>
                <w:sz w:val="20"/>
                <w:szCs w:val="20"/>
                <w:u w:val="none"/>
                <w:lang w:val="en-US" w:eastAsia="zh-CN" w:bidi="ar"/>
              </w:rPr>
            </w:r>
            <w:r/>
          </w:p>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开水柜</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医用环保开水台（下）</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restart"/>
            <w:textDirection w:val="lrTb"/>
            <w:noWrap w:val="false"/>
          </w:tcPr>
          <w:p>
            <w:pPr>
              <w:pStyle w:val="923"/>
              <w:jc w:val="both"/>
              <w:keepLines w:val="0"/>
              <w:keepNext w:val="0"/>
              <w:widowControl/>
              <w:rPr>
                <w:rFonts w:hint="eastAsia" w:ascii="宋体" w:hAnsi="宋体" w:eastAsia="宋体" w:cs="宋体"/>
                <w:i w:val="0"/>
                <w:iCs w:val="0"/>
                <w:color w:val="000000"/>
                <w:sz w:val="20"/>
                <w:szCs w:val="20"/>
                <w:u w:val="none"/>
              </w:rPr>
              <w:suppressLineNumbers w:val="0"/>
            </w:pPr>
            <w:r>
              <mc:AlternateContent>
                <mc:Choice Requires="wpg">
                  <w:drawing>
                    <wp:inline xmlns:wp="http://schemas.openxmlformats.org/drawingml/2006/wordprocessingDrawing" distT="0" distB="0" distL="0" distR="0">
                      <wp:extent cx="931507" cy="970887"/>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931507" cy="9708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73.3pt;height:76.4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L*600*850</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restart"/>
            <w:textDirection w:val="lrTb"/>
            <w:noWrap w:val="false"/>
          </w:tcPr>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（1）钢材：采用厚度1.0mmSECC双面镀锌电解钢板制作，双面镀锌防锈工艺，具有抗酸、防锈、防蚀、更稳固、使用年限更长等特点，参考标准GB/T 3325-2017《金属家具通用技术条件》、GB/T 5213-2019《冷轧低碳钢板及钢带》、GB/T 228.1-2010《金属材料 拉伸试验第1部分: 室温试验方法》；</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（2）环氧树脂静电粉末喷涂钢板：表面采用环保室内型环氧树脂静电粉末，流水线喷涂，涂层膜厚度均匀、颜色靓丽，具有环保、抑菌、防锈、耐腐蚀、绝缘性高、附着力强、耐摩擦等特点。喷粉涂层厚度≥60um 、涂层附着力低于2级、喷漆涂层硬度大于2H，静电粉末喷涂样块的抗细菌性能达到国标医用要求，参考标准HG/T 2006-2006《热固性粉末涂料》；</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（3）人造石台面：采用医用级亚克力人造石台面，材料厚度12mm，主要成分为高性能不饱和树酯，人造石理化性能的检测符合标准GB/T 26696-2011《家具用高分子材料台面板》，防霉测试、抗菌（乙型溶血性链球菌）测试可达国标医用要求，可有效抗霉菌侵蚀、阻止细菌传播；</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（4）家具锁：采用叶片转舌锁，锁体材质为锌合金，锁芯叶片为黄铜，表面常规镀光亮铬处理；</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（5）导轨：采用三节路轨，抽拉自如，三节路轨的过载、功能、耐腐蚀、外观性能要求、金属电镀层-抗盐雾（18h）、柜类强度和耐久性的检测符合标准QB/T2454-2013《家具五金  抽屉导轨》、GB/T3325-2017《金属家具通用技术条件》要求；</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（6）工艺：整体采用电阻焊接工艺，门与柜体的连接采用插销式门轴结构，门采用双层加工工艺，柜体边框宽度为25mm；一体折弯拉手；</w:t>
            </w:r>
            <w:r>
              <w:rPr>
                <w:rFonts w:hint="eastAsia" w:ascii="宋体" w:hAnsi="宋体" w:eastAsia="宋体" w:cs="宋体"/>
                <w:i w:val="0"/>
                <w:iCs w:val="0"/>
                <w:color w:val="000000"/>
                <w:sz w:val="20"/>
                <w:szCs w:val="20"/>
                <w:u w:val="none"/>
                <w:lang w:val="en-US" w:eastAsia="zh-CN" w:bidi="ar"/>
              </w:rPr>
            </w:r>
            <w:r/>
          </w:p>
          <w:p>
            <w:pPr>
              <w:pStyle w:val="92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（7）成品的外观性能、结构安全、有害物质限量、理化性能、力学性能、有害物质限量、产品寿命、耐腐蚀等的检测要求符合标准GB/T3325-2017《金属家具通用技术条件》、GB/T 35607-2017《绿色产品评价 家具》、GB/T 35157-2017《树脂型合成石板材》、QB/T 4371-2012《家具抗菌性能的评价》的要求。</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r>
        <w:trPr>
          <w:trHeight w:val="1900"/>
        </w:trPr>
        <w:tc>
          <w:tcPr>
            <w:tcBorders>
              <w:top w:val="single" w:color="000000" w:sz="4" w:space="0"/>
              <w:left w:val="single" w:color="000000" w:sz="4" w:space="0"/>
              <w:bottom w:val="single" w:color="000000" w:sz="4" w:space="0"/>
              <w:right w:val="single" w:color="000000" w:sz="4" w:space="0"/>
            </w:tcBorders>
            <w:tcW w:w="525" w:type="dxa"/>
            <w:vAlign w:val="center"/>
            <w:vMerge w:val="continue"/>
            <w:textDirection w:val="lrTb"/>
            <w:noWrap/>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医用环保开水台台面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575" w:type="dxa"/>
            <w:vAlign w:val="center"/>
            <w:vMerge w:val="continue"/>
            <w:textDirection w:val="lrTb"/>
            <w:noWrap w:val="false"/>
          </w:tcPr>
          <w:p>
            <w:pPr>
              <w:pStyle w:val="923"/>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L*600*12</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420" w:type="dxa"/>
            <w:vAlign w:val="center"/>
            <w:vMerge w:val="continue"/>
            <w:textDirection w:val="lrTb"/>
            <w:noWrap w:val="false"/>
          </w:tcPr>
          <w:p>
            <w:pPr>
              <w:pStyle w:val="923"/>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 </w:t>
            </w: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rPr>
                <w:rFonts w:hint="eastAsia" w:ascii="宋体" w:hAnsi="宋体" w:eastAsia="宋体" w:cs="宋体"/>
                <w:i w:val="0"/>
                <w:iCs w:val="0"/>
                <w:color w:val="000000"/>
                <w:sz w:val="20"/>
                <w:szCs w:val="20"/>
                <w:u w:val="none"/>
              </w:rPr>
            </w:r>
            <w:r/>
          </w:p>
        </w:tc>
      </w:tr>
    </w:tbl>
    <w:p>
      <w:pPr>
        <w:pStyle w:val="923"/>
        <w:numPr>
          <w:ilvl w:val="0"/>
          <w:numId w:val="0"/>
        </w:numPr>
        <w:spacing w:line="0" w:lineRule="atLeast"/>
        <w:rPr>
          <w:rFonts w:hint="eastAsia" w:ascii="宋体" w:hAnsi="宋体"/>
          <w:bCs/>
          <w:color w:val="000000"/>
          <w:sz w:val="24"/>
          <w:szCs w:val="24"/>
        </w:rPr>
      </w:pPr>
      <w:r>
        <w:rPr>
          <w:rFonts w:hint="eastAsia" w:ascii="宋体" w:hAnsi="宋体"/>
          <w:bCs/>
          <w:color w:val="000000"/>
          <w:sz w:val="24"/>
          <w:szCs w:val="24"/>
        </w:rPr>
      </w:r>
      <w:r/>
    </w:p>
    <w:p>
      <w:pPr>
        <w:pStyle w:val="923"/>
        <w:ind w:firstLine="360"/>
        <w:spacing w:line="360" w:lineRule="auto"/>
        <w:rPr>
          <w:rFonts w:hint="eastAsia" w:ascii="宋体" w:hAnsi="宋体" w:eastAsia="宋体" w:cs="宋体"/>
          <w:bCs/>
          <w:color w:val="000000"/>
          <w:sz w:val="18"/>
          <w:szCs w:val="18"/>
          <w:highlight w:val="none"/>
          <w:lang w:val="en-US" w:eastAsia="zh-CN" w:bidi="ar-SA"/>
        </w:rPr>
      </w:pPr>
      <w:r>
        <w:rPr>
          <w:rFonts w:hint="eastAsia" w:ascii="宋体" w:hAnsi="宋体" w:eastAsia="宋体" w:cs="宋体"/>
          <w:bCs/>
          <w:color w:val="000000"/>
          <w:sz w:val="18"/>
          <w:szCs w:val="18"/>
          <w:highlight w:val="none"/>
          <w:lang w:val="en-US" w:eastAsia="zh-CN" w:bidi="ar-SA"/>
        </w:rPr>
        <w:t xml:space="preserve">本次采购的核心产品:诊疗桌、功能转椅、医用环保治疗柜。 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品牌相同的，按上述规定处理。</w:t>
      </w:r>
      <w:r>
        <w:rPr>
          <w:rFonts w:hint="eastAsia" w:ascii="宋体" w:hAnsi="宋体" w:eastAsia="宋体" w:cs="宋体"/>
          <w:bCs/>
          <w:color w:val="000000"/>
          <w:sz w:val="18"/>
          <w:szCs w:val="18"/>
          <w:highlight w:val="none"/>
          <w:lang w:val="en-US" w:eastAsia="zh-CN" w:bidi="ar-SA"/>
        </w:rPr>
      </w:r>
      <w:r/>
    </w:p>
    <w:p>
      <w:pPr>
        <w:pStyle w:val="923"/>
        <w:ind w:firstLine="422"/>
        <w:spacing w:line="360" w:lineRule="auto"/>
        <w:rPr>
          <w:rFonts w:hint="eastAsia" w:ascii="宋体" w:hAnsi="宋体" w:eastAsia="宋体" w:cs="宋体"/>
          <w:b/>
          <w:bCs/>
          <w:sz w:val="21"/>
          <w:szCs w:val="21"/>
          <w:highlight w:val="green"/>
        </w:rPr>
        <w:sectPr>
          <w:footnotePr/>
          <w:endnotePr/>
          <w:type w:val="nextPage"/>
          <w:pgSz w:w="16838" w:h="11906" w:orient="landscape"/>
          <w:pgMar w:top="1803" w:right="1098" w:bottom="1803" w:left="1440" w:header="851" w:footer="992" w:gutter="0"/>
          <w:pgNumType w:start="1"/>
          <w:cols w:num="1" w:sep="0" w:space="1701" w:equalWidth="1"/>
          <w:docGrid w:linePitch="360"/>
        </w:sectPr>
      </w:pPr>
      <w:r>
        <w:rPr>
          <w:rFonts w:hint="eastAsia" w:ascii="宋体" w:hAnsi="宋体" w:eastAsia="宋体" w:cs="宋体"/>
          <w:b/>
          <w:bCs/>
          <w:sz w:val="21"/>
          <w:szCs w:val="21"/>
          <w:highlight w:val="green"/>
        </w:rPr>
      </w:r>
      <w:r/>
    </w:p>
    <w:p>
      <w:pPr>
        <w:pStyle w:val="92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二、节能环保产品要求：</w:t>
      </w:r>
      <w:r>
        <w:rPr>
          <w:rFonts w:ascii="宋体" w:hAnsi="宋体" w:eastAsia="宋体" w:cs="宋体"/>
          <w:b/>
          <w:bCs/>
          <w:sz w:val="21"/>
          <w:szCs w:val="21"/>
        </w:rPr>
      </w:r>
      <w:r/>
    </w:p>
    <w:p>
      <w:pPr>
        <w:pStyle w:val="923"/>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★若本次采购货物为节能产品政府采购品目清单中规定的政府强制采购产品</w:t>
      </w:r>
      <w:r>
        <w:rPr>
          <w:rFonts w:hint="eastAsia"/>
          <w:color w:val="000000"/>
          <w:lang w:eastAsia="zh-CN"/>
        </w:rPr>
        <w:t xml:space="preserve">（</w:t>
      </w:r>
      <w:r>
        <w:rPr>
          <w:rFonts w:hint="eastAsia"/>
          <w:color w:val="000000"/>
          <w:lang w:val="en-US" w:eastAsia="zh-CN"/>
        </w:rPr>
        <w:t xml:space="preserve">水龙头（非感应）、实验室专用双水龙头（三口）、水龙头（感应）</w:t>
      </w:r>
      <w:r>
        <w:rPr>
          <w:rFonts w:hint="eastAsia"/>
          <w:color w:val="000000"/>
          <w:lang w:eastAsia="zh-CN"/>
        </w:rPr>
        <w:t xml:space="preserve">）</w:t>
      </w:r>
      <w:r>
        <w:rPr>
          <w:rFonts w:hint="eastAsia" w:ascii="宋体" w:hAnsi="宋体" w:eastAsia="宋体" w:cs="宋体"/>
          <w:sz w:val="21"/>
          <w:szCs w:val="21"/>
          <w:highlight w:val="none"/>
          <w:lang w:val="en-US" w:eastAsia="zh-CN"/>
        </w:rPr>
        <w:t xml:space="preserve">，投标人需在标书内提供投标产品有效期内的节能产品认证证书复印件或网页查询截图。</w:t>
      </w:r>
      <w:r>
        <w:rPr>
          <w:rFonts w:hint="eastAsia" w:ascii="宋体" w:hAnsi="宋体" w:eastAsia="宋体" w:cs="宋体"/>
          <w:sz w:val="21"/>
          <w:szCs w:val="21"/>
          <w:highlight w:val="none"/>
          <w:lang w:val="en-US" w:eastAsia="zh-CN"/>
        </w:rPr>
      </w:r>
      <w:r/>
    </w:p>
    <w:p>
      <w:pPr>
        <w:pStyle w:val="923"/>
        <w:ind w:right="-161"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三、其他说明： </w:t>
      </w:r>
      <w:r>
        <w:rPr>
          <w:rFonts w:ascii="宋体" w:hAnsi="宋体" w:eastAsia="宋体" w:cs="宋体"/>
          <w:b/>
          <w:sz w:val="21"/>
          <w:szCs w:val="21"/>
        </w:rPr>
      </w:r>
      <w:r/>
    </w:p>
    <w:p>
      <w:pPr>
        <w:pStyle w:val="923"/>
        <w:ind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（一）售后服务要求</w:t>
      </w:r>
      <w:r>
        <w:rPr>
          <w:rFonts w:ascii="宋体" w:hAnsi="宋体" w:eastAsia="宋体" w:cs="宋体"/>
          <w:sz w:val="21"/>
          <w:szCs w:val="21"/>
        </w:rPr>
      </w:r>
      <w:r/>
    </w:p>
    <w:p>
      <w:pPr>
        <w:pStyle w:val="923"/>
        <w:numPr>
          <w:ilvl w:val="0"/>
          <w:numId w:val="5"/>
        </w:numPr>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投标人应以优惠价格提供在物品验收合格后的零配件供应；</w:t>
      </w:r>
      <w:r>
        <w:rPr>
          <w:rFonts w:ascii="宋体" w:hAnsi="宋体" w:eastAsia="宋体" w:cs="宋体"/>
          <w:sz w:val="21"/>
          <w:szCs w:val="21"/>
          <w:highlight w:val="none"/>
        </w:rPr>
      </w:r>
      <w:r/>
    </w:p>
    <w:p>
      <w:pPr>
        <w:pStyle w:val="923"/>
        <w:numPr>
          <w:ilvl w:val="0"/>
          <w:numId w:val="5"/>
        </w:numPr>
        <w:ind w:left="426" w:hanging="6"/>
        <w:spacing w:line="360" w:lineRule="auto"/>
        <w:tabs>
          <w:tab w:val="left" w:pos="0" w:leader="none"/>
          <w:tab w:val="left" w:pos="426" w:leader="none"/>
        </w:tabs>
        <w:rPr>
          <w:rFonts w:ascii="宋体" w:hAnsi="宋体" w:eastAsia="宋体" w:cs="宋体"/>
          <w:bCs/>
          <w:sz w:val="21"/>
          <w:szCs w:val="21"/>
          <w:highlight w:val="none"/>
        </w:rPr>
      </w:pPr>
      <w:r>
        <w:rPr>
          <w:rFonts w:hint="eastAsia" w:ascii="宋体" w:hAnsi="宋体" w:eastAsia="宋体" w:cs="宋体"/>
          <w:sz w:val="21"/>
          <w:szCs w:val="21"/>
          <w:highlight w:val="none"/>
        </w:rPr>
        <w:t xml:space="preserve">投标人应以优良的服务态度，提供</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小时以内响应，</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小时到达现场，</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小时以内完成采购人提出的维修要求</w:t>
      </w:r>
      <w:r>
        <w:rPr>
          <w:rFonts w:hint="eastAsia" w:ascii="宋体" w:hAnsi="宋体" w:eastAsia="宋体" w:cs="宋体"/>
          <w:bCs/>
          <w:sz w:val="21"/>
          <w:szCs w:val="21"/>
          <w:highlight w:val="none"/>
        </w:rPr>
        <w:t xml:space="preserve">。质保期间所投设备的一切质量问题，更换部件及家具本身质量原因造成的直接经济损失应全部由中标人负责。</w:t>
      </w:r>
      <w:r>
        <w:rPr>
          <w:rFonts w:ascii="宋体" w:hAnsi="宋体" w:eastAsia="宋体" w:cs="宋体"/>
          <w:bCs/>
          <w:sz w:val="21"/>
          <w:szCs w:val="21"/>
          <w:highlight w:val="none"/>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3、质保期：</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年，从安装摆放就位后验收合格之日起计算，质保期内提供免费维修、保养、非人为原因损坏更换服务。</w:t>
      </w:r>
      <w:r>
        <w:rPr>
          <w:rFonts w:ascii="宋体" w:hAnsi="宋体" w:eastAsia="宋体" w:cs="宋体"/>
          <w:sz w:val="21"/>
          <w:szCs w:val="21"/>
          <w:highlight w:val="none"/>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4、投标人必须明确作出服务承诺，详细阐述维修、维护内容及服务方式和范围；</w:t>
      </w:r>
      <w:r>
        <w:rPr>
          <w:rFonts w:ascii="宋体" w:hAnsi="宋体" w:eastAsia="宋体" w:cs="宋体"/>
          <w:sz w:val="21"/>
          <w:szCs w:val="21"/>
          <w:highlight w:val="none"/>
        </w:rPr>
      </w:r>
      <w:r/>
    </w:p>
    <w:p>
      <w:pPr>
        <w:pStyle w:val="1035"/>
        <w:ind w:firstLine="420"/>
        <w:rPr>
          <w:rFonts w:ascii="宋体" w:hAnsi="宋体" w:eastAsia="宋体" w:cs="宋体"/>
          <w:highlight w:val="none"/>
          <w:lang w:val="en-US"/>
        </w:rPr>
      </w:pPr>
      <w:r>
        <w:rPr>
          <w:rFonts w:hint="eastAsia" w:ascii="宋体" w:hAnsi="宋体" w:eastAsia="宋体" w:cs="宋体"/>
          <w:sz w:val="21"/>
          <w:szCs w:val="21"/>
          <w:highlight w:val="none"/>
          <w:lang w:val="en-US"/>
        </w:rPr>
        <w:t xml:space="preserve">5、交货期限：合同签订生效后</w:t>
      </w:r>
      <w:r>
        <w:rPr>
          <w:rFonts w:hint="eastAsia" w:ascii="宋体" w:hAnsi="宋体" w:eastAsia="宋体" w:cs="宋体"/>
          <w:sz w:val="21"/>
          <w:szCs w:val="21"/>
          <w:highlight w:val="none"/>
          <w:lang w:val="en-US" w:eastAsia="zh-CN"/>
        </w:rPr>
        <w:t xml:space="preserve">60</w:t>
      </w:r>
      <w:r>
        <w:rPr>
          <w:rFonts w:hint="eastAsia" w:ascii="宋体" w:hAnsi="宋体" w:eastAsia="宋体" w:cs="宋体"/>
          <w:sz w:val="21"/>
          <w:szCs w:val="21"/>
          <w:highlight w:val="none"/>
          <w:lang w:val="en-US"/>
        </w:rPr>
        <w:t xml:space="preserve">日内完成交货、安装工作。（具体根据采购方要求）</w:t>
      </w:r>
      <w:r>
        <w:rPr>
          <w:rFonts w:ascii="宋体" w:hAnsi="宋体" w:eastAsia="宋体" w:cs="宋体"/>
          <w:highlight w:val="none"/>
          <w:lang w:val="en-US"/>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（二）检测、验收要求：</w:t>
      </w:r>
      <w:r>
        <w:rPr>
          <w:rFonts w:ascii="宋体" w:hAnsi="宋体" w:eastAsia="宋体" w:cs="宋体"/>
          <w:sz w:val="21"/>
          <w:szCs w:val="21"/>
          <w:highlight w:val="none"/>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1.本项目货物检测及验收须提前通知采购方，将货物交到采购方指定地点由采购单位指定部门对货物数量、质量、材质、规格、性能、外观（有破损或划痕的均不予验收通过）、包装、出厂产品检验合格证、装箱单进行查验，所送产品必须为生产厂家原厂包装，包装箱上须有生产厂家的厂名及商标，否则采购单位有权不予接收；</w:t>
      </w:r>
      <w:r>
        <w:rPr>
          <w:rFonts w:ascii="宋体" w:hAnsi="宋体" w:eastAsia="宋体" w:cs="宋体"/>
          <w:sz w:val="21"/>
          <w:szCs w:val="21"/>
          <w:highlight w:val="none"/>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采购单位及采购单位指定部门将对交货产品进行随机抽样检测（破坏性检测的产品若检测合格，由采购方根据中标价格支付补全；若检测不合格，则由中标单位承担），待检测合格后方可进行性安装、调试。安装、调试完毕由采购方委托第三方检测部门对项目现场空气质量进行检测，确保检测合格后付款，若不达标，采购方有权拒收本批次产品。</w:t>
      </w:r>
      <w:r>
        <w:rPr>
          <w:rFonts w:ascii="宋体" w:hAnsi="宋体" w:eastAsia="宋体" w:cs="宋体"/>
          <w:sz w:val="21"/>
          <w:szCs w:val="21"/>
          <w:highlight w:val="none"/>
        </w:rPr>
      </w:r>
      <w:r/>
    </w:p>
    <w:p>
      <w:pPr>
        <w:pStyle w:val="923"/>
        <w:ind w:firstLine="420"/>
        <w:spacing w:line="360" w:lineRule="auto"/>
        <w:tabs>
          <w:tab w:val="left" w:pos="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2.验收期限：自标的物交付之日起个</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日历日内。特殊情况需延长的，双方特别约定。</w:t>
      </w:r>
      <w:r>
        <w:rPr>
          <w:rFonts w:ascii="宋体" w:hAnsi="宋体" w:eastAsia="宋体" w:cs="宋体"/>
          <w:sz w:val="21"/>
          <w:szCs w:val="21"/>
          <w:highlight w:val="none"/>
        </w:rPr>
      </w:r>
      <w:r/>
    </w:p>
    <w:p>
      <w:pPr>
        <w:pStyle w:val="923"/>
        <w:ind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3.验收结果以苏州市技术监督局的检验结果为准。检测合格的，检测费用由采购方支付；检测不合格的，相关检测费用由中标单位承担。</w:t>
      </w:r>
      <w:r>
        <w:rPr>
          <w:rFonts w:ascii="宋体" w:hAnsi="宋体" w:eastAsia="宋体" w:cs="宋体"/>
          <w:sz w:val="21"/>
          <w:szCs w:val="21"/>
        </w:rPr>
      </w:r>
      <w:r/>
    </w:p>
    <w:p>
      <w:pPr>
        <w:pStyle w:val="923"/>
        <w:ind w:firstLine="420"/>
        <w:spacing w:line="360" w:lineRule="auto"/>
        <w:rPr>
          <w:rFonts w:eastAsia="宋体"/>
        </w:rPr>
      </w:pPr>
      <w:r>
        <w:rPr>
          <w:rFonts w:hint="eastAsia" w:hAnsi="宋体" w:cs="宋体"/>
          <w:sz w:val="21"/>
          <w:szCs w:val="21"/>
        </w:rPr>
        <w:t xml:space="preserve">4.</w:t>
      </w:r>
      <w:r>
        <w:rPr>
          <w:rFonts w:hint="eastAsia" w:ascii="宋体" w:hAnsi="宋体" w:eastAsia="宋体" w:cs="宋体"/>
          <w:bCs/>
          <w:sz w:val="21"/>
          <w:szCs w:val="21"/>
        </w:rPr>
        <w:t xml:space="preserve">以上验收项或检测项不符合采购要求及国家标准要求的，采购单位书面通知中标单位15天内进行整改，若中标单位未按时完成整改或整改后再次抽检仍不合格的，则采购单位有权终止合同，并不予支付货款，相关检测费用等由中标单位承担，同时对采购单位造成的损失，采购单位保留追溯权，中标单位自行承担由此造成的一切损失。</w:t>
      </w:r>
      <w:r>
        <w:rPr>
          <w:rFonts w:eastAsia="宋体"/>
        </w:rPr>
      </w:r>
      <w:r/>
    </w:p>
    <w:p>
      <w:pPr>
        <w:pStyle w:val="1035"/>
        <w:ind w:firstLine="420"/>
        <w:rPr>
          <w:rFonts w:ascii="宋体" w:hAnsi="宋体" w:eastAsia="宋体" w:cs="宋体"/>
          <w:sz w:val="21"/>
          <w:szCs w:val="21"/>
          <w:highlight w:val="none"/>
          <w:lang w:val="en-US"/>
        </w:rPr>
      </w:pPr>
      <w:r>
        <w:rPr>
          <w:rFonts w:hint="eastAsia" w:ascii="宋体" w:hAnsi="宋体" w:eastAsia="宋体" w:cs="宋体"/>
          <w:sz w:val="21"/>
          <w:szCs w:val="21"/>
          <w:highlight w:val="none"/>
          <w:lang w:val="en-US"/>
        </w:rPr>
        <w:t xml:space="preserve">（三）付款步骤与方式：</w:t>
      </w:r>
      <w:r>
        <w:rPr>
          <w:rFonts w:ascii="宋体" w:hAnsi="宋体" w:eastAsia="宋体" w:cs="宋体"/>
          <w:sz w:val="21"/>
          <w:szCs w:val="21"/>
          <w:highlight w:val="none"/>
          <w:lang w:val="en-US"/>
        </w:rPr>
      </w:r>
      <w:r/>
    </w:p>
    <w:p>
      <w:pPr>
        <w:pStyle w:val="1035"/>
        <w:ind w:firstLine="420"/>
        <w:rPr>
          <w:rFonts w:ascii="宋体" w:hAnsi="宋体" w:eastAsia="宋体" w:cs="宋体"/>
          <w:sz w:val="24"/>
          <w:szCs w:val="24"/>
          <w:lang w:val="en-US"/>
        </w:rPr>
      </w:pPr>
      <w:r>
        <w:rPr>
          <w:rFonts w:hint="eastAsia" w:ascii="宋体" w:hAnsi="宋体" w:eastAsia="宋体" w:cs="宋体"/>
          <w:sz w:val="21"/>
          <w:szCs w:val="21"/>
          <w:lang w:val="en-US"/>
        </w:rPr>
        <w:t xml:space="preserve">（1）付款步骤：</w:t>
      </w:r>
      <w:r>
        <w:rPr>
          <w:rFonts w:hint="eastAsia" w:ascii="宋体" w:hAnsi="宋体" w:eastAsia="宋体"/>
          <w:sz w:val="21"/>
          <w:szCs w:val="21"/>
        </w:rPr>
        <w:t xml:space="preserve">合同签订后甲方支付合同价款的30%的货款；全部货物到达现场，验收合格后甲方付至合同价款的50%；安装完毕且验收合格后付至合同价款的60%；调试完毕验收合格后，乙方提供相关单据，经审计后付至结算审定价的80%，待质保期满“质保期年限</w:t>
      </w:r>
      <w:r>
        <w:rPr>
          <w:rFonts w:ascii="宋体" w:hAnsi="宋体" w:eastAsia="宋体"/>
          <w:sz w:val="21"/>
          <w:szCs w:val="21"/>
        </w:rPr>
        <w:t xml:space="preserve">-1</w:t>
      </w:r>
      <w:r>
        <w:rPr>
          <w:rFonts w:hint="eastAsia" w:ascii="宋体" w:hAnsi="宋体" w:eastAsia="宋体"/>
          <w:sz w:val="21"/>
          <w:szCs w:val="21"/>
        </w:rPr>
        <w:t xml:space="preserve">”年后付至结算审定价的90%，余款待质保期满后付清。</w:t>
      </w:r>
      <w:r>
        <w:rPr>
          <w:rFonts w:ascii="宋体" w:hAnsi="宋体" w:eastAsia="宋体" w:cs="宋体"/>
          <w:sz w:val="24"/>
          <w:szCs w:val="24"/>
          <w:lang w:val="en-US"/>
        </w:rPr>
      </w:r>
      <w:r/>
    </w:p>
    <w:p>
      <w:pPr>
        <w:pStyle w:val="1035"/>
        <w:ind w:firstLine="420"/>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（2）付款方式：</w:t>
      </w:r>
      <w:r>
        <w:rPr>
          <w:rFonts w:hint="eastAsia" w:ascii="宋体" w:hAnsi="宋体" w:eastAsia="宋体" w:cs="宋体"/>
          <w:sz w:val="21"/>
          <w:szCs w:val="21"/>
          <w:lang w:val="en-US" w:eastAsia="zh-CN"/>
        </w:rPr>
        <w:t xml:space="preserve">转账</w:t>
      </w:r>
      <w:r>
        <w:rPr>
          <w:rFonts w:hint="eastAsia" w:ascii="宋体" w:hAnsi="宋体" w:eastAsia="宋体" w:cs="宋体"/>
          <w:sz w:val="21"/>
          <w:szCs w:val="21"/>
          <w:lang w:val="en-US" w:eastAsia="zh-CN"/>
        </w:rPr>
      </w:r>
      <w:r/>
    </w:p>
    <w:p>
      <w:pPr>
        <w:pStyle w:val="923"/>
        <w:spacing w:line="360" w:lineRule="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本项目不接受进口产品投标.</w:t>
      </w:r>
      <w:r>
        <w:rPr>
          <w:rFonts w:hint="eastAsia" w:ascii="宋体" w:hAnsi="宋体" w:eastAsia="宋体" w:cs="宋体"/>
          <w:b/>
          <w:bCs w:val="0"/>
          <w:color w:val="000000"/>
          <w:sz w:val="24"/>
          <w:szCs w:val="24"/>
          <w:lang w:val="en-US" w:eastAsia="zh-CN"/>
        </w:rPr>
      </w:r>
      <w:r/>
    </w:p>
    <w:p>
      <w:pPr>
        <w:pStyle w:val="923"/>
        <w:spacing w:line="360" w:lineRule="auto"/>
        <w:rPr>
          <w:rFonts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采购标的对应的中小企业划分标准所属行业：工业</w:t>
      </w:r>
      <w:r>
        <w:rPr>
          <w:rFonts w:ascii="宋体" w:hAnsi="宋体" w:eastAsia="宋体" w:cs="宋体"/>
          <w:b/>
          <w:bCs w:val="0"/>
          <w:color w:val="000000"/>
          <w:sz w:val="24"/>
          <w:szCs w:val="24"/>
          <w:lang w:val="en-US" w:eastAsia="zh-CN"/>
        </w:rPr>
      </w:r>
      <w:r/>
    </w:p>
    <w:p>
      <w:pPr>
        <w:pStyle w:val="923"/>
        <w:ind w:firstLine="480"/>
        <w:rPr>
          <w:rFonts w:hint="eastAsia" w:ascii="宋体" w:hAnsi="宋体"/>
          <w:color w:val="000000"/>
          <w:sz w:val="24"/>
          <w:szCs w:val="24"/>
        </w:rPr>
      </w:pPr>
      <w:r>
        <w:rPr>
          <w:rFonts w:hint="eastAsia" w:ascii="宋体" w:hAnsi="宋体"/>
          <w:color w:val="000000"/>
          <w:sz w:val="24"/>
          <w:szCs w:val="24"/>
        </w:rPr>
      </w:r>
      <w:r/>
    </w:p>
    <w:p>
      <w:pPr>
        <w:pStyle w:val="923"/>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23"/>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23"/>
        <w:rPr>
          <w:rFonts w:hint="eastAsia" w:ascii="宋体" w:hAnsi="宋体"/>
          <w:b/>
          <w:color w:val="000000"/>
          <w:sz w:val="28"/>
          <w:szCs w:val="28"/>
        </w:rPr>
      </w:pPr>
      <w:r>
        <w:rPr>
          <w:rFonts w:hint="eastAsia" w:ascii="宋体" w:hAnsi="宋体"/>
          <w:b/>
          <w:color w:val="000000"/>
          <w:sz w:val="28"/>
          <w:szCs w:val="28"/>
        </w:rPr>
      </w:r>
      <w:r/>
    </w:p>
    <w:p>
      <w:pPr>
        <w:pStyle w:val="923"/>
        <w:rPr>
          <w:rFonts w:hint="eastAsia" w:ascii="宋体" w:hAnsi="宋体"/>
          <w:b/>
          <w:color w:val="000000"/>
          <w:sz w:val="28"/>
          <w:szCs w:val="28"/>
        </w:rPr>
      </w:pPr>
      <w:r>
        <w:rPr>
          <w:rFonts w:hint="eastAsia" w:ascii="宋体" w:hAnsi="宋体"/>
          <w:b/>
          <w:color w:val="000000"/>
          <w:sz w:val="28"/>
          <w:szCs w:val="28"/>
        </w:rPr>
      </w:r>
      <w:r/>
    </w:p>
    <w:p>
      <w:pPr>
        <w:pStyle w:val="923"/>
        <w:jc w:val="center"/>
        <w:tabs>
          <w:tab w:val="left" w:pos="6200" w:leader="none"/>
        </w:tabs>
        <w:rPr>
          <w:rFonts w:ascii="Arial" w:hAnsi="Arial" w:cs="Arial"/>
          <w:b/>
          <w:color w:val="000000"/>
          <w:sz w:val="32"/>
          <w:szCs w:val="21"/>
        </w:rPr>
      </w:pPr>
      <w:r>
        <w:rPr>
          <w:rFonts w:ascii="Arial" w:hAnsi="Arial" w:cs="Arial"/>
          <w:b/>
          <w:color w:val="000000"/>
          <w:sz w:val="32"/>
          <w:szCs w:val="21"/>
        </w:rPr>
      </w:r>
      <w:r/>
    </w:p>
    <w:p>
      <w:pPr>
        <w:pStyle w:val="923"/>
        <w:jc w:val="center"/>
        <w:keepNext/>
        <w:rPr>
          <w:rFonts w:hint="eastAsia" w:ascii="黑体" w:hAnsi="Times New Roman" w:eastAsia="黑体"/>
          <w:bCs/>
          <w:color w:val="000000"/>
          <w:sz w:val="44"/>
          <w:szCs w:val="28"/>
        </w:rPr>
        <w:outlineLvl w:val="0"/>
      </w:pPr>
      <w:r/>
      <w:bookmarkStart w:id="37" w:name="_Toc120614281"/>
      <w:r>
        <w:rPr>
          <w:rFonts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23"/>
        <w:rPr>
          <w:rFonts w:hint="eastAsia" w:ascii="Times New Roman" w:hAnsi="Times New Roman"/>
          <w:color w:val="000000"/>
          <w:szCs w:val="21"/>
        </w:rPr>
      </w:pPr>
      <w:r>
        <w:rPr>
          <w:rFonts w:hint="eastAsia" w:ascii="Times New Roman" w:hAnsi="Times New Roman"/>
          <w:color w:val="000000"/>
          <w:szCs w:val="21"/>
        </w:rPr>
      </w:r>
      <w:r/>
    </w:p>
    <w:p>
      <w:pPr>
        <w:pStyle w:val="100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rPr>
          <w:rFonts w:hint="eastAsia" w:cs="Arial"/>
        </w:rPr>
      </w:r>
      <w:r/>
    </w:p>
    <w:p>
      <w:pPr>
        <w:pStyle w:val="1009"/>
        <w:ind w:firstLine="441"/>
        <w:rPr>
          <w:rFonts w:hint="eastAsia" w:ascii="宋体" w:hAnsi="宋体"/>
          <w:b/>
        </w:rPr>
      </w:pPr>
      <w:r>
        <w:rPr>
          <w:rFonts w:hint="eastAsia" w:ascii="宋体" w:hAnsi="宋体"/>
          <w:b/>
        </w:rPr>
        <w:t xml:space="preserve">政府采购政策功能落实</w:t>
      </w:r>
      <w:r>
        <w:rPr>
          <w:rFonts w:hint="eastAsia" w:ascii="宋体" w:hAnsi="宋体"/>
          <w:b/>
        </w:rPr>
      </w:r>
      <w:r/>
    </w:p>
    <w:p>
      <w:pPr>
        <w:pStyle w:val="1009"/>
        <w:ind w:firstLine="441"/>
        <w:rPr>
          <w:rFonts w:ascii="宋体" w:hAnsi="宋体"/>
          <w:b/>
        </w:rPr>
      </w:pPr>
      <w:r>
        <w:rPr>
          <w:rFonts w:hint="eastAsia" w:ascii="宋体" w:hAnsi="宋体"/>
          <w:b/>
        </w:rPr>
        <w:t xml:space="preserve">专门面向中小企业采购的项目或者采购包，不再执行价格评审优惠的扶持政策。</w:t>
      </w:r>
      <w:r>
        <w:rPr>
          <w:rFonts w:ascii="宋体" w:hAnsi="宋体"/>
          <w:b/>
        </w:rPr>
      </w:r>
      <w:r/>
    </w:p>
    <w:p>
      <w:pPr>
        <w:pStyle w:val="1009"/>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p>
      <w:pPr>
        <w:pStyle w:val="923"/>
        <w:rPr>
          <w:rFonts w:ascii="Arial" w:hAnsi="Arial"/>
          <w:sz w:val="24"/>
          <w:szCs w:val="24"/>
        </w:rPr>
      </w:pPr>
      <w:r>
        <w:rPr>
          <w:rFonts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一、评分标准：</w:t>
      </w:r>
      <w:r>
        <w:rPr>
          <w:rFonts w:hint="eastAsia"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（一）价格分：</w:t>
      </w:r>
      <w:r>
        <w:rPr>
          <w:rFonts w:hint="eastAsia" w:ascii="Arial" w:hAnsi="Arial"/>
          <w:sz w:val="24"/>
          <w:szCs w:val="24"/>
          <w:lang w:val="en-US" w:eastAsia="zh-CN"/>
        </w:rPr>
        <w:t xml:space="preserve">30</w:t>
      </w:r>
      <w:r>
        <w:rPr>
          <w:rFonts w:hint="eastAsia" w:ascii="Arial" w:hAnsi="Arial"/>
          <w:sz w:val="24"/>
          <w:szCs w:val="24"/>
        </w:rPr>
        <w:t xml:space="preserve">分</w:t>
      </w:r>
      <w:r>
        <w:rPr>
          <w:rFonts w:hint="eastAsia"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1.投标总报价低于或等于财政预算价格的，为有效投标报价。超财政预算的投标报价为无效投标报价。无效投标报价的投标文件不进行评审，也不得标。</w:t>
      </w:r>
      <w:r>
        <w:rPr>
          <w:rFonts w:hint="eastAsia"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2.价格分采用低价优先法计算，即满足招标文件要求且投标价格最低的投标报价为评标基准价。响应单位的价格分按照下列公式计算（计算结果四舍五入保留两位小数）。</w:t>
      </w:r>
      <w:r>
        <w:rPr>
          <w:rFonts w:hint="eastAsia"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投标报价得分=（评标基准价/投标报价）*10%*100，小数点后保留两位。</w:t>
      </w:r>
      <w:r>
        <w:rPr>
          <w:rFonts w:hint="eastAsia" w:ascii="Arial" w:hAnsi="Arial"/>
          <w:sz w:val="24"/>
          <w:szCs w:val="24"/>
        </w:rPr>
      </w:r>
      <w:r/>
    </w:p>
    <w:p>
      <w:pPr>
        <w:pStyle w:val="923"/>
        <w:ind w:firstLine="480"/>
        <w:rPr>
          <w:rFonts w:hint="eastAsia" w:ascii="Arial" w:hAnsi="Arial"/>
          <w:sz w:val="24"/>
          <w:szCs w:val="24"/>
        </w:rPr>
      </w:pPr>
      <w:r>
        <w:rPr>
          <w:rFonts w:hint="eastAsia" w:ascii="Arial" w:hAnsi="Arial"/>
          <w:sz w:val="24"/>
          <w:szCs w:val="24"/>
        </w:rPr>
        <w:t xml:space="preserve">（二）技术分：</w:t>
      </w:r>
      <w:r>
        <w:rPr>
          <w:rFonts w:hint="eastAsia" w:ascii="Arial" w:hAnsi="Arial"/>
          <w:sz w:val="24"/>
          <w:szCs w:val="24"/>
          <w:lang w:val="en-US" w:eastAsia="zh-CN"/>
        </w:rPr>
        <w:t xml:space="preserve">70</w:t>
      </w:r>
      <w:r>
        <w:rPr>
          <w:rFonts w:hint="eastAsia" w:ascii="Arial" w:hAnsi="Arial"/>
          <w:sz w:val="24"/>
          <w:szCs w:val="24"/>
        </w:rPr>
        <w:t xml:space="preserve">分</w:t>
      </w:r>
      <w:r>
        <w:rPr>
          <w:rFonts w:hint="eastAsia" w:ascii="Arial" w:hAnsi="Arial"/>
          <w:sz w:val="24"/>
          <w:szCs w:val="24"/>
        </w:rPr>
      </w:r>
      <w:r/>
    </w:p>
    <w:tbl>
      <w:tblPr>
        <w:tblpPr w:horzAnchor="page" w:tblpX="1582" w:vertAnchor="text" w:tblpY="40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559"/>
        <w:gridCol w:w="6031"/>
        <w:gridCol w:w="816"/>
      </w:tblGrid>
      <w:tr>
        <w:trPr>
          <w:trHeight w:val="600"/>
        </w:trPr>
        <w:tc>
          <w:tcPr>
            <w:shd w:val="clear" w:color="auto" w:fill="dddddd"/>
            <w:tcW w:w="711" w:type="dxa"/>
            <w:vAlign w:val="center"/>
            <w:textDirection w:val="lrTb"/>
            <w:noWrap w:val="false"/>
          </w:tcPr>
          <w:p>
            <w:pPr>
              <w:pStyle w:val="923"/>
              <w:jc w:val="center"/>
              <w:rPr>
                <w:rFonts w:ascii="宋体" w:hAnsi="宋体" w:eastAsia="宋体" w:cs="宋体"/>
                <w:b/>
                <w:color w:val="000000"/>
                <w:sz w:val="18"/>
                <w:szCs w:val="18"/>
              </w:rPr>
              <w:framePr w:vAnchor="text" w:hAnchor="page" w:x="1582" w:y="407"/>
            </w:pPr>
            <w:r>
              <w:rPr>
                <w:rFonts w:hint="eastAsia" w:ascii="宋体" w:hAnsi="宋体" w:eastAsia="宋体" w:cs="宋体"/>
                <w:b/>
                <w:color w:val="000000"/>
                <w:sz w:val="18"/>
                <w:szCs w:val="18"/>
              </w:rPr>
              <w:t xml:space="preserve">序号</w:t>
            </w:r>
            <w:r>
              <w:rPr>
                <w:rFonts w:ascii="宋体" w:hAnsi="宋体" w:eastAsia="宋体" w:cs="宋体"/>
                <w:b/>
                <w:color w:val="000000"/>
                <w:sz w:val="18"/>
                <w:szCs w:val="18"/>
              </w:rPr>
            </w:r>
            <w:r/>
          </w:p>
        </w:tc>
        <w:tc>
          <w:tcPr>
            <w:shd w:val="clear" w:color="auto" w:fill="dddddd"/>
            <w:tcW w:w="1559" w:type="dxa"/>
            <w:vAlign w:val="center"/>
            <w:textDirection w:val="lrTb"/>
            <w:noWrap w:val="false"/>
          </w:tcPr>
          <w:p>
            <w:pPr>
              <w:pStyle w:val="923"/>
              <w:jc w:val="center"/>
              <w:rPr>
                <w:rFonts w:ascii="宋体" w:hAnsi="宋体" w:eastAsia="宋体" w:cs="宋体"/>
                <w:b/>
                <w:color w:val="000000"/>
                <w:sz w:val="18"/>
                <w:szCs w:val="18"/>
              </w:rPr>
              <w:framePr w:vAnchor="text" w:hAnchor="page" w:x="1582" w:y="407"/>
            </w:pPr>
            <w:r>
              <w:rPr>
                <w:rFonts w:hint="eastAsia" w:ascii="宋体" w:hAnsi="宋体" w:eastAsia="宋体" w:cs="宋体"/>
                <w:b/>
                <w:color w:val="000000"/>
                <w:sz w:val="18"/>
                <w:szCs w:val="18"/>
              </w:rPr>
              <w:t xml:space="preserve">评分项目</w:t>
            </w:r>
            <w:r>
              <w:rPr>
                <w:rFonts w:ascii="宋体" w:hAnsi="宋体" w:eastAsia="宋体" w:cs="宋体"/>
                <w:b/>
                <w:color w:val="000000"/>
                <w:sz w:val="18"/>
                <w:szCs w:val="18"/>
              </w:rPr>
            </w:r>
            <w:r/>
          </w:p>
        </w:tc>
        <w:tc>
          <w:tcPr>
            <w:shd w:val="clear" w:color="auto" w:fill="dddddd"/>
            <w:tcW w:w="6031" w:type="dxa"/>
            <w:vAlign w:val="center"/>
            <w:textDirection w:val="lrTb"/>
            <w:noWrap w:val="false"/>
          </w:tcPr>
          <w:p>
            <w:pPr>
              <w:pStyle w:val="923"/>
              <w:jc w:val="center"/>
              <w:rPr>
                <w:rFonts w:ascii="宋体" w:hAnsi="宋体" w:eastAsia="宋体" w:cs="宋体"/>
                <w:b/>
                <w:color w:val="000000"/>
                <w:sz w:val="18"/>
                <w:szCs w:val="18"/>
              </w:rPr>
              <w:framePr w:vAnchor="text" w:hAnchor="page" w:x="1582" w:y="407"/>
            </w:pPr>
            <w:r>
              <w:rPr>
                <w:rFonts w:hint="eastAsia" w:ascii="宋体" w:hAnsi="宋体" w:eastAsia="宋体" w:cs="宋体"/>
                <w:b/>
                <w:color w:val="000000"/>
                <w:sz w:val="18"/>
                <w:szCs w:val="18"/>
              </w:rPr>
              <w:t xml:space="preserve">内容</w:t>
            </w:r>
            <w:r>
              <w:rPr>
                <w:rFonts w:ascii="宋体" w:hAnsi="宋体" w:eastAsia="宋体" w:cs="宋体"/>
                <w:b/>
                <w:color w:val="000000"/>
                <w:sz w:val="18"/>
                <w:szCs w:val="18"/>
              </w:rPr>
            </w:r>
            <w:r/>
          </w:p>
        </w:tc>
        <w:tc>
          <w:tcPr>
            <w:shd w:val="clear" w:color="auto" w:fill="dddddd"/>
            <w:tcW w:w="816" w:type="dxa"/>
            <w:vAlign w:val="center"/>
            <w:textDirection w:val="lrTb"/>
            <w:noWrap w:val="false"/>
          </w:tcPr>
          <w:p>
            <w:pPr>
              <w:pStyle w:val="923"/>
              <w:ind w:right="-105"/>
              <w:jc w:val="center"/>
              <w:rPr>
                <w:rFonts w:ascii="宋体" w:hAnsi="宋体" w:eastAsia="宋体" w:cs="宋体"/>
                <w:b/>
                <w:color w:val="000000"/>
                <w:sz w:val="18"/>
                <w:szCs w:val="18"/>
              </w:rPr>
              <w:framePr w:vAnchor="text" w:hAnchor="page" w:x="1582" w:y="407"/>
            </w:pPr>
            <w:r>
              <w:rPr>
                <w:rFonts w:hint="eastAsia" w:ascii="宋体" w:hAnsi="宋体" w:eastAsia="宋体" w:cs="宋体"/>
                <w:b/>
                <w:color w:val="000000"/>
                <w:sz w:val="18"/>
                <w:szCs w:val="18"/>
              </w:rPr>
              <w:t xml:space="preserve">分值</w:t>
            </w:r>
            <w:r>
              <w:rPr>
                <w:rFonts w:ascii="宋体" w:hAnsi="宋体" w:eastAsia="宋体" w:cs="宋体"/>
                <w:b/>
                <w:color w:val="000000"/>
                <w:sz w:val="18"/>
                <w:szCs w:val="18"/>
              </w:rPr>
            </w:r>
            <w:r/>
          </w:p>
        </w:tc>
      </w:tr>
      <w:tr>
        <w:trPr>
          <w:trHeight w:val="298"/>
        </w:trPr>
        <w:tc>
          <w:tcPr>
            <w:tcW w:w="711"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一</w:t>
            </w:r>
            <w:r>
              <w:rPr>
                <w:rFonts w:ascii="宋体" w:hAnsi="宋体" w:eastAsia="宋体" w:cs="宋体"/>
                <w:b/>
                <w:bCs/>
                <w:color w:val="000000"/>
                <w:sz w:val="18"/>
                <w:szCs w:val="18"/>
              </w:rPr>
            </w:r>
            <w:r/>
          </w:p>
        </w:tc>
        <w:tc>
          <w:tcPr>
            <w:tcW w:w="1559"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材料质量</w:t>
            </w:r>
            <w:r>
              <w:rPr>
                <w:rFonts w:ascii="宋体" w:hAnsi="宋体" w:eastAsia="宋体" w:cs="宋体"/>
                <w:b/>
                <w:bCs/>
                <w:color w:val="000000"/>
                <w:sz w:val="18"/>
                <w:szCs w:val="18"/>
              </w:rPr>
            </w:r>
            <w:r/>
          </w:p>
        </w:tc>
        <w:tc>
          <w:tcPr>
            <w:tcW w:w="6031" w:type="dxa"/>
            <w:vAlign w:val="center"/>
            <w:textDirection w:val="lrTb"/>
            <w:noWrap w:val="false"/>
          </w:tcPr>
          <w:p>
            <w:pPr>
              <w:pStyle w:val="924"/>
              <w:jc w:val="left"/>
              <w:keepLines w:val="0"/>
              <w:keepNext w:val="0"/>
              <w:spacing w:before="0" w:after="0" w:line="360" w:lineRule="atLeast"/>
              <w:shd w:val="clear" w:color="auto" w:fill="ffffff"/>
              <w:widowControl/>
              <w:rPr>
                <w:rFonts w:ascii="宋体" w:hAnsi="宋体" w:cs="宋体"/>
                <w:bCs/>
                <w:color w:val="000000"/>
                <w:sz w:val="18"/>
                <w:szCs w:val="18"/>
                <w:lang w:val="en-US"/>
              </w:rPr>
              <w:framePr w:vAnchor="text" w:hAnchor="page" w:x="1582" w:y="407"/>
            </w:pPr>
            <w:r>
              <w:rPr>
                <w:rFonts w:ascii="宋体" w:hAnsi="宋体" w:cs="宋体"/>
                <w:bCs/>
                <w:color w:val="000000"/>
                <w:sz w:val="18"/>
                <w:szCs w:val="18"/>
                <w:lang w:val="en-US"/>
              </w:rPr>
            </w:r>
            <w:r/>
          </w:p>
        </w:tc>
        <w:tc>
          <w:tcPr>
            <w:tcW w:w="816" w:type="dxa"/>
            <w:vAlign w:val="center"/>
            <w:textDirection w:val="lrTb"/>
            <w:noWrap w:val="false"/>
          </w:tcPr>
          <w:p>
            <w:pPr>
              <w:pStyle w:val="923"/>
              <w:jc w:val="left"/>
              <w:tabs>
                <w:tab w:val="left" w:pos="201" w:leader="none"/>
                <w:tab w:val="center" w:pos="359" w:leader="none"/>
              </w:tabs>
              <w:rPr>
                <w:rFonts w:ascii="宋体" w:hAnsi="宋体" w:eastAsia="宋体" w:cs="宋体"/>
                <w:b/>
                <w:bCs/>
                <w:color w:val="000000"/>
                <w:sz w:val="18"/>
                <w:szCs w:val="18"/>
                <w:lang w:val="en-US" w:eastAsia="zh-CN"/>
              </w:rPr>
              <w:framePr w:vAnchor="text" w:hAnchor="page" w:x="1582" w:y="407"/>
            </w:pPr>
            <w:r>
              <w:rPr>
                <w:rFonts w:hint="eastAsia" w:ascii="宋体" w:hAnsi="宋体" w:eastAsia="宋体" w:cs="宋体"/>
                <w:b/>
                <w:bCs/>
                <w:color w:val="000000"/>
                <w:sz w:val="18"/>
                <w:szCs w:val="18"/>
                <w:lang w:val="en-US" w:eastAsia="zh-CN"/>
              </w:rPr>
              <w:tab/>
            </w:r>
            <w:r>
              <w:rPr>
                <w:rFonts w:hint="eastAsia" w:ascii="宋体" w:hAnsi="宋体" w:eastAsia="宋体" w:cs="宋体"/>
                <w:b/>
                <w:bCs/>
                <w:color w:val="000000"/>
                <w:sz w:val="18"/>
                <w:szCs w:val="18"/>
                <w:lang w:val="en-US" w:eastAsia="zh-CN"/>
              </w:rPr>
              <w:t xml:space="preserve">30</w:t>
            </w:r>
            <w:r>
              <w:rPr>
                <w:rFonts w:ascii="宋体" w:hAnsi="宋体" w:eastAsia="宋体" w:cs="宋体"/>
                <w:b/>
                <w:bCs/>
                <w:color w:val="000000"/>
                <w:sz w:val="18"/>
                <w:szCs w:val="18"/>
                <w:lang w:val="en-US" w:eastAsia="zh-CN"/>
              </w:rPr>
            </w:r>
            <w:r/>
          </w:p>
        </w:tc>
      </w:tr>
      <w:tr>
        <w:trPr>
          <w:trHeight w:val="298"/>
        </w:trPr>
        <w:tc>
          <w:tcPr>
            <w:tcW w:w="711" w:type="dxa"/>
            <w:vAlign w:val="center"/>
            <w:textDirection w:val="lrTb"/>
            <w:noWrap w:val="false"/>
          </w:tcPr>
          <w:p>
            <w:pPr>
              <w:pStyle w:val="923"/>
              <w:jc w:val="center"/>
              <w:rPr>
                <w:rFonts w:ascii="宋体" w:hAnsi="宋体" w:eastAsia="宋体" w:cs="宋体"/>
                <w:color w:val="000000"/>
                <w:sz w:val="18"/>
                <w:szCs w:val="18"/>
              </w:rPr>
              <w:framePr w:vAnchor="text" w:hAnchor="page" w:x="1582" w:y="407"/>
            </w:pPr>
            <w:r>
              <w:rPr>
                <w:rFonts w:hint="eastAsia" w:ascii="宋体" w:hAnsi="宋体" w:eastAsia="宋体" w:cs="宋体"/>
                <w:b/>
                <w:bCs/>
                <w:color w:val="000000"/>
                <w:sz w:val="18"/>
                <w:szCs w:val="18"/>
              </w:rPr>
              <w:t xml:space="preserve">1</w:t>
            </w:r>
            <w:r>
              <w:rPr>
                <w:rFonts w:ascii="宋体" w:hAnsi="宋体" w:eastAsia="宋体" w:cs="宋体"/>
                <w:color w:val="000000"/>
                <w:sz w:val="18"/>
                <w:szCs w:val="18"/>
              </w:rPr>
            </w:r>
            <w:r/>
          </w:p>
        </w:tc>
        <w:tc>
          <w:tcPr>
            <w:tcW w:w="1559" w:type="dxa"/>
            <w:vAlign w:val="center"/>
            <w:textDirection w:val="lrTb"/>
            <w:noWrap w:val="false"/>
          </w:tcPr>
          <w:p>
            <w:pPr>
              <w:pStyle w:val="923"/>
              <w:jc w:val="center"/>
              <w:rPr>
                <w:rFonts w:ascii="宋体" w:hAnsi="宋体" w:eastAsia="宋体" w:cs="宋体"/>
                <w:color w:val="000000"/>
                <w:sz w:val="18"/>
                <w:szCs w:val="18"/>
              </w:rPr>
              <w:framePr w:vAnchor="text" w:hAnchor="page" w:x="1582" w:y="407"/>
            </w:pPr>
            <w:r>
              <w:rPr>
                <w:rFonts w:hint="eastAsia" w:ascii="宋体" w:hAnsi="宋体" w:eastAsia="宋体" w:cs="宋体"/>
                <w:b/>
                <w:bCs/>
                <w:color w:val="000000"/>
                <w:sz w:val="18"/>
                <w:szCs w:val="18"/>
                <w:highlight w:val="none"/>
              </w:rPr>
              <w:t xml:space="preserve">原材料检测报告</w:t>
            </w:r>
            <w:r>
              <w:rPr>
                <w:rFonts w:ascii="宋体" w:hAnsi="宋体" w:eastAsia="宋体" w:cs="宋体"/>
                <w:color w:val="000000"/>
                <w:sz w:val="18"/>
                <w:szCs w:val="18"/>
              </w:rPr>
            </w:r>
            <w:r/>
          </w:p>
        </w:tc>
        <w:tc>
          <w:tcPr>
            <w:tcW w:w="6031" w:type="dxa"/>
            <w:vAlign w:val="center"/>
            <w:textDirection w:val="lrTb"/>
            <w:noWrap w:val="false"/>
          </w:tcPr>
          <w:p>
            <w:pPr>
              <w:pStyle w:val="923"/>
              <w:ind w:firstLine="360"/>
              <w:keepLines w:val="0"/>
              <w:keepNext w:val="0"/>
              <w:pageBreakBefore w:val="0"/>
              <w:spacing w:line="360" w:lineRule="auto"/>
              <w:widowControl w:val="off"/>
              <w:rPr>
                <w:rFonts w:hint="eastAsia" w:ascii="宋体" w:hAnsi="宋体" w:eastAsia="宋体" w:cs="宋体"/>
                <w:bCs/>
                <w:color w:val="000000"/>
                <w:sz w:val="18"/>
                <w:szCs w:val="18"/>
                <w:lang w:val="zh-CN" w:eastAsia="zh-CN" w:bidi="ar-SA"/>
              </w:rPr>
              <w:framePr w:vAnchor="text" w:hAnchor="page" w:x="1582" w:y="407"/>
            </w:pPr>
            <w:r>
              <w:rPr>
                <w:rFonts w:hint="eastAsia" w:ascii="宋体" w:hAnsi="宋体" w:eastAsia="宋体" w:cs="宋体"/>
                <w:bCs/>
                <w:color w:val="000000"/>
                <w:sz w:val="18"/>
                <w:szCs w:val="18"/>
              </w:rPr>
              <w:t xml:space="preserve">提供所投产品的原材料检测报告（提供具有CMA认证资质的权威检测机构出具的完整检测报告复印件并加盖投标单位公章，原材料供应商提供符合上述要求的检测报告也可采用，不提供或不按要求提供不得分。）</w:t>
            </w:r>
            <w:r>
              <w:rPr>
                <w:rFonts w:hint="eastAsia" w:ascii="宋体" w:hAnsi="宋体" w:eastAsia="宋体" w:cs="宋体"/>
                <w:bCs/>
                <w:color w:val="000000"/>
                <w:sz w:val="18"/>
                <w:szCs w:val="18"/>
                <w:lang w:val="zh-CN" w:eastAsia="zh-CN" w:bidi="ar-SA"/>
              </w:rPr>
            </w:r>
            <w:r/>
          </w:p>
          <w:p>
            <w:pPr>
              <w:pStyle w:val="956"/>
              <w:numPr>
                <w:ilvl w:val="0"/>
                <w:numId w:val="0"/>
              </w:numPr>
              <w:ind w:left="18" w:hanging="18"/>
              <w:spacing w:line="240" w:lineRule="auto"/>
              <w:tabs>
                <w:tab w:val="left" w:pos="0" w:leader="none"/>
              </w:tabs>
              <w:rPr>
                <w:rFonts w:hint="eastAsia" w:ascii="宋体" w:hAnsi="宋体" w:eastAsia="宋体" w:cs="宋体"/>
                <w:color w:val="000000"/>
                <w:sz w:val="18"/>
                <w:szCs w:val="18"/>
                <w:lang w:val="en-US" w:eastAsia="zh-CN" w:bidi="ar-SA"/>
              </w:rPr>
              <w:framePr w:vAnchor="text" w:hAnchor="page" w:x="1582" w:y="407"/>
            </w:pPr>
            <w:r>
              <w:rPr>
                <w:rFonts w:hint="eastAsia" w:ascii="宋体" w:hAnsi="宋体" w:eastAsia="宋体" w:cs="宋体"/>
                <w:color w:val="000000"/>
                <w:sz w:val="18"/>
                <w:szCs w:val="18"/>
                <w:lang w:val="en-US" w:eastAsia="zh-CN" w:bidi="ar-SA"/>
              </w:rPr>
              <w:t xml:space="preserve">1、三节路轨：过载（垂直向下静载荷、水平侧向静载荷、猛关或猛开）、功能（操作力、抽屉导轨组件底部变形、抽屉导轨组件结构强度、耐久性、垂直向下静载荷、拉出安全性、猛关或猛开、耐腐蚀、金属件外观性能要求（喷涂层、电镀层）、金属喷漆塑涂层（硬度、冲击强度、耐腐蚀、附着力）、金属电镀层抗盐雾，全部符合得3分，不符合不得分，最高3分。</w:t>
            </w:r>
            <w:r>
              <w:rPr>
                <w:rFonts w:hint="eastAsia" w:ascii="宋体" w:hAnsi="宋体" w:eastAsia="宋体" w:cs="宋体"/>
                <w:color w:val="000000"/>
                <w:sz w:val="18"/>
                <w:szCs w:val="18"/>
                <w:lang w:val="en-US" w:eastAsia="zh-CN" w:bidi="ar-SA"/>
              </w:rPr>
            </w:r>
            <w:r/>
          </w:p>
          <w:p>
            <w:pPr>
              <w:pStyle w:val="956"/>
              <w:numPr>
                <w:ilvl w:val="0"/>
                <w:numId w:val="0"/>
              </w:numPr>
              <w:ind w:left="18" w:hanging="18"/>
              <w:spacing w:line="240" w:lineRule="auto"/>
              <w:tabs>
                <w:tab w:val="left" w:pos="0" w:leader="none"/>
              </w:tabs>
              <w:rPr>
                <w:rFonts w:hint="eastAsia" w:ascii="宋体" w:hAnsi="宋体" w:eastAsia="宋体" w:cs="宋体"/>
                <w:bCs/>
                <w:color w:val="000000"/>
                <w:sz w:val="18"/>
                <w:szCs w:val="18"/>
                <w:lang w:val="en-US" w:eastAsia="zh-CN" w:bidi="ar-SA"/>
              </w:rPr>
              <w:framePr w:vAnchor="text" w:hAnchor="page" w:x="1582" w:y="407"/>
            </w:pPr>
            <w:r>
              <w:rPr>
                <w:rFonts w:hint="eastAsia" w:ascii="宋体" w:hAnsi="宋体" w:eastAsia="宋体" w:cs="宋体"/>
                <w:bCs/>
                <w:color w:val="000000"/>
                <w:sz w:val="18"/>
                <w:szCs w:val="18"/>
                <w:lang w:val="en-US" w:eastAsia="zh-CN" w:bidi="ar-SA"/>
              </w:rPr>
              <w:t xml:space="preserve">2、工程塑料：拉伸屈服应力、弯曲模量、简支梁缺口冲击强度、邻苯二甲酸酯、多环芳烃、重金属，</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bCs/>
                <w:color w:val="000000"/>
                <w:sz w:val="18"/>
                <w:szCs w:val="18"/>
                <w:lang w:val="en-US" w:eastAsia="zh-CN" w:bidi="ar-SA"/>
              </w:rPr>
            </w:r>
            <w:r/>
          </w:p>
          <w:p>
            <w:pPr>
              <w:pStyle w:val="956"/>
              <w:numPr>
                <w:ilvl w:val="0"/>
                <w:numId w:val="0"/>
              </w:numPr>
              <w:ind w:left="18" w:hanging="18"/>
              <w:spacing w:line="240" w:lineRule="auto"/>
              <w:tabs>
                <w:tab w:val="left" w:pos="0" w:leader="none"/>
              </w:tabs>
              <w:rPr>
                <w:rFonts w:hint="eastAsia" w:ascii="宋体" w:hAnsi="宋体" w:eastAsia="宋体" w:cs="宋体"/>
                <w:bCs/>
                <w:color w:val="000000"/>
                <w:sz w:val="18"/>
                <w:szCs w:val="18"/>
                <w:lang w:val="en-US" w:eastAsia="zh-CN" w:bidi="ar-SA"/>
              </w:rPr>
              <w:framePr w:vAnchor="text" w:hAnchor="page" w:x="1582" w:y="407"/>
            </w:pPr>
            <w:r>
              <w:rPr>
                <w:rFonts w:hint="eastAsia" w:ascii="宋体" w:hAnsi="宋体" w:eastAsia="宋体" w:cs="宋体"/>
                <w:bCs/>
                <w:color w:val="000000"/>
                <w:sz w:val="18"/>
                <w:szCs w:val="18"/>
                <w:lang w:val="en-US" w:eastAsia="zh-CN" w:bidi="ar-SA"/>
              </w:rPr>
              <w:t xml:space="preserve">3、不锈钢</w:t>
            </w:r>
            <w:r>
              <w:rPr>
                <w:rFonts w:hint="eastAsia" w:ascii="宋体" w:hAnsi="宋体" w:eastAsia="宋体" w:cs="宋体"/>
                <w:bCs/>
                <w:color w:val="000000"/>
                <w:sz w:val="18"/>
                <w:szCs w:val="18"/>
                <w:lang w:val="zh-CN" w:eastAsia="zh-CN" w:bidi="ar-SA"/>
              </w:rPr>
              <w:t xml:space="preserve">：</w:t>
            </w:r>
            <w:r>
              <w:rPr>
                <w:rFonts w:hint="eastAsia" w:ascii="宋体" w:hAnsi="宋体" w:eastAsia="宋体" w:cs="宋体"/>
                <w:bCs/>
                <w:color w:val="000000"/>
                <w:sz w:val="18"/>
                <w:szCs w:val="18"/>
                <w:lang w:val="en-US" w:eastAsia="zh-CN" w:bidi="ar-SA"/>
              </w:rPr>
              <w:t xml:space="preserve">覆盖层微观组织形态、附着强度、抗菌性能：乙型溶血性链球菌≥99%、塑性延伸强度、抗拉强度 、断后伸长率、表面质量，</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bCs/>
                <w:color w:val="000000"/>
                <w:sz w:val="18"/>
                <w:szCs w:val="18"/>
                <w:lang w:val="en-US" w:eastAsia="zh-CN" w:bidi="ar-SA"/>
              </w:rPr>
            </w:r>
            <w:r/>
          </w:p>
          <w:p>
            <w:pPr>
              <w:pStyle w:val="956"/>
              <w:numPr>
                <w:ilvl w:val="0"/>
                <w:numId w:val="0"/>
              </w:numPr>
              <w:ind w:left="18" w:hanging="18"/>
              <w:spacing w:line="240" w:lineRule="auto"/>
              <w:tabs>
                <w:tab w:val="left" w:pos="0" w:leader="none"/>
              </w:tabs>
              <w:rPr>
                <w:rFonts w:hint="eastAsia" w:ascii="宋体" w:hAnsi="宋体" w:eastAsia="宋体" w:cs="宋体"/>
                <w:color w:val="000000"/>
                <w:sz w:val="18"/>
                <w:szCs w:val="18"/>
                <w:lang w:val="zh-CN" w:eastAsia="zh-CN" w:bidi="ar-SA"/>
              </w:rPr>
              <w:framePr w:vAnchor="text" w:hAnchor="page" w:x="1582" w:y="407"/>
            </w:pPr>
            <w:r>
              <w:rPr>
                <w:rFonts w:hint="eastAsia" w:ascii="宋体" w:hAnsi="宋体" w:eastAsia="宋体" w:cs="宋体"/>
                <w:color w:val="000000"/>
                <w:sz w:val="18"/>
                <w:szCs w:val="18"/>
                <w:lang w:val="zh-CN" w:eastAsia="zh-CN" w:bidi="ar-SA"/>
              </w:rPr>
              <w:t xml:space="preserve">4、</w:t>
            </w:r>
            <w:r>
              <w:rPr>
                <w:rFonts w:hint="eastAsia" w:ascii="宋体" w:hAnsi="宋体" w:eastAsia="宋体" w:cs="宋体"/>
                <w:color w:val="000000"/>
                <w:sz w:val="18"/>
                <w:szCs w:val="18"/>
                <w:lang w:val="en-US" w:eastAsia="zh-CN" w:bidi="ar-SA"/>
              </w:rPr>
              <w:t xml:space="preserve">三级气杆</w:t>
            </w:r>
            <w:r>
              <w:rPr>
                <w:rFonts w:hint="eastAsia" w:ascii="宋体" w:hAnsi="宋体" w:eastAsia="宋体" w:cs="宋体"/>
                <w:color w:val="000000"/>
                <w:sz w:val="18"/>
                <w:szCs w:val="18"/>
                <w:lang w:val="zh-CN" w:eastAsia="zh-CN" w:bidi="ar-SA"/>
              </w:rPr>
              <w:t xml:space="preserve">：</w:t>
            </w:r>
            <w:r>
              <w:rPr>
                <w:rFonts w:hint="eastAsia" w:ascii="宋体" w:hAnsi="宋体" w:eastAsia="宋体" w:cs="宋体"/>
                <w:color w:val="000000"/>
                <w:sz w:val="18"/>
                <w:szCs w:val="18"/>
                <w:lang w:val="en-US" w:eastAsia="zh-CN" w:bidi="ar-SA"/>
              </w:rPr>
              <w:t xml:space="preserve">尺寸及外观质量、</w:t>
            </w:r>
            <w:r>
              <w:rPr>
                <w:rFonts w:hint="eastAsia" w:ascii="宋体" w:hAnsi="宋体" w:eastAsia="宋体" w:cs="宋体"/>
                <w:color w:val="000000"/>
                <w:sz w:val="18"/>
                <w:szCs w:val="18"/>
                <w:lang w:val="zh-CN" w:eastAsia="zh-CN" w:bidi="ar-SA"/>
              </w:rPr>
              <w:t xml:space="preserve">密封性能、</w:t>
            </w:r>
            <w:r>
              <w:rPr>
                <w:rFonts w:hint="eastAsia" w:ascii="宋体" w:hAnsi="宋体" w:eastAsia="宋体" w:cs="宋体"/>
                <w:color w:val="000000"/>
                <w:sz w:val="18"/>
                <w:szCs w:val="18"/>
                <w:lang w:val="en-US" w:eastAsia="zh-CN" w:bidi="ar-SA"/>
              </w:rPr>
              <w:t xml:space="preserve">循环寿命、抗拉强度、启</w:t>
            </w:r>
            <w:r>
              <w:rPr>
                <w:rFonts w:hint="eastAsia" w:ascii="宋体" w:hAnsi="宋体" w:eastAsia="宋体" w:cs="宋体"/>
                <w:color w:val="000000"/>
                <w:sz w:val="18"/>
                <w:szCs w:val="18"/>
                <w:lang w:val="zh-CN" w:eastAsia="zh-CN" w:bidi="ar-SA"/>
              </w:rPr>
              <w:t xml:space="preserve">动力、</w:t>
            </w:r>
            <w:r>
              <w:rPr>
                <w:rFonts w:hint="eastAsia" w:ascii="宋体" w:hAnsi="宋体" w:eastAsia="宋体" w:cs="宋体"/>
                <w:color w:val="000000"/>
                <w:sz w:val="18"/>
                <w:szCs w:val="18"/>
                <w:lang w:val="en-US" w:eastAsia="zh-CN" w:bidi="ar-SA"/>
              </w:rPr>
              <w:t xml:space="preserve">耐高低温性能、</w:t>
            </w:r>
            <w:r>
              <w:rPr>
                <w:rFonts w:hint="eastAsia" w:eastAsia="宋体"/>
                <w:color w:val="000000"/>
                <w:sz w:val="18"/>
                <w:szCs w:val="18"/>
              </w:rPr>
              <w:t xml:space="preserve">伸展速度</w:t>
            </w:r>
            <w:r>
              <w:rPr>
                <w:rFonts w:hint="eastAsia" w:eastAsia="宋体"/>
                <w:color w:val="000000"/>
                <w:sz w:val="18"/>
                <w:szCs w:val="18"/>
                <w:lang w:eastAsia="zh-CN"/>
              </w:rPr>
              <w:t xml:space="preserve">，</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color w:val="000000"/>
                <w:sz w:val="18"/>
                <w:szCs w:val="18"/>
                <w:lang w:val="zh-CN" w:eastAsia="zh-CN" w:bidi="ar-SA"/>
              </w:rPr>
            </w:r>
            <w:r/>
          </w:p>
          <w:p>
            <w:pPr>
              <w:pStyle w:val="1036"/>
              <w:numPr>
                <w:ilvl w:val="0"/>
                <w:numId w:val="0"/>
              </w:numPr>
              <w:ind w:left="18" w:hanging="18"/>
              <w:spacing w:before="2" w:line="240" w:lineRule="auto"/>
              <w:rPr>
                <w:rFonts w:hint="eastAsia" w:ascii="宋体" w:hAnsi="宋体" w:eastAsia="宋体" w:cs="宋体"/>
                <w:color w:val="000000"/>
                <w:sz w:val="18"/>
                <w:szCs w:val="18"/>
                <w:lang w:val="en-US" w:eastAsia="zh-CN" w:bidi="ar-SA"/>
              </w:rPr>
              <w:framePr w:vAnchor="text" w:hAnchor="page" w:x="1582" w:y="407"/>
            </w:pPr>
            <w:r>
              <w:rPr>
                <w:rFonts w:hint="eastAsia" w:ascii="宋体" w:hAnsi="宋体" w:eastAsia="宋体" w:cs="宋体"/>
                <w:color w:val="000000"/>
                <w:sz w:val="18"/>
                <w:szCs w:val="18"/>
                <w:lang w:val="en-US" w:eastAsia="zh-CN" w:bidi="ar-SA"/>
              </w:rPr>
              <w:t xml:space="preserve">5、医用级亚克力人造石台面：抗球冲击、耐酸碱、表面耐划痕、吸水率、耐光色牢度、抗老化、弯曲强度、乙型溶血性链球菌的抗菌性≥99%，</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color w:val="000000"/>
                <w:sz w:val="18"/>
                <w:szCs w:val="18"/>
                <w:lang w:val="en-US" w:eastAsia="zh-CN" w:bidi="ar-SA"/>
              </w:rPr>
            </w:r>
            <w:r/>
          </w:p>
          <w:p>
            <w:pPr>
              <w:pStyle w:val="1036"/>
              <w:spacing w:before="2" w:line="240" w:lineRule="auto"/>
              <w:rPr>
                <w:color w:val="000000"/>
              </w:rPr>
              <w:framePr w:vAnchor="text" w:hAnchor="page" w:x="1582" w:y="407"/>
            </w:pPr>
            <w:r>
              <w:rPr>
                <w:rFonts w:hint="eastAsia" w:ascii="宋体" w:hAnsi="宋体" w:eastAsia="宋体" w:cs="宋体"/>
                <w:color w:val="000000"/>
                <w:sz w:val="18"/>
                <w:szCs w:val="18"/>
                <w:lang w:val="en-US" w:eastAsia="zh-CN" w:bidi="ar-SA"/>
              </w:rPr>
              <w:t xml:space="preserve">6、三聚氢胺浸渍饰面纸：表面耐冷热循环、表面耐磨、表面耐划痕、耐光色牢度、甲醛释放量（≤0.124mg/m³）、TVOC、苯、甲苯、二甲苯，</w:t>
            </w:r>
            <w:r>
              <w:rPr>
                <w:rFonts w:hint="eastAsia" w:ascii="宋体" w:hAnsi="宋体" w:eastAsia="宋体" w:cs="宋体"/>
                <w:color w:val="000000"/>
                <w:sz w:val="18"/>
                <w:szCs w:val="18"/>
                <w:lang w:val="en-US" w:eastAsia="zh-CN" w:bidi="ar-SA"/>
              </w:rPr>
              <w:t xml:space="preserve">全部符合得3分，不符合不得分，最高3分。</w:t>
            </w:r>
            <w:r>
              <w:rPr>
                <w:color w:val="000000"/>
              </w:rPr>
            </w:r>
            <w:r/>
          </w:p>
        </w:tc>
        <w:tc>
          <w:tcPr>
            <w:tcW w:w="816" w:type="dxa"/>
            <w:vAlign w:val="center"/>
            <w:textDirection w:val="lrTb"/>
            <w:noWrap w:val="false"/>
          </w:tcPr>
          <w:p>
            <w:pPr>
              <w:pStyle w:val="923"/>
              <w:jc w:val="center"/>
              <w:rPr>
                <w:rFonts w:ascii="宋体" w:hAnsi="宋体" w:eastAsia="宋体" w:cs="宋体"/>
                <w:color w:val="000000"/>
                <w:sz w:val="18"/>
                <w:szCs w:val="18"/>
                <w:lang w:val="en-US" w:eastAsia="zh-CN"/>
              </w:rPr>
              <w:framePr w:vAnchor="text" w:hAnchor="page" w:x="1582" w:y="407"/>
            </w:pPr>
            <w:r>
              <w:rPr>
                <w:rFonts w:hint="eastAsia" w:ascii="宋体" w:hAnsi="宋体" w:eastAsia="宋体" w:cs="宋体"/>
                <w:color w:val="000000"/>
                <w:sz w:val="18"/>
                <w:szCs w:val="18"/>
                <w:lang w:val="en-US" w:eastAsia="zh-CN"/>
              </w:rPr>
              <w:t xml:space="preserve">18</w:t>
            </w:r>
            <w:r>
              <w:rPr>
                <w:rFonts w:ascii="宋体" w:hAnsi="宋体" w:eastAsia="宋体" w:cs="宋体"/>
                <w:color w:val="000000"/>
                <w:sz w:val="18"/>
                <w:szCs w:val="18"/>
                <w:lang w:val="en-US" w:eastAsia="zh-CN"/>
              </w:rPr>
            </w:r>
            <w:r/>
          </w:p>
        </w:tc>
      </w:tr>
      <w:tr>
        <w:trPr>
          <w:trHeight w:val="841"/>
        </w:trPr>
        <w:tc>
          <w:tcPr>
            <w:tcW w:w="711"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2</w:t>
            </w:r>
            <w:r>
              <w:rPr>
                <w:rFonts w:ascii="宋体" w:hAnsi="宋体" w:eastAsia="宋体" w:cs="宋体"/>
                <w:b/>
                <w:bCs/>
                <w:color w:val="000000"/>
                <w:sz w:val="18"/>
                <w:szCs w:val="18"/>
              </w:rPr>
            </w:r>
            <w:r/>
          </w:p>
        </w:tc>
        <w:tc>
          <w:tcPr>
            <w:tcW w:w="1559"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highlight w:val="none"/>
              </w:rPr>
              <w:t xml:space="preserve">成品检测报告</w:t>
            </w:r>
            <w:r>
              <w:rPr>
                <w:rFonts w:ascii="宋体" w:hAnsi="宋体" w:eastAsia="宋体" w:cs="宋体"/>
                <w:b/>
                <w:bCs/>
                <w:color w:val="000000"/>
                <w:sz w:val="18"/>
                <w:szCs w:val="18"/>
              </w:rPr>
            </w:r>
            <w:r/>
          </w:p>
        </w:tc>
        <w:tc>
          <w:tcPr>
            <w:tcW w:w="6031" w:type="dxa"/>
            <w:vAlign w:val="center"/>
            <w:textDirection w:val="lrTb"/>
            <w:noWrap w:val="false"/>
          </w:tcPr>
          <w:p>
            <w:pPr>
              <w:pStyle w:val="923"/>
              <w:ind w:firstLine="360"/>
              <w:keepLines w:val="0"/>
              <w:keepNext w:val="0"/>
              <w:pageBreakBefore w:val="0"/>
              <w:spacing w:line="360" w:lineRule="auto"/>
              <w:widowControl w:val="off"/>
              <w:rPr>
                <w:rFonts w:hint="eastAsia" w:ascii="宋体" w:hAnsi="宋体" w:eastAsia="宋体" w:cs="宋体"/>
                <w:bCs/>
                <w:color w:val="000000"/>
                <w:sz w:val="18"/>
                <w:szCs w:val="18"/>
                <w:lang w:val="en-US" w:eastAsia="zh-CN" w:bidi="ar-SA"/>
              </w:rPr>
              <w:framePr w:vAnchor="text" w:hAnchor="page" w:x="1582" w:y="407"/>
            </w:pPr>
            <w:r>
              <w:rPr>
                <w:rFonts w:hint="eastAsia" w:ascii="宋体" w:hAnsi="宋体" w:eastAsia="宋体" w:cs="宋体"/>
                <w:bCs/>
                <w:color w:val="000000"/>
                <w:sz w:val="18"/>
                <w:szCs w:val="18"/>
                <w:lang w:val="en-US" w:eastAsia="zh-CN" w:bidi="ar-SA"/>
              </w:rPr>
              <w:t xml:space="preserve">提供所投产品清单</w:t>
            </w:r>
            <w:r>
              <w:rPr>
                <w:rFonts w:hint="eastAsia" w:ascii="宋体" w:hAnsi="宋体" w:eastAsia="宋体" w:cs="宋体"/>
                <w:bCs/>
                <w:color w:val="000000"/>
                <w:sz w:val="18"/>
                <w:szCs w:val="18"/>
                <w:lang w:val="en-US" w:eastAsia="zh-CN"/>
              </w:rPr>
              <w:t xml:space="preserve">功能转椅（</w:t>
            </w:r>
            <w:r>
              <w:rPr>
                <w:rFonts w:hint="eastAsia" w:ascii="宋体" w:hAnsi="宋体" w:eastAsia="宋体" w:cs="宋体"/>
                <w:bCs/>
                <w:color w:val="000000"/>
                <w:sz w:val="18"/>
                <w:szCs w:val="18"/>
              </w:rPr>
              <w:t xml:space="preserve">清单序号</w:t>
            </w:r>
            <w:r>
              <w:rPr>
                <w:rFonts w:hint="eastAsia" w:ascii="宋体" w:hAnsi="宋体" w:eastAsia="宋体" w:cs="宋体"/>
                <w:bCs/>
                <w:color w:val="000000"/>
                <w:sz w:val="18"/>
                <w:szCs w:val="18"/>
                <w:lang w:val="en-US" w:eastAsia="zh-CN"/>
              </w:rPr>
              <w:t xml:space="preserve">5）</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val="en-US" w:eastAsia="zh-CN"/>
              </w:rPr>
              <w:t xml:space="preserve">诊疗桌（清单</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70）</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val="en-US" w:eastAsia="zh-CN"/>
              </w:rPr>
              <w:t xml:space="preserve">医用环保治疗柜（清单</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165）</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val="en-US" w:eastAsia="zh-CN"/>
              </w:rPr>
              <w:t xml:space="preserve">医用环保污物存储柜（清单</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169）</w:t>
            </w:r>
            <w:r>
              <w:rPr>
                <w:rFonts w:hint="eastAsia" w:ascii="宋体" w:hAnsi="宋体" w:eastAsia="宋体" w:cs="宋体"/>
                <w:bCs/>
                <w:color w:val="000000"/>
                <w:sz w:val="18"/>
                <w:szCs w:val="18"/>
                <w:lang w:val="en-US" w:eastAsia="zh-CN" w:bidi="ar-SA"/>
              </w:rPr>
              <w:t xml:space="preserve">的类似品类</w:t>
            </w:r>
            <w:r>
              <w:rPr>
                <w:rFonts w:hint="eastAsia" w:ascii="宋体" w:hAnsi="宋体" w:eastAsia="宋体" w:cs="宋体"/>
                <w:bCs/>
                <w:color w:val="000000"/>
                <w:sz w:val="18"/>
                <w:szCs w:val="18"/>
              </w:rPr>
              <w:t xml:space="preserve">同一生产厂家</w:t>
            </w:r>
            <w:r>
              <w:rPr>
                <w:rFonts w:hint="eastAsia" w:ascii="宋体" w:hAnsi="宋体" w:eastAsia="宋体" w:cs="宋体"/>
                <w:bCs/>
                <w:color w:val="000000"/>
                <w:sz w:val="18"/>
                <w:szCs w:val="18"/>
                <w:lang w:val="en-US" w:eastAsia="zh-CN" w:bidi="ar-SA"/>
              </w:rPr>
              <w:t xml:space="preserve">的成品检测报告，</w:t>
            </w:r>
            <w:r>
              <w:rPr>
                <w:rFonts w:hint="eastAsia" w:ascii="宋体" w:hAnsi="宋体" w:eastAsia="宋体" w:cs="宋体"/>
                <w:bCs/>
                <w:color w:val="000000"/>
                <w:sz w:val="18"/>
                <w:szCs w:val="18"/>
              </w:rPr>
              <w:t xml:space="preserve">（检测报告须由具有CMA认证资质的检测机构出具，提供完整检测报告的复印件并加盖投标单位公章，否则不得分。）</w:t>
            </w:r>
            <w:r>
              <w:rPr>
                <w:rFonts w:hint="eastAsia" w:ascii="宋体" w:hAnsi="宋体" w:eastAsia="宋体" w:cs="宋体"/>
                <w:bCs/>
                <w:color w:val="000000"/>
                <w:sz w:val="18"/>
                <w:szCs w:val="18"/>
                <w:lang w:val="en-US" w:eastAsia="zh-CN" w:bidi="ar-SA"/>
              </w:rPr>
            </w:r>
            <w:r/>
          </w:p>
          <w:p>
            <w:pPr>
              <w:pStyle w:val="1036"/>
              <w:numPr>
                <w:ilvl w:val="0"/>
                <w:numId w:val="6"/>
              </w:numPr>
              <w:spacing w:before="2"/>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lang w:val="en-US" w:eastAsia="zh-CN"/>
              </w:rPr>
              <w:t xml:space="preserve">功能转椅：外观（塑料件外观、软、硬包件外观、金属件外观、涂层和镀层、升降机构和角度调节机构、脚轮)、安全性（只适用于带气弹簧的办公椅）基本安全、</w:t>
            </w:r>
            <w:r>
              <w:rPr>
                <w:rFonts w:hint="eastAsia" w:ascii="宋体" w:hAnsi="宋体" w:eastAsia="宋体" w:cs="宋体"/>
                <w:bCs/>
                <w:color w:val="000000"/>
                <w:sz w:val="18"/>
                <w:szCs w:val="18"/>
                <w:highlight w:val="none"/>
                <w:lang w:val="en-US" w:eastAsia="zh-CN"/>
              </w:rPr>
              <w:t xml:space="preserve">耐盐雾（电镀层）</w:t>
            </w:r>
            <w:r>
              <w:rPr>
                <w:rFonts w:hint="eastAsia" w:ascii="宋体" w:hAnsi="宋体" w:eastAsia="宋体" w:cs="宋体"/>
                <w:bCs/>
                <w:color w:val="0000ff"/>
                <w:sz w:val="18"/>
                <w:szCs w:val="18"/>
                <w:highlight w:val="none"/>
                <w:lang w:val="en-US" w:eastAsia="zh-CN"/>
              </w:rPr>
              <w:t xml:space="preserve">、</w:t>
            </w:r>
            <w:r>
              <w:rPr>
                <w:rFonts w:hint="eastAsia" w:ascii="宋体" w:hAnsi="宋体" w:eastAsia="宋体" w:cs="宋体"/>
                <w:bCs/>
                <w:color w:val="000000"/>
                <w:sz w:val="18"/>
                <w:szCs w:val="18"/>
                <w:lang w:val="en-US" w:eastAsia="zh-CN"/>
              </w:rPr>
              <w:t xml:space="preserve">燃烧性能（B1），</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bCs/>
                <w:color w:val="000000"/>
                <w:sz w:val="18"/>
                <w:szCs w:val="18"/>
                <w:lang w:val="en-US" w:eastAsia="zh-CN"/>
              </w:rPr>
            </w:r>
            <w:r/>
          </w:p>
          <w:p>
            <w:pPr>
              <w:pStyle w:val="1036"/>
              <w:numPr>
                <w:ilvl w:val="0"/>
                <w:numId w:val="6"/>
              </w:numPr>
              <w:ind w:left="0" w:firstLine="0"/>
              <w:spacing w:before="2"/>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lang w:val="en-US" w:eastAsia="zh-CN"/>
              </w:rPr>
              <w:t xml:space="preserve">诊疗桌：主要尺寸及偏差、形状与位置公差、外观性能要求（金属件、木制件、塑料件）、理化性能要求中木制件表面贴面层（耐冷热循环、耐干热、耐湿热、耐划痕、耐污染性能、表面耐磨性、抗冲击、耐光色牢度）、金属喷漆（塑）涂层（硬度、冲击强度、耐腐蚀、附着力）、安全性能（结构安全）、力学性能桌类强度和耐久性、桌类稳定性、产品有害物质（甲醛释放量、苯、甲苯、TVOC、家具涂层可迁移元素、苯并[a]芘），</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bCs/>
                <w:color w:val="000000"/>
                <w:sz w:val="18"/>
                <w:szCs w:val="18"/>
                <w:lang w:val="en-US" w:eastAsia="zh-CN"/>
              </w:rPr>
            </w:r>
            <w:r/>
          </w:p>
          <w:p>
            <w:pPr>
              <w:pStyle w:val="1036"/>
              <w:numPr>
                <w:ilvl w:val="0"/>
                <w:numId w:val="6"/>
              </w:numPr>
              <w:ind w:left="0" w:firstLine="0"/>
              <w:spacing w:before="2"/>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lang w:val="en-US" w:eastAsia="zh-CN"/>
              </w:rPr>
              <w:t xml:space="preserve">医用环保治疗柜：外观性能（金属件、塑料件、玻璃件）、结构安全、金属喷漆塑涂层（硬度、冲击强度、耐腐蚀、附着力）、金属电镀层、</w:t>
            </w:r>
            <w:r>
              <w:rPr>
                <w:rFonts w:hint="eastAsia" w:ascii="宋体" w:hAnsi="宋体" w:eastAsia="宋体" w:cs="宋体"/>
                <w:color w:val="000000"/>
                <w:sz w:val="18"/>
                <w:szCs w:val="18"/>
                <w:lang w:val="en-US" w:eastAsia="zh-CN"/>
              </w:rPr>
              <w:t xml:space="preserve">柜类稳定性、柜类强度和耐久性、</w:t>
            </w:r>
            <w:r>
              <w:rPr>
                <w:rFonts w:hint="eastAsia" w:ascii="宋体" w:hAnsi="宋体" w:eastAsia="宋体" w:cs="宋体"/>
                <w:bCs/>
                <w:color w:val="000000"/>
                <w:sz w:val="18"/>
                <w:szCs w:val="18"/>
                <w:lang w:val="en-US" w:eastAsia="zh-CN"/>
              </w:rPr>
              <w:t xml:space="preserve">耐污染、表面耐划痕、耐酸碱、耐光色牢度</w:t>
            </w:r>
            <w:r>
              <w:rPr>
                <w:rFonts w:hint="eastAsia" w:ascii="宋体" w:hAnsi="宋体" w:eastAsia="宋体" w:cs="宋体"/>
                <w:bCs/>
                <w:color w:val="0000ff"/>
                <w:sz w:val="18"/>
                <w:szCs w:val="18"/>
                <w:lang w:val="en-US" w:eastAsia="zh-CN"/>
              </w:rPr>
              <w:t xml:space="preserve">、</w:t>
            </w:r>
            <w:r>
              <w:rPr>
                <w:rFonts w:hint="eastAsia" w:ascii="宋体" w:hAnsi="宋体" w:eastAsia="宋体" w:cs="宋体"/>
                <w:bCs/>
                <w:color w:val="000000"/>
                <w:sz w:val="18"/>
                <w:szCs w:val="18"/>
                <w:lang w:val="en-US" w:eastAsia="zh-CN"/>
              </w:rPr>
              <w:t xml:space="preserve">乙型溶血性链球菌的抗菌性达到99%，</w:t>
            </w:r>
            <w:r>
              <w:rPr>
                <w:rFonts w:hint="eastAsia" w:ascii="宋体" w:hAnsi="宋体" w:eastAsia="宋体" w:cs="宋体"/>
                <w:color w:val="000000"/>
                <w:sz w:val="18"/>
                <w:szCs w:val="18"/>
                <w:lang w:val="en-US" w:eastAsia="zh-CN" w:bidi="ar-SA"/>
              </w:rPr>
              <w:t xml:space="preserve">全部符合得3分，不符合不得分，最高3分。</w:t>
            </w:r>
            <w:r>
              <w:rPr>
                <w:rFonts w:hint="eastAsia" w:ascii="宋体" w:hAnsi="宋体" w:eastAsia="宋体" w:cs="宋体"/>
                <w:bCs/>
                <w:color w:val="000000"/>
                <w:sz w:val="18"/>
                <w:szCs w:val="18"/>
                <w:lang w:val="en-US" w:eastAsia="zh-CN"/>
              </w:rPr>
            </w:r>
            <w:r/>
          </w:p>
          <w:p>
            <w:pPr>
              <w:pStyle w:val="1036"/>
              <w:spacing w:before="2"/>
              <w:rPr>
                <w:rFonts w:ascii="宋体" w:hAnsi="宋体" w:eastAsia="宋体" w:cs="宋体"/>
                <w:color w:val="000000"/>
                <w:sz w:val="18"/>
                <w:szCs w:val="18"/>
              </w:rPr>
              <w:framePr w:vAnchor="text" w:hAnchor="page" w:x="1582" w:y="407"/>
            </w:pPr>
            <w:r>
              <w:rPr>
                <w:rFonts w:hint="eastAsia" w:ascii="宋体" w:hAnsi="宋体" w:eastAsia="宋体" w:cs="宋体"/>
                <w:bCs/>
                <w:color w:val="000000"/>
                <w:sz w:val="18"/>
                <w:szCs w:val="18"/>
                <w:lang w:val="en-US" w:eastAsia="zh-CN"/>
              </w:rPr>
              <w:t xml:space="preserve">4、医用环保污物存储柜，形状和位置公差、外观性能（金属件焊接件、金属件喷涂层、塑料件）、结构安全、理化性能要求（硬度、冲击强度、耐腐蚀、附着力）、</w:t>
            </w:r>
            <w:r>
              <w:rPr>
                <w:rFonts w:hint="eastAsia" w:ascii="宋体" w:hAnsi="宋体" w:eastAsia="宋体" w:cs="宋体"/>
                <w:color w:val="000000"/>
                <w:sz w:val="18"/>
                <w:szCs w:val="18"/>
                <w:lang w:val="en-US" w:eastAsia="zh-CN"/>
              </w:rPr>
              <w:t xml:space="preserve">板</w:t>
            </w:r>
            <w:r>
              <w:rPr>
                <w:rFonts w:hint="eastAsia" w:ascii="宋体" w:hAnsi="宋体" w:eastAsia="宋体" w:cs="宋体"/>
                <w:bCs/>
                <w:color w:val="000000"/>
                <w:sz w:val="18"/>
                <w:szCs w:val="18"/>
                <w:lang w:val="en-US" w:eastAsia="zh-CN"/>
              </w:rPr>
              <w:t xml:space="preserve">材的正面外观缺陷、放射性核素限量A类、弯曲强度、乙型溶血性链球菌的抗菌性达到99%，</w:t>
            </w:r>
            <w:r>
              <w:rPr>
                <w:rFonts w:hint="eastAsia" w:ascii="宋体" w:hAnsi="宋体" w:eastAsia="宋体" w:cs="宋体"/>
                <w:color w:val="000000"/>
                <w:sz w:val="18"/>
                <w:szCs w:val="18"/>
                <w:lang w:val="en-US" w:eastAsia="zh-CN" w:bidi="ar-SA"/>
              </w:rPr>
              <w:t xml:space="preserve">全部符合得3分，不符合不得分，最高3分。</w:t>
            </w:r>
            <w:r>
              <w:rPr>
                <w:rFonts w:ascii="宋体" w:hAnsi="宋体" w:eastAsia="宋体" w:cs="宋体"/>
                <w:color w:val="000000"/>
                <w:sz w:val="18"/>
                <w:szCs w:val="18"/>
              </w:rPr>
            </w:r>
            <w:r/>
          </w:p>
        </w:tc>
        <w:tc>
          <w:tcPr>
            <w:tcW w:w="816" w:type="dxa"/>
            <w:vAlign w:val="center"/>
            <w:textDirection w:val="lrTb"/>
            <w:noWrap w:val="false"/>
          </w:tcPr>
          <w:p>
            <w:pPr>
              <w:pStyle w:val="923"/>
              <w:jc w:val="center"/>
              <w:rPr>
                <w:rFonts w:ascii="宋体" w:hAnsi="宋体" w:eastAsia="宋体" w:cs="宋体"/>
                <w:color w:val="000000"/>
                <w:sz w:val="18"/>
                <w:szCs w:val="18"/>
                <w:lang w:val="en-US" w:eastAsia="zh-CN"/>
              </w:rPr>
              <w:framePr w:vAnchor="text" w:hAnchor="page" w:x="1582" w:y="407"/>
            </w:pPr>
            <w:r>
              <w:rPr>
                <w:rFonts w:hint="eastAsia" w:ascii="宋体" w:hAnsi="宋体" w:eastAsia="宋体" w:cs="宋体"/>
                <w:color w:val="000000"/>
                <w:sz w:val="18"/>
                <w:szCs w:val="18"/>
                <w:lang w:val="en-US" w:eastAsia="zh-CN"/>
              </w:rPr>
              <w:t xml:space="preserve">12</w:t>
            </w:r>
            <w:r>
              <w:rPr>
                <w:rFonts w:ascii="宋体" w:hAnsi="宋体" w:eastAsia="宋体" w:cs="宋体"/>
                <w:color w:val="000000"/>
                <w:sz w:val="18"/>
                <w:szCs w:val="18"/>
                <w:lang w:val="en-US" w:eastAsia="zh-CN"/>
              </w:rPr>
            </w:r>
            <w:r/>
          </w:p>
        </w:tc>
      </w:tr>
      <w:tr>
        <w:trPr>
          <w:trHeight w:val="574"/>
        </w:trPr>
        <w:tc>
          <w:tcPr>
            <w:tcW w:w="711"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二</w:t>
            </w:r>
            <w:r>
              <w:rPr>
                <w:rFonts w:ascii="宋体" w:hAnsi="宋体" w:eastAsia="宋体" w:cs="宋体"/>
                <w:b/>
                <w:bCs/>
                <w:color w:val="000000"/>
                <w:sz w:val="18"/>
                <w:szCs w:val="18"/>
              </w:rPr>
            </w:r>
            <w:r/>
          </w:p>
        </w:tc>
        <w:tc>
          <w:tcPr>
            <w:tcW w:w="1559"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企业给定评分</w:t>
            </w:r>
            <w:r>
              <w:rPr>
                <w:rFonts w:ascii="宋体" w:hAnsi="宋体" w:eastAsia="宋体" w:cs="宋体"/>
                <w:b/>
                <w:bCs/>
                <w:color w:val="000000"/>
                <w:sz w:val="18"/>
                <w:szCs w:val="18"/>
              </w:rPr>
            </w:r>
            <w:r/>
          </w:p>
        </w:tc>
        <w:tc>
          <w:tcPr>
            <w:tcW w:w="6031" w:type="dxa"/>
            <w:vAlign w:val="center"/>
            <w:textDirection w:val="lrTb"/>
            <w:noWrap w:val="false"/>
          </w:tcPr>
          <w:p>
            <w:pPr>
              <w:pStyle w:val="923"/>
              <w:spacing w:before="120"/>
              <w:rPr>
                <w:rFonts w:ascii="宋体" w:hAnsi="宋体" w:eastAsia="宋体" w:cs="宋体"/>
                <w:b/>
                <w:bCs/>
                <w:color w:val="000000"/>
                <w:sz w:val="18"/>
                <w:szCs w:val="18"/>
              </w:rPr>
              <w:framePr w:vAnchor="text" w:hAnchor="page" w:x="1582" w:y="407"/>
            </w:pPr>
            <w:r>
              <w:rPr>
                <w:rFonts w:ascii="宋体" w:hAnsi="宋体" w:eastAsia="宋体" w:cs="宋体"/>
                <w:b/>
                <w:bCs/>
                <w:color w:val="000000"/>
                <w:sz w:val="18"/>
                <w:szCs w:val="18"/>
              </w:rPr>
            </w:r>
            <w:r/>
          </w:p>
        </w:tc>
        <w:tc>
          <w:tcPr>
            <w:tcW w:w="816" w:type="dxa"/>
            <w:vAlign w:val="center"/>
            <w:textDirection w:val="lrTb"/>
            <w:noWrap w:val="false"/>
          </w:tcPr>
          <w:p>
            <w:pPr>
              <w:pStyle w:val="923"/>
              <w:jc w:val="center"/>
              <w:rPr>
                <w:rFonts w:ascii="宋体" w:hAnsi="宋体" w:eastAsia="宋体" w:cs="宋体"/>
                <w:b/>
                <w:bCs/>
                <w:color w:val="000000"/>
                <w:sz w:val="18"/>
                <w:szCs w:val="18"/>
                <w:lang w:val="en-US" w:eastAsia="zh-CN"/>
              </w:rPr>
              <w:framePr w:vAnchor="text" w:hAnchor="page" w:x="1582" w:y="407"/>
            </w:pPr>
            <w:r>
              <w:rPr>
                <w:rFonts w:hint="eastAsia" w:ascii="宋体" w:hAnsi="宋体" w:eastAsia="宋体" w:cs="宋体"/>
                <w:b/>
                <w:bCs/>
                <w:color w:val="000000"/>
                <w:sz w:val="18"/>
                <w:szCs w:val="18"/>
                <w:lang w:val="en-US" w:eastAsia="zh-CN"/>
              </w:rPr>
              <w:t xml:space="preserve">7</w:t>
            </w:r>
            <w:r>
              <w:rPr>
                <w:rFonts w:ascii="宋体" w:hAnsi="宋体" w:eastAsia="宋体" w:cs="宋体"/>
                <w:b/>
                <w:bCs/>
                <w:color w:val="000000"/>
                <w:sz w:val="18"/>
                <w:szCs w:val="18"/>
                <w:lang w:val="en-US" w:eastAsia="zh-CN"/>
              </w:rPr>
            </w:r>
            <w:r/>
          </w:p>
        </w:tc>
      </w:tr>
      <w:tr>
        <w:trPr>
          <w:trHeight w:val="413"/>
        </w:trPr>
        <w:tc>
          <w:tcPr>
            <w:tcW w:w="711" w:type="dxa"/>
            <w:vAlign w:val="center"/>
            <w:textDirection w:val="lrTb"/>
            <w:noWrap w:val="false"/>
          </w:tcPr>
          <w:p>
            <w:pPr>
              <w:pStyle w:val="923"/>
              <w:jc w:val="center"/>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1</w:t>
            </w:r>
            <w:r>
              <w:rPr>
                <w:rFonts w:ascii="宋体" w:hAnsi="宋体" w:eastAsia="宋体" w:cs="宋体"/>
                <w:color w:val="000000"/>
                <w:sz w:val="18"/>
                <w:szCs w:val="18"/>
              </w:rPr>
            </w:r>
            <w:r/>
          </w:p>
        </w:tc>
        <w:tc>
          <w:tcPr>
            <w:tcW w:w="1559" w:type="dxa"/>
            <w:vAlign w:val="center"/>
            <w:textDirection w:val="lrTb"/>
            <w:noWrap w:val="false"/>
          </w:tcPr>
          <w:p>
            <w:pPr>
              <w:pStyle w:val="1036"/>
              <w:jc w:val="center"/>
              <w:spacing w:before="2"/>
              <w:rPr>
                <w:rFonts w:ascii="宋体" w:hAnsi="宋体" w:eastAsia="宋体" w:cs="宋体"/>
                <w:color w:val="000000"/>
                <w:sz w:val="18"/>
                <w:szCs w:val="18"/>
                <w:lang w:val="zh-CN"/>
              </w:rPr>
              <w:framePr w:vAnchor="text" w:hAnchor="page" w:x="1582" w:y="407"/>
            </w:pPr>
            <w:r>
              <w:rPr>
                <w:rFonts w:hint="eastAsia" w:ascii="宋体" w:hAnsi="宋体" w:eastAsia="宋体" w:cs="宋体"/>
                <w:color w:val="000000"/>
                <w:sz w:val="18"/>
                <w:szCs w:val="18"/>
              </w:rPr>
              <w:t xml:space="preserve">供应商证书</w:t>
            </w:r>
            <w:r>
              <w:rPr>
                <w:rFonts w:ascii="宋体" w:hAnsi="宋体" w:eastAsia="宋体" w:cs="宋体"/>
                <w:color w:val="000000"/>
                <w:sz w:val="18"/>
                <w:szCs w:val="18"/>
                <w:lang w:val="zh-CN"/>
              </w:rPr>
            </w:r>
            <w:r/>
          </w:p>
        </w:tc>
        <w:tc>
          <w:tcPr>
            <w:tcW w:w="6031" w:type="dxa"/>
            <w:vAlign w:val="center"/>
            <w:textDirection w:val="lrTb"/>
            <w:noWrap w:val="false"/>
          </w:tcPr>
          <w:p>
            <w:pPr>
              <w:pStyle w:val="1036"/>
              <w:spacing w:before="2"/>
              <w:rPr>
                <w:rFonts w:hint="eastAsia" w:ascii="宋体" w:hAnsi="宋体" w:eastAsia="宋体" w:cs="宋体"/>
                <w:bCs/>
                <w:color w:val="000000"/>
                <w:sz w:val="18"/>
                <w:szCs w:val="18"/>
                <w:lang w:eastAsia="zh-CN"/>
              </w:rPr>
              <w:framePr w:vAnchor="text" w:hAnchor="page" w:x="1582" w:y="407"/>
            </w:pPr>
            <w:r>
              <w:rPr>
                <w:rFonts w:hint="eastAsia" w:ascii="宋体" w:hAnsi="宋体" w:eastAsia="宋体" w:cs="宋体"/>
                <w:bCs/>
                <w:color w:val="000000"/>
                <w:sz w:val="18"/>
                <w:szCs w:val="18"/>
              </w:rPr>
              <w:t xml:space="preserve">1</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投标单位或所投产品生产厂家具有有效期内的</w:t>
            </w:r>
            <w:r>
              <w:rPr>
                <w:rFonts w:hint="eastAsia" w:ascii="宋体" w:hAnsi="宋体" w:eastAsia="宋体" w:cs="宋体"/>
                <w:bCs/>
                <w:color w:val="000000"/>
                <w:sz w:val="18"/>
                <w:szCs w:val="18"/>
                <w:lang w:val="en-US" w:eastAsia="zh-CN"/>
              </w:rPr>
              <w:t xml:space="preserve">①</w:t>
            </w:r>
            <w:r>
              <w:rPr>
                <w:rFonts w:hint="eastAsia" w:ascii="宋体" w:hAnsi="宋体" w:eastAsia="宋体" w:cs="宋体"/>
                <w:bCs/>
                <w:color w:val="000000"/>
                <w:sz w:val="18"/>
                <w:szCs w:val="18"/>
              </w:rPr>
              <w:t xml:space="preserve">质量管理体系认证证书、</w:t>
            </w:r>
            <w:r>
              <w:rPr>
                <w:rFonts w:hint="eastAsia" w:ascii="宋体" w:hAnsi="宋体" w:eastAsia="宋体" w:cs="宋体"/>
                <w:bCs/>
                <w:color w:val="000000"/>
                <w:sz w:val="18"/>
                <w:szCs w:val="18"/>
                <w:lang w:val="en-US" w:eastAsia="zh-CN"/>
              </w:rPr>
              <w:t xml:space="preserve">②</w:t>
            </w:r>
            <w:r>
              <w:rPr>
                <w:rFonts w:hint="eastAsia" w:ascii="宋体" w:hAnsi="宋体" w:eastAsia="宋体" w:cs="宋体"/>
                <w:bCs/>
                <w:color w:val="000000"/>
                <w:sz w:val="18"/>
                <w:szCs w:val="18"/>
              </w:rPr>
              <w:t xml:space="preserve">环境管理体系认证证书，</w:t>
            </w:r>
            <w:r>
              <w:rPr>
                <w:rFonts w:hint="eastAsia" w:ascii="宋体" w:hAnsi="宋体" w:eastAsia="宋体" w:cs="宋体"/>
                <w:bCs/>
                <w:color w:val="000000"/>
                <w:sz w:val="18"/>
                <w:szCs w:val="18"/>
                <w:lang w:val="en-US" w:eastAsia="zh-CN"/>
              </w:rPr>
              <w:t xml:space="preserve">每项</w:t>
            </w:r>
            <w:r>
              <w:rPr>
                <w:rFonts w:hint="eastAsia" w:ascii="宋体" w:hAnsi="宋体" w:eastAsia="宋体" w:cs="宋体"/>
                <w:bCs/>
                <w:color w:val="000000"/>
                <w:sz w:val="18"/>
                <w:szCs w:val="18"/>
              </w:rPr>
              <w:t xml:space="preserve">得</w:t>
            </w:r>
            <w:r>
              <w:rPr>
                <w:rFonts w:hint="eastAsia" w:ascii="宋体" w:hAnsi="宋体" w:eastAsia="宋体" w:cs="宋体"/>
                <w:bCs/>
                <w:color w:val="000000"/>
                <w:sz w:val="18"/>
                <w:szCs w:val="18"/>
                <w:lang w:val="en-US" w:eastAsia="zh-CN"/>
              </w:rPr>
              <w:t xml:space="preserve">1</w:t>
            </w:r>
            <w:r>
              <w:rPr>
                <w:rFonts w:hint="eastAsia" w:ascii="宋体" w:hAnsi="宋体" w:eastAsia="宋体" w:cs="宋体"/>
                <w:bCs/>
                <w:color w:val="000000"/>
                <w:sz w:val="18"/>
                <w:szCs w:val="18"/>
              </w:rPr>
              <w:t xml:space="preserve">分，没有不得分，最高</w:t>
            </w:r>
            <w:r>
              <w:rPr>
                <w:rFonts w:hint="eastAsia" w:ascii="宋体" w:hAnsi="宋体" w:eastAsia="宋体" w:cs="宋体"/>
                <w:bCs/>
                <w:color w:val="000000"/>
                <w:sz w:val="18"/>
                <w:szCs w:val="18"/>
                <w:lang w:val="en-US" w:eastAsia="zh-CN"/>
              </w:rPr>
              <w:t xml:space="preserve">2</w:t>
            </w:r>
            <w:r>
              <w:rPr>
                <w:rFonts w:hint="eastAsia" w:ascii="宋体" w:hAnsi="宋体" w:eastAsia="宋体" w:cs="宋体"/>
                <w:bCs/>
                <w:color w:val="000000"/>
                <w:sz w:val="18"/>
                <w:szCs w:val="18"/>
              </w:rPr>
              <w:t xml:space="preserve">分。</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投标文件中须提供有效期内证书复印件，并加盖投标单位公章，否则不得分</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eastAsia="zh-CN"/>
              </w:rPr>
            </w:r>
            <w:r/>
          </w:p>
          <w:p>
            <w:pPr>
              <w:pStyle w:val="1036"/>
              <w:spacing w:before="2"/>
              <w:rPr>
                <w:rFonts w:ascii="宋体" w:hAnsi="宋体" w:eastAsia="宋体" w:cs="宋体"/>
                <w:color w:val="000000"/>
                <w:sz w:val="18"/>
                <w:szCs w:val="18"/>
              </w:rPr>
              <w:framePr w:vAnchor="text" w:hAnchor="page" w:x="1582" w:y="407"/>
            </w:pPr>
            <w:r>
              <w:rPr>
                <w:rFonts w:ascii="宋体" w:hAnsi="宋体" w:eastAsia="宋体" w:cs="宋体"/>
                <w:bCs/>
                <w:color w:val="000000"/>
                <w:sz w:val="18"/>
                <w:szCs w:val="18"/>
              </w:rPr>
              <w:t xml:space="preserve">2</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投标单位或所投产品生产厂家具有有效期内的中国环境标志产品认证证书（认证范围至少包含：</w:t>
            </w:r>
            <w:r>
              <w:rPr>
                <w:rFonts w:hint="eastAsia" w:ascii="宋体" w:hAnsi="宋体" w:eastAsia="宋体" w:cs="宋体"/>
                <w:bCs/>
                <w:color w:val="000000"/>
                <w:sz w:val="18"/>
                <w:szCs w:val="18"/>
                <w:lang w:val="en-US" w:eastAsia="zh-CN"/>
              </w:rPr>
              <w:t xml:space="preserve">金属家具</w:t>
            </w:r>
            <w:r>
              <w:rPr>
                <w:rFonts w:hint="eastAsia" w:ascii="宋体" w:hAnsi="宋体" w:eastAsia="宋体" w:cs="宋体"/>
                <w:bCs/>
                <w:color w:val="000000"/>
                <w:sz w:val="18"/>
                <w:szCs w:val="18"/>
              </w:rPr>
              <w:t xml:space="preserve">），或有效期内的中国环保产品认证证书（认证范围至少包含</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val="en-US" w:eastAsia="zh-CN"/>
              </w:rPr>
              <w:t xml:space="preserve">金属家具</w:t>
            </w:r>
            <w:r>
              <w:rPr>
                <w:rFonts w:hint="eastAsia" w:ascii="宋体" w:hAnsi="宋体" w:eastAsia="宋体" w:cs="宋体"/>
                <w:bCs/>
                <w:color w:val="000000"/>
                <w:sz w:val="18"/>
                <w:szCs w:val="18"/>
              </w:rPr>
              <w:t xml:space="preserve">），有得</w:t>
            </w:r>
            <w:r>
              <w:rPr>
                <w:rFonts w:hint="eastAsia" w:ascii="宋体" w:hAnsi="宋体" w:eastAsia="宋体" w:cs="宋体"/>
                <w:bCs/>
                <w:color w:val="000000"/>
                <w:sz w:val="18"/>
                <w:szCs w:val="18"/>
                <w:lang w:val="en-US" w:eastAsia="zh-CN"/>
              </w:rPr>
              <w:t xml:space="preserve">1</w:t>
            </w:r>
            <w:r>
              <w:rPr>
                <w:rFonts w:hint="eastAsia" w:ascii="宋体" w:hAnsi="宋体" w:eastAsia="宋体" w:cs="宋体"/>
                <w:bCs/>
                <w:color w:val="000000"/>
                <w:sz w:val="18"/>
                <w:szCs w:val="18"/>
              </w:rPr>
              <w:t xml:space="preserve">分，没有不得分，最高</w:t>
            </w:r>
            <w:r>
              <w:rPr>
                <w:rFonts w:hint="eastAsia" w:ascii="宋体" w:hAnsi="宋体" w:eastAsia="宋体" w:cs="宋体"/>
                <w:bCs/>
                <w:color w:val="000000"/>
                <w:sz w:val="18"/>
                <w:szCs w:val="18"/>
                <w:lang w:val="en-US" w:eastAsia="zh-CN"/>
              </w:rPr>
              <w:t xml:space="preserve">1</w:t>
            </w:r>
            <w:r>
              <w:rPr>
                <w:rFonts w:hint="eastAsia" w:ascii="宋体" w:hAnsi="宋体" w:eastAsia="宋体" w:cs="宋体"/>
                <w:bCs/>
                <w:color w:val="000000"/>
                <w:sz w:val="18"/>
                <w:szCs w:val="18"/>
              </w:rPr>
              <w:t xml:space="preserve">分。</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投标文件中须提供有效期内证书复印件，并加盖投标单位公章，否则不得分</w:t>
            </w:r>
            <w:r>
              <w:rPr>
                <w:rFonts w:hint="eastAsia" w:ascii="宋体" w:hAnsi="宋体" w:eastAsia="宋体" w:cs="宋体"/>
                <w:bCs/>
                <w:color w:val="000000"/>
                <w:sz w:val="18"/>
                <w:szCs w:val="18"/>
                <w:lang w:eastAsia="zh-CN"/>
              </w:rPr>
              <w:t xml:space="preserve">）</w:t>
            </w:r>
            <w:r>
              <w:rPr>
                <w:rFonts w:ascii="宋体" w:hAnsi="宋体" w:eastAsia="宋体" w:cs="宋体"/>
                <w:color w:val="000000"/>
                <w:sz w:val="18"/>
                <w:szCs w:val="18"/>
              </w:rPr>
            </w:r>
            <w:r/>
          </w:p>
        </w:tc>
        <w:tc>
          <w:tcPr>
            <w:tcW w:w="816" w:type="dxa"/>
            <w:vAlign w:val="center"/>
            <w:textDirection w:val="lrTb"/>
            <w:noWrap w:val="false"/>
          </w:tcPr>
          <w:p>
            <w:pPr>
              <w:pStyle w:val="923"/>
              <w:jc w:val="center"/>
              <w:rPr>
                <w:rFonts w:ascii="宋体" w:hAnsi="宋体" w:eastAsia="宋体" w:cs="宋体"/>
                <w:color w:val="000000"/>
                <w:sz w:val="18"/>
                <w:szCs w:val="18"/>
                <w:lang w:val="en-US" w:eastAsia="zh-CN"/>
              </w:rPr>
              <w:framePr w:vAnchor="text" w:hAnchor="page" w:x="1582" w:y="407"/>
            </w:pPr>
            <w:r>
              <w:rPr>
                <w:rFonts w:hint="eastAsia" w:ascii="宋体" w:hAnsi="宋体" w:eastAsia="宋体" w:cs="宋体"/>
                <w:color w:val="000000"/>
                <w:sz w:val="18"/>
                <w:szCs w:val="18"/>
                <w:lang w:val="en-US" w:eastAsia="zh-CN"/>
              </w:rPr>
              <w:t xml:space="preserve">3</w:t>
            </w:r>
            <w:r>
              <w:rPr>
                <w:rFonts w:ascii="宋体" w:hAnsi="宋体" w:eastAsia="宋体" w:cs="宋体"/>
                <w:color w:val="000000"/>
                <w:sz w:val="18"/>
                <w:szCs w:val="18"/>
                <w:lang w:val="en-US" w:eastAsia="zh-CN"/>
              </w:rPr>
            </w:r>
            <w:r/>
          </w:p>
        </w:tc>
      </w:tr>
      <w:tr>
        <w:trPr>
          <w:trHeight w:val="656"/>
        </w:trPr>
        <w:tc>
          <w:tcPr>
            <w:tcW w:w="711" w:type="dxa"/>
            <w:vAlign w:val="center"/>
            <w:textDirection w:val="lrTb"/>
            <w:noWrap w:val="false"/>
          </w:tcPr>
          <w:p>
            <w:pPr>
              <w:pStyle w:val="923"/>
              <w:jc w:val="center"/>
              <w:spacing w:line="360" w:lineRule="exact"/>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2</w:t>
            </w:r>
            <w:r>
              <w:rPr>
                <w:rFonts w:ascii="宋体" w:hAnsi="宋体" w:eastAsia="宋体" w:cs="宋体"/>
                <w:color w:val="000000"/>
                <w:sz w:val="18"/>
                <w:szCs w:val="18"/>
              </w:rPr>
            </w:r>
            <w:r/>
          </w:p>
        </w:tc>
        <w:tc>
          <w:tcPr>
            <w:tcW w:w="1559" w:type="dxa"/>
            <w:vAlign w:val="center"/>
            <w:textDirection w:val="lrTb"/>
            <w:noWrap w:val="false"/>
          </w:tcPr>
          <w:p>
            <w:pPr>
              <w:pStyle w:val="1036"/>
              <w:spacing w:before="2"/>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企业类似业绩</w:t>
            </w:r>
            <w:r>
              <w:rPr>
                <w:rFonts w:ascii="宋体" w:hAnsi="宋体" w:eastAsia="宋体" w:cs="宋体"/>
                <w:color w:val="000000"/>
                <w:sz w:val="18"/>
                <w:szCs w:val="18"/>
              </w:rPr>
            </w:r>
            <w:r/>
          </w:p>
        </w:tc>
        <w:tc>
          <w:tcPr>
            <w:tcW w:w="6031" w:type="dxa"/>
            <w:vAlign w:val="center"/>
            <w:textDirection w:val="lrTb"/>
            <w:noWrap w:val="false"/>
          </w:tcPr>
          <w:p>
            <w:pPr>
              <w:pStyle w:val="1036"/>
              <w:spacing w:before="2"/>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投标单位提供202</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年</w:t>
            </w: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月以来的类似项目业绩（以合同签订日期为准），有</w:t>
            </w:r>
            <w:r>
              <w:rPr>
                <w:rFonts w:hint="eastAsia" w:ascii="宋体" w:hAnsi="宋体" w:eastAsia="宋体" w:cs="宋体"/>
                <w:color w:val="000000"/>
                <w:sz w:val="18"/>
                <w:szCs w:val="18"/>
                <w:lang w:val="en-US" w:eastAsia="zh-CN"/>
              </w:rPr>
              <w:t xml:space="preserve">1个</w:t>
            </w:r>
            <w:r>
              <w:rPr>
                <w:rFonts w:hint="eastAsia" w:ascii="宋体" w:hAnsi="宋体" w:eastAsia="宋体" w:cs="宋体"/>
                <w:color w:val="000000"/>
                <w:sz w:val="18"/>
                <w:szCs w:val="18"/>
              </w:rPr>
              <w:t xml:space="preserve">得</w:t>
            </w: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rPr>
              <w:t xml:space="preserve">分，没有不得分，最高</w:t>
            </w: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分（投标文件中提供清晰的合同及对应合同服务期间任意一期发票的复印件并加盖投标人公章，否则不得分）</w:t>
            </w:r>
            <w:r>
              <w:rPr>
                <w:rFonts w:ascii="宋体" w:hAnsi="宋体" w:eastAsia="宋体" w:cs="宋体"/>
                <w:color w:val="000000"/>
                <w:sz w:val="18"/>
                <w:szCs w:val="18"/>
              </w:rPr>
            </w:r>
            <w:r/>
          </w:p>
        </w:tc>
        <w:tc>
          <w:tcPr>
            <w:tcW w:w="816" w:type="dxa"/>
            <w:vAlign w:val="center"/>
            <w:textDirection w:val="lrTb"/>
            <w:noWrap w:val="false"/>
          </w:tcPr>
          <w:p>
            <w:pPr>
              <w:pStyle w:val="923"/>
              <w:jc w:val="center"/>
              <w:rPr>
                <w:rFonts w:ascii="宋体" w:hAnsi="宋体" w:eastAsia="宋体" w:cs="宋体"/>
                <w:color w:val="000000"/>
                <w:sz w:val="18"/>
                <w:szCs w:val="18"/>
                <w:lang w:val="en-US" w:eastAsia="zh-CN"/>
              </w:rPr>
              <w:framePr w:vAnchor="text" w:hAnchor="page" w:x="1582" w:y="407"/>
            </w:pPr>
            <w:r>
              <w:rPr>
                <w:rFonts w:hint="eastAsia" w:ascii="宋体" w:hAnsi="宋体" w:eastAsia="宋体" w:cs="宋体"/>
                <w:color w:val="000000"/>
                <w:sz w:val="18"/>
                <w:szCs w:val="18"/>
                <w:lang w:val="en-US" w:eastAsia="zh-CN"/>
              </w:rPr>
              <w:t xml:space="preserve">4</w:t>
            </w:r>
            <w:r>
              <w:rPr>
                <w:rFonts w:ascii="宋体" w:hAnsi="宋体" w:eastAsia="宋体" w:cs="宋体"/>
                <w:color w:val="000000"/>
                <w:sz w:val="18"/>
                <w:szCs w:val="18"/>
                <w:lang w:val="en-US" w:eastAsia="zh-CN"/>
              </w:rPr>
            </w:r>
            <w:r/>
          </w:p>
        </w:tc>
      </w:tr>
      <w:tr>
        <w:trPr>
          <w:trHeight w:val="90"/>
        </w:trPr>
        <w:tc>
          <w:tcPr>
            <w:tcW w:w="711"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三</w:t>
            </w:r>
            <w:r>
              <w:rPr>
                <w:rFonts w:ascii="宋体" w:hAnsi="宋体" w:eastAsia="宋体" w:cs="宋体"/>
                <w:b/>
                <w:bCs/>
                <w:color w:val="000000"/>
                <w:sz w:val="18"/>
                <w:szCs w:val="18"/>
              </w:rPr>
            </w:r>
            <w:r/>
          </w:p>
        </w:tc>
        <w:tc>
          <w:tcPr>
            <w:tcW w:w="1559" w:type="dxa"/>
            <w:vAlign w:val="center"/>
            <w:textDirection w:val="lrTb"/>
            <w:noWrap w:val="false"/>
          </w:tcPr>
          <w:p>
            <w:pPr>
              <w:pStyle w:val="923"/>
              <w:jc w:val="center"/>
              <w:rPr>
                <w:rFonts w:ascii="宋体" w:hAnsi="宋体" w:eastAsia="宋体" w:cs="宋体"/>
                <w:b/>
                <w:bCs/>
                <w:color w:val="000000"/>
                <w:sz w:val="18"/>
                <w:szCs w:val="18"/>
              </w:rPr>
              <w:framePr w:vAnchor="text" w:hAnchor="page" w:x="1582" w:y="407"/>
            </w:pPr>
            <w:r>
              <w:rPr>
                <w:rFonts w:hint="eastAsia" w:ascii="宋体" w:hAnsi="宋体" w:eastAsia="宋体" w:cs="宋体"/>
                <w:b/>
                <w:bCs/>
                <w:color w:val="000000"/>
                <w:sz w:val="18"/>
                <w:szCs w:val="18"/>
              </w:rPr>
              <w:t xml:space="preserve">产品深化方案设计比较</w:t>
            </w:r>
            <w:r>
              <w:rPr>
                <w:rFonts w:ascii="宋体" w:hAnsi="宋体" w:eastAsia="宋体" w:cs="宋体"/>
                <w:b/>
                <w:bCs/>
                <w:color w:val="000000"/>
                <w:sz w:val="18"/>
                <w:szCs w:val="18"/>
              </w:rPr>
            </w:r>
            <w:r/>
          </w:p>
        </w:tc>
        <w:tc>
          <w:tcPr>
            <w:tcW w:w="6031" w:type="dxa"/>
            <w:vAlign w:val="center"/>
            <w:textDirection w:val="lrTb"/>
            <w:noWrap w:val="false"/>
          </w:tcPr>
          <w:p>
            <w:pPr>
              <w:pStyle w:val="1036"/>
              <w:spacing w:before="2"/>
              <w:rPr>
                <w:rFonts w:ascii="宋体" w:hAnsi="宋体" w:eastAsia="宋体" w:cs="宋体"/>
                <w:b/>
                <w:bCs/>
                <w:color w:val="000000"/>
                <w:sz w:val="18"/>
                <w:szCs w:val="18"/>
              </w:rPr>
              <w:framePr w:vAnchor="text" w:hAnchor="page" w:x="1582" w:y="407"/>
            </w:pPr>
            <w:r>
              <w:rPr>
                <w:rFonts w:ascii="宋体" w:hAnsi="宋体" w:eastAsia="宋体" w:cs="宋体"/>
                <w:b/>
                <w:bCs/>
                <w:color w:val="000000"/>
                <w:sz w:val="18"/>
                <w:szCs w:val="18"/>
              </w:rPr>
            </w:r>
            <w:r/>
          </w:p>
        </w:tc>
        <w:tc>
          <w:tcPr>
            <w:tcW w:w="816" w:type="dxa"/>
            <w:vAlign w:val="center"/>
            <w:textDirection w:val="lrTb"/>
            <w:noWrap w:val="false"/>
          </w:tcPr>
          <w:p>
            <w:pPr>
              <w:pStyle w:val="923"/>
              <w:jc w:val="center"/>
              <w:rPr>
                <w:rFonts w:ascii="宋体" w:hAnsi="宋体" w:eastAsia="宋体" w:cs="宋体"/>
                <w:b/>
                <w:bCs/>
                <w:color w:val="000000"/>
                <w:sz w:val="18"/>
                <w:szCs w:val="18"/>
                <w:lang w:val="en-US" w:eastAsia="zh-CN"/>
              </w:rPr>
              <w:framePr w:vAnchor="text" w:hAnchor="page" w:x="1582" w:y="407"/>
            </w:pPr>
            <w:r>
              <w:rPr>
                <w:rFonts w:hint="eastAsia" w:ascii="宋体" w:hAnsi="宋体" w:eastAsia="宋体" w:cs="宋体"/>
                <w:b/>
                <w:bCs/>
                <w:color w:val="000000"/>
                <w:sz w:val="18"/>
                <w:szCs w:val="18"/>
                <w:lang w:val="en-US" w:eastAsia="zh-CN"/>
              </w:rPr>
              <w:t xml:space="preserve">18</w:t>
            </w:r>
            <w:r>
              <w:rPr>
                <w:rFonts w:ascii="宋体" w:hAnsi="宋体" w:eastAsia="宋体" w:cs="宋体"/>
                <w:b/>
                <w:bCs/>
                <w:color w:val="000000"/>
                <w:sz w:val="18"/>
                <w:szCs w:val="18"/>
                <w:lang w:val="en-US" w:eastAsia="zh-CN"/>
              </w:rPr>
            </w:r>
            <w:r/>
          </w:p>
        </w:tc>
      </w:tr>
      <w:tr>
        <w:trPr>
          <w:trHeight w:val="363"/>
        </w:trPr>
        <w:tc>
          <w:tcPr>
            <w:tcW w:w="711" w:type="dxa"/>
            <w:vAlign w:val="center"/>
            <w:textDirection w:val="lrTb"/>
            <w:noWrap w:val="false"/>
          </w:tcPr>
          <w:p>
            <w:pPr>
              <w:pStyle w:val="923"/>
              <w:jc w:val="center"/>
              <w:spacing w:line="360" w:lineRule="exact"/>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1</w:t>
            </w:r>
            <w:r>
              <w:rPr>
                <w:rFonts w:ascii="宋体" w:hAnsi="宋体" w:eastAsia="宋体" w:cs="宋体"/>
                <w:color w:val="000000"/>
                <w:sz w:val="18"/>
                <w:szCs w:val="18"/>
              </w:rPr>
            </w:r>
            <w:r/>
          </w:p>
        </w:tc>
        <w:tc>
          <w:tcPr>
            <w:tcW w:w="1559" w:type="dxa"/>
            <w:vAlign w:val="center"/>
            <w:textDirection w:val="lrTb"/>
            <w:noWrap w:val="false"/>
          </w:tcPr>
          <w:p>
            <w:pPr>
              <w:pStyle w:val="923"/>
              <w:jc w:val="center"/>
              <w:spacing w:line="360" w:lineRule="exact"/>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rPr>
              <w:t xml:space="preserve">产品深化方案设计比较</w:t>
            </w:r>
            <w:r>
              <w:rPr>
                <w:rFonts w:ascii="宋体" w:hAnsi="宋体" w:eastAsia="宋体" w:cs="宋体"/>
                <w:color w:val="000000"/>
                <w:sz w:val="18"/>
                <w:szCs w:val="18"/>
              </w:rPr>
            </w:r>
            <w:r/>
          </w:p>
        </w:tc>
        <w:tc>
          <w:tcPr>
            <w:tcW w:w="6031" w:type="dxa"/>
            <w:vAlign w:val="center"/>
            <w:textDirection w:val="lrTb"/>
            <w:noWrap w:val="false"/>
          </w:tcPr>
          <w:p>
            <w:pPr>
              <w:pStyle w:val="1036"/>
              <w:spacing w:before="2"/>
              <w:rPr>
                <w:rFonts w:hint="eastAsia"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投标单位须提供家具清单中下述产品的工艺结构图和用料清单：</w:t>
            </w:r>
            <w:r>
              <w:rPr>
                <w:rFonts w:hint="eastAsia" w:ascii="宋体" w:hAnsi="宋体" w:eastAsia="宋体" w:cs="宋体"/>
                <w:bCs/>
                <w:color w:val="000000"/>
                <w:sz w:val="18"/>
                <w:szCs w:val="18"/>
              </w:rPr>
            </w:r>
            <w:r/>
          </w:p>
          <w:p>
            <w:pPr>
              <w:pStyle w:val="1036"/>
              <w:numPr>
                <w:ilvl w:val="0"/>
                <w:numId w:val="0"/>
              </w:numPr>
              <w:spacing w:before="2"/>
              <w:rPr>
                <w:rFonts w:hint="eastAsia"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1、</w:t>
            </w:r>
            <w:r>
              <w:rPr>
                <w:rFonts w:hint="eastAsia" w:ascii="宋体" w:hAnsi="宋体" w:eastAsia="宋体" w:cs="宋体"/>
                <w:bCs/>
                <w:color w:val="000000"/>
                <w:sz w:val="18"/>
                <w:szCs w:val="18"/>
                <w:lang w:eastAsia="zh-CN"/>
              </w:rPr>
              <w:t xml:space="preserve">双面药品架</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10</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val="en-US" w:eastAsia="zh-CN"/>
              </w:rPr>
              <w:t xml:space="preserve">2、</w:t>
            </w:r>
            <w:r>
              <w:rPr>
                <w:rFonts w:hint="eastAsia" w:ascii="宋体" w:hAnsi="宋体" w:eastAsia="宋体" w:cs="宋体"/>
                <w:bCs/>
                <w:color w:val="000000"/>
                <w:sz w:val="18"/>
                <w:szCs w:val="18"/>
                <w:lang w:eastAsia="zh-CN"/>
              </w:rPr>
              <w:t xml:space="preserve">输液隔断</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29</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val="en-US" w:eastAsia="zh-CN"/>
              </w:rPr>
              <w:t xml:space="preserve">3</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eastAsia="zh-CN"/>
              </w:rPr>
              <w:t xml:space="preserve">输液椅</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30</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val="en-US" w:eastAsia="zh-CN"/>
              </w:rPr>
              <w:t xml:space="preserve">4</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eastAsia="zh-CN"/>
              </w:rPr>
              <w:t xml:space="preserve">接种桌</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40</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val="en-US" w:eastAsia="zh-CN"/>
              </w:rPr>
              <w:t xml:space="preserve">5</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lang w:eastAsia="zh-CN"/>
              </w:rPr>
              <w:t xml:space="preserve">诊疗桌</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70</w:t>
            </w:r>
            <w:r>
              <w:rPr>
                <w:rFonts w:hint="eastAsia" w:ascii="宋体" w:hAnsi="宋体" w:eastAsia="宋体" w:cs="宋体"/>
                <w:bCs/>
                <w:color w:val="000000"/>
                <w:sz w:val="18"/>
                <w:szCs w:val="18"/>
              </w:rPr>
              <w:t xml:space="preserve">）；6、</w:t>
            </w:r>
            <w:r>
              <w:rPr>
                <w:rFonts w:hint="eastAsia" w:ascii="宋体" w:hAnsi="宋体" w:eastAsia="宋体" w:cs="宋体"/>
                <w:bCs/>
                <w:color w:val="000000"/>
                <w:sz w:val="18"/>
                <w:szCs w:val="18"/>
                <w:lang w:eastAsia="zh-CN"/>
              </w:rPr>
              <w:t xml:space="preserve">检验科-实验台</w:t>
            </w:r>
            <w:r>
              <w:rPr>
                <w:rFonts w:hint="eastAsia" w:ascii="宋体" w:hAnsi="宋体" w:eastAsia="宋体" w:cs="宋体"/>
                <w:bCs/>
                <w:color w:val="000000"/>
                <w:sz w:val="18"/>
                <w:szCs w:val="18"/>
              </w:rPr>
              <w:t xml:space="preserve">（序号</w:t>
            </w:r>
            <w:r>
              <w:rPr>
                <w:rFonts w:hint="eastAsia" w:ascii="宋体" w:hAnsi="宋体" w:eastAsia="宋体" w:cs="宋体"/>
                <w:bCs/>
                <w:color w:val="000000"/>
                <w:sz w:val="18"/>
                <w:szCs w:val="18"/>
                <w:lang w:val="en-US" w:eastAsia="zh-CN"/>
              </w:rPr>
              <w:t xml:space="preserve">154</w:t>
            </w:r>
            <w:r>
              <w:rPr>
                <w:rFonts w:hint="eastAsia" w:ascii="宋体" w:hAnsi="宋体" w:eastAsia="宋体" w:cs="宋体"/>
                <w:bCs/>
                <w:color w:val="000000"/>
                <w:sz w:val="18"/>
                <w:szCs w:val="18"/>
              </w:rPr>
              <w:t xml:space="preserve">）总计6套</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包含①三视图（主视图、俯视图、左视图）</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lang w:val="en-US" w:eastAsia="zh-CN"/>
              </w:rPr>
              <w:t xml:space="preserve">②</w:t>
            </w:r>
            <w:r>
              <w:rPr>
                <w:rFonts w:hint="eastAsia" w:ascii="宋体" w:hAnsi="宋体" w:eastAsia="宋体" w:cs="宋体"/>
                <w:bCs/>
                <w:color w:val="000000"/>
                <w:sz w:val="18"/>
                <w:szCs w:val="18"/>
                <w:lang w:eastAsia="zh-CN"/>
              </w:rPr>
              <w:t xml:space="preserve">部件结构图</w:t>
            </w:r>
            <w:r>
              <w:rPr>
                <w:rFonts w:hint="eastAsia" w:ascii="宋体" w:hAnsi="宋体" w:eastAsia="宋体" w:cs="宋体"/>
                <w:bCs/>
                <w:color w:val="000000"/>
                <w:sz w:val="18"/>
                <w:szCs w:val="18"/>
                <w:lang w:val="en-US" w:eastAsia="zh-CN"/>
              </w:rPr>
              <w:t xml:space="preserve">及工艺技术要求、③</w:t>
            </w:r>
            <w:r>
              <w:rPr>
                <w:rFonts w:hint="eastAsia" w:ascii="宋体" w:hAnsi="宋体" w:eastAsia="宋体" w:cs="宋体"/>
                <w:bCs/>
                <w:color w:val="000000"/>
                <w:sz w:val="18"/>
                <w:szCs w:val="18"/>
                <w:lang w:eastAsia="zh-CN"/>
              </w:rPr>
              <w:t xml:space="preserve">用料清单</w:t>
            </w:r>
            <w:r>
              <w:rPr>
                <w:rFonts w:hint="eastAsia" w:ascii="宋体" w:hAnsi="宋体" w:eastAsia="宋体" w:cs="宋体"/>
                <w:bCs/>
                <w:color w:val="000000"/>
                <w:sz w:val="18"/>
                <w:szCs w:val="18"/>
              </w:rPr>
              <w:t xml:space="preserve">。</w:t>
            </w:r>
            <w:r>
              <w:rPr>
                <w:rFonts w:hint="eastAsia" w:ascii="宋体" w:hAnsi="宋体" w:eastAsia="宋体" w:cs="宋体"/>
                <w:bCs/>
                <w:color w:val="000000"/>
                <w:sz w:val="18"/>
                <w:szCs w:val="18"/>
              </w:rPr>
            </w:r>
            <w:r/>
          </w:p>
          <w:p>
            <w:pPr>
              <w:pStyle w:val="1036"/>
              <w:numPr>
                <w:ilvl w:val="0"/>
                <w:numId w:val="0"/>
              </w:numPr>
              <w:spacing w:before="2"/>
              <w:rPr>
                <w:rFonts w:hint="eastAsia"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lang w:val="en-US" w:eastAsia="zh-CN"/>
              </w:rPr>
              <w:t xml:space="preserve">每套图纸清晰</w:t>
            </w:r>
            <w:r>
              <w:rPr>
                <w:rFonts w:hint="eastAsia" w:ascii="宋体" w:hAnsi="宋体" w:eastAsia="宋体" w:cs="宋体"/>
                <w:bCs/>
                <w:color w:val="000000"/>
                <w:sz w:val="18"/>
                <w:szCs w:val="18"/>
              </w:rPr>
              <w:t xml:space="preserve">完整、</w:t>
            </w:r>
            <w:r>
              <w:rPr>
                <w:rFonts w:hint="eastAsia" w:ascii="宋体" w:hAnsi="宋体" w:eastAsia="宋体" w:cs="宋体"/>
                <w:bCs/>
                <w:color w:val="000000"/>
                <w:sz w:val="18"/>
                <w:szCs w:val="18"/>
                <w:lang w:eastAsia="zh-CN"/>
              </w:rPr>
              <w:t xml:space="preserve">完全</w:t>
            </w:r>
            <w:r>
              <w:rPr>
                <w:rFonts w:hint="eastAsia" w:ascii="宋体" w:hAnsi="宋体" w:eastAsia="宋体" w:cs="宋体"/>
                <w:bCs/>
                <w:color w:val="000000"/>
                <w:sz w:val="18"/>
                <w:szCs w:val="18"/>
                <w:lang w:val="en-US" w:eastAsia="zh-CN"/>
              </w:rPr>
              <w:t xml:space="preserve">满足</w:t>
            </w:r>
            <w:r>
              <w:rPr>
                <w:rFonts w:hint="eastAsia" w:ascii="宋体" w:hAnsi="宋体" w:eastAsia="宋体" w:cs="宋体"/>
                <w:bCs/>
                <w:color w:val="000000"/>
                <w:sz w:val="18"/>
                <w:szCs w:val="18"/>
              </w:rPr>
              <w:t xml:space="preserve">实际</w:t>
            </w:r>
            <w:r>
              <w:rPr>
                <w:rFonts w:hint="eastAsia" w:ascii="宋体" w:hAnsi="宋体" w:eastAsia="宋体" w:cs="宋体"/>
                <w:bCs/>
                <w:color w:val="000000"/>
                <w:sz w:val="18"/>
                <w:szCs w:val="18"/>
                <w:lang w:eastAsia="zh-CN"/>
              </w:rPr>
              <w:t xml:space="preserve">采购</w:t>
            </w:r>
            <w:r>
              <w:rPr>
                <w:rFonts w:hint="eastAsia" w:ascii="宋体" w:hAnsi="宋体" w:eastAsia="宋体" w:cs="宋体"/>
                <w:bCs/>
                <w:color w:val="000000"/>
                <w:sz w:val="18"/>
                <w:szCs w:val="18"/>
              </w:rPr>
              <w:t xml:space="preserve">需求</w:t>
            </w:r>
            <w:r>
              <w:rPr>
                <w:rFonts w:hint="eastAsia" w:ascii="宋体" w:hAnsi="宋体" w:eastAsia="宋体" w:cs="宋体"/>
                <w:bCs/>
                <w:color w:val="000000"/>
                <w:sz w:val="18"/>
                <w:szCs w:val="18"/>
                <w:lang w:val="en-US" w:eastAsia="zh-CN"/>
              </w:rPr>
              <w:t xml:space="preserve">样式结构及材料</w:t>
            </w:r>
            <w:r>
              <w:rPr>
                <w:rFonts w:hint="eastAsia" w:ascii="宋体" w:hAnsi="宋体" w:eastAsia="宋体" w:cs="宋体"/>
                <w:bCs/>
                <w:color w:val="000000"/>
                <w:sz w:val="18"/>
                <w:szCs w:val="18"/>
              </w:rPr>
              <w:t xml:space="preserve">的每套</w:t>
            </w:r>
            <w:r>
              <w:rPr>
                <w:rFonts w:hint="eastAsia" w:ascii="宋体" w:hAnsi="宋体" w:eastAsia="宋体" w:cs="宋体"/>
                <w:bCs/>
                <w:color w:val="000000"/>
                <w:sz w:val="18"/>
                <w:szCs w:val="18"/>
                <w:lang w:eastAsia="zh-CN"/>
              </w:rPr>
              <w:t xml:space="preserve">得</w:t>
            </w:r>
            <w:r>
              <w:rPr>
                <w:rFonts w:hint="eastAsia" w:ascii="宋体" w:hAnsi="宋体" w:eastAsia="宋体" w:cs="宋体"/>
                <w:bCs/>
                <w:color w:val="000000"/>
                <w:sz w:val="18"/>
                <w:szCs w:val="18"/>
                <w:lang w:val="en-US" w:eastAsia="zh-CN"/>
              </w:rPr>
              <w:t xml:space="preserve">3</w:t>
            </w:r>
            <w:r>
              <w:rPr>
                <w:rFonts w:hint="eastAsia" w:ascii="宋体" w:hAnsi="宋体" w:eastAsia="宋体" w:cs="宋体"/>
                <w:bCs/>
                <w:color w:val="000000"/>
                <w:sz w:val="18"/>
                <w:szCs w:val="18"/>
              </w:rPr>
              <w:t xml:space="preserve">分，有一处内容不合理或错误的得</w:t>
            </w:r>
            <w:r>
              <w:rPr>
                <w:rFonts w:hint="eastAsia" w:ascii="宋体" w:hAnsi="宋体" w:eastAsia="宋体" w:cs="宋体"/>
                <w:bCs/>
                <w:color w:val="000000"/>
                <w:sz w:val="18"/>
                <w:szCs w:val="18"/>
                <w:lang w:val="en-US" w:eastAsia="zh-CN"/>
              </w:rPr>
              <w:t xml:space="preserve">2</w:t>
            </w:r>
            <w:r>
              <w:rPr>
                <w:rFonts w:hint="eastAsia" w:ascii="宋体" w:hAnsi="宋体" w:eastAsia="宋体" w:cs="宋体"/>
                <w:bCs/>
                <w:color w:val="000000"/>
                <w:sz w:val="18"/>
                <w:szCs w:val="18"/>
              </w:rPr>
              <w:t xml:space="preserve">分，未提供或出现二处及以上内容不合理或错误的此项不得分。每种产品最高得</w:t>
            </w:r>
            <w:r>
              <w:rPr>
                <w:rFonts w:hint="eastAsia" w:ascii="宋体" w:hAnsi="宋体" w:eastAsia="宋体" w:cs="宋体"/>
                <w:bCs/>
                <w:color w:val="000000"/>
                <w:sz w:val="18"/>
                <w:szCs w:val="18"/>
                <w:lang w:val="en-US" w:eastAsia="zh-CN"/>
              </w:rPr>
              <w:t xml:space="preserve">3</w:t>
            </w:r>
            <w:r>
              <w:rPr>
                <w:rFonts w:hint="eastAsia" w:ascii="宋体" w:hAnsi="宋体" w:eastAsia="宋体" w:cs="宋体"/>
                <w:bCs/>
                <w:color w:val="000000"/>
                <w:sz w:val="18"/>
                <w:szCs w:val="18"/>
              </w:rPr>
              <w:t xml:space="preserve">分，最高</w:t>
            </w:r>
            <w:r>
              <w:rPr>
                <w:rFonts w:hint="eastAsia" w:ascii="宋体" w:hAnsi="宋体" w:eastAsia="宋体" w:cs="宋体"/>
                <w:bCs/>
                <w:color w:val="000000"/>
                <w:sz w:val="18"/>
                <w:szCs w:val="18"/>
                <w:lang w:val="en-US" w:eastAsia="zh-CN"/>
              </w:rPr>
              <w:t xml:space="preserve">分18</w:t>
            </w:r>
            <w:r>
              <w:rPr>
                <w:rFonts w:hint="eastAsia" w:ascii="宋体" w:hAnsi="宋体" w:eastAsia="宋体" w:cs="宋体"/>
                <w:bCs/>
                <w:color w:val="000000"/>
                <w:sz w:val="18"/>
                <w:szCs w:val="18"/>
              </w:rPr>
              <w:t xml:space="preserve">分。</w:t>
            </w:r>
            <w:r>
              <w:rPr>
                <w:rFonts w:hint="eastAsia" w:ascii="宋体" w:hAnsi="宋体" w:eastAsia="宋体" w:cs="宋体"/>
                <w:bCs/>
                <w:color w:val="000000"/>
                <w:sz w:val="18"/>
                <w:szCs w:val="18"/>
              </w:rPr>
            </w:r>
            <w:r/>
          </w:p>
          <w:p>
            <w:pPr>
              <w:pStyle w:val="1036"/>
              <w:numPr>
                <w:ilvl w:val="0"/>
                <w:numId w:val="0"/>
              </w:numPr>
              <w:spacing w:before="2"/>
              <w:rPr>
                <w:rFonts w:hint="eastAsia"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注：以上内容“不合理”、“错误”是指：存在不适用产品设计实际情况、套用其他无关内容、内容不完整、与本项目履约无关、逻辑存在漏洞以及不满足采购文件要求的其他情况。</w:t>
            </w:r>
            <w:r>
              <w:rPr>
                <w:rFonts w:hint="eastAsia" w:ascii="宋体" w:hAnsi="宋体" w:eastAsia="宋体" w:cs="宋体"/>
                <w:bCs/>
                <w:color w:val="000000"/>
                <w:sz w:val="18"/>
                <w:szCs w:val="18"/>
              </w:rPr>
            </w:r>
            <w:r/>
          </w:p>
        </w:tc>
        <w:tc>
          <w:tcPr>
            <w:tcW w:w="816" w:type="dxa"/>
            <w:vAlign w:val="center"/>
            <w:textDirection w:val="lrTb"/>
            <w:noWrap w:val="false"/>
          </w:tcPr>
          <w:p>
            <w:pPr>
              <w:pStyle w:val="923"/>
              <w:jc w:val="center"/>
              <w:rPr>
                <w:rFonts w:ascii="宋体" w:hAnsi="宋体" w:eastAsia="宋体" w:cs="宋体"/>
                <w:color w:val="000000"/>
                <w:sz w:val="18"/>
                <w:szCs w:val="18"/>
                <w:lang w:val="en-US" w:eastAsia="zh-CN"/>
              </w:rPr>
              <w:framePr w:vAnchor="text" w:hAnchor="page" w:x="1582" w:y="407"/>
            </w:pPr>
            <w:r>
              <w:rPr>
                <w:rFonts w:hint="eastAsia" w:ascii="宋体" w:hAnsi="宋体" w:eastAsia="宋体" w:cs="宋体"/>
                <w:color w:val="000000"/>
                <w:sz w:val="18"/>
                <w:szCs w:val="18"/>
                <w:lang w:val="en-US" w:eastAsia="zh-CN"/>
              </w:rPr>
              <w:t xml:space="preserve">18</w:t>
            </w:r>
            <w:r>
              <w:rPr>
                <w:rFonts w:ascii="宋体" w:hAnsi="宋体" w:eastAsia="宋体" w:cs="宋体"/>
                <w:color w:val="000000"/>
                <w:sz w:val="18"/>
                <w:szCs w:val="18"/>
                <w:lang w:val="en-US" w:eastAsia="zh-CN"/>
              </w:rPr>
            </w:r>
            <w:r/>
          </w:p>
        </w:tc>
      </w:tr>
      <w:tr>
        <w:trPr>
          <w:trHeight w:val="579"/>
        </w:trPr>
        <w:tc>
          <w:tcPr>
            <w:tcW w:w="711" w:type="dxa"/>
            <w:vAlign w:val="center"/>
            <w:textDirection w:val="lrTb"/>
            <w:noWrap w:val="false"/>
          </w:tcPr>
          <w:p>
            <w:pPr>
              <w:pStyle w:val="923"/>
              <w:jc w:val="center"/>
              <w:spacing w:line="360" w:lineRule="exact"/>
              <w:rPr>
                <w:rFonts w:ascii="宋体" w:hAnsi="宋体" w:eastAsia="宋体" w:cs="宋体"/>
                <w:color w:val="000000"/>
                <w:sz w:val="18"/>
                <w:szCs w:val="18"/>
              </w:rPr>
              <w:framePr w:vAnchor="text" w:hAnchor="page" w:x="1582" w:y="407"/>
            </w:pPr>
            <w:r>
              <w:rPr>
                <w:rFonts w:hint="eastAsia" w:ascii="宋体" w:hAnsi="宋体" w:eastAsia="宋体" w:cs="宋体"/>
                <w:b/>
                <w:bCs/>
                <w:color w:val="000000"/>
                <w:sz w:val="18"/>
                <w:szCs w:val="18"/>
              </w:rPr>
              <w:t xml:space="preserve">四</w:t>
            </w:r>
            <w:r>
              <w:rPr>
                <w:rFonts w:ascii="宋体" w:hAnsi="宋体" w:eastAsia="宋体" w:cs="宋体"/>
                <w:color w:val="000000"/>
                <w:sz w:val="18"/>
                <w:szCs w:val="18"/>
              </w:rPr>
            </w:r>
            <w:r/>
          </w:p>
        </w:tc>
        <w:tc>
          <w:tcPr>
            <w:tcW w:w="1559" w:type="dxa"/>
            <w:vAlign w:val="center"/>
            <w:textDirection w:val="lrTb"/>
            <w:noWrap w:val="false"/>
          </w:tcPr>
          <w:p>
            <w:pPr>
              <w:pStyle w:val="923"/>
              <w:jc w:val="center"/>
              <w:spacing w:line="360" w:lineRule="exact"/>
              <w:rPr>
                <w:rFonts w:ascii="宋体" w:hAnsi="宋体" w:eastAsia="宋体" w:cs="宋体"/>
                <w:color w:val="000000"/>
                <w:sz w:val="18"/>
                <w:szCs w:val="18"/>
              </w:rPr>
              <w:framePr w:vAnchor="text" w:hAnchor="page" w:x="1582" w:y="407"/>
            </w:pPr>
            <w:r>
              <w:rPr>
                <w:rFonts w:hint="eastAsia" w:ascii="宋体" w:hAnsi="宋体" w:eastAsia="宋体" w:cs="宋体"/>
                <w:b/>
                <w:color w:val="000000"/>
                <w:sz w:val="18"/>
                <w:szCs w:val="18"/>
              </w:rPr>
              <w:t xml:space="preserve">生产、供货及售后服务</w:t>
            </w:r>
            <w:r>
              <w:rPr>
                <w:rFonts w:ascii="宋体" w:hAnsi="宋体" w:eastAsia="宋体" w:cs="宋体"/>
                <w:color w:val="000000"/>
                <w:sz w:val="18"/>
                <w:szCs w:val="18"/>
              </w:rPr>
            </w:r>
            <w:r/>
          </w:p>
        </w:tc>
        <w:tc>
          <w:tcPr>
            <w:tcW w:w="6031" w:type="dxa"/>
            <w:vAlign w:val="center"/>
            <w:textDirection w:val="lrTb"/>
            <w:noWrap w:val="false"/>
          </w:tcPr>
          <w:p>
            <w:pPr>
              <w:pStyle w:val="923"/>
              <w:rPr>
                <w:rFonts w:ascii="宋体" w:hAnsi="宋体" w:eastAsia="宋体" w:cs="宋体"/>
                <w:b/>
                <w:bCs/>
                <w:color w:val="000000"/>
                <w:sz w:val="18"/>
                <w:szCs w:val="18"/>
              </w:rPr>
              <w:framePr w:vAnchor="text" w:hAnchor="page" w:x="1582" w:y="407"/>
            </w:pPr>
            <w:r>
              <w:rPr>
                <w:rFonts w:ascii="宋体" w:hAnsi="宋体" w:eastAsia="宋体" w:cs="宋体"/>
                <w:b/>
                <w:bCs/>
                <w:color w:val="000000"/>
                <w:sz w:val="18"/>
                <w:szCs w:val="18"/>
              </w:rPr>
            </w:r>
            <w:r/>
          </w:p>
        </w:tc>
        <w:tc>
          <w:tcPr>
            <w:tcW w:w="816" w:type="dxa"/>
            <w:vAlign w:val="center"/>
            <w:textDirection w:val="lrTb"/>
            <w:noWrap w:val="false"/>
          </w:tcPr>
          <w:p>
            <w:pPr>
              <w:pStyle w:val="923"/>
              <w:jc w:val="center"/>
              <w:rPr>
                <w:rFonts w:ascii="宋体" w:hAnsi="宋体" w:eastAsia="宋体" w:cs="宋体"/>
                <w:b/>
                <w:bCs/>
                <w:color w:val="000000"/>
                <w:sz w:val="18"/>
                <w:szCs w:val="18"/>
                <w:lang w:val="en-US" w:eastAsia="zh-CN"/>
              </w:rPr>
              <w:framePr w:vAnchor="text" w:hAnchor="page" w:x="1582" w:y="407"/>
            </w:pPr>
            <w:r>
              <w:rPr>
                <w:rFonts w:hint="eastAsia" w:ascii="宋体" w:hAnsi="宋体" w:eastAsia="宋体" w:cs="宋体"/>
                <w:b/>
                <w:bCs/>
                <w:color w:val="000000"/>
                <w:sz w:val="18"/>
                <w:szCs w:val="18"/>
                <w:lang w:val="en-US" w:eastAsia="zh-CN"/>
              </w:rPr>
              <w:t xml:space="preserve">15</w:t>
            </w:r>
            <w:r>
              <w:rPr>
                <w:rFonts w:ascii="宋体" w:hAnsi="宋体" w:eastAsia="宋体" w:cs="宋体"/>
                <w:b/>
                <w:bCs/>
                <w:color w:val="000000"/>
                <w:sz w:val="18"/>
                <w:szCs w:val="18"/>
                <w:lang w:val="en-US" w:eastAsia="zh-CN"/>
              </w:rPr>
            </w:r>
            <w:r/>
          </w:p>
        </w:tc>
      </w:tr>
      <w:tr>
        <w:trPr>
          <w:trHeight w:val="881"/>
        </w:trPr>
        <w:tc>
          <w:tcPr>
            <w:tcW w:w="711" w:type="dxa"/>
            <w:vAlign w:val="center"/>
            <w:textDirection w:val="lrTb"/>
            <w:noWrap w:val="false"/>
          </w:tcPr>
          <w:p>
            <w:pPr>
              <w:pStyle w:val="923"/>
              <w:jc w:val="center"/>
              <w:spacing w:line="320" w:lineRule="exact"/>
              <w:rPr>
                <w:rFonts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1</w:t>
            </w:r>
            <w:r>
              <w:rPr>
                <w:rFonts w:ascii="宋体" w:hAnsi="宋体" w:eastAsia="宋体" w:cs="宋体"/>
                <w:bCs/>
                <w:color w:val="000000"/>
                <w:sz w:val="18"/>
                <w:szCs w:val="18"/>
              </w:rPr>
            </w:r>
            <w:r/>
          </w:p>
        </w:tc>
        <w:tc>
          <w:tcPr>
            <w:tcW w:w="1559" w:type="dxa"/>
            <w:vAlign w:val="center"/>
            <w:textDirection w:val="lrTb"/>
            <w:noWrap w:val="false"/>
          </w:tcPr>
          <w:p>
            <w:pPr>
              <w:pStyle w:val="923"/>
              <w:jc w:val="center"/>
              <w:spacing w:line="320" w:lineRule="exact"/>
              <w:rPr>
                <w:rFonts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项目整体实施方案</w:t>
            </w:r>
            <w:r>
              <w:rPr>
                <w:rFonts w:ascii="宋体" w:hAnsi="宋体" w:eastAsia="宋体" w:cs="宋体"/>
                <w:bCs/>
                <w:color w:val="000000"/>
                <w:sz w:val="18"/>
                <w:szCs w:val="18"/>
              </w:rPr>
            </w:r>
            <w:r/>
          </w:p>
        </w:tc>
        <w:tc>
          <w:tcPr>
            <w:tcW w:w="6031" w:type="dxa"/>
            <w:vAlign w:val="center"/>
            <w:textDirection w:val="lrTb"/>
            <w:noWrap w:val="false"/>
          </w:tcPr>
          <w:p>
            <w:pPr>
              <w:pStyle w:val="1035"/>
              <w:numPr>
                <w:ilvl w:val="0"/>
                <w:numId w:val="0"/>
              </w:numPr>
              <w:ind w:firstLine="0"/>
              <w:spacing w:before="2"/>
              <w:rPr>
                <w:rFonts w:ascii="宋体" w:hAnsi="宋体" w:eastAsia="宋体" w:cs="宋体"/>
                <w:color w:val="000000"/>
                <w:sz w:val="18"/>
                <w:szCs w:val="18"/>
              </w:rPr>
              <w:framePr w:vAnchor="text" w:hAnchor="page" w:x="1582" w:y="407"/>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t xml:space="preserve">投标单位提供本项目的实施进度安排</w:t>
            </w:r>
            <w:r>
              <w:rPr>
                <w:rFonts w:hint="eastAsia" w:ascii="宋体" w:hAnsi="宋体" w:eastAsia="宋体" w:cs="宋体"/>
                <w:color w:val="000000"/>
                <w:sz w:val="18"/>
                <w:szCs w:val="18"/>
                <w:lang w:val="en-US" w:eastAsia="zh-CN"/>
              </w:rPr>
              <w:t xml:space="preserve">方案，包含</w:t>
            </w:r>
            <w:r>
              <w:rPr>
                <w:rFonts w:hint="eastAsia" w:ascii="宋体" w:hAnsi="宋体" w:eastAsia="宋体" w:cs="宋体"/>
                <w:color w:val="000000"/>
                <w:sz w:val="18"/>
                <w:szCs w:val="18"/>
              </w:rPr>
              <w:t xml:space="preserve">：</w:t>
            </w:r>
            <w:r>
              <w:rPr>
                <w:rFonts w:hint="eastAsia" w:ascii="宋体" w:hAnsi="宋体" w:eastAsia="宋体" w:cs="宋体"/>
                <w:bCs/>
                <w:color w:val="000000"/>
                <w:sz w:val="18"/>
                <w:szCs w:val="18"/>
                <w:lang w:val="zh-CN" w:eastAsia="zh-CN"/>
              </w:rPr>
              <w:t xml:space="preserve">①</w:t>
            </w:r>
            <w:r>
              <w:rPr>
                <w:rFonts w:hint="eastAsia" w:ascii="宋体" w:hAnsi="宋体" w:eastAsia="宋体" w:cs="宋体"/>
                <w:bCs/>
                <w:color w:val="000000"/>
                <w:sz w:val="18"/>
                <w:szCs w:val="18"/>
              </w:rPr>
              <w:t xml:space="preserve">从交货进度计划表</w:t>
            </w:r>
            <w:r>
              <w:rPr>
                <w:rFonts w:hint="eastAsia" w:ascii="宋体" w:hAnsi="宋体" w:eastAsia="宋体" w:cs="宋体"/>
                <w:bCs/>
                <w:color w:val="000000"/>
                <w:sz w:val="18"/>
                <w:szCs w:val="18"/>
                <w:lang w:eastAsia="zh-CN"/>
              </w:rPr>
              <w:t xml:space="preserve">、</w:t>
            </w:r>
            <w:r>
              <w:rPr>
                <w:rFonts w:hint="eastAsia" w:ascii="宋体" w:hAnsi="宋体" w:eastAsia="宋体" w:cs="宋体"/>
                <w:color w:val="000000"/>
                <w:sz w:val="18"/>
                <w:szCs w:val="18"/>
                <w:lang w:val="en-US" w:eastAsia="zh-CN"/>
              </w:rPr>
              <w:t xml:space="preserve">②</w:t>
            </w:r>
            <w:r>
              <w:rPr>
                <w:rFonts w:hint="eastAsia" w:ascii="宋体" w:hAnsi="宋体" w:eastAsia="宋体" w:cs="宋体"/>
                <w:color w:val="000000"/>
                <w:sz w:val="18"/>
                <w:szCs w:val="18"/>
              </w:rPr>
              <w:t xml:space="preserve">货物安装布局及安装说明</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val="en-US" w:eastAsia="zh-CN"/>
              </w:rPr>
              <w:t xml:space="preserve">③</w:t>
            </w:r>
            <w:r>
              <w:rPr>
                <w:rFonts w:hint="eastAsia" w:ascii="宋体" w:hAnsi="宋体" w:eastAsia="宋体" w:cs="宋体"/>
                <w:bCs/>
                <w:color w:val="000000"/>
                <w:sz w:val="18"/>
                <w:szCs w:val="18"/>
              </w:rPr>
              <w:t xml:space="preserve">安装工具设备清单</w:t>
            </w:r>
            <w:r>
              <w:rPr>
                <w:rFonts w:hint="eastAsia" w:ascii="宋体" w:hAnsi="宋体" w:eastAsia="宋体" w:cs="宋体"/>
                <w:bCs/>
                <w:color w:val="000000"/>
                <w:sz w:val="18"/>
                <w:szCs w:val="18"/>
                <w:lang w:eastAsia="zh-CN"/>
              </w:rPr>
              <w:t xml:space="preserve">、</w:t>
            </w:r>
            <w:r>
              <w:rPr>
                <w:rFonts w:hint="eastAsia" w:ascii="宋体" w:hAnsi="宋体" w:eastAsia="宋体" w:cs="宋体"/>
                <w:color w:val="000000"/>
                <w:sz w:val="18"/>
                <w:szCs w:val="18"/>
                <w:lang w:val="en-US" w:eastAsia="zh-CN"/>
              </w:rPr>
              <w:t xml:space="preserve">④</w:t>
            </w:r>
            <w:r>
              <w:rPr>
                <w:rFonts w:hint="eastAsia" w:ascii="宋体" w:hAnsi="宋体" w:eastAsia="宋体" w:cs="宋体"/>
                <w:bCs/>
                <w:color w:val="000000"/>
                <w:sz w:val="18"/>
                <w:szCs w:val="18"/>
              </w:rPr>
              <w:t xml:space="preserve">安全文明施工制度等方面。方案完整、符合本项目实际需求的，每项得</w:t>
            </w:r>
            <w:r>
              <w:rPr>
                <w:rFonts w:hint="eastAsia" w:ascii="宋体" w:hAnsi="宋体" w:eastAsia="宋体" w:cs="宋体"/>
                <w:bCs/>
                <w:color w:val="000000"/>
                <w:sz w:val="18"/>
                <w:szCs w:val="18"/>
                <w:lang w:eastAsia="zh-CN"/>
              </w:rPr>
              <w:t xml:space="preserve">1</w:t>
            </w:r>
            <w:r>
              <w:rPr>
                <w:rFonts w:hint="eastAsia" w:ascii="宋体" w:hAnsi="宋体" w:eastAsia="宋体" w:cs="宋体"/>
                <w:bCs/>
                <w:color w:val="000000"/>
                <w:sz w:val="18"/>
                <w:szCs w:val="18"/>
              </w:rPr>
              <w:t xml:space="preserve">分，投标单位提供方案中每项内容里有一处内容不合理或错误的得</w:t>
            </w:r>
            <w:r>
              <w:rPr>
                <w:rFonts w:hint="eastAsia" w:ascii="宋体" w:hAnsi="宋体" w:eastAsia="宋体" w:cs="宋体"/>
                <w:bCs/>
                <w:color w:val="000000"/>
                <w:sz w:val="18"/>
                <w:szCs w:val="18"/>
                <w:lang w:eastAsia="zh-CN"/>
              </w:rPr>
              <w:t xml:space="preserve">0</w:t>
            </w:r>
            <w:r>
              <w:rPr>
                <w:rFonts w:hint="eastAsia" w:ascii="宋体" w:hAnsi="宋体" w:eastAsia="宋体" w:cs="宋体"/>
                <w:bCs/>
                <w:color w:val="000000"/>
                <w:sz w:val="18"/>
                <w:szCs w:val="18"/>
                <w:lang w:val="en-US" w:eastAsia="zh-CN"/>
              </w:rPr>
              <w:t xml:space="preserve">.5</w:t>
            </w:r>
            <w:r>
              <w:rPr>
                <w:rFonts w:hint="eastAsia" w:ascii="宋体" w:hAnsi="宋体" w:eastAsia="宋体" w:cs="宋体"/>
                <w:bCs/>
                <w:color w:val="000000"/>
                <w:sz w:val="18"/>
                <w:szCs w:val="18"/>
              </w:rPr>
              <w:t xml:space="preserve">分，未提供或出现二处及以上内容不合理或错误的此项不得分。最高分</w:t>
            </w:r>
            <w:r>
              <w:rPr>
                <w:rFonts w:hint="eastAsia" w:ascii="宋体" w:hAnsi="宋体" w:eastAsia="宋体" w:cs="宋体"/>
                <w:bCs/>
                <w:color w:val="000000"/>
                <w:sz w:val="18"/>
                <w:szCs w:val="18"/>
                <w:lang w:eastAsia="zh-CN"/>
              </w:rPr>
              <w:t xml:space="preserve">4</w:t>
            </w:r>
            <w:r>
              <w:rPr>
                <w:rFonts w:hint="eastAsia" w:ascii="宋体" w:hAnsi="宋体" w:eastAsia="宋体" w:cs="宋体"/>
                <w:bCs/>
                <w:color w:val="000000"/>
                <w:sz w:val="18"/>
                <w:szCs w:val="18"/>
              </w:rPr>
              <w:t xml:space="preserve">分。</w:t>
            </w:r>
            <w:r>
              <w:rPr>
                <w:rFonts w:ascii="宋体" w:hAnsi="宋体" w:eastAsia="宋体" w:cs="宋体"/>
                <w:color w:val="000000"/>
                <w:sz w:val="18"/>
                <w:szCs w:val="18"/>
              </w:rPr>
            </w:r>
            <w:r/>
          </w:p>
          <w:p>
            <w:pPr>
              <w:pStyle w:val="1035"/>
              <w:ind w:firstLine="0"/>
              <w:spacing w:before="2"/>
              <w:rPr>
                <w:rFonts w:hint="eastAsia" w:ascii="宋体" w:hAnsi="宋体" w:eastAsia="宋体" w:cs="宋体"/>
                <w:bCs/>
                <w:color w:val="000000"/>
                <w:sz w:val="18"/>
                <w:szCs w:val="18"/>
              </w:rPr>
              <w:framePr w:vAnchor="text" w:hAnchor="page" w:x="1582" w:y="407"/>
            </w:pPr>
            <w:r>
              <w:rPr>
                <w:rFonts w:hint="eastAsia" w:ascii="宋体" w:hAnsi="宋体" w:eastAsia="宋体" w:cs="宋体"/>
                <w:color w:val="000000"/>
                <w:sz w:val="18"/>
                <w:szCs w:val="18"/>
                <w:lang w:val="en-US" w:eastAsia="zh-CN"/>
              </w:rPr>
              <w:t xml:space="preserve">2、</w:t>
            </w:r>
            <w:r>
              <w:rPr>
                <w:rFonts w:hint="eastAsia" w:ascii="宋体" w:hAnsi="宋体" w:eastAsia="宋体" w:cs="宋体"/>
                <w:color w:val="000000"/>
                <w:sz w:val="18"/>
                <w:szCs w:val="18"/>
              </w:rPr>
              <w:t xml:space="preserve">投标单位提供本项目的</w:t>
            </w:r>
            <w:r>
              <w:rPr>
                <w:rFonts w:ascii="宋体" w:hAnsi="宋体" w:eastAsia="宋体" w:cs="宋体"/>
                <w:color w:val="000000"/>
                <w:sz w:val="18"/>
                <w:szCs w:val="18"/>
              </w:rPr>
              <w:t xml:space="preserve">安装调试方案</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val="en-US" w:eastAsia="zh-CN"/>
              </w:rPr>
              <w:t xml:space="preserve">包含</w:t>
            </w:r>
            <w:r>
              <w:rPr>
                <w:rFonts w:ascii="宋体" w:hAnsi="宋体" w:eastAsia="宋体" w:cs="宋体"/>
                <w:color w:val="000000"/>
                <w:sz w:val="18"/>
                <w:szCs w:val="18"/>
              </w:rPr>
              <w:t xml:space="preserve">：</w:t>
            </w:r>
            <w:r>
              <w:rPr>
                <w:rFonts w:hint="eastAsia" w:ascii="宋体" w:hAnsi="宋体" w:eastAsia="宋体" w:cs="宋体"/>
                <w:bCs/>
                <w:color w:val="000000"/>
                <w:sz w:val="18"/>
                <w:szCs w:val="18"/>
                <w:lang w:val="zh-CN" w:eastAsia="zh-CN"/>
              </w:rPr>
              <w:t xml:space="preserve">①</w:t>
            </w:r>
            <w:r>
              <w:rPr>
                <w:rFonts w:hint="eastAsia" w:ascii="宋体" w:hAnsi="宋体" w:eastAsia="宋体" w:cs="宋体"/>
                <w:bCs/>
                <w:color w:val="000000"/>
                <w:sz w:val="18"/>
                <w:szCs w:val="18"/>
              </w:rPr>
              <w:t xml:space="preserve">从人员的安排、</w:t>
            </w:r>
            <w:r>
              <w:rPr>
                <w:rFonts w:hint="eastAsia" w:ascii="宋体" w:hAnsi="宋体" w:eastAsia="宋体" w:cs="宋体"/>
                <w:bCs/>
                <w:color w:val="000000"/>
                <w:sz w:val="18"/>
                <w:szCs w:val="18"/>
                <w:lang w:val="en-US" w:eastAsia="zh-CN"/>
              </w:rPr>
              <w:t xml:space="preserve">②</w:t>
            </w:r>
            <w:r>
              <w:rPr>
                <w:rFonts w:hint="eastAsia" w:ascii="宋体" w:hAnsi="宋体" w:eastAsia="宋体" w:cs="宋体"/>
                <w:bCs/>
                <w:color w:val="000000"/>
                <w:sz w:val="18"/>
                <w:szCs w:val="18"/>
              </w:rPr>
              <w:t xml:space="preserve">车辆的安排、</w:t>
            </w:r>
            <w:r>
              <w:rPr>
                <w:rFonts w:hint="eastAsia" w:ascii="宋体" w:hAnsi="宋体" w:eastAsia="宋体" w:cs="宋体"/>
                <w:color w:val="000000"/>
                <w:sz w:val="18"/>
                <w:szCs w:val="18"/>
                <w:lang w:val="en-US" w:eastAsia="zh-CN"/>
              </w:rPr>
              <w:t xml:space="preserve">③</w:t>
            </w:r>
            <w:r>
              <w:rPr>
                <w:rFonts w:hint="eastAsia" w:ascii="宋体" w:hAnsi="宋体" w:eastAsia="宋体" w:cs="宋体"/>
                <w:bCs/>
                <w:color w:val="000000"/>
                <w:sz w:val="18"/>
                <w:szCs w:val="18"/>
              </w:rPr>
              <w:t xml:space="preserve">突发事件的应急处理</w:t>
            </w:r>
            <w:r>
              <w:rPr>
                <w:rFonts w:hint="eastAsia" w:ascii="宋体" w:hAnsi="宋体" w:eastAsia="宋体" w:cs="宋体"/>
                <w:bCs/>
                <w:color w:val="000000"/>
                <w:sz w:val="18"/>
                <w:szCs w:val="18"/>
                <w:lang w:eastAsia="zh-CN"/>
              </w:rPr>
              <w:t xml:space="preserve">、</w:t>
            </w:r>
            <w:r>
              <w:rPr>
                <w:rFonts w:hint="eastAsia" w:ascii="宋体" w:hAnsi="宋体" w:eastAsia="宋体" w:cs="宋体"/>
                <w:color w:val="000000"/>
                <w:sz w:val="18"/>
                <w:szCs w:val="18"/>
                <w:lang w:val="en-US" w:eastAsia="zh-CN"/>
              </w:rPr>
              <w:t xml:space="preserve">④</w:t>
            </w:r>
            <w:r>
              <w:rPr>
                <w:rFonts w:hint="eastAsia" w:ascii="宋体" w:hAnsi="宋体" w:eastAsia="宋体" w:cs="宋体"/>
                <w:bCs/>
                <w:color w:val="000000"/>
                <w:sz w:val="18"/>
                <w:szCs w:val="18"/>
              </w:rPr>
              <w:t xml:space="preserve">各方沟通协调机制方面</w:t>
            </w:r>
            <w:r>
              <w:rPr>
                <w:rFonts w:hint="eastAsia" w:ascii="宋体" w:hAnsi="宋体" w:eastAsia="宋体" w:cs="宋体"/>
                <w:bCs/>
                <w:color w:val="000000"/>
                <w:sz w:val="18"/>
                <w:szCs w:val="18"/>
                <w:lang w:eastAsia="zh-CN"/>
              </w:rPr>
              <w:t xml:space="preserve">。</w:t>
            </w:r>
            <w:r>
              <w:rPr>
                <w:rFonts w:hint="eastAsia" w:ascii="宋体" w:hAnsi="宋体" w:eastAsia="宋体" w:cs="宋体"/>
                <w:bCs/>
                <w:color w:val="000000"/>
                <w:sz w:val="18"/>
                <w:szCs w:val="18"/>
              </w:rPr>
              <w:t xml:space="preserve">方案完整、符合本项目实际需求的，每项得</w:t>
            </w:r>
            <w:r>
              <w:rPr>
                <w:rFonts w:hint="eastAsia" w:ascii="宋体" w:hAnsi="宋体" w:eastAsia="宋体" w:cs="宋体"/>
                <w:bCs/>
                <w:color w:val="000000"/>
                <w:sz w:val="18"/>
                <w:szCs w:val="18"/>
                <w:lang w:eastAsia="zh-CN"/>
              </w:rPr>
              <w:t xml:space="preserve">1</w:t>
            </w:r>
            <w:r>
              <w:rPr>
                <w:rFonts w:hint="eastAsia" w:ascii="宋体" w:hAnsi="宋体" w:eastAsia="宋体" w:cs="宋体"/>
                <w:bCs/>
                <w:color w:val="000000"/>
                <w:sz w:val="18"/>
                <w:szCs w:val="18"/>
              </w:rPr>
              <w:t xml:space="preserve">分，投标单位提供方案中每项内容里有一处内容不合理或错误的得</w:t>
            </w:r>
            <w:r>
              <w:rPr>
                <w:rFonts w:hint="eastAsia" w:ascii="宋体" w:hAnsi="宋体" w:eastAsia="宋体" w:cs="宋体"/>
                <w:bCs/>
                <w:color w:val="000000"/>
                <w:sz w:val="18"/>
                <w:szCs w:val="18"/>
                <w:lang w:eastAsia="zh-CN"/>
              </w:rPr>
              <w:t xml:space="preserve">0</w:t>
            </w:r>
            <w:r>
              <w:rPr>
                <w:rFonts w:hint="eastAsia" w:ascii="宋体" w:hAnsi="宋体" w:eastAsia="宋体" w:cs="宋体"/>
                <w:bCs/>
                <w:color w:val="000000"/>
                <w:sz w:val="18"/>
                <w:szCs w:val="18"/>
                <w:lang w:val="en-US" w:eastAsia="zh-CN"/>
              </w:rPr>
              <w:t xml:space="preserve">.5</w:t>
            </w:r>
            <w:r>
              <w:rPr>
                <w:rFonts w:hint="eastAsia" w:ascii="宋体" w:hAnsi="宋体" w:eastAsia="宋体" w:cs="宋体"/>
                <w:bCs/>
                <w:color w:val="000000"/>
                <w:sz w:val="18"/>
                <w:szCs w:val="18"/>
              </w:rPr>
              <w:t xml:space="preserve">分，未提供或出现二处及以上内容不合理或错误的此项不得分。最高分</w:t>
            </w:r>
            <w:r>
              <w:rPr>
                <w:rFonts w:hint="eastAsia" w:ascii="宋体" w:hAnsi="宋体" w:eastAsia="宋体" w:cs="宋体"/>
                <w:bCs/>
                <w:color w:val="000000"/>
                <w:sz w:val="18"/>
                <w:szCs w:val="18"/>
                <w:lang w:eastAsia="zh-CN"/>
              </w:rPr>
              <w:t xml:space="preserve">4</w:t>
            </w:r>
            <w:r>
              <w:rPr>
                <w:rFonts w:hint="eastAsia" w:ascii="宋体" w:hAnsi="宋体" w:eastAsia="宋体" w:cs="宋体"/>
                <w:bCs/>
                <w:color w:val="000000"/>
                <w:sz w:val="18"/>
                <w:szCs w:val="18"/>
              </w:rPr>
              <w:t xml:space="preserve">分。</w:t>
            </w:r>
            <w:r>
              <w:rPr>
                <w:rFonts w:hint="eastAsia" w:ascii="宋体" w:hAnsi="宋体" w:eastAsia="宋体" w:cs="宋体"/>
                <w:bCs/>
                <w:color w:val="000000"/>
                <w:sz w:val="18"/>
                <w:szCs w:val="18"/>
              </w:rPr>
            </w:r>
            <w:r/>
          </w:p>
          <w:p>
            <w:pPr>
              <w:pStyle w:val="1035"/>
              <w:ind w:firstLine="0"/>
              <w:spacing w:before="2"/>
              <w:rPr>
                <w:rFonts w:ascii="宋体" w:hAnsi="宋体" w:eastAsia="宋体" w:cs="宋体"/>
                <w:bCs/>
                <w:strike/>
                <w:color w:val="000000"/>
                <w:sz w:val="18"/>
                <w:szCs w:val="18"/>
              </w:rPr>
              <w:framePr w:vAnchor="text" w:hAnchor="page" w:x="1582" w:y="407"/>
            </w:pPr>
            <w:r>
              <w:rPr>
                <w:rFonts w:hint="eastAsia" w:ascii="宋体" w:hAnsi="宋体" w:eastAsia="宋体" w:cs="宋体"/>
                <w:bCs/>
                <w:color w:val="000000"/>
                <w:sz w:val="18"/>
                <w:szCs w:val="18"/>
              </w:rPr>
              <w:t xml:space="preserve">注：以上内容“不合理”、“错误”是指：存在不适用项目实际情况、套用其他无关内容、内容不完整、与本项目履约无关、逻辑存在漏洞以及不满足采购文件要求的其他情况。</w:t>
            </w:r>
            <w:r>
              <w:rPr>
                <w:rFonts w:ascii="宋体" w:hAnsi="宋体" w:eastAsia="宋体" w:cs="宋体"/>
                <w:bCs/>
                <w:strike/>
                <w:color w:val="000000"/>
                <w:sz w:val="18"/>
                <w:szCs w:val="18"/>
              </w:rPr>
            </w:r>
            <w:r/>
          </w:p>
        </w:tc>
        <w:tc>
          <w:tcPr>
            <w:tcW w:w="816" w:type="dxa"/>
            <w:vAlign w:val="center"/>
            <w:textDirection w:val="lrTb"/>
            <w:noWrap w:val="false"/>
          </w:tcPr>
          <w:p>
            <w:pPr>
              <w:pStyle w:val="923"/>
              <w:jc w:val="center"/>
              <w:spacing w:line="320" w:lineRule="exact"/>
              <w:rPr>
                <w:rFonts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lang w:val="en-US" w:eastAsia="zh-CN"/>
              </w:rPr>
              <w:t xml:space="preserve">8</w:t>
            </w:r>
            <w:r>
              <w:rPr>
                <w:rFonts w:ascii="宋体" w:hAnsi="宋体" w:eastAsia="宋体" w:cs="宋体"/>
                <w:bCs/>
                <w:color w:val="000000"/>
                <w:sz w:val="18"/>
                <w:szCs w:val="18"/>
              </w:rPr>
            </w:r>
            <w:r/>
          </w:p>
        </w:tc>
      </w:tr>
      <w:tr>
        <w:trPr>
          <w:trHeight w:val="736"/>
        </w:trPr>
        <w:tc>
          <w:tcPr>
            <w:tcW w:w="711" w:type="dxa"/>
            <w:vAlign w:val="center"/>
            <w:textDirection w:val="lrTb"/>
            <w:noWrap w:val="false"/>
          </w:tcPr>
          <w:p>
            <w:pPr>
              <w:pStyle w:val="923"/>
              <w:jc w:val="center"/>
              <w:spacing w:line="320" w:lineRule="exact"/>
              <w:rPr>
                <w:rFonts w:ascii="宋体" w:hAnsi="宋体" w:eastAsia="宋体" w:cs="宋体"/>
                <w:bCs/>
                <w:color w:val="000000"/>
                <w:sz w:val="18"/>
                <w:szCs w:val="18"/>
              </w:rPr>
              <w:framePr w:vAnchor="text" w:hAnchor="page" w:x="1582" w:y="407"/>
            </w:pPr>
            <w:r>
              <w:rPr>
                <w:rFonts w:hint="eastAsia" w:ascii="宋体" w:hAnsi="宋体" w:eastAsia="宋体" w:cs="宋体"/>
                <w:bCs/>
                <w:color w:val="000000"/>
                <w:sz w:val="18"/>
                <w:szCs w:val="18"/>
              </w:rPr>
              <w:t xml:space="preserve">2</w:t>
            </w:r>
            <w:r>
              <w:rPr>
                <w:rFonts w:ascii="宋体" w:hAnsi="宋体" w:eastAsia="宋体" w:cs="宋体"/>
                <w:bCs/>
                <w:color w:val="000000"/>
                <w:sz w:val="18"/>
                <w:szCs w:val="18"/>
              </w:rPr>
            </w:r>
            <w:r/>
          </w:p>
        </w:tc>
        <w:tc>
          <w:tcPr>
            <w:tcW w:w="1559" w:type="dxa"/>
            <w:vAlign w:val="center"/>
            <w:textDirection w:val="lrTb"/>
            <w:noWrap w:val="false"/>
          </w:tcPr>
          <w:p>
            <w:pPr>
              <w:pStyle w:val="923"/>
              <w:jc w:val="center"/>
              <w:spacing w:line="320" w:lineRule="exact"/>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rPr>
              <w:t xml:space="preserve">售后服务</w:t>
            </w:r>
            <w:r>
              <w:rPr>
                <w:rFonts w:hint="eastAsia" w:ascii="宋体" w:hAnsi="宋体" w:eastAsia="宋体" w:cs="宋体"/>
                <w:bCs/>
                <w:color w:val="000000"/>
                <w:sz w:val="18"/>
                <w:szCs w:val="18"/>
                <w:lang w:val="en-US" w:eastAsia="zh-CN"/>
              </w:rPr>
              <w:t xml:space="preserve">方案</w:t>
            </w:r>
            <w:r>
              <w:rPr>
                <w:rFonts w:hint="eastAsia" w:ascii="宋体" w:hAnsi="宋体" w:eastAsia="宋体" w:cs="宋体"/>
                <w:bCs/>
                <w:color w:val="000000"/>
                <w:sz w:val="18"/>
                <w:szCs w:val="18"/>
                <w:lang w:val="en-US" w:eastAsia="zh-CN"/>
              </w:rPr>
            </w:r>
            <w:r/>
          </w:p>
        </w:tc>
        <w:tc>
          <w:tcPr>
            <w:tcW w:w="6031" w:type="dxa"/>
            <w:vAlign w:val="center"/>
            <w:textDirection w:val="lrTb"/>
            <w:noWrap w:val="false"/>
          </w:tcPr>
          <w:p>
            <w:pPr>
              <w:pStyle w:val="1035"/>
              <w:ind w:firstLine="0"/>
              <w:rPr>
                <w:rFonts w:hint="eastAsia" w:ascii="宋体" w:hAnsi="宋体" w:eastAsia="宋体" w:cs="宋体"/>
                <w:bCs/>
                <w:color w:val="000000"/>
                <w:sz w:val="18"/>
                <w:szCs w:val="18"/>
                <w:highlight w:val="none"/>
                <w:lang w:val="zh-CN" w:eastAsia="zh-CN"/>
              </w:rPr>
              <w:framePr w:vAnchor="text" w:hAnchor="page" w:x="1582" w:y="407"/>
            </w:pPr>
            <w:r>
              <w:rPr>
                <w:rFonts w:hint="eastAsia" w:ascii="宋体" w:hAnsi="宋体" w:eastAsia="宋体" w:cs="宋体"/>
                <w:bCs/>
                <w:color w:val="000000"/>
                <w:sz w:val="18"/>
                <w:szCs w:val="18"/>
                <w:highlight w:val="none"/>
                <w:lang w:val="zh-CN" w:eastAsia="zh-CN"/>
              </w:rPr>
              <w:t xml:space="preserve">投标单位提供本项目的售后方案，包含①售后服务人员名单、②易损件、替换零件清单、③售后服务流程及维修措施。④培训方案。</w:t>
            </w:r>
            <w:r>
              <w:rPr>
                <w:rFonts w:hint="eastAsia" w:ascii="宋体" w:hAnsi="宋体" w:eastAsia="宋体" w:cs="宋体"/>
                <w:bCs/>
                <w:color w:val="000000"/>
                <w:sz w:val="18"/>
                <w:szCs w:val="18"/>
                <w:highlight w:val="none"/>
                <w:lang w:val="zh-CN" w:eastAsia="zh-CN"/>
              </w:rPr>
            </w:r>
            <w:r/>
          </w:p>
          <w:p>
            <w:pPr>
              <w:pStyle w:val="1035"/>
              <w:ind w:firstLine="0"/>
              <w:rPr>
                <w:rFonts w:hint="eastAsia" w:ascii="宋体" w:hAnsi="宋体" w:eastAsia="宋体" w:cs="宋体"/>
                <w:bCs/>
                <w:color w:val="000000"/>
                <w:sz w:val="18"/>
                <w:szCs w:val="18"/>
                <w:highlight w:val="none"/>
                <w:lang w:val="zh-CN" w:eastAsia="zh-CN"/>
              </w:rPr>
              <w:framePr w:vAnchor="text" w:hAnchor="page" w:x="1582" w:y="407"/>
            </w:pPr>
            <w:r>
              <w:rPr>
                <w:rFonts w:hint="eastAsia" w:ascii="宋体" w:hAnsi="宋体" w:eastAsia="宋体" w:cs="宋体"/>
                <w:bCs/>
                <w:color w:val="000000"/>
                <w:sz w:val="18"/>
                <w:szCs w:val="18"/>
                <w:highlight w:val="none"/>
                <w:lang w:val="zh-CN" w:eastAsia="zh-CN"/>
              </w:rPr>
              <w:t xml:space="preserve">方案完整，符合本项目实际需求的，每项得1分，投标单位提供方案中每项内容有一处内容不合理不错误的得0</w:t>
            </w:r>
            <w:r>
              <w:rPr>
                <w:rFonts w:hint="eastAsia" w:ascii="宋体" w:hAnsi="宋体" w:eastAsia="宋体" w:cs="宋体"/>
                <w:bCs/>
                <w:color w:val="000000"/>
                <w:sz w:val="18"/>
                <w:szCs w:val="18"/>
                <w:highlight w:val="none"/>
                <w:lang w:val="en-US" w:eastAsia="zh-CN"/>
              </w:rPr>
              <w:t xml:space="preserve">.</w:t>
            </w:r>
            <w:r>
              <w:rPr>
                <w:rFonts w:hint="eastAsia" w:ascii="宋体" w:hAnsi="宋体" w:eastAsia="宋体" w:cs="宋体"/>
                <w:bCs/>
                <w:color w:val="000000"/>
                <w:sz w:val="18"/>
                <w:szCs w:val="18"/>
                <w:highlight w:val="none"/>
                <w:lang w:val="zh-CN" w:eastAsia="zh-CN"/>
              </w:rPr>
              <w:t xml:space="preserve">5分，未提供或出现二处以上内容不合理或错误的此项不得分，最高分4分。</w:t>
            </w:r>
            <w:r>
              <w:rPr>
                <w:rFonts w:hint="eastAsia" w:ascii="宋体" w:hAnsi="宋体" w:eastAsia="宋体" w:cs="宋体"/>
                <w:bCs/>
                <w:color w:val="000000"/>
                <w:sz w:val="18"/>
                <w:szCs w:val="18"/>
                <w:highlight w:val="none"/>
                <w:lang w:val="zh-CN" w:eastAsia="zh-CN"/>
              </w:rPr>
            </w:r>
            <w:r/>
          </w:p>
          <w:p>
            <w:pPr>
              <w:pStyle w:val="1035"/>
              <w:ind w:firstLine="0"/>
              <w:spacing w:before="2"/>
              <w:rPr>
                <w:rFonts w:ascii="宋体" w:hAnsi="宋体" w:eastAsia="宋体" w:cs="宋体"/>
                <w:color w:val="000000"/>
                <w:sz w:val="18"/>
                <w:szCs w:val="18"/>
              </w:rPr>
              <w:framePr w:vAnchor="text" w:hAnchor="page" w:x="1582" w:y="407"/>
            </w:pPr>
            <w:r>
              <w:rPr>
                <w:rFonts w:hint="eastAsia" w:ascii="宋体" w:hAnsi="宋体" w:eastAsia="宋体" w:cs="宋体"/>
                <w:bCs/>
                <w:color w:val="000000"/>
                <w:sz w:val="18"/>
                <w:szCs w:val="18"/>
                <w:highlight w:val="none"/>
                <w:lang w:val="zh-CN" w:eastAsia="zh-CN"/>
              </w:rPr>
              <w:t xml:space="preserve">注：以上内容“不合理”、“错误”是指：存在不适用交货实施方案实际情况，套用其他无关内容、内容不完整、与本项目履约无关、逻辑存在漏洞以及不满足采购文件要求的其他情况。</w:t>
            </w:r>
            <w:r>
              <w:rPr>
                <w:rFonts w:ascii="宋体" w:hAnsi="宋体" w:eastAsia="宋体" w:cs="宋体"/>
                <w:color w:val="000000"/>
                <w:sz w:val="18"/>
                <w:szCs w:val="18"/>
              </w:rPr>
            </w:r>
            <w:r/>
          </w:p>
        </w:tc>
        <w:tc>
          <w:tcPr>
            <w:tcW w:w="816" w:type="dxa"/>
            <w:vAlign w:val="center"/>
            <w:textDirection w:val="lrTb"/>
            <w:noWrap w:val="false"/>
          </w:tcPr>
          <w:p>
            <w:pPr>
              <w:pStyle w:val="923"/>
              <w:jc w:val="center"/>
              <w:spacing w:line="320" w:lineRule="exact"/>
              <w:rPr>
                <w:rFonts w:hint="eastAsia" w:ascii="宋体" w:hAnsi="宋体" w:eastAsia="宋体" w:cs="宋体"/>
                <w:bCs/>
                <w:color w:val="000000"/>
                <w:sz w:val="18"/>
                <w:szCs w:val="18"/>
                <w:highlight w:val="none"/>
                <w:lang w:eastAsia="zh-CN"/>
              </w:rPr>
              <w:framePr w:vAnchor="text" w:hAnchor="page" w:x="1582" w:y="407"/>
            </w:pPr>
            <w:r>
              <w:rPr>
                <w:rFonts w:hint="eastAsia" w:ascii="宋体" w:hAnsi="宋体" w:eastAsia="宋体" w:cs="宋体"/>
                <w:bCs/>
                <w:color w:val="000000"/>
                <w:sz w:val="18"/>
                <w:szCs w:val="18"/>
                <w:highlight w:val="none"/>
                <w:lang w:val="en-US" w:eastAsia="zh-CN"/>
              </w:rPr>
              <w:t xml:space="preserve">4</w:t>
            </w:r>
            <w:r>
              <w:rPr>
                <w:rFonts w:hint="eastAsia" w:ascii="宋体" w:hAnsi="宋体" w:eastAsia="宋体" w:cs="宋体"/>
                <w:bCs/>
                <w:color w:val="000000"/>
                <w:sz w:val="18"/>
                <w:szCs w:val="18"/>
                <w:highlight w:val="none"/>
                <w:lang w:eastAsia="zh-CN"/>
              </w:rPr>
            </w:r>
            <w:r/>
          </w:p>
        </w:tc>
      </w:tr>
      <w:tr>
        <w:trPr>
          <w:trHeight w:val="736"/>
        </w:trPr>
        <w:tc>
          <w:tcPr>
            <w:tcW w:w="711" w:type="dxa"/>
            <w:vAlign w:val="center"/>
            <w:textDirection w:val="lrTb"/>
            <w:noWrap w:val="false"/>
          </w:tcPr>
          <w:p>
            <w:pPr>
              <w:pStyle w:val="923"/>
              <w:jc w:val="center"/>
              <w:spacing w:line="320" w:lineRule="exact"/>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lang w:val="en-US" w:eastAsia="zh-CN"/>
              </w:rPr>
              <w:t xml:space="preserve">3</w:t>
            </w:r>
            <w:r>
              <w:rPr>
                <w:rFonts w:hint="eastAsia" w:ascii="宋体" w:hAnsi="宋体" w:eastAsia="宋体" w:cs="宋体"/>
                <w:bCs/>
                <w:color w:val="000000"/>
                <w:sz w:val="18"/>
                <w:szCs w:val="18"/>
                <w:lang w:val="en-US" w:eastAsia="zh-CN"/>
              </w:rPr>
            </w:r>
            <w:r/>
          </w:p>
        </w:tc>
        <w:tc>
          <w:tcPr>
            <w:tcW w:w="1559" w:type="dxa"/>
            <w:vAlign w:val="center"/>
            <w:textDirection w:val="lrTb"/>
            <w:noWrap w:val="false"/>
          </w:tcPr>
          <w:p>
            <w:pPr>
              <w:pStyle w:val="923"/>
              <w:jc w:val="center"/>
              <w:spacing w:line="320" w:lineRule="exact"/>
              <w:rPr>
                <w:rFonts w:hint="eastAsia" w:ascii="宋体" w:hAnsi="宋体" w:eastAsia="宋体" w:cs="宋体"/>
                <w:bCs/>
                <w:color w:val="000000"/>
                <w:sz w:val="18"/>
                <w:szCs w:val="18"/>
                <w:lang w:val="en-US" w:eastAsia="zh-CN"/>
              </w:rPr>
              <w:framePr w:vAnchor="text" w:hAnchor="page" w:x="1582" w:y="407"/>
            </w:pPr>
            <w:r>
              <w:rPr>
                <w:rFonts w:hint="eastAsia" w:ascii="宋体" w:hAnsi="宋体" w:eastAsia="宋体" w:cs="宋体"/>
                <w:bCs/>
                <w:color w:val="000000"/>
                <w:sz w:val="18"/>
                <w:szCs w:val="18"/>
              </w:rPr>
              <w:t xml:space="preserve">售后服务</w:t>
            </w:r>
            <w:r>
              <w:rPr>
                <w:rFonts w:hint="eastAsia" w:ascii="宋体" w:hAnsi="宋体" w:eastAsia="宋体" w:cs="宋体"/>
                <w:bCs/>
                <w:color w:val="000000"/>
                <w:sz w:val="18"/>
                <w:szCs w:val="18"/>
                <w:lang w:val="en-US" w:eastAsia="zh-CN"/>
              </w:rPr>
              <w:t xml:space="preserve">时间</w:t>
            </w:r>
            <w:r>
              <w:rPr>
                <w:rFonts w:hint="eastAsia" w:ascii="宋体" w:hAnsi="宋体" w:eastAsia="宋体" w:cs="宋体"/>
                <w:bCs/>
                <w:color w:val="000000"/>
                <w:sz w:val="18"/>
                <w:szCs w:val="18"/>
                <w:lang w:val="en-US" w:eastAsia="zh-CN"/>
              </w:rPr>
            </w:r>
            <w:r/>
          </w:p>
        </w:tc>
        <w:tc>
          <w:tcPr>
            <w:tcW w:w="6031" w:type="dxa"/>
            <w:vAlign w:val="center"/>
            <w:textDirection w:val="lrTb"/>
            <w:noWrap w:val="false"/>
          </w:tcPr>
          <w:p>
            <w:pPr>
              <w:pStyle w:val="1036"/>
              <w:spacing w:before="2"/>
              <w:rPr>
                <w:rFonts w:hint="eastAsia" w:ascii="宋体" w:hAnsi="宋体" w:eastAsia="宋体" w:cs="宋体"/>
                <w:bCs/>
                <w:color w:val="000000"/>
                <w:sz w:val="18"/>
                <w:szCs w:val="18"/>
                <w:lang w:val="zh-CN"/>
              </w:rPr>
              <w:framePr w:vAnchor="text" w:hAnchor="page" w:x="1582" w:y="407"/>
            </w:pPr>
            <w:r>
              <w:rPr>
                <w:rFonts w:hint="eastAsia" w:ascii="宋体" w:hAnsi="宋体" w:eastAsia="宋体" w:cs="宋体"/>
                <w:bCs/>
                <w:color w:val="000000"/>
                <w:sz w:val="18"/>
                <w:szCs w:val="18"/>
                <w:lang w:val="zh-CN"/>
              </w:rPr>
              <w:t xml:space="preserve">供应商须作出售后服务维修时间响应承诺，承诺在16小时内完成采购人维修要求的得</w:t>
            </w:r>
            <w:r>
              <w:rPr>
                <w:rFonts w:hint="eastAsia" w:ascii="宋体" w:hAnsi="宋体" w:eastAsia="宋体" w:cs="宋体"/>
                <w:bCs/>
                <w:color w:val="000000"/>
                <w:sz w:val="18"/>
                <w:szCs w:val="18"/>
                <w:lang w:val="en-US" w:eastAsia="zh-CN"/>
              </w:rPr>
              <w:t xml:space="preserve">3</w:t>
            </w:r>
            <w:r>
              <w:rPr>
                <w:rFonts w:hint="eastAsia" w:ascii="宋体" w:hAnsi="宋体" w:eastAsia="宋体" w:cs="宋体"/>
                <w:bCs/>
                <w:color w:val="000000"/>
                <w:sz w:val="18"/>
                <w:szCs w:val="18"/>
                <w:lang w:val="zh-CN"/>
              </w:rPr>
              <w:t xml:space="preserve">分，承诺在16-20小时（含16小时，不含20小时）</w:t>
            </w:r>
            <w:r>
              <w:rPr>
                <w:rFonts w:hint="eastAsia" w:ascii="宋体" w:hAnsi="宋体" w:eastAsia="宋体" w:cs="宋体"/>
                <w:bCs/>
                <w:color w:val="000000"/>
                <w:sz w:val="18"/>
                <w:szCs w:val="18"/>
              </w:rPr>
              <w:t xml:space="preserve">完成采购人维修要求的得</w:t>
            </w:r>
            <w:r>
              <w:rPr>
                <w:rFonts w:ascii="宋体" w:hAnsi="宋体" w:eastAsia="宋体" w:cs="宋体"/>
                <w:bCs/>
                <w:color w:val="000000"/>
                <w:sz w:val="18"/>
                <w:szCs w:val="18"/>
              </w:rPr>
              <w:t xml:space="preserve">2</w:t>
            </w:r>
            <w:r>
              <w:rPr>
                <w:rFonts w:hint="eastAsia" w:ascii="宋体" w:hAnsi="宋体" w:eastAsia="宋体" w:cs="宋体"/>
                <w:bCs/>
                <w:color w:val="000000"/>
                <w:sz w:val="18"/>
                <w:szCs w:val="18"/>
              </w:rPr>
              <w:t xml:space="preserve">分，承诺在20-23（含20小时，不含23小时）小时完成采购人维修要求的得</w:t>
            </w:r>
            <w:r>
              <w:rPr>
                <w:rFonts w:ascii="宋体" w:hAnsi="宋体" w:eastAsia="宋体" w:cs="宋体"/>
                <w:bCs/>
                <w:color w:val="000000"/>
                <w:sz w:val="18"/>
                <w:szCs w:val="18"/>
              </w:rPr>
              <w:t xml:space="preserve">1</w:t>
            </w:r>
            <w:r>
              <w:rPr>
                <w:rFonts w:hint="eastAsia" w:ascii="宋体" w:hAnsi="宋体" w:eastAsia="宋体" w:cs="宋体"/>
                <w:bCs/>
                <w:color w:val="000000"/>
                <w:sz w:val="18"/>
                <w:szCs w:val="18"/>
              </w:rPr>
              <w:t xml:space="preserve">分，承诺超过23小时完成采购人维修要求的不得分（最高得</w:t>
            </w:r>
            <w:r>
              <w:rPr>
                <w:rFonts w:hint="eastAsia" w:ascii="宋体" w:hAnsi="宋体" w:eastAsia="宋体" w:cs="宋体"/>
                <w:bCs/>
                <w:color w:val="000000"/>
                <w:sz w:val="18"/>
                <w:szCs w:val="18"/>
                <w:lang w:val="en-US" w:eastAsia="zh-CN"/>
              </w:rPr>
              <w:t xml:space="preserve">4</w:t>
            </w:r>
            <w:r>
              <w:rPr>
                <w:rFonts w:hint="eastAsia" w:ascii="宋体" w:hAnsi="宋体" w:eastAsia="宋体" w:cs="宋体"/>
                <w:bCs/>
                <w:color w:val="000000"/>
                <w:sz w:val="18"/>
                <w:szCs w:val="18"/>
              </w:rPr>
              <w:t xml:space="preserve">分）</w:t>
            </w:r>
            <w:r>
              <w:rPr>
                <w:rFonts w:hint="eastAsia" w:ascii="宋体" w:hAnsi="宋体" w:eastAsia="宋体" w:cs="宋体"/>
                <w:bCs/>
                <w:color w:val="000000"/>
                <w:sz w:val="18"/>
                <w:szCs w:val="18"/>
                <w:lang w:val="zh-CN"/>
              </w:rPr>
            </w:r>
            <w:r/>
          </w:p>
        </w:tc>
        <w:tc>
          <w:tcPr>
            <w:tcW w:w="816" w:type="dxa"/>
            <w:vAlign w:val="center"/>
            <w:textDirection w:val="lrTb"/>
            <w:noWrap w:val="false"/>
          </w:tcPr>
          <w:p>
            <w:pPr>
              <w:pStyle w:val="923"/>
              <w:jc w:val="center"/>
              <w:spacing w:line="320" w:lineRule="exact"/>
              <w:rPr>
                <w:rFonts w:ascii="宋体" w:hAnsi="宋体" w:eastAsia="宋体" w:cs="宋体"/>
                <w:bCs/>
                <w:color w:val="000000"/>
                <w:sz w:val="18"/>
                <w:szCs w:val="18"/>
                <w:highlight w:val="none"/>
                <w:lang w:val="en-US" w:eastAsia="zh-CN"/>
              </w:rPr>
              <w:framePr w:vAnchor="text" w:hAnchor="page" w:x="1582" w:y="407"/>
            </w:pPr>
            <w:r>
              <w:rPr>
                <w:rFonts w:hint="eastAsia" w:ascii="宋体" w:hAnsi="宋体" w:eastAsia="宋体" w:cs="宋体"/>
                <w:bCs/>
                <w:color w:val="000000"/>
                <w:sz w:val="18"/>
                <w:szCs w:val="18"/>
                <w:highlight w:val="none"/>
                <w:lang w:val="en-US" w:eastAsia="zh-CN"/>
              </w:rPr>
              <w:t xml:space="preserve">3</w:t>
            </w:r>
            <w:r>
              <w:rPr>
                <w:rFonts w:ascii="宋体" w:hAnsi="宋体" w:eastAsia="宋体" w:cs="宋体"/>
                <w:bCs/>
                <w:color w:val="000000"/>
                <w:sz w:val="18"/>
                <w:szCs w:val="18"/>
                <w:highlight w:val="none"/>
                <w:lang w:val="en-US" w:eastAsia="zh-CN"/>
              </w:rPr>
            </w:r>
            <w:r/>
          </w:p>
        </w:tc>
      </w:tr>
    </w:tbl>
    <w:p>
      <w:pPr>
        <w:pStyle w:val="923"/>
        <w:rPr>
          <w:rFonts w:hint="eastAsia" w:ascii="Times New Roman" w:hAnsi="Times New Roman"/>
          <w:color w:val="000000"/>
          <w:szCs w:val="21"/>
        </w:rPr>
      </w:pPr>
      <w:r>
        <w:rPr>
          <w:rFonts w:hint="eastAsia" w:ascii="Times New Roman" w:hAnsi="Times New Roman"/>
          <w:color w:val="000000"/>
          <w:szCs w:val="21"/>
        </w:rPr>
      </w:r>
      <w:r/>
    </w:p>
    <w:p>
      <w:pPr>
        <w:pStyle w:val="923"/>
        <w:rPr>
          <w:rFonts w:hint="eastAsia" w:ascii="Times New Roman" w:hAnsi="Times New Roman"/>
          <w:color w:val="000000"/>
          <w:szCs w:val="21"/>
        </w:rPr>
      </w:pPr>
      <w:r>
        <w:rPr>
          <w:rFonts w:hint="eastAsia" w:ascii="Times New Roman" w:hAnsi="Times New Roman"/>
          <w:color w:val="000000"/>
          <w:szCs w:val="21"/>
        </w:rPr>
      </w:r>
      <w:r/>
    </w:p>
    <w:p>
      <w:pPr>
        <w:pStyle w:val="923"/>
        <w:rPr>
          <w:rFonts w:hint="eastAsia" w:ascii="Times New Roman" w:hAnsi="Times New Roman"/>
          <w:color w:val="000000"/>
          <w:szCs w:val="21"/>
        </w:rPr>
      </w:pPr>
      <w:r>
        <w:rPr>
          <w:rFonts w:hint="eastAsia" w:ascii="Times New Roman" w:hAnsi="Times New Roman"/>
          <w:color w:val="000000"/>
          <w:szCs w:val="21"/>
        </w:rPr>
      </w:r>
      <w:r/>
    </w:p>
    <w:p>
      <w:pPr>
        <w:pStyle w:val="923"/>
        <w:rPr>
          <w:rFonts w:hint="eastAsia" w:ascii="Times New Roman" w:hAnsi="Times New Roman"/>
          <w:color w:val="000000"/>
          <w:szCs w:val="21"/>
        </w:rPr>
      </w:pPr>
      <w:r>
        <w:rPr>
          <w:rFonts w:hint="eastAsia" w:ascii="Times New Roman" w:hAnsi="Times New Roman"/>
          <w:color w:val="000000"/>
          <w:szCs w:val="21"/>
        </w:rPr>
      </w:r>
      <w:r/>
    </w:p>
    <w:p>
      <w:pPr>
        <w:pStyle w:val="92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35"/>
      <w:r/>
      <w:bookmarkEnd w:id="36"/>
      <w:r/>
      <w:bookmarkEnd w:id="3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23"/>
        <w:jc w:val="center"/>
        <w:rPr>
          <w:rFonts w:hint="eastAsia" w:ascii="宋体" w:hAnsi="宋体"/>
          <w:b/>
          <w:color w:val="000000"/>
          <w:sz w:val="72"/>
          <w:szCs w:val="21"/>
        </w:rPr>
      </w:pPr>
      <w:r/>
      <w:bookmarkStart w:id="38" w:name="_Hlt26671244"/>
      <w:r/>
      <w:bookmarkEnd w:id="38"/>
      <w:r/>
      <w:bookmarkStart w:id="39" w:name="_Hlt26955039"/>
      <w:r/>
      <w:bookmarkEnd w:id="39"/>
      <w:r/>
      <w:bookmarkStart w:id="40" w:name="_Toc26554094"/>
      <w:r/>
      <w:bookmarkStart w:id="41" w:name="_Toc49090576"/>
      <w:r/>
      <w:bookmarkStart w:id="42" w:name="_Toc120614282"/>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r>
      <w:r/>
    </w:p>
    <w:p>
      <w:pPr>
        <w:pStyle w:val="923"/>
        <w:jc w:val="center"/>
        <w:rPr>
          <w:rFonts w:hint="eastAsia" w:ascii="宋体" w:hAnsi="宋体"/>
          <w:b/>
          <w:color w:val="000000"/>
          <w:sz w:val="72"/>
          <w:szCs w:val="21"/>
        </w:rPr>
      </w:pPr>
      <w:r>
        <w:rPr>
          <w:rFonts w:hint="eastAsia" w:ascii="宋体" w:hAnsi="宋体"/>
          <w:b/>
          <w:color w:val="000000"/>
          <w:sz w:val="72"/>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jc w:val="center"/>
        <w:rPr>
          <w:rFonts w:hint="eastAsia" w:ascii="宋体" w:hAnsi="宋体"/>
          <w:b/>
          <w:color w:val="000000"/>
          <w:sz w:val="36"/>
          <w:szCs w:val="21"/>
        </w:rPr>
      </w:pPr>
      <w:r>
        <w:rPr>
          <w:rFonts w:hint="eastAsia" w:ascii="宋体" w:hAnsi="宋体"/>
          <w:b/>
          <w:color w:val="000000"/>
          <w:sz w:val="36"/>
          <w:szCs w:val="21"/>
        </w:rPr>
      </w:r>
      <w:r/>
    </w:p>
    <w:p>
      <w:pPr>
        <w:pStyle w:val="92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3"/>
        <w:spacing w:line="440" w:lineRule="exact"/>
        <w:rPr>
          <w:rFonts w:ascii="宋体" w:hAnsi="宋体"/>
          <w:color w:val="000000"/>
          <w:szCs w:val="21"/>
        </w:rPr>
      </w:pPr>
      <w:r>
        <w:rPr>
          <w:rFonts w:ascii="宋体" w:hAnsi="宋体"/>
          <w:color w:val="000000"/>
          <w:szCs w:val="21"/>
        </w:rPr>
      </w:r>
      <w:r/>
    </w:p>
    <w:p>
      <w:pPr>
        <w:pStyle w:val="923"/>
        <w:rPr>
          <w:rFonts w:hint="eastAsia" w:ascii="黑体" w:hAnsi="黑体" w:eastAsia="黑体"/>
          <w:iCs/>
          <w:sz w:val="32"/>
          <w:szCs w:val="32"/>
        </w:rPr>
      </w:pPr>
      <w:r>
        <w:rPr>
          <w:rFonts w:ascii="宋体" w:hAnsi="宋体"/>
          <w:b/>
          <w:color w:val="000000"/>
          <w:sz w:val="36"/>
          <w:szCs w:val="21"/>
          <w:u w:val="single"/>
        </w:rPr>
        <w:br w:type="page" w:clear="all"/>
      </w:r>
      <w:bookmarkEnd w:id="33"/>
      <w:r/>
      <w:bookmarkEnd w:id="34"/>
      <w:r/>
      <w:bookmarkEnd w:id="40"/>
      <w:r/>
      <w:bookmarkEnd w:id="41"/>
      <w:r/>
      <w:bookmarkEnd w:id="42"/>
      <w:r>
        <w:rPr>
          <w:rFonts w:hint="eastAsia" w:ascii="宋体" w:hAnsi="宋体"/>
          <w:bCs/>
          <w:iCs/>
          <w:sz w:val="24"/>
        </w:rPr>
        <w:t xml:space="preserve">★</w:t>
      </w:r>
      <w:r>
        <w:rPr>
          <w:rFonts w:hint="eastAsia" w:ascii="黑体" w:hAnsi="黑体" w:eastAsia="黑体"/>
          <w:iCs/>
          <w:sz w:val="32"/>
          <w:szCs w:val="32"/>
        </w:rPr>
        <w:t xml:space="preserve">一、法人或者其他组织的营业执照等证明文件，自然人的身份证明</w:t>
      </w:r>
      <w:r>
        <w:rPr>
          <w:rFonts w:hint="eastAsia" w:ascii="黑体" w:hAnsi="黑体" w:eastAsia="黑体"/>
          <w:iCs/>
          <w:sz w:val="32"/>
          <w:szCs w:val="32"/>
        </w:rPr>
      </w:r>
      <w:r/>
    </w:p>
    <w:p>
      <w:pPr>
        <w:pStyle w:val="923"/>
        <w:ind w:firstLine="480"/>
        <w:spacing w:line="440" w:lineRule="exact"/>
        <w:rPr>
          <w:rFonts w:ascii="宋体" w:hAnsi="宋体"/>
          <w:sz w:val="24"/>
        </w:rPr>
      </w:pPr>
      <w:r>
        <w:rPr>
          <w:rFonts w:ascii="宋体" w:hAnsi="宋体"/>
          <w:sz w:val="24"/>
        </w:rPr>
      </w:r>
      <w:r/>
    </w:p>
    <w:p>
      <w:pPr>
        <w:pStyle w:val="923"/>
        <w:rPr>
          <w:rFonts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二、最近一期经审计的财务报告或银行出具的资信证明</w:t>
      </w:r>
      <w:r>
        <w:rPr>
          <w:rFonts w:ascii="黑体" w:hAnsi="黑体" w:eastAsia="黑体"/>
          <w:iCs/>
          <w:sz w:val="32"/>
          <w:szCs w:val="32"/>
        </w:rPr>
      </w:r>
      <w:r/>
    </w:p>
    <w:p>
      <w:pPr>
        <w:pStyle w:val="923"/>
        <w:rPr>
          <w:rFonts w:hint="eastAsia" w:ascii="黑体" w:hAnsi="黑体" w:eastAsia="黑体"/>
          <w:i/>
          <w:sz w:val="32"/>
          <w:szCs w:val="32"/>
          <w:u w:val="single"/>
        </w:rPr>
      </w:pPr>
      <w:r>
        <w:rPr>
          <w:rFonts w:hint="eastAsia" w:ascii="黑体" w:hAnsi="黑体" w:eastAsia="黑体"/>
          <w:i/>
          <w:sz w:val="32"/>
          <w:szCs w:val="32"/>
          <w:u w:val="single"/>
        </w:rPr>
      </w:r>
      <w:r/>
    </w:p>
    <w:p>
      <w:pPr>
        <w:pStyle w:val="923"/>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三、依法缴纳税收和社会保障资金的相关材料</w:t>
      </w:r>
      <w:r>
        <w:rPr>
          <w:rFonts w:hint="eastAsia" w:ascii="黑体" w:hAnsi="黑体" w:eastAsia="黑体"/>
          <w:iCs/>
          <w:sz w:val="32"/>
          <w:szCs w:val="32"/>
        </w:rPr>
      </w:r>
      <w:r/>
    </w:p>
    <w:p>
      <w:pPr>
        <w:pStyle w:val="923"/>
        <w:ind w:firstLine="480"/>
        <w:rPr>
          <w:rFonts w:hint="eastAsia" w:ascii="宋体" w:hAnsi="宋体"/>
          <w:bCs/>
          <w:sz w:val="24"/>
        </w:rPr>
      </w:pPr>
      <w:r/>
      <w:bookmarkStart w:id="43"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sz w:val="24"/>
        </w:rPr>
      </w:r>
      <w:r/>
    </w:p>
    <w:p>
      <w:pPr>
        <w:pStyle w:val="923"/>
        <w:rPr>
          <w:rFonts w:hint="eastAsia" w:ascii="黑体" w:hAnsi="黑体" w:eastAsia="黑体"/>
          <w:i/>
          <w:sz w:val="32"/>
          <w:szCs w:val="32"/>
          <w:u w:val="single"/>
        </w:rPr>
      </w:pPr>
      <w:r>
        <w:rPr>
          <w:rFonts w:hint="eastAsia" w:ascii="黑体" w:hAnsi="黑体" w:eastAsia="黑体"/>
          <w:i/>
          <w:sz w:val="32"/>
          <w:szCs w:val="32"/>
          <w:u w:val="single"/>
        </w:rPr>
      </w:r>
      <w:r/>
    </w:p>
    <w:p>
      <w:pPr>
        <w:pStyle w:val="923"/>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四、具备履行合同所必需的设备和专业技术能力的书面声明</w:t>
      </w:r>
      <w:r>
        <w:rPr>
          <w:rFonts w:hint="eastAsia" w:ascii="黑体" w:hAnsi="黑体" w:eastAsia="黑体"/>
          <w:iCs/>
          <w:sz w:val="32"/>
          <w:szCs w:val="32"/>
        </w:rPr>
      </w:r>
      <w:r/>
    </w:p>
    <w:p>
      <w:pPr>
        <w:pStyle w:val="923"/>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923"/>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23"/>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23"/>
        <w:spacing w:line="460" w:lineRule="exact"/>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937"/>
        <w:ind w:firstLine="0"/>
        <w:rPr>
          <w:rFonts w:hint="eastAsia"/>
        </w:rPr>
      </w:pPr>
      <w:r>
        <w:rPr>
          <w:rFonts w:hint="eastAsia"/>
        </w:rPr>
      </w:r>
      <w:r/>
    </w:p>
    <w:p>
      <w:pPr>
        <w:pStyle w:val="923"/>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五、参加政府采购活动前 3 年内在经营活动中没有重大违法记录的书面声明</w:t>
      </w:r>
      <w:r>
        <w:rPr>
          <w:rFonts w:hint="eastAsia" w:ascii="黑体" w:hAnsi="黑体" w:eastAsia="黑体"/>
          <w:iCs/>
          <w:sz w:val="32"/>
          <w:szCs w:val="32"/>
        </w:rPr>
      </w:r>
      <w:r/>
    </w:p>
    <w:p>
      <w:pPr>
        <w:pStyle w:val="923"/>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923"/>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923"/>
        <w:rPr>
          <w:rFonts w:ascii="宋体" w:hAnsi="宋体"/>
          <w:bCs/>
          <w:iCs/>
          <w:sz w:val="24"/>
        </w:rPr>
      </w:pPr>
      <w:r>
        <w:rPr>
          <w:rFonts w:hint="eastAsia" w:ascii="宋体" w:hAnsi="宋体"/>
          <w:bCs/>
          <w:iCs/>
          <w:sz w:val="24"/>
        </w:rPr>
        <w:t xml:space="preserve">★</w:t>
      </w:r>
      <w:r>
        <w:rPr>
          <w:rFonts w:hint="eastAsia" w:ascii="黑体" w:hAnsi="黑体" w:eastAsia="黑体"/>
          <w:iCs/>
          <w:sz w:val="32"/>
          <w:szCs w:val="32"/>
        </w:rPr>
        <w:t xml:space="preserve">六：关于资格文件的声明函</w:t>
      </w:r>
      <w:r>
        <w:rPr>
          <w:rFonts w:ascii="宋体" w:hAnsi="宋体"/>
          <w:bCs/>
          <w:iCs/>
          <w:sz w:val="24"/>
        </w:rPr>
      </w:r>
      <w:r/>
    </w:p>
    <w:p>
      <w:pPr>
        <w:pStyle w:val="923"/>
        <w:jc w:val="center"/>
        <w:spacing w:line="440" w:lineRule="exact"/>
        <w:rPr>
          <w:rFonts w:ascii="宋体" w:hAnsi="宋体"/>
          <w:lang w:val="zh-CN"/>
        </w:rPr>
      </w:pPr>
      <w:r>
        <w:rPr>
          <w:rFonts w:hint="eastAsia" w:ascii="宋体" w:hAnsi="宋体"/>
          <w:b/>
          <w:bCs/>
          <w:sz w:val="44"/>
          <w:szCs w:val="44"/>
        </w:rPr>
        <w:t xml:space="preserve">声  明</w:t>
      </w:r>
      <w:r>
        <w:rPr>
          <w:rFonts w:ascii="宋体" w:hAnsi="宋体"/>
          <w:lang w:val="zh-CN"/>
        </w:rPr>
      </w:r>
      <w:r/>
    </w:p>
    <w:p>
      <w:pPr>
        <w:pStyle w:val="923"/>
        <w:ind w:firstLine="480"/>
        <w:rPr>
          <w:rFonts w:ascii="宋体" w:hAnsi="宋体"/>
          <w:sz w:val="24"/>
          <w:szCs w:val="24"/>
        </w:rPr>
      </w:pPr>
      <w:r>
        <w:rPr>
          <w:rFonts w:hint="eastAsia" w:ascii="宋体" w:hAnsi="宋体"/>
          <w:sz w:val="24"/>
          <w:szCs w:val="24"/>
        </w:rPr>
        <w:t xml:space="preserve">本公司愿就由贵单位组织实施的编号为</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rPr>
          <w:rFonts w:ascii="宋体" w:hAnsi="宋体"/>
          <w:sz w:val="24"/>
          <w:szCs w:val="24"/>
        </w:rPr>
      </w:r>
      <w:r/>
    </w:p>
    <w:p>
      <w:pPr>
        <w:pStyle w:val="923"/>
        <w:rPr>
          <w:rFonts w:hint="eastAsia" w:ascii="黑体" w:hAnsi="黑体" w:eastAsia="黑体"/>
          <w:i/>
          <w:sz w:val="32"/>
          <w:szCs w:val="32"/>
          <w:u w:val="single"/>
        </w:rPr>
      </w:pPr>
      <w:r>
        <w:rPr>
          <w:rFonts w:hint="eastAsia" w:ascii="黑体" w:hAnsi="黑体" w:eastAsia="黑体"/>
          <w:i/>
          <w:sz w:val="32"/>
          <w:szCs w:val="32"/>
          <w:u w:val="single"/>
        </w:rPr>
      </w:r>
      <w:r/>
    </w:p>
    <w:p>
      <w:pPr>
        <w:pStyle w:val="923"/>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七、特定资格要求的证明文件</w:t>
      </w:r>
      <w:r>
        <w:rPr>
          <w:rFonts w:hint="eastAsia" w:ascii="黑体" w:hAnsi="黑体" w:eastAsia="黑体"/>
          <w:iCs/>
          <w:sz w:val="32"/>
          <w:szCs w:val="32"/>
        </w:rPr>
      </w:r>
      <w:r/>
    </w:p>
    <w:p>
      <w:pPr>
        <w:pStyle w:val="92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3"/>
        <w:spacing w:line="460" w:lineRule="exact"/>
        <w:rPr>
          <w:rFonts w:hint="eastAsia" w:ascii="宋体" w:hAnsi="宋体"/>
          <w:bCs/>
          <w:sz w:val="24"/>
        </w:rPr>
      </w:pPr>
      <w:r>
        <w:rPr>
          <w:rFonts w:hint="eastAsia" w:ascii="宋体" w:hAnsi="宋体"/>
          <w:bCs/>
          <w:sz w:val="24"/>
        </w:rPr>
      </w:r>
      <w:r/>
    </w:p>
    <w:p>
      <w:pPr>
        <w:pStyle w:val="923"/>
        <w:jc w:val="center"/>
        <w:rPr>
          <w:rFonts w:hint="eastAsia" w:ascii="黑体" w:hAnsi="黑体" w:eastAsia="黑体"/>
          <w:iCs/>
          <w:sz w:val="32"/>
          <w:szCs w:val="32"/>
        </w:rPr>
      </w:pPr>
      <w:r>
        <w:rPr>
          <w:rFonts w:hint="eastAsia" w:ascii="宋体" w:hAnsi="宋体"/>
          <w:bCs/>
          <w:iCs/>
          <w:sz w:val="24"/>
        </w:rPr>
        <w:t xml:space="preserve">★</w:t>
      </w:r>
      <w:r>
        <w:rPr>
          <w:rFonts w:hint="eastAsia" w:ascii="黑体" w:hAnsi="黑体" w:eastAsia="黑体"/>
          <w:iCs/>
          <w:sz w:val="32"/>
          <w:szCs w:val="32"/>
        </w:rPr>
        <w:t xml:space="preserve">八、法人授权书</w:t>
      </w:r>
      <w:r>
        <w:rPr>
          <w:rFonts w:hint="eastAsia" w:ascii="黑体" w:hAnsi="黑体" w:eastAsia="黑体"/>
          <w:iCs/>
          <w:sz w:val="32"/>
          <w:szCs w:val="32"/>
        </w:rPr>
      </w:r>
      <w:r/>
    </w:p>
    <w:p>
      <w:pPr>
        <w:pStyle w:val="100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0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0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0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0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07"/>
        <w:ind w:firstLine="480"/>
        <w:tabs>
          <w:tab w:val="left" w:pos="360" w:leader="none"/>
        </w:tabs>
        <w:rPr>
          <w:rFonts w:hint="eastAsia"/>
          <w:sz w:val="24"/>
          <w:szCs w:val="24"/>
        </w:rPr>
      </w:pPr>
      <w:r>
        <w:rPr>
          <w:rFonts w:hint="eastAsia"/>
          <w:sz w:val="24"/>
          <w:szCs w:val="24"/>
        </w:rPr>
        <w:t xml:space="preserve">      日期：</w:t>
      </w:r>
      <w:bookmarkStart w:id="44" w:name="_Hlt26671380"/>
      <w:r/>
      <w:bookmarkEnd w:id="44"/>
      <w:r/>
      <w:bookmarkStart w:id="45" w:name="_Hlt26955070"/>
      <w:r/>
      <w:bookmarkEnd w:id="45"/>
      <w:r/>
      <w:bookmarkStart w:id="46" w:name="_格式3__银行出具的资信证明"/>
      <w:r/>
      <w:bookmarkEnd w:id="46"/>
      <w:r>
        <w:rPr>
          <w:rFonts w:hint="eastAsia"/>
          <w:sz w:val="24"/>
          <w:szCs w:val="24"/>
          <w:u w:val="single"/>
        </w:rPr>
        <w:t xml:space="preserve">                                         </w:t>
      </w:r>
      <w:r>
        <w:rPr>
          <w:rFonts w:hint="eastAsia"/>
          <w:sz w:val="24"/>
          <w:szCs w:val="24"/>
        </w:rPr>
      </w:r>
      <w:r/>
    </w:p>
    <w:p>
      <w:pPr>
        <w:pStyle w:val="937"/>
        <w:rPr>
          <w:rFonts w:hint="eastAsia"/>
          <w:i/>
          <w:sz w:val="24"/>
          <w:szCs w:val="24"/>
          <w:u w:val="single"/>
        </w:rPr>
      </w:pPr>
      <w:r>
        <w:rPr>
          <w:rFonts w:hint="eastAsia"/>
          <w:i/>
          <w:sz w:val="24"/>
          <w:szCs w:val="24"/>
          <w:u w:val="single"/>
        </w:rPr>
      </w:r>
      <w:r/>
    </w:p>
    <w:p>
      <w:pPr>
        <w:pStyle w:val="937"/>
        <w:ind w:firstLine="0"/>
        <w:rPr>
          <w:rFonts w:hint="eastAsia"/>
        </w:rPr>
      </w:pPr>
      <w:r>
        <w:rPr>
          <w:rFonts w:hint="eastAsia"/>
        </w:rPr>
      </w:r>
      <w:r/>
    </w:p>
    <w:p>
      <w:pPr>
        <w:pStyle w:val="923"/>
        <w:spacing w:line="460" w:lineRule="exact"/>
        <w:rPr>
          <w:rFonts w:hint="eastAsia" w:ascii="楷体" w:hAnsi="楷体" w:eastAsia="楷体"/>
          <w:bCs/>
          <w:sz w:val="24"/>
          <w:szCs w:val="24"/>
        </w:rPr>
      </w:pPr>
      <w:r>
        <w:rPr>
          <w:rFonts w:hint="eastAsia" w:ascii="楷体" w:hAnsi="楷体" w:eastAsia="楷体"/>
          <w:bCs/>
          <w:sz w:val="24"/>
          <w:szCs w:val="24"/>
        </w:rPr>
      </w:r>
      <w:r/>
    </w:p>
    <w:p>
      <w:pPr>
        <w:pStyle w:val="923"/>
        <w:spacing w:line="460" w:lineRule="exact"/>
        <w:rPr>
          <w:rFonts w:hint="eastAsia" w:ascii="宋体" w:hAnsi="宋体"/>
          <w:bCs/>
          <w:sz w:val="24"/>
        </w:rPr>
      </w:pPr>
      <w:r>
        <w:rPr>
          <w:rFonts w:hint="eastAsia" w:ascii="宋体" w:hAnsi="宋体"/>
          <w:bCs/>
          <w:sz w:val="24"/>
        </w:rPr>
      </w:r>
      <w:r/>
    </w:p>
    <w:p>
      <w:pPr>
        <w:pStyle w:val="923"/>
        <w:jc w:val="center"/>
        <w:rPr>
          <w:rFonts w:ascii="黑体" w:hAnsi="黑体" w:eastAsia="黑体"/>
          <w:iCs/>
          <w:sz w:val="32"/>
          <w:szCs w:val="32"/>
        </w:rPr>
      </w:pPr>
      <w:r>
        <w:rPr>
          <w:rFonts w:ascii="宋体" w:hAnsi="宋体"/>
          <w:bCs/>
          <w:sz w:val="24"/>
        </w:rPr>
        <w:br w:type="page" w:clear="all"/>
      </w:r>
      <w:r>
        <w:rPr>
          <w:rFonts w:hint="eastAsia" w:ascii="宋体" w:hAnsi="宋体"/>
          <w:bCs/>
          <w:iCs/>
          <w:sz w:val="24"/>
        </w:rPr>
        <w:t xml:space="preserve">★</w:t>
      </w:r>
      <w:r>
        <w:rPr>
          <w:rFonts w:hint="eastAsia" w:ascii="黑体" w:hAnsi="黑体" w:eastAsia="黑体"/>
          <w:iCs/>
          <w:sz w:val="32"/>
          <w:szCs w:val="32"/>
        </w:rPr>
        <w:t xml:space="preserve">九、投标函</w:t>
      </w:r>
      <w:r>
        <w:rPr>
          <w:rFonts w:ascii="黑体" w:hAnsi="黑体" w:eastAsia="黑体"/>
          <w:iCs/>
          <w:sz w:val="32"/>
          <w:szCs w:val="32"/>
        </w:rPr>
      </w:r>
      <w:r/>
    </w:p>
    <w:p>
      <w:pPr>
        <w:pStyle w:val="1009"/>
        <w:ind w:firstLine="0"/>
        <w:spacing w:before="0" w:after="0" w:line="420" w:lineRule="exact"/>
        <w:rPr>
          <w:rFonts w:ascii="宋体" w:hAnsi="宋体"/>
          <w:szCs w:val="21"/>
        </w:rPr>
      </w:pPr>
      <w:r>
        <w:rPr>
          <w:rFonts w:hint="eastAsia" w:ascii="宋体" w:hAnsi="宋体"/>
          <w:szCs w:val="21"/>
        </w:rPr>
        <w:t xml:space="preserve">致：苏州市公共资源交易中心吴江分中心</w:t>
      </w:r>
      <w:r>
        <w:rPr>
          <w:rFonts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9"/>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23"/>
        <w:ind w:firstLine="240"/>
        <w:jc w:val="center"/>
        <w:spacing w:line="560" w:lineRule="exact"/>
        <w:rPr>
          <w:rFonts w:hint="eastAsia" w:ascii="宋体" w:hAnsi="宋体"/>
          <w:bCs/>
          <w:sz w:val="24"/>
        </w:rPr>
      </w:pPr>
      <w:r>
        <w:rPr>
          <w:rFonts w:hint="eastAsia" w:ascii="宋体" w:hAnsi="宋体"/>
          <w:bCs/>
          <w:sz w:val="24"/>
        </w:rPr>
      </w:r>
      <w:r/>
    </w:p>
    <w:p>
      <w:pPr>
        <w:pStyle w:val="923"/>
        <w:ind w:firstLine="240"/>
        <w:jc w:val="center"/>
        <w:spacing w:line="560" w:lineRule="exact"/>
        <w:rPr>
          <w:rFonts w:hint="eastAsia" w:ascii="宋体" w:hAnsi="宋体"/>
          <w:bCs/>
          <w:sz w:val="24"/>
        </w:rPr>
      </w:pPr>
      <w:r>
        <w:rPr>
          <w:rFonts w:hint="eastAsia" w:ascii="宋体" w:hAnsi="宋体"/>
          <w:bCs/>
          <w:sz w:val="24"/>
        </w:rPr>
      </w:r>
      <w:r/>
    </w:p>
    <w:p>
      <w:pPr>
        <w:pStyle w:val="923"/>
        <w:ind w:firstLine="240"/>
        <w:jc w:val="center"/>
        <w:spacing w:line="560" w:lineRule="exact"/>
        <w:rPr>
          <w:rFonts w:hint="eastAsia" w:ascii="宋体" w:hAnsi="宋体"/>
          <w:bCs/>
          <w:sz w:val="24"/>
        </w:rPr>
      </w:pPr>
      <w:r>
        <w:rPr>
          <w:rFonts w:hint="eastAsia" w:ascii="宋体" w:hAnsi="宋体"/>
          <w:bCs/>
          <w:sz w:val="24"/>
        </w:rPr>
      </w:r>
      <w:r/>
    </w:p>
    <w:p>
      <w:pPr>
        <w:pStyle w:val="923"/>
        <w:ind w:firstLine="240"/>
        <w:jc w:val="center"/>
        <w:spacing w:line="560" w:lineRule="exact"/>
        <w:rPr>
          <w:rFonts w:hint="eastAsia" w:ascii="宋体" w:hAnsi="宋体"/>
          <w:bCs/>
          <w:sz w:val="24"/>
        </w:rPr>
      </w:pPr>
      <w:r>
        <w:rPr>
          <w:rFonts w:hint="eastAsia" w:ascii="宋体" w:hAnsi="宋体"/>
          <w:bCs/>
          <w:sz w:val="24"/>
        </w:rPr>
      </w:r>
      <w:r/>
    </w:p>
    <w:p>
      <w:pPr>
        <w:pStyle w:val="923"/>
        <w:ind w:firstLine="240"/>
        <w:jc w:val="center"/>
        <w:spacing w:line="560" w:lineRule="exact"/>
        <w:rPr>
          <w:rFonts w:hint="eastAsia" w:ascii="宋体" w:hAnsi="宋体"/>
          <w:bCs/>
          <w:sz w:val="24"/>
        </w:rPr>
      </w:pPr>
      <w:r>
        <w:rPr>
          <w:rFonts w:hint="eastAsia" w:ascii="宋体" w:hAnsi="宋体"/>
          <w:bCs/>
          <w:sz w:val="24"/>
        </w:rPr>
      </w:r>
      <w:r/>
    </w:p>
    <w:p>
      <w:pPr>
        <w:pStyle w:val="923"/>
        <w:jc w:val="center"/>
        <w:spacing w:line="460" w:lineRule="exact"/>
        <w:rPr>
          <w:rFonts w:ascii="黑体" w:hAnsi="黑体" w:eastAsia="黑体"/>
          <w:b/>
          <w:sz w:val="32"/>
          <w:szCs w:val="32"/>
        </w:rPr>
      </w:pPr>
      <w:r>
        <w:rPr>
          <w:rFonts w:ascii="黑体" w:hAnsi="黑体" w:eastAsia="黑体"/>
          <w:b/>
          <w:sz w:val="32"/>
          <w:szCs w:val="32"/>
        </w:rPr>
      </w:r>
      <w:r/>
    </w:p>
    <w:p>
      <w:pPr>
        <w:pStyle w:val="923"/>
        <w:jc w:val="center"/>
        <w:spacing w:line="460" w:lineRule="exact"/>
        <w:rPr>
          <w:rFonts w:ascii="黑体" w:hAnsi="黑体" w:eastAsia="黑体"/>
          <w:b/>
          <w:sz w:val="32"/>
          <w:szCs w:val="32"/>
        </w:rPr>
      </w:pPr>
      <w:r>
        <w:rPr>
          <w:rFonts w:ascii="黑体" w:hAnsi="黑体" w:eastAsia="黑体"/>
          <w:b/>
          <w:sz w:val="32"/>
          <w:szCs w:val="32"/>
        </w:rPr>
      </w:r>
      <w:r/>
    </w:p>
    <w:p>
      <w:pPr>
        <w:pStyle w:val="923"/>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460" w:lineRule="exact"/>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中小</w:t>
      </w:r>
      <w:r>
        <w:rPr>
          <w:rFonts w:hint="eastAsia" w:ascii="黑体" w:hAnsi="黑体" w:eastAsia="黑体"/>
          <w:b/>
          <w:sz w:val="32"/>
          <w:szCs w:val="32"/>
        </w:rPr>
        <w:t xml:space="preserve">企业声明函（</w:t>
      </w:r>
      <w:r>
        <w:rPr>
          <w:rFonts w:hint="eastAsia" w:ascii="黑体" w:hAnsi="黑体" w:eastAsia="黑体"/>
          <w:b/>
          <w:color w:val="000000"/>
          <w:sz w:val="32"/>
          <w:szCs w:val="32"/>
        </w:rPr>
        <w:t xml:space="preserve">货物</w:t>
      </w:r>
      <w:r>
        <w:rPr>
          <w:rFonts w:hint="eastAsia" w:ascii="黑体" w:hAnsi="黑体" w:eastAsia="黑体"/>
          <w:b/>
          <w:sz w:val="32"/>
          <w:szCs w:val="32"/>
        </w:rPr>
        <w:t xml:space="preserve">）</w:t>
      </w:r>
      <w:r>
        <w:rPr>
          <w:rFonts w:hint="eastAsia" w:ascii="黑体" w:hAnsi="黑体" w:eastAsia="黑体"/>
          <w:b/>
          <w:sz w:val="32"/>
          <w:szCs w:val="32"/>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（项目名称）采购活动，提供的货物全部由符合政策要求的中小企业制造。相关企业（含联合体中的中小企业、签订分包意向协议的中小企业）的具体情况如下：</w:t>
      </w:r>
      <w:r>
        <w:rPr>
          <w:rFonts w:ascii="宋体" w:hAnsi="宋体" w:eastAsia="宋体" w:cs="宋体"/>
          <w:sz w:val="24"/>
          <w:szCs w:val="24"/>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（标的名称），属于（采购文件中明确的所属行业）；制造商为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（中型企业、小型企业、微型企业）；</w:t>
      </w:r>
      <w:r>
        <w:rPr>
          <w:rFonts w:ascii="宋体" w:hAnsi="宋体" w:eastAsia="宋体" w:cs="宋体"/>
          <w:sz w:val="24"/>
          <w:szCs w:val="24"/>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（标的名称），属于（采购文件中明确的所属行业）；制造商为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（中型企业、小型企业、微型企业）；</w:t>
      </w:r>
      <w:r>
        <w:rPr>
          <w:rFonts w:ascii="宋体" w:hAnsi="宋体" w:eastAsia="宋体" w:cs="宋体"/>
          <w:sz w:val="24"/>
          <w:szCs w:val="24"/>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rPr>
          <w:rFonts w:ascii="宋体" w:hAnsi="宋体" w:eastAsia="宋体" w:cs="宋体"/>
          <w:sz w:val="24"/>
          <w:szCs w:val="24"/>
        </w:rPr>
      </w:r>
      <w:r/>
    </w:p>
    <w:p>
      <w:pPr>
        <w:pStyle w:val="923"/>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ascii="宋体" w:hAnsi="宋体" w:eastAsia="宋体" w:cs="宋体"/>
          <w:sz w:val="24"/>
          <w:szCs w:val="24"/>
        </w:rPr>
      </w:r>
      <w:r/>
    </w:p>
    <w:p>
      <w:pPr>
        <w:pStyle w:val="923"/>
        <w:ind w:firstLine="480"/>
        <w:rPr>
          <w:rFonts w:ascii="宋体" w:hAnsi="宋体" w:eastAsia="宋体" w:cs="宋体"/>
          <w:sz w:val="24"/>
          <w:szCs w:val="24"/>
        </w:rPr>
      </w:pPr>
      <w:r>
        <w:rPr>
          <w:rFonts w:ascii="宋体" w:hAnsi="宋体" w:eastAsia="宋体" w:cs="宋体"/>
          <w:sz w:val="24"/>
          <w:szCs w:val="24"/>
        </w:rPr>
      </w:r>
      <w:r/>
    </w:p>
    <w:p>
      <w:pPr>
        <w:pStyle w:val="923"/>
        <w:ind w:firstLine="480"/>
        <w:rPr>
          <w:rFonts w:ascii="宋体" w:hAnsi="宋体" w:eastAsia="宋体" w:cs="宋体"/>
          <w:sz w:val="24"/>
          <w:szCs w:val="24"/>
        </w:rPr>
      </w:pPr>
      <w:r>
        <w:rPr>
          <w:rFonts w:ascii="宋体" w:hAnsi="宋体" w:eastAsia="宋体" w:cs="宋体"/>
          <w:sz w:val="24"/>
          <w:szCs w:val="24"/>
        </w:rPr>
      </w:r>
      <w:r/>
    </w:p>
    <w:p>
      <w:pPr>
        <w:pStyle w:val="923"/>
        <w:ind w:firstLine="480"/>
        <w:rPr>
          <w:rFonts w:ascii="宋体" w:hAnsi="宋体" w:eastAsia="宋体" w:cs="宋体"/>
          <w:sz w:val="24"/>
          <w:szCs w:val="24"/>
        </w:rPr>
      </w:pPr>
      <w:r>
        <w:rPr>
          <w:rFonts w:hint="eastAsia" w:ascii="宋体" w:hAnsi="宋体" w:eastAsia="宋体" w:cs="宋体"/>
          <w:sz w:val="24"/>
          <w:szCs w:val="24"/>
        </w:rPr>
        <w:t xml:space="preserve">企业名称（盖章）：</w:t>
      </w:r>
      <w:r>
        <w:rPr>
          <w:rFonts w:ascii="宋体" w:hAnsi="宋体" w:eastAsia="宋体" w:cs="宋体"/>
          <w:sz w:val="24"/>
          <w:szCs w:val="24"/>
        </w:rPr>
      </w:r>
      <w:r/>
    </w:p>
    <w:p>
      <w:pPr>
        <w:pStyle w:val="923"/>
        <w:ind w:firstLine="480"/>
        <w:rPr>
          <w:rFonts w:ascii="宋体" w:hAnsi="宋体" w:eastAsia="宋体" w:cs="宋体"/>
          <w:sz w:val="24"/>
          <w:szCs w:val="24"/>
        </w:rPr>
      </w:pPr>
      <w:r>
        <w:rPr>
          <w:rFonts w:hint="eastAsia" w:ascii="宋体" w:hAnsi="宋体" w:eastAsia="宋体" w:cs="宋体"/>
          <w:sz w:val="24"/>
          <w:szCs w:val="24"/>
        </w:rPr>
        <w:t xml:space="preserve">日期：</w:t>
      </w:r>
      <w:r>
        <w:rPr>
          <w:rFonts w:ascii="宋体" w:hAnsi="宋体" w:eastAsia="宋体" w:cs="宋体"/>
          <w:sz w:val="24"/>
          <w:szCs w:val="24"/>
        </w:rPr>
      </w:r>
      <w:r/>
    </w:p>
    <w:p>
      <w:pPr>
        <w:pStyle w:val="923"/>
        <w:ind w:firstLine="480"/>
        <w:rPr>
          <w:rFonts w:ascii="宋体" w:hAnsi="宋体" w:eastAsia="宋体" w:cs="宋体"/>
          <w:sz w:val="24"/>
          <w:szCs w:val="24"/>
        </w:rPr>
      </w:pPr>
      <w:r>
        <w:rPr>
          <w:rFonts w:ascii="宋体" w:hAnsi="宋体" w:eastAsia="宋体" w:cs="宋体"/>
          <w:sz w:val="24"/>
          <w:szCs w:val="24"/>
        </w:rPr>
      </w:r>
      <w:r/>
    </w:p>
    <w:p>
      <w:pPr>
        <w:pStyle w:val="923"/>
        <w:jc w:val="center"/>
        <w:spacing w:line="460" w:lineRule="exact"/>
        <w:rPr>
          <w:rFonts w:hint="eastAsia" w:ascii="黑体" w:hAnsi="黑体" w:eastAsia="黑体"/>
          <w:b/>
          <w:sz w:val="32"/>
          <w:szCs w:val="32"/>
        </w:rPr>
      </w:pPr>
      <w:r>
        <w:rPr>
          <w:rFonts w:hint="eastAsia" w:ascii="宋体" w:hAnsi="宋体" w:eastAsia="宋体" w:cs="宋体"/>
          <w:b/>
          <w:bCs/>
          <w:sz w:val="24"/>
          <w:szCs w:val="24"/>
        </w:rPr>
        <w:t xml:space="preserve">备注：从业人员、营业收入、资产总额填报上一年度数据，无上一年度数据的新成立企业可不填报，如未对（中型企业、小型企业、微型企业）进行</w:t>
      </w:r>
      <w:r>
        <w:rPr>
          <w:rFonts w:hint="eastAsia" w:ascii="宋体" w:hAnsi="宋体" w:eastAsia="宋体" w:cs="宋体"/>
          <w:b/>
          <w:bCs/>
          <w:sz w:val="24"/>
          <w:szCs w:val="24"/>
          <w:lang w:val="en-US" w:eastAsia="zh-CN"/>
        </w:rPr>
        <w:t xml:space="preserve">填写</w:t>
      </w:r>
      <w:r>
        <w:rPr>
          <w:rFonts w:hint="eastAsia" w:ascii="宋体" w:hAnsi="宋体" w:eastAsia="宋体" w:cs="宋体"/>
          <w:b/>
          <w:bCs/>
          <w:sz w:val="24"/>
          <w:szCs w:val="24"/>
        </w:rPr>
        <w:t xml:space="preserve">，视同非小微企业，不可享受相应优惠</w:t>
      </w:r>
      <w:r>
        <w:rPr>
          <w:rFonts w:hint="eastAsia" w:ascii="宋体" w:hAnsi="宋体" w:eastAsia="宋体" w:cs="宋体"/>
          <w:sz w:val="24"/>
          <w:szCs w:val="24"/>
        </w:rPr>
        <w:t xml:space="preserve">。</w:t>
      </w:r>
      <w:r>
        <w:rPr>
          <w:rFonts w:hint="eastAsia" w:ascii="宋体" w:hAnsi="宋体" w:eastAsia="宋体" w:cs="宋体"/>
          <w:b/>
          <w:bCs/>
          <w:sz w:val="24"/>
          <w:szCs w:val="24"/>
          <w:lang w:val="en-US"/>
        </w:rPr>
        <w:t xml:space="preserve">一个项目中包含多项货物采购的，须所有标的均为小微企业生产产品才可给予价格折扣。</w:t>
      </w:r>
      <w:r>
        <w:rPr>
          <w:rFonts w:ascii="黑体" w:hAnsi="黑体" w:eastAsia="黑体"/>
          <w:b/>
          <w:sz w:val="32"/>
          <w:szCs w:val="32"/>
        </w:rPr>
        <w:br w:type="page" w:clear="all"/>
      </w:r>
      <w:r>
        <w:rPr>
          <w:rFonts w:hint="eastAsia" w:ascii="黑体" w:hAnsi="黑体" w:eastAsia="黑体"/>
          <w:b/>
          <w:sz w:val="32"/>
          <w:szCs w:val="32"/>
        </w:rPr>
        <w:t xml:space="preserve">十一、残疾人福利性单位声明函</w:t>
      </w:r>
      <w:r>
        <w:rPr>
          <w:rFonts w:hint="eastAsia" w:ascii="黑体" w:hAnsi="黑体" w:eastAsia="黑体"/>
          <w:b/>
          <w:sz w:val="32"/>
          <w:szCs w:val="32"/>
        </w:rPr>
      </w:r>
      <w:r/>
    </w:p>
    <w:p>
      <w:pPr>
        <w:pStyle w:val="92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2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3"/>
        <w:ind w:firstLine="480"/>
        <w:spacing w:line="588" w:lineRule="exact"/>
        <w:rPr>
          <w:rFonts w:hint="eastAsia" w:ascii="宋体" w:hAnsi="宋体"/>
          <w:sz w:val="24"/>
        </w:rPr>
      </w:pPr>
      <w:r>
        <w:rPr>
          <w:rFonts w:hint="eastAsia" w:ascii="宋体" w:hAnsi="宋体"/>
          <w:sz w:val="24"/>
        </w:rPr>
      </w:r>
      <w:r/>
    </w:p>
    <w:p>
      <w:pPr>
        <w:pStyle w:val="92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color w:val="000000"/>
          <w:sz w:val="32"/>
          <w:szCs w:val="32"/>
        </w:rPr>
      </w:pPr>
      <w:r/>
      <w:bookmarkEnd w:id="43"/>
      <w:r>
        <w:rPr>
          <w:rFonts w:hint="eastAsia" w:ascii="宋体" w:hAnsi="宋体"/>
          <w:bCs/>
          <w:iCs/>
          <w:sz w:val="24"/>
        </w:rPr>
        <w:t xml:space="preserve">★</w:t>
      </w: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、投标分项报价表（分包号：***）</w:t>
      </w:r>
      <w:r>
        <w:rPr>
          <w:rFonts w:hint="eastAsia" w:ascii="黑体" w:hAnsi="黑体" w:eastAsia="黑体"/>
          <w:b/>
          <w:color w:val="000000"/>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84"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980"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27"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372"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24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784"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980"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727"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r>
            <w:r/>
          </w:p>
        </w:tc>
        <w:tc>
          <w:tcPr>
            <w:tcW w:w="124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2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23"/>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23"/>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3"/>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pStyle w:val="923"/>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246" w:type="dxa"/>
            <w:vAlign w:val="top"/>
            <w:textDirection w:val="lrTb"/>
            <w:noWrap w:val="false"/>
          </w:tcPr>
          <w:p>
            <w:pPr>
              <w:pStyle w:val="923"/>
              <w:rPr>
                <w:rFonts w:hint="eastAsia" w:ascii="宋体" w:hAnsi="宋体"/>
                <w:color w:val="000000"/>
                <w:sz w:val="24"/>
                <w:szCs w:val="24"/>
              </w:rPr>
            </w:pPr>
            <w:r>
              <w:rPr>
                <w:rFonts w:hint="eastAsia" w:ascii="宋体" w:hAnsi="宋体"/>
                <w:color w:val="000000"/>
                <w:sz w:val="24"/>
                <w:szCs w:val="24"/>
              </w:rPr>
            </w:r>
            <w:r/>
          </w:p>
        </w:tc>
      </w:tr>
    </w:tbl>
    <w:p>
      <w:pPr>
        <w:pStyle w:val="923"/>
        <w:rPr>
          <w:rFonts w:hint="eastAsia" w:ascii="宋体" w:hAnsi="宋体"/>
          <w:color w:val="000000"/>
          <w:sz w:val="24"/>
          <w:szCs w:val="24"/>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hint="eastAsia" w:ascii="宋体" w:hAnsi="宋体"/>
          <w:color w:val="000000"/>
          <w:sz w:val="24"/>
          <w:szCs w:val="24"/>
        </w:rPr>
      </w:r>
      <w:r/>
    </w:p>
    <w:p>
      <w:pPr>
        <w:pStyle w:val="923"/>
        <w:rPr>
          <w:rFonts w:hint="eastAsia" w:ascii="宋体" w:hAnsi="宋体"/>
          <w:sz w:val="24"/>
          <w:szCs w:val="24"/>
        </w:rPr>
      </w:pPr>
      <w:r>
        <w:rPr>
          <w:rFonts w:hint="eastAsia" w:ascii="宋体" w:hAnsi="宋体"/>
          <w:sz w:val="24"/>
          <w:szCs w:val="24"/>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rPr>
          <w:rFonts w:hint="eastAsia" w:ascii="宋体" w:hAnsi="宋体"/>
          <w:bCs/>
          <w:iCs/>
          <w:sz w:val="24"/>
        </w:rPr>
      </w:pPr>
      <w:r>
        <w:rPr>
          <w:rFonts w:hint="eastAsia" w:ascii="宋体" w:hAnsi="宋体"/>
          <w:bCs/>
          <w:iCs/>
          <w:sz w:val="24"/>
        </w:rPr>
        <w:br w:type="page" w:clear="all"/>
      </w:r>
      <w:r>
        <w:rPr>
          <w:rFonts w:hint="eastAsia" w:ascii="宋体" w:hAnsi="宋体"/>
          <w:bCs/>
          <w:iCs/>
          <w:sz w:val="24"/>
        </w:rPr>
      </w:r>
      <w:r/>
    </w:p>
    <w:p>
      <w:pPr>
        <w:pStyle w:val="923"/>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2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bl>
    <w:p>
      <w:pPr>
        <w:pStyle w:val="92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23"/>
        <w:jc w:val="center"/>
        <w:rPr>
          <w:rFonts w:hint="eastAsia" w:ascii="黑体" w:hAnsi="Arial" w:eastAsia="黑体"/>
          <w:b/>
          <w:sz w:val="36"/>
        </w:rPr>
      </w:pPr>
      <w:r>
        <w:rPr>
          <w:rFonts w:hint="eastAsia" w:ascii="黑体" w:hAnsi="Arial" w:eastAsia="黑体"/>
          <w:b/>
          <w:sz w:val="36"/>
        </w:rPr>
      </w:r>
      <w:r/>
    </w:p>
    <w:p>
      <w:pPr>
        <w:pStyle w:val="923"/>
        <w:jc w:val="center"/>
        <w:rPr>
          <w:rFonts w:hint="eastAsia" w:ascii="黑体" w:hAnsi="Arial" w:eastAsia="黑体"/>
          <w:b/>
          <w:sz w:val="36"/>
        </w:rPr>
      </w:pPr>
      <w:r>
        <w:rPr>
          <w:rFonts w:hint="eastAsia" w:ascii="黑体" w:hAnsi="Arial" w:eastAsia="黑体"/>
          <w:b/>
          <w:sz w:val="36"/>
        </w:rPr>
      </w:r>
      <w:r/>
    </w:p>
    <w:p>
      <w:pPr>
        <w:pStyle w:val="923"/>
        <w:jc w:val="center"/>
        <w:rPr>
          <w:rFonts w:hint="eastAsia" w:ascii="黑体" w:hAnsi="Arial" w:eastAsia="黑体"/>
          <w:b/>
          <w:sz w:val="36"/>
        </w:rPr>
      </w:pPr>
      <w:r>
        <w:rPr>
          <w:rFonts w:hint="eastAsia" w:ascii="黑体" w:hAnsi="Arial" w:eastAsia="黑体"/>
          <w:b/>
          <w:sz w:val="36"/>
        </w:rPr>
      </w:r>
      <w:r/>
    </w:p>
    <w:p>
      <w:pPr>
        <w:pStyle w:val="923"/>
        <w:jc w:val="center"/>
        <w:rPr>
          <w:rFonts w:hint="eastAsia" w:ascii="黑体" w:hAnsi="Arial" w:eastAsia="黑体"/>
          <w:b/>
          <w:sz w:val="36"/>
        </w:rPr>
      </w:pPr>
      <w:r>
        <w:rPr>
          <w:rFonts w:hint="eastAsia" w:ascii="黑体" w:hAnsi="Arial" w:eastAsia="黑体"/>
          <w:b/>
          <w:sz w:val="36"/>
        </w:rPr>
      </w:r>
      <w:r/>
    </w:p>
    <w:p>
      <w:pPr>
        <w:pStyle w:val="923"/>
        <w:rPr>
          <w:rFonts w:hint="eastAsia" w:ascii="黑体" w:hAnsi="Arial" w:eastAsia="黑体"/>
          <w:sz w:val="32"/>
        </w:rPr>
      </w:pPr>
      <w:r>
        <w:rPr>
          <w:rFonts w:hint="eastAsia" w:ascii="黑体" w:hAnsi="Arial" w:eastAsia="黑体"/>
          <w:sz w:val="32"/>
        </w:rPr>
      </w:r>
      <w:r/>
    </w:p>
    <w:p>
      <w:pPr>
        <w:pStyle w:val="923"/>
        <w:rPr>
          <w:rFonts w:hint="eastAsia" w:ascii="黑体" w:hAnsi="Arial" w:eastAsia="黑体"/>
          <w:sz w:val="32"/>
        </w:rPr>
      </w:pPr>
      <w:r>
        <w:rPr>
          <w:rFonts w:hint="eastAsia" w:ascii="黑体" w:hAnsi="Arial" w:eastAsia="黑体"/>
          <w:sz w:val="32"/>
        </w:rPr>
      </w:r>
      <w:r/>
    </w:p>
    <w:p>
      <w:pPr>
        <w:pStyle w:val="923"/>
        <w:rPr>
          <w:rFonts w:hint="eastAsia" w:ascii="黑体" w:hAnsi="Arial" w:eastAsia="黑体"/>
          <w:sz w:val="32"/>
        </w:rPr>
      </w:pPr>
      <w:r>
        <w:rPr>
          <w:rFonts w:hint="eastAsia" w:ascii="黑体" w:hAnsi="Arial" w:eastAsia="黑体"/>
          <w:sz w:val="32"/>
        </w:rPr>
      </w:r>
      <w:r/>
    </w:p>
    <w:p>
      <w:pPr>
        <w:pStyle w:val="923"/>
        <w:rPr>
          <w:rFonts w:hint="eastAsia" w:ascii="黑体" w:hAnsi="Arial" w:eastAsia="黑体"/>
          <w:sz w:val="32"/>
        </w:rPr>
      </w:pPr>
      <w:r>
        <w:rPr>
          <w:rFonts w:hint="eastAsia" w:ascii="黑体" w:hAnsi="Arial" w:eastAsia="黑体"/>
          <w:sz w:val="32"/>
        </w:rPr>
      </w:r>
      <w:r/>
    </w:p>
    <w:p>
      <w:pPr>
        <w:pStyle w:val="923"/>
        <w:rPr>
          <w:rFonts w:hint="eastAsia" w:ascii="黑体" w:hAnsi="Arial" w:eastAsia="黑体"/>
          <w:sz w:val="32"/>
        </w:rPr>
      </w:pPr>
      <w:r>
        <w:rPr>
          <w:rFonts w:hint="eastAsia" w:ascii="黑体" w:hAnsi="Arial" w:eastAsia="黑体"/>
          <w:sz w:val="32"/>
        </w:rPr>
      </w:r>
      <w:r/>
    </w:p>
    <w:p>
      <w:pPr>
        <w:pStyle w:val="923"/>
        <w:rPr>
          <w:rFonts w:hint="eastAsia" w:ascii="宋体" w:hAnsi="宋体"/>
          <w:bCs/>
          <w:iCs/>
          <w:sz w:val="24"/>
        </w:rPr>
      </w:pPr>
      <w:r/>
      <w:bookmarkStart w:id="47" w:name="_Hlt26955054"/>
      <w:r/>
      <w:bookmarkEnd w:id="47"/>
      <w:r>
        <w:rPr>
          <w:rFonts w:hint="eastAsia" w:ascii="宋体" w:hAnsi="宋体"/>
          <w:bCs/>
          <w:iCs/>
          <w:sz w:val="24"/>
        </w:rPr>
        <w:br w:type="page" w:clear="all"/>
      </w:r>
      <w:r>
        <w:rPr>
          <w:rFonts w:hint="eastAsia" w:ascii="宋体" w:hAnsi="宋体"/>
          <w:bCs/>
          <w:iCs/>
          <w:sz w:val="24"/>
        </w:rPr>
      </w:r>
      <w:r/>
    </w:p>
    <w:p>
      <w:pPr>
        <w:pStyle w:val="923"/>
        <w:jc w:val="center"/>
        <w:rPr>
          <w:rFonts w:hint="eastAsia" w:ascii="黑体" w:hAnsi="黑体" w:eastAsia="黑体"/>
          <w:b/>
          <w:sz w:val="32"/>
          <w:szCs w:val="32"/>
        </w:rPr>
      </w:pPr>
      <w:r>
        <w:rPr>
          <w:rFonts w:hint="eastAsia" w:ascii="宋体" w:hAnsi="宋体"/>
          <w:bCs/>
          <w:iCs/>
          <w:sz w:val="24"/>
        </w:rPr>
        <w:t xml:space="preserve">★</w:t>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四</w:t>
      </w:r>
      <w:r>
        <w:rPr>
          <w:rFonts w:hint="eastAsia" w:ascii="黑体" w:hAnsi="黑体" w:eastAsia="黑体"/>
          <w:b/>
          <w:sz w:val="32"/>
          <w:szCs w:val="32"/>
        </w:rPr>
        <w:t xml:space="preserve">、商务要求响应及偏离表（分包号：**）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23"/>
              <w:jc w:val="center"/>
              <w:rPr>
                <w:rFonts w:hint="eastAsia" w:ascii="宋体" w:hAnsi="宋体"/>
                <w:sz w:val="24"/>
                <w:szCs w:val="24"/>
              </w:rPr>
            </w:pPr>
            <w:r/>
            <w:bookmarkStart w:id="48" w:name="_Hlt26609391"/>
            <w:r/>
            <w:bookmarkEnd w:id="48"/>
            <w:r/>
            <w:bookmarkStart w:id="49" w:name="_Hlt26580838"/>
            <w:r/>
            <w:bookmarkEnd w:id="49"/>
            <w:r/>
            <w:bookmarkStart w:id="50" w:name="_Hlt24879081"/>
            <w:r/>
            <w:bookmarkEnd w:id="50"/>
            <w:r/>
            <w:bookmarkStart w:id="51" w:name="_Hlt26671343"/>
            <w:r/>
            <w:bookmarkEnd w:id="51"/>
            <w:r/>
            <w:bookmarkStart w:id="52" w:name="_Hlt26955064"/>
            <w:r/>
            <w:bookmarkEnd w:id="52"/>
            <w:r/>
            <w:bookmarkStart w:id="53" w:name="_Hlt26782999"/>
            <w:r/>
            <w:bookmarkEnd w:id="53"/>
            <w:r/>
            <w:bookmarkStart w:id="54" w:name="_Hlt26955056"/>
            <w:r/>
            <w:bookmarkEnd w:id="54"/>
            <w:r/>
            <w:bookmarkStart w:id="55" w:name="_Hlt26671372"/>
            <w:r/>
            <w:bookmarkEnd w:id="55"/>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923"/>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23"/>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23"/>
              <w:jc w:val="center"/>
              <w:rPr>
                <w:rFonts w:hint="eastAsia" w:ascii="宋体" w:hAnsi="宋体"/>
                <w:sz w:val="24"/>
                <w:szCs w:val="24"/>
              </w:rPr>
            </w:pPr>
            <w:r>
              <w:rPr>
                <w:rFonts w:hint="eastAsia" w:ascii="宋体" w:hAnsi="宋体"/>
                <w:sz w:val="24"/>
                <w:szCs w:val="24"/>
              </w:rPr>
            </w:r>
            <w:r/>
          </w:p>
        </w:tc>
      </w:tr>
    </w:tbl>
    <w:p>
      <w:pPr>
        <w:pStyle w:val="923"/>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23"/>
        <w:spacing w:line="480" w:lineRule="auto"/>
        <w:rPr>
          <w:rFonts w:hint="eastAsia" w:ascii="宋体" w:hAnsi="宋体"/>
          <w:sz w:val="24"/>
        </w:rPr>
      </w:pPr>
      <w:r>
        <w:rPr>
          <w:rFonts w:hint="eastAsia" w:ascii="宋体" w:hAnsi="宋体"/>
          <w:sz w:val="24"/>
        </w:rPr>
      </w:r>
      <w:r/>
    </w:p>
    <w:p>
      <w:pPr>
        <w:pStyle w:val="923"/>
        <w:spacing w:line="480" w:lineRule="auto"/>
        <w:rPr>
          <w:rFonts w:hint="eastAsia" w:ascii="仿宋_GB2312" w:hAnsi="Arial"/>
          <w:sz w:val="30"/>
        </w:rPr>
      </w:pPr>
      <w:r>
        <w:rPr>
          <w:rFonts w:hint="eastAsia" w:ascii="仿宋_GB2312" w:hAnsi="Arial"/>
          <w:sz w:val="30"/>
        </w:rPr>
      </w:r>
      <w:r/>
    </w:p>
    <w:p>
      <w:pPr>
        <w:pStyle w:val="937"/>
        <w:ind w:firstLine="0"/>
        <w:rPr>
          <w:rFonts w:hint="eastAsia" w:ascii="宋体" w:hAnsi="宋体"/>
          <w:sz w:val="24"/>
        </w:rPr>
      </w:pPr>
      <w:r/>
      <w:bookmarkStart w:id="56" w:name="_Hlt26609389"/>
      <w:r/>
      <w:bookmarkEnd w:id="56"/>
      <w:r/>
      <w:bookmarkStart w:id="57" w:name="_Hlt26955066"/>
      <w:r/>
      <w:bookmarkEnd w:id="57"/>
      <w:r/>
      <w:bookmarkStart w:id="58" w:name="_Hlt26671374"/>
      <w:r/>
      <w:bookmarkEnd w:id="58"/>
      <w:r/>
      <w:bookmarkStart w:id="59" w:name="_Toc462564146"/>
      <w:r>
        <w:rPr>
          <w:rFonts w:hint="eastAsia" w:ascii="宋体" w:hAnsi="宋体"/>
          <w:sz w:val="24"/>
        </w:rPr>
      </w:r>
      <w:r/>
    </w:p>
    <w:p>
      <w:pPr>
        <w:pStyle w:val="923"/>
        <w:jc w:val="center"/>
        <w:rPr>
          <w:rFonts w:hint="eastAsia" w:ascii="黑体" w:hAnsi="黑体" w:eastAsia="黑体"/>
          <w:b/>
          <w:sz w:val="32"/>
          <w:szCs w:val="32"/>
        </w:rPr>
      </w:pPr>
      <w:r/>
      <w:bookmarkEnd w:id="59"/>
      <w:r/>
      <w:bookmarkStart w:id="60" w:name="_格式2__法定代表人授权书"/>
      <w:r/>
      <w:bookmarkEnd w:id="60"/>
      <w:r>
        <w:rPr>
          <w:rFonts w:hint="eastAsia" w:ascii="黑体" w:hAnsi="黑体" w:eastAsia="黑体"/>
          <w:b/>
          <w:sz w:val="32"/>
          <w:szCs w:val="32"/>
        </w:rPr>
      </w:r>
      <w:r/>
    </w:p>
    <w:p>
      <w:pPr>
        <w:pStyle w:val="923"/>
        <w:jc w:val="center"/>
        <w:rPr>
          <w:rFonts w:hint="eastAsia" w:ascii="黑体" w:hAnsi="黑体" w:eastAsia="黑体"/>
          <w:b/>
          <w:sz w:val="32"/>
          <w:szCs w:val="32"/>
        </w:rPr>
      </w:pPr>
      <w:r>
        <w:rPr>
          <w:rFonts w:hint="eastAsia" w:ascii="黑体" w:hAnsi="黑体" w:eastAsia="黑体"/>
          <w:b/>
          <w:sz w:val="32"/>
          <w:szCs w:val="32"/>
        </w:rPr>
      </w:r>
      <w:r/>
    </w:p>
    <w:p>
      <w:pPr>
        <w:pStyle w:val="923"/>
        <w:rPr>
          <w:rFonts w:hint="eastAsia" w:ascii="黑体" w:hAnsi="黑体" w:eastAsia="黑体"/>
          <w:b/>
          <w:sz w:val="32"/>
          <w:szCs w:val="32"/>
        </w:rPr>
      </w:pPr>
      <w:r>
        <w:rPr>
          <w:rFonts w:hint="eastAsia" w:ascii="黑体" w:hAnsi="黑体" w:eastAsia="黑体"/>
          <w:b/>
          <w:sz w:val="32"/>
          <w:szCs w:val="32"/>
        </w:rPr>
      </w:r>
      <w:r/>
    </w:p>
    <w:p>
      <w:pPr>
        <w:pStyle w:val="923"/>
        <w:rPr>
          <w:rFonts w:ascii="黑体" w:hAnsi="黑体" w:eastAsia="黑体"/>
          <w:b/>
          <w:sz w:val="32"/>
          <w:szCs w:val="32"/>
        </w:rPr>
      </w:pPr>
      <w:r>
        <w:rPr>
          <w:rFonts w:ascii="黑体" w:hAnsi="黑体" w:eastAsia="黑体"/>
          <w:b/>
          <w:sz w:val="32"/>
          <w:szCs w:val="32"/>
        </w:rPr>
      </w:r>
      <w:r/>
    </w:p>
    <w:p>
      <w:pPr>
        <w:pStyle w:val="923"/>
        <w:rPr>
          <w:rFonts w:ascii="黑体" w:hAnsi="黑体" w:eastAsia="黑体"/>
          <w:b/>
          <w:sz w:val="32"/>
          <w:szCs w:val="32"/>
        </w:rPr>
      </w:pPr>
      <w:r>
        <w:rPr>
          <w:rFonts w:ascii="黑体" w:hAnsi="黑体" w:eastAsia="黑体"/>
          <w:b/>
          <w:sz w:val="32"/>
          <w:szCs w:val="32"/>
        </w:rPr>
      </w:r>
      <w:r/>
    </w:p>
    <w:p>
      <w:pPr>
        <w:pStyle w:val="923"/>
        <w:rPr>
          <w:rFonts w:ascii="黑体" w:hAnsi="黑体" w:eastAsia="黑体"/>
          <w:b/>
          <w:sz w:val="32"/>
          <w:szCs w:val="32"/>
        </w:rPr>
      </w:pPr>
      <w:r>
        <w:rPr>
          <w:rFonts w:ascii="黑体" w:hAnsi="黑体" w:eastAsia="黑体"/>
          <w:b/>
          <w:sz w:val="32"/>
          <w:szCs w:val="32"/>
        </w:rPr>
      </w:r>
      <w:r/>
    </w:p>
    <w:p>
      <w:pPr>
        <w:pStyle w:val="923"/>
        <w:rPr>
          <w:rFonts w:ascii="黑体" w:hAnsi="黑体" w:eastAsia="黑体"/>
          <w:b/>
          <w:sz w:val="32"/>
          <w:szCs w:val="32"/>
        </w:rPr>
      </w:pPr>
      <w:r>
        <w:rPr>
          <w:rFonts w:ascii="黑体" w:hAnsi="黑体" w:eastAsia="黑体"/>
          <w:b/>
          <w:sz w:val="32"/>
          <w:szCs w:val="32"/>
        </w:rPr>
      </w:r>
      <w:r/>
    </w:p>
    <w:p>
      <w:pPr>
        <w:pStyle w:val="923"/>
        <w:jc w:val="center"/>
        <w:rPr>
          <w:rFonts w:hint="eastAsia" w:eastAsia="仿宋_GB2312"/>
          <w:iCs/>
          <w:sz w:val="24"/>
          <w:szCs w:val="20"/>
        </w:rPr>
      </w:pPr>
      <w:r>
        <w:rPr>
          <w:rFonts w:hint="eastAsia" w:ascii="宋体" w:hAnsi="宋体"/>
          <w:bCs/>
          <w:iCs/>
          <w:sz w:val="24"/>
        </w:rPr>
        <w:t xml:space="preserve">★</w:t>
      </w:r>
      <w:r>
        <w:rPr>
          <w:rFonts w:hint="eastAsia" w:ascii="黑体" w:hAnsi="黑体" w:eastAsia="黑体"/>
          <w:b/>
          <w:iCs/>
          <w:sz w:val="32"/>
          <w:szCs w:val="32"/>
        </w:rPr>
        <w:t xml:space="preserve">十</w:t>
      </w:r>
      <w:r>
        <w:rPr>
          <w:rFonts w:hint="eastAsia" w:ascii="黑体" w:hAnsi="黑体" w:eastAsia="黑体"/>
          <w:b/>
          <w:iCs/>
          <w:sz w:val="32"/>
          <w:szCs w:val="32"/>
          <w:lang w:val="en-US" w:eastAsia="zh-CN"/>
        </w:rPr>
        <w:t xml:space="preserve">五</w:t>
      </w:r>
      <w:r>
        <w:rPr>
          <w:rFonts w:hint="eastAsia" w:ascii="黑体" w:hAnsi="黑体" w:eastAsia="黑体"/>
          <w:b/>
          <w:iCs/>
          <w:sz w:val="32"/>
          <w:szCs w:val="32"/>
        </w:rPr>
        <w:t xml:space="preserve">、开标一览表</w:t>
      </w:r>
      <w:r>
        <w:rPr>
          <w:rFonts w:hint="eastAsia" w:eastAsia="仿宋_GB2312"/>
          <w:iCs/>
          <w:sz w:val="24"/>
          <w:szCs w:val="20"/>
        </w:rPr>
      </w:r>
      <w:r/>
    </w:p>
    <w:p>
      <w:pPr>
        <w:pStyle w:val="923"/>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3"/>
        <w:ind w:firstLine="480"/>
        <w:rPr>
          <w:sz w:val="24"/>
          <w:szCs w:val="24"/>
        </w:rPr>
      </w:pPr>
      <w:r>
        <w:rPr>
          <w:rFonts w:hint="eastAsia" w:ascii="宋体" w:hAnsi="宋体"/>
          <w:sz w:val="24"/>
          <w:szCs w:val="24"/>
        </w:rPr>
        <w:t xml:space="preserve">项目名称：</w:t>
      </w:r>
      <w:r>
        <w:rPr>
          <w:sz w:val="24"/>
          <w:szCs w:val="24"/>
        </w:rPr>
      </w:r>
      <w:r/>
    </w:p>
    <w:p>
      <w:pPr>
        <w:pStyle w:val="92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3"/>
        <w:rPr>
          <w:rFonts w:ascii="宋体" w:hAnsi="宋体"/>
          <w:sz w:val="24"/>
          <w:szCs w:val="24"/>
        </w:rPr>
      </w:pPr>
      <w:r>
        <w:rPr>
          <w:rFonts w:ascii="宋体" w:hAnsi="宋体"/>
          <w:sz w:val="24"/>
          <w:szCs w:val="24"/>
        </w:rPr>
      </w:r>
      <w:r/>
    </w:p>
    <w:p>
      <w:pPr>
        <w:pStyle w:val="92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23"/>
        <w:ind w:firstLine="480"/>
        <w:rPr>
          <w:rFonts w:hint="eastAsia" w:ascii="宋体" w:hAnsi="宋体"/>
          <w:sz w:val="24"/>
          <w:szCs w:val="24"/>
        </w:rPr>
      </w:pPr>
      <w:r>
        <w:rPr>
          <w:rFonts w:hint="eastAsia" w:ascii="宋体" w:hAnsi="宋体"/>
          <w:sz w:val="24"/>
          <w:szCs w:val="24"/>
        </w:rPr>
      </w:r>
      <w:r/>
    </w:p>
    <w:p>
      <w:pPr>
        <w:pStyle w:val="923"/>
        <w:ind w:firstLine="480"/>
        <w:spacing w:line="360" w:lineRule="auto"/>
        <w:rPr>
          <w:rFonts w:ascii="宋体" w:hAnsi="宋体" w:cs="宋体"/>
          <w:sz w:val="24"/>
          <w:szCs w:val="22"/>
        </w:rPr>
      </w:pPr>
      <w:r>
        <w:rPr>
          <w:rFonts w:ascii="宋体" w:hAnsi="宋体" w:cs="宋体"/>
          <w:sz w:val="24"/>
          <w:szCs w:val="22"/>
        </w:rPr>
      </w:r>
      <w:r/>
    </w:p>
    <w:p>
      <w:pPr>
        <w:pStyle w:val="923"/>
        <w:ind w:firstLine="480"/>
        <w:rPr>
          <w:rFonts w:ascii="宋体" w:hAnsi="宋体"/>
          <w:sz w:val="24"/>
          <w:szCs w:val="24"/>
        </w:rPr>
      </w:pPr>
      <w:r>
        <w:rPr>
          <w:rFonts w:ascii="宋体" w:hAnsi="宋体"/>
          <w:sz w:val="24"/>
          <w:szCs w:val="24"/>
        </w:rPr>
      </w:r>
      <w:r/>
    </w:p>
    <w:p>
      <w:pPr>
        <w:pStyle w:val="923"/>
        <w:ind w:firstLine="480"/>
        <w:rPr>
          <w:rFonts w:ascii="宋体" w:hAnsi="宋体"/>
          <w:sz w:val="24"/>
          <w:szCs w:val="24"/>
        </w:rPr>
      </w:pPr>
      <w:r>
        <w:rPr>
          <w:rFonts w:ascii="宋体" w:hAnsi="宋体"/>
          <w:sz w:val="24"/>
          <w:szCs w:val="24"/>
        </w:rPr>
      </w:r>
      <w:r/>
    </w:p>
    <w:p>
      <w:pPr>
        <w:pStyle w:val="923"/>
        <w:ind w:firstLine="480"/>
        <w:rPr>
          <w:rFonts w:ascii="宋体" w:hAnsi="宋体"/>
          <w:sz w:val="24"/>
          <w:szCs w:val="24"/>
        </w:rPr>
      </w:pPr>
      <w:r>
        <w:rPr>
          <w:rFonts w:ascii="宋体" w:hAnsi="宋体"/>
          <w:sz w:val="24"/>
          <w:szCs w:val="24"/>
        </w:rPr>
      </w:r>
      <w:r/>
    </w:p>
    <w:p>
      <w:pPr>
        <w:pStyle w:val="923"/>
        <w:ind w:firstLine="480"/>
        <w:rPr>
          <w:rFonts w:ascii="宋体" w:hAnsi="宋体"/>
          <w:sz w:val="24"/>
          <w:szCs w:val="24"/>
        </w:rPr>
      </w:pPr>
      <w:r>
        <w:rPr>
          <w:rFonts w:ascii="宋体" w:hAnsi="宋体"/>
          <w:sz w:val="24"/>
          <w:szCs w:val="24"/>
        </w:rPr>
      </w:r>
      <w:r/>
    </w:p>
    <w:p>
      <w:pPr>
        <w:pStyle w:val="923"/>
        <w:ind w:firstLine="480"/>
        <w:rPr>
          <w:rFonts w:ascii="宋体" w:hAnsi="宋体"/>
          <w:sz w:val="24"/>
          <w:szCs w:val="24"/>
        </w:rPr>
      </w:pPr>
      <w:r>
        <w:rPr>
          <w:rFonts w:ascii="宋体" w:hAnsi="宋体"/>
          <w:sz w:val="24"/>
          <w:szCs w:val="24"/>
        </w:rPr>
      </w:r>
      <w:r/>
    </w:p>
    <w:p>
      <w:pPr>
        <w:pStyle w:val="923"/>
        <w:ind w:firstLine="480"/>
        <w:rPr>
          <w:rFonts w:ascii="宋体" w:hAnsi="宋体"/>
          <w:sz w:val="24"/>
          <w:szCs w:val="24"/>
        </w:rPr>
      </w:pPr>
      <w:r>
        <w:rPr>
          <w:rFonts w:ascii="宋体" w:hAnsi="宋体"/>
          <w:sz w:val="24"/>
          <w:szCs w:val="24"/>
        </w:rPr>
      </w:r>
      <w:r/>
    </w:p>
    <w:p>
      <w:pPr>
        <w:pStyle w:val="1037"/>
        <w:tabs>
          <w:tab w:val="left" w:pos="5250" w:leader="none"/>
        </w:tabs>
        <w:rPr>
          <w:rFonts w:hint="eastAsia"/>
        </w:rPr>
      </w:pPr>
      <w:r>
        <w:rPr>
          <w:rFonts w:hint="eastAsia"/>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hint="eastAsia" w:ascii="宋体" w:hAnsi="宋体" w:cs="仿宋"/>
          <w:b/>
          <w:bCs/>
          <w:sz w:val="32"/>
          <w:szCs w:val="32"/>
        </w:rPr>
      </w:pPr>
      <w:r>
        <w:rPr>
          <w:rFonts w:hint="eastAsia" w:ascii="宋体" w:hAnsi="宋体" w:cs="仿宋"/>
          <w:b/>
          <w:bCs/>
          <w:sz w:val="32"/>
          <w:szCs w:val="32"/>
        </w:rPr>
      </w:r>
      <w:r/>
    </w:p>
    <w:p>
      <w:pPr>
        <w:pStyle w:val="92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sectPr>
      <w:footnotePr/>
      <w:endnotePr/>
      <w:type w:val="nextPage"/>
      <w:pgSz w:w="11906" w:h="16838" w:orient="portrait"/>
      <w:pgMar w:top="1417" w:right="1587" w:bottom="1417" w:left="1366"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rPr>
                              <w:rStyle w:val="995"/>
                              <w:rFonts w:ascii="宋体" w:hAnsi="宋体"/>
                            </w:rPr>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４２</w:t>
                          </w:r>
                          <w:r>
                            <w:rPr>
                              <w:rFonts w:ascii="宋体" w:hAnsi="宋体"/>
                            </w:rPr>
                            <w:fldChar w:fldCharType="end"/>
                          </w:r>
                          <w:r>
                            <w:rPr>
                              <w:rStyle w:val="995"/>
                              <w:rFonts w:ascii="宋体" w:hAnsi="宋体"/>
                            </w:rPr>
                          </w:r>
                          <w:r/>
                        </w:p>
                        <w:p>
                          <w:pPr>
                            <w:pStyle w:val="9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rPr>
                        <w:rStyle w:val="995"/>
                        <w:rFonts w:ascii="宋体" w:hAnsi="宋体"/>
                      </w:rPr>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４２</w:t>
                    </w:r>
                    <w:r>
                      <w:rPr>
                        <w:rFonts w:ascii="宋体" w:hAnsi="宋体"/>
                      </w:rPr>
                      <w:fldChar w:fldCharType="end"/>
                    </w:r>
                    <w:r>
                      <w:rPr>
                        <w:rStyle w:val="995"/>
                        <w:rFonts w:ascii="宋体" w:hAnsi="宋体"/>
                      </w:rPr>
                    </w:r>
                    <w:r/>
                  </w:p>
                  <w:p>
                    <w:pPr>
                      <w:pStyle w:val="92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1"/>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3"/>
        <w:ind w:left="780" w:hanging="360"/>
      </w:pPr>
    </w:lvl>
    <w:lvl w:ilvl="1">
      <w:start w:val="1"/>
      <w:numFmt w:val="lowerLetter"/>
      <w:isLgl w:val="false"/>
      <w:suff w:val="tab"/>
      <w:lvlText w:val="%2)"/>
      <w:lvlJc w:val="left"/>
      <w:pPr>
        <w:pStyle w:val="923"/>
        <w:ind w:left="1260" w:hanging="420"/>
      </w:pPr>
    </w:lvl>
    <w:lvl w:ilvl="2">
      <w:start w:val="1"/>
      <w:numFmt w:val="lowerRoman"/>
      <w:isLgl w:val="false"/>
      <w:suff w:val="tab"/>
      <w:lvlText w:val="%3."/>
      <w:lvlJc w:val="right"/>
      <w:pPr>
        <w:pStyle w:val="923"/>
        <w:ind w:left="1680" w:hanging="420"/>
      </w:pPr>
    </w:lvl>
    <w:lvl w:ilvl="3">
      <w:start w:val="1"/>
      <w:numFmt w:val="decimal"/>
      <w:isLgl w:val="false"/>
      <w:suff w:val="tab"/>
      <w:lvlText w:val="%4."/>
      <w:lvlJc w:val="left"/>
      <w:pPr>
        <w:pStyle w:val="923"/>
        <w:ind w:left="2100" w:hanging="420"/>
      </w:pPr>
    </w:lvl>
    <w:lvl w:ilvl="4">
      <w:start w:val="1"/>
      <w:numFmt w:val="lowerLetter"/>
      <w:isLgl w:val="false"/>
      <w:suff w:val="tab"/>
      <w:lvlText w:val="%5)"/>
      <w:lvlJc w:val="left"/>
      <w:pPr>
        <w:pStyle w:val="923"/>
        <w:ind w:left="2520" w:hanging="420"/>
      </w:pPr>
    </w:lvl>
    <w:lvl w:ilvl="5">
      <w:start w:val="1"/>
      <w:numFmt w:val="lowerRoman"/>
      <w:isLgl w:val="false"/>
      <w:suff w:val="tab"/>
      <w:lvlText w:val="%6."/>
      <w:lvlJc w:val="right"/>
      <w:pPr>
        <w:pStyle w:val="923"/>
        <w:ind w:left="2940" w:hanging="420"/>
      </w:pPr>
    </w:lvl>
    <w:lvl w:ilvl="6">
      <w:start w:val="1"/>
      <w:numFmt w:val="decimal"/>
      <w:isLgl w:val="false"/>
      <w:suff w:val="tab"/>
      <w:lvlText w:val="%7."/>
      <w:lvlJc w:val="left"/>
      <w:pPr>
        <w:pStyle w:val="923"/>
        <w:ind w:left="3360" w:hanging="420"/>
      </w:pPr>
    </w:lvl>
    <w:lvl w:ilvl="7">
      <w:start w:val="1"/>
      <w:numFmt w:val="lowerLetter"/>
      <w:isLgl w:val="false"/>
      <w:suff w:val="tab"/>
      <w:lvlText w:val="%8)"/>
      <w:lvlJc w:val="left"/>
      <w:pPr>
        <w:pStyle w:val="923"/>
        <w:ind w:left="3780" w:hanging="420"/>
      </w:pPr>
    </w:lvl>
    <w:lvl w:ilvl="8">
      <w:start w:val="1"/>
      <w:numFmt w:val="lowerRoman"/>
      <w:isLgl w:val="false"/>
      <w:suff w:val="tab"/>
      <w:lvlText w:val="%9."/>
      <w:lvlJc w:val="right"/>
      <w:pPr>
        <w:pStyle w:val="923"/>
        <w:ind w:left="4200" w:hanging="420"/>
      </w:pPr>
    </w:lvl>
  </w:abstractNum>
  <w:abstractNum w:abstractNumId="3">
    <w:multiLevelType w:val="hybridMultilevel"/>
    <w:lvl w:ilvl="0">
      <w:start w:val="1"/>
      <w:numFmt w:val="decimal"/>
      <w:pStyle w:val="1018"/>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abstractNum w:abstractNumId="5">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2"/>
      <w:lang w:val="en-US" w:eastAsia="zh-CN" w:bidi="ar-SA"/>
    </w:rPr>
  </w:style>
  <w:style w:type="paragraph" w:styleId="924">
    <w:name w:val="标题 1"/>
    <w:basedOn w:val="923"/>
    <w:next w:val="923"/>
    <w:link w:val="935"/>
    <w:qFormat/>
    <w:pPr>
      <w:jc w:val="center"/>
      <w:keepNext/>
      <w:outlineLvl w:val="0"/>
    </w:pPr>
    <w:rPr>
      <w:rFonts w:ascii="楷体_GB2312" w:hAnsi="Times New Roman" w:eastAsia="楷体_GB2312" w:cs="Times New Roman"/>
      <w:sz w:val="28"/>
      <w:szCs w:val="28"/>
    </w:rPr>
  </w:style>
  <w:style w:type="paragraph" w:styleId="925">
    <w:name w:val="标题 2"/>
    <w:basedOn w:val="923"/>
    <w:next w:val="937"/>
    <w:link w:val="936"/>
    <w:qFormat/>
    <w:pPr>
      <w:jc w:val="center"/>
      <w:keepLines/>
      <w:keepNext/>
      <w:spacing w:before="260" w:after="260" w:line="416" w:lineRule="auto"/>
      <w:outlineLvl w:val="1"/>
    </w:pPr>
    <w:rPr>
      <w:rFonts w:ascii="Arial" w:hAnsi="Arial" w:eastAsia="幼圆" w:cs="Arial"/>
      <w:b/>
      <w:bCs/>
      <w:sz w:val="44"/>
      <w:szCs w:val="44"/>
    </w:rPr>
  </w:style>
  <w:style w:type="paragraph" w:styleId="926">
    <w:name w:val="标题 3"/>
    <w:basedOn w:val="923"/>
    <w:next w:val="937"/>
    <w:link w:val="93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7">
    <w:name w:val="标题 4"/>
    <w:basedOn w:val="923"/>
    <w:next w:val="937"/>
    <w:link w:val="940"/>
    <w:qFormat/>
    <w:pPr>
      <w:keepLines/>
      <w:keepNext/>
      <w:spacing w:before="280" w:after="290" w:line="376" w:lineRule="auto"/>
      <w:outlineLvl w:val="3"/>
    </w:pPr>
    <w:rPr>
      <w:rFonts w:ascii="Arial" w:hAnsi="Arial" w:eastAsia="黑体" w:cs="Arial"/>
      <w:b/>
      <w:bCs/>
      <w:sz w:val="28"/>
      <w:szCs w:val="28"/>
    </w:rPr>
  </w:style>
  <w:style w:type="paragraph" w:styleId="928">
    <w:name w:val="标题 5"/>
    <w:basedOn w:val="923"/>
    <w:next w:val="937"/>
    <w:link w:val="941"/>
    <w:qFormat/>
    <w:pPr>
      <w:keepNext/>
      <w:outlineLvl w:val="4"/>
    </w:pPr>
    <w:rPr>
      <w:rFonts w:ascii="宋体" w:hAnsi="Times New Roman" w:eastAsia="宋体" w:cs="Times New Roman"/>
      <w:color w:val="000000"/>
      <w:sz w:val="28"/>
      <w:szCs w:val="28"/>
    </w:rPr>
  </w:style>
  <w:style w:type="paragraph" w:styleId="929">
    <w:name w:val="标题 6"/>
    <w:basedOn w:val="923"/>
    <w:next w:val="923"/>
    <w:link w:val="94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0">
    <w:name w:val="标题 7"/>
    <w:basedOn w:val="923"/>
    <w:next w:val="923"/>
    <w:link w:val="94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1">
    <w:name w:val="标题 8"/>
    <w:basedOn w:val="923"/>
    <w:next w:val="923"/>
    <w:link w:val="94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2">
    <w:name w:val="标题 9"/>
    <w:basedOn w:val="923"/>
    <w:next w:val="923"/>
    <w:link w:val="94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3">
    <w:name w:val="默认段落字体"/>
    <w:next w:val="933"/>
    <w:link w:val="923"/>
    <w:uiPriority w:val="1"/>
    <w:unhideWhenUsed/>
  </w:style>
  <w:style w:type="table" w:styleId="934">
    <w:name w:val="普通表格"/>
    <w:next w:val="934"/>
    <w:link w:val="923"/>
    <w:uiPriority w:val="99"/>
    <w:unhideWhenUsed/>
    <w:tblPr/>
  </w:style>
  <w:style w:type="character" w:styleId="935">
    <w:name w:val="标题 1 Char"/>
    <w:next w:val="935"/>
    <w:link w:val="924"/>
    <w:rPr>
      <w:rFonts w:ascii="楷体_GB2312" w:hAnsi="Times New Roman" w:eastAsia="楷体_GB2312" w:cs="Times New Roman"/>
      <w:sz w:val="28"/>
      <w:szCs w:val="28"/>
    </w:rPr>
  </w:style>
  <w:style w:type="character" w:styleId="936">
    <w:name w:val="标题 2 Char"/>
    <w:next w:val="936"/>
    <w:link w:val="925"/>
    <w:rPr>
      <w:rFonts w:ascii="Arial" w:hAnsi="Arial" w:eastAsia="幼圆" w:cs="Arial"/>
      <w:b/>
      <w:bCs/>
      <w:sz w:val="44"/>
      <w:szCs w:val="44"/>
    </w:rPr>
  </w:style>
  <w:style w:type="paragraph" w:styleId="937">
    <w:name w:val="正文缩进"/>
    <w:basedOn w:val="923"/>
    <w:next w:val="923"/>
    <w:link w:val="938"/>
    <w:pPr>
      <w:ind w:firstLine="420"/>
    </w:pPr>
    <w:rPr>
      <w:szCs w:val="21"/>
    </w:rPr>
  </w:style>
  <w:style w:type="character" w:styleId="938">
    <w:name w:val="正文缩进 Char"/>
    <w:next w:val="938"/>
    <w:link w:val="937"/>
    <w:rPr>
      <w:szCs w:val="21"/>
    </w:rPr>
  </w:style>
  <w:style w:type="character" w:styleId="939">
    <w:name w:val="标题 3 Char"/>
    <w:next w:val="939"/>
    <w:link w:val="926"/>
    <w:rPr>
      <w:rFonts w:ascii="Times New Roman" w:hAnsi="Times New Roman" w:eastAsia="宋体" w:cs="Times New Roman"/>
      <w:b/>
      <w:bCs/>
      <w:sz w:val="32"/>
      <w:szCs w:val="32"/>
    </w:rPr>
  </w:style>
  <w:style w:type="character" w:styleId="940">
    <w:name w:val="标题 4 Char"/>
    <w:next w:val="940"/>
    <w:link w:val="927"/>
    <w:rPr>
      <w:rFonts w:ascii="Arial" w:hAnsi="Arial" w:eastAsia="黑体" w:cs="Arial"/>
      <w:b/>
      <w:bCs/>
      <w:sz w:val="28"/>
      <w:szCs w:val="28"/>
    </w:rPr>
  </w:style>
  <w:style w:type="character" w:styleId="941">
    <w:name w:val="标题 5 Char"/>
    <w:next w:val="941"/>
    <w:link w:val="928"/>
    <w:rPr>
      <w:rFonts w:ascii="宋体" w:hAnsi="Times New Roman" w:eastAsia="宋体" w:cs="Times New Roman"/>
      <w:color w:val="000000"/>
      <w:sz w:val="28"/>
      <w:szCs w:val="28"/>
    </w:rPr>
  </w:style>
  <w:style w:type="character" w:styleId="942">
    <w:name w:val="标题 6 Char"/>
    <w:next w:val="942"/>
    <w:link w:val="929"/>
    <w:rPr>
      <w:rFonts w:ascii="Arial" w:hAnsi="Arial" w:eastAsia="黑体" w:cs="Times New Roman"/>
      <w:b/>
      <w:bCs/>
      <w:sz w:val="24"/>
      <w:szCs w:val="24"/>
    </w:rPr>
  </w:style>
  <w:style w:type="character" w:styleId="943">
    <w:name w:val="标题 7 Char"/>
    <w:next w:val="943"/>
    <w:link w:val="930"/>
    <w:rPr>
      <w:rFonts w:ascii="Times New Roman" w:hAnsi="Times New Roman" w:eastAsia="宋体" w:cs="Times New Roman"/>
      <w:b/>
      <w:bCs/>
      <w:sz w:val="24"/>
      <w:szCs w:val="24"/>
    </w:rPr>
  </w:style>
  <w:style w:type="character" w:styleId="944">
    <w:name w:val="标题 8 Char"/>
    <w:next w:val="944"/>
    <w:link w:val="931"/>
    <w:rPr>
      <w:rFonts w:ascii="Arial" w:hAnsi="Arial" w:eastAsia="黑体" w:cs="Times New Roman"/>
      <w:sz w:val="24"/>
      <w:szCs w:val="24"/>
    </w:rPr>
  </w:style>
  <w:style w:type="character" w:styleId="945">
    <w:name w:val="标题 9 Char"/>
    <w:next w:val="945"/>
    <w:link w:val="932"/>
    <w:rPr>
      <w:rFonts w:ascii="Arial" w:hAnsi="Arial" w:eastAsia="黑体" w:cs="Times New Roman"/>
      <w:szCs w:val="21"/>
    </w:rPr>
  </w:style>
  <w:style w:type="paragraph" w:styleId="946">
    <w:name w:val="列表 3"/>
    <w:basedOn w:val="923"/>
    <w:next w:val="946"/>
    <w:link w:val="923"/>
    <w:pPr>
      <w:ind w:left="100" w:hanging="200"/>
    </w:pPr>
    <w:rPr>
      <w:rFonts w:ascii="Times New Roman" w:hAnsi="Times New Roman" w:eastAsia="宋体" w:cs="Times New Roman"/>
      <w:szCs w:val="21"/>
    </w:rPr>
  </w:style>
  <w:style w:type="paragraph" w:styleId="947">
    <w:name w:val="目录 7"/>
    <w:basedOn w:val="923"/>
    <w:next w:val="923"/>
    <w:link w:val="923"/>
    <w:semiHidden/>
    <w:pPr>
      <w:ind w:left="1260"/>
      <w:jc w:val="left"/>
    </w:pPr>
    <w:rPr>
      <w:rFonts w:ascii="Times New Roman" w:hAnsi="Times New Roman" w:eastAsia="宋体" w:cs="Times New Roman"/>
      <w:szCs w:val="21"/>
    </w:rPr>
  </w:style>
  <w:style w:type="paragraph" w:styleId="948">
    <w:name w:val="文档结构图"/>
    <w:basedOn w:val="923"/>
    <w:next w:val="948"/>
    <w:link w:val="949"/>
    <w:semiHidden/>
    <w:pPr>
      <w:shd w:val="clear" w:color="auto" w:fill="000080"/>
    </w:pPr>
    <w:rPr>
      <w:rFonts w:ascii="Times New Roman" w:hAnsi="Times New Roman" w:eastAsia="宋体" w:cs="Times New Roman"/>
      <w:szCs w:val="21"/>
    </w:rPr>
  </w:style>
  <w:style w:type="character" w:styleId="949">
    <w:name w:val="文档结构图 Char"/>
    <w:next w:val="949"/>
    <w:link w:val="948"/>
    <w:semiHidden/>
    <w:rPr>
      <w:rFonts w:ascii="Times New Roman" w:hAnsi="Times New Roman" w:eastAsia="宋体" w:cs="Times New Roman"/>
      <w:szCs w:val="21"/>
      <w:shd w:val="clear" w:color="auto" w:fill="000080"/>
    </w:rPr>
  </w:style>
  <w:style w:type="paragraph" w:styleId="950">
    <w:name w:val="批注文字"/>
    <w:basedOn w:val="923"/>
    <w:next w:val="950"/>
    <w:link w:val="951"/>
    <w:unhideWhenUsed/>
    <w:pPr>
      <w:jc w:val="left"/>
    </w:pPr>
  </w:style>
  <w:style w:type="character" w:styleId="951">
    <w:name w:val="批注文字 Char"/>
    <w:basedOn w:val="933"/>
    <w:next w:val="951"/>
    <w:link w:val="950"/>
    <w:uiPriority w:val="99"/>
    <w:semiHidden/>
  </w:style>
  <w:style w:type="paragraph" w:styleId="952">
    <w:name w:val="正文文本 3"/>
    <w:basedOn w:val="923"/>
    <w:next w:val="952"/>
    <w:link w:val="953"/>
    <w:rPr>
      <w:rFonts w:ascii="仿宋_GB2312" w:hAnsi="Arial" w:eastAsia="仿宋_GB2312" w:cs="Times New Roman"/>
      <w:sz w:val="32"/>
      <w:szCs w:val="32"/>
    </w:rPr>
  </w:style>
  <w:style w:type="character" w:styleId="953">
    <w:name w:val="正文文本 3 Char"/>
    <w:next w:val="953"/>
    <w:link w:val="952"/>
    <w:rPr>
      <w:rFonts w:ascii="仿宋_GB2312" w:hAnsi="Arial" w:eastAsia="仿宋_GB2312" w:cs="Times New Roman"/>
      <w:sz w:val="32"/>
      <w:szCs w:val="32"/>
    </w:rPr>
  </w:style>
  <w:style w:type="paragraph" w:styleId="954">
    <w:name w:val="正文文本"/>
    <w:basedOn w:val="923"/>
    <w:next w:val="954"/>
    <w:link w:val="955"/>
    <w:rPr>
      <w:rFonts w:ascii="楷体_GB2312" w:hAnsi="Arial" w:eastAsia="楷体_GB2312" w:cs="Times New Roman"/>
      <w:sz w:val="28"/>
      <w:szCs w:val="28"/>
    </w:rPr>
  </w:style>
  <w:style w:type="character" w:styleId="955">
    <w:name w:val="正文文本 Char"/>
    <w:next w:val="955"/>
    <w:link w:val="954"/>
    <w:rPr>
      <w:rFonts w:ascii="楷体_GB2312" w:hAnsi="Arial" w:eastAsia="楷体_GB2312" w:cs="Times New Roman"/>
      <w:sz w:val="28"/>
      <w:szCs w:val="28"/>
    </w:rPr>
  </w:style>
  <w:style w:type="paragraph" w:styleId="956">
    <w:name w:val="正文文本缩进"/>
    <w:basedOn w:val="923"/>
    <w:next w:val="956"/>
    <w:link w:val="957"/>
    <w:unhideWhenUsed/>
    <w:pPr>
      <w:ind w:left="420"/>
      <w:spacing w:after="120"/>
    </w:pPr>
  </w:style>
  <w:style w:type="character" w:styleId="957">
    <w:name w:val="正文文本缩进 Char"/>
    <w:basedOn w:val="933"/>
    <w:next w:val="957"/>
    <w:link w:val="956"/>
    <w:uiPriority w:val="99"/>
    <w:semiHidden/>
  </w:style>
  <w:style w:type="paragraph" w:styleId="958">
    <w:name w:val="列表 2"/>
    <w:basedOn w:val="923"/>
    <w:next w:val="958"/>
    <w:link w:val="923"/>
    <w:pPr>
      <w:ind w:left="100" w:hanging="200"/>
    </w:pPr>
    <w:rPr>
      <w:rFonts w:ascii="Times New Roman" w:hAnsi="Times New Roman" w:eastAsia="宋体" w:cs="Times New Roman"/>
      <w:szCs w:val="21"/>
    </w:rPr>
  </w:style>
  <w:style w:type="paragraph" w:styleId="959">
    <w:name w:val="目录 5"/>
    <w:basedOn w:val="923"/>
    <w:next w:val="923"/>
    <w:link w:val="923"/>
    <w:semiHidden/>
    <w:pPr>
      <w:ind w:left="840"/>
      <w:jc w:val="left"/>
    </w:pPr>
    <w:rPr>
      <w:rFonts w:ascii="Times New Roman" w:hAnsi="Times New Roman" w:eastAsia="宋体" w:cs="Times New Roman"/>
      <w:szCs w:val="21"/>
    </w:rPr>
  </w:style>
  <w:style w:type="paragraph" w:styleId="960">
    <w:name w:val="目录 3"/>
    <w:basedOn w:val="923"/>
    <w:next w:val="923"/>
    <w:link w:val="923"/>
    <w:semiHidden/>
    <w:pPr>
      <w:ind w:left="420"/>
      <w:jc w:val="left"/>
    </w:pPr>
    <w:rPr>
      <w:rFonts w:ascii="Times New Roman" w:hAnsi="Times New Roman" w:eastAsia="宋体" w:cs="Times New Roman"/>
      <w:i/>
      <w:iCs/>
      <w:szCs w:val="24"/>
    </w:rPr>
  </w:style>
  <w:style w:type="paragraph" w:styleId="961">
    <w:name w:val="纯文本"/>
    <w:basedOn w:val="923"/>
    <w:next w:val="961"/>
    <w:link w:val="962"/>
    <w:rPr>
      <w:rFonts w:ascii="宋体" w:hAnsi="Courier New" w:eastAsia="宋体" w:cs="Courier New"/>
      <w:szCs w:val="21"/>
    </w:rPr>
  </w:style>
  <w:style w:type="character" w:styleId="962">
    <w:name w:val="纯文本 Char"/>
    <w:next w:val="962"/>
    <w:link w:val="961"/>
    <w:rPr>
      <w:rFonts w:ascii="宋体" w:hAnsi="Courier New" w:eastAsia="宋体" w:cs="Courier New"/>
      <w:szCs w:val="21"/>
    </w:rPr>
  </w:style>
  <w:style w:type="paragraph" w:styleId="963">
    <w:name w:val="目录 8"/>
    <w:basedOn w:val="923"/>
    <w:next w:val="923"/>
    <w:link w:val="923"/>
    <w:semiHidden/>
    <w:pPr>
      <w:ind w:left="1470"/>
      <w:jc w:val="left"/>
    </w:pPr>
    <w:rPr>
      <w:rFonts w:ascii="Times New Roman" w:hAnsi="Times New Roman" w:eastAsia="宋体" w:cs="Times New Roman"/>
      <w:szCs w:val="21"/>
    </w:rPr>
  </w:style>
  <w:style w:type="paragraph" w:styleId="964">
    <w:name w:val="日期"/>
    <w:basedOn w:val="923"/>
    <w:next w:val="923"/>
    <w:link w:val="965"/>
    <w:rPr>
      <w:rFonts w:ascii="Times New Roman" w:hAnsi="Times New Roman" w:eastAsia="宋体" w:cs="Times New Roman"/>
      <w:sz w:val="24"/>
      <w:szCs w:val="24"/>
    </w:rPr>
  </w:style>
  <w:style w:type="character" w:styleId="965">
    <w:name w:val="日期 Char"/>
    <w:next w:val="965"/>
    <w:link w:val="964"/>
    <w:rPr>
      <w:rFonts w:ascii="Times New Roman" w:hAnsi="Times New Roman" w:eastAsia="宋体" w:cs="Times New Roman"/>
      <w:sz w:val="24"/>
      <w:szCs w:val="24"/>
    </w:rPr>
  </w:style>
  <w:style w:type="paragraph" w:styleId="966">
    <w:name w:val="正文文本缩进 2"/>
    <w:basedOn w:val="923"/>
    <w:next w:val="966"/>
    <w:link w:val="967"/>
    <w:pPr>
      <w:ind w:left="630" w:firstLine="645"/>
    </w:pPr>
    <w:rPr>
      <w:rFonts w:ascii="Arial" w:hAnsi="Arial" w:eastAsia="仿宋_GB2312" w:cs="Arial"/>
      <w:sz w:val="32"/>
      <w:szCs w:val="32"/>
    </w:rPr>
  </w:style>
  <w:style w:type="character" w:styleId="967">
    <w:name w:val="正文文本缩进 2 Char"/>
    <w:next w:val="967"/>
    <w:link w:val="966"/>
    <w:rPr>
      <w:rFonts w:ascii="Arial" w:hAnsi="Arial" w:eastAsia="仿宋_GB2312" w:cs="Arial"/>
      <w:sz w:val="32"/>
      <w:szCs w:val="32"/>
    </w:rPr>
  </w:style>
  <w:style w:type="paragraph" w:styleId="968">
    <w:name w:val="批注框文本"/>
    <w:basedOn w:val="923"/>
    <w:next w:val="968"/>
    <w:link w:val="969"/>
    <w:semiHidden/>
    <w:rPr>
      <w:rFonts w:ascii="Times New Roman" w:hAnsi="Times New Roman" w:eastAsia="宋体" w:cs="Times New Roman"/>
      <w:sz w:val="18"/>
      <w:szCs w:val="18"/>
    </w:rPr>
  </w:style>
  <w:style w:type="character" w:styleId="969">
    <w:name w:val="批注框文本 Char"/>
    <w:next w:val="969"/>
    <w:link w:val="968"/>
    <w:semiHidden/>
    <w:rPr>
      <w:rFonts w:ascii="Times New Roman" w:hAnsi="Times New Roman" w:eastAsia="宋体" w:cs="Times New Roman"/>
      <w:sz w:val="18"/>
      <w:szCs w:val="18"/>
    </w:rPr>
  </w:style>
  <w:style w:type="paragraph" w:styleId="970">
    <w:name w:val="页脚"/>
    <w:basedOn w:val="923"/>
    <w:next w:val="970"/>
    <w:link w:val="971"/>
    <w:pPr>
      <w:jc w:val="left"/>
      <w:tabs>
        <w:tab w:val="center" w:pos="4153" w:leader="none"/>
        <w:tab w:val="right" w:pos="8306" w:leader="none"/>
      </w:tabs>
    </w:pPr>
    <w:rPr>
      <w:rFonts w:ascii="Times New Roman" w:hAnsi="Times New Roman" w:eastAsia="宋体" w:cs="Times New Roman"/>
      <w:sz w:val="18"/>
      <w:szCs w:val="18"/>
    </w:rPr>
  </w:style>
  <w:style w:type="character" w:styleId="971">
    <w:name w:val="页脚 Char"/>
    <w:next w:val="971"/>
    <w:link w:val="970"/>
    <w:rPr>
      <w:rFonts w:ascii="Times New Roman" w:hAnsi="Times New Roman" w:eastAsia="宋体" w:cs="Times New Roman"/>
      <w:sz w:val="18"/>
      <w:szCs w:val="18"/>
    </w:rPr>
  </w:style>
  <w:style w:type="paragraph" w:styleId="972">
    <w:name w:val="页眉"/>
    <w:basedOn w:val="923"/>
    <w:next w:val="972"/>
    <w:link w:val="97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73">
    <w:name w:val="页眉 Char"/>
    <w:next w:val="973"/>
    <w:link w:val="972"/>
    <w:rPr>
      <w:rFonts w:ascii="Times New Roman" w:hAnsi="Times New Roman" w:eastAsia="宋体" w:cs="Times New Roman"/>
      <w:sz w:val="18"/>
      <w:szCs w:val="18"/>
    </w:rPr>
  </w:style>
  <w:style w:type="paragraph" w:styleId="974">
    <w:name w:val="目录 1"/>
    <w:basedOn w:val="923"/>
    <w:next w:val="923"/>
    <w:link w:val="92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5">
    <w:name w:val="目录 4"/>
    <w:basedOn w:val="923"/>
    <w:next w:val="923"/>
    <w:link w:val="923"/>
    <w:semiHidden/>
    <w:pPr>
      <w:ind w:left="630"/>
      <w:jc w:val="left"/>
    </w:pPr>
    <w:rPr>
      <w:rFonts w:ascii="Times New Roman" w:hAnsi="Times New Roman" w:eastAsia="宋体" w:cs="Times New Roman"/>
      <w:szCs w:val="21"/>
    </w:rPr>
  </w:style>
  <w:style w:type="paragraph" w:styleId="976">
    <w:name w:val="列表"/>
    <w:basedOn w:val="923"/>
    <w:next w:val="976"/>
    <w:link w:val="923"/>
    <w:pPr>
      <w:ind w:left="200" w:hanging="200"/>
    </w:pPr>
    <w:rPr>
      <w:rFonts w:ascii="Times New Roman" w:hAnsi="Times New Roman" w:eastAsia="宋体" w:cs="Times New Roman"/>
      <w:szCs w:val="21"/>
    </w:rPr>
  </w:style>
  <w:style w:type="paragraph" w:styleId="977">
    <w:name w:val="目录 6"/>
    <w:basedOn w:val="923"/>
    <w:next w:val="923"/>
    <w:link w:val="923"/>
    <w:semiHidden/>
    <w:pPr>
      <w:ind w:left="1050"/>
      <w:jc w:val="left"/>
    </w:pPr>
    <w:rPr>
      <w:rFonts w:ascii="Times New Roman" w:hAnsi="Times New Roman" w:eastAsia="宋体" w:cs="Times New Roman"/>
      <w:szCs w:val="21"/>
    </w:rPr>
  </w:style>
  <w:style w:type="paragraph" w:styleId="978">
    <w:name w:val="正文文本缩进 3"/>
    <w:basedOn w:val="923"/>
    <w:next w:val="978"/>
    <w:link w:val="979"/>
    <w:pPr>
      <w:ind w:left="645" w:firstLine="645"/>
    </w:pPr>
    <w:rPr>
      <w:rFonts w:ascii="Arial" w:hAnsi="Arial" w:eastAsia="仿宋_GB2312" w:cs="Arial"/>
      <w:color w:val="ffff00"/>
      <w:sz w:val="32"/>
      <w:szCs w:val="32"/>
    </w:rPr>
  </w:style>
  <w:style w:type="character" w:styleId="979">
    <w:name w:val="正文文本缩进 3 Char"/>
    <w:next w:val="979"/>
    <w:link w:val="978"/>
    <w:rPr>
      <w:rFonts w:ascii="Arial" w:hAnsi="Arial" w:eastAsia="仿宋_GB2312" w:cs="Arial"/>
      <w:color w:val="ffff00"/>
      <w:sz w:val="32"/>
      <w:szCs w:val="32"/>
    </w:rPr>
  </w:style>
  <w:style w:type="paragraph" w:styleId="980">
    <w:name w:val="图表目录"/>
    <w:basedOn w:val="923"/>
    <w:next w:val="923"/>
    <w:link w:val="923"/>
    <w:semiHidden/>
    <w:pPr>
      <w:ind w:left="840" w:hanging="420"/>
    </w:pPr>
    <w:rPr>
      <w:rFonts w:ascii="Times New Roman" w:hAnsi="Times New Roman" w:eastAsia="宋体" w:cs="Times New Roman"/>
      <w:szCs w:val="21"/>
    </w:rPr>
  </w:style>
  <w:style w:type="paragraph" w:styleId="981">
    <w:name w:val="目录 2"/>
    <w:basedOn w:val="923"/>
    <w:next w:val="923"/>
    <w:link w:val="923"/>
    <w:semiHidden/>
    <w:pPr>
      <w:ind w:left="210"/>
      <w:jc w:val="left"/>
    </w:pPr>
    <w:rPr>
      <w:rFonts w:ascii="Times New Roman" w:hAnsi="Times New Roman" w:eastAsia="宋体" w:cs="Times New Roman"/>
      <w:smallCaps/>
      <w:szCs w:val="24"/>
    </w:rPr>
  </w:style>
  <w:style w:type="paragraph" w:styleId="982">
    <w:name w:val="目录 9"/>
    <w:basedOn w:val="923"/>
    <w:next w:val="923"/>
    <w:link w:val="923"/>
    <w:semiHidden/>
    <w:pPr>
      <w:ind w:left="1680"/>
      <w:jc w:val="left"/>
    </w:pPr>
    <w:rPr>
      <w:rFonts w:ascii="Times New Roman" w:hAnsi="Times New Roman" w:eastAsia="宋体" w:cs="Times New Roman"/>
      <w:szCs w:val="21"/>
    </w:rPr>
  </w:style>
  <w:style w:type="paragraph" w:styleId="983">
    <w:name w:val="正文文本 2"/>
    <w:basedOn w:val="923"/>
    <w:next w:val="983"/>
    <w:link w:val="984"/>
    <w:pPr>
      <w:jc w:val="center"/>
      <w:widowControl/>
    </w:pPr>
    <w:rPr>
      <w:rFonts w:ascii="楷体_GB2312" w:hAnsi="Times New Roman" w:eastAsia="楷体_GB2312" w:cs="Times New Roman"/>
      <w:sz w:val="28"/>
      <w:szCs w:val="28"/>
    </w:rPr>
  </w:style>
  <w:style w:type="character" w:styleId="984">
    <w:name w:val="正文文本 2 Char"/>
    <w:next w:val="984"/>
    <w:link w:val="983"/>
    <w:rPr>
      <w:rFonts w:ascii="楷体_GB2312" w:hAnsi="Times New Roman" w:eastAsia="楷体_GB2312" w:cs="Times New Roman"/>
      <w:sz w:val="28"/>
      <w:szCs w:val="28"/>
    </w:rPr>
  </w:style>
  <w:style w:type="paragraph" w:styleId="985">
    <w:name w:val="普通(网站)"/>
    <w:basedOn w:val="923"/>
    <w:next w:val="985"/>
    <w:link w:val="923"/>
    <w:uiPriority w:val="99"/>
    <w:pPr>
      <w:jc w:val="left"/>
      <w:spacing w:before="100" w:beforeAutospacing="1" w:after="100" w:afterAutospacing="1"/>
      <w:widowControl/>
    </w:pPr>
    <w:rPr>
      <w:rFonts w:ascii="宋体" w:hAnsi="宋体" w:eastAsia="宋体" w:cs="宋体"/>
      <w:sz w:val="24"/>
      <w:szCs w:val="24"/>
    </w:rPr>
  </w:style>
  <w:style w:type="paragraph" w:styleId="986">
    <w:name w:val="索引 1"/>
    <w:basedOn w:val="923"/>
    <w:next w:val="923"/>
    <w:link w:val="923"/>
    <w:semiHidden/>
    <w:pPr>
      <w:spacing w:line="240" w:lineRule="atLeast"/>
    </w:pPr>
    <w:rPr>
      <w:rFonts w:ascii="Times New Roman" w:hAnsi="Times New Roman" w:eastAsia="宋体" w:cs="Times New Roman"/>
      <w:b/>
      <w:bCs/>
      <w:szCs w:val="21"/>
    </w:rPr>
  </w:style>
  <w:style w:type="paragraph" w:styleId="987">
    <w:name w:val="批注主题"/>
    <w:basedOn w:val="950"/>
    <w:next w:val="950"/>
    <w:link w:val="988"/>
    <w:semiHidden/>
    <w:rPr>
      <w:rFonts w:ascii="Times New Roman" w:hAnsi="Times New Roman" w:eastAsia="宋体" w:cs="Times New Roman"/>
      <w:b/>
      <w:bCs/>
      <w:szCs w:val="21"/>
    </w:rPr>
  </w:style>
  <w:style w:type="character" w:styleId="988">
    <w:name w:val="批注主题 Char"/>
    <w:next w:val="988"/>
    <w:link w:val="987"/>
    <w:semiHidden/>
    <w:rPr>
      <w:rFonts w:ascii="Times New Roman" w:hAnsi="Times New Roman" w:eastAsia="宋体" w:cs="Times New Roman"/>
      <w:b/>
      <w:bCs/>
      <w:szCs w:val="21"/>
    </w:rPr>
  </w:style>
  <w:style w:type="paragraph" w:styleId="989">
    <w:name w:val="正文首行缩进"/>
    <w:basedOn w:val="923"/>
    <w:next w:val="989"/>
    <w:link w:val="990"/>
    <w:pPr>
      <w:ind w:firstLine="200"/>
      <w:spacing w:line="360" w:lineRule="auto"/>
    </w:pPr>
    <w:rPr>
      <w:rFonts w:ascii="仿宋_GB2312" w:hAnsi="Times New Roman" w:eastAsia="仿宋_GB2312" w:cs="Times New Roman"/>
      <w:sz w:val="30"/>
      <w:szCs w:val="30"/>
    </w:rPr>
  </w:style>
  <w:style w:type="character" w:styleId="990">
    <w:name w:val="正文首行缩进 Char"/>
    <w:next w:val="990"/>
    <w:link w:val="989"/>
    <w:rPr>
      <w:rFonts w:ascii="仿宋_GB2312" w:hAnsi="Times New Roman" w:eastAsia="仿宋_GB2312" w:cs="Times New Roman"/>
      <w:sz w:val="30"/>
      <w:szCs w:val="30"/>
    </w:rPr>
  </w:style>
  <w:style w:type="paragraph" w:styleId="991">
    <w:name w:val="正文首行缩进 2"/>
    <w:basedOn w:val="956"/>
    <w:next w:val="991"/>
    <w:link w:val="992"/>
    <w:pPr>
      <w:ind w:left="0" w:firstLine="420"/>
      <w:spacing w:after="0" w:line="360" w:lineRule="auto"/>
    </w:pPr>
    <w:rPr>
      <w:rFonts w:ascii="宋体" w:hAnsi="宋体" w:eastAsia="宋体" w:cs="Times New Roman"/>
      <w:szCs w:val="20"/>
    </w:rPr>
  </w:style>
  <w:style w:type="character" w:styleId="992">
    <w:name w:val="正文首行缩进 2 Char"/>
    <w:next w:val="992"/>
    <w:link w:val="991"/>
    <w:rPr>
      <w:rFonts w:ascii="宋体" w:hAnsi="宋体" w:eastAsia="宋体" w:cs="Times New Roman"/>
      <w:szCs w:val="20"/>
    </w:rPr>
  </w:style>
  <w:style w:type="table" w:styleId="993">
    <w:name w:val="网格型"/>
    <w:basedOn w:val="934"/>
    <w:next w:val="993"/>
    <w:link w:val="923"/>
    <w:pPr>
      <w:jc w:val="both"/>
      <w:widowControl w:val="off"/>
    </w:pPr>
    <w:rPr>
      <w:rFonts w:ascii="Times New Roman" w:hAnsi="Times New Roman" w:eastAsia="宋体" w:cs="Times New Roman"/>
      <w:sz w:val="20"/>
      <w:szCs w:val="20"/>
    </w:rPr>
    <w:tblPr/>
  </w:style>
  <w:style w:type="character" w:styleId="994">
    <w:name w:val="要点"/>
    <w:next w:val="994"/>
    <w:link w:val="923"/>
    <w:qFormat/>
    <w:rPr>
      <w:b/>
      <w:bCs/>
    </w:rPr>
  </w:style>
  <w:style w:type="character" w:styleId="995">
    <w:name w:val="页码"/>
    <w:next w:val="995"/>
    <w:link w:val="923"/>
  </w:style>
  <w:style w:type="character" w:styleId="996">
    <w:name w:val="已访问的超链接"/>
    <w:next w:val="996"/>
    <w:link w:val="923"/>
    <w:rPr>
      <w:color w:val="800080"/>
      <w:u w:val="single"/>
    </w:rPr>
  </w:style>
  <w:style w:type="character" w:styleId="997">
    <w:name w:val="超链接"/>
    <w:next w:val="997"/>
    <w:link w:val="923"/>
    <w:rPr>
      <w:color w:val="0000ff"/>
      <w:u w:val="single"/>
    </w:rPr>
  </w:style>
  <w:style w:type="character" w:styleId="998">
    <w:name w:val="批注引用"/>
    <w:next w:val="998"/>
    <w:link w:val="923"/>
    <w:semiHidden/>
    <w:rPr>
      <w:sz w:val="21"/>
      <w:szCs w:val="21"/>
    </w:rPr>
  </w:style>
  <w:style w:type="character" w:styleId="999">
    <w:name w:val="font5 Char"/>
    <w:next w:val="999"/>
    <w:link w:val="923"/>
    <w:rPr>
      <w:rFonts w:ascii="宋体" w:hAnsi="宋体" w:eastAsia="宋体"/>
      <w:sz w:val="28"/>
      <w:szCs w:val="28"/>
      <w:lang w:val="en-US" w:eastAsia="zh-CN" w:bidi="ar-SA"/>
    </w:rPr>
  </w:style>
  <w:style w:type="character" w:styleId="1000">
    <w:name w:val="二级目录 Char"/>
    <w:next w:val="1000"/>
    <w:link w:val="1001"/>
    <w:rPr>
      <w:b/>
      <w:sz w:val="30"/>
      <w:szCs w:val="28"/>
    </w:rPr>
  </w:style>
  <w:style w:type="paragraph" w:styleId="1001">
    <w:name w:val="二级目录"/>
    <w:next w:val="923"/>
    <w:link w:val="1000"/>
    <w:pPr>
      <w:numPr>
        <w:ilvl w:val="0"/>
        <w:numId w:val="2"/>
      </w:numPr>
      <w:tabs>
        <w:tab w:val="left" w:pos="907" w:leader="none"/>
        <w:tab w:val="left" w:pos="1145" w:leader="none"/>
      </w:tabs>
      <w:outlineLvl w:val="1"/>
    </w:pPr>
    <w:rPr>
      <w:b/>
      <w:sz w:val="30"/>
      <w:szCs w:val="28"/>
      <w:lang w:val="en-US" w:eastAsia="zh-CN" w:bidi="ar-SA"/>
    </w:rPr>
  </w:style>
  <w:style w:type="character" w:styleId="1002">
    <w:name w:val="列出段落 Char,Bullet List Char,numbered Char,FooterText Char,List Paragraph1 Char,Paragraphe de liste1 Char"/>
    <w:next w:val="1002"/>
    <w:link w:val="1003"/>
    <w:rPr>
      <w:rFonts w:ascii="Calibri" w:hAnsi="Calibri"/>
      <w:sz w:val="24"/>
      <w:szCs w:val="24"/>
      <w:lang w:eastAsia="en-US" w:bidi="en-US"/>
    </w:rPr>
  </w:style>
  <w:style w:type="paragraph" w:styleId="1003">
    <w:name w:val="列出段落1"/>
    <w:basedOn w:val="923"/>
    <w:next w:val="1003"/>
    <w:link w:val="1002"/>
    <w:qFormat/>
    <w:pPr>
      <w:contextualSpacing/>
      <w:ind w:left="720"/>
      <w:jc w:val="left"/>
      <w:widowControl/>
    </w:pPr>
    <w:rPr>
      <w:rFonts w:ascii="Calibri" w:hAnsi="Calibri"/>
      <w:sz w:val="24"/>
      <w:szCs w:val="24"/>
      <w:lang w:eastAsia="en-US" w:bidi="en-US"/>
    </w:rPr>
  </w:style>
  <w:style w:type="paragraph" w:styleId="1004">
    <w:name w:val="Body Text(ch)"/>
    <w:basedOn w:val="923"/>
    <w:next w:val="954"/>
    <w:link w:val="923"/>
    <w:pPr>
      <w:spacing w:after="120"/>
    </w:pPr>
    <w:rPr>
      <w:rFonts w:ascii="宋体" w:hAnsi="Arial" w:eastAsia="宋体" w:cs="Times New Roman"/>
      <w:bCs/>
      <w:iCs/>
      <w:szCs w:val="24"/>
    </w:rPr>
  </w:style>
  <w:style w:type="paragraph" w:styleId="1005">
    <w:name w:val="xl27"/>
    <w:basedOn w:val="923"/>
    <w:next w:val="1005"/>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6">
    <w:name w:val="xl26"/>
    <w:basedOn w:val="923"/>
    <w:next w:val="1006"/>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Char"/>
    <w:basedOn w:val="923"/>
    <w:next w:val="1007"/>
    <w:link w:val="923"/>
    <w:pPr>
      <w:ind w:firstLine="200"/>
      <w:tabs>
        <w:tab w:val="left" w:pos="360" w:leader="none"/>
      </w:tabs>
    </w:pPr>
    <w:rPr>
      <w:rFonts w:ascii="Times New Roman" w:hAnsi="Times New Roman" w:eastAsia="宋体" w:cs="Times New Roman"/>
      <w:sz w:val="28"/>
      <w:szCs w:val="30"/>
    </w:rPr>
  </w:style>
  <w:style w:type="paragraph" w:styleId="1008">
    <w:name w:val=" Char"/>
    <w:basedOn w:val="948"/>
    <w:next w:val="1008"/>
    <w:link w:val="923"/>
    <w:rPr>
      <w:rFonts w:ascii="Tahoma" w:hAnsi="Tahoma"/>
      <w:sz w:val="24"/>
      <w:szCs w:val="24"/>
    </w:rPr>
  </w:style>
  <w:style w:type="paragraph" w:styleId="1009">
    <w:name w:val="普通正文"/>
    <w:basedOn w:val="923"/>
    <w:next w:val="1009"/>
    <w:link w:val="923"/>
    <w:pPr>
      <w:ind w:firstLine="480"/>
      <w:jc w:val="left"/>
      <w:spacing w:before="120" w:after="120" w:line="360" w:lineRule="auto"/>
    </w:pPr>
    <w:rPr>
      <w:rFonts w:ascii="Arial" w:hAnsi="Arial" w:eastAsia="宋体" w:cs="Times New Roman"/>
      <w:sz w:val="24"/>
      <w:szCs w:val="24"/>
    </w:rPr>
  </w:style>
  <w:style w:type="paragraph" w:styleId="1010">
    <w:name w:val="table_lines"/>
    <w:basedOn w:val="923"/>
    <w:next w:val="1010"/>
    <w:link w:val="923"/>
    <w:pPr>
      <w:jc w:val="left"/>
      <w:widowControl/>
    </w:pPr>
    <w:rPr>
      <w:rFonts w:ascii="Times New Roman" w:hAnsi="Times New Roman" w:eastAsia="宋体" w:cs="Times New Roman"/>
      <w:sz w:val="20"/>
      <w:szCs w:val="20"/>
      <w:lang w:val="de-DE" w:eastAsia="de-DE"/>
    </w:rPr>
  </w:style>
  <w:style w:type="paragraph" w:styleId="1011">
    <w:name w:val="附录1"/>
    <w:next w:val="1011"/>
    <w:link w:val="9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2">
    <w:name w:val="font7"/>
    <w:basedOn w:val="923"/>
    <w:next w:val="1012"/>
    <w:link w:val="923"/>
    <w:pPr>
      <w:jc w:val="left"/>
      <w:spacing w:before="100" w:beforeAutospacing="1" w:after="100" w:afterAutospacing="1"/>
      <w:widowControl/>
    </w:pPr>
    <w:rPr>
      <w:rFonts w:hint="eastAsia" w:ascii="宋体" w:hAnsi="宋体" w:eastAsia="宋体" w:cs="Times New Roman"/>
      <w:sz w:val="18"/>
      <w:szCs w:val="18"/>
    </w:rPr>
  </w:style>
  <w:style w:type="paragraph" w:styleId="1013">
    <w:name w:val=" Char Char Char Char"/>
    <w:basedOn w:val="948"/>
    <w:next w:val="1013"/>
    <w:link w:val="923"/>
    <w:pPr>
      <w:spacing w:line="360" w:lineRule="auto"/>
    </w:pPr>
    <w:rPr>
      <w:rFonts w:ascii="Tahoma" w:hAnsi="Tahoma"/>
      <w:sz w:val="24"/>
      <w:szCs w:val="24"/>
    </w:rPr>
  </w:style>
  <w:style w:type="paragraph" w:styleId="1014">
    <w:name w:val="列出段落"/>
    <w:basedOn w:val="923"/>
    <w:next w:val="1014"/>
    <w:link w:val="923"/>
    <w:qFormat/>
    <w:pPr>
      <w:contextualSpacing/>
      <w:ind w:left="720"/>
      <w:jc w:val="left"/>
      <w:widowControl/>
    </w:pPr>
    <w:rPr>
      <w:rFonts w:ascii="Calibri" w:hAnsi="Calibri" w:eastAsia="宋体" w:cs="Times New Roman"/>
      <w:sz w:val="24"/>
      <w:szCs w:val="24"/>
      <w:lang w:eastAsia="en-US" w:bidi="en-US"/>
    </w:rPr>
  </w:style>
  <w:style w:type="paragraph" w:styleId="1015">
    <w:name w:val="4"/>
    <w:basedOn w:val="923"/>
    <w:next w:val="978"/>
    <w:link w:val="923"/>
    <w:pPr>
      <w:ind w:firstLine="420"/>
      <w:spacing w:line="360" w:lineRule="auto"/>
    </w:pPr>
    <w:rPr>
      <w:rFonts w:ascii="Times New Roman" w:hAnsi="Times New Roman" w:eastAsia="宋体" w:cs="Times New Roman"/>
      <w:color w:val="ff0000"/>
      <w:sz w:val="24"/>
      <w:szCs w:val="24"/>
    </w:rPr>
  </w:style>
  <w:style w:type="paragraph" w:styleId="1016">
    <w:name w:val="普通 (Web)"/>
    <w:basedOn w:val="923"/>
    <w:next w:val="1016"/>
    <w:link w:val="923"/>
    <w:pPr>
      <w:jc w:val="left"/>
      <w:spacing w:before="100" w:beforeAutospacing="1" w:after="100" w:afterAutospacing="1"/>
      <w:widowControl/>
    </w:pPr>
    <w:rPr>
      <w:rFonts w:ascii="宋体" w:hAnsi="宋体" w:eastAsia="宋体" w:cs="Times New Roman"/>
      <w:sz w:val="24"/>
      <w:szCs w:val="24"/>
    </w:rPr>
  </w:style>
  <w:style w:type="paragraph" w:styleId="1017">
    <w:name w:val=" Char Char Char Char Char Char Char Char Char Char"/>
    <w:basedOn w:val="923"/>
    <w:next w:val="1017"/>
    <w:link w:val="923"/>
    <w:pPr>
      <w:spacing w:line="360" w:lineRule="auto"/>
    </w:pPr>
    <w:rPr>
      <w:rFonts w:ascii="Times New Roman" w:hAnsi="Times New Roman" w:eastAsia="宋体" w:cs="Times New Roman"/>
      <w:sz w:val="24"/>
      <w:szCs w:val="20"/>
    </w:rPr>
  </w:style>
  <w:style w:type="paragraph" w:styleId="1018">
    <w:name w:val="样式1"/>
    <w:basedOn w:val="923"/>
    <w:next w:val="1018"/>
    <w:link w:val="923"/>
    <w:pPr>
      <w:numPr>
        <w:ilvl w:val="0"/>
        <w:numId w:val="3"/>
      </w:numPr>
      <w:tabs>
        <w:tab w:val="left" w:pos="709" w:leader="none"/>
      </w:tabs>
    </w:pPr>
    <w:rPr>
      <w:rFonts w:ascii="宋体" w:hAnsi="宋体" w:eastAsia="宋体" w:cs="Times New Roman"/>
      <w:szCs w:val="21"/>
    </w:rPr>
  </w:style>
  <w:style w:type="paragraph" w:styleId="1019">
    <w:name w:val="font6"/>
    <w:basedOn w:val="923"/>
    <w:next w:val="1019"/>
    <w:link w:val="923"/>
    <w:pPr>
      <w:jc w:val="left"/>
      <w:spacing w:before="100" w:beforeAutospacing="1" w:after="100" w:afterAutospacing="1"/>
      <w:widowControl/>
    </w:pPr>
    <w:rPr>
      <w:rFonts w:hint="eastAsia" w:ascii="宋体" w:hAnsi="宋体" w:eastAsia="宋体" w:cs="Times New Roman"/>
      <w:sz w:val="28"/>
      <w:szCs w:val="28"/>
      <w:u w:val="single"/>
    </w:rPr>
  </w:style>
  <w:style w:type="paragraph" w:styleId="1020">
    <w:name w:val="xl25"/>
    <w:basedOn w:val="923"/>
    <w:next w:val="1020"/>
    <w:link w:val="9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name w:val="图标"/>
    <w:basedOn w:val="923"/>
    <w:next w:val="923"/>
    <w:link w:val="92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2">
    <w:name w:val="标题3"/>
    <w:basedOn w:val="923"/>
    <w:next w:val="923"/>
    <w:link w:val="923"/>
    <w:pPr>
      <w:ind w:firstLine="624"/>
      <w:spacing w:line="590" w:lineRule="atLeast"/>
    </w:pPr>
    <w:rPr>
      <w:rFonts w:ascii="方正黑体_GBK" w:hAnsi="Times New Roman" w:eastAsia="方正黑体_GBK" w:cs="Times New Roman"/>
      <w:sz w:val="32"/>
      <w:szCs w:val="32"/>
    </w:rPr>
  </w:style>
  <w:style w:type="paragraph" w:styleId="1023">
    <w:name w:val="xl24"/>
    <w:basedOn w:val="923"/>
    <w:next w:val="1023"/>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name w:val="xl29"/>
    <w:basedOn w:val="923"/>
    <w:next w:val="1024"/>
    <w:link w:val="92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5">
    <w:name w:val="Char Char Char Char Char Char Char Char"/>
    <w:basedOn w:val="923"/>
    <w:next w:val="1025"/>
    <w:link w:val="923"/>
    <w:pPr>
      <w:jc w:val="left"/>
      <w:spacing w:after="160" w:line="240" w:lineRule="exact"/>
      <w:widowControl/>
    </w:pPr>
    <w:rPr>
      <w:rFonts w:ascii="Verdana" w:hAnsi="Verdana" w:eastAsia="宋体" w:cs="Times New Roman"/>
      <w:sz w:val="20"/>
      <w:szCs w:val="20"/>
      <w:lang w:eastAsia="en-US"/>
    </w:rPr>
  </w:style>
  <w:style w:type="paragraph" w:styleId="1026">
    <w:name w:val="xl28"/>
    <w:basedOn w:val="923"/>
    <w:next w:val="1026"/>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7">
    <w:name w:val=" Char Char Char Char Char Char Char Char"/>
    <w:basedOn w:val="923"/>
    <w:next w:val="1027"/>
    <w:link w:val="923"/>
    <w:pPr>
      <w:jc w:val="left"/>
      <w:spacing w:after="160" w:line="240" w:lineRule="exact"/>
      <w:widowControl/>
    </w:pPr>
    <w:rPr>
      <w:rFonts w:ascii="Verdana" w:hAnsi="Verdana" w:eastAsia="宋体" w:cs="Times New Roman"/>
      <w:sz w:val="20"/>
      <w:szCs w:val="20"/>
      <w:lang w:eastAsia="en-US"/>
    </w:rPr>
  </w:style>
  <w:style w:type="paragraph" w:styleId="1028">
    <w:name w:val="xl30"/>
    <w:basedOn w:val="923"/>
    <w:next w:val="1028"/>
    <w:link w:val="923"/>
    <w:pPr>
      <w:jc w:val="center"/>
      <w:spacing w:before="100" w:beforeAutospacing="1" w:after="100" w:afterAutospacing="1"/>
      <w:widowControl/>
    </w:pPr>
    <w:rPr>
      <w:rFonts w:ascii="宋体" w:hAnsi="宋体" w:eastAsia="宋体" w:cs="Times New Roman"/>
      <w:b/>
      <w:bCs/>
      <w:sz w:val="36"/>
      <w:szCs w:val="36"/>
    </w:rPr>
  </w:style>
  <w:style w:type="paragraph" w:styleId="1029">
    <w:name w:val="Char Char Char Char"/>
    <w:basedOn w:val="948"/>
    <w:next w:val="1029"/>
    <w:link w:val="923"/>
    <w:pPr>
      <w:spacing w:line="360" w:lineRule="auto"/>
    </w:pPr>
    <w:rPr>
      <w:rFonts w:ascii="Tahoma" w:hAnsi="Tahoma"/>
      <w:sz w:val="24"/>
      <w:szCs w:val="24"/>
    </w:rPr>
  </w:style>
  <w:style w:type="paragraph" w:styleId="1030">
    <w:name w:val="table_1stline"/>
    <w:basedOn w:val="923"/>
    <w:next w:val="1030"/>
    <w:link w:val="923"/>
    <w:pPr>
      <w:jc w:val="left"/>
      <w:spacing w:before="120"/>
      <w:widowControl/>
    </w:pPr>
    <w:rPr>
      <w:rFonts w:ascii="Times New Roman" w:hAnsi="Times New Roman" w:eastAsia="宋体" w:cs="Times New Roman"/>
      <w:bCs/>
      <w:sz w:val="20"/>
      <w:szCs w:val="20"/>
      <w:lang w:val="de-DE" w:eastAsia="de-DE"/>
    </w:rPr>
  </w:style>
  <w:style w:type="paragraph" w:styleId="1031">
    <w:name w:val="font5"/>
    <w:basedOn w:val="923"/>
    <w:next w:val="1031"/>
    <w:link w:val="923"/>
    <w:pPr>
      <w:jc w:val="left"/>
      <w:spacing w:before="100" w:beforeAutospacing="1" w:after="100" w:afterAutospacing="1"/>
      <w:widowControl/>
    </w:pPr>
    <w:rPr>
      <w:rFonts w:hint="eastAsia" w:ascii="宋体" w:hAnsi="宋体" w:eastAsia="宋体" w:cs="Times New Roman"/>
      <w:sz w:val="28"/>
      <w:szCs w:val="28"/>
    </w:rPr>
  </w:style>
  <w:style w:type="paragraph" w:styleId="1032">
    <w:name w:val="标题1"/>
    <w:basedOn w:val="923"/>
    <w:next w:val="923"/>
    <w:link w:val="92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3">
    <w:name w:val="修订"/>
    <w:next w:val="1033"/>
    <w:link w:val="923"/>
    <w:uiPriority w:val="99"/>
    <w:semiHidden/>
    <w:rPr>
      <w:rFonts w:ascii="Times New Roman" w:hAnsi="Times New Roman"/>
      <w:sz w:val="21"/>
      <w:szCs w:val="21"/>
      <w:lang w:val="en-US" w:eastAsia="zh-CN" w:bidi="ar-SA"/>
    </w:rPr>
  </w:style>
  <w:style w:type="paragraph" w:styleId="1034">
    <w:name w:val="无间隔"/>
    <w:next w:val="1034"/>
    <w:link w:val="923"/>
    <w:uiPriority w:val="99"/>
    <w:qFormat/>
    <w:pPr>
      <w:jc w:val="both"/>
      <w:widowControl w:val="off"/>
    </w:pPr>
    <w:rPr>
      <w:rFonts w:ascii="Times New Roman" w:hAnsi="Times New Roman"/>
      <w:sz w:val="21"/>
      <w:szCs w:val="21"/>
      <w:lang w:val="en-US" w:eastAsia="zh-CN" w:bidi="ar-SA"/>
    </w:rPr>
  </w:style>
  <w:style w:type="paragraph" w:styleId="1035">
    <w:name w:val="首行缩进"/>
    <w:basedOn w:val="923"/>
    <w:next w:val="1035"/>
    <w:link w:val="923"/>
    <w:qFormat/>
    <w:pPr>
      <w:ind w:firstLine="480"/>
    </w:pPr>
    <w:rPr>
      <w:lang w:val="zh-CN"/>
    </w:rPr>
  </w:style>
  <w:style w:type="paragraph" w:styleId="1036">
    <w:name w:val="Table Paragraph"/>
    <w:basedOn w:val="923"/>
    <w:next w:val="1036"/>
    <w:link w:val="923"/>
    <w:uiPriority w:val="1"/>
    <w:qFormat/>
    <w:pPr>
      <w:jc w:val="left"/>
    </w:pPr>
    <w:rPr>
      <w:sz w:val="24"/>
    </w:rPr>
  </w:style>
  <w:style w:type="paragraph" w:styleId="1037">
    <w:name w:val="正文1"/>
    <w:basedOn w:val="954"/>
    <w:next w:val="923"/>
    <w:link w:val="923"/>
    <w:qFormat/>
    <w:pPr>
      <w:ind w:left="420" w:firstLine="527"/>
      <w:spacing w:before="120" w:line="360" w:lineRule="auto"/>
      <w:tabs>
        <w:tab w:val="left" w:pos="5250" w:leader="none"/>
      </w:tabs>
    </w:pPr>
    <w:rPr>
      <w:rFonts w:ascii="宋体" w:hAnsi="宋体"/>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jp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pn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pn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jp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jpg"/><Relationship Id="rId50" Type="http://schemas.openxmlformats.org/officeDocument/2006/relationships/image" Target="media/image38.png"/><Relationship Id="rId51" Type="http://schemas.openxmlformats.org/officeDocument/2006/relationships/image" Target="media/image39.jp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jpg"/><Relationship Id="rId55" Type="http://schemas.openxmlformats.org/officeDocument/2006/relationships/image" Target="media/image43.pn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jpg"/><Relationship Id="rId65" Type="http://schemas.openxmlformats.org/officeDocument/2006/relationships/image" Target="media/image53.png"/><Relationship Id="rId66" Type="http://schemas.openxmlformats.org/officeDocument/2006/relationships/image" Target="media/image54.jp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jpg"/><Relationship Id="rId76" Type="http://schemas.openxmlformats.org/officeDocument/2006/relationships/image" Target="media/image64.png"/><Relationship Id="rId77" Type="http://schemas.openxmlformats.org/officeDocument/2006/relationships/image" Target="media/image65.jp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jp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jpg"/><Relationship Id="rId90" Type="http://schemas.openxmlformats.org/officeDocument/2006/relationships/image" Target="media/image78.png"/><Relationship Id="rId91" Type="http://schemas.openxmlformats.org/officeDocument/2006/relationships/image" Target="media/image79.jp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jpg"/><Relationship Id="rId106" Type="http://schemas.openxmlformats.org/officeDocument/2006/relationships/image" Target="media/image94.jpg"/><Relationship Id="rId107" Type="http://schemas.openxmlformats.org/officeDocument/2006/relationships/image" Target="media/image95.jp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jp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jpg"/><Relationship Id="rId119" Type="http://schemas.openxmlformats.org/officeDocument/2006/relationships/image" Target="media/image107.jp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jp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jpg"/><Relationship Id="rId131" Type="http://schemas.openxmlformats.org/officeDocument/2006/relationships/image" Target="media/image119.jpg"/><Relationship Id="rId132" Type="http://schemas.openxmlformats.org/officeDocument/2006/relationships/image" Target="media/image120.jp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jp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jpg"/><Relationship Id="rId144" Type="http://schemas.openxmlformats.org/officeDocument/2006/relationships/image" Target="media/image132.png"/><Relationship Id="rId145" Type="http://schemas.openxmlformats.org/officeDocument/2006/relationships/image" Target="media/image133.jp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jp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jpg"/><Relationship Id="rId154" Type="http://schemas.openxmlformats.org/officeDocument/2006/relationships/image" Target="media/image142.jpg"/><Relationship Id="rId155" Type="http://schemas.openxmlformats.org/officeDocument/2006/relationships/image" Target="media/image143.png"/><Relationship Id="rId156" Type="http://schemas.openxmlformats.org/officeDocument/2006/relationships/image" Target="media/image144.jp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汪亮</cp:lastModifiedBy>
  <cp:revision>5</cp:revision>
  <dcterms:created xsi:type="dcterms:W3CDTF">2023-03-16T02:13:00Z</dcterms:created>
  <dcterms:modified xsi:type="dcterms:W3CDTF">2024-05-31T08:17:55Z</dcterms:modified>
</cp:coreProperties>
</file>