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EB31E">
      <w:pPr>
        <w:tabs>
          <w:tab w:val="left" w:pos="7380"/>
        </w:tabs>
        <w:spacing w:line="360" w:lineRule="auto"/>
        <w:ind w:left="-210" w:right="-21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p>
    <w:p w14:paraId="373634AC">
      <w:pPr>
        <w:spacing w:line="360" w:lineRule="auto"/>
        <w:ind w:left="-210" w:right="-210"/>
        <w:jc w:val="center"/>
        <w:rPr>
          <w:rFonts w:hint="eastAsia" w:ascii="宋体" w:hAnsi="宋体" w:eastAsia="宋体" w:cs="宋体"/>
          <w:color w:val="auto"/>
          <w:sz w:val="24"/>
          <w:highlight w:val="none"/>
        </w:rPr>
      </w:pPr>
    </w:p>
    <w:p w14:paraId="14504383">
      <w:pPr>
        <w:spacing w:line="360" w:lineRule="auto"/>
        <w:ind w:left="-210" w:right="-210"/>
        <w:jc w:val="center"/>
        <w:rPr>
          <w:rFonts w:hint="eastAsia" w:ascii="宋体" w:hAnsi="宋体" w:eastAsia="宋体" w:cs="宋体"/>
          <w:color w:val="auto"/>
          <w:highlight w:val="none"/>
        </w:rPr>
      </w:pPr>
    </w:p>
    <w:p w14:paraId="42D52743">
      <w:pPr>
        <w:pStyle w:val="193"/>
        <w:rPr>
          <w:rFonts w:hint="eastAsia" w:ascii="宋体" w:hAnsi="宋体" w:eastAsia="宋体" w:cs="宋体"/>
          <w:color w:val="auto"/>
          <w:highlight w:val="none"/>
        </w:rPr>
      </w:pPr>
    </w:p>
    <w:p w14:paraId="1466ECC6">
      <w:pPr>
        <w:spacing w:line="360" w:lineRule="auto"/>
        <w:ind w:right="-210"/>
        <w:rPr>
          <w:rFonts w:hint="eastAsia" w:ascii="宋体" w:hAnsi="宋体" w:eastAsia="宋体" w:cs="宋体"/>
          <w:color w:val="auto"/>
          <w:sz w:val="24"/>
          <w:highlight w:val="none"/>
        </w:rPr>
      </w:pPr>
    </w:p>
    <w:p w14:paraId="4B86C183">
      <w:pPr>
        <w:spacing w:line="360" w:lineRule="auto"/>
        <w:ind w:left="-210" w:right="-210"/>
        <w:jc w:val="center"/>
        <w:rPr>
          <w:rFonts w:hint="eastAsia" w:ascii="宋体" w:hAnsi="宋体" w:eastAsia="宋体" w:cs="宋体"/>
          <w:color w:val="auto"/>
          <w:sz w:val="24"/>
          <w:highlight w:val="none"/>
        </w:rPr>
      </w:pPr>
    </w:p>
    <w:p w14:paraId="1F6CE7CC">
      <w:pPr>
        <w:spacing w:line="480" w:lineRule="auto"/>
        <w:jc w:val="center"/>
        <w:rPr>
          <w:rFonts w:hint="eastAsia" w:ascii="宋体" w:hAnsi="宋体" w:eastAsia="宋体" w:cs="宋体"/>
          <w:bCs/>
          <w:color w:val="auto"/>
          <w:sz w:val="52"/>
          <w:szCs w:val="52"/>
          <w:highlight w:val="none"/>
        </w:rPr>
      </w:pPr>
    </w:p>
    <w:p w14:paraId="21B9C687">
      <w:pPr>
        <w:spacing w:line="48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昆 山 市 政 府 采 购</w:t>
      </w:r>
    </w:p>
    <w:p w14:paraId="562D8782">
      <w:pPr>
        <w:spacing w:line="48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公 开 招 标 文 件</w:t>
      </w:r>
    </w:p>
    <w:p w14:paraId="797D5ABC">
      <w:pPr>
        <w:spacing w:line="360" w:lineRule="auto"/>
        <w:ind w:left="-210" w:right="-210"/>
        <w:jc w:val="center"/>
        <w:rPr>
          <w:rFonts w:hint="eastAsia" w:ascii="宋体" w:hAnsi="宋体" w:eastAsia="宋体" w:cs="宋体"/>
          <w:color w:val="auto"/>
          <w:highlight w:val="none"/>
        </w:rPr>
      </w:pPr>
    </w:p>
    <w:p w14:paraId="4E096268">
      <w:pPr>
        <w:spacing w:line="360" w:lineRule="auto"/>
        <w:ind w:left="-210" w:right="-210"/>
        <w:jc w:val="center"/>
        <w:rPr>
          <w:rFonts w:hint="eastAsia" w:ascii="宋体" w:hAnsi="宋体" w:eastAsia="宋体" w:cs="宋体"/>
          <w:color w:val="auto"/>
          <w:highlight w:val="none"/>
        </w:rPr>
      </w:pPr>
    </w:p>
    <w:tbl>
      <w:tblPr>
        <w:tblStyle w:val="32"/>
        <w:tblW w:w="8184" w:type="dxa"/>
        <w:jc w:val="center"/>
        <w:tblLayout w:type="autofit"/>
        <w:tblCellMar>
          <w:top w:w="0" w:type="dxa"/>
          <w:left w:w="108" w:type="dxa"/>
          <w:bottom w:w="0" w:type="dxa"/>
          <w:right w:w="108" w:type="dxa"/>
        </w:tblCellMar>
      </w:tblPr>
      <w:tblGrid>
        <w:gridCol w:w="1854"/>
        <w:gridCol w:w="6330"/>
      </w:tblGrid>
      <w:tr w14:paraId="7F79A0F7">
        <w:tblPrEx>
          <w:tblCellMar>
            <w:top w:w="0" w:type="dxa"/>
            <w:left w:w="108" w:type="dxa"/>
            <w:bottom w:w="0" w:type="dxa"/>
            <w:right w:w="108" w:type="dxa"/>
          </w:tblCellMar>
        </w:tblPrEx>
        <w:trPr>
          <w:jc w:val="center"/>
        </w:trPr>
        <w:tc>
          <w:tcPr>
            <w:tcW w:w="1854" w:type="dxa"/>
            <w:tcBorders>
              <w:top w:val="nil"/>
              <w:left w:val="nil"/>
              <w:bottom w:val="nil"/>
              <w:right w:val="nil"/>
            </w:tcBorders>
            <w:noWrap w:val="0"/>
            <w:tcMar>
              <w:top w:w="0" w:type="dxa"/>
              <w:left w:w="108" w:type="dxa"/>
              <w:bottom w:w="0" w:type="dxa"/>
              <w:right w:w="108" w:type="dxa"/>
            </w:tcMar>
            <w:vAlign w:val="top"/>
          </w:tcPr>
          <w:p w14:paraId="0BFA7D0E">
            <w:pPr>
              <w:spacing w:line="600" w:lineRule="exact"/>
              <w:jc w:val="center"/>
              <w:rPr>
                <w:rFonts w:hint="eastAsia" w:ascii="宋体" w:hAnsi="宋体" w:eastAsia="宋体" w:cs="宋体"/>
                <w:color w:val="auto"/>
                <w:highlight w:val="none"/>
              </w:rPr>
            </w:pPr>
            <w:r>
              <w:rPr>
                <w:rFonts w:hint="eastAsia" w:ascii="宋体" w:hAnsi="宋体" w:eastAsia="宋体" w:cs="宋体"/>
                <w:color w:val="auto"/>
                <w:sz w:val="32"/>
                <w:highlight w:val="none"/>
              </w:rPr>
              <w:t>项目编号：</w:t>
            </w:r>
          </w:p>
        </w:tc>
        <w:tc>
          <w:tcPr>
            <w:tcW w:w="6330" w:type="dxa"/>
            <w:tcBorders>
              <w:top w:val="nil"/>
              <w:left w:val="nil"/>
              <w:bottom w:val="single" w:color="000000" w:sz="8" w:space="0"/>
              <w:right w:val="nil"/>
            </w:tcBorders>
            <w:noWrap w:val="0"/>
            <w:tcMar>
              <w:top w:w="0" w:type="dxa"/>
              <w:left w:w="108" w:type="dxa"/>
              <w:bottom w:w="0" w:type="dxa"/>
              <w:right w:w="108" w:type="dxa"/>
            </w:tcMar>
            <w:vAlign w:val="top"/>
          </w:tcPr>
          <w:p w14:paraId="531383C9">
            <w:pPr>
              <w:spacing w:line="600" w:lineRule="exact"/>
              <w:jc w:val="center"/>
              <w:rPr>
                <w:rFonts w:hint="eastAsia" w:ascii="宋体" w:hAnsi="宋体" w:eastAsia="宋体" w:cs="宋体"/>
                <w:color w:val="auto"/>
                <w:highlight w:val="none"/>
                <w:lang w:eastAsia="zh-CN"/>
              </w:rPr>
            </w:pPr>
            <w:r>
              <w:rPr>
                <w:rFonts w:hint="eastAsia" w:ascii="宋体" w:hAnsi="宋体" w:cs="宋体"/>
                <w:color w:val="auto"/>
                <w:sz w:val="32"/>
                <w:highlight w:val="none"/>
                <w:lang w:eastAsia="zh-CN"/>
              </w:rPr>
              <w:t>JSZC-320583-KSJG-G2024-0001</w:t>
            </w:r>
          </w:p>
        </w:tc>
      </w:tr>
      <w:tr w14:paraId="2F96B481">
        <w:tblPrEx>
          <w:tblCellMar>
            <w:top w:w="0" w:type="dxa"/>
            <w:left w:w="108" w:type="dxa"/>
            <w:bottom w:w="0" w:type="dxa"/>
            <w:right w:w="108" w:type="dxa"/>
          </w:tblCellMar>
        </w:tblPrEx>
        <w:trPr>
          <w:jc w:val="center"/>
        </w:trPr>
        <w:tc>
          <w:tcPr>
            <w:tcW w:w="1854" w:type="dxa"/>
            <w:tcBorders>
              <w:top w:val="nil"/>
              <w:left w:val="nil"/>
              <w:bottom w:val="nil"/>
              <w:right w:val="nil"/>
            </w:tcBorders>
            <w:noWrap w:val="0"/>
            <w:tcMar>
              <w:top w:w="0" w:type="dxa"/>
              <w:left w:w="108" w:type="dxa"/>
              <w:bottom w:w="0" w:type="dxa"/>
              <w:right w:w="108" w:type="dxa"/>
            </w:tcMar>
            <w:vAlign w:val="top"/>
          </w:tcPr>
          <w:p w14:paraId="6BFAD452">
            <w:pPr>
              <w:spacing w:line="600" w:lineRule="exact"/>
              <w:jc w:val="center"/>
              <w:rPr>
                <w:rFonts w:hint="eastAsia" w:ascii="宋体" w:hAnsi="宋体" w:eastAsia="宋体" w:cs="宋体"/>
                <w:color w:val="auto"/>
                <w:highlight w:val="none"/>
              </w:rPr>
            </w:pPr>
            <w:r>
              <w:rPr>
                <w:rFonts w:hint="eastAsia" w:ascii="宋体" w:hAnsi="宋体" w:eastAsia="宋体" w:cs="宋体"/>
                <w:color w:val="auto"/>
                <w:sz w:val="32"/>
                <w:highlight w:val="none"/>
              </w:rPr>
              <w:t>采 购 人：</w:t>
            </w:r>
          </w:p>
        </w:tc>
        <w:tc>
          <w:tcPr>
            <w:tcW w:w="6330" w:type="dxa"/>
            <w:tcBorders>
              <w:top w:val="single" w:color="000000" w:sz="8" w:space="0"/>
              <w:left w:val="nil"/>
              <w:bottom w:val="single" w:color="000000" w:sz="8" w:space="0"/>
              <w:right w:val="nil"/>
            </w:tcBorders>
            <w:noWrap w:val="0"/>
            <w:tcMar>
              <w:top w:w="0" w:type="dxa"/>
              <w:left w:w="108" w:type="dxa"/>
              <w:bottom w:w="0" w:type="dxa"/>
              <w:right w:w="108" w:type="dxa"/>
            </w:tcMar>
            <w:vAlign w:val="top"/>
          </w:tcPr>
          <w:p w14:paraId="243AC855">
            <w:pPr>
              <w:spacing w:line="600" w:lineRule="exact"/>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昆山市中医医院</w:t>
            </w:r>
          </w:p>
        </w:tc>
      </w:tr>
      <w:tr w14:paraId="1B182D7D">
        <w:tblPrEx>
          <w:tblCellMar>
            <w:top w:w="0" w:type="dxa"/>
            <w:left w:w="108" w:type="dxa"/>
            <w:bottom w:w="0" w:type="dxa"/>
            <w:right w:w="108" w:type="dxa"/>
          </w:tblCellMar>
        </w:tblPrEx>
        <w:trPr>
          <w:jc w:val="center"/>
        </w:trPr>
        <w:tc>
          <w:tcPr>
            <w:tcW w:w="1854" w:type="dxa"/>
            <w:tcBorders>
              <w:top w:val="nil"/>
              <w:left w:val="nil"/>
              <w:bottom w:val="nil"/>
              <w:right w:val="nil"/>
            </w:tcBorders>
            <w:noWrap w:val="0"/>
            <w:tcMar>
              <w:top w:w="0" w:type="dxa"/>
              <w:left w:w="108" w:type="dxa"/>
              <w:bottom w:w="0" w:type="dxa"/>
              <w:right w:w="108" w:type="dxa"/>
            </w:tcMar>
            <w:vAlign w:val="top"/>
          </w:tcPr>
          <w:p w14:paraId="06FF8277">
            <w:pPr>
              <w:spacing w:line="600" w:lineRule="exact"/>
              <w:jc w:val="center"/>
              <w:rPr>
                <w:rFonts w:hint="eastAsia" w:ascii="宋体" w:hAnsi="宋体" w:eastAsia="宋体" w:cs="宋体"/>
                <w:color w:val="auto"/>
                <w:highlight w:val="none"/>
              </w:rPr>
            </w:pPr>
            <w:r>
              <w:rPr>
                <w:rFonts w:hint="eastAsia" w:ascii="宋体" w:hAnsi="宋体" w:eastAsia="宋体" w:cs="宋体"/>
                <w:color w:val="auto"/>
                <w:sz w:val="32"/>
                <w:highlight w:val="none"/>
              </w:rPr>
              <w:t>项目名称：</w:t>
            </w:r>
          </w:p>
        </w:tc>
        <w:tc>
          <w:tcPr>
            <w:tcW w:w="6330" w:type="dxa"/>
            <w:tcBorders>
              <w:top w:val="single" w:color="000000" w:sz="8" w:space="0"/>
              <w:left w:val="nil"/>
              <w:bottom w:val="single" w:color="000000" w:sz="8" w:space="0"/>
              <w:right w:val="nil"/>
            </w:tcBorders>
            <w:noWrap w:val="0"/>
            <w:tcMar>
              <w:top w:w="0" w:type="dxa"/>
              <w:left w:w="108" w:type="dxa"/>
              <w:bottom w:w="0" w:type="dxa"/>
              <w:right w:w="108" w:type="dxa"/>
            </w:tcMar>
            <w:vAlign w:val="top"/>
          </w:tcPr>
          <w:p w14:paraId="45263421">
            <w:pPr>
              <w:spacing w:line="600" w:lineRule="exact"/>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食堂年度食材采购</w:t>
            </w:r>
          </w:p>
        </w:tc>
      </w:tr>
    </w:tbl>
    <w:p w14:paraId="4E2A95CE">
      <w:pPr>
        <w:spacing w:line="6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p>
    <w:p w14:paraId="21D09DEA">
      <w:pPr>
        <w:spacing w:line="360" w:lineRule="auto"/>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p>
    <w:p w14:paraId="2B82AB14">
      <w:pPr>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highlight w:val="none"/>
        </w:rPr>
        <w:t xml:space="preserve"> </w:t>
      </w:r>
      <w:r>
        <w:rPr>
          <w:rFonts w:hint="eastAsia" w:ascii="宋体" w:hAnsi="宋体" w:cs="宋体"/>
          <w:color w:val="auto"/>
          <w:sz w:val="32"/>
          <w:szCs w:val="32"/>
          <w:highlight w:val="none"/>
          <w:lang w:eastAsia="zh-CN"/>
        </w:rPr>
        <w:t>昆山市建工工程咨询管理有限公司</w:t>
      </w:r>
    </w:p>
    <w:p w14:paraId="39E82742">
      <w:pPr>
        <w:spacing w:line="360" w:lineRule="auto"/>
        <w:jc w:val="center"/>
        <w:rPr>
          <w:rFonts w:hint="eastAsia" w:ascii="宋体" w:hAnsi="宋体" w:eastAsia="宋体" w:cs="宋体"/>
          <w:color w:val="auto"/>
          <w:sz w:val="48"/>
          <w:szCs w:val="48"/>
          <w:highlight w:val="none"/>
        </w:rPr>
      </w:pPr>
      <w:r>
        <w:rPr>
          <w:rFonts w:hint="eastAsia" w:ascii="宋体" w:hAnsi="宋体" w:eastAsia="宋体" w:cs="宋体"/>
          <w:color w:val="auto"/>
          <w:sz w:val="32"/>
          <w:szCs w:val="32"/>
          <w:highlight w:val="none"/>
        </w:rPr>
        <w:t>二〇二四年</w:t>
      </w: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48"/>
          <w:szCs w:val="48"/>
          <w:highlight w:val="none"/>
        </w:rPr>
        <w:t>目录</w:t>
      </w:r>
    </w:p>
    <w:p w14:paraId="193DB4A0">
      <w:pPr>
        <w:pStyle w:val="22"/>
        <w:tabs>
          <w:tab w:val="right" w:leader="dot" w:pos="9746"/>
        </w:tabs>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TOC \o "1-3" \h \z \u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color w:val="auto"/>
          <w:szCs w:val="28"/>
          <w:highlight w:val="none"/>
        </w:rPr>
        <w:fldChar w:fldCharType="begin"/>
      </w:r>
      <w:r>
        <w:rPr>
          <w:rFonts w:hint="eastAsia" w:ascii="宋体" w:hAnsi="宋体" w:eastAsia="宋体" w:cs="宋体"/>
          <w:szCs w:val="28"/>
          <w:highlight w:val="none"/>
        </w:rPr>
        <w:instrText xml:space="preserve"> HYPERLINK \l _Toc19516 </w:instrText>
      </w:r>
      <w:r>
        <w:rPr>
          <w:rFonts w:hint="eastAsia" w:ascii="宋体" w:hAnsi="宋体" w:eastAsia="宋体" w:cs="宋体"/>
          <w:szCs w:val="28"/>
          <w:highlight w:val="none"/>
        </w:rPr>
        <w:fldChar w:fldCharType="separate"/>
      </w:r>
      <w:r>
        <w:rPr>
          <w:rFonts w:hint="eastAsia" w:ascii="宋体" w:hAnsi="宋体" w:eastAsia="宋体" w:cs="宋体"/>
          <w:highlight w:val="none"/>
        </w:rPr>
        <w:t>第一章  投标邀请</w:t>
      </w:r>
      <w:r>
        <w:tab/>
      </w:r>
      <w:r>
        <w:fldChar w:fldCharType="begin"/>
      </w:r>
      <w:r>
        <w:instrText xml:space="preserve"> PAGEREF _Toc19516 \h </w:instrText>
      </w:r>
      <w:r>
        <w:fldChar w:fldCharType="separate"/>
      </w:r>
      <w:r>
        <w:t>1</w:t>
      </w:r>
      <w:r>
        <w:fldChar w:fldCharType="end"/>
      </w:r>
      <w:r>
        <w:rPr>
          <w:rFonts w:hint="eastAsia" w:ascii="宋体" w:hAnsi="宋体" w:eastAsia="宋体" w:cs="宋体"/>
          <w:color w:val="auto"/>
          <w:szCs w:val="28"/>
          <w:highlight w:val="none"/>
        </w:rPr>
        <w:fldChar w:fldCharType="end"/>
      </w:r>
    </w:p>
    <w:p w14:paraId="15A0AFAF">
      <w:pPr>
        <w:pStyle w:val="22"/>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_Toc28433 </w:instrText>
      </w:r>
      <w:r>
        <w:rPr>
          <w:rFonts w:hint="eastAsia" w:ascii="宋体" w:hAnsi="宋体" w:eastAsia="宋体" w:cs="宋体"/>
          <w:bCs w:val="0"/>
          <w:szCs w:val="28"/>
          <w:highlight w:val="none"/>
          <w:lang w:val="zh-CN"/>
        </w:rPr>
        <w:fldChar w:fldCharType="separate"/>
      </w:r>
      <w:r>
        <w:rPr>
          <w:rFonts w:hint="eastAsia" w:ascii="宋体" w:hAnsi="宋体" w:eastAsia="宋体" w:cs="宋体"/>
          <w:bCs/>
          <w:szCs w:val="32"/>
          <w:highlight w:val="none"/>
        </w:rPr>
        <w:t>第二章  投标人须知</w:t>
      </w:r>
      <w:r>
        <w:tab/>
      </w:r>
      <w:r>
        <w:fldChar w:fldCharType="begin"/>
      </w:r>
      <w:r>
        <w:instrText xml:space="preserve"> PAGEREF _Toc28433 \h </w:instrText>
      </w:r>
      <w:r>
        <w:fldChar w:fldCharType="separate"/>
      </w:r>
      <w:r>
        <w:t>4</w:t>
      </w:r>
      <w:r>
        <w:fldChar w:fldCharType="end"/>
      </w:r>
      <w:r>
        <w:rPr>
          <w:rFonts w:hint="eastAsia" w:ascii="宋体" w:hAnsi="宋体" w:eastAsia="宋体" w:cs="宋体"/>
          <w:bCs w:val="0"/>
          <w:color w:val="auto"/>
          <w:szCs w:val="28"/>
          <w:highlight w:val="none"/>
          <w:lang w:val="zh-CN"/>
        </w:rPr>
        <w:fldChar w:fldCharType="end"/>
      </w:r>
    </w:p>
    <w:p w14:paraId="590205E5">
      <w:pPr>
        <w:pStyle w:val="22"/>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_Toc14791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第三章  投标文件格式</w:t>
      </w:r>
      <w:r>
        <w:tab/>
      </w:r>
      <w:r>
        <w:fldChar w:fldCharType="begin"/>
      </w:r>
      <w:r>
        <w:instrText xml:space="preserve"> PAGEREF _Toc14791 \h </w:instrText>
      </w:r>
      <w:r>
        <w:fldChar w:fldCharType="separate"/>
      </w:r>
      <w:r>
        <w:t>15</w:t>
      </w:r>
      <w:r>
        <w:fldChar w:fldCharType="end"/>
      </w:r>
      <w:r>
        <w:rPr>
          <w:rFonts w:hint="eastAsia" w:ascii="宋体" w:hAnsi="宋体" w:eastAsia="宋体" w:cs="宋体"/>
          <w:bCs w:val="0"/>
          <w:color w:val="auto"/>
          <w:szCs w:val="28"/>
          <w:highlight w:val="none"/>
          <w:lang w:val="zh-CN"/>
        </w:rPr>
        <w:fldChar w:fldCharType="end"/>
      </w:r>
    </w:p>
    <w:p w14:paraId="2D43E827">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_Toc25525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1.投标文件的声明函</w:t>
      </w:r>
      <w:r>
        <w:tab/>
      </w:r>
      <w:r>
        <w:fldChar w:fldCharType="begin"/>
      </w:r>
      <w:r>
        <w:instrText xml:space="preserve"> PAGEREF _Toc25525 \h </w:instrText>
      </w:r>
      <w:r>
        <w:fldChar w:fldCharType="separate"/>
      </w:r>
      <w:r>
        <w:t>16</w:t>
      </w:r>
      <w:r>
        <w:fldChar w:fldCharType="end"/>
      </w:r>
      <w:r>
        <w:rPr>
          <w:rFonts w:hint="eastAsia" w:ascii="宋体" w:hAnsi="宋体" w:eastAsia="宋体" w:cs="宋体"/>
          <w:bCs w:val="0"/>
          <w:color w:val="auto"/>
          <w:szCs w:val="28"/>
          <w:highlight w:val="none"/>
          <w:lang w:val="zh-CN"/>
        </w:rPr>
        <w:fldChar w:fldCharType="end"/>
      </w:r>
    </w:p>
    <w:p w14:paraId="061F8C8C">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_Toc3657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2.投标承诺函</w:t>
      </w:r>
      <w:r>
        <w:tab/>
      </w:r>
      <w:r>
        <w:fldChar w:fldCharType="begin"/>
      </w:r>
      <w:r>
        <w:instrText xml:space="preserve"> PAGEREF _Toc3657 \h </w:instrText>
      </w:r>
      <w:r>
        <w:fldChar w:fldCharType="separate"/>
      </w:r>
      <w:r>
        <w:t>17</w:t>
      </w:r>
      <w:r>
        <w:fldChar w:fldCharType="end"/>
      </w:r>
      <w:r>
        <w:rPr>
          <w:rFonts w:hint="eastAsia" w:ascii="宋体" w:hAnsi="宋体" w:eastAsia="宋体" w:cs="宋体"/>
          <w:bCs w:val="0"/>
          <w:color w:val="auto"/>
          <w:szCs w:val="28"/>
          <w:highlight w:val="none"/>
          <w:lang w:val="zh-CN"/>
        </w:rPr>
        <w:fldChar w:fldCharType="end"/>
      </w:r>
    </w:p>
    <w:p w14:paraId="61D89A99">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_Toc24489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3.无重大违法记录声明</w:t>
      </w:r>
      <w:r>
        <w:tab/>
      </w:r>
      <w:r>
        <w:fldChar w:fldCharType="begin"/>
      </w:r>
      <w:r>
        <w:instrText xml:space="preserve"> PAGEREF _Toc24489 \h </w:instrText>
      </w:r>
      <w:r>
        <w:fldChar w:fldCharType="separate"/>
      </w:r>
      <w:r>
        <w:t>19</w:t>
      </w:r>
      <w:r>
        <w:fldChar w:fldCharType="end"/>
      </w:r>
      <w:r>
        <w:rPr>
          <w:rFonts w:hint="eastAsia" w:ascii="宋体" w:hAnsi="宋体" w:eastAsia="宋体" w:cs="宋体"/>
          <w:bCs w:val="0"/>
          <w:color w:val="auto"/>
          <w:szCs w:val="28"/>
          <w:highlight w:val="none"/>
          <w:lang w:val="zh-CN"/>
        </w:rPr>
        <w:fldChar w:fldCharType="end"/>
      </w:r>
    </w:p>
    <w:p w14:paraId="614DB5F1">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_Toc17316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4.法定代表人授权委托书</w:t>
      </w:r>
      <w:r>
        <w:tab/>
      </w:r>
      <w:r>
        <w:fldChar w:fldCharType="begin"/>
      </w:r>
      <w:r>
        <w:instrText xml:space="preserve"> PAGEREF _Toc17316 \h </w:instrText>
      </w:r>
      <w:r>
        <w:fldChar w:fldCharType="separate"/>
      </w:r>
      <w:r>
        <w:t>20</w:t>
      </w:r>
      <w:r>
        <w:fldChar w:fldCharType="end"/>
      </w:r>
      <w:r>
        <w:rPr>
          <w:rFonts w:hint="eastAsia" w:ascii="宋体" w:hAnsi="宋体" w:eastAsia="宋体" w:cs="宋体"/>
          <w:bCs w:val="0"/>
          <w:color w:val="auto"/>
          <w:szCs w:val="28"/>
          <w:highlight w:val="none"/>
          <w:lang w:val="zh-CN"/>
        </w:rPr>
        <w:fldChar w:fldCharType="end"/>
      </w:r>
    </w:p>
    <w:p w14:paraId="153464DC">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_Toc27919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5.投标函</w:t>
      </w:r>
      <w:r>
        <w:tab/>
      </w:r>
      <w:r>
        <w:fldChar w:fldCharType="begin"/>
      </w:r>
      <w:r>
        <w:instrText xml:space="preserve"> PAGEREF _Toc27919 \h </w:instrText>
      </w:r>
      <w:r>
        <w:fldChar w:fldCharType="separate"/>
      </w:r>
      <w:r>
        <w:t>21</w:t>
      </w:r>
      <w:r>
        <w:fldChar w:fldCharType="end"/>
      </w:r>
      <w:r>
        <w:rPr>
          <w:rFonts w:hint="eastAsia" w:ascii="宋体" w:hAnsi="宋体" w:eastAsia="宋体" w:cs="宋体"/>
          <w:bCs w:val="0"/>
          <w:color w:val="auto"/>
          <w:szCs w:val="28"/>
          <w:highlight w:val="none"/>
          <w:lang w:val="zh-CN"/>
        </w:rPr>
        <w:fldChar w:fldCharType="end"/>
      </w:r>
    </w:p>
    <w:p w14:paraId="62C68E5C">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_Toc6055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6.开标一览表</w:t>
      </w:r>
      <w:r>
        <w:tab/>
      </w:r>
      <w:r>
        <w:fldChar w:fldCharType="begin"/>
      </w:r>
      <w:r>
        <w:instrText xml:space="preserve"> PAGEREF _Toc6055 \h </w:instrText>
      </w:r>
      <w:r>
        <w:fldChar w:fldCharType="separate"/>
      </w:r>
      <w:r>
        <w:t>22</w:t>
      </w:r>
      <w:r>
        <w:fldChar w:fldCharType="end"/>
      </w:r>
      <w:r>
        <w:rPr>
          <w:rFonts w:hint="eastAsia" w:ascii="宋体" w:hAnsi="宋体" w:eastAsia="宋体" w:cs="宋体"/>
          <w:bCs w:val="0"/>
          <w:color w:val="auto"/>
          <w:szCs w:val="28"/>
          <w:highlight w:val="none"/>
          <w:lang w:val="zh-CN"/>
        </w:rPr>
        <w:fldChar w:fldCharType="end"/>
      </w:r>
    </w:p>
    <w:p w14:paraId="1CF48529">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_Toc28291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7</w:t>
      </w:r>
      <w:r>
        <w:rPr>
          <w:rFonts w:hint="eastAsia" w:ascii="宋体" w:hAnsi="宋体" w:eastAsia="宋体" w:cs="宋体"/>
          <w:szCs w:val="28"/>
          <w:highlight w:val="none"/>
        </w:rPr>
        <w:t>.食品安全承诺书</w:t>
      </w:r>
      <w:r>
        <w:tab/>
      </w:r>
      <w:r>
        <w:fldChar w:fldCharType="begin"/>
      </w:r>
      <w:r>
        <w:instrText xml:space="preserve"> PAGEREF _Toc28291 \h </w:instrText>
      </w:r>
      <w:r>
        <w:fldChar w:fldCharType="separate"/>
      </w:r>
      <w:r>
        <w:t>24</w:t>
      </w:r>
      <w:r>
        <w:fldChar w:fldCharType="end"/>
      </w:r>
      <w:r>
        <w:rPr>
          <w:rFonts w:hint="eastAsia" w:ascii="宋体" w:hAnsi="宋体" w:eastAsia="宋体" w:cs="宋体"/>
          <w:bCs w:val="0"/>
          <w:color w:val="auto"/>
          <w:szCs w:val="28"/>
          <w:highlight w:val="none"/>
          <w:lang w:val="zh-CN"/>
        </w:rPr>
        <w:fldChar w:fldCharType="end"/>
      </w:r>
    </w:p>
    <w:p w14:paraId="1057C2B1">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_Toc17521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8.中小企业声明函</w:t>
      </w:r>
      <w:r>
        <w:tab/>
      </w:r>
      <w:r>
        <w:fldChar w:fldCharType="begin"/>
      </w:r>
      <w:r>
        <w:instrText xml:space="preserve"> PAGEREF _Toc17521 \h </w:instrText>
      </w:r>
      <w:r>
        <w:fldChar w:fldCharType="separate"/>
      </w:r>
      <w:r>
        <w:t>26</w:t>
      </w:r>
      <w:r>
        <w:fldChar w:fldCharType="end"/>
      </w:r>
      <w:r>
        <w:rPr>
          <w:rFonts w:hint="eastAsia" w:ascii="宋体" w:hAnsi="宋体" w:eastAsia="宋体" w:cs="宋体"/>
          <w:bCs w:val="0"/>
          <w:color w:val="auto"/>
          <w:szCs w:val="28"/>
          <w:highlight w:val="none"/>
          <w:lang w:val="zh-CN"/>
        </w:rPr>
        <w:fldChar w:fldCharType="end"/>
      </w:r>
    </w:p>
    <w:p w14:paraId="016770C3">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_Toc22484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lang w:val="en-US" w:eastAsia="zh-CN"/>
        </w:rPr>
        <w:t>9</w:t>
      </w:r>
      <w:r>
        <w:rPr>
          <w:rFonts w:hint="eastAsia" w:ascii="宋体" w:hAnsi="宋体" w:eastAsia="宋体" w:cs="宋体"/>
          <w:highlight w:val="none"/>
        </w:rPr>
        <w:t>.残疾人福利性单位声明函</w:t>
      </w:r>
      <w:r>
        <w:tab/>
      </w:r>
      <w:r>
        <w:fldChar w:fldCharType="begin"/>
      </w:r>
      <w:r>
        <w:instrText xml:space="preserve"> PAGEREF _Toc22484 \h </w:instrText>
      </w:r>
      <w:r>
        <w:fldChar w:fldCharType="separate"/>
      </w:r>
      <w:r>
        <w:t>30</w:t>
      </w:r>
      <w:r>
        <w:fldChar w:fldCharType="end"/>
      </w:r>
      <w:r>
        <w:rPr>
          <w:rFonts w:hint="eastAsia" w:ascii="宋体" w:hAnsi="宋体" w:eastAsia="宋体" w:cs="宋体"/>
          <w:bCs w:val="0"/>
          <w:color w:val="auto"/>
          <w:szCs w:val="28"/>
          <w:highlight w:val="none"/>
          <w:lang w:val="zh-CN"/>
        </w:rPr>
        <w:fldChar w:fldCharType="end"/>
      </w:r>
    </w:p>
    <w:p w14:paraId="040609AE">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_Toc12311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lang w:val="en-US" w:eastAsia="zh-CN"/>
        </w:rPr>
        <w:t>10.</w:t>
      </w:r>
      <w:r>
        <w:rPr>
          <w:rFonts w:hint="eastAsia" w:ascii="宋体" w:hAnsi="宋体" w:eastAsia="宋体" w:cs="宋体"/>
          <w:highlight w:val="none"/>
          <w:lang w:val="zh-CN" w:eastAsia="zh-CN"/>
        </w:rPr>
        <w:t>监狱企业福利性单位声明函</w:t>
      </w:r>
      <w:r>
        <w:tab/>
      </w:r>
      <w:r>
        <w:fldChar w:fldCharType="begin"/>
      </w:r>
      <w:r>
        <w:instrText xml:space="preserve"> PAGEREF _Toc12311 \h </w:instrText>
      </w:r>
      <w:r>
        <w:fldChar w:fldCharType="separate"/>
      </w:r>
      <w:r>
        <w:t>33</w:t>
      </w:r>
      <w:r>
        <w:fldChar w:fldCharType="end"/>
      </w:r>
      <w:r>
        <w:rPr>
          <w:rFonts w:hint="eastAsia" w:ascii="宋体" w:hAnsi="宋体" w:eastAsia="宋体" w:cs="宋体"/>
          <w:bCs w:val="0"/>
          <w:color w:val="auto"/>
          <w:szCs w:val="28"/>
          <w:highlight w:val="none"/>
          <w:lang w:val="zh-CN"/>
        </w:rPr>
        <w:fldChar w:fldCharType="end"/>
      </w:r>
    </w:p>
    <w:p w14:paraId="5C8302C8">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_Toc14904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.偏离表（商务）：</w:t>
      </w:r>
      <w:r>
        <w:tab/>
      </w:r>
      <w:r>
        <w:fldChar w:fldCharType="begin"/>
      </w:r>
      <w:r>
        <w:instrText xml:space="preserve"> PAGEREF _Toc14904 \h </w:instrText>
      </w:r>
      <w:r>
        <w:fldChar w:fldCharType="separate"/>
      </w:r>
      <w:r>
        <w:t>34</w:t>
      </w:r>
      <w:r>
        <w:fldChar w:fldCharType="end"/>
      </w:r>
      <w:r>
        <w:rPr>
          <w:rFonts w:hint="eastAsia" w:ascii="宋体" w:hAnsi="宋体" w:eastAsia="宋体" w:cs="宋体"/>
          <w:bCs w:val="0"/>
          <w:color w:val="auto"/>
          <w:szCs w:val="28"/>
          <w:highlight w:val="none"/>
          <w:lang w:val="zh-CN"/>
        </w:rPr>
        <w:fldChar w:fldCharType="end"/>
      </w:r>
    </w:p>
    <w:p w14:paraId="01DD22E3">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_Toc17546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1</w:t>
      </w:r>
      <w:r>
        <w:rPr>
          <w:rFonts w:hint="eastAsia" w:ascii="宋体" w:hAnsi="宋体" w:eastAsia="宋体" w:cs="宋体"/>
          <w:highlight w:val="none"/>
          <w:lang w:val="en-US" w:eastAsia="zh-CN"/>
        </w:rPr>
        <w:t>2</w:t>
      </w:r>
      <w:r>
        <w:rPr>
          <w:rFonts w:hint="eastAsia" w:ascii="宋体" w:hAnsi="宋体" w:eastAsia="宋体" w:cs="宋体"/>
          <w:highlight w:val="none"/>
        </w:rPr>
        <w:t>.偏离表（技术）：</w:t>
      </w:r>
      <w:r>
        <w:tab/>
      </w:r>
      <w:r>
        <w:fldChar w:fldCharType="begin"/>
      </w:r>
      <w:r>
        <w:instrText xml:space="preserve"> PAGEREF _Toc17546 \h </w:instrText>
      </w:r>
      <w:r>
        <w:fldChar w:fldCharType="separate"/>
      </w:r>
      <w:r>
        <w:t>35</w:t>
      </w:r>
      <w:r>
        <w:fldChar w:fldCharType="end"/>
      </w:r>
      <w:r>
        <w:rPr>
          <w:rFonts w:hint="eastAsia" w:ascii="宋体" w:hAnsi="宋体" w:eastAsia="宋体" w:cs="宋体"/>
          <w:bCs w:val="0"/>
          <w:color w:val="auto"/>
          <w:szCs w:val="28"/>
          <w:highlight w:val="none"/>
          <w:lang w:val="zh-CN"/>
        </w:rPr>
        <w:fldChar w:fldCharType="end"/>
      </w:r>
    </w:p>
    <w:p w14:paraId="2506D868">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_Toc18218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1</w:t>
      </w:r>
      <w:r>
        <w:rPr>
          <w:rFonts w:hint="eastAsia" w:ascii="宋体" w:hAnsi="宋体" w:eastAsia="宋体" w:cs="宋体"/>
          <w:highlight w:val="none"/>
          <w:lang w:val="en-US" w:eastAsia="zh-CN"/>
        </w:rPr>
        <w:t>3</w:t>
      </w:r>
      <w:r>
        <w:rPr>
          <w:rFonts w:hint="eastAsia" w:ascii="宋体" w:hAnsi="宋体" w:eastAsia="宋体" w:cs="宋体"/>
          <w:highlight w:val="none"/>
        </w:rPr>
        <w:t>.资格证明文件</w:t>
      </w:r>
      <w:r>
        <w:tab/>
      </w:r>
      <w:r>
        <w:fldChar w:fldCharType="begin"/>
      </w:r>
      <w:r>
        <w:instrText xml:space="preserve"> PAGEREF _Toc18218 \h </w:instrText>
      </w:r>
      <w:r>
        <w:fldChar w:fldCharType="separate"/>
      </w:r>
      <w:r>
        <w:t>36</w:t>
      </w:r>
      <w:r>
        <w:fldChar w:fldCharType="end"/>
      </w:r>
      <w:r>
        <w:rPr>
          <w:rFonts w:hint="eastAsia" w:ascii="宋体" w:hAnsi="宋体" w:eastAsia="宋体" w:cs="宋体"/>
          <w:bCs w:val="0"/>
          <w:color w:val="auto"/>
          <w:szCs w:val="28"/>
          <w:highlight w:val="none"/>
          <w:lang w:val="zh-CN"/>
        </w:rPr>
        <w:fldChar w:fldCharType="end"/>
      </w:r>
    </w:p>
    <w:p w14:paraId="57AA0E59">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_Toc18294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1</w:t>
      </w:r>
      <w:r>
        <w:rPr>
          <w:rFonts w:hint="eastAsia" w:ascii="宋体" w:hAnsi="宋体" w:eastAsia="宋体" w:cs="宋体"/>
          <w:highlight w:val="none"/>
          <w:lang w:val="en-US" w:eastAsia="zh-CN"/>
        </w:rPr>
        <w:t>4</w:t>
      </w:r>
      <w:r>
        <w:rPr>
          <w:rFonts w:hint="eastAsia" w:ascii="宋体" w:hAnsi="宋体" w:eastAsia="宋体" w:cs="宋体"/>
          <w:highlight w:val="none"/>
        </w:rPr>
        <w:t>.远程参与开标会议诚信承诺书</w:t>
      </w:r>
      <w:r>
        <w:tab/>
      </w:r>
      <w:r>
        <w:fldChar w:fldCharType="begin"/>
      </w:r>
      <w:r>
        <w:instrText xml:space="preserve"> PAGEREF _Toc18294 \h </w:instrText>
      </w:r>
      <w:r>
        <w:fldChar w:fldCharType="separate"/>
      </w:r>
      <w:r>
        <w:t>37</w:t>
      </w:r>
      <w:r>
        <w:fldChar w:fldCharType="end"/>
      </w:r>
      <w:r>
        <w:rPr>
          <w:rFonts w:hint="eastAsia" w:ascii="宋体" w:hAnsi="宋体" w:eastAsia="宋体" w:cs="宋体"/>
          <w:bCs w:val="0"/>
          <w:color w:val="auto"/>
          <w:szCs w:val="28"/>
          <w:highlight w:val="none"/>
          <w:lang w:val="zh-CN"/>
        </w:rPr>
        <w:fldChar w:fldCharType="end"/>
      </w:r>
    </w:p>
    <w:p w14:paraId="720F9B2D">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_Toc10044 </w:instrText>
      </w:r>
      <w:r>
        <w:rPr>
          <w:rFonts w:hint="eastAsia" w:ascii="宋体" w:hAnsi="宋体" w:eastAsia="宋体" w:cs="宋体"/>
          <w:bCs w:val="0"/>
          <w:szCs w:val="28"/>
          <w:highlight w:val="none"/>
          <w:lang w:val="zh-CN"/>
        </w:rPr>
        <w:fldChar w:fldCharType="separate"/>
      </w:r>
      <w:r>
        <w:rPr>
          <w:rFonts w:hint="eastAsia" w:ascii="宋体" w:hAnsi="宋体" w:eastAsia="宋体" w:cs="宋体"/>
          <w:bCs/>
          <w:spacing w:val="0"/>
          <w:szCs w:val="32"/>
          <w:highlight w:val="none"/>
          <w:lang w:val="en-US" w:eastAsia="zh-CN" w:bidi="ar-SA"/>
        </w:rPr>
        <w:t>15.人员配备一览表</w:t>
      </w:r>
      <w:r>
        <w:tab/>
      </w:r>
      <w:r>
        <w:fldChar w:fldCharType="begin"/>
      </w:r>
      <w:r>
        <w:instrText xml:space="preserve"> PAGEREF _Toc10044 \h </w:instrText>
      </w:r>
      <w:r>
        <w:fldChar w:fldCharType="separate"/>
      </w:r>
      <w:r>
        <w:t>38</w:t>
      </w:r>
      <w:r>
        <w:fldChar w:fldCharType="end"/>
      </w:r>
      <w:r>
        <w:rPr>
          <w:rFonts w:hint="eastAsia" w:ascii="宋体" w:hAnsi="宋体" w:eastAsia="宋体" w:cs="宋体"/>
          <w:bCs w:val="0"/>
          <w:color w:val="auto"/>
          <w:szCs w:val="28"/>
          <w:highlight w:val="none"/>
          <w:lang w:val="zh-CN"/>
        </w:rPr>
        <w:fldChar w:fldCharType="end"/>
      </w:r>
    </w:p>
    <w:p w14:paraId="6FF574C2">
      <w:pPr>
        <w:pStyle w:val="28"/>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_Toc14938 </w:instrText>
      </w:r>
      <w:r>
        <w:rPr>
          <w:rFonts w:hint="eastAsia" w:ascii="宋体" w:hAnsi="宋体" w:eastAsia="宋体" w:cs="宋体"/>
          <w:bCs w:val="0"/>
          <w:szCs w:val="28"/>
          <w:highlight w:val="none"/>
          <w:lang w:val="zh-CN"/>
        </w:rPr>
        <w:fldChar w:fldCharType="separate"/>
      </w:r>
      <w:r>
        <w:rPr>
          <w:rFonts w:hint="eastAsia" w:ascii="宋体" w:hAnsi="宋体" w:eastAsia="宋体" w:cs="宋体"/>
          <w:bCs/>
          <w:spacing w:val="0"/>
          <w:szCs w:val="32"/>
          <w:highlight w:val="none"/>
          <w:lang w:val="en-US" w:eastAsia="zh-CN" w:bidi="ar-SA"/>
        </w:rPr>
        <w:t>16.投标单位情况表</w:t>
      </w:r>
      <w:r>
        <w:tab/>
      </w:r>
      <w:r>
        <w:fldChar w:fldCharType="begin"/>
      </w:r>
      <w:r>
        <w:instrText xml:space="preserve"> PAGEREF _Toc14938 \h </w:instrText>
      </w:r>
      <w:r>
        <w:fldChar w:fldCharType="separate"/>
      </w:r>
      <w:r>
        <w:t>39</w:t>
      </w:r>
      <w:r>
        <w:fldChar w:fldCharType="end"/>
      </w:r>
      <w:r>
        <w:rPr>
          <w:rFonts w:hint="eastAsia" w:ascii="宋体" w:hAnsi="宋体" w:eastAsia="宋体" w:cs="宋体"/>
          <w:bCs w:val="0"/>
          <w:color w:val="auto"/>
          <w:szCs w:val="28"/>
          <w:highlight w:val="none"/>
          <w:lang w:val="zh-CN"/>
        </w:rPr>
        <w:fldChar w:fldCharType="end"/>
      </w:r>
    </w:p>
    <w:p w14:paraId="1E345FCB">
      <w:pPr>
        <w:pStyle w:val="22"/>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_Toc11357 </w:instrText>
      </w:r>
      <w:r>
        <w:rPr>
          <w:rFonts w:hint="eastAsia" w:ascii="宋体" w:hAnsi="宋体" w:eastAsia="宋体" w:cs="宋体"/>
          <w:bCs w:val="0"/>
          <w:szCs w:val="28"/>
          <w:highlight w:val="none"/>
          <w:lang w:val="zh-CN"/>
        </w:rPr>
        <w:fldChar w:fldCharType="separate"/>
      </w:r>
      <w:r>
        <w:rPr>
          <w:rFonts w:hint="eastAsia" w:ascii="宋体" w:hAnsi="宋体" w:eastAsia="宋体" w:cs="宋体"/>
          <w:highlight w:val="none"/>
        </w:rPr>
        <w:t>第四章  招标书</w:t>
      </w:r>
      <w:r>
        <w:tab/>
      </w:r>
      <w:r>
        <w:fldChar w:fldCharType="begin"/>
      </w:r>
      <w:r>
        <w:instrText xml:space="preserve"> PAGEREF _Toc11357 \h </w:instrText>
      </w:r>
      <w:r>
        <w:fldChar w:fldCharType="separate"/>
      </w:r>
      <w:r>
        <w:t>40</w:t>
      </w:r>
      <w:r>
        <w:fldChar w:fldCharType="end"/>
      </w:r>
      <w:r>
        <w:rPr>
          <w:rFonts w:hint="eastAsia" w:ascii="宋体" w:hAnsi="宋体" w:eastAsia="宋体" w:cs="宋体"/>
          <w:bCs w:val="0"/>
          <w:color w:val="auto"/>
          <w:szCs w:val="28"/>
          <w:highlight w:val="none"/>
          <w:lang w:val="zh-CN"/>
        </w:rPr>
        <w:fldChar w:fldCharType="end"/>
      </w:r>
    </w:p>
    <w:p w14:paraId="42EE6E9A">
      <w:pPr>
        <w:pStyle w:val="22"/>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_Toc19502 </w:instrText>
      </w:r>
      <w:r>
        <w:rPr>
          <w:rFonts w:hint="eastAsia" w:ascii="宋体" w:hAnsi="宋体" w:eastAsia="宋体" w:cs="宋体"/>
          <w:bCs w:val="0"/>
          <w:szCs w:val="28"/>
          <w:highlight w:val="none"/>
          <w:lang w:val="zh-CN"/>
        </w:rPr>
        <w:fldChar w:fldCharType="separate"/>
      </w:r>
      <w:r>
        <w:rPr>
          <w:rFonts w:hint="eastAsia" w:ascii="宋体" w:hAnsi="宋体" w:eastAsia="宋体" w:cs="宋体"/>
          <w:bCs/>
          <w:szCs w:val="32"/>
          <w:highlight w:val="none"/>
          <w:lang w:val="en-US" w:eastAsia="zh-CN" w:bidi="ar-SA"/>
        </w:rPr>
        <w:t>第五章 合同主要内容</w:t>
      </w:r>
      <w:r>
        <w:tab/>
      </w:r>
      <w:r>
        <w:fldChar w:fldCharType="begin"/>
      </w:r>
      <w:r>
        <w:instrText xml:space="preserve"> PAGEREF _Toc19502 \h </w:instrText>
      </w:r>
      <w:r>
        <w:fldChar w:fldCharType="separate"/>
      </w:r>
      <w:r>
        <w:t>47</w:t>
      </w:r>
      <w:r>
        <w:fldChar w:fldCharType="end"/>
      </w:r>
      <w:r>
        <w:rPr>
          <w:rFonts w:hint="eastAsia" w:ascii="宋体" w:hAnsi="宋体" w:eastAsia="宋体" w:cs="宋体"/>
          <w:bCs w:val="0"/>
          <w:color w:val="auto"/>
          <w:szCs w:val="28"/>
          <w:highlight w:val="none"/>
          <w:lang w:val="zh-CN"/>
        </w:rPr>
        <w:fldChar w:fldCharType="end"/>
      </w:r>
    </w:p>
    <w:p w14:paraId="2E33B188">
      <w:pPr>
        <w:pStyle w:val="22"/>
        <w:tabs>
          <w:tab w:val="right" w:leader="dot" w:pos="9746"/>
        </w:tabs>
      </w:pPr>
      <w:r>
        <w:rPr>
          <w:rFonts w:hint="eastAsia" w:ascii="宋体" w:hAnsi="宋体" w:eastAsia="宋体" w:cs="宋体"/>
          <w:bCs w:val="0"/>
          <w:color w:val="auto"/>
          <w:szCs w:val="28"/>
          <w:highlight w:val="none"/>
          <w:lang w:val="zh-CN"/>
        </w:rPr>
        <w:fldChar w:fldCharType="begin"/>
      </w:r>
      <w:r>
        <w:rPr>
          <w:rFonts w:hint="eastAsia" w:ascii="宋体" w:hAnsi="宋体" w:eastAsia="宋体" w:cs="宋体"/>
          <w:bCs w:val="0"/>
          <w:szCs w:val="28"/>
          <w:highlight w:val="none"/>
          <w:lang w:val="zh-CN"/>
        </w:rPr>
        <w:instrText xml:space="preserve"> HYPERLINK \l _Toc25440 </w:instrText>
      </w:r>
      <w:r>
        <w:rPr>
          <w:rFonts w:hint="eastAsia" w:ascii="宋体" w:hAnsi="宋体" w:eastAsia="宋体" w:cs="宋体"/>
          <w:bCs w:val="0"/>
          <w:szCs w:val="28"/>
          <w:highlight w:val="none"/>
          <w:lang w:val="zh-CN"/>
        </w:rPr>
        <w:fldChar w:fldCharType="separate"/>
      </w:r>
      <w:r>
        <w:rPr>
          <w:rFonts w:hint="eastAsia" w:ascii="宋体" w:hAnsi="宋体" w:eastAsia="宋体" w:cs="宋体"/>
          <w:bCs/>
          <w:szCs w:val="32"/>
          <w:highlight w:val="none"/>
          <w:lang w:val="en-US" w:eastAsia="zh-CN" w:bidi="ar-SA"/>
        </w:rPr>
        <w:t>第六章  评标方法、采购政策、评分标准</w:t>
      </w:r>
      <w:r>
        <w:tab/>
      </w:r>
      <w:r>
        <w:fldChar w:fldCharType="begin"/>
      </w:r>
      <w:r>
        <w:instrText xml:space="preserve"> PAGEREF _Toc25440 \h </w:instrText>
      </w:r>
      <w:r>
        <w:fldChar w:fldCharType="separate"/>
      </w:r>
      <w:r>
        <w:t>55</w:t>
      </w:r>
      <w:r>
        <w:fldChar w:fldCharType="end"/>
      </w:r>
      <w:r>
        <w:rPr>
          <w:rFonts w:hint="eastAsia" w:ascii="宋体" w:hAnsi="宋体" w:eastAsia="宋体" w:cs="宋体"/>
          <w:bCs w:val="0"/>
          <w:color w:val="auto"/>
          <w:szCs w:val="28"/>
          <w:highlight w:val="none"/>
          <w:lang w:val="zh-CN"/>
        </w:rPr>
        <w:fldChar w:fldCharType="end"/>
      </w:r>
    </w:p>
    <w:p w14:paraId="63BEA287">
      <w:pPr>
        <w:pStyle w:val="257"/>
        <w:outlineLvl w:val="9"/>
        <w:rPr>
          <w:rFonts w:hint="eastAsia" w:ascii="宋体" w:hAnsi="宋体" w:eastAsia="宋体" w:cs="宋体"/>
          <w:bCs w:val="0"/>
          <w:color w:val="auto"/>
          <w:szCs w:val="28"/>
          <w:highlight w:val="none"/>
          <w:lang w:val="zh-CN"/>
        </w:rPr>
      </w:pPr>
      <w:r>
        <w:rPr>
          <w:rFonts w:hint="eastAsia" w:ascii="宋体" w:hAnsi="宋体" w:eastAsia="宋体" w:cs="宋体"/>
          <w:bCs w:val="0"/>
          <w:color w:val="auto"/>
          <w:szCs w:val="28"/>
          <w:highlight w:val="none"/>
          <w:lang w:val="zh-CN"/>
        </w:rPr>
        <w:fldChar w:fldCharType="end"/>
      </w:r>
      <w:bookmarkStart w:id="0" w:name="_Toc359921166"/>
    </w:p>
    <w:p w14:paraId="33025682">
      <w:pPr>
        <w:bidi w:val="0"/>
        <w:rPr>
          <w:rFonts w:hint="eastAsia" w:ascii="宋体" w:hAnsi="宋体" w:eastAsia="宋体" w:cs="宋体"/>
          <w:color w:val="auto"/>
          <w:highlight w:val="none"/>
          <w:lang w:val="zh-CN"/>
        </w:rPr>
      </w:pPr>
    </w:p>
    <w:p w14:paraId="283751D2">
      <w:pPr>
        <w:tabs>
          <w:tab w:val="left" w:pos="6745"/>
        </w:tabs>
        <w:bidi w:val="0"/>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ab/>
      </w:r>
    </w:p>
    <w:p w14:paraId="16E1CD5D">
      <w:pPr>
        <w:bidi w:val="0"/>
        <w:rPr>
          <w:rFonts w:hint="eastAsia" w:ascii="Times New Roman" w:hAnsi="Times New Roman" w:eastAsia="宋体" w:cs="Times New Roman"/>
          <w:sz w:val="21"/>
          <w:szCs w:val="24"/>
          <w:lang w:val="zh-CN" w:eastAsia="zh-CN" w:bidi="ar-SA"/>
        </w:rPr>
      </w:pPr>
    </w:p>
    <w:p w14:paraId="1A82FAB8">
      <w:pPr>
        <w:tabs>
          <w:tab w:val="center" w:pos="4873"/>
        </w:tabs>
        <w:bidi w:val="0"/>
        <w:jc w:val="left"/>
        <w:rPr>
          <w:rFonts w:hint="eastAsia"/>
          <w:lang w:val="zh-CN" w:eastAsia="zh-CN"/>
        </w:rPr>
        <w:sectPr>
          <w:headerReference r:id="rId4" w:type="first"/>
          <w:footerReference r:id="rId5" w:type="first"/>
          <w:headerReference r:id="rId3" w:type="default"/>
          <w:pgSz w:w="11906" w:h="16838"/>
          <w:pgMar w:top="1440" w:right="1080" w:bottom="1440" w:left="1080" w:header="964" w:footer="992" w:gutter="0"/>
          <w:pgNumType w:start="2"/>
          <w:cols w:space="720" w:num="1"/>
          <w:titlePg/>
          <w:docGrid w:linePitch="380" w:charSpace="-5735"/>
        </w:sectPr>
      </w:pPr>
      <w:r>
        <w:rPr>
          <w:rFonts w:hint="eastAsia"/>
          <w:lang w:val="zh-CN" w:eastAsia="zh-CN"/>
        </w:rPr>
        <w:tab/>
      </w:r>
    </w:p>
    <w:p w14:paraId="1B897221">
      <w:pPr>
        <w:pStyle w:val="257"/>
        <w:rPr>
          <w:rFonts w:hint="eastAsia" w:ascii="宋体" w:hAnsi="宋体" w:eastAsia="宋体" w:cs="宋体"/>
          <w:b w:val="0"/>
          <w:color w:val="auto"/>
          <w:highlight w:val="none"/>
        </w:rPr>
      </w:pPr>
      <w:bookmarkStart w:id="1" w:name="_Toc29101"/>
      <w:bookmarkStart w:id="2" w:name="_Toc19516"/>
      <w:r>
        <w:rPr>
          <w:rFonts w:hint="eastAsia" w:ascii="宋体" w:hAnsi="宋体" w:eastAsia="宋体" w:cs="宋体"/>
          <w:b w:val="0"/>
          <w:color w:val="auto"/>
          <w:highlight w:val="none"/>
        </w:rPr>
        <w:t>第一章  投标邀请</w:t>
      </w:r>
      <w:bookmarkEnd w:id="0"/>
      <w:bookmarkEnd w:id="1"/>
      <w:bookmarkEnd w:id="2"/>
    </w:p>
    <w:p w14:paraId="50BCC37B">
      <w:pPr>
        <w:spacing w:line="360" w:lineRule="auto"/>
        <w:ind w:firstLine="420"/>
        <w:rPr>
          <w:rFonts w:hint="eastAsia" w:ascii="宋体" w:hAnsi="宋体" w:eastAsia="宋体" w:cs="宋体"/>
          <w:color w:val="auto"/>
          <w:sz w:val="24"/>
          <w:szCs w:val="24"/>
          <w:highlight w:val="none"/>
          <w:lang w:eastAsia="zh-CN"/>
        </w:rPr>
      </w:pPr>
      <w:bookmarkStart w:id="3" w:name="_Toc35393621"/>
      <w:bookmarkEnd w:id="3"/>
      <w:bookmarkStart w:id="4" w:name="_Toc28359002"/>
      <w:bookmarkStart w:id="5" w:name="_Hlk108615177"/>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昆山市中医医院</w:t>
      </w:r>
      <w:r>
        <w:rPr>
          <w:rFonts w:hint="eastAsia" w:ascii="宋体" w:hAnsi="宋体" w:eastAsia="宋体" w:cs="宋体"/>
          <w:color w:val="auto"/>
          <w:sz w:val="24"/>
          <w:szCs w:val="24"/>
          <w:highlight w:val="none"/>
        </w:rPr>
        <w:t>委托，</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昆山市建工工程咨询管理有限公司</w:t>
      </w:r>
      <w:r>
        <w:rPr>
          <w:rFonts w:hint="eastAsia" w:ascii="宋体" w:hAnsi="宋体" w:eastAsia="宋体" w:cs="宋体"/>
          <w:color w:val="auto"/>
          <w:sz w:val="24"/>
          <w:szCs w:val="24"/>
          <w:highlight w:val="none"/>
        </w:rPr>
        <w:t>为其拟采购的</w:t>
      </w:r>
      <w:r>
        <w:rPr>
          <w:rFonts w:hint="eastAsia" w:ascii="宋体" w:hAnsi="宋体" w:eastAsia="宋体" w:cs="宋体"/>
          <w:color w:val="auto"/>
          <w:sz w:val="24"/>
          <w:szCs w:val="24"/>
          <w:highlight w:val="none"/>
          <w:lang w:eastAsia="zh-CN"/>
        </w:rPr>
        <w:t>昆山市中医医院食堂年度食材采购进行国内公开招标，欢迎符合条件的供应商投标。</w:t>
      </w:r>
    </w:p>
    <w:p w14:paraId="243AFD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一、项目基本情况</w:t>
      </w:r>
    </w:p>
    <w:p w14:paraId="711C461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项目编号：</w:t>
      </w:r>
      <w:r>
        <w:rPr>
          <w:rFonts w:hint="eastAsia" w:ascii="宋体" w:hAnsi="宋体" w:cs="宋体"/>
          <w:color w:val="auto"/>
          <w:sz w:val="24"/>
          <w:highlight w:val="none"/>
          <w:lang w:eastAsia="zh-CN"/>
        </w:rPr>
        <w:t>JSZC-320583-KSJG-G2024-0001</w:t>
      </w:r>
      <w:r>
        <w:rPr>
          <w:rFonts w:hint="eastAsia" w:ascii="宋体" w:hAnsi="宋体" w:eastAsia="宋体" w:cs="宋体"/>
          <w:color w:val="auto"/>
          <w:sz w:val="24"/>
          <w:highlight w:val="none"/>
        </w:rPr>
        <w:t>号</w:t>
      </w:r>
    </w:p>
    <w:p w14:paraId="658520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食堂年度食材采购</w:t>
      </w:r>
    </w:p>
    <w:p w14:paraId="37C44A3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预算金额：人民币</w:t>
      </w:r>
      <w:r>
        <w:rPr>
          <w:rFonts w:hint="eastAsia" w:ascii="宋体" w:hAnsi="宋体" w:eastAsia="宋体" w:cs="宋体"/>
          <w:color w:val="auto"/>
          <w:sz w:val="24"/>
          <w:highlight w:val="none"/>
          <w:lang w:val="en-US" w:eastAsia="zh-CN"/>
        </w:rPr>
        <w:t>壹仟零捌拾万</w:t>
      </w:r>
      <w:r>
        <w:rPr>
          <w:rFonts w:hint="eastAsia" w:ascii="宋体" w:hAnsi="宋体" w:eastAsia="宋体" w:cs="宋体"/>
          <w:color w:val="auto"/>
          <w:sz w:val="24"/>
          <w:highlight w:val="none"/>
        </w:rPr>
        <w:t>元整（￥：</w:t>
      </w:r>
      <w:r>
        <w:rPr>
          <w:rFonts w:hint="eastAsia" w:ascii="宋体" w:hAnsi="宋体" w:eastAsia="宋体" w:cs="宋体"/>
          <w:color w:val="auto"/>
          <w:sz w:val="24"/>
          <w:highlight w:val="none"/>
          <w:lang w:val="en-US" w:eastAsia="zh-CN"/>
        </w:rPr>
        <w:t>108</w:t>
      </w:r>
      <w:r>
        <w:rPr>
          <w:rFonts w:hint="eastAsia" w:ascii="宋体" w:hAnsi="宋体" w:eastAsia="宋体" w:cs="宋体"/>
          <w:color w:val="auto"/>
          <w:sz w:val="24"/>
          <w:highlight w:val="none"/>
        </w:rPr>
        <w:t>00000元）</w:t>
      </w:r>
    </w:p>
    <w:p w14:paraId="5816BF3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服务期限：</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年</w:t>
      </w:r>
    </w:p>
    <w:p w14:paraId="65D79E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.采购需求：</w:t>
      </w:r>
      <w:bookmarkEnd w:id="4"/>
      <w:bookmarkStart w:id="6" w:name="_Toc28359080"/>
      <w:r>
        <w:rPr>
          <w:rFonts w:hint="eastAsia" w:ascii="宋体" w:hAnsi="宋体" w:eastAsia="宋体" w:cs="宋体"/>
          <w:color w:val="auto"/>
          <w:sz w:val="24"/>
          <w:highlight w:val="none"/>
        </w:rPr>
        <w:t>委托第三方机构开展</w:t>
      </w:r>
      <w:r>
        <w:rPr>
          <w:rFonts w:hint="eastAsia" w:ascii="宋体" w:hAnsi="宋体" w:eastAsia="宋体" w:cs="宋体"/>
          <w:color w:val="auto"/>
          <w:sz w:val="24"/>
          <w:highlight w:val="none"/>
          <w:lang w:eastAsia="zh-CN"/>
        </w:rPr>
        <w:t>昆山市中医医院</w:t>
      </w:r>
      <w:r>
        <w:rPr>
          <w:rFonts w:hint="eastAsia" w:ascii="宋体" w:hAnsi="宋体" w:eastAsia="宋体" w:cs="宋体"/>
          <w:color w:val="auto"/>
          <w:sz w:val="24"/>
          <w:highlight w:val="none"/>
        </w:rPr>
        <w:t>餐饮食材配送服务，具体需求详见招标文件第四章招标书。</w:t>
      </w:r>
    </w:p>
    <w:p w14:paraId="77AD4B3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5.是否接受进口产品：不接受进口产品。</w:t>
      </w:r>
    </w:p>
    <w:p w14:paraId="3A32AC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6.本项目不接受联合体投标。</w:t>
      </w:r>
    </w:p>
    <w:p w14:paraId="75942C2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二、申请人的资格要求：</w:t>
      </w:r>
    </w:p>
    <w:p w14:paraId="3849135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（一）满足《中华人民共和国政府采购法》第二十二条规定：（提供承诺函，格式自拟）。</w:t>
      </w:r>
    </w:p>
    <w:bookmarkEnd w:id="6"/>
    <w:p w14:paraId="00B2D28A">
      <w:pPr>
        <w:spacing w:line="360" w:lineRule="auto"/>
        <w:ind w:firstLine="480" w:firstLineChars="200"/>
        <w:rPr>
          <w:rFonts w:hint="eastAsia" w:ascii="宋体" w:hAnsi="宋体" w:eastAsia="宋体" w:cs="宋体"/>
          <w:color w:val="auto"/>
          <w:sz w:val="24"/>
          <w:highlight w:val="none"/>
        </w:rPr>
      </w:pPr>
      <w:bookmarkStart w:id="7" w:name="_Toc28359004"/>
      <w:bookmarkStart w:id="8" w:name="_Toc35393792"/>
      <w:r>
        <w:rPr>
          <w:rFonts w:hint="eastAsia" w:ascii="宋体" w:hAnsi="宋体" w:eastAsia="宋体" w:cs="宋体"/>
          <w:color w:val="auto"/>
          <w:sz w:val="24"/>
          <w:highlight w:val="none"/>
        </w:rPr>
        <w:t>（二）落实政府采购政策需满足的资格要求：本项目属于面向中小企业预留采购份额项目，预留份额通过获得采购合同的供应商将采购项目中的一定比例分包给一家或多家中小企业进行，分包意向协议中预留给中小企业的金额应当不低于总金额的40%。接受分包的中小企业和分包企不得存在直接控股、管理关系。若供应商为大型企业的，须按上述要求进行分包并提供相应材料;若供应商本身为中小企业的，视同符合本条资格要求，则可以不再进行分包。</w:t>
      </w:r>
    </w:p>
    <w:p w14:paraId="0C87029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bookmarkEnd w:id="7"/>
      <w:r>
        <w:rPr>
          <w:rFonts w:hint="eastAsia" w:ascii="宋体" w:hAnsi="宋体" w:eastAsia="宋体" w:cs="宋体"/>
          <w:color w:val="auto"/>
          <w:sz w:val="24"/>
          <w:highlight w:val="none"/>
        </w:rPr>
        <w:t xml:space="preserve">具有有效的《食品流通许可证》或《食品生产许可证》或《食品经营许可证》； </w:t>
      </w:r>
    </w:p>
    <w:p w14:paraId="37B8A2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14:paraId="44D891A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三、获取采购文件</w:t>
      </w:r>
    </w:p>
    <w:bookmarkEnd w:id="8"/>
    <w:p w14:paraId="05C4E871">
      <w:pPr>
        <w:spacing w:line="360" w:lineRule="auto"/>
        <w:ind w:firstLine="480"/>
        <w:rPr>
          <w:rFonts w:hint="eastAsia" w:ascii="宋体" w:hAnsi="宋体" w:eastAsia="宋体" w:cs="宋体"/>
          <w:color w:val="auto"/>
          <w:sz w:val="24"/>
          <w:highlight w:val="none"/>
        </w:rPr>
      </w:pPr>
      <w:bookmarkStart w:id="9" w:name="_Toc28359005"/>
      <w:r>
        <w:rPr>
          <w:rFonts w:hint="eastAsia" w:ascii="宋体" w:hAnsi="宋体" w:eastAsia="宋体" w:cs="宋体"/>
          <w:color w:val="auto"/>
          <w:sz w:val="24"/>
          <w:highlight w:val="none"/>
        </w:rPr>
        <w:t>1.获取招标文件时间：上网之日起至</w:t>
      </w:r>
      <w:r>
        <w:rPr>
          <w:rFonts w:hint="eastAsia" w:ascii="宋体" w:hAnsi="宋体" w:eastAsia="宋体" w:cs="宋体"/>
          <w:color w:val="0000FF"/>
          <w:sz w:val="24"/>
          <w:highlight w:val="none"/>
        </w:rPr>
        <w:t>2024年</w:t>
      </w:r>
      <w:r>
        <w:rPr>
          <w:rFonts w:hint="eastAsia" w:ascii="宋体" w:hAnsi="宋体" w:cs="宋体"/>
          <w:color w:val="0000FF"/>
          <w:sz w:val="24"/>
          <w:highlight w:val="none"/>
          <w:lang w:val="en-US" w:eastAsia="zh-CN"/>
        </w:rPr>
        <w:t>11</w:t>
      </w:r>
      <w:r>
        <w:rPr>
          <w:rFonts w:hint="eastAsia" w:ascii="宋体" w:hAnsi="宋体" w:eastAsia="宋体" w:cs="宋体"/>
          <w:color w:val="0000FF"/>
          <w:sz w:val="24"/>
          <w:highlight w:val="none"/>
        </w:rPr>
        <w:t>月</w:t>
      </w:r>
      <w:r>
        <w:rPr>
          <w:rFonts w:hint="eastAsia" w:ascii="宋体" w:hAnsi="宋体" w:cs="宋体"/>
          <w:color w:val="0000FF"/>
          <w:sz w:val="24"/>
          <w:highlight w:val="none"/>
          <w:lang w:val="en-US" w:eastAsia="zh-CN"/>
        </w:rPr>
        <w:t>01</w:t>
      </w:r>
      <w:r>
        <w:rPr>
          <w:rFonts w:hint="eastAsia" w:ascii="宋体" w:hAnsi="宋体" w:eastAsia="宋体" w:cs="宋体"/>
          <w:color w:val="0000FF"/>
          <w:sz w:val="24"/>
          <w:highlight w:val="none"/>
        </w:rPr>
        <w:t>日17:00</w:t>
      </w:r>
      <w:r>
        <w:rPr>
          <w:rFonts w:hint="eastAsia" w:ascii="宋体" w:hAnsi="宋体" w:eastAsia="宋体" w:cs="宋体"/>
          <w:color w:val="auto"/>
          <w:sz w:val="24"/>
          <w:highlight w:val="none"/>
        </w:rPr>
        <w:t>（北京时间）；</w:t>
      </w:r>
    </w:p>
    <w:p w14:paraId="4F7238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2..获取招标文件方式：供应商报名后从苏采云系统中下载</w:t>
      </w:r>
    </w:p>
    <w:p w14:paraId="2F8F18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3.招标文件售价：0元。</w:t>
      </w:r>
    </w:p>
    <w:p w14:paraId="5ECA1A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四、提交投标文件截止时间、开标时间和地点</w:t>
      </w:r>
    </w:p>
    <w:bookmarkEnd w:id="9"/>
    <w:p w14:paraId="69987FAC">
      <w:pPr>
        <w:spacing w:line="360" w:lineRule="auto"/>
        <w:ind w:firstLine="480"/>
        <w:rPr>
          <w:rFonts w:hint="eastAsia" w:ascii="宋体" w:hAnsi="宋体" w:eastAsia="宋体" w:cs="宋体"/>
          <w:color w:val="auto"/>
          <w:sz w:val="24"/>
          <w:highlight w:val="none"/>
        </w:rPr>
      </w:pPr>
      <w:bookmarkStart w:id="10" w:name="_Toc35393794"/>
      <w:bookmarkEnd w:id="10"/>
      <w:bookmarkStart w:id="11" w:name="_Toc35393625"/>
      <w:r>
        <w:rPr>
          <w:rFonts w:hint="eastAsia" w:ascii="宋体" w:hAnsi="宋体" w:eastAsia="宋体" w:cs="宋体"/>
          <w:color w:val="auto"/>
          <w:sz w:val="24"/>
          <w:highlight w:val="none"/>
        </w:rPr>
        <w:t>本项目采用电子化招投标模式，供应商须网上提交投标文件，并可通过远程开标方式完成开标。</w:t>
      </w:r>
    </w:p>
    <w:p w14:paraId="6C55D8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1.提交投标文件截止时间：</w:t>
      </w:r>
      <w:r>
        <w:rPr>
          <w:rFonts w:hint="eastAsia" w:ascii="宋体" w:hAnsi="宋体" w:eastAsia="宋体" w:cs="宋体"/>
          <w:color w:val="0000FF"/>
          <w:sz w:val="24"/>
          <w:highlight w:val="none"/>
        </w:rPr>
        <w:t>2024年</w:t>
      </w:r>
      <w:r>
        <w:rPr>
          <w:rFonts w:hint="eastAsia" w:ascii="宋体" w:hAnsi="宋体" w:cs="宋体"/>
          <w:color w:val="0000FF"/>
          <w:sz w:val="24"/>
          <w:highlight w:val="none"/>
          <w:lang w:val="en-US" w:eastAsia="zh-CN"/>
        </w:rPr>
        <w:t>11</w:t>
      </w:r>
      <w:r>
        <w:rPr>
          <w:rFonts w:hint="eastAsia" w:ascii="宋体" w:hAnsi="宋体" w:eastAsia="宋体" w:cs="宋体"/>
          <w:color w:val="0000FF"/>
          <w:sz w:val="24"/>
          <w:highlight w:val="none"/>
        </w:rPr>
        <w:t>月</w:t>
      </w:r>
      <w:r>
        <w:rPr>
          <w:rFonts w:hint="eastAsia" w:ascii="宋体" w:hAnsi="宋体" w:cs="宋体"/>
          <w:color w:val="0000FF"/>
          <w:sz w:val="24"/>
          <w:highlight w:val="none"/>
          <w:lang w:val="en-US" w:eastAsia="zh-CN"/>
        </w:rPr>
        <w:t>15</w:t>
      </w:r>
      <w:r>
        <w:rPr>
          <w:rFonts w:hint="eastAsia" w:ascii="宋体" w:hAnsi="宋体" w:eastAsia="宋体" w:cs="宋体"/>
          <w:color w:val="0000FF"/>
          <w:sz w:val="24"/>
          <w:highlight w:val="none"/>
        </w:rPr>
        <w:t>日9:30</w:t>
      </w:r>
      <w:r>
        <w:rPr>
          <w:rFonts w:hint="eastAsia" w:ascii="宋体" w:hAnsi="宋体" w:eastAsia="宋体" w:cs="宋体"/>
          <w:color w:val="auto"/>
          <w:sz w:val="24"/>
          <w:highlight w:val="none"/>
        </w:rPr>
        <w:t>（北京时间）；</w:t>
      </w:r>
    </w:p>
    <w:p w14:paraId="40FBFC6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2.远程开标时间：</w:t>
      </w:r>
      <w:r>
        <w:rPr>
          <w:rFonts w:hint="eastAsia" w:ascii="宋体" w:hAnsi="宋体" w:eastAsia="宋体" w:cs="宋体"/>
          <w:color w:val="0000FF"/>
          <w:sz w:val="24"/>
          <w:highlight w:val="none"/>
        </w:rPr>
        <w:t>2024年</w:t>
      </w:r>
      <w:r>
        <w:rPr>
          <w:rFonts w:hint="eastAsia" w:ascii="宋体" w:hAnsi="宋体" w:cs="宋体"/>
          <w:color w:val="0000FF"/>
          <w:sz w:val="24"/>
          <w:highlight w:val="none"/>
          <w:lang w:val="en-US" w:eastAsia="zh-CN"/>
        </w:rPr>
        <w:t>11</w:t>
      </w:r>
      <w:r>
        <w:rPr>
          <w:rFonts w:hint="eastAsia" w:ascii="宋体" w:hAnsi="宋体" w:eastAsia="宋体" w:cs="宋体"/>
          <w:color w:val="0000FF"/>
          <w:sz w:val="24"/>
          <w:highlight w:val="none"/>
        </w:rPr>
        <w:t>月</w:t>
      </w:r>
      <w:r>
        <w:rPr>
          <w:rFonts w:hint="eastAsia" w:ascii="宋体" w:hAnsi="宋体" w:cs="宋体"/>
          <w:color w:val="0000FF"/>
          <w:sz w:val="24"/>
          <w:highlight w:val="none"/>
          <w:lang w:val="en-US" w:eastAsia="zh-CN"/>
        </w:rPr>
        <w:t>15</w:t>
      </w:r>
      <w:r>
        <w:rPr>
          <w:rFonts w:hint="eastAsia" w:ascii="宋体" w:hAnsi="宋体" w:eastAsia="宋体" w:cs="宋体"/>
          <w:color w:val="0000FF"/>
          <w:sz w:val="24"/>
          <w:highlight w:val="none"/>
        </w:rPr>
        <w:t>日9:30</w:t>
      </w:r>
      <w:r>
        <w:rPr>
          <w:rFonts w:hint="eastAsia" w:ascii="宋体" w:hAnsi="宋体" w:eastAsia="宋体" w:cs="宋体"/>
          <w:color w:val="auto"/>
          <w:sz w:val="24"/>
          <w:highlight w:val="none"/>
        </w:rPr>
        <w:t>（北京时间）；</w:t>
      </w:r>
    </w:p>
    <w:bookmarkEnd w:id="5"/>
    <w:bookmarkEnd w:id="11"/>
    <w:p w14:paraId="2F0315C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3.开标地点：“苏采云”系统（网址：http://jszfcg.jsczt.cn/）</w:t>
      </w:r>
    </w:p>
    <w:p w14:paraId="30689F0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4578EF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6717F75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请供应商确保电脑、系统及其他设备（视频输入输出设备等）无误，且开标直至项目结束始终保持系统在线状态。</w:t>
      </w:r>
    </w:p>
    <w:p w14:paraId="0B805D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五、公告期限</w:t>
      </w:r>
    </w:p>
    <w:p w14:paraId="1040618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5AFCE83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六、其他补充事宜</w:t>
      </w:r>
    </w:p>
    <w:p w14:paraId="4E13E65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1.CA证书办理</w:t>
      </w:r>
    </w:p>
    <w:p w14:paraId="47ECA57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0E9792B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2.参与采购活动</w:t>
      </w:r>
    </w:p>
    <w:p w14:paraId="4F99A9F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5443AB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3.电子投标准备</w:t>
      </w:r>
    </w:p>
    <w:p w14:paraId="0118EEC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51424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在系统操作过程中如有疑问，请按以下方式联系：</w:t>
      </w:r>
    </w:p>
    <w:p w14:paraId="7E6B8A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注册咨询：18261002950；</w:t>
      </w:r>
    </w:p>
    <w:p w14:paraId="32372A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CA技术咨询电话：400-608-6099；</w:t>
      </w:r>
    </w:p>
    <w:p w14:paraId="6A0980E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签章使用问题：025-83633811、025-83633812、15380932027、15371015030；</w:t>
      </w:r>
    </w:p>
    <w:p w14:paraId="7C25CA1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系统使用指导与咨询：联系电话：18261002950；QQ：3048755361、1315179389、895706745。</w:t>
      </w:r>
    </w:p>
    <w:p w14:paraId="2C30450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七、对本次招标提出询问，请按以下方式联系。</w:t>
      </w:r>
    </w:p>
    <w:p w14:paraId="7FAF111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 </w:t>
      </w:r>
      <w:r>
        <w:rPr>
          <w:rFonts w:hint="eastAsia" w:ascii="宋体" w:hAnsi="宋体" w:eastAsia="宋体" w:cs="宋体"/>
          <w:color w:val="auto"/>
          <w:sz w:val="24"/>
          <w:highlight w:val="none"/>
          <w:lang w:eastAsia="zh-CN"/>
        </w:rPr>
        <w:t>昆山市中医医院</w:t>
      </w:r>
      <w:r>
        <w:rPr>
          <w:rFonts w:hint="eastAsia" w:ascii="宋体" w:hAnsi="宋体" w:eastAsia="宋体" w:cs="宋体"/>
          <w:color w:val="auto"/>
          <w:sz w:val="24"/>
          <w:highlight w:val="none"/>
        </w:rPr>
        <w:t xml:space="preserve"> </w:t>
      </w:r>
    </w:p>
    <w:p w14:paraId="1C7AFD15">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lang w:eastAsia="zh-CN"/>
        </w:rPr>
        <w:t>江苏省昆山市巴城镇祖冲之南路388号</w:t>
      </w:r>
    </w:p>
    <w:p w14:paraId="67E72AB4">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吉传军</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0512-50260601</w:t>
      </w:r>
    </w:p>
    <w:p w14:paraId="2B7B44B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7.2、招标代理机构名称：</w:t>
      </w:r>
      <w:r>
        <w:rPr>
          <w:rFonts w:hint="eastAsia" w:ascii="宋体" w:hAnsi="宋体" w:cs="宋体"/>
          <w:color w:val="auto"/>
          <w:sz w:val="24"/>
          <w:highlight w:val="none"/>
          <w:lang w:eastAsia="zh-CN"/>
        </w:rPr>
        <w:t>昆山市建工工程咨询管理有限公司</w:t>
      </w:r>
    </w:p>
    <w:p w14:paraId="4C76B2E2">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cs="宋体"/>
          <w:color w:val="auto"/>
          <w:sz w:val="24"/>
          <w:highlight w:val="none"/>
          <w:lang w:eastAsia="zh-CN"/>
        </w:rPr>
        <w:t>昆山市富尔路26号2号楼3楼</w:t>
      </w:r>
    </w:p>
    <w:p w14:paraId="3DCB65CA">
      <w:pPr>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val="en-US" w:eastAsia="zh-CN"/>
        </w:rPr>
        <w:t xml:space="preserve">代理部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联系电话：</w:t>
      </w:r>
      <w:r>
        <w:rPr>
          <w:rFonts w:hint="eastAsia" w:ascii="宋体" w:hAnsi="宋体" w:cs="宋体"/>
          <w:color w:val="auto"/>
          <w:sz w:val="24"/>
          <w:highlight w:val="none"/>
          <w:lang w:val="en-US" w:eastAsia="zh-CN"/>
        </w:rPr>
        <w:t>18112654694</w:t>
      </w:r>
    </w:p>
    <w:p w14:paraId="739AF6FA">
      <w:pPr>
        <w:spacing w:line="360" w:lineRule="auto"/>
        <w:ind w:firstLine="480"/>
        <w:jc w:val="center"/>
        <w:outlineLvl w:val="0"/>
        <w:rPr>
          <w:rFonts w:hint="eastAsia" w:ascii="宋体" w:hAnsi="宋体" w:eastAsia="宋体" w:cs="宋体"/>
          <w:b/>
          <w:color w:val="auto"/>
          <w:highlight w:val="none"/>
        </w:rPr>
      </w:pPr>
      <w:r>
        <w:rPr>
          <w:rFonts w:hint="eastAsia" w:ascii="宋体" w:hAnsi="宋体" w:eastAsia="宋体" w:cs="宋体"/>
          <w:color w:val="auto"/>
          <w:sz w:val="24"/>
          <w:highlight w:val="none"/>
        </w:rPr>
        <w:br w:type="page" w:clear="all"/>
      </w:r>
      <w:bookmarkStart w:id="12" w:name="_Toc28031"/>
      <w:bookmarkStart w:id="13" w:name="_Toc359921167"/>
      <w:bookmarkStart w:id="14" w:name="_Toc28433"/>
      <w:r>
        <w:rPr>
          <w:rFonts w:hint="eastAsia" w:ascii="宋体" w:hAnsi="宋体" w:eastAsia="宋体" w:cs="宋体"/>
          <w:b/>
          <w:bCs/>
          <w:color w:val="auto"/>
          <w:sz w:val="32"/>
          <w:szCs w:val="32"/>
          <w:highlight w:val="none"/>
        </w:rPr>
        <w:t>第二章  投标人须知</w:t>
      </w:r>
      <w:bookmarkEnd w:id="12"/>
      <w:bookmarkEnd w:id="13"/>
      <w:bookmarkEnd w:id="14"/>
    </w:p>
    <w:p w14:paraId="0AE30628">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说明和释义</w:t>
      </w:r>
    </w:p>
    <w:p w14:paraId="0BBDF5DA">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w:t>
      </w:r>
    </w:p>
    <w:p w14:paraId="437B4E2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本招标文件仅适用于</w:t>
      </w:r>
      <w:r>
        <w:rPr>
          <w:rFonts w:hint="eastAsia" w:ascii="宋体" w:hAnsi="宋体" w:cs="宋体"/>
          <w:color w:val="auto"/>
          <w:sz w:val="24"/>
          <w:highlight w:val="none"/>
          <w:lang w:eastAsia="zh-CN"/>
        </w:rPr>
        <w:t>昆山市建工工程咨询管理有限公司</w:t>
      </w:r>
      <w:r>
        <w:rPr>
          <w:rFonts w:hint="eastAsia" w:ascii="宋体" w:hAnsi="宋体" w:eastAsia="宋体" w:cs="宋体"/>
          <w:color w:val="auto"/>
          <w:sz w:val="24"/>
          <w:highlight w:val="none"/>
        </w:rPr>
        <w:t>组织的招标活动。</w:t>
      </w:r>
    </w:p>
    <w:p w14:paraId="682B7A3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本次招标活动及因本次招标产生的合同受中国法律制约和保护。</w:t>
      </w:r>
    </w:p>
    <w:p w14:paraId="20F45EF1">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本招标文件的解释权属于</w:t>
      </w:r>
      <w:r>
        <w:rPr>
          <w:rFonts w:hint="eastAsia" w:ascii="宋体" w:hAnsi="宋体" w:cs="宋体"/>
          <w:color w:val="auto"/>
          <w:sz w:val="24"/>
          <w:highlight w:val="none"/>
          <w:lang w:eastAsia="zh-CN"/>
        </w:rPr>
        <w:t>昆山市建工工程咨询管理有限公司</w:t>
      </w:r>
      <w:r>
        <w:rPr>
          <w:rFonts w:hint="eastAsia" w:ascii="宋体" w:hAnsi="宋体" w:eastAsia="宋体" w:cs="宋体"/>
          <w:color w:val="auto"/>
          <w:sz w:val="24"/>
          <w:highlight w:val="none"/>
        </w:rPr>
        <w:t>。</w:t>
      </w:r>
    </w:p>
    <w:p w14:paraId="635B0509">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词语释义</w:t>
      </w:r>
    </w:p>
    <w:p w14:paraId="0409C53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招标人：具体组织实施招标活动的法人。</w:t>
      </w:r>
    </w:p>
    <w:p w14:paraId="090E9239">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投标人：经认定有资格响应招标，参加投标竞争的法人或其他组织和自然人。</w:t>
      </w:r>
    </w:p>
    <w:p w14:paraId="5C6A1561">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响应：投标人根据招标人或招标人发布的招标文件，编制投标文件并按规定投标的行为。</w:t>
      </w:r>
    </w:p>
    <w:p w14:paraId="4657771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合同：采供双方根据招标文件和中标的投标文件及中标通知书规定的内容签署的以书面形式所达成的协议，包括所有的附件、附录和构成协议的所有文件。</w:t>
      </w:r>
    </w:p>
    <w:p w14:paraId="71557B3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甲方（采购人）：合同中明确规定的实际购买货物和服务的法人或其他组织和自然人。</w:t>
      </w:r>
    </w:p>
    <w:p w14:paraId="40F96E9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乙方（供应商）：合同中规定的向采购方提供货物和服务的法人或其他组织和自然人。</w:t>
      </w:r>
    </w:p>
    <w:p w14:paraId="09238086">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伴随服务：根据合同规定乙方应承担的与提供货物和服务有关的辅助服务，比如运输、保险、安装、调试、提供技术援助、培训、配合措施、维修响应及合同中规定乙方应承担的其它义务。</w:t>
      </w:r>
    </w:p>
    <w:p w14:paraId="20287F1B">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知识产权：指专利权、商标权、著作权等无形资产专有权的统称。</w:t>
      </w:r>
    </w:p>
    <w:p w14:paraId="63AB995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天：日历日。</w:t>
      </w:r>
    </w:p>
    <w:p w14:paraId="0BEEABF9">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交货地点：合同中明确约定的乙方提交的货物和服务最终到达地点。</w:t>
      </w:r>
    </w:p>
    <w:p w14:paraId="32232FC6">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合同价款：根据合同规定，乙方在正确地履行合同义务后甲方应支付给乙方的价款。</w:t>
      </w:r>
    </w:p>
    <w:p w14:paraId="36BB0EE6">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产地：货物开采、生长、生产、最终制造、加工或提供服务的来源地。</w:t>
      </w:r>
    </w:p>
    <w:p w14:paraId="188373A7">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不可抗力：不能预见、不能避免并且不能克服的客观情况。</w:t>
      </w:r>
    </w:p>
    <w:p w14:paraId="34211A6C">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政策功能</w:t>
      </w:r>
    </w:p>
    <w:p w14:paraId="7FAE0FCD">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政府采购促进中小企业发展，小微企业（含小型、微型企业）提供的产品和服务在评标时将获得优势，具体详见本招标文件内容。</w:t>
      </w:r>
    </w:p>
    <w:p w14:paraId="13AC81E2">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★残疾人福利性单位及监狱企业视同小型企业（需提供</w:t>
      </w:r>
      <w:r>
        <w:rPr>
          <w:rFonts w:hint="eastAsia" w:ascii="宋体" w:hAnsi="宋体" w:eastAsia="宋体" w:cs="宋体"/>
          <w:color w:val="auto"/>
          <w:spacing w:val="6"/>
          <w:sz w:val="24"/>
          <w:highlight w:val="none"/>
        </w:rPr>
        <w:t>残疾人福利性单位声明函，详见本招标文件</w:t>
      </w:r>
      <w:r>
        <w:rPr>
          <w:rFonts w:hint="eastAsia" w:ascii="宋体" w:hAnsi="宋体" w:eastAsia="宋体" w:cs="宋体"/>
          <w:color w:val="auto"/>
          <w:sz w:val="24"/>
          <w:highlight w:val="none"/>
        </w:rPr>
        <w:t>），享受评审中价格扣除等促进中小企业发展的政府采购政策。</w:t>
      </w:r>
    </w:p>
    <w:p w14:paraId="74A8FA77">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w:t>
      </w:r>
    </w:p>
    <w:p w14:paraId="72230F70">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合格投标人的范围</w:t>
      </w:r>
    </w:p>
    <w:p w14:paraId="70E00F8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详见“第一章投标邀请函”中投标人要求。</w:t>
      </w:r>
    </w:p>
    <w:p w14:paraId="1273A125">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投标委托</w:t>
      </w:r>
    </w:p>
    <w:p w14:paraId="2CFC269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如投标人代表不是法定代表人，须持有《法定代表人授权委托书》（格式见附件）。</w:t>
      </w:r>
    </w:p>
    <w:p w14:paraId="7B908366">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投标费用 </w:t>
      </w:r>
    </w:p>
    <w:p w14:paraId="7FF5744D">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无论投标过程中的做法和结果如何，投标人自行承担所有与参加投标有关的全部费用。</w:t>
      </w:r>
    </w:p>
    <w:p w14:paraId="68697231">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联合投标</w:t>
      </w:r>
    </w:p>
    <w:p w14:paraId="4DF0EE2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本项目不接受联合体投标</w:t>
      </w:r>
    </w:p>
    <w:p w14:paraId="17ED0EA8">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招标文件的说明</w:t>
      </w:r>
    </w:p>
    <w:p w14:paraId="7E14BAB1">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招标文件</w:t>
      </w:r>
    </w:p>
    <w:p w14:paraId="7B4DEE7C">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招标文件由招标文件总目录所列内容组成。投标人应详细阅读招标文件的全部内容。不按招标文件的要求提供的投标文件和资料，可能导致投标被拒绝。</w:t>
      </w:r>
    </w:p>
    <w:p w14:paraId="0002B25B">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招标文件的澄清</w:t>
      </w:r>
    </w:p>
    <w:p w14:paraId="35D16468">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投标人在获取招标文件后，若有疑问，应于答疑问题提交截止时间之前，在项目交易系统上向招标代理人提出，招标代理人将在项目交易系统上予以解答。</w:t>
      </w:r>
    </w:p>
    <w:p w14:paraId="3C4EFC54">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招标文件的修改</w:t>
      </w:r>
    </w:p>
    <w:p w14:paraId="18AD5BE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在网上投标截止时间前，招标代理人有权在出于实际需要或澄清投标人问题的情况下，以补充文件的形式对招标文件进行修改。</w:t>
      </w:r>
    </w:p>
    <w:p w14:paraId="0F1951B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招标代理人对招标文件的修改，将以更正公告形式发布于政府采购信息发布媒体上，敬请投标人及时查询。更正内容作为招标文件的组成部分，对所有投标人具有约束力。</w:t>
      </w:r>
    </w:p>
    <w:p w14:paraId="676C1BD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p>
    <w:p w14:paraId="3C4D8A3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供应商应在投标截止时间前关注原采购信息发布媒体上有关本招标项目有无变更公告。</w:t>
      </w:r>
    </w:p>
    <w:p w14:paraId="39C455C3">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质疑</w:t>
      </w:r>
    </w:p>
    <w:p w14:paraId="35431897">
      <w:pPr>
        <w:numPr>
          <w:ilvl w:val="1"/>
          <w:numId w:val="2"/>
        </w:numPr>
        <w:spacing w:line="360" w:lineRule="auto"/>
        <w:ind w:left="0" w:firstLine="42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p>
    <w:p w14:paraId="468C3C75">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p>
    <w:p w14:paraId="3C8BDDB8">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质疑必须以参加投标供应商法定代表人或授权代表（投标文件中所确定的）原件送达的方式提交，否则，招标代理人有权不予受理。</w:t>
      </w:r>
    </w:p>
    <w:p w14:paraId="261D863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上述应知其权益受到损害之日是指：</w:t>
      </w:r>
    </w:p>
    <w:p w14:paraId="341767B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对招标文件提出质疑的，为招标文件公告期限届满之日起计算；</w:t>
      </w:r>
    </w:p>
    <w:p w14:paraId="750CDB1D">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对采购过程提出质疑的，自采购程序环节结束之日起计算；</w:t>
      </w:r>
    </w:p>
    <w:p w14:paraId="0367B0C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对中标结果提出质疑的，自中标结果公告期限届满之日起计算。</w:t>
      </w:r>
    </w:p>
    <w:p w14:paraId="409D3100">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质疑文件应包括以下主要内容，并按照“谁主张、谁举证”的原则，附上相关证明材料。否则，招标代理人或采购人不予受理：</w:t>
      </w:r>
    </w:p>
    <w:p w14:paraId="2E8C844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供应商的姓名或者名称、地址、邮编、联系人及联系电话；</w:t>
      </w:r>
    </w:p>
    <w:p w14:paraId="1FBA2EB0">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质疑项目的名称、编号；</w:t>
      </w:r>
    </w:p>
    <w:p w14:paraId="34AD9069">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具体、明确的质疑事项和与质疑事项相关的请求；</w:t>
      </w:r>
    </w:p>
    <w:p w14:paraId="445CAF56">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事实依据；</w:t>
      </w:r>
    </w:p>
    <w:p w14:paraId="175D4DCF">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必要的法律依据；</w:t>
      </w:r>
    </w:p>
    <w:p w14:paraId="0C197210">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提出质疑的日期。</w:t>
      </w:r>
    </w:p>
    <w:p w14:paraId="15A876B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供应商为自然人的，应当由本人签字；供应商为法人或者其他组织的，应当由法定代表人、主要负责人，或者其授权代表签字或者盖章，并加盖公章。 </w:t>
      </w:r>
    </w:p>
    <w:p w14:paraId="575216A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被质疑人在收到供应商的书面质疑后将及时组织调查核实，在七个工作日内作出答复，如对招标文件进行必要的澄清或者修改的，参照本须知“招标文件的修改”条款执行。</w:t>
      </w:r>
    </w:p>
    <w:p w14:paraId="008571A1">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p>
    <w:p w14:paraId="2281A22D">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供应商“依法获取采购文件”的方式为供应商进行网上报名后在报名系统中自行下载采购文件，并打印、保留“网上报名确认单”，质疑时与质疑函一并提交。</w:t>
      </w:r>
    </w:p>
    <w:p w14:paraId="323080E0">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投标文件说明</w:t>
      </w:r>
    </w:p>
    <w:p w14:paraId="4C883542">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投标文件计量单位和使用文字</w:t>
      </w:r>
    </w:p>
    <w:p w14:paraId="4A1BD671">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投标文件中所使用的计量单位，除招标文件中有特殊要求外，应采用国家法定计量单位。</w:t>
      </w:r>
    </w:p>
    <w:p w14:paraId="66EDD87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投标文件应使用中文编制，投标文件中必须使用其他文字的，必须附有中文译本。对于未附有中文译本和中文译本不准确的投标文件，由此引起对投标人不利后果的，招标代理人概不负责。</w:t>
      </w:r>
    </w:p>
    <w:p w14:paraId="71FB1FE4">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电子投标文件的组成和顺序</w:t>
      </w:r>
    </w:p>
    <w:p w14:paraId="03D52226">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基本目录</w:t>
      </w:r>
      <w:r>
        <w:rPr>
          <w:rFonts w:hint="eastAsia" w:ascii="宋体" w:hAnsi="宋体" w:eastAsia="宋体" w:cs="宋体"/>
          <w:color w:val="auto"/>
          <w:sz w:val="24"/>
          <w:highlight w:val="none"/>
        </w:rPr>
        <w:t>：</w:t>
      </w:r>
    </w:p>
    <w:p w14:paraId="7868FF09">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13.1.1封面；</w:t>
      </w:r>
    </w:p>
    <w:p w14:paraId="66CBFF6B">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13.1.2开标一览表（格式见第三章）；</w:t>
      </w:r>
    </w:p>
    <w:p w14:paraId="643C3047">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3.2 资格条件：</w:t>
      </w:r>
    </w:p>
    <w:p w14:paraId="7280688F">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13.2.1投标人满足《中华人民共和国政府采购法》第二十二条规定：；</w:t>
      </w:r>
    </w:p>
    <w:p w14:paraId="40661248">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13.2.2投标承诺函（格式见第三章）；</w:t>
      </w:r>
    </w:p>
    <w:p w14:paraId="5A907B1B">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13.2.3投标人情况表（格式见第三章）；</w:t>
      </w:r>
    </w:p>
    <w:p w14:paraId="412524B5">
      <w:pPr>
        <w:spacing w:line="360" w:lineRule="auto"/>
        <w:ind w:left="425"/>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13.2.4 人员配备一览表</w:t>
      </w:r>
      <w:r>
        <w:rPr>
          <w:rFonts w:hint="eastAsia" w:ascii="宋体" w:hAnsi="宋体" w:eastAsia="宋体" w:cs="宋体"/>
          <w:color w:val="auto"/>
          <w:sz w:val="24"/>
          <w:highlight w:val="none"/>
        </w:rPr>
        <w:t>（格式见第三章）</w:t>
      </w:r>
      <w:r>
        <w:rPr>
          <w:rFonts w:hint="eastAsia" w:ascii="宋体" w:hAnsi="宋体" w:cs="宋体"/>
          <w:color w:val="auto"/>
          <w:sz w:val="24"/>
          <w:highlight w:val="none"/>
          <w:lang w:val="en-US" w:eastAsia="zh-CN"/>
        </w:rPr>
        <w:t>；</w:t>
      </w:r>
    </w:p>
    <w:p w14:paraId="08AD0701">
      <w:pPr>
        <w:spacing w:line="360" w:lineRule="auto"/>
        <w:ind w:left="42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13.2.5食品安全承诺书（格式见第三章）；</w:t>
      </w:r>
    </w:p>
    <w:p w14:paraId="276088DE">
      <w:pPr>
        <w:spacing w:line="360" w:lineRule="auto"/>
        <w:ind w:left="425"/>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13.2.6无重大违法记录声明（格式见第三章）；</w:t>
      </w:r>
    </w:p>
    <w:p w14:paraId="3D6DC33B">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zh-CN"/>
        </w:rPr>
        <w:t>远程参与开标会议诚信承诺书</w:t>
      </w:r>
      <w:r>
        <w:rPr>
          <w:rFonts w:hint="eastAsia" w:ascii="宋体" w:hAnsi="宋体" w:eastAsia="宋体" w:cs="宋体"/>
          <w:color w:val="auto"/>
          <w:sz w:val="24"/>
          <w:highlight w:val="none"/>
        </w:rPr>
        <w:t>（格式见第三章）；</w:t>
      </w:r>
    </w:p>
    <w:p w14:paraId="63FB4196">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法定代表人授权委托书及法人身份证明（如有授权）（格式见第三章）。</w:t>
      </w:r>
    </w:p>
    <w:p w14:paraId="76A544C2">
      <w:pPr>
        <w:spacing w:line="360" w:lineRule="auto"/>
        <w:ind w:left="42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13.3 符合性条件</w:t>
      </w:r>
    </w:p>
    <w:p w14:paraId="2D535CA8">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13.3.1投标文件声明函；</w:t>
      </w:r>
    </w:p>
    <w:p w14:paraId="0F6F1640">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13.3.2商务偏离表、技术偏离表；</w:t>
      </w:r>
    </w:p>
    <w:p w14:paraId="0DD897FB">
      <w:pPr>
        <w:spacing w:line="360" w:lineRule="auto"/>
        <w:ind w:left="42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13.3.3投标函；</w:t>
      </w:r>
    </w:p>
    <w:p w14:paraId="5EBBDEB4">
      <w:pPr>
        <w:pStyle w:val="2"/>
        <w:rPr>
          <w:rFonts w:hint="default"/>
          <w:lang w:val="en-US" w:eastAsia="zh-CN"/>
        </w:rPr>
      </w:pPr>
      <w:r>
        <w:rPr>
          <w:rFonts w:hint="eastAsia" w:ascii="宋体" w:hAnsi="宋体" w:eastAsia="宋体" w:cs="宋体"/>
          <w:color w:val="auto"/>
          <w:sz w:val="24"/>
          <w:highlight w:val="none"/>
          <w:lang w:val="en-US" w:eastAsia="zh-CN"/>
        </w:rPr>
        <w:t>13.3.4项目相关的符合性审查证明文件；</w:t>
      </w:r>
    </w:p>
    <w:p w14:paraId="4AA3C5D4">
      <w:pPr>
        <w:spacing w:line="360" w:lineRule="auto"/>
        <w:ind w:left="42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13.4 综合评审评分项：</w:t>
      </w:r>
    </w:p>
    <w:p w14:paraId="48C31A60">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13.4.1评审所需的相关证明材料（技术方案、人员配置、业绩等）。</w:t>
      </w:r>
    </w:p>
    <w:p w14:paraId="45AE14DE">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13.4.2价格折扣文件格式：</w:t>
      </w:r>
    </w:p>
    <w:p w14:paraId="30561DC2">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13.4.3提供《中小企业声明函》（如有）（格式见第三章）；</w:t>
      </w:r>
    </w:p>
    <w:p w14:paraId="44B538F9">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13.4.4残疾人福利性单位声明函（如有）（格式见第三章）；</w:t>
      </w:r>
    </w:p>
    <w:p w14:paraId="5C177489">
      <w:pPr>
        <w:spacing w:line="360" w:lineRule="auto"/>
        <w:ind w:left="425"/>
        <w:rPr>
          <w:rFonts w:hint="eastAsia" w:ascii="宋体" w:hAnsi="宋体" w:eastAsia="宋体" w:cs="宋体"/>
          <w:color w:val="auto"/>
          <w:sz w:val="24"/>
          <w:highlight w:val="none"/>
        </w:rPr>
      </w:pPr>
      <w:r>
        <w:rPr>
          <w:rFonts w:hint="eastAsia" w:ascii="宋体" w:hAnsi="宋体" w:eastAsia="宋体" w:cs="宋体"/>
          <w:color w:val="auto"/>
          <w:sz w:val="24"/>
          <w:highlight w:val="none"/>
        </w:rPr>
        <w:t>13.4.5监狱企业证明文件（如有）（格式见第三章）；。</w:t>
      </w:r>
    </w:p>
    <w:p w14:paraId="7169E3D9">
      <w:pPr>
        <w:spacing w:line="360" w:lineRule="auto"/>
        <w:ind w:left="42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以上资格性、符合性审查须提供的资料，投标人必须提供并加盖电子公章。否则，投标文件将被认定为未实质性响应。投标人所提交的投标书（技术及相关文件部分）完整与否，将直接影响投标人的评分；</w:t>
      </w:r>
    </w:p>
    <w:p w14:paraId="0E02D634">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投标文件编制说明</w:t>
      </w:r>
    </w:p>
    <w:p w14:paraId="3A08613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电子投标文件按招标文件规定的格式制作，如果未按要求制作上传，可能导致投标无效。</w:t>
      </w:r>
    </w:p>
    <w:p w14:paraId="728A1F60">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开标一览表为在开标仪式上网上唱标的内容，要求按格式填写，统一规范，不得自行增减内容（格式见第三章）。</w:t>
      </w:r>
    </w:p>
    <w:p w14:paraId="39FA733E">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对本次投标的详细说明的编制</w:t>
      </w:r>
    </w:p>
    <w:p w14:paraId="29FCB5B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对本次投标的详细说明由投标人视各自的情况自行编制，规格幅面应与正文一致，附于正文之后，与正文页码统一编目编码装订成册。</w:t>
      </w:r>
    </w:p>
    <w:p w14:paraId="09AFBBE4">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投标报价</w:t>
      </w:r>
    </w:p>
    <w:p w14:paraId="7578345C">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投标报价，包括但不限于本项目服务过程的劳务、食宿、差旅、资料汇编、管理、保险、利润、税金、政策性文件规定及合同包含的所有风险、责任等各项应有费用。</w:t>
      </w:r>
    </w:p>
    <w:p w14:paraId="4649469D">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投标人应按《投标报价表》中的整个投标项目计算单价和总价。《投标报价表》中的每一单项均应计算并填写单价和总价，并由法定代表人或被授权人签署。</w:t>
      </w:r>
    </w:p>
    <w:p w14:paraId="47FA3DF0">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p>
    <w:p w14:paraId="3217A2B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一项投标内容只允许一个报价，招标代理人不接受任何有选择性的投标报价。</w:t>
      </w:r>
    </w:p>
    <w:p w14:paraId="15F00DB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投标文件报价中的单价和总价全部采用人民币表示，合同的主要条款另有规定的除外。</w:t>
      </w:r>
    </w:p>
    <w:p w14:paraId="5CE7CB0E">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供应商的任何错漏、优惠、竞争性报价不得作为减轻责任、减少服务、增加收费、降低质量的理由。</w:t>
      </w:r>
    </w:p>
    <w:p w14:paraId="7C6C6437">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最低报价不能作为中标的保证。</w:t>
      </w:r>
    </w:p>
    <w:p w14:paraId="19224BE1">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投标文件的有效期</w:t>
      </w:r>
    </w:p>
    <w:p w14:paraId="3F02F6C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b/>
          <w:color w:val="auto"/>
          <w:sz w:val="24"/>
          <w:highlight w:val="none"/>
        </w:rPr>
        <w:t>本投标有效期从提交投标文件的截止之日起算后90天，投标书应保持有效。有效期短于这个规定期限的投标，将被拒绝。</w:t>
      </w:r>
    </w:p>
    <w:p w14:paraId="070015D5">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p>
    <w:p w14:paraId="5245D182">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投标文件的提交</w:t>
      </w:r>
    </w:p>
    <w:p w14:paraId="0CCD2E4D">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投标截止时间</w:t>
      </w:r>
    </w:p>
    <w:p w14:paraId="16DACB59">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电子投标文件必须按《投标邀请函》规定的网上投标截止时间前提交，以系统内上传后显示的上传文件确认单为准。</w:t>
      </w:r>
    </w:p>
    <w:p w14:paraId="78B3F61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招标人推迟投标截止时间时，应以网上公布的形式，通知投标人，在这种情况下，招标人和投标人的权利和义务将受到新的截止期的约束。</w:t>
      </w:r>
    </w:p>
    <w:p w14:paraId="0F4C0881">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在投标截止时间以后上传的投标文件，招标人拒绝接收。</w:t>
      </w:r>
    </w:p>
    <w:p w14:paraId="5FFD91B3">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投标文件的修改和撤回</w:t>
      </w:r>
    </w:p>
    <w:p w14:paraId="0C2E95C0">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投标文件应当在提交投标文件的截止时间前通过苏彩云进行提交。开标前，投标人可以撤回投标。</w:t>
      </w:r>
    </w:p>
    <w:p w14:paraId="7B8C086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在提交投标文件的截止时间前，投标人可以撤回或者修改投标文件。</w:t>
      </w:r>
    </w:p>
    <w:p w14:paraId="0D0F422B">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开标和评标</w:t>
      </w:r>
    </w:p>
    <w:p w14:paraId="6E5FA574">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开标</w:t>
      </w:r>
    </w:p>
    <w:p w14:paraId="39FA5C80">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招标代理人按《投标邀请函》规定的时间、地点进行开标。开标仪式根据委托人授权由招标代理人主持。</w:t>
      </w:r>
    </w:p>
    <w:p w14:paraId="57C69B77">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参加开标的投标人的法定代表人或被授权人应携带数字证书（CA）进行远程签名报到，数字证书（CA）密码输入错误达到10次或输入时间超过10分钟的，均视为无效投标。 </w:t>
      </w:r>
    </w:p>
    <w:p w14:paraId="30D01B4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在开标时，有下列情况之一者将视为无效：</w:t>
      </w:r>
    </w:p>
    <w:p w14:paraId="3888DD74">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不符合法律、法规和招标文件中规定的其他实质性要求的。</w:t>
      </w:r>
    </w:p>
    <w:p w14:paraId="0F6ECC58">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资格审查、信用查询</w:t>
      </w:r>
    </w:p>
    <w:p w14:paraId="6FA9DCE2">
      <w:pPr>
        <w:numPr>
          <w:ilvl w:val="1"/>
          <w:numId w:val="2"/>
        </w:numPr>
        <w:spacing w:line="360" w:lineRule="auto"/>
        <w:ind w:left="0" w:firstLine="4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公开招标采购项目开标结束后，采购人或者招标代理人应当依法对投标人的资格进行审查,未通过资格审查的视为无效投标。</w:t>
      </w:r>
    </w:p>
    <w:p w14:paraId="76F4FA47">
      <w:pPr>
        <w:numPr>
          <w:ilvl w:val="1"/>
          <w:numId w:val="2"/>
        </w:numPr>
        <w:spacing w:line="360" w:lineRule="auto"/>
        <w:ind w:left="0" w:firstLine="4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投标人根据资格要求提供相应资料供资格审查（具体要求详见第一章投标邀请）。</w:t>
      </w:r>
    </w:p>
    <w:p w14:paraId="47A33B16">
      <w:pPr>
        <w:numPr>
          <w:ilvl w:val="1"/>
          <w:numId w:val="2"/>
        </w:numPr>
        <w:spacing w:line="360" w:lineRule="auto"/>
        <w:ind w:left="0" w:firstLine="4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0F698D27">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查询时间：进入评审环节前。</w:t>
      </w:r>
    </w:p>
    <w:p w14:paraId="53D1BD64">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查询证据留存方式：打印查询的信用报告，由评标委员会进行认定。</w:t>
      </w:r>
    </w:p>
    <w:p w14:paraId="6800C020">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评标委员会或评标小组</w:t>
      </w:r>
    </w:p>
    <w:p w14:paraId="4BDF4581">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评标委员会或评标小组（以下简称评标委员会）的评标工作由招标采购单位负责组织，具体评标事务由评标委员会负责，并独立履行法律、法规规定的职责。</w:t>
      </w:r>
    </w:p>
    <w:p w14:paraId="6B6847C5">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评标委员会或评标小组负责具体的评标事务，并独立履行以下职责：</w:t>
      </w:r>
    </w:p>
    <w:p w14:paraId="2056FFBD">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审查投标文件是否符合招标文件的要求，并作出评价。</w:t>
      </w:r>
    </w:p>
    <w:p w14:paraId="7416AE88">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可以要求投标供应商对投标文件有关事项作出解释或澄清。</w:t>
      </w:r>
    </w:p>
    <w:p w14:paraId="6C816FA1">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推荐中标候选供应商名单，或者受招标人委托按照事先确定的办法直接确定中标人。</w:t>
      </w:r>
    </w:p>
    <w:p w14:paraId="0475A952">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向招标采购人或者有关部门报告非法干预评标工作的行为。</w:t>
      </w:r>
    </w:p>
    <w:p w14:paraId="4F76EA15">
      <w:pPr>
        <w:numPr>
          <w:ilvl w:val="1"/>
          <w:numId w:val="2"/>
        </w:numPr>
        <w:spacing w:line="360" w:lineRule="auto"/>
        <w:ind w:left="0" w:firstLine="4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评标委员会成员应当履行下列义务：</w:t>
      </w:r>
    </w:p>
    <w:p w14:paraId="244487CC">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遵纪守法，客观、公正、廉洁地履行职责。</w:t>
      </w:r>
    </w:p>
    <w:p w14:paraId="2CC281BD">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按照招标文件规定的评标办法和评标标准进行评标，对评审意见承担个人责任。</w:t>
      </w:r>
    </w:p>
    <w:p w14:paraId="01422434">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对评标过程和结果，以及投标人的商业秘密保密。</w:t>
      </w:r>
    </w:p>
    <w:p w14:paraId="054D9770">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参与评标报告的起草。</w:t>
      </w:r>
    </w:p>
    <w:p w14:paraId="6190E89D">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配合财政部门的投诉处理工作。</w:t>
      </w:r>
    </w:p>
    <w:p w14:paraId="45AB2AF7">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配合招标采购人答复投标供应商提出的质疑。</w:t>
      </w:r>
    </w:p>
    <w:p w14:paraId="753D2225">
      <w:pPr>
        <w:numPr>
          <w:ilvl w:val="1"/>
          <w:numId w:val="2"/>
        </w:numPr>
        <w:spacing w:line="360" w:lineRule="auto"/>
        <w:ind w:left="0" w:firstLine="4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评标内容的保密</w:t>
      </w:r>
    </w:p>
    <w:p w14:paraId="46BF174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公开开标后，直到宣布授予中标单位合同为止，凡属于审查、澄清、评价和比较投标的所有资料，有关授予合同的信息都不应向投标人或与评标无关的其他人泄露。</w:t>
      </w:r>
    </w:p>
    <w:p w14:paraId="7283D18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在投标文件的审查、澄清、评价和比较以及授予合同的过程中，投标人对招标人和评标委员会成员施加影响的任何行为，都将取消其投标资格。</w:t>
      </w:r>
    </w:p>
    <w:p w14:paraId="6DAD2A01">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在评标期间，招标人将通过指定联络人与投标人进行联系。</w:t>
      </w:r>
    </w:p>
    <w:p w14:paraId="00F93276">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评标委员会不向落标人解释原因。</w:t>
      </w:r>
    </w:p>
    <w:p w14:paraId="2E43297B">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对投标人及投标文件的审核</w:t>
      </w:r>
    </w:p>
    <w:p w14:paraId="0251E3D7">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采购人或者招标代理人资格证明文件要求进行投标人资格审查，如缺少内容，视为无效投标；</w:t>
      </w:r>
    </w:p>
    <w:p w14:paraId="1ECD9E3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对价格的计算错误按下述原则修正：</w:t>
      </w:r>
    </w:p>
    <w:p w14:paraId="41FAA76C">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如果以文字表示的数据与数字表示的有差别，应以文字为准修正数字。</w:t>
      </w:r>
    </w:p>
    <w:p w14:paraId="6F9D2B3F">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对不同文字文本投标文件的解释发生异议的，以中文文本为准。</w:t>
      </w:r>
    </w:p>
    <w:p w14:paraId="774C51A7">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投标人不同意以上修正，则其投标为无效投标。</w:t>
      </w:r>
    </w:p>
    <w:p w14:paraId="274A027B">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p>
    <w:p w14:paraId="531401E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评标委员会对投标文件的判定，只依据投标内容本身，不依据开标后的任何外来证明。</w:t>
      </w:r>
    </w:p>
    <w:p w14:paraId="500567F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下列投标文件为无效投标：</w:t>
      </w:r>
    </w:p>
    <w:p w14:paraId="6D7292CC">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与招标文件有重大偏离。</w:t>
      </w:r>
    </w:p>
    <w:p w14:paraId="1B8253F5">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投标人的报价是选择性的。</w:t>
      </w:r>
    </w:p>
    <w:p w14:paraId="5D75744F">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投标人的报价只报了部分内容。</w:t>
      </w:r>
    </w:p>
    <w:p w14:paraId="570CDDAA">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投标报价超过预算的。</w:t>
      </w:r>
    </w:p>
    <w:p w14:paraId="701D0C95">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不具备招标文件中规定的资格要求。</w:t>
      </w:r>
    </w:p>
    <w:p w14:paraId="7085E55A">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不同供应商的投标文件由同一单位或者个人编制。</w:t>
      </w:r>
    </w:p>
    <w:p w14:paraId="4B4E25CF">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不同供应商委托同一单位或者个人办理投标事宜。</w:t>
      </w:r>
    </w:p>
    <w:p w14:paraId="2F688F0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不同供应商的投标文件载明的项目管理成员为同一人。</w:t>
      </w:r>
    </w:p>
    <w:p w14:paraId="2CB472B0">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不同供应商的投标文件异常一致。</w:t>
      </w:r>
    </w:p>
    <w:p w14:paraId="19CEDC3F">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不同供应商的投标文件相互混装。</w:t>
      </w:r>
    </w:p>
    <w:p w14:paraId="16FA37E1">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不同供应商的法定代表人或委托代理人有夫妻、直系血亲关系的。</w:t>
      </w:r>
    </w:p>
    <w:p w14:paraId="1059A120">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不同供应商的负责人为同一人或者存在控股、管理关系的。</w:t>
      </w:r>
    </w:p>
    <w:p w14:paraId="2BD8EE85">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不同供应商的委托代理人(或法定代表人、项目经理、项目总监、项目负责人等)在招标文件发布日上月至投标截止日当月在同一单位缴纳社会保险的。</w:t>
      </w:r>
    </w:p>
    <w:p w14:paraId="34B03A2F">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服务承诺和付款条件未响应招标要求的；</w:t>
      </w:r>
    </w:p>
    <w:p w14:paraId="5107B7CE">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特征码检查中，不同投标人上传采购文件所使用的电脑网卡信息一致的（如发现违法违规行为，将依法追究其法律责任）；</w:t>
      </w:r>
    </w:p>
    <w:p w14:paraId="3981E448">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不符合法律、法规和招标文件规定的其他实质性要求的。</w:t>
      </w:r>
    </w:p>
    <w:p w14:paraId="07CD2211">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评标委员会认定的其它为无效投标的事项。</w:t>
      </w:r>
    </w:p>
    <w:p w14:paraId="394BE0B9">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投标的澄清</w:t>
      </w:r>
    </w:p>
    <w:p w14:paraId="5214A14B">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评标委员会有权就投标文件中含混之处向投标人提出询问或澄清要求，投标人必须按照招标代理人通知的时间、地点派技术和商务人员进行澄清。</w:t>
      </w:r>
    </w:p>
    <w:p w14:paraId="1C9ED095">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必要时招标代理人可要求就澄清的问题作书面回答，该书面回答应有投标人的法定代表人或被授权人签署，并将作为投标内容的一部分。</w:t>
      </w:r>
    </w:p>
    <w:p w14:paraId="7FAFA972">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投标人对投标文件的澄清不得改变投标的价格及实质性内容。</w:t>
      </w:r>
    </w:p>
    <w:p w14:paraId="3497C726">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废标</w:t>
      </w:r>
    </w:p>
    <w:p w14:paraId="7E6A01C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在招标过程中，出现下列情况之一的，应予废标：</w:t>
      </w:r>
    </w:p>
    <w:p w14:paraId="5D97705D">
      <w:pPr>
        <w:numPr>
          <w:ilvl w:val="2"/>
          <w:numId w:val="2"/>
        </w:numPr>
        <w:spacing w:line="360" w:lineRule="auto"/>
        <w:ind w:left="426" w:firstLine="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进入的实质性响应的供应商少于3家的；</w:t>
      </w:r>
    </w:p>
    <w:p w14:paraId="71D07ED1">
      <w:pPr>
        <w:numPr>
          <w:ilvl w:val="2"/>
          <w:numId w:val="2"/>
        </w:numPr>
        <w:spacing w:line="360" w:lineRule="auto"/>
        <w:ind w:left="426" w:firstLine="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如是多标段，进入每个标段评审的实质性响应且具有得标权（已在前期各标段评审中获得了采购文件规定的得标上限数的供应商，不再具有该标段的得标权）的供应商少于3家的；</w:t>
      </w:r>
    </w:p>
    <w:p w14:paraId="6CEAACCC">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出现影响采购公正的违法、违规行为的；</w:t>
      </w:r>
    </w:p>
    <w:p w14:paraId="25CAA934">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投标人的报价均超过了采购预算，采购方不能支付的；</w:t>
      </w:r>
    </w:p>
    <w:p w14:paraId="7094C422">
      <w:pPr>
        <w:numPr>
          <w:ilvl w:val="2"/>
          <w:numId w:val="2"/>
        </w:numPr>
        <w:spacing w:line="360" w:lineRule="auto"/>
        <w:ind w:left="426"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因重大变故，采购任务取消的。</w:t>
      </w:r>
    </w:p>
    <w:p w14:paraId="6576C4A9">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废标后，招标人将把废标的理由通知所有投标人 。</w:t>
      </w:r>
    </w:p>
    <w:p w14:paraId="62514CAD">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投标文件的评价和比较</w:t>
      </w:r>
    </w:p>
    <w:p w14:paraId="2CAB779B">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评标委员会将仅对按照本须知有关规定确定为实质上响应招标文件要求的投标文件进行评价和比较。</w:t>
      </w:r>
    </w:p>
    <w:p w14:paraId="00410782">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评价和比较采用综合评分法，评标委员会严格按照招标文件的要求、条件、评分标准，对投标人所作的实质性响应内容进行比较。</w:t>
      </w:r>
    </w:p>
    <w:p w14:paraId="1F0CB7FF">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授予合同</w:t>
      </w:r>
    </w:p>
    <w:p w14:paraId="1663BF6D">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中标单位的确认</w:t>
      </w:r>
    </w:p>
    <w:p w14:paraId="53B3B94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评标委员会根据投标人资格审查情况，对投标文件进行评价和比较，按照评标办法和标准进行评标，并按招标人的委托向招标人推荐中标候选单位。</w:t>
      </w:r>
    </w:p>
    <w:p w14:paraId="4EC04C24">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政府采购合同履行中，采购人需追加与合同标的相同货物、工程或者服务的，在不改变合同其他条款的前提下，可以与供应商签订补充合同，但所有补充合同的采购金额不得超过原合同采购金额的10%。</w:t>
      </w:r>
    </w:p>
    <w:p w14:paraId="18D62961">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合同授予标准</w:t>
      </w:r>
    </w:p>
    <w:p w14:paraId="44231072">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确定为中标的投标人必须具有实施本合同的能力和资源。</w:t>
      </w:r>
    </w:p>
    <w:p w14:paraId="0375B23A">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中标通知书</w:t>
      </w:r>
    </w:p>
    <w:p w14:paraId="133319D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确定出中标单位后在投标有效期截止前，招标人将以书面形式通知中标的投标人其投标被接受。在中标通知书中给出中标单位的中标标价、交货时间、质量标准和有关合同签订的日期和地点。</w:t>
      </w:r>
    </w:p>
    <w:p w14:paraId="46DE9D28">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中标通知书将成为合同的组成部分。</w:t>
      </w:r>
    </w:p>
    <w:p w14:paraId="0ADD42D0">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合同的签订</w:t>
      </w:r>
    </w:p>
    <w:p w14:paraId="0CC0410F">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采购人应当自中标通知书发出之日起30日内，按照招标文件和中标人投标文件的规定，与中标人签订书面合同。所签订的合同不得对招标文件确定的事项和中标人投标文件作实质性修改。</w:t>
      </w:r>
    </w:p>
    <w:p w14:paraId="4CA1A4FE">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采购人不得向中标人提出任何不合理的要求作为签订合同的条件。</w:t>
      </w:r>
    </w:p>
    <w:p w14:paraId="6C547063">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中标单位应按中标通知书中规定的时间和地点，由法定代表人或授权委托人与甲方代表签订合同。否则按放弃中标权处理。</w:t>
      </w:r>
    </w:p>
    <w:p w14:paraId="549DB832">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履约保证金（如有）</w:t>
      </w:r>
    </w:p>
    <w:p w14:paraId="40732229">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中标的投标人应按《投标邀请函》中的规定提交履约保证金。</w:t>
      </w:r>
    </w:p>
    <w:p w14:paraId="1E5C722B">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履约保证金（无息）将在乙方履行完合同并经验收合格后，凭乙方的收款收据在五个工作日内退返乙方。</w:t>
      </w:r>
    </w:p>
    <w:p w14:paraId="10656160">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诚实信用</w:t>
      </w:r>
    </w:p>
    <w:p w14:paraId="4FEE5A62">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诚实信用</w:t>
      </w:r>
    </w:p>
    <w:p w14:paraId="7FDE0DD6">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供应商之间不得相互串通投标报价，不得妨碍其他供应商的公平竞争，不得损害采购人和其他供应商的合法权益。</w:t>
      </w:r>
    </w:p>
    <w:p w14:paraId="31CC7E4C">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供应商不得虚假承诺，否则，按照提供虚假材料谋取中标处理。</w:t>
      </w:r>
    </w:p>
    <w:p w14:paraId="24EB39F0">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供应商应自觉遵守开标、评标纪律，扰乱现场秩序的，属于失信行为，根据《江苏省政府采购供应商监督管理暂行办法》和《昆山市政府采购供应商诚信管理暂行办法》，失信行为将被记入供应商诚信档案。</w:t>
      </w:r>
    </w:p>
    <w:p w14:paraId="1D7238CE">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供应商不得向工作人员、评标委员会成员行贿或者采取其他不正当手段谋取中标。经查实供应商有此行为的，政府采购管理部门将供应商列入不良行为记录名单，按照《政府采购法》有关规定处理。</w:t>
      </w:r>
    </w:p>
    <w:p w14:paraId="3B26E47A">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p>
    <w:p w14:paraId="2957E935">
      <w:pPr>
        <w:numPr>
          <w:ilvl w:val="0"/>
          <w:numId w:val="1"/>
        </w:numPr>
        <w:spacing w:line="360" w:lineRule="auto"/>
        <w:ind w:left="850" w:hanging="42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其他事项</w:t>
      </w:r>
    </w:p>
    <w:p w14:paraId="68FDC116">
      <w:pPr>
        <w:numPr>
          <w:ilvl w:val="0"/>
          <w:numId w:val="2"/>
        </w:numPr>
        <w:spacing w:line="360" w:lineRule="auto"/>
        <w:ind w:left="849" w:hanging="42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中标服务费</w:t>
      </w:r>
    </w:p>
    <w:p w14:paraId="65BA946A">
      <w:pPr>
        <w:numPr>
          <w:ilvl w:val="1"/>
          <w:numId w:val="2"/>
        </w:numPr>
        <w:spacing w:line="360" w:lineRule="auto"/>
        <w:ind w:left="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中标单位须按规定支付中标服务费，该费用应在合同签订后三天内付清。</w:t>
      </w:r>
    </w:p>
    <w:p w14:paraId="43CF2AF7">
      <w:pPr>
        <w:keepNext w:val="0"/>
        <w:keepLines w:val="0"/>
        <w:pageBreakBefore w:val="0"/>
        <w:widowControl w:val="0"/>
        <w:kinsoku/>
        <w:wordWrap/>
        <w:overflowPunct/>
        <w:topLinePunct w:val="0"/>
        <w:autoSpaceDE/>
        <w:autoSpaceDN/>
        <w:bidi w:val="0"/>
        <w:adjustRightInd/>
        <w:snapToGrid/>
        <w:spacing w:line="360" w:lineRule="auto"/>
        <w:ind w:firstLine="723" w:firstLineChars="3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按差额定率累进法计算收费: 按预算金额100万元以下，收取1.5%；100-500万元，收取1.1%；500-1000万元，收取0.8%；1000-5000万元，收取0.5%；5000-10000万元，收取0.25%；10000-100000万元，收取0.05%，最低不少于3000元；该费用由中标单位另行支付至我司</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中标服务费专用帐户-</w:t>
      </w:r>
      <w:r>
        <w:rPr>
          <w:rFonts w:hint="eastAsia" w:ascii="宋体" w:hAnsi="宋体" w:cs="宋体"/>
          <w:b/>
          <w:color w:val="auto"/>
          <w:sz w:val="24"/>
          <w:highlight w:val="none"/>
          <w:lang w:eastAsia="zh-CN"/>
        </w:rPr>
        <w:t>昆山市建工工程咨询管理有限公司</w:t>
      </w:r>
      <w:r>
        <w:rPr>
          <w:rFonts w:hint="eastAsia" w:ascii="宋体" w:hAnsi="宋体" w:eastAsia="宋体" w:cs="宋体"/>
          <w:b/>
          <w:color w:val="auto"/>
          <w:sz w:val="24"/>
          <w:highlight w:val="none"/>
        </w:rPr>
        <w:t>，开户行-</w:t>
      </w:r>
      <w:r>
        <w:rPr>
          <w:rFonts w:hint="eastAsia" w:ascii="宋体" w:hAnsi="宋体" w:cs="宋体"/>
          <w:b/>
          <w:color w:val="auto"/>
          <w:sz w:val="24"/>
          <w:highlight w:val="none"/>
          <w:lang w:eastAsia="zh-CN"/>
        </w:rPr>
        <w:t>交通银行股份有限公司昆山分行</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账号</w:t>
      </w:r>
      <w:r>
        <w:rPr>
          <w:rFonts w:hint="eastAsia" w:ascii="宋体" w:hAnsi="宋体" w:eastAsia="宋体" w:cs="宋体"/>
          <w:b/>
          <w:color w:val="auto"/>
          <w:sz w:val="24"/>
          <w:highlight w:val="none"/>
        </w:rPr>
        <w:t>-391680666018010058992）</w:t>
      </w:r>
    </w:p>
    <w:p w14:paraId="5B2D6781">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中标单位如果未按规定缴纳中标服务费，我单位保留诉讼的权利。</w:t>
      </w:r>
    </w:p>
    <w:p w14:paraId="2BE4661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9" w:hanging="423"/>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监督</w:t>
      </w:r>
    </w:p>
    <w:p w14:paraId="17E6F130">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firstLine="425"/>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政府有关监督部门将对招投标全过程进行监督。</w:t>
      </w:r>
    </w:p>
    <w:p w14:paraId="47BBA22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9" w:hanging="423"/>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未尽事宜</w:t>
      </w:r>
    </w:p>
    <w:p w14:paraId="0104C62D">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firstLine="425"/>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按《中华人民共和国政府采购法》及其他有关政府采购的法律法规的的规定执行。</w:t>
      </w:r>
    </w:p>
    <w:p w14:paraId="326345BA">
      <w:pPr>
        <w:pStyle w:val="193"/>
        <w:rPr>
          <w:rFonts w:hint="eastAsia" w:ascii="宋体" w:hAnsi="宋体" w:eastAsia="宋体" w:cs="宋体"/>
          <w:color w:val="auto"/>
          <w:highlight w:val="none"/>
        </w:rPr>
      </w:pPr>
    </w:p>
    <w:p w14:paraId="0928C0B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Cs w:val="21"/>
          <w:highlight w:val="none"/>
        </w:rPr>
        <w:br w:type="page" w:clear="all"/>
      </w:r>
    </w:p>
    <w:p w14:paraId="16A9F907">
      <w:pPr>
        <w:pStyle w:val="257"/>
        <w:rPr>
          <w:rFonts w:hint="eastAsia" w:ascii="宋体" w:hAnsi="宋体" w:eastAsia="宋体" w:cs="宋体"/>
          <w:b w:val="0"/>
          <w:color w:val="auto"/>
          <w:highlight w:val="none"/>
        </w:rPr>
      </w:pPr>
      <w:bookmarkStart w:id="15" w:name="_Toc11882"/>
      <w:bookmarkStart w:id="16" w:name="_Toc14791"/>
      <w:r>
        <w:rPr>
          <w:rFonts w:hint="eastAsia" w:ascii="宋体" w:hAnsi="宋体" w:eastAsia="宋体" w:cs="宋体"/>
          <w:b w:val="0"/>
          <w:color w:val="auto"/>
          <w:highlight w:val="none"/>
        </w:rPr>
        <w:t>第三章  投标文件格式</w:t>
      </w:r>
      <w:bookmarkEnd w:id="15"/>
      <w:bookmarkEnd w:id="16"/>
      <w:bookmarkStart w:id="17" w:name="gpcItem_SubmitDocStruct"/>
      <w:r>
        <w:rPr>
          <w:rFonts w:hint="eastAsia" w:ascii="宋体" w:hAnsi="宋体" w:eastAsia="宋体" w:cs="宋体"/>
          <w:b w:val="0"/>
          <w:color w:val="auto"/>
          <w:highlight w:val="none"/>
        </w:rPr>
        <w:t xml:space="preserve">  </w:t>
      </w:r>
      <w:bookmarkEnd w:id="17"/>
    </w:p>
    <w:p w14:paraId="1DC8C166">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说明：</w:t>
      </w:r>
    </w:p>
    <w:p w14:paraId="28855503">
      <w:pPr>
        <w:pStyle w:val="19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对本章所有的投标书格式 ，投标方可根据自身情况进行补充和修改，但补充和修改不得造成与本格式内容有实质性的违背。</w:t>
      </w:r>
    </w:p>
    <w:p w14:paraId="30BAF277">
      <w:pPr>
        <w:pStyle w:val="193"/>
        <w:spacing w:line="360" w:lineRule="auto"/>
        <w:ind w:firstLine="480"/>
        <w:rPr>
          <w:rFonts w:hint="eastAsia" w:ascii="宋体" w:hAnsi="宋体" w:eastAsia="宋体" w:cs="宋体"/>
          <w:color w:val="auto"/>
          <w:highlight w:val="none"/>
        </w:rPr>
      </w:pPr>
    </w:p>
    <w:p w14:paraId="0A9A3BF5">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t>投标文档结构表格</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05"/>
        <w:gridCol w:w="3207"/>
        <w:gridCol w:w="3207"/>
      </w:tblGrid>
      <w:tr w14:paraId="5F863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noWrap w:val="0"/>
            <w:vAlign w:val="top"/>
          </w:tcPr>
          <w:p w14:paraId="57B1D1E6">
            <w:pPr>
              <w:pStyle w:val="193"/>
              <w:ind w:firstLine="0"/>
              <w:rPr>
                <w:rFonts w:hint="eastAsia" w:ascii="宋体" w:hAnsi="宋体" w:eastAsia="宋体" w:cs="宋体"/>
                <w:color w:val="auto"/>
                <w:highlight w:val="none"/>
              </w:rPr>
            </w:pPr>
            <w:bookmarkStart w:id="18" w:name="gpcItem_tenderStruct"/>
            <w:r>
              <w:rPr>
                <w:rFonts w:hint="eastAsia" w:ascii="宋体" w:hAnsi="宋体" w:eastAsia="宋体" w:cs="宋体"/>
                <w:color w:val="auto"/>
                <w:highlight w:val="none"/>
              </w:rPr>
              <w:t>名称</w:t>
            </w:r>
          </w:p>
        </w:tc>
        <w:tc>
          <w:tcPr>
            <w:tcW w:w="3207" w:type="dxa"/>
            <w:noWrap w:val="0"/>
            <w:vAlign w:val="top"/>
          </w:tcPr>
          <w:p w14:paraId="17D6B830">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t>文档</w:t>
            </w:r>
          </w:p>
        </w:tc>
        <w:tc>
          <w:tcPr>
            <w:tcW w:w="3207" w:type="dxa"/>
            <w:noWrap w:val="0"/>
            <w:vAlign w:val="top"/>
          </w:tcPr>
          <w:p w14:paraId="7D0CFE2B">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t>章节</w:t>
            </w:r>
          </w:p>
        </w:tc>
      </w:tr>
      <w:tr w14:paraId="3F3A6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restart"/>
            <w:noWrap w:val="0"/>
            <w:vAlign w:val="top"/>
          </w:tcPr>
          <w:p w14:paraId="09A68C93">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t>投标函</w:t>
            </w:r>
          </w:p>
        </w:tc>
        <w:tc>
          <w:tcPr>
            <w:tcW w:w="3207" w:type="dxa"/>
            <w:noWrap w:val="0"/>
            <w:vAlign w:val="top"/>
          </w:tcPr>
          <w:p w14:paraId="2440D41A">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_Ref501489497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br w:type="page"/>
            </w:r>
            <w:r>
              <w:rPr>
                <w:rFonts w:hint="eastAsia" w:ascii="宋体" w:hAnsi="宋体" w:eastAsia="宋体" w:cs="宋体"/>
                <w:color w:val="auto"/>
                <w:highlight w:val="none"/>
              </w:rPr>
              <w:t>1.投标文件的声明函</w:t>
            </w:r>
            <w:r>
              <w:rPr>
                <w:rFonts w:hint="eastAsia" w:ascii="宋体" w:hAnsi="宋体" w:eastAsia="宋体" w:cs="宋体"/>
                <w:color w:val="auto"/>
                <w:highlight w:val="none"/>
              </w:rPr>
              <w:fldChar w:fldCharType="end"/>
            </w:r>
          </w:p>
        </w:tc>
        <w:tc>
          <w:tcPr>
            <w:tcW w:w="3207" w:type="dxa"/>
            <w:noWrap w:val="0"/>
            <w:vAlign w:val="top"/>
          </w:tcPr>
          <w:p w14:paraId="38BD51AB">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_Ref501489497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br w:type="page" w:clear="all"/>
            </w:r>
            <w:r>
              <w:rPr>
                <w:rFonts w:hint="eastAsia" w:ascii="宋体" w:hAnsi="宋体" w:eastAsia="宋体" w:cs="宋体"/>
                <w:color w:val="auto"/>
                <w:highlight w:val="none"/>
              </w:rPr>
              <w:t>1.投标文件的声明函</w:t>
            </w:r>
            <w:r>
              <w:rPr>
                <w:rFonts w:hint="eastAsia" w:ascii="宋体" w:hAnsi="宋体" w:eastAsia="宋体" w:cs="宋体"/>
                <w:color w:val="auto"/>
                <w:highlight w:val="none"/>
              </w:rPr>
              <w:fldChar w:fldCharType="end"/>
            </w:r>
          </w:p>
        </w:tc>
      </w:tr>
      <w:tr w14:paraId="6B7A8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76594F1F">
            <w:pPr>
              <w:pStyle w:val="193"/>
              <w:ind w:firstLine="0"/>
              <w:rPr>
                <w:rFonts w:hint="eastAsia" w:ascii="宋体" w:hAnsi="宋体" w:eastAsia="宋体" w:cs="宋体"/>
                <w:color w:val="auto"/>
                <w:highlight w:val="none"/>
              </w:rPr>
            </w:pPr>
          </w:p>
        </w:tc>
        <w:tc>
          <w:tcPr>
            <w:tcW w:w="3207" w:type="dxa"/>
            <w:noWrap w:val="0"/>
            <w:vAlign w:val="top"/>
          </w:tcPr>
          <w:p w14:paraId="4E7CA57C">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_Ref35851864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2.投标承诺函</w:t>
            </w:r>
            <w:r>
              <w:rPr>
                <w:rFonts w:hint="eastAsia" w:ascii="宋体" w:hAnsi="宋体" w:eastAsia="宋体" w:cs="宋体"/>
                <w:color w:val="auto"/>
                <w:highlight w:val="none"/>
              </w:rPr>
              <w:fldChar w:fldCharType="end"/>
            </w:r>
          </w:p>
        </w:tc>
        <w:tc>
          <w:tcPr>
            <w:tcW w:w="3207" w:type="dxa"/>
            <w:noWrap w:val="0"/>
            <w:vAlign w:val="top"/>
          </w:tcPr>
          <w:p w14:paraId="058363D4">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_Ref35851864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2.投标承诺函</w:t>
            </w:r>
            <w:r>
              <w:rPr>
                <w:rFonts w:hint="eastAsia" w:ascii="宋体" w:hAnsi="宋体" w:eastAsia="宋体" w:cs="宋体"/>
                <w:color w:val="auto"/>
                <w:highlight w:val="none"/>
              </w:rPr>
              <w:fldChar w:fldCharType="end"/>
            </w:r>
          </w:p>
        </w:tc>
      </w:tr>
      <w:tr w14:paraId="32152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2254EEBE">
            <w:pPr>
              <w:pStyle w:val="193"/>
              <w:ind w:firstLine="0"/>
              <w:rPr>
                <w:rFonts w:hint="eastAsia" w:ascii="宋体" w:hAnsi="宋体" w:eastAsia="宋体" w:cs="宋体"/>
                <w:color w:val="auto"/>
                <w:highlight w:val="none"/>
              </w:rPr>
            </w:pPr>
          </w:p>
        </w:tc>
        <w:tc>
          <w:tcPr>
            <w:tcW w:w="3207" w:type="dxa"/>
            <w:noWrap w:val="0"/>
            <w:vAlign w:val="top"/>
          </w:tcPr>
          <w:p w14:paraId="1BAFAC98">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_Ref79412893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3.无重大违法记录声明</w:t>
            </w:r>
            <w:r>
              <w:rPr>
                <w:rFonts w:hint="eastAsia" w:ascii="宋体" w:hAnsi="宋体" w:eastAsia="宋体" w:cs="宋体"/>
                <w:color w:val="auto"/>
                <w:highlight w:val="none"/>
              </w:rPr>
              <w:fldChar w:fldCharType="end"/>
            </w:r>
          </w:p>
        </w:tc>
        <w:tc>
          <w:tcPr>
            <w:tcW w:w="3207" w:type="dxa"/>
            <w:noWrap w:val="0"/>
            <w:vAlign w:val="top"/>
          </w:tcPr>
          <w:p w14:paraId="2B5A738E">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_Ref79412893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3.无重大违法记录声明</w:t>
            </w:r>
            <w:r>
              <w:rPr>
                <w:rFonts w:hint="eastAsia" w:ascii="宋体" w:hAnsi="宋体" w:eastAsia="宋体" w:cs="宋体"/>
                <w:color w:val="auto"/>
                <w:highlight w:val="none"/>
              </w:rPr>
              <w:fldChar w:fldCharType="end"/>
            </w:r>
          </w:p>
        </w:tc>
      </w:tr>
      <w:tr w14:paraId="30FA7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3205" w:type="dxa"/>
            <w:vMerge w:val="continue"/>
            <w:noWrap w:val="0"/>
            <w:vAlign w:val="top"/>
          </w:tcPr>
          <w:p w14:paraId="437559DB">
            <w:pPr>
              <w:pStyle w:val="193"/>
              <w:ind w:firstLine="0"/>
              <w:rPr>
                <w:rFonts w:hint="eastAsia" w:ascii="宋体" w:hAnsi="宋体" w:eastAsia="宋体" w:cs="宋体"/>
                <w:color w:val="auto"/>
                <w:highlight w:val="none"/>
              </w:rPr>
            </w:pPr>
          </w:p>
        </w:tc>
        <w:tc>
          <w:tcPr>
            <w:tcW w:w="3207" w:type="dxa"/>
            <w:noWrap w:val="0"/>
            <w:vAlign w:val="top"/>
          </w:tcPr>
          <w:p w14:paraId="4DC5BA31">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_Ref501489515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4.法定代表人授权委托书</w:t>
            </w:r>
            <w:r>
              <w:rPr>
                <w:rFonts w:hint="eastAsia" w:ascii="宋体" w:hAnsi="宋体" w:eastAsia="宋体" w:cs="宋体"/>
                <w:color w:val="auto"/>
                <w:highlight w:val="none"/>
              </w:rPr>
              <w:fldChar w:fldCharType="end"/>
            </w:r>
          </w:p>
        </w:tc>
        <w:tc>
          <w:tcPr>
            <w:tcW w:w="3207" w:type="dxa"/>
            <w:noWrap w:val="0"/>
            <w:vAlign w:val="top"/>
          </w:tcPr>
          <w:p w14:paraId="59536FEE">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_Ref501489515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4.法定代表人授权委托书</w:t>
            </w:r>
            <w:r>
              <w:rPr>
                <w:rFonts w:hint="eastAsia" w:ascii="宋体" w:hAnsi="宋体" w:eastAsia="宋体" w:cs="宋体"/>
                <w:color w:val="auto"/>
                <w:highlight w:val="none"/>
              </w:rPr>
              <w:fldChar w:fldCharType="end"/>
            </w:r>
          </w:p>
        </w:tc>
      </w:tr>
      <w:tr w14:paraId="66566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212FEA7F">
            <w:pPr>
              <w:pStyle w:val="193"/>
              <w:ind w:firstLine="0"/>
              <w:rPr>
                <w:rFonts w:hint="eastAsia" w:ascii="宋体" w:hAnsi="宋体" w:eastAsia="宋体" w:cs="宋体"/>
                <w:color w:val="auto"/>
                <w:highlight w:val="none"/>
              </w:rPr>
            </w:pPr>
          </w:p>
        </w:tc>
        <w:tc>
          <w:tcPr>
            <w:tcW w:w="3207" w:type="dxa"/>
            <w:noWrap w:val="0"/>
            <w:vAlign w:val="top"/>
          </w:tcPr>
          <w:p w14:paraId="4893A3DA">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_Ref366160082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5.投标函</w:t>
            </w:r>
            <w:r>
              <w:rPr>
                <w:rFonts w:hint="eastAsia" w:ascii="宋体" w:hAnsi="宋体" w:eastAsia="宋体" w:cs="宋体"/>
                <w:color w:val="auto"/>
                <w:highlight w:val="none"/>
              </w:rPr>
              <w:fldChar w:fldCharType="end"/>
            </w:r>
          </w:p>
        </w:tc>
        <w:tc>
          <w:tcPr>
            <w:tcW w:w="3207" w:type="dxa"/>
            <w:noWrap w:val="0"/>
            <w:vAlign w:val="top"/>
          </w:tcPr>
          <w:p w14:paraId="09A24887">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_Ref366160082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5.投标函</w:t>
            </w:r>
            <w:r>
              <w:rPr>
                <w:rFonts w:hint="eastAsia" w:ascii="宋体" w:hAnsi="宋体" w:eastAsia="宋体" w:cs="宋体"/>
                <w:color w:val="auto"/>
                <w:highlight w:val="none"/>
              </w:rPr>
              <w:fldChar w:fldCharType="end"/>
            </w:r>
          </w:p>
        </w:tc>
      </w:tr>
      <w:tr w14:paraId="0411B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359974C9">
            <w:pPr>
              <w:pStyle w:val="193"/>
              <w:ind w:firstLine="0"/>
              <w:rPr>
                <w:rFonts w:hint="eastAsia" w:ascii="宋体" w:hAnsi="宋体" w:eastAsia="宋体" w:cs="宋体"/>
                <w:color w:val="auto"/>
                <w:highlight w:val="none"/>
              </w:rPr>
            </w:pPr>
          </w:p>
        </w:tc>
        <w:tc>
          <w:tcPr>
            <w:tcW w:w="3207" w:type="dxa"/>
            <w:noWrap w:val="0"/>
            <w:vAlign w:val="top"/>
          </w:tcPr>
          <w:p w14:paraId="56D17B25">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_Ref343881459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6.开标一览表</w:t>
            </w:r>
            <w:r>
              <w:rPr>
                <w:rFonts w:hint="eastAsia" w:ascii="宋体" w:hAnsi="宋体" w:eastAsia="宋体" w:cs="宋体"/>
                <w:color w:val="auto"/>
                <w:highlight w:val="none"/>
              </w:rPr>
              <w:fldChar w:fldCharType="end"/>
            </w:r>
          </w:p>
        </w:tc>
        <w:tc>
          <w:tcPr>
            <w:tcW w:w="3207" w:type="dxa"/>
            <w:noWrap w:val="0"/>
            <w:vAlign w:val="top"/>
          </w:tcPr>
          <w:p w14:paraId="2A685719">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_Ref343881459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6.开标一览表</w:t>
            </w:r>
            <w:r>
              <w:rPr>
                <w:rFonts w:hint="eastAsia" w:ascii="宋体" w:hAnsi="宋体" w:eastAsia="宋体" w:cs="宋体"/>
                <w:color w:val="auto"/>
                <w:highlight w:val="none"/>
              </w:rPr>
              <w:fldChar w:fldCharType="end"/>
            </w:r>
          </w:p>
        </w:tc>
      </w:tr>
      <w:tr w14:paraId="7D039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76CDEC08">
            <w:pPr>
              <w:pStyle w:val="193"/>
              <w:ind w:firstLine="0"/>
              <w:rPr>
                <w:rFonts w:hint="eastAsia" w:ascii="宋体" w:hAnsi="宋体" w:eastAsia="宋体" w:cs="宋体"/>
                <w:color w:val="auto"/>
                <w:highlight w:val="none"/>
              </w:rPr>
            </w:pPr>
          </w:p>
        </w:tc>
        <w:tc>
          <w:tcPr>
            <w:tcW w:w="3207" w:type="dxa"/>
            <w:noWrap w:val="0"/>
            <w:vAlign w:val="top"/>
          </w:tcPr>
          <w:p w14:paraId="5643D64D">
            <w:pPr>
              <w:pStyle w:val="193"/>
              <w:ind w:firstLine="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7.食品安全承诺书</w:t>
            </w:r>
          </w:p>
        </w:tc>
        <w:tc>
          <w:tcPr>
            <w:tcW w:w="3207" w:type="dxa"/>
            <w:noWrap w:val="0"/>
            <w:vAlign w:val="top"/>
          </w:tcPr>
          <w:p w14:paraId="436F1091">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7.食品安全承诺书</w:t>
            </w:r>
          </w:p>
        </w:tc>
      </w:tr>
      <w:tr w14:paraId="6AD8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563191C8">
            <w:pPr>
              <w:pStyle w:val="193"/>
              <w:ind w:firstLine="0"/>
              <w:rPr>
                <w:rFonts w:hint="eastAsia" w:ascii="宋体" w:hAnsi="宋体" w:eastAsia="宋体" w:cs="宋体"/>
                <w:color w:val="auto"/>
                <w:highlight w:val="none"/>
              </w:rPr>
            </w:pPr>
          </w:p>
        </w:tc>
        <w:tc>
          <w:tcPr>
            <w:tcW w:w="3207" w:type="dxa"/>
            <w:noWrap w:val="0"/>
            <w:vAlign w:val="top"/>
          </w:tcPr>
          <w:p w14:paraId="29650393">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_Ref501489757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br w:type="page"/>
            </w:r>
            <w:r>
              <w:rPr>
                <w:rFonts w:hint="eastAsia" w:ascii="宋体" w:hAnsi="宋体" w:eastAsia="宋体" w:cs="宋体"/>
                <w:color w:val="auto"/>
                <w:highlight w:val="none"/>
              </w:rPr>
              <w:t>8.中小企业声明函</w:t>
            </w:r>
            <w:r>
              <w:rPr>
                <w:rFonts w:hint="eastAsia" w:ascii="宋体" w:hAnsi="宋体" w:eastAsia="宋体" w:cs="宋体"/>
                <w:color w:val="auto"/>
                <w:highlight w:val="none"/>
              </w:rPr>
              <w:fldChar w:fldCharType="end"/>
            </w:r>
          </w:p>
        </w:tc>
        <w:tc>
          <w:tcPr>
            <w:tcW w:w="3207" w:type="dxa"/>
            <w:noWrap w:val="0"/>
            <w:vAlign w:val="top"/>
          </w:tcPr>
          <w:p w14:paraId="4A20E809">
            <w:pPr>
              <w:pStyle w:val="19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REF _Ref501489757 \h  \* MERGEFORMAT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rPr>
              <w:t>8.中小企业声明函</w:t>
            </w:r>
            <w:r>
              <w:rPr>
                <w:rFonts w:hint="eastAsia" w:ascii="宋体" w:hAnsi="宋体" w:eastAsia="宋体" w:cs="宋体"/>
                <w:color w:val="auto"/>
                <w:szCs w:val="24"/>
                <w:highlight w:val="none"/>
              </w:rPr>
              <w:fldChar w:fldCharType="end"/>
            </w:r>
          </w:p>
        </w:tc>
      </w:tr>
      <w:tr w14:paraId="59217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3205" w:type="dxa"/>
            <w:vMerge w:val="continue"/>
            <w:noWrap w:val="0"/>
            <w:vAlign w:val="top"/>
          </w:tcPr>
          <w:p w14:paraId="7DCBE62F">
            <w:pPr>
              <w:pStyle w:val="193"/>
              <w:ind w:firstLine="0"/>
              <w:rPr>
                <w:rFonts w:hint="eastAsia" w:ascii="宋体" w:hAnsi="宋体" w:eastAsia="宋体" w:cs="宋体"/>
                <w:color w:val="auto"/>
                <w:highlight w:val="none"/>
              </w:rPr>
            </w:pPr>
          </w:p>
        </w:tc>
        <w:tc>
          <w:tcPr>
            <w:tcW w:w="3207" w:type="dxa"/>
            <w:noWrap w:val="0"/>
            <w:vAlign w:val="top"/>
          </w:tcPr>
          <w:p w14:paraId="4D9AB0D1">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_Ref79412921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9.残疾人福利性单位声明函</w:t>
            </w:r>
            <w:r>
              <w:rPr>
                <w:rFonts w:hint="eastAsia" w:ascii="宋体" w:hAnsi="宋体" w:eastAsia="宋体" w:cs="宋体"/>
                <w:color w:val="auto"/>
                <w:highlight w:val="none"/>
              </w:rPr>
              <w:fldChar w:fldCharType="end"/>
            </w:r>
          </w:p>
        </w:tc>
        <w:tc>
          <w:tcPr>
            <w:tcW w:w="3207" w:type="dxa"/>
            <w:noWrap w:val="0"/>
            <w:vAlign w:val="top"/>
          </w:tcPr>
          <w:p w14:paraId="678A9233">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_Ref79412921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9.残疾人福利性单位声明函</w:t>
            </w:r>
            <w:r>
              <w:rPr>
                <w:rFonts w:hint="eastAsia" w:ascii="宋体" w:hAnsi="宋体" w:eastAsia="宋体" w:cs="宋体"/>
                <w:color w:val="auto"/>
                <w:highlight w:val="none"/>
              </w:rPr>
              <w:fldChar w:fldCharType="end"/>
            </w:r>
          </w:p>
        </w:tc>
      </w:tr>
      <w:tr w14:paraId="4E139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rPr>
        <w:tc>
          <w:tcPr>
            <w:tcW w:w="3205" w:type="dxa"/>
            <w:vMerge w:val="continue"/>
            <w:noWrap w:val="0"/>
            <w:vAlign w:val="top"/>
          </w:tcPr>
          <w:p w14:paraId="1F3722BB">
            <w:pPr>
              <w:pStyle w:val="193"/>
              <w:ind w:firstLine="0"/>
              <w:rPr>
                <w:rFonts w:hint="eastAsia" w:ascii="宋体" w:hAnsi="宋体" w:eastAsia="宋体" w:cs="宋体"/>
                <w:color w:val="auto"/>
                <w:highlight w:val="none"/>
              </w:rPr>
            </w:pPr>
          </w:p>
        </w:tc>
        <w:tc>
          <w:tcPr>
            <w:tcW w:w="3207" w:type="dxa"/>
            <w:noWrap w:val="0"/>
            <w:vAlign w:val="center"/>
          </w:tcPr>
          <w:p w14:paraId="68117663">
            <w:pPr>
              <w:pStyle w:val="193"/>
              <w:ind w:firstLine="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监狱企业福利性单位声明函</w:t>
            </w:r>
          </w:p>
        </w:tc>
        <w:tc>
          <w:tcPr>
            <w:tcW w:w="3207" w:type="dxa"/>
            <w:shd w:val="clear" w:color="auto" w:fill="auto"/>
            <w:noWrap w:val="0"/>
            <w:vAlign w:val="center"/>
          </w:tcPr>
          <w:p w14:paraId="01A81D59">
            <w:pPr>
              <w:pStyle w:val="193"/>
              <w:ind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监狱企业福利性单位声明函</w:t>
            </w:r>
          </w:p>
        </w:tc>
      </w:tr>
      <w:bookmarkEnd w:id="18"/>
      <w:tr w14:paraId="0B86E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3309A925">
            <w:pPr>
              <w:pStyle w:val="193"/>
              <w:ind w:firstLine="0"/>
              <w:rPr>
                <w:rFonts w:hint="eastAsia" w:ascii="宋体" w:hAnsi="宋体" w:eastAsia="宋体" w:cs="宋体"/>
                <w:color w:val="auto"/>
                <w:highlight w:val="none"/>
              </w:rPr>
            </w:pPr>
          </w:p>
        </w:tc>
        <w:tc>
          <w:tcPr>
            <w:tcW w:w="3207" w:type="dxa"/>
            <w:noWrap w:val="0"/>
            <w:vAlign w:val="top"/>
          </w:tcPr>
          <w:p w14:paraId="5580B002">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_Ref22898688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.偏离表（商务）</w:t>
            </w:r>
            <w:r>
              <w:rPr>
                <w:rFonts w:hint="eastAsia" w:ascii="宋体" w:hAnsi="宋体" w:eastAsia="宋体" w:cs="宋体"/>
                <w:color w:val="auto"/>
                <w:highlight w:val="none"/>
              </w:rPr>
              <w:fldChar w:fldCharType="end"/>
            </w:r>
          </w:p>
        </w:tc>
        <w:tc>
          <w:tcPr>
            <w:tcW w:w="3207" w:type="dxa"/>
            <w:noWrap w:val="0"/>
            <w:vAlign w:val="top"/>
          </w:tcPr>
          <w:p w14:paraId="7CD24C1A">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_Ref22898688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.偏离表（商务）</w:t>
            </w:r>
            <w:r>
              <w:rPr>
                <w:rFonts w:hint="eastAsia" w:ascii="宋体" w:hAnsi="宋体" w:eastAsia="宋体" w:cs="宋体"/>
                <w:color w:val="auto"/>
                <w:highlight w:val="none"/>
              </w:rPr>
              <w:fldChar w:fldCharType="end"/>
            </w:r>
          </w:p>
        </w:tc>
      </w:tr>
      <w:tr w14:paraId="7A311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28EF4FF8">
            <w:pPr>
              <w:pStyle w:val="193"/>
              <w:ind w:firstLine="0"/>
              <w:rPr>
                <w:rFonts w:hint="eastAsia" w:ascii="宋体" w:hAnsi="宋体" w:eastAsia="宋体" w:cs="宋体"/>
                <w:color w:val="auto"/>
                <w:highlight w:val="none"/>
              </w:rPr>
            </w:pPr>
          </w:p>
        </w:tc>
        <w:tc>
          <w:tcPr>
            <w:tcW w:w="3207" w:type="dxa"/>
            <w:noWrap w:val="0"/>
            <w:vAlign w:val="top"/>
          </w:tcPr>
          <w:p w14:paraId="5BBFED10">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_Ref501489596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.偏离表（技术）</w:t>
            </w:r>
            <w:r>
              <w:rPr>
                <w:rFonts w:hint="eastAsia" w:ascii="宋体" w:hAnsi="宋体" w:eastAsia="宋体" w:cs="宋体"/>
                <w:color w:val="auto"/>
                <w:highlight w:val="none"/>
              </w:rPr>
              <w:fldChar w:fldCharType="end"/>
            </w:r>
          </w:p>
        </w:tc>
        <w:tc>
          <w:tcPr>
            <w:tcW w:w="3207" w:type="dxa"/>
            <w:noWrap w:val="0"/>
            <w:vAlign w:val="top"/>
          </w:tcPr>
          <w:p w14:paraId="48E1FBB5">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_Ref501489596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.偏离表（技术）</w:t>
            </w:r>
            <w:r>
              <w:rPr>
                <w:rFonts w:hint="eastAsia" w:ascii="宋体" w:hAnsi="宋体" w:eastAsia="宋体" w:cs="宋体"/>
                <w:color w:val="auto"/>
                <w:highlight w:val="none"/>
              </w:rPr>
              <w:fldChar w:fldCharType="end"/>
            </w:r>
          </w:p>
        </w:tc>
      </w:tr>
      <w:tr w14:paraId="548B5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55134F61">
            <w:pPr>
              <w:pStyle w:val="193"/>
              <w:ind w:firstLine="0"/>
              <w:rPr>
                <w:rFonts w:hint="eastAsia" w:ascii="宋体" w:hAnsi="宋体" w:eastAsia="宋体" w:cs="宋体"/>
                <w:color w:val="auto"/>
                <w:highlight w:val="none"/>
              </w:rPr>
            </w:pPr>
          </w:p>
        </w:tc>
        <w:tc>
          <w:tcPr>
            <w:tcW w:w="3207" w:type="dxa"/>
            <w:noWrap w:val="0"/>
            <w:vAlign w:val="top"/>
          </w:tcPr>
          <w:p w14:paraId="7D3F1E21">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_Ref79678842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.资格证明文件</w:t>
            </w:r>
            <w:r>
              <w:rPr>
                <w:rFonts w:hint="eastAsia" w:ascii="宋体" w:hAnsi="宋体" w:eastAsia="宋体" w:cs="宋体"/>
                <w:color w:val="auto"/>
                <w:highlight w:val="none"/>
              </w:rPr>
              <w:fldChar w:fldCharType="end"/>
            </w:r>
          </w:p>
        </w:tc>
        <w:tc>
          <w:tcPr>
            <w:tcW w:w="3207" w:type="dxa"/>
            <w:noWrap w:val="0"/>
            <w:vAlign w:val="top"/>
          </w:tcPr>
          <w:p w14:paraId="74E1FE23">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_Ref79678842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.资格证明文件</w:t>
            </w:r>
            <w:r>
              <w:rPr>
                <w:rFonts w:hint="eastAsia" w:ascii="宋体" w:hAnsi="宋体" w:eastAsia="宋体" w:cs="宋体"/>
                <w:color w:val="auto"/>
                <w:highlight w:val="none"/>
              </w:rPr>
              <w:fldChar w:fldCharType="end"/>
            </w:r>
          </w:p>
        </w:tc>
      </w:tr>
      <w:tr w14:paraId="47324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3205" w:type="dxa"/>
            <w:vMerge w:val="continue"/>
            <w:noWrap w:val="0"/>
            <w:vAlign w:val="top"/>
          </w:tcPr>
          <w:p w14:paraId="021B89FB">
            <w:pPr>
              <w:pStyle w:val="193"/>
              <w:ind w:firstLine="0"/>
              <w:rPr>
                <w:rFonts w:hint="eastAsia" w:ascii="宋体" w:hAnsi="宋体" w:eastAsia="宋体" w:cs="宋体"/>
                <w:color w:val="auto"/>
                <w:highlight w:val="none"/>
              </w:rPr>
            </w:pPr>
          </w:p>
        </w:tc>
        <w:tc>
          <w:tcPr>
            <w:tcW w:w="3207" w:type="dxa"/>
            <w:noWrap w:val="0"/>
            <w:vAlign w:val="top"/>
          </w:tcPr>
          <w:p w14:paraId="20880524">
            <w:pPr>
              <w:pStyle w:val="193"/>
              <w:ind w:firstLine="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远程参与开标会议诚信承诺书</w:t>
            </w:r>
          </w:p>
        </w:tc>
        <w:tc>
          <w:tcPr>
            <w:tcW w:w="3207" w:type="dxa"/>
            <w:noWrap w:val="0"/>
            <w:vAlign w:val="top"/>
          </w:tcPr>
          <w:p w14:paraId="066E8305">
            <w:pPr>
              <w:pStyle w:val="193"/>
              <w:ind w:firstLine="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远程参与开标会议诚信承诺书</w:t>
            </w:r>
          </w:p>
        </w:tc>
      </w:tr>
      <w:tr w14:paraId="14FEF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3205" w:type="dxa"/>
            <w:vMerge w:val="continue"/>
            <w:noWrap w:val="0"/>
            <w:vAlign w:val="top"/>
          </w:tcPr>
          <w:p w14:paraId="69F9437A">
            <w:pPr>
              <w:pStyle w:val="193"/>
              <w:ind w:firstLine="0"/>
              <w:rPr>
                <w:rFonts w:hint="eastAsia" w:ascii="宋体" w:hAnsi="宋体" w:eastAsia="宋体" w:cs="宋体"/>
                <w:color w:val="auto"/>
                <w:highlight w:val="none"/>
              </w:rPr>
            </w:pPr>
          </w:p>
        </w:tc>
        <w:tc>
          <w:tcPr>
            <w:tcW w:w="3207" w:type="dxa"/>
            <w:noWrap w:val="0"/>
            <w:vAlign w:val="top"/>
          </w:tcPr>
          <w:p w14:paraId="60068AA6">
            <w:pPr>
              <w:pStyle w:val="193"/>
              <w:ind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15.人员配置表</w:t>
            </w:r>
          </w:p>
        </w:tc>
        <w:tc>
          <w:tcPr>
            <w:tcW w:w="3207" w:type="dxa"/>
            <w:noWrap w:val="0"/>
            <w:vAlign w:val="top"/>
          </w:tcPr>
          <w:p w14:paraId="14593C19">
            <w:pPr>
              <w:pStyle w:val="193"/>
              <w:ind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15.人员配置表</w:t>
            </w:r>
          </w:p>
        </w:tc>
      </w:tr>
      <w:tr w14:paraId="13CA7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3205" w:type="dxa"/>
            <w:vMerge w:val="continue"/>
            <w:noWrap w:val="0"/>
            <w:vAlign w:val="top"/>
          </w:tcPr>
          <w:p w14:paraId="7CF75541">
            <w:pPr>
              <w:pStyle w:val="193"/>
              <w:ind w:firstLine="0"/>
              <w:rPr>
                <w:rFonts w:hint="eastAsia" w:ascii="宋体" w:hAnsi="宋体" w:eastAsia="宋体" w:cs="宋体"/>
                <w:color w:val="auto"/>
                <w:highlight w:val="none"/>
              </w:rPr>
            </w:pPr>
          </w:p>
        </w:tc>
        <w:tc>
          <w:tcPr>
            <w:tcW w:w="3207" w:type="dxa"/>
            <w:noWrap w:val="0"/>
            <w:vAlign w:val="center"/>
          </w:tcPr>
          <w:p w14:paraId="3CB0763D">
            <w:pPr>
              <w:pStyle w:val="594"/>
              <w:spacing w:line="416" w:lineRule="auto"/>
              <w:jc w:val="left"/>
              <w:rPr>
                <w:rFonts w:hint="default" w:ascii="宋体" w:hAnsi="宋体" w:eastAsia="宋体" w:cs="宋体"/>
                <w:color w:val="auto"/>
                <w:highlight w:val="none"/>
                <w:lang w:val="en-US" w:eastAsia="zh-CN"/>
              </w:rPr>
            </w:pPr>
            <w:bookmarkStart w:id="19" w:name="_Toc7477"/>
            <w:r>
              <w:rPr>
                <w:rFonts w:hint="eastAsia" w:ascii="宋体" w:hAnsi="宋体" w:eastAsia="宋体" w:cs="宋体"/>
                <w:b w:val="0"/>
                <w:bCs w:val="0"/>
                <w:color w:val="auto"/>
                <w:spacing w:val="0"/>
                <w:sz w:val="24"/>
                <w:szCs w:val="20"/>
                <w:highlight w:val="none"/>
                <w:lang w:val="en-US" w:eastAsia="zh-CN" w:bidi="ar-SA"/>
              </w:rPr>
              <w:t>16.投标单位情况表</w:t>
            </w:r>
            <w:bookmarkEnd w:id="19"/>
          </w:p>
        </w:tc>
        <w:tc>
          <w:tcPr>
            <w:tcW w:w="3207" w:type="dxa"/>
            <w:noWrap w:val="0"/>
            <w:vAlign w:val="center"/>
          </w:tcPr>
          <w:p w14:paraId="23BAC42C">
            <w:pPr>
              <w:pStyle w:val="594"/>
              <w:spacing w:line="416" w:lineRule="auto"/>
              <w:jc w:val="left"/>
              <w:rPr>
                <w:rFonts w:hint="default" w:ascii="宋体" w:hAnsi="宋体" w:eastAsia="宋体" w:cs="宋体"/>
                <w:color w:val="auto"/>
                <w:highlight w:val="none"/>
                <w:lang w:val="en-US" w:eastAsia="zh-CN"/>
              </w:rPr>
            </w:pPr>
            <w:bookmarkStart w:id="20" w:name="_Toc20651"/>
            <w:r>
              <w:rPr>
                <w:rFonts w:hint="eastAsia" w:ascii="宋体" w:hAnsi="宋体" w:eastAsia="宋体" w:cs="宋体"/>
                <w:b w:val="0"/>
                <w:bCs w:val="0"/>
                <w:color w:val="auto"/>
                <w:spacing w:val="0"/>
                <w:sz w:val="24"/>
                <w:szCs w:val="20"/>
                <w:highlight w:val="none"/>
                <w:lang w:val="en-US" w:eastAsia="zh-CN" w:bidi="ar-SA"/>
              </w:rPr>
              <w:t>16.投标单位情况表</w:t>
            </w:r>
            <w:bookmarkEnd w:id="20"/>
          </w:p>
        </w:tc>
      </w:tr>
    </w:tbl>
    <w:p w14:paraId="7F690A4E">
      <w:pPr>
        <w:pStyle w:val="193"/>
        <w:ind w:firstLine="0"/>
        <w:rPr>
          <w:rFonts w:hint="eastAsia" w:ascii="宋体" w:hAnsi="宋体" w:eastAsia="宋体" w:cs="宋体"/>
          <w:color w:val="auto"/>
          <w:highlight w:val="none"/>
        </w:rPr>
      </w:pPr>
    </w:p>
    <w:p w14:paraId="6566CEE8">
      <w:pPr>
        <w:pStyle w:val="39"/>
        <w:spacing w:line="416" w:lineRule="auto"/>
        <w:rPr>
          <w:rFonts w:hint="eastAsia" w:ascii="宋体" w:hAnsi="宋体" w:eastAsia="宋体" w:cs="宋体"/>
          <w:b w:val="0"/>
          <w:color w:val="auto"/>
          <w:highlight w:val="none"/>
        </w:rPr>
      </w:pPr>
      <w:bookmarkStart w:id="21" w:name="_Ref501489497"/>
      <w:r>
        <w:rPr>
          <w:rFonts w:hint="eastAsia" w:ascii="宋体" w:hAnsi="宋体" w:eastAsia="宋体" w:cs="宋体"/>
          <w:b w:val="0"/>
          <w:color w:val="auto"/>
          <w:highlight w:val="none"/>
        </w:rPr>
        <w:br w:type="page" w:clear="all"/>
      </w:r>
      <w:bookmarkStart w:id="22" w:name="_Toc25525"/>
      <w:r>
        <w:rPr>
          <w:rFonts w:hint="eastAsia" w:ascii="宋体" w:hAnsi="宋体" w:eastAsia="宋体" w:cs="宋体"/>
          <w:b w:val="0"/>
          <w:color w:val="auto"/>
          <w:highlight w:val="none"/>
        </w:rPr>
        <w:t>1.投标文件的声明函</w:t>
      </w:r>
      <w:bookmarkEnd w:id="21"/>
      <w:bookmarkEnd w:id="22"/>
    </w:p>
    <w:p w14:paraId="0A024947">
      <w:pPr>
        <w:pStyle w:val="19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投标文件的声明函</w:t>
      </w:r>
    </w:p>
    <w:p w14:paraId="7FDF63EA">
      <w:pPr>
        <w:pStyle w:val="193"/>
        <w:spacing w:line="360" w:lineRule="auto"/>
        <w:jc w:val="center"/>
        <w:rPr>
          <w:rFonts w:hint="eastAsia" w:ascii="宋体" w:hAnsi="宋体" w:eastAsia="宋体" w:cs="宋体"/>
          <w:color w:val="auto"/>
          <w:highlight w:val="none"/>
        </w:rPr>
      </w:pPr>
    </w:p>
    <w:p w14:paraId="5A57323E">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lang w:eastAsia="zh-CN"/>
        </w:rPr>
        <w:t>昆山市建工工程咨询管理有限公司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2B5F8DF">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号的招标活动进行投标。本公司所提交的投标资料均是真实的、准确的。若与真实情况不符，本公司愿意承担由此而产生的一切后果。</w:t>
      </w:r>
    </w:p>
    <w:p w14:paraId="5D820DEA">
      <w:pPr>
        <w:pStyle w:val="193"/>
        <w:spacing w:line="360" w:lineRule="auto"/>
        <w:rPr>
          <w:rFonts w:hint="eastAsia" w:ascii="宋体" w:hAnsi="宋体" w:eastAsia="宋体" w:cs="宋体"/>
          <w:color w:val="auto"/>
          <w:highlight w:val="none"/>
        </w:rPr>
      </w:pPr>
    </w:p>
    <w:p w14:paraId="484ACA11">
      <w:pPr>
        <w:pStyle w:val="193"/>
        <w:tabs>
          <w:tab w:val="left" w:pos="2940"/>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投标人（公章）：</w:t>
      </w:r>
    </w:p>
    <w:p w14:paraId="1FD86DC0">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法定代表人或被授权人签字：</w:t>
      </w:r>
    </w:p>
    <w:p w14:paraId="30A4825B">
      <w:pPr>
        <w:pStyle w:val="193"/>
        <w:spacing w:line="360" w:lineRule="auto"/>
        <w:ind w:left="1700" w:firstLine="425"/>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EDE8721">
      <w:pPr>
        <w:pStyle w:val="193"/>
        <w:spacing w:line="360" w:lineRule="auto"/>
        <w:ind w:left="4675" w:firstLine="425"/>
        <w:rPr>
          <w:rFonts w:hint="eastAsia" w:ascii="宋体" w:hAnsi="宋体" w:eastAsia="宋体" w:cs="宋体"/>
          <w:color w:val="auto"/>
          <w:highlight w:val="none"/>
        </w:rPr>
      </w:pPr>
      <w:r>
        <w:rPr>
          <w:rFonts w:hint="eastAsia" w:ascii="宋体" w:hAnsi="宋体" w:eastAsia="宋体" w:cs="宋体"/>
          <w:color w:val="auto"/>
          <w:highlight w:val="none"/>
        </w:rPr>
        <w:t xml:space="preserve">         年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日</w:t>
      </w:r>
    </w:p>
    <w:p w14:paraId="4B5371F0">
      <w:pPr>
        <w:pStyle w:val="39"/>
        <w:rPr>
          <w:rFonts w:hint="eastAsia" w:ascii="宋体" w:hAnsi="宋体" w:eastAsia="宋体" w:cs="宋体"/>
          <w:b w:val="0"/>
          <w:color w:val="auto"/>
          <w:sz w:val="24"/>
          <w:szCs w:val="24"/>
          <w:highlight w:val="none"/>
        </w:rPr>
      </w:pPr>
      <w:r>
        <w:rPr>
          <w:rFonts w:hint="eastAsia" w:ascii="宋体" w:hAnsi="宋体" w:eastAsia="宋体" w:cs="宋体"/>
          <w:b w:val="0"/>
          <w:color w:val="auto"/>
          <w:highlight w:val="none"/>
        </w:rPr>
        <w:br w:type="page" w:clear="all"/>
      </w:r>
      <w:bookmarkStart w:id="23" w:name="_Ref35851864"/>
      <w:bookmarkStart w:id="24" w:name="_Toc3657"/>
      <w:r>
        <w:rPr>
          <w:rFonts w:hint="eastAsia" w:ascii="宋体" w:hAnsi="宋体" w:eastAsia="宋体" w:cs="宋体"/>
          <w:b w:val="0"/>
          <w:color w:val="auto"/>
          <w:highlight w:val="none"/>
        </w:rPr>
        <w:t>2.投标承诺函</w:t>
      </w:r>
      <w:bookmarkEnd w:id="23"/>
      <w:bookmarkEnd w:id="24"/>
    </w:p>
    <w:p w14:paraId="1F53ACF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投标承诺函</w:t>
      </w:r>
    </w:p>
    <w:p w14:paraId="59E29532">
      <w:pPr>
        <w:jc w:val="center"/>
        <w:rPr>
          <w:rFonts w:hint="eastAsia" w:ascii="宋体" w:hAnsi="宋体" w:eastAsia="宋体" w:cs="宋体"/>
          <w:color w:val="auto"/>
          <w:sz w:val="24"/>
          <w:highlight w:val="none"/>
        </w:rPr>
      </w:pPr>
    </w:p>
    <w:p w14:paraId="12C18800">
      <w:pPr>
        <w:pStyle w:val="193"/>
        <w:spacing w:line="360" w:lineRule="auto"/>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昆山市建工工程咨询管理有限公司</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4BC4B2D1">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经仔细阅读和研究，我方同意招标文件（包括补充文件）的各条款要求，自愿参加（项目名称及项目编号） 的投标活动，并做出如下承诺：</w:t>
      </w:r>
    </w:p>
    <w:p w14:paraId="18E67DF7">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1.我方同意提供与投标有关的一切数据或资料，并保证所提供的投标文件及相关资料均真实有效，若有不实，由此产生的后果由我方承担；</w:t>
      </w:r>
    </w:p>
    <w:p w14:paraId="2E11175E">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2.我方愿意按照招标文件的要求，响应该项目的全部实质性内容。 </w:t>
      </w:r>
    </w:p>
    <w:p w14:paraId="0006688D">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3.我方具有良好的商业信誉和健全的财务会计制度；</w:t>
      </w:r>
    </w:p>
    <w:p w14:paraId="6A6A31F3">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4.我方具有依法缴纳税收和社会保障资金的良好记录；</w:t>
      </w:r>
    </w:p>
    <w:p w14:paraId="44DA1121">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5.我方具有履行合同所必需的设备和专业技术能力；</w:t>
      </w:r>
    </w:p>
    <w:p w14:paraId="051B07DB">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6.我方参加本次政府采购活动前3年内在经营活动中无重大违法记录；</w:t>
      </w:r>
    </w:p>
    <w:p w14:paraId="4D11B122">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7.我方最后报价含服务过程所发生的全部费用。</w:t>
      </w:r>
    </w:p>
    <w:p w14:paraId="2D7FECAD">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8.我方同意按采购人确定的评标办法及评标标准，由评标专家进行评审；</w:t>
      </w:r>
    </w:p>
    <w:p w14:paraId="4F4EDB61">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9.我方同意按招标文件中的规定，投标文件的有效期限为自开标日起三个月内；</w:t>
      </w:r>
    </w:p>
    <w:p w14:paraId="3972CD09">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10.我方同意采购人关于违约责任的认定方式和对违约责任的处罚；在履约过程中，如我方违约，我方愿意承担相应违约责任。</w:t>
      </w:r>
    </w:p>
    <w:p w14:paraId="65305524">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11.除不可抗力外，我方如果发生以下行为，将在行为发生的10个工作日内，向采购人支付本招标文件公布的预算价的2%作为违约赔偿金。</w:t>
      </w:r>
    </w:p>
    <w:p w14:paraId="7AEDA13A">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（1）在招标文件规定的投标有效期内进行实质上修改或撤回投标；</w:t>
      </w:r>
    </w:p>
    <w:p w14:paraId="311F5BE9">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（2）中标后不依法与采购人签订合同；</w:t>
      </w:r>
    </w:p>
    <w:p w14:paraId="071A97B7">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（3）在投标文件中提供虚假材料；</w:t>
      </w:r>
    </w:p>
    <w:p w14:paraId="38CB55B8">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（4）恶意串通；</w:t>
      </w:r>
    </w:p>
    <w:p w14:paraId="22227CD3">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（5）其他违法违规情形。</w:t>
      </w:r>
    </w:p>
    <w:p w14:paraId="293E2EDA">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12.我方知晓上述行为的法律后果，并认可本承诺函作为采购人要求我方履行违约赔偿的依据。</w:t>
      </w:r>
    </w:p>
    <w:p w14:paraId="6B8B8194">
      <w:pPr>
        <w:spacing w:line="360" w:lineRule="auto"/>
        <w:ind w:right="-252"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13.我单位同意招标人关于违约责任的认定方式和对违约责任的处罚；在服务过程中，如我单位违约，我单位愿意承担相应违约责任。</w:t>
      </w:r>
    </w:p>
    <w:p w14:paraId="5C75AA7C">
      <w:pPr>
        <w:spacing w:line="360" w:lineRule="auto"/>
        <w:ind w:firstLine="480"/>
        <w:rPr>
          <w:rFonts w:hint="eastAsia" w:ascii="宋体" w:hAnsi="宋体" w:eastAsia="宋体" w:cs="宋体"/>
          <w:color w:val="auto"/>
          <w:sz w:val="24"/>
          <w:highlight w:val="none"/>
        </w:rPr>
      </w:pPr>
    </w:p>
    <w:p w14:paraId="341205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投标人（公章）：</w:t>
      </w:r>
    </w:p>
    <w:p w14:paraId="7F3116B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p>
    <w:p w14:paraId="55B0D67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5F46E3BC">
      <w:pPr>
        <w:pStyle w:val="193"/>
        <w:spacing w:line="360" w:lineRule="auto"/>
        <w:ind w:left="4675" w:firstLine="425"/>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774B1EC">
      <w:pPr>
        <w:pStyle w:val="39"/>
        <w:rPr>
          <w:rFonts w:hint="eastAsia" w:ascii="宋体" w:hAnsi="宋体" w:eastAsia="宋体" w:cs="宋体"/>
          <w:b w:val="0"/>
          <w:color w:val="auto"/>
          <w:highlight w:val="none"/>
        </w:rPr>
      </w:pPr>
      <w:bookmarkStart w:id="25" w:name="_Toc24489"/>
      <w:bookmarkStart w:id="26" w:name="_Ref79412893"/>
      <w:r>
        <w:rPr>
          <w:rFonts w:hint="eastAsia" w:ascii="宋体" w:hAnsi="宋体" w:eastAsia="宋体" w:cs="宋体"/>
          <w:b w:val="0"/>
          <w:color w:val="auto"/>
          <w:highlight w:val="none"/>
        </w:rPr>
        <w:t>3.无重大违法记录声明</w:t>
      </w:r>
      <w:bookmarkEnd w:id="25"/>
      <w:bookmarkEnd w:id="26"/>
    </w:p>
    <w:p w14:paraId="2193B509">
      <w:pPr>
        <w:ind w:right="-252" w:firstLine="480"/>
        <w:contextualSpacing/>
        <w:jc w:val="center"/>
        <w:rPr>
          <w:rFonts w:hint="eastAsia" w:ascii="宋体" w:hAnsi="宋体" w:eastAsia="宋体" w:cs="宋体"/>
          <w:color w:val="auto"/>
          <w:sz w:val="24"/>
          <w:highlight w:val="none"/>
        </w:rPr>
      </w:pPr>
    </w:p>
    <w:p w14:paraId="068B0DC6">
      <w:pPr>
        <w:spacing w:line="360" w:lineRule="auto"/>
        <w:ind w:right="-252" w:firstLine="480"/>
        <w:contextualSpacing/>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无重大违法记录声明</w:t>
      </w:r>
    </w:p>
    <w:p w14:paraId="38711A0E">
      <w:pPr>
        <w:spacing w:line="360" w:lineRule="auto"/>
        <w:ind w:right="-252" w:firstLine="480"/>
        <w:contextualSpacing/>
        <w:jc w:val="center"/>
        <w:rPr>
          <w:rFonts w:hint="eastAsia" w:ascii="宋体" w:hAnsi="宋体" w:eastAsia="宋体" w:cs="宋体"/>
          <w:color w:val="auto"/>
          <w:sz w:val="24"/>
          <w:highlight w:val="none"/>
        </w:rPr>
      </w:pPr>
    </w:p>
    <w:p w14:paraId="04945A96">
      <w:pPr>
        <w:spacing w:line="360" w:lineRule="auto"/>
        <w:ind w:right="-252" w:firstLine="480"/>
        <w:contextualSpacing/>
        <w:rPr>
          <w:rFonts w:hint="eastAsia" w:ascii="宋体" w:hAnsi="宋体" w:eastAsia="宋体" w:cs="宋体"/>
          <w:color w:val="auto"/>
          <w:sz w:val="24"/>
          <w:highlight w:val="none"/>
        </w:rPr>
      </w:pPr>
      <w:r>
        <w:rPr>
          <w:rFonts w:hint="eastAsia" w:ascii="宋体" w:hAnsi="宋体" w:cs="宋体"/>
          <w:color w:val="auto"/>
          <w:sz w:val="24"/>
          <w:highlight w:val="none"/>
          <w:lang w:eastAsia="zh-CN"/>
        </w:rPr>
        <w:t>昆山市建工工程咨询管理有限公司</w:t>
      </w:r>
      <w:r>
        <w:rPr>
          <w:rFonts w:hint="eastAsia" w:ascii="宋体" w:hAnsi="宋体" w:eastAsia="宋体" w:cs="宋体"/>
          <w:color w:val="auto"/>
          <w:sz w:val="24"/>
          <w:highlight w:val="none"/>
        </w:rPr>
        <w:t>：</w:t>
      </w:r>
    </w:p>
    <w:p w14:paraId="2A2167A2">
      <w:pPr>
        <w:spacing w:line="360" w:lineRule="auto"/>
        <w:ind w:right="-252"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（供应商名称）郑重声明：</w:t>
      </w:r>
    </w:p>
    <w:p w14:paraId="0BA3B748">
      <w:pPr>
        <w:spacing w:line="360" w:lineRule="auto"/>
        <w:ind w:right="-252"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参加政府采购活动前3年内在经营活动中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（在下划线上如实填写：有或没有）重大违法记录。</w:t>
      </w:r>
    </w:p>
    <w:p w14:paraId="4374CE72">
      <w:pPr>
        <w:spacing w:line="360" w:lineRule="auto"/>
        <w:ind w:right="-252"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 </w:t>
      </w:r>
    </w:p>
    <w:p w14:paraId="5DEFCD79">
      <w:pPr>
        <w:spacing w:line="360" w:lineRule="auto"/>
        <w:ind w:firstLine="480"/>
        <w:contextualSpacing/>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声明人：（公章）</w:t>
      </w:r>
    </w:p>
    <w:p w14:paraId="0B04DF9B">
      <w:pPr>
        <w:spacing w:line="360" w:lineRule="auto"/>
        <w:ind w:firstLine="480"/>
        <w:contextualSpacing/>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p>
    <w:p w14:paraId="7F41E3A1">
      <w:pPr>
        <w:rPr>
          <w:rFonts w:hint="eastAsia" w:ascii="宋体" w:hAnsi="宋体" w:eastAsia="宋体" w:cs="宋体"/>
          <w:b w:val="0"/>
          <w:color w:val="auto"/>
          <w:highlight w:val="none"/>
        </w:rPr>
      </w:pPr>
      <w:bookmarkStart w:id="27" w:name="_Ref501489515"/>
      <w:r>
        <w:rPr>
          <w:rFonts w:hint="eastAsia" w:ascii="宋体" w:hAnsi="宋体" w:eastAsia="宋体" w:cs="宋体"/>
          <w:b w:val="0"/>
          <w:color w:val="auto"/>
          <w:highlight w:val="none"/>
        </w:rPr>
        <w:br w:type="page"/>
      </w:r>
    </w:p>
    <w:p w14:paraId="0971523A">
      <w:pPr>
        <w:pStyle w:val="39"/>
        <w:spacing w:line="416" w:lineRule="auto"/>
        <w:ind w:left="567" w:hanging="567"/>
        <w:rPr>
          <w:rFonts w:hint="eastAsia" w:ascii="宋体" w:hAnsi="宋体" w:eastAsia="宋体" w:cs="宋体"/>
          <w:b w:val="0"/>
          <w:color w:val="auto"/>
          <w:highlight w:val="none"/>
        </w:rPr>
      </w:pPr>
      <w:bookmarkStart w:id="28" w:name="_Toc17316"/>
      <w:r>
        <w:rPr>
          <w:rFonts w:hint="eastAsia" w:ascii="宋体" w:hAnsi="宋体" w:eastAsia="宋体" w:cs="宋体"/>
          <w:b w:val="0"/>
          <w:color w:val="auto"/>
          <w:highlight w:val="none"/>
        </w:rPr>
        <w:t>4.法定代表人授权委托书</w:t>
      </w:r>
      <w:bookmarkEnd w:id="27"/>
      <w:bookmarkEnd w:id="28"/>
    </w:p>
    <w:p w14:paraId="24767BC7">
      <w:pPr>
        <w:pStyle w:val="19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法定代表人授权委托书</w:t>
      </w:r>
    </w:p>
    <w:p w14:paraId="7A57DA04">
      <w:pPr>
        <w:rPr>
          <w:rFonts w:hint="eastAsia" w:ascii="宋体" w:hAnsi="宋体" w:eastAsia="宋体" w:cs="宋体"/>
          <w:color w:val="auto"/>
          <w:highlight w:val="none"/>
        </w:rPr>
      </w:pPr>
    </w:p>
    <w:p w14:paraId="31F55BE9">
      <w:pPr>
        <w:pStyle w:val="193"/>
        <w:spacing w:line="360" w:lineRule="auto"/>
        <w:rPr>
          <w:rFonts w:hint="eastAsia" w:ascii="宋体" w:hAnsi="宋体" w:eastAsia="宋体" w:cs="宋体"/>
          <w:color w:val="auto"/>
          <w:highlight w:val="none"/>
        </w:rPr>
      </w:pPr>
      <w:bookmarkStart w:id="29" w:name="_Ref343881923"/>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（姓名+身份证号码）为我公司被授权人，以本公司的名义参加</w:t>
      </w:r>
      <w:r>
        <w:rPr>
          <w:rFonts w:hint="eastAsia" w:ascii="宋体" w:hAnsi="宋体" w:eastAsia="宋体" w:cs="宋体"/>
          <w:color w:val="auto"/>
          <w:highlight w:val="none"/>
          <w:lang w:eastAsia="zh-CN"/>
        </w:rPr>
        <w:t>昆山市建工工程咨询管理有限公司</w:t>
      </w:r>
      <w:r>
        <w:rPr>
          <w:rFonts w:hint="eastAsia" w:ascii="宋体" w:hAnsi="宋体" w:eastAsia="宋体" w:cs="宋体"/>
          <w:color w:val="auto"/>
          <w:highlight w:val="none"/>
        </w:rPr>
        <w:t>组织实施的编号为</w:t>
      </w:r>
      <w:r>
        <w:rPr>
          <w:rFonts w:hint="eastAsia" w:ascii="宋体" w:hAnsi="宋体" w:eastAsia="宋体" w:cs="宋体"/>
          <w:color w:val="auto"/>
          <w:highlight w:val="none"/>
          <w:lang w:eastAsia="zh-CN"/>
        </w:rPr>
        <w:t>JSZC-320583-KSJG-G2024-0001</w:t>
      </w:r>
      <w:r>
        <w:rPr>
          <w:rFonts w:hint="eastAsia" w:ascii="宋体" w:hAnsi="宋体" w:eastAsia="宋体" w:cs="宋体"/>
          <w:color w:val="auto"/>
          <w:highlight w:val="none"/>
        </w:rPr>
        <w:t>号的招标活动。被授权人在开标、评标、合同谈判过程中所签署的一切文件和处理与这有关的一切事务，我均予以承认。</w:t>
      </w:r>
    </w:p>
    <w:p w14:paraId="57E7CDDA">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被授权人在授权委托书有效期内签署的所有文件不因授权委托的撤销而失效，除非有撤销授权委托的书面通知，本授权委托书自投标开始至合同履行完毕止。</w:t>
      </w:r>
    </w:p>
    <w:p w14:paraId="43741F32">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被授权人无转委托权。特此委托。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p>
    <w:p w14:paraId="011DAB57">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投标人：（盖章）</w:t>
      </w:r>
    </w:p>
    <w:p w14:paraId="1DF98966">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法定代表人：（签字）</w:t>
      </w:r>
    </w:p>
    <w:p w14:paraId="761AC458">
      <w:pPr>
        <w:pStyle w:val="19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被授权人：（签字）</w:t>
      </w:r>
    </w:p>
    <w:p w14:paraId="77960F64">
      <w:pPr>
        <w:pStyle w:val="193"/>
        <w:ind w:firstLine="900"/>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31C5DA31">
      <w:pPr>
        <w:pStyle w:val="193"/>
        <w:ind w:firstLine="90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C93C576">
      <w:pPr>
        <w:pStyle w:val="39"/>
        <w:spacing w:line="416" w:lineRule="auto"/>
        <w:ind w:left="567" w:hanging="567"/>
        <w:rPr>
          <w:rFonts w:hint="eastAsia" w:ascii="宋体" w:hAnsi="宋体" w:eastAsia="宋体" w:cs="宋体"/>
          <w:b w:val="0"/>
          <w:color w:val="auto"/>
          <w:highlight w:val="none"/>
        </w:rPr>
      </w:pPr>
      <w:bookmarkStart w:id="30" w:name="_Toc497431308"/>
      <w:bookmarkStart w:id="31" w:name="_Ref366160082"/>
      <w:bookmarkStart w:id="32" w:name="_Toc27919"/>
      <w:r>
        <w:rPr>
          <w:rFonts w:hint="eastAsia" w:ascii="宋体" w:hAnsi="宋体" w:eastAsia="宋体" w:cs="宋体"/>
          <w:b w:val="0"/>
          <w:color w:val="auto"/>
          <w:highlight w:val="none"/>
        </w:rPr>
        <w:t>5.投标函</w:t>
      </w:r>
      <w:bookmarkEnd w:id="29"/>
      <w:bookmarkEnd w:id="30"/>
      <w:bookmarkEnd w:id="31"/>
      <w:bookmarkEnd w:id="32"/>
    </w:p>
    <w:p w14:paraId="10EFEE1C">
      <w:pPr>
        <w:pStyle w:val="356"/>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投标函</w:t>
      </w:r>
    </w:p>
    <w:p w14:paraId="3B80C7EA">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F0A69BC">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号招标文件，经仔细阅读和研究，我们同意招标文件的各条款要求并决定参加投标。</w:t>
      </w:r>
    </w:p>
    <w:p w14:paraId="52C59129">
      <w:pPr>
        <w:spacing w:line="400" w:lineRule="exact"/>
        <w:ind w:firstLine="240"/>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  1、我们愿意按照招标文件的一切要求，提供包括招标书中要求的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整个工程的安装或指导安装、人工、保险、劳保、各种税费以及质保期间的一切费用。明细见《投标报价表》。</w:t>
      </w:r>
    </w:p>
    <w:p w14:paraId="616152BC">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2、如果我们的投标书被接受，我们将严格履行招标文件中规定的每一项要求，按期、按质、按量履行合同的义务。</w:t>
      </w:r>
    </w:p>
    <w:p w14:paraId="32F06801">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3、我们同意按招标文件中的规定，本投标书的有效期限为开标后</w:t>
      </w:r>
      <w:r>
        <w:rPr>
          <w:rFonts w:hint="eastAsia" w:ascii="宋体" w:hAnsi="宋体" w:eastAsia="宋体" w:cs="宋体"/>
          <w:color w:val="auto"/>
          <w:sz w:val="24"/>
          <w:highlight w:val="none"/>
          <w:u w:val="single"/>
        </w:rPr>
        <w:t xml:space="preserve"> 90</w:t>
      </w:r>
      <w:r>
        <w:rPr>
          <w:rFonts w:hint="eastAsia" w:ascii="宋体" w:hAnsi="宋体" w:eastAsia="宋体" w:cs="宋体"/>
          <w:color w:val="auto"/>
          <w:sz w:val="24"/>
          <w:highlight w:val="none"/>
        </w:rPr>
        <w:t>天。</w:t>
      </w:r>
    </w:p>
    <w:p w14:paraId="0FD612A7">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4、我们愿意提供招标代理人在招标文件中要求的所有资料。</w:t>
      </w:r>
    </w:p>
    <w:p w14:paraId="337BA9CA">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5、我们认为你们有权决定中标者，还认为你们有权接受或拒绝所有的投标者。</w:t>
      </w:r>
    </w:p>
    <w:p w14:paraId="34D3050E">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6、我们承诺该项投标在开标后的全过程中保持有效，不作任何更改和变动。</w:t>
      </w:r>
    </w:p>
    <w:p w14:paraId="10906C9E">
      <w:pPr>
        <w:pStyle w:val="476"/>
        <w:widowControl w:val="0"/>
        <w:spacing w:line="4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7、如果我们中标，我们愿意在签订合同时按招标文件要求支付履约保证金。</w:t>
      </w:r>
    </w:p>
    <w:p w14:paraId="5B90E149">
      <w:pPr>
        <w:pStyle w:val="356"/>
        <w:spacing w:line="400" w:lineRule="exact"/>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8、综合说明：</w:t>
      </w:r>
    </w:p>
    <w:p w14:paraId="6CE9DE07">
      <w:pPr>
        <w:pStyle w:val="356"/>
        <w:spacing w:line="4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（1）伴随服务及配合措施；</w:t>
      </w:r>
    </w:p>
    <w:p w14:paraId="2FECBB8F">
      <w:pPr>
        <w:pStyle w:val="356"/>
        <w:spacing w:line="4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（2）要求甲方提供的配合；</w:t>
      </w:r>
    </w:p>
    <w:p w14:paraId="02915808">
      <w:pPr>
        <w:pStyle w:val="356"/>
        <w:spacing w:line="4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（3）对招标文件有不同意见的偏离说明；</w:t>
      </w:r>
    </w:p>
    <w:p w14:paraId="68AA745D">
      <w:pPr>
        <w:pStyle w:val="356"/>
        <w:spacing w:line="4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（4）其它说明。</w:t>
      </w:r>
    </w:p>
    <w:p w14:paraId="0E6E1F1A">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所有有关标书的函电，请按下列地址联系：</w:t>
      </w:r>
    </w:p>
    <w:p w14:paraId="0239924E">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p w14:paraId="79DB9D59">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p w14:paraId="270A5873">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p w14:paraId="610F5A41">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p w14:paraId="26290012">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p w14:paraId="3F4CE0D7">
      <w:pPr>
        <w:pStyle w:val="35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p w14:paraId="2CE884BD">
      <w:pPr>
        <w:pStyle w:val="356"/>
        <w:spacing w:line="400" w:lineRule="exact"/>
        <w:ind w:left="3400"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投标人：（单位盖章）</w:t>
      </w:r>
    </w:p>
    <w:p w14:paraId="6E3C46E0">
      <w:pPr>
        <w:pStyle w:val="356"/>
        <w:spacing w:line="400" w:lineRule="exact"/>
        <w:ind w:left="3825"/>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法定代表人或被授权人：（签字或盖章）</w:t>
      </w:r>
    </w:p>
    <w:p w14:paraId="6D20925C">
      <w:pPr>
        <w:pStyle w:val="356"/>
        <w:spacing w:line="400" w:lineRule="exact"/>
        <w:ind w:firstLine="462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6CFA72AA">
      <w:pPr>
        <w:pStyle w:val="356"/>
        <w:spacing w:line="400" w:lineRule="exact"/>
        <w:ind w:firstLine="4620"/>
        <w:rPr>
          <w:rFonts w:hint="eastAsia" w:ascii="宋体" w:hAnsi="宋体" w:eastAsia="宋体" w:cs="宋体"/>
          <w:color w:val="auto"/>
          <w:sz w:val="24"/>
          <w:highlight w:val="none"/>
        </w:rPr>
      </w:pPr>
    </w:p>
    <w:p w14:paraId="3C5E0387">
      <w:pPr>
        <w:pStyle w:val="356"/>
        <w:spacing w:line="400" w:lineRule="exact"/>
        <w:ind w:firstLine="4620"/>
        <w:rPr>
          <w:rFonts w:hint="eastAsia" w:ascii="宋体" w:hAnsi="宋体" w:eastAsia="宋体" w:cs="宋体"/>
          <w:color w:val="auto"/>
          <w:sz w:val="24"/>
          <w:highlight w:val="none"/>
        </w:rPr>
      </w:pPr>
    </w:p>
    <w:p w14:paraId="07CBA53F">
      <w:pPr>
        <w:pStyle w:val="39"/>
        <w:spacing w:line="416" w:lineRule="auto"/>
        <w:ind w:left="567" w:hanging="567"/>
        <w:rPr>
          <w:rFonts w:hint="eastAsia" w:ascii="宋体" w:hAnsi="宋体" w:eastAsia="宋体" w:cs="宋体"/>
          <w:b w:val="0"/>
          <w:color w:val="auto"/>
          <w:highlight w:val="none"/>
        </w:rPr>
      </w:pPr>
      <w:bookmarkStart w:id="33" w:name="_Ref343881459"/>
      <w:bookmarkStart w:id="34" w:name="_Toc497431309"/>
      <w:bookmarkStart w:id="35" w:name="_Toc6055"/>
      <w:r>
        <w:rPr>
          <w:rFonts w:hint="eastAsia" w:ascii="宋体" w:hAnsi="宋体" w:eastAsia="宋体" w:cs="宋体"/>
          <w:b w:val="0"/>
          <w:color w:val="auto"/>
          <w:highlight w:val="none"/>
        </w:rPr>
        <w:t>6.开标一览表</w:t>
      </w:r>
      <w:bookmarkEnd w:id="33"/>
      <w:bookmarkEnd w:id="34"/>
      <w:bookmarkEnd w:id="35"/>
    </w:p>
    <w:p w14:paraId="72483F40">
      <w:pPr>
        <w:pStyle w:val="256"/>
        <w:jc w:val="center"/>
        <w:rPr>
          <w:rFonts w:hint="eastAsia" w:ascii="宋体" w:hAnsi="宋体" w:eastAsia="宋体" w:cs="宋体"/>
          <w:color w:val="auto"/>
          <w:highlight w:val="none"/>
        </w:rPr>
      </w:pPr>
      <w:r>
        <w:rPr>
          <w:rFonts w:hint="eastAsia" w:ascii="宋体" w:hAnsi="宋体" w:eastAsia="宋体" w:cs="宋体"/>
          <w:color w:val="auto"/>
          <w:highlight w:val="none"/>
        </w:rPr>
        <w:t>开标一览表（</w:t>
      </w:r>
      <w:r>
        <w:rPr>
          <w:rFonts w:hint="eastAsia" w:cs="宋体"/>
          <w:color w:val="auto"/>
          <w:highlight w:val="none"/>
          <w:lang w:val="en-US" w:eastAsia="zh-CN"/>
        </w:rPr>
        <w:t>折扣率</w:t>
      </w:r>
      <w:r>
        <w:rPr>
          <w:rFonts w:hint="eastAsia" w:ascii="宋体" w:hAnsi="宋体" w:eastAsia="宋体" w:cs="宋体"/>
          <w:color w:val="auto"/>
          <w:highlight w:val="none"/>
        </w:rPr>
        <w:t>）</w:t>
      </w:r>
    </w:p>
    <w:p w14:paraId="01FF234D">
      <w:pPr>
        <w:pStyle w:val="256"/>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      供应商名称 </w:t>
      </w:r>
    </w:p>
    <w:p w14:paraId="623AD5AF">
      <w:pPr>
        <w:pStyle w:val="256"/>
        <w:rPr>
          <w:rFonts w:hint="eastAsia" w:ascii="宋体" w:hAnsi="宋体" w:eastAsia="宋体" w:cs="宋体"/>
          <w:color w:val="auto"/>
          <w:highlight w:val="none"/>
        </w:rPr>
      </w:pPr>
      <w:r>
        <w:rPr>
          <w:rFonts w:hint="eastAsia" w:ascii="宋体" w:hAnsi="宋体" w:eastAsia="宋体" w:cs="宋体"/>
          <w:color w:val="auto"/>
          <w:highlight w:val="none"/>
        </w:rPr>
        <w:t>项目编号：项目编号 </w:t>
      </w:r>
    </w:p>
    <w:p w14:paraId="182BC1F8">
      <w:pPr>
        <w:pStyle w:val="256"/>
        <w:rPr>
          <w:rFonts w:hint="eastAsia" w:ascii="宋体" w:hAnsi="宋体" w:eastAsia="宋体" w:cs="宋体"/>
          <w:color w:val="auto"/>
          <w:highlight w:val="none"/>
        </w:rPr>
      </w:pPr>
      <w:r>
        <w:rPr>
          <w:rFonts w:hint="eastAsia" w:ascii="宋体" w:hAnsi="宋体" w:eastAsia="宋体" w:cs="宋体"/>
          <w:color w:val="auto"/>
          <w:highlight w:val="none"/>
        </w:rPr>
        <w:t>分包号：分包号 </w:t>
      </w:r>
    </w:p>
    <w:tbl>
      <w:tblPr>
        <w:tblStyle w:val="32"/>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4039"/>
        <w:gridCol w:w="4930"/>
      </w:tblGrid>
      <w:tr w14:paraId="4571F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635" w:hRule="atLeast"/>
        </w:trPr>
        <w:tc>
          <w:tcPr>
            <w:tcW w:w="2198" w:type="dxa"/>
            <w:noWrap w:val="0"/>
            <w:vAlign w:val="center"/>
          </w:tcPr>
          <w:p w14:paraId="09CD367C">
            <w:pPr>
              <w:widowControl/>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项目名称</w:t>
            </w:r>
          </w:p>
        </w:tc>
        <w:tc>
          <w:tcPr>
            <w:tcW w:w="2683" w:type="dxa"/>
            <w:noWrap w:val="0"/>
            <w:vAlign w:val="center"/>
          </w:tcPr>
          <w:p w14:paraId="7FFDCA01">
            <w:pPr>
              <w:widowControl/>
              <w:jc w:val="left"/>
              <w:rPr>
                <w:rFonts w:hint="default" w:ascii="宋体" w:hAnsi="宋体" w:eastAsia="宋体" w:cs="宋体"/>
                <w:color w:val="auto"/>
                <w:highlight w:val="none"/>
                <w:lang w:val="en-US"/>
              </w:rPr>
            </w:pPr>
            <w:r>
              <w:rPr>
                <w:rFonts w:hint="eastAsia" w:ascii="宋体" w:hAnsi="宋体" w:eastAsia="宋体" w:cs="宋体"/>
                <w:color w:val="auto"/>
                <w:sz w:val="24"/>
                <w:highlight w:val="none"/>
                <w:lang w:bidi="ar"/>
              </w:rPr>
              <w:t>投标</w:t>
            </w:r>
            <w:r>
              <w:rPr>
                <w:rFonts w:hint="eastAsia" w:ascii="宋体" w:hAnsi="宋体" w:cs="宋体"/>
                <w:color w:val="auto"/>
                <w:sz w:val="24"/>
                <w:highlight w:val="none"/>
                <w:lang w:val="en-US" w:eastAsia="zh-CN" w:bidi="ar"/>
              </w:rPr>
              <w:t>折扣率</w:t>
            </w:r>
          </w:p>
        </w:tc>
      </w:tr>
      <w:tr w14:paraId="2D3F6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635" w:hRule="atLeast"/>
        </w:trPr>
        <w:tc>
          <w:tcPr>
            <w:tcW w:w="2198" w:type="dxa"/>
            <w:noWrap w:val="0"/>
            <w:vAlign w:val="center"/>
          </w:tcPr>
          <w:p w14:paraId="4A6FA1FA">
            <w:pPr>
              <w:widowControl/>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项目名称 </w:t>
            </w:r>
          </w:p>
        </w:tc>
        <w:tc>
          <w:tcPr>
            <w:tcW w:w="2683" w:type="dxa"/>
            <w:noWrap w:val="0"/>
            <w:vAlign w:val="center"/>
          </w:tcPr>
          <w:p w14:paraId="4A07D8ED">
            <w:pPr>
              <w:widowControl/>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小写： </w:t>
            </w:r>
          </w:p>
        </w:tc>
      </w:tr>
    </w:tbl>
    <w:p w14:paraId="19E04F7A">
      <w:pPr>
        <w:pStyle w:val="356"/>
        <w:spacing w:line="360" w:lineRule="auto"/>
        <w:rPr>
          <w:rFonts w:hint="eastAsia" w:ascii="宋体" w:hAnsi="宋体" w:eastAsia="宋体" w:cs="宋体"/>
          <w:color w:val="auto"/>
          <w:sz w:val="24"/>
          <w:highlight w:val="none"/>
        </w:rPr>
      </w:pPr>
    </w:p>
    <w:p w14:paraId="4D0CA6E9">
      <w:pPr>
        <w:pStyle w:val="35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0B7DB5A4">
      <w:pPr>
        <w:pStyle w:val="476"/>
        <w:adjustRightInd w:val="0"/>
        <w:spacing w:line="360" w:lineRule="auto"/>
        <w:ind w:firstLine="420" w:firstLineChars="200"/>
        <w:textAlignment w:val="baseline"/>
        <w:rPr>
          <w:rFonts w:hint="default" w:ascii="宋体" w:hAnsi="宋体" w:eastAsia="宋体" w:cs="Times New Roman"/>
          <w:color w:val="0000FF"/>
          <w:kern w:val="0"/>
          <w:sz w:val="21"/>
          <w:szCs w:val="21"/>
        </w:rPr>
      </w:pPr>
      <w:r>
        <w:rPr>
          <w:rFonts w:hAnsi="宋体" w:eastAsia="宋体"/>
          <w:color w:val="0000FF"/>
          <w:sz w:val="21"/>
          <w:szCs w:val="21"/>
          <w:highlight w:val="none"/>
        </w:rPr>
        <w:t>1.报价要求：</w:t>
      </w:r>
      <w:r>
        <w:rPr>
          <w:rFonts w:hint="eastAsia" w:ascii="宋体" w:hAnsi="宋体" w:eastAsia="宋体" w:cs="Times New Roman"/>
          <w:color w:val="0000FF"/>
          <w:kern w:val="0"/>
          <w:sz w:val="21"/>
          <w:szCs w:val="21"/>
        </w:rPr>
        <w:t>本次报价报的是折扣率，不报总价，总报价填写格式，按照折扣率报价，如投标单位的总报价为0.82，小数点后保留两位，以上数字0.82即代表投标价为总价的八二折，其他数字以此类推。价格得分计算方法：根据各投标单位通过符合性审查的有效投标折扣中（即≤1）的最低折扣作为评标基准折扣，其价格分为满分。例如各投标单位的投标折扣分别为0.70、0.75、0.80、0.85，以上数字中，0.70为评标基准折扣，报价分为满分，价格分计算公式：价格得分=（评标基准折扣/投标折扣）×价格权重×100；（计算到小数点后二位）。</w:t>
      </w:r>
    </w:p>
    <w:p w14:paraId="194DCC56">
      <w:pPr>
        <w:pStyle w:val="476"/>
        <w:spacing w:line="360" w:lineRule="auto"/>
        <w:ind w:firstLine="420"/>
        <w:rPr>
          <w:rFonts w:hAnsi="宋体" w:eastAsia="宋体"/>
          <w:color w:val="0000FF"/>
          <w:sz w:val="21"/>
          <w:szCs w:val="21"/>
          <w:highlight w:val="none"/>
        </w:rPr>
      </w:pPr>
      <w:r>
        <w:rPr>
          <w:rFonts w:hAnsi="宋体" w:eastAsia="宋体"/>
          <w:bCs/>
          <w:color w:val="0000FF"/>
          <w:sz w:val="21"/>
          <w:szCs w:val="21"/>
          <w:highlight w:val="none"/>
        </w:rPr>
        <w:t>2.</w:t>
      </w:r>
      <w:r>
        <w:rPr>
          <w:rFonts w:hAnsi="宋体" w:eastAsia="宋体"/>
          <w:color w:val="0000FF"/>
          <w:sz w:val="21"/>
          <w:szCs w:val="21"/>
          <w:highlight w:val="none"/>
        </w:rPr>
        <w:t>本项目供货基准价以昆山市发布的全市重要民生价格数据库及全市居民消费价格数据库的数据（玉龙菜场、玉山农贸市场、朝阳菜场等农贸市场及大润发超市大型超市</w:t>
      </w:r>
      <w:r>
        <w:rPr>
          <w:rFonts w:hint="eastAsia" w:hAnsi="宋体" w:eastAsia="宋体"/>
          <w:color w:val="0000FF"/>
          <w:sz w:val="21"/>
          <w:szCs w:val="21"/>
          <w:highlight w:val="none"/>
          <w:lang w:val="en-US" w:eastAsia="zh-CN"/>
        </w:rPr>
        <w:t>等</w:t>
      </w:r>
      <w:r>
        <w:rPr>
          <w:rFonts w:hAnsi="宋体" w:eastAsia="宋体"/>
          <w:color w:val="0000FF"/>
          <w:sz w:val="21"/>
          <w:szCs w:val="21"/>
          <w:highlight w:val="none"/>
        </w:rPr>
        <w:t>）为准。服务期内由乙方每月根据市场价格上报供货基准价，采购单位将对基准价进行抽查核对。</w:t>
      </w:r>
    </w:p>
    <w:p w14:paraId="53764D83">
      <w:pPr>
        <w:pStyle w:val="476"/>
        <w:spacing w:line="360" w:lineRule="auto"/>
        <w:ind w:firstLine="422"/>
        <w:rPr>
          <w:rFonts w:hAnsi="宋体" w:eastAsia="宋体" w:cs="宋体"/>
          <w:b/>
          <w:bCs/>
          <w:color w:val="auto"/>
          <w:sz w:val="21"/>
          <w:szCs w:val="21"/>
          <w:highlight w:val="none"/>
        </w:rPr>
      </w:pPr>
      <w:r>
        <w:rPr>
          <w:rFonts w:hAnsi="宋体" w:eastAsia="宋体"/>
          <w:b/>
          <w:bCs/>
          <w:color w:val="auto"/>
          <w:sz w:val="21"/>
          <w:szCs w:val="21"/>
          <w:highlight w:val="none"/>
        </w:rPr>
        <w:t>3.苏采云系统内开标一览表总报价须与上表中</w:t>
      </w:r>
      <w:r>
        <w:rPr>
          <w:rFonts w:hint="eastAsia" w:hAnsi="宋体" w:eastAsia="宋体"/>
          <w:b/>
          <w:bCs/>
          <w:color w:val="auto"/>
          <w:sz w:val="21"/>
          <w:szCs w:val="21"/>
          <w:highlight w:val="none"/>
          <w:lang w:val="en-US" w:eastAsia="zh-CN"/>
        </w:rPr>
        <w:t>折扣</w:t>
      </w:r>
      <w:r>
        <w:rPr>
          <w:rFonts w:hAnsi="宋体" w:eastAsia="宋体"/>
          <w:b/>
          <w:bCs/>
          <w:color w:val="auto"/>
          <w:sz w:val="21"/>
          <w:szCs w:val="21"/>
          <w:highlight w:val="none"/>
        </w:rPr>
        <w:t>率保持一致，且</w:t>
      </w:r>
      <w:r>
        <w:rPr>
          <w:rFonts w:hAnsi="宋体" w:eastAsia="宋体" w:cs="宋体"/>
          <w:b/>
          <w:bCs/>
          <w:color w:val="auto"/>
          <w:sz w:val="21"/>
          <w:szCs w:val="21"/>
          <w:highlight w:val="none"/>
        </w:rPr>
        <w:t>投标</w:t>
      </w:r>
      <w:r>
        <w:rPr>
          <w:rFonts w:hint="eastAsia" w:hAnsi="宋体" w:eastAsia="宋体"/>
          <w:b/>
          <w:bCs/>
          <w:color w:val="auto"/>
          <w:sz w:val="21"/>
          <w:szCs w:val="21"/>
          <w:highlight w:val="none"/>
          <w:lang w:val="en-US" w:eastAsia="zh-CN"/>
        </w:rPr>
        <w:t>折扣</w:t>
      </w:r>
      <w:r>
        <w:rPr>
          <w:rFonts w:hAnsi="宋体" w:eastAsia="宋体" w:cs="宋体"/>
          <w:b/>
          <w:bCs/>
          <w:color w:val="auto"/>
          <w:sz w:val="21"/>
          <w:szCs w:val="21"/>
          <w:highlight w:val="none"/>
        </w:rPr>
        <w:t>率必须为固定数值，不接受区间报价，否则为无效标。</w:t>
      </w:r>
    </w:p>
    <w:p w14:paraId="0198BE19">
      <w:pPr>
        <w:pStyle w:val="476"/>
        <w:spacing w:line="360" w:lineRule="auto"/>
        <w:ind w:firstLine="422"/>
        <w:rPr>
          <w:rFonts w:hAnsi="宋体" w:eastAsia="宋体" w:cs="宋体"/>
          <w:b/>
          <w:bCs/>
          <w:color w:val="auto"/>
          <w:sz w:val="21"/>
          <w:szCs w:val="21"/>
          <w:highlight w:val="none"/>
        </w:rPr>
      </w:pPr>
      <w:r>
        <w:rPr>
          <w:rFonts w:hAnsi="宋体" w:eastAsia="宋体" w:cs="宋体"/>
          <w:b/>
          <w:bCs/>
          <w:color w:val="auto"/>
          <w:sz w:val="21"/>
          <w:szCs w:val="21"/>
          <w:highlight w:val="none"/>
        </w:rPr>
        <w:t>4.中标</w:t>
      </w:r>
      <w:r>
        <w:rPr>
          <w:rFonts w:hint="eastAsia" w:hAnsi="宋体" w:eastAsia="宋体" w:cs="宋体"/>
          <w:b/>
          <w:bCs/>
          <w:color w:val="auto"/>
          <w:sz w:val="21"/>
          <w:szCs w:val="21"/>
          <w:highlight w:val="none"/>
          <w:lang w:val="en-US" w:eastAsia="zh-CN"/>
        </w:rPr>
        <w:t>折扣</w:t>
      </w:r>
      <w:r>
        <w:rPr>
          <w:rFonts w:hAnsi="宋体" w:eastAsia="宋体" w:cs="宋体"/>
          <w:b/>
          <w:bCs/>
          <w:color w:val="auto"/>
          <w:sz w:val="21"/>
          <w:szCs w:val="21"/>
          <w:highlight w:val="none"/>
        </w:rPr>
        <w:t>率在合同期内不得作任何更改。</w:t>
      </w:r>
    </w:p>
    <w:p w14:paraId="020A2165">
      <w:pPr>
        <w:pStyle w:val="476"/>
        <w:spacing w:line="360" w:lineRule="auto"/>
        <w:ind w:firstLine="422"/>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rPr>
        <w:t>投标人保证：合同总价应包括检测费、总包管理费、辅助材料、人工、机械、运输、保险、运费、各种税费、劳保、专利技术、检测费用</w:t>
      </w:r>
      <w:r>
        <w:rPr>
          <w:rFonts w:hint="eastAsia" w:hAnsi="宋体" w:eastAsia="宋体" w:cs="Times New Roman"/>
          <w:b/>
          <w:bCs/>
          <w:color w:val="auto"/>
          <w:sz w:val="21"/>
          <w:szCs w:val="21"/>
          <w:highlight w:val="none"/>
          <w:lang w:val="en-US" w:eastAsia="zh-CN"/>
        </w:rPr>
        <w:t>及中国政府根据现行税法征收的与本合同有关的一切税费</w:t>
      </w:r>
      <w:r>
        <w:rPr>
          <w:rFonts w:hint="eastAsia" w:ascii="宋体" w:hAnsi="宋体" w:eastAsia="宋体" w:cs="Times New Roman"/>
          <w:b/>
          <w:bCs/>
          <w:color w:val="auto"/>
          <w:sz w:val="21"/>
          <w:szCs w:val="21"/>
          <w:highlight w:val="none"/>
        </w:rPr>
        <w:t>等，甲方不再另行支付费用。</w:t>
      </w:r>
    </w:p>
    <w:p w14:paraId="5BCC9589">
      <w:pPr>
        <w:pStyle w:val="39"/>
        <w:spacing w:line="416" w:lineRule="auto"/>
        <w:rPr>
          <w:rFonts w:hint="eastAsia" w:ascii="宋体" w:hAnsi="宋体" w:eastAsia="宋体" w:cs="宋体"/>
          <w:bCs w:val="0"/>
          <w:color w:val="auto"/>
          <w:highlight w:val="none"/>
        </w:rPr>
      </w:pPr>
      <w:r>
        <w:rPr>
          <w:rFonts w:hint="eastAsia" w:ascii="宋体" w:hAnsi="宋体" w:eastAsia="宋体" w:cs="宋体"/>
          <w:color w:val="auto"/>
          <w:sz w:val="21"/>
          <w:szCs w:val="21"/>
          <w:highlight w:val="none"/>
        </w:rPr>
        <w:t xml:space="preserve">   </w:t>
      </w:r>
      <w:bookmarkStart w:id="36" w:name="_Ref127976287"/>
      <w:bookmarkStart w:id="37" w:name="_Toc28291"/>
      <w:bookmarkStart w:id="38" w:name="_Toc129349153"/>
      <w:bookmarkStart w:id="39" w:name="_Ref501489757"/>
      <w:bookmarkStart w:id="81" w:name="_GoBack"/>
      <w:bookmarkEnd w:id="81"/>
      <w:r>
        <w:rPr>
          <w:rFonts w:hint="eastAsia" w:ascii="宋体" w:hAnsi="宋体" w:eastAsia="宋体" w:cs="宋体"/>
          <w:b w:val="0"/>
          <w:color w:val="auto"/>
          <w:highlight w:val="none"/>
        </w:rPr>
        <w:t>7</w:t>
      </w:r>
      <w:r>
        <w:rPr>
          <w:rFonts w:hint="eastAsia" w:ascii="宋体" w:hAnsi="宋体" w:eastAsia="宋体" w:cs="宋体"/>
          <w:b w:val="0"/>
          <w:color w:val="auto"/>
          <w:sz w:val="28"/>
          <w:szCs w:val="28"/>
          <w:highlight w:val="none"/>
        </w:rPr>
        <w:t>.食品安全承诺书</w:t>
      </w:r>
      <w:bookmarkEnd w:id="36"/>
      <w:bookmarkEnd w:id="37"/>
      <w:bookmarkEnd w:id="38"/>
    </w:p>
    <w:p w14:paraId="0959E270">
      <w:pPr>
        <w:jc w:val="center"/>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食品安全承诺书</w:t>
      </w:r>
    </w:p>
    <w:p w14:paraId="3A1B7081">
      <w:pPr>
        <w:spacing w:line="360" w:lineRule="auto"/>
        <w:ind w:firstLine="420"/>
        <w:rPr>
          <w:rFonts w:hint="eastAsia" w:ascii="宋体" w:hAnsi="宋体" w:eastAsia="宋体" w:cs="宋体"/>
          <w:color w:val="auto"/>
          <w:szCs w:val="21"/>
          <w:highlight w:val="none"/>
        </w:rPr>
      </w:pPr>
    </w:p>
    <w:p w14:paraId="12CAF17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为保障食堂食品原材料安全，进一步贯彻执行《食品安全法》，本单位郑重承诺：</w:t>
      </w:r>
    </w:p>
    <w:p w14:paraId="567A5506">
      <w:pPr>
        <w:numPr>
          <w:ilvl w:val="0"/>
          <w:numId w:val="3"/>
        </w:num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严格依照《食品安全法》等法律法规从事食品经营活动，诚信经营，保证食品安全，接受社会监督，承担社会责任。</w:t>
      </w:r>
    </w:p>
    <w:p w14:paraId="75C1D1FB">
      <w:pPr>
        <w:numPr>
          <w:ilvl w:val="0"/>
          <w:numId w:val="3"/>
        </w:num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严格落实国家市场监管总局60号令《企业落实食品安全主体责任监督管理规定》要求，建立健全食品安全责任体系，通过“苏食安”平台进行食安履责，明确责任人、做好三件事、记好三本账。</w:t>
      </w:r>
    </w:p>
    <w:p w14:paraId="1B00CFA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p>
    <w:p w14:paraId="1843DFD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p>
    <w:p w14:paraId="3059C50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五、严格落实食品安全管理制度。建立健全食品安全责任制，落实食品安全培训考核制度，加强食品从业人员的岗位管理与培训，提升食品管理水平。</w:t>
      </w:r>
    </w:p>
    <w:p w14:paraId="3ECE221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六、严格执行从业人员健康管理制度。经营人员每年进行健康检查，取得健康证明后方从事食品经营活动。保持个人卫生，按照要求开展加工操作。</w:t>
      </w:r>
    </w:p>
    <w:p w14:paraId="6A29860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严格落实加工经营过程控制制度，加工、经营的布局、流程，设施设备的数量符合食品安全法律法规的要求，经营场所保持清洁，设施设备及时消毒并按规定存放，并不断更新投入以确保食堂食品原材料配送的需求。</w:t>
      </w:r>
    </w:p>
    <w:p w14:paraId="12A300F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八、严格执行法律法规以及规范对食堂禁用、慎用食品的规定，坚决不采购、配送违反食品安全法律法规以及食堂禁用、慎用规定的食品原材料。</w:t>
      </w:r>
    </w:p>
    <w:p w14:paraId="6C76BC8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严格落实食品加工、贮存、运输管理规定，保证食品安全所需的环境条件，定期检查货架及库存食品，及时清理变质或者超过保质期的食品。防止交叉污染和贮存运输不当导致食品变质。承诺向食堂供应的食品原料</w:t>
      </w:r>
      <w:r>
        <w:rPr>
          <w:rFonts w:hint="eastAsia" w:ascii="宋体" w:hAnsi="宋体" w:eastAsia="宋体" w:cs="宋体"/>
          <w:color w:val="auto"/>
          <w:szCs w:val="21"/>
          <w:highlight w:val="none"/>
          <w:lang w:val="en-US" w:eastAsia="zh-CN"/>
        </w:rPr>
        <w:t>均在保质期内，且未超过保质时间的1/3</w:t>
      </w:r>
      <w:r>
        <w:rPr>
          <w:rFonts w:hint="eastAsia" w:ascii="宋体" w:hAnsi="宋体" w:eastAsia="宋体" w:cs="宋体"/>
          <w:color w:val="auto"/>
          <w:szCs w:val="21"/>
          <w:highlight w:val="none"/>
        </w:rPr>
        <w:t>。</w:t>
      </w:r>
    </w:p>
    <w:p w14:paraId="7007779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十、严格落实食品标签管理规定，所有配送食品必须标签完整、清晰。配送散装食品必须在散装食品的容器、外包装上标明食品的名称、生产日期、保质期、生产经营者名称及联系方式等内容；</w:t>
      </w:r>
    </w:p>
    <w:p w14:paraId="267344D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十一、严格落实食品检验制度，设置食品检测室，配备专门的检测设备，有专职的检测人员，按规定开展食品检测工作，检测结果即时上传并按规定公示。</w:t>
      </w:r>
    </w:p>
    <w:p w14:paraId="0D7719A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p>
    <w:p w14:paraId="568C470D">
      <w:pPr>
        <w:pStyle w:val="356"/>
        <w:spacing w:line="360" w:lineRule="auto"/>
        <w:rPr>
          <w:rFonts w:hint="eastAsia" w:ascii="宋体" w:hAnsi="宋体" w:eastAsia="宋体" w:cs="宋体"/>
          <w:b/>
          <w:bCs/>
          <w:color w:val="auto"/>
          <w:sz w:val="21"/>
          <w:szCs w:val="21"/>
          <w:highlight w:val="none"/>
        </w:rPr>
      </w:pPr>
    </w:p>
    <w:p w14:paraId="2F58B3CC">
      <w:pPr>
        <w:pStyle w:val="356"/>
        <w:spacing w:line="360" w:lineRule="auto"/>
        <w:rPr>
          <w:rFonts w:hint="eastAsia" w:ascii="宋体" w:hAnsi="宋体" w:eastAsia="宋体" w:cs="宋体"/>
          <w:b/>
          <w:bCs/>
          <w:color w:val="auto"/>
          <w:sz w:val="21"/>
          <w:szCs w:val="21"/>
          <w:highlight w:val="none"/>
        </w:rPr>
      </w:pPr>
    </w:p>
    <w:p w14:paraId="0C1937A7">
      <w:pPr>
        <w:pStyle w:val="356"/>
        <w:spacing w:line="360" w:lineRule="auto"/>
        <w:ind w:left="3400" w:firstLine="4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投标人：（单位盖章）</w:t>
      </w:r>
    </w:p>
    <w:p w14:paraId="18A8A4AB">
      <w:pPr>
        <w:pStyle w:val="356"/>
        <w:spacing w:line="360" w:lineRule="auto"/>
        <w:ind w:left="38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23061EDE">
      <w:pPr>
        <w:ind w:firstLine="37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     月     日</w:t>
      </w:r>
    </w:p>
    <w:p w14:paraId="043512DD">
      <w:pPr>
        <w:pStyle w:val="17"/>
        <w:spacing w:line="360" w:lineRule="auto"/>
        <w:ind w:right="-252" w:firstLine="5180"/>
        <w:rPr>
          <w:rFonts w:hint="eastAsia" w:ascii="宋体" w:hAnsi="宋体" w:eastAsia="宋体" w:cs="宋体"/>
          <w:color w:val="auto"/>
          <w:sz w:val="21"/>
          <w:szCs w:val="21"/>
          <w:highlight w:val="none"/>
        </w:rPr>
      </w:pPr>
      <w:r>
        <w:rPr>
          <w:rFonts w:hint="eastAsia" w:ascii="宋体" w:hAnsi="宋体" w:eastAsia="宋体" w:cs="宋体"/>
          <w:color w:val="auto"/>
          <w:szCs w:val="28"/>
          <w:highlight w:val="none"/>
        </w:rPr>
        <w:br w:type="page" w:clear="all"/>
      </w:r>
    </w:p>
    <w:p w14:paraId="4A91808B">
      <w:pPr>
        <w:pStyle w:val="39"/>
        <w:spacing w:line="416" w:lineRule="auto"/>
        <w:rPr>
          <w:rFonts w:hint="eastAsia" w:ascii="宋体" w:hAnsi="宋体" w:eastAsia="宋体" w:cs="宋体"/>
          <w:color w:val="auto"/>
          <w:sz w:val="21"/>
          <w:szCs w:val="21"/>
          <w:highlight w:val="none"/>
        </w:rPr>
      </w:pPr>
      <w:bookmarkStart w:id="40" w:name="_Toc17521"/>
      <w:r>
        <w:rPr>
          <w:rFonts w:hint="eastAsia" w:ascii="宋体" w:hAnsi="宋体" w:eastAsia="宋体" w:cs="宋体"/>
          <w:b w:val="0"/>
          <w:color w:val="auto"/>
          <w:highlight w:val="none"/>
        </w:rPr>
        <w:t>8.中小企业声明函</w:t>
      </w:r>
      <w:bookmarkEnd w:id="39"/>
      <w:bookmarkEnd w:id="40"/>
    </w:p>
    <w:p w14:paraId="7C13D1A0">
      <w:pPr>
        <w:spacing w:line="360" w:lineRule="auto"/>
        <w:ind w:firstLine="422"/>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中小企业声明函（服务）</w:t>
      </w:r>
    </w:p>
    <w:p w14:paraId="7E3CECB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本公司（联合体）郑重声明，根据《政府采购促进中小企业发展管理办法》（财库﹝2020﹞46 号）的规定，本公司（联合体）参加昆山高新技术产业开发区亭林城市管理办事处食堂年度食材采购采购活动，服务单位全部为符合政策要求的中小企业。相关企业（含联合体中的中小企业、签订分包意向协议的中小企业）的具体情况如下：</w:t>
      </w:r>
    </w:p>
    <w:p w14:paraId="491B9B02">
      <w:pPr>
        <w:pStyle w:val="276"/>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食堂年度食材采购</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b/>
          <w:bCs/>
          <w:color w:val="auto"/>
          <w:szCs w:val="21"/>
          <w:highlight w:val="none"/>
          <w:u w:val="single"/>
        </w:rPr>
        <w:t>批发业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w:t>
      </w:r>
      <w:r>
        <w:rPr>
          <w:rFonts w:hint="eastAsia" w:ascii="宋体" w:hAnsi="宋体" w:eastAsia="宋体" w:cs="宋体"/>
          <w:color w:val="auto"/>
          <w:szCs w:val="21"/>
          <w:highlight w:val="none"/>
          <w:lang w:val="zh-CN"/>
        </w:rPr>
        <w:t>从业人员</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人，营业收入为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万元，资产总额为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万元，属于</w:t>
      </w:r>
      <w:r>
        <w:rPr>
          <w:rFonts w:hint="eastAsia" w:ascii="宋体" w:hAnsi="宋体" w:eastAsia="宋体" w:cs="宋体"/>
          <w:color w:val="auto"/>
          <w:szCs w:val="21"/>
          <w:highlight w:val="none"/>
          <w:u w:val="single"/>
          <w:lang w:val="zh-CN"/>
        </w:rPr>
        <w:t>（中型企业、小型企业、微型企业）</w:t>
      </w:r>
      <w:r>
        <w:rPr>
          <w:rFonts w:hint="eastAsia" w:ascii="宋体" w:hAnsi="宋体" w:eastAsia="宋体" w:cs="宋体"/>
          <w:color w:val="auto"/>
          <w:szCs w:val="21"/>
          <w:highlight w:val="none"/>
          <w:lang w:val="zh-CN"/>
        </w:rPr>
        <w:t>；</w:t>
      </w:r>
    </w:p>
    <w:p w14:paraId="7C31E0D9">
      <w:pPr>
        <w:pStyle w:val="276"/>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（采购文件中明确的所属行业）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w:t>
      </w:r>
      <w:r>
        <w:rPr>
          <w:rFonts w:hint="eastAsia" w:ascii="宋体" w:hAnsi="宋体" w:eastAsia="宋体" w:cs="宋体"/>
          <w:color w:val="auto"/>
          <w:szCs w:val="21"/>
          <w:highlight w:val="none"/>
          <w:lang w:val="zh-CN"/>
        </w:rPr>
        <w:t>从业人员</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人，营业收入为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万元，资产总额为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万元，属于</w:t>
      </w:r>
      <w:r>
        <w:rPr>
          <w:rFonts w:hint="eastAsia" w:ascii="宋体" w:hAnsi="宋体" w:eastAsia="宋体" w:cs="宋体"/>
          <w:color w:val="auto"/>
          <w:szCs w:val="21"/>
          <w:highlight w:val="none"/>
          <w:u w:val="single"/>
          <w:lang w:val="zh-CN"/>
        </w:rPr>
        <w:t>（中型企业、小型企业、微型企业）</w:t>
      </w:r>
      <w:r>
        <w:rPr>
          <w:rFonts w:hint="eastAsia" w:ascii="宋体" w:hAnsi="宋体" w:eastAsia="宋体" w:cs="宋体"/>
          <w:color w:val="auto"/>
          <w:szCs w:val="21"/>
          <w:highlight w:val="none"/>
          <w:lang w:val="zh-CN"/>
        </w:rPr>
        <w:t>；</w:t>
      </w:r>
    </w:p>
    <w:p w14:paraId="54EF6F53">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p>
    <w:p w14:paraId="5821AD1D">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以上企业，不属于大企业的分支机构，不存在控股股东为大企业的情形，也不存在与大企业的负责人为同一人的情形。</w:t>
      </w:r>
    </w:p>
    <w:p w14:paraId="135BCA2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本企业对上述声明内容的真实性负责。如有虚假，将依法承担相应责任。</w:t>
      </w:r>
    </w:p>
    <w:p w14:paraId="0247F5F8">
      <w:pPr>
        <w:pStyle w:val="276"/>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注：1.从业人员、营业收入、资产总额填报上一年度数据，无上一年度数据的新成立企业可不填报。</w:t>
      </w:r>
    </w:p>
    <w:p w14:paraId="4D6D02EF">
      <w:pPr>
        <w:pStyle w:val="276"/>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    2. 本项目服务所属行业为</w:t>
      </w:r>
      <w:r>
        <w:rPr>
          <w:rFonts w:hint="eastAsia" w:ascii="宋体" w:hAnsi="宋体" w:eastAsia="宋体" w:cs="宋体"/>
          <w:b/>
          <w:bCs/>
          <w:color w:val="auto"/>
          <w:szCs w:val="21"/>
          <w:highlight w:val="none"/>
          <w:u w:val="single"/>
        </w:rPr>
        <w:t>批发业</w:t>
      </w:r>
      <w:r>
        <w:rPr>
          <w:rFonts w:hint="eastAsia" w:ascii="宋体" w:hAnsi="宋体" w:eastAsia="宋体" w:cs="宋体"/>
          <w:color w:val="auto"/>
          <w:highlight w:val="none"/>
        </w:rPr>
        <w:t>，中小微企业划分标准请根据《中小企业划型标准规定》（工信部联企业﹝2011﹞300号文）。</w:t>
      </w:r>
    </w:p>
    <w:p w14:paraId="210B1A59">
      <w:pPr>
        <w:pStyle w:val="583"/>
        <w:spacing w:line="360" w:lineRule="auto"/>
        <w:rPr>
          <w:rFonts w:hint="eastAsia" w:ascii="宋体" w:hAnsi="宋体" w:eastAsia="宋体" w:cs="宋体"/>
          <w:bCs w:val="0"/>
          <w:color w:val="auto"/>
          <w:sz w:val="21"/>
          <w:szCs w:val="21"/>
          <w:highlight w:val="none"/>
        </w:rPr>
      </w:pPr>
    </w:p>
    <w:p w14:paraId="7E37F03F">
      <w:pPr>
        <w:spacing w:line="360" w:lineRule="auto"/>
        <w:ind w:right="420"/>
        <w:jc w:val="right"/>
        <w:rPr>
          <w:rFonts w:hint="eastAsia" w:ascii="宋体" w:hAnsi="宋体" w:eastAsia="宋体" w:cs="宋体"/>
          <w:color w:val="auto"/>
          <w:highlight w:val="none"/>
        </w:rPr>
      </w:pPr>
      <w:r>
        <w:rPr>
          <w:rFonts w:hint="eastAsia" w:ascii="宋体" w:hAnsi="宋体" w:eastAsia="宋体" w:cs="宋体"/>
          <w:color w:val="auto"/>
          <w:highlight w:val="none"/>
        </w:rPr>
        <w:t>投标人：（公章）</w:t>
      </w:r>
    </w:p>
    <w:p w14:paraId="51E6799F">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6AFBCD72">
      <w:pPr>
        <w:pStyle w:val="583"/>
        <w:spacing w:line="360" w:lineRule="auto"/>
        <w:rPr>
          <w:rFonts w:hint="eastAsia" w:ascii="宋体" w:hAnsi="宋体" w:eastAsia="宋体" w:cs="宋体"/>
          <w:b/>
          <w:color w:val="auto"/>
          <w:sz w:val="21"/>
          <w:szCs w:val="21"/>
          <w:highlight w:val="none"/>
        </w:rPr>
      </w:pPr>
    </w:p>
    <w:p w14:paraId="06179663">
      <w:pPr>
        <w:spacing w:line="36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Cs w:val="21"/>
          <w:highlight w:val="none"/>
        </w:rPr>
        <w:t>附件</w:t>
      </w:r>
    </w:p>
    <w:p w14:paraId="735917C3">
      <w:pPr>
        <w:widowControl/>
        <w:spacing w:before="100" w:beforeAutospacing="1" w:after="100" w:afterAutospacing="1"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关于印发中小企业划型标准规定的通知</w:t>
      </w:r>
    </w:p>
    <w:p w14:paraId="00A2FEE1">
      <w:pPr>
        <w:widowControl/>
        <w:spacing w:before="100" w:beforeAutospacing="1" w:after="100" w:afterAutospacing="1"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工信部联企业〔2011〕300号</w:t>
      </w:r>
    </w:p>
    <w:p w14:paraId="68AEA3CA">
      <w:pPr>
        <w:widowControl/>
        <w:spacing w:before="100" w:beforeAutospacing="1" w:after="100" w:afterAutospacing="1"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各省、自治区、直辖市人民政府，国务院各部委、各直属机构及有关单位：</w:t>
      </w:r>
    </w:p>
    <w:p w14:paraId="45D17A73">
      <w:pPr>
        <w:widowControl/>
        <w:spacing w:before="100" w:beforeAutospacing="1" w:after="100" w:afterAutospacing="1"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31864A5">
      <w:pPr>
        <w:widowControl/>
        <w:spacing w:before="100" w:beforeAutospacing="1" w:after="100" w:afterAutospacing="1"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工业和信息化部　国家统计局</w:t>
      </w:r>
    </w:p>
    <w:p w14:paraId="1941CA6A">
      <w:pPr>
        <w:widowControl/>
        <w:spacing w:before="100" w:beforeAutospacing="1" w:after="100" w:afterAutospacing="1"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国家发展和改革委员会　财政部</w:t>
      </w:r>
    </w:p>
    <w:p w14:paraId="6E08B3EF">
      <w:pPr>
        <w:widowControl/>
        <w:spacing w:before="100" w:beforeAutospacing="1" w:after="100" w:afterAutospacing="1"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二○一一年六月十八日</w:t>
      </w:r>
    </w:p>
    <w:p w14:paraId="5B1616DB">
      <w:pPr>
        <w:widowControl/>
        <w:spacing w:before="100" w:beforeAutospacing="1" w:after="100" w:afterAutospacing="1"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中小企业划型标准规定</w:t>
      </w:r>
    </w:p>
    <w:p w14:paraId="6F289763">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一、根据《中华人民共和国中小企业促进法》和《国务院关于进一步促进中小企业发展的若干意见》(国发〔2009〕36号)，制定本规定。</w:t>
      </w:r>
    </w:p>
    <w:p w14:paraId="4D0E1513">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二、中小企业划分为中型、小型、微型三种类型，具体标准根据企业从业人员、营业收入、资产总额等指标，结合行业特点制定。</w:t>
      </w:r>
    </w:p>
    <w:p w14:paraId="0E30DF43">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1616CE">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四、各行业划型标准为：</w:t>
      </w:r>
    </w:p>
    <w:p w14:paraId="3F8E9A9C">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14:paraId="7997967E">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722C13E">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04A331F">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B17A66D">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8D3C41C">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0A29739">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535B935">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CA271F4">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E55F1F">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2A58D0">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3DB668">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574E7FD">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B305799">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81A10F8">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63CF216">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6C626A9E">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五、企业类型的划分以统计部门的统计数据为依据。</w:t>
      </w:r>
    </w:p>
    <w:p w14:paraId="2E130728">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六、本规定适用于在中华人民共和国境内依法设立的各类所有制和各种组织形式的企业。个体工商户和本规定以外的行业，参照本规定进行划型。</w:t>
      </w:r>
    </w:p>
    <w:p w14:paraId="0D60C703">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BE31142">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八、本规定由工业和信息化部、国家统计局会同有关部门根据《国民经济行业分类》修订情况和企业发展变化情况适时修订。</w:t>
      </w:r>
    </w:p>
    <w:p w14:paraId="4D74E26C">
      <w:pPr>
        <w:pStyle w:val="193"/>
        <w:rPr>
          <w:rFonts w:hint="eastAsia" w:ascii="宋体" w:hAnsi="宋体" w:eastAsia="宋体" w:cs="宋体"/>
          <w:color w:val="auto"/>
          <w:szCs w:val="21"/>
          <w:highlight w:val="none"/>
        </w:rPr>
      </w:pPr>
      <w:r>
        <w:rPr>
          <w:rFonts w:hint="eastAsia" w:ascii="宋体" w:hAnsi="宋体" w:eastAsia="宋体" w:cs="宋体"/>
          <w:color w:val="auto"/>
          <w:szCs w:val="21"/>
          <w:highlight w:val="none"/>
        </w:rPr>
        <w:t>　　九、本规定由工业和信息化部、国家统计局会同有关部门负责解释。</w:t>
      </w:r>
    </w:p>
    <w:p w14:paraId="3347BA25">
      <w:pPr>
        <w:pStyle w:val="193"/>
        <w:rPr>
          <w:rFonts w:hint="eastAsia" w:ascii="宋体" w:hAnsi="宋体" w:eastAsia="宋体" w:cs="宋体"/>
          <w:color w:val="auto"/>
          <w:highlight w:val="none"/>
        </w:rPr>
      </w:pPr>
      <w:r>
        <w:rPr>
          <w:rFonts w:hint="eastAsia" w:ascii="宋体" w:hAnsi="宋体" w:eastAsia="宋体" w:cs="宋体"/>
          <w:color w:val="auto"/>
          <w:szCs w:val="21"/>
          <w:highlight w:val="none"/>
        </w:rPr>
        <w:t>　　十、本规定自发布之日起执行，原国家经贸委、原国家计委、财政部和国家统计局2003年颁布的《中小企业标准暂行规定》同时废止。</w:t>
      </w:r>
    </w:p>
    <w:p w14:paraId="7A4083B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p>
    <w:p w14:paraId="5AFE1746">
      <w:pPr>
        <w:pStyle w:val="39"/>
        <w:spacing w:line="416" w:lineRule="auto"/>
        <w:rPr>
          <w:rFonts w:hint="eastAsia" w:ascii="宋体" w:hAnsi="宋体" w:eastAsia="宋体" w:cs="宋体"/>
          <w:b w:val="0"/>
          <w:color w:val="auto"/>
          <w:highlight w:val="none"/>
        </w:rPr>
      </w:pPr>
      <w:bookmarkStart w:id="41" w:name="_企业从业人员情况表"/>
      <w:bookmarkEnd w:id="41"/>
      <w:bookmarkStart w:id="42" w:name="_Ref79412921"/>
      <w:bookmarkStart w:id="43" w:name="_Toc22484"/>
      <w:bookmarkStart w:id="44" w:name="_Toc497431311"/>
      <w:bookmarkStart w:id="45" w:name="_Ref343881462"/>
      <w:r>
        <w:rPr>
          <w:rFonts w:hint="eastAsia" w:ascii="宋体" w:hAnsi="宋体" w:eastAsia="宋体" w:cs="宋体"/>
          <w:b w:val="0"/>
          <w:color w:val="auto"/>
          <w:highlight w:val="none"/>
          <w:lang w:val="en-US" w:eastAsia="zh-CN"/>
        </w:rPr>
        <w:t>9</w:t>
      </w:r>
      <w:r>
        <w:rPr>
          <w:rFonts w:hint="eastAsia" w:ascii="宋体" w:hAnsi="宋体" w:eastAsia="宋体" w:cs="宋体"/>
          <w:b w:val="0"/>
          <w:color w:val="auto"/>
          <w:highlight w:val="none"/>
        </w:rPr>
        <w:t>.残疾人福利性单位声明函</w:t>
      </w:r>
      <w:bookmarkEnd w:id="42"/>
      <w:bookmarkEnd w:id="43"/>
    </w:p>
    <w:p w14:paraId="77CBFD85">
      <w:pPr>
        <w:spacing w:line="580" w:lineRule="exact"/>
        <w:rPr>
          <w:rFonts w:hint="eastAsia" w:ascii="宋体" w:hAnsi="宋体" w:eastAsia="宋体" w:cs="宋体"/>
          <w:color w:val="auto"/>
          <w:spacing w:val="6"/>
          <w:szCs w:val="32"/>
          <w:highlight w:val="none"/>
        </w:rPr>
      </w:pPr>
    </w:p>
    <w:p w14:paraId="792107A5">
      <w:pPr>
        <w:spacing w:line="580" w:lineRule="exact"/>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残疾人福利性单位声明函</w:t>
      </w:r>
    </w:p>
    <w:p w14:paraId="3F98E761">
      <w:pPr>
        <w:spacing w:line="580" w:lineRule="exact"/>
        <w:rPr>
          <w:rFonts w:hint="eastAsia" w:ascii="宋体" w:hAnsi="宋体" w:eastAsia="宋体" w:cs="宋体"/>
          <w:color w:val="auto"/>
          <w:spacing w:val="6"/>
          <w:szCs w:val="21"/>
          <w:highlight w:val="none"/>
        </w:rPr>
      </w:pPr>
    </w:p>
    <w:p w14:paraId="75FD3AF9">
      <w:pPr>
        <w:spacing w:line="580" w:lineRule="exact"/>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auto"/>
          <w:szCs w:val="21"/>
          <w:highlight w:val="none"/>
        </w:rPr>
        <w:t>〔2017〕141</w:t>
      </w:r>
      <w:r>
        <w:rPr>
          <w:rFonts w:hint="eastAsia" w:ascii="宋体" w:hAnsi="宋体" w:eastAsia="宋体" w:cs="宋体"/>
          <w:color w:val="auto"/>
          <w:spacing w:val="6"/>
          <w:szCs w:val="21"/>
          <w:highlight w:val="none"/>
        </w:rPr>
        <w:t>号）的规定，本单位为符合条件的残疾人福利性单位，且本单位参加</w:t>
      </w:r>
      <w:r>
        <w:rPr>
          <w:rFonts w:hint="eastAsia" w:ascii="宋体" w:hAnsi="宋体" w:eastAsia="宋体" w:cs="宋体"/>
          <w:color w:val="auto"/>
          <w:spacing w:val="6"/>
          <w:szCs w:val="21"/>
          <w:highlight w:val="none"/>
          <w:u w:val="single"/>
        </w:rPr>
        <w:t>______</w:t>
      </w:r>
      <w:r>
        <w:rPr>
          <w:rFonts w:hint="eastAsia" w:ascii="宋体" w:hAnsi="宋体" w:eastAsia="宋体" w:cs="宋体"/>
          <w:color w:val="auto"/>
          <w:spacing w:val="6"/>
          <w:szCs w:val="21"/>
          <w:highlight w:val="none"/>
        </w:rPr>
        <w:t>单位的</w:t>
      </w:r>
      <w:r>
        <w:rPr>
          <w:rFonts w:hint="eastAsia" w:ascii="宋体" w:hAnsi="宋体" w:eastAsia="宋体" w:cs="宋体"/>
          <w:color w:val="auto"/>
          <w:spacing w:val="6"/>
          <w:szCs w:val="21"/>
          <w:highlight w:val="none"/>
          <w:u w:val="single"/>
        </w:rPr>
        <w:t>______</w:t>
      </w:r>
      <w:r>
        <w:rPr>
          <w:rFonts w:hint="eastAsia" w:ascii="宋体" w:hAnsi="宋体" w:eastAsia="宋体" w:cs="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7546F76B">
      <w:pPr>
        <w:spacing w:line="580" w:lineRule="exact"/>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7EC00C48">
      <w:pPr>
        <w:spacing w:line="580" w:lineRule="exact"/>
        <w:ind w:firstLine="444"/>
        <w:rPr>
          <w:rFonts w:hint="eastAsia" w:ascii="宋体" w:hAnsi="宋体" w:eastAsia="宋体" w:cs="宋体"/>
          <w:color w:val="auto"/>
          <w:spacing w:val="6"/>
          <w:szCs w:val="21"/>
          <w:highlight w:val="none"/>
        </w:rPr>
      </w:pPr>
    </w:p>
    <w:p w14:paraId="05D0CB73">
      <w:pPr>
        <w:spacing w:line="580" w:lineRule="exact"/>
        <w:ind w:firstLine="444"/>
        <w:rPr>
          <w:rFonts w:hint="eastAsia" w:ascii="宋体" w:hAnsi="宋体" w:eastAsia="宋体" w:cs="宋体"/>
          <w:color w:val="auto"/>
          <w:spacing w:val="6"/>
          <w:szCs w:val="21"/>
          <w:highlight w:val="none"/>
        </w:rPr>
      </w:pPr>
    </w:p>
    <w:p w14:paraId="1EC1D5C3">
      <w:pPr>
        <w:tabs>
          <w:tab w:val="left" w:pos="4860"/>
        </w:tabs>
        <w:spacing w:line="580" w:lineRule="exact"/>
        <w:ind w:right="1560" w:firstLine="444"/>
        <w:jc w:val="righ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单位名称（盖章）：</w:t>
      </w:r>
    </w:p>
    <w:p w14:paraId="3D3FB732">
      <w:pPr>
        <w:tabs>
          <w:tab w:val="left" w:pos="4860"/>
        </w:tabs>
        <w:spacing w:line="580" w:lineRule="exact"/>
        <w:ind w:right="1560" w:firstLine="444"/>
        <w:jc w:val="righ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日  期：</w:t>
      </w:r>
    </w:p>
    <w:p w14:paraId="66664891">
      <w:pPr>
        <w:tabs>
          <w:tab w:val="left" w:pos="4860"/>
        </w:tabs>
        <w:spacing w:line="580" w:lineRule="exact"/>
        <w:ind w:right="1560" w:firstLine="444"/>
        <w:jc w:val="righ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br w:type="page" w:clear="all"/>
      </w:r>
    </w:p>
    <w:p w14:paraId="3066AB9D">
      <w:pPr>
        <w:tabs>
          <w:tab w:val="left" w:pos="360"/>
        </w:tabs>
        <w:spacing w:line="360" w:lineRule="auto"/>
        <w:ind w:right="-252"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关于促进残疾人就业政府采购政策的通知</w:t>
      </w:r>
    </w:p>
    <w:p w14:paraId="6C4C4C95">
      <w:pPr>
        <w:tabs>
          <w:tab w:val="left" w:pos="360"/>
        </w:tabs>
        <w:spacing w:line="360" w:lineRule="auto"/>
        <w:ind w:right="-252"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财库〔2017〕141号</w:t>
      </w:r>
    </w:p>
    <w:p w14:paraId="4AADA8E7">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314AC95F">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为了发挥政府采购促进残疾人就业的作用，进一步保障残疾人权益，依照《政府采购法》、《残疾人保障法》等法律法规及相关规定，现就促进残疾人就业政府采购政策通知如下：</w:t>
      </w:r>
    </w:p>
    <w:p w14:paraId="241675B9">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一、享受政府采购支持政策的残疾人福利性单位应当同时满足以下条件：</w:t>
      </w:r>
    </w:p>
    <w:p w14:paraId="13B57DB6">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（一）安置的残疾人占本单位在职职工人数的比例不低于25%（含25%），并且安置的残疾人人数不少于10人（含10人）；</w:t>
      </w:r>
    </w:p>
    <w:p w14:paraId="42D170BE">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（二）依法与安置的每位残疾人签订了一年以上（含一年）的劳动合同或服务协议；</w:t>
      </w:r>
    </w:p>
    <w:p w14:paraId="336C9623">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（三）为安置的每位残疾人按月足额缴纳了基本养老保险、基本医疗保险、失业保险、工伤保险和生育保险等社会保险费；</w:t>
      </w:r>
    </w:p>
    <w:p w14:paraId="6FCFBD3D">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（四）通过银行等金融机构向安置的每位残疾人，按月支付了不低于单位所在区县适用的经省级人民政府批准的月最低工资标准的工资；</w:t>
      </w:r>
    </w:p>
    <w:p w14:paraId="1F9A5DC5">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（五）提供本单位制造的货物、承担的工程或者服务（以下简称产品），或者提供其他残疾人福利性单位制造的货物（不包括使用非残疾人福利性单位注册商标的货物）。</w:t>
      </w:r>
    </w:p>
    <w:p w14:paraId="10F60E22">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B8CF677">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76EEFC00">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中标、成交供应商为残疾人福利性单位的，采购人或者其委托的采购代理机构应当随中标、成交结果同时公告其《残疾人福利性单位声明函》，接受社会监督。</w:t>
      </w:r>
    </w:p>
    <w:p w14:paraId="6167C328">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供应商提供的《残疾人福利性单位声明函》与事实不符的，依照《政府采购法》第七十七条第一款的规定追究法律责任。</w:t>
      </w:r>
    </w:p>
    <w:p w14:paraId="379E3719">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FA107D0">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四、采购人采购公开招标数额标准以上的货物或者服务，因落实促进残疾人就业政策的需要，依法履行有关报批程序后，可采用公开招标以外的采购方式。</w:t>
      </w:r>
    </w:p>
    <w:p w14:paraId="5F9FF64E">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1131334B">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663E3BBF">
      <w:pPr>
        <w:tabs>
          <w:tab w:val="left" w:pos="360"/>
        </w:tabs>
        <w:spacing w:line="360" w:lineRule="auto"/>
        <w:ind w:right="-25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七、本通知自2017年10月1日起执行。</w:t>
      </w:r>
    </w:p>
    <w:p w14:paraId="2656C9F0">
      <w:pPr>
        <w:tabs>
          <w:tab w:val="left" w:pos="360"/>
        </w:tabs>
        <w:spacing w:line="360" w:lineRule="auto"/>
        <w:ind w:right="-252"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财政部 民政部 中国残疾人联合会</w:t>
      </w:r>
    </w:p>
    <w:p w14:paraId="34F14FAA">
      <w:pPr>
        <w:tabs>
          <w:tab w:val="left" w:pos="360"/>
        </w:tabs>
        <w:spacing w:line="360" w:lineRule="auto"/>
        <w:ind w:right="-252"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2017年8月22日</w:t>
      </w:r>
    </w:p>
    <w:p w14:paraId="14FC1B6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p>
    <w:p w14:paraId="20BCC57F">
      <w:pPr>
        <w:pStyle w:val="39"/>
        <w:spacing w:line="416" w:lineRule="auto"/>
        <w:rPr>
          <w:rFonts w:hint="default" w:ascii="宋体" w:hAnsi="宋体" w:eastAsia="宋体" w:cs="宋体"/>
          <w:b w:val="0"/>
          <w:color w:val="auto"/>
          <w:highlight w:val="none"/>
          <w:lang w:val="zh-CN" w:eastAsia="zh-CN"/>
        </w:rPr>
      </w:pPr>
      <w:bookmarkStart w:id="46" w:name="_Toc12311"/>
      <w:r>
        <w:rPr>
          <w:rFonts w:hint="eastAsia" w:ascii="宋体" w:hAnsi="宋体" w:eastAsia="宋体" w:cs="宋体"/>
          <w:b w:val="0"/>
          <w:color w:val="auto"/>
          <w:highlight w:val="none"/>
          <w:lang w:val="en-US" w:eastAsia="zh-CN"/>
        </w:rPr>
        <w:t>10.</w:t>
      </w:r>
      <w:r>
        <w:rPr>
          <w:rFonts w:hint="eastAsia" w:ascii="宋体" w:hAnsi="宋体" w:eastAsia="宋体" w:cs="宋体"/>
          <w:b w:val="0"/>
          <w:color w:val="auto"/>
          <w:highlight w:val="none"/>
          <w:lang w:val="zh-CN" w:eastAsia="zh-CN"/>
        </w:rPr>
        <w:t>监狱企业福利性单位声明函</w:t>
      </w:r>
      <w:bookmarkEnd w:id="46"/>
    </w:p>
    <w:p w14:paraId="763860F4">
      <w:pPr>
        <w:spacing w:line="360" w:lineRule="auto"/>
        <w:rPr>
          <w:rFonts w:ascii="宋体" w:hAnsi="宋体" w:eastAsia="宋体" w:cs="宋体"/>
          <w:color w:val="000000"/>
          <w:highlight w:val="none"/>
          <w:lang w:val="zh-CN"/>
        </w:rPr>
      </w:pPr>
      <w:r>
        <w:rPr>
          <w:rFonts w:hint="eastAsia" w:ascii="宋体" w:hAnsi="宋体" w:eastAsia="宋体" w:cs="宋体"/>
          <w:color w:val="000000"/>
          <w:highlight w:val="none"/>
          <w:lang w:val="zh-CN"/>
        </w:rPr>
        <w:t>进一步明确政府采购支持监狱企业发展政策</w:t>
      </w:r>
    </w:p>
    <w:p w14:paraId="607A6B7C">
      <w:pPr>
        <w:spacing w:line="360" w:lineRule="auto"/>
        <w:ind w:firstLine="420"/>
        <w:rPr>
          <w:rFonts w:ascii="宋体" w:hAnsi="宋体" w:eastAsia="宋体" w:cs="宋体"/>
          <w:color w:val="000000"/>
          <w:highlight w:val="none"/>
          <w:lang w:val="zh-CN"/>
        </w:rPr>
      </w:pPr>
      <w:r>
        <w:rPr>
          <w:rFonts w:hint="eastAsia" w:ascii="宋体" w:hAnsi="宋体" w:eastAsia="宋体" w:cs="宋体"/>
          <w:color w:val="000000"/>
          <w:highlight w:val="none"/>
          <w:lang w:val="zh-CN"/>
        </w:rPr>
        <w:t>（一）在政府采购活动中，监狱企业视同小型企业，享受评审中价格扣除等政府采购促进中小企业发展的政府采购政策。向监狱企业采购的金额，计入面向中小企业采购的统计数据。</w:t>
      </w:r>
    </w:p>
    <w:p w14:paraId="44BB4D34">
      <w:pPr>
        <w:spacing w:line="360" w:lineRule="auto"/>
        <w:ind w:firstLine="420"/>
        <w:rPr>
          <w:rFonts w:ascii="宋体" w:hAnsi="宋体" w:eastAsia="宋体" w:cs="宋体"/>
          <w:color w:val="000000"/>
          <w:highlight w:val="none"/>
          <w:lang w:val="zh-CN"/>
        </w:rPr>
      </w:pPr>
      <w:r>
        <w:rPr>
          <w:rFonts w:hint="eastAsia" w:ascii="宋体" w:hAnsi="宋体" w:eastAsia="宋体" w:cs="宋体"/>
          <w:color w:val="000000"/>
          <w:highlight w:val="none"/>
          <w:lang w:val="zh-CN"/>
        </w:rPr>
        <w:t>（二）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521879F">
      <w:pPr>
        <w:widowControl w:val="0"/>
        <w:spacing w:line="360" w:lineRule="auto"/>
        <w:jc w:val="both"/>
        <w:rPr>
          <w:rFonts w:hint="default" w:ascii="宋体" w:hAnsi="宋体" w:eastAsia="宋体" w:cs="Times New Roman"/>
          <w:color w:val="000000"/>
          <w:sz w:val="21"/>
          <w:szCs w:val="21"/>
          <w:highlight w:val="none"/>
          <w:lang w:val="en-US" w:eastAsia="zh-CN" w:bidi="ar-SA"/>
        </w:rPr>
      </w:pPr>
    </w:p>
    <w:p w14:paraId="43A88D53">
      <w:pPr>
        <w:widowControl w:val="0"/>
        <w:jc w:val="left"/>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投标单位：（</w:t>
      </w:r>
      <w:r>
        <w:rPr>
          <w:rFonts w:hint="eastAsia" w:ascii="宋体" w:hAnsi="宋体" w:eastAsia="宋体" w:cs="Times New Roman"/>
          <w:color w:val="000000"/>
          <w:sz w:val="21"/>
          <w:szCs w:val="21"/>
          <w:highlight w:val="none"/>
          <w:lang w:val="en-US" w:eastAsia="zh-CN" w:bidi="ar-SA"/>
        </w:rPr>
        <w:t>单位盖章</w:t>
      </w:r>
      <w:r>
        <w:rPr>
          <w:rFonts w:hint="default" w:ascii="宋体" w:hAnsi="宋体" w:eastAsia="宋体" w:cs="Times New Roman"/>
          <w:color w:val="000000"/>
          <w:sz w:val="21"/>
          <w:szCs w:val="21"/>
          <w:highlight w:val="none"/>
          <w:lang w:val="en-US" w:eastAsia="zh-CN" w:bidi="ar-SA"/>
        </w:rPr>
        <w:t>）</w:t>
      </w:r>
    </w:p>
    <w:p w14:paraId="3F982F24">
      <w:pPr>
        <w:widowControl w:val="0"/>
        <w:jc w:val="both"/>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法定代表人或授权委托人：（签字或盖章）</w:t>
      </w:r>
    </w:p>
    <w:p w14:paraId="000DC8D3">
      <w:pPr>
        <w:widowControl w:val="0"/>
        <w:jc w:val="both"/>
        <w:rPr>
          <w:rFonts w:hint="eastAsia" w:ascii="宋体" w:hAnsi="宋体" w:eastAsia="宋体" w:cs="宋体"/>
          <w:color w:val="000000"/>
          <w:sz w:val="28"/>
          <w:szCs w:val="20"/>
          <w:highlight w:val="none"/>
          <w:lang w:val="en-US" w:eastAsia="zh-CN" w:bidi="ar-SA"/>
        </w:rPr>
      </w:pPr>
      <w:r>
        <w:rPr>
          <w:rFonts w:hint="default" w:ascii="宋体" w:hAnsi="宋体" w:eastAsia="宋体" w:cs="Times New Roman"/>
          <w:color w:val="000000"/>
          <w:sz w:val="21"/>
          <w:szCs w:val="21"/>
          <w:highlight w:val="none"/>
          <w:lang w:val="en-US" w:eastAsia="zh-CN" w:bidi="ar-SA"/>
        </w:rPr>
        <w:t>日期：</w:t>
      </w:r>
      <w:r>
        <w:rPr>
          <w:rFonts w:hint="eastAsia" w:ascii="宋体" w:hAnsi="宋体" w:eastAsia="宋体" w:cs="Times New Roman"/>
          <w:color w:val="000000"/>
          <w:sz w:val="21"/>
          <w:szCs w:val="21"/>
          <w:highlight w:val="none"/>
          <w:lang w:val="en-US" w:eastAsia="zh-CN" w:bidi="ar-SA"/>
        </w:rPr>
        <w:t xml:space="preserve">      </w:t>
      </w:r>
      <w:r>
        <w:rPr>
          <w:rFonts w:hint="default" w:ascii="宋体" w:hAnsi="宋体" w:eastAsia="宋体" w:cs="Times New Roman"/>
          <w:color w:val="000000"/>
          <w:sz w:val="21"/>
          <w:szCs w:val="21"/>
          <w:highlight w:val="none"/>
          <w:lang w:val="en-US" w:eastAsia="zh-CN" w:bidi="ar-SA"/>
        </w:rPr>
        <w:t>年</w:t>
      </w:r>
      <w:r>
        <w:rPr>
          <w:rFonts w:hint="eastAsia" w:ascii="宋体" w:hAnsi="宋体" w:eastAsia="宋体" w:cs="Times New Roman"/>
          <w:color w:val="000000"/>
          <w:sz w:val="21"/>
          <w:szCs w:val="21"/>
          <w:highlight w:val="none"/>
          <w:lang w:val="en-US" w:eastAsia="zh-CN" w:bidi="ar-SA"/>
        </w:rPr>
        <w:t xml:space="preserve">  </w:t>
      </w:r>
      <w:r>
        <w:rPr>
          <w:rFonts w:hint="default" w:ascii="宋体" w:hAnsi="宋体" w:eastAsia="宋体" w:cs="Times New Roman"/>
          <w:color w:val="000000"/>
          <w:sz w:val="21"/>
          <w:szCs w:val="21"/>
          <w:highlight w:val="none"/>
          <w:lang w:val="en-US" w:eastAsia="zh-CN" w:bidi="ar-SA"/>
        </w:rPr>
        <w:t>月</w:t>
      </w:r>
      <w:r>
        <w:rPr>
          <w:rFonts w:hint="eastAsia" w:ascii="宋体" w:hAnsi="宋体" w:eastAsia="宋体" w:cs="Times New Roman"/>
          <w:color w:val="000000"/>
          <w:sz w:val="21"/>
          <w:szCs w:val="21"/>
          <w:highlight w:val="none"/>
          <w:lang w:val="en-US" w:eastAsia="zh-CN" w:bidi="ar-SA"/>
        </w:rPr>
        <w:t xml:space="preserve">  </w:t>
      </w:r>
      <w:r>
        <w:rPr>
          <w:rFonts w:hint="default" w:ascii="宋体" w:hAnsi="宋体" w:eastAsia="宋体" w:cs="Times New Roman"/>
          <w:color w:val="000000"/>
          <w:sz w:val="21"/>
          <w:szCs w:val="21"/>
          <w:highlight w:val="none"/>
          <w:lang w:val="en-US" w:eastAsia="zh-CN" w:bidi="ar-SA"/>
        </w:rPr>
        <w:t>日</w:t>
      </w:r>
    </w:p>
    <w:p w14:paraId="6AE35974">
      <w:pPr>
        <w:tabs>
          <w:tab w:val="left" w:pos="4860"/>
        </w:tabs>
        <w:wordWrap w:val="0"/>
        <w:spacing w:line="580" w:lineRule="exact"/>
        <w:ind w:right="1560"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p>
    <w:p w14:paraId="74BCCD41">
      <w:pPr>
        <w:pStyle w:val="39"/>
        <w:spacing w:line="416" w:lineRule="auto"/>
        <w:rPr>
          <w:rFonts w:hint="eastAsia" w:ascii="宋体" w:hAnsi="宋体" w:eastAsia="宋体" w:cs="宋体"/>
          <w:b w:val="0"/>
          <w:color w:val="auto"/>
          <w:highlight w:val="none"/>
        </w:rPr>
      </w:pPr>
      <w:bookmarkStart w:id="47" w:name="_Ref22898688"/>
      <w:bookmarkStart w:id="48" w:name="_Toc14904"/>
      <w:r>
        <w:rPr>
          <w:rFonts w:hint="eastAsia" w:ascii="宋体" w:hAnsi="宋体" w:eastAsia="宋体" w:cs="宋体"/>
          <w:b w:val="0"/>
          <w:color w:val="auto"/>
          <w:highlight w:val="none"/>
        </w:rPr>
        <w:t>1</w:t>
      </w:r>
      <w:r>
        <w:rPr>
          <w:rFonts w:hint="eastAsia" w:ascii="宋体" w:hAnsi="宋体" w:eastAsia="宋体" w:cs="宋体"/>
          <w:b w:val="0"/>
          <w:color w:val="auto"/>
          <w:highlight w:val="none"/>
          <w:lang w:val="en-US" w:eastAsia="zh-CN"/>
        </w:rPr>
        <w:t>1</w:t>
      </w:r>
      <w:r>
        <w:rPr>
          <w:rFonts w:hint="eastAsia" w:ascii="宋体" w:hAnsi="宋体" w:eastAsia="宋体" w:cs="宋体"/>
          <w:b w:val="0"/>
          <w:color w:val="auto"/>
          <w:highlight w:val="none"/>
        </w:rPr>
        <w:t>.偏离表（商务）</w:t>
      </w:r>
      <w:bookmarkEnd w:id="44"/>
      <w:bookmarkEnd w:id="45"/>
      <w:bookmarkEnd w:id="47"/>
      <w:bookmarkEnd w:id="48"/>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1944"/>
        <w:gridCol w:w="2318"/>
      </w:tblGrid>
      <w:tr w14:paraId="3CCA4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5670C1B8">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项      目</w:t>
            </w:r>
          </w:p>
        </w:tc>
        <w:tc>
          <w:tcPr>
            <w:tcW w:w="2130" w:type="dxa"/>
            <w:noWrap w:val="0"/>
            <w:vAlign w:val="top"/>
          </w:tcPr>
          <w:p w14:paraId="67045EBA">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招标要求（详见招标文件）</w:t>
            </w:r>
          </w:p>
        </w:tc>
        <w:tc>
          <w:tcPr>
            <w:tcW w:w="1944" w:type="dxa"/>
            <w:noWrap w:val="0"/>
            <w:vAlign w:val="top"/>
          </w:tcPr>
          <w:p w14:paraId="7707A9D4">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投标内容（响应情况）</w:t>
            </w:r>
          </w:p>
        </w:tc>
        <w:tc>
          <w:tcPr>
            <w:tcW w:w="2318" w:type="dxa"/>
            <w:noWrap w:val="0"/>
            <w:vAlign w:val="top"/>
          </w:tcPr>
          <w:p w14:paraId="66EF926E">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偏离说明（正偏离、无偏离、负偏离）</w:t>
            </w:r>
          </w:p>
        </w:tc>
      </w:tr>
      <w:tr w14:paraId="4FD03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1999230B">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工期（服务期）</w:t>
            </w:r>
          </w:p>
        </w:tc>
        <w:tc>
          <w:tcPr>
            <w:tcW w:w="2130" w:type="dxa"/>
            <w:noWrap w:val="0"/>
            <w:vAlign w:val="top"/>
          </w:tcPr>
          <w:p w14:paraId="7D26C97E">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2BB6EA9E">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5CE60F8D">
            <w:pPr>
              <w:pStyle w:val="193"/>
              <w:spacing w:line="360" w:lineRule="auto"/>
              <w:ind w:firstLine="0"/>
              <w:rPr>
                <w:rFonts w:hint="eastAsia" w:ascii="宋体" w:hAnsi="宋体" w:eastAsia="宋体" w:cs="宋体"/>
                <w:color w:val="auto"/>
                <w:highlight w:val="none"/>
              </w:rPr>
            </w:pPr>
          </w:p>
        </w:tc>
      </w:tr>
      <w:tr w14:paraId="529A4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66210EB4">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响应时间</w:t>
            </w:r>
          </w:p>
        </w:tc>
        <w:tc>
          <w:tcPr>
            <w:tcW w:w="2130" w:type="dxa"/>
            <w:noWrap w:val="0"/>
            <w:vAlign w:val="top"/>
          </w:tcPr>
          <w:p w14:paraId="1DC2493C">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46294AFA">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10FBB068">
            <w:pPr>
              <w:pStyle w:val="193"/>
              <w:spacing w:line="360" w:lineRule="auto"/>
              <w:ind w:firstLine="0"/>
              <w:rPr>
                <w:rFonts w:hint="eastAsia" w:ascii="宋体" w:hAnsi="宋体" w:eastAsia="宋体" w:cs="宋体"/>
                <w:color w:val="auto"/>
                <w:highlight w:val="none"/>
              </w:rPr>
            </w:pPr>
          </w:p>
        </w:tc>
      </w:tr>
      <w:tr w14:paraId="5F01D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499D1B66">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质保期（如有）</w:t>
            </w:r>
          </w:p>
        </w:tc>
        <w:tc>
          <w:tcPr>
            <w:tcW w:w="2130" w:type="dxa"/>
            <w:noWrap w:val="0"/>
            <w:vAlign w:val="top"/>
          </w:tcPr>
          <w:p w14:paraId="0A2282CB">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74851233">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7C12F8C8">
            <w:pPr>
              <w:pStyle w:val="193"/>
              <w:spacing w:line="360" w:lineRule="auto"/>
              <w:ind w:firstLine="0"/>
              <w:rPr>
                <w:rFonts w:hint="eastAsia" w:ascii="宋体" w:hAnsi="宋体" w:eastAsia="宋体" w:cs="宋体"/>
                <w:color w:val="auto"/>
                <w:highlight w:val="none"/>
              </w:rPr>
            </w:pPr>
          </w:p>
        </w:tc>
      </w:tr>
      <w:tr w14:paraId="31845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212BB893">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付款方式</w:t>
            </w:r>
          </w:p>
        </w:tc>
        <w:tc>
          <w:tcPr>
            <w:tcW w:w="2130" w:type="dxa"/>
            <w:noWrap w:val="0"/>
            <w:vAlign w:val="top"/>
          </w:tcPr>
          <w:p w14:paraId="4BC2901E">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5C5A75B7">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77AA1D9D">
            <w:pPr>
              <w:pStyle w:val="193"/>
              <w:spacing w:line="360" w:lineRule="auto"/>
              <w:ind w:firstLine="0"/>
              <w:rPr>
                <w:rFonts w:hint="eastAsia" w:ascii="宋体" w:hAnsi="宋体" w:eastAsia="宋体" w:cs="宋体"/>
                <w:color w:val="auto"/>
                <w:highlight w:val="none"/>
              </w:rPr>
            </w:pPr>
          </w:p>
        </w:tc>
      </w:tr>
      <w:tr w14:paraId="45DE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5F03419D">
            <w:pPr>
              <w:pStyle w:val="193"/>
              <w:spacing w:line="360" w:lineRule="auto"/>
              <w:ind w:firstLine="0"/>
              <w:rPr>
                <w:rFonts w:hint="eastAsia" w:ascii="宋体" w:hAnsi="宋体" w:eastAsia="宋体" w:cs="宋体"/>
                <w:color w:val="auto"/>
                <w:highlight w:val="none"/>
              </w:rPr>
            </w:pPr>
          </w:p>
        </w:tc>
        <w:tc>
          <w:tcPr>
            <w:tcW w:w="2130" w:type="dxa"/>
            <w:noWrap w:val="0"/>
            <w:vAlign w:val="top"/>
          </w:tcPr>
          <w:p w14:paraId="5C30BD0C">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2CDCD5A9">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2FC613AC">
            <w:pPr>
              <w:pStyle w:val="193"/>
              <w:spacing w:line="360" w:lineRule="auto"/>
              <w:ind w:firstLine="0"/>
              <w:rPr>
                <w:rFonts w:hint="eastAsia" w:ascii="宋体" w:hAnsi="宋体" w:eastAsia="宋体" w:cs="宋体"/>
                <w:color w:val="auto"/>
                <w:highlight w:val="none"/>
              </w:rPr>
            </w:pPr>
          </w:p>
        </w:tc>
      </w:tr>
    </w:tbl>
    <w:p w14:paraId="2F0FBAE7">
      <w:pPr>
        <w:pStyle w:val="193"/>
        <w:spacing w:line="360" w:lineRule="auto"/>
        <w:ind w:firstLine="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注：</w:t>
      </w:r>
    </w:p>
    <w:p w14:paraId="1AABC8FD">
      <w:pPr>
        <w:pStyle w:val="193"/>
        <w:spacing w:line="360" w:lineRule="auto"/>
        <w:ind w:firstLine="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zh-CN"/>
        </w:rPr>
        <w:t>投标人的投标文件与招标文件规定的有偏离的，应在此表中说明。未在上表中说明的，</w:t>
      </w:r>
    </w:p>
    <w:p w14:paraId="0345E421">
      <w:pPr>
        <w:pStyle w:val="193"/>
        <w:spacing w:line="360" w:lineRule="auto"/>
        <w:ind w:firstLine="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将被认为完全响应招标文件的规定。</w:t>
      </w:r>
    </w:p>
    <w:p w14:paraId="415101FF">
      <w:pPr>
        <w:pStyle w:val="193"/>
        <w:spacing w:line="360" w:lineRule="auto"/>
        <w:ind w:firstLine="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w:t>
      </w:r>
      <w:r>
        <w:rPr>
          <w:rFonts w:hint="eastAsia" w:ascii="宋体" w:hAnsi="宋体" w:eastAsia="宋体" w:cs="宋体"/>
          <w:color w:val="auto"/>
          <w:highlight w:val="none"/>
        </w:rPr>
        <w:t>.</w:t>
      </w:r>
      <w:r>
        <w:rPr>
          <w:rFonts w:hint="eastAsia" w:ascii="宋体" w:hAnsi="宋体" w:eastAsia="宋体" w:cs="宋体"/>
          <w:color w:val="auto"/>
          <w:highlight w:val="none"/>
          <w:lang w:val="zh-CN"/>
        </w:rPr>
        <w:t>商务条款（交付期限</w:t>
      </w:r>
      <w:r>
        <w:rPr>
          <w:rFonts w:hint="eastAsia" w:ascii="宋体" w:hAnsi="宋体" w:eastAsia="宋体" w:cs="宋体"/>
          <w:color w:val="auto"/>
          <w:highlight w:val="none"/>
        </w:rPr>
        <w:t>、</w:t>
      </w:r>
      <w:r>
        <w:rPr>
          <w:rFonts w:hint="eastAsia" w:ascii="宋体" w:hAnsi="宋体" w:eastAsia="宋体" w:cs="宋体"/>
          <w:color w:val="auto"/>
          <w:highlight w:val="none"/>
          <w:lang w:val="zh-CN"/>
        </w:rPr>
        <w:t>付款方式）出现负偏离者，不得中标。</w:t>
      </w:r>
    </w:p>
    <w:p w14:paraId="38145751">
      <w:pPr>
        <w:pStyle w:val="193"/>
        <w:spacing w:line="360" w:lineRule="auto"/>
        <w:ind w:firstLine="0"/>
        <w:rPr>
          <w:rFonts w:hint="eastAsia" w:ascii="宋体" w:hAnsi="宋体" w:eastAsia="宋体" w:cs="宋体"/>
          <w:color w:val="auto"/>
          <w:highlight w:val="none"/>
        </w:rPr>
      </w:pPr>
    </w:p>
    <w:p w14:paraId="60BF4566">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投标人（单位盖章）：</w:t>
      </w:r>
    </w:p>
    <w:p w14:paraId="3B0A3FDA">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法定代表人或被授权人（签字或盖章）：                         年  月  日</w:t>
      </w:r>
    </w:p>
    <w:p w14:paraId="684F8812">
      <w:pPr>
        <w:rPr>
          <w:rFonts w:hint="eastAsia" w:ascii="宋体" w:hAnsi="宋体" w:eastAsia="宋体" w:cs="宋体"/>
          <w:b w:val="0"/>
          <w:color w:val="auto"/>
          <w:highlight w:val="none"/>
        </w:rPr>
      </w:pPr>
      <w:bookmarkStart w:id="49" w:name="_Ref501489596"/>
      <w:r>
        <w:rPr>
          <w:rFonts w:hint="eastAsia" w:ascii="宋体" w:hAnsi="宋体" w:eastAsia="宋体" w:cs="宋体"/>
          <w:b w:val="0"/>
          <w:color w:val="auto"/>
          <w:highlight w:val="none"/>
        </w:rPr>
        <w:br w:type="page"/>
      </w:r>
    </w:p>
    <w:p w14:paraId="346356C2">
      <w:pPr>
        <w:pStyle w:val="39"/>
        <w:spacing w:line="416" w:lineRule="auto"/>
        <w:rPr>
          <w:rFonts w:hint="eastAsia" w:ascii="宋体" w:hAnsi="宋体" w:eastAsia="宋体" w:cs="宋体"/>
          <w:b w:val="0"/>
          <w:color w:val="auto"/>
          <w:highlight w:val="none"/>
        </w:rPr>
      </w:pPr>
      <w:bookmarkStart w:id="50" w:name="_Toc17546"/>
      <w:r>
        <w:rPr>
          <w:rFonts w:hint="eastAsia" w:ascii="宋体" w:hAnsi="宋体" w:eastAsia="宋体" w:cs="宋体"/>
          <w:b w:val="0"/>
          <w:color w:val="auto"/>
          <w:highlight w:val="none"/>
        </w:rPr>
        <w:t>1</w:t>
      </w:r>
      <w:r>
        <w:rPr>
          <w:rFonts w:hint="eastAsia" w:ascii="宋体" w:hAnsi="宋体" w:eastAsia="宋体" w:cs="宋体"/>
          <w:b w:val="0"/>
          <w:color w:val="auto"/>
          <w:highlight w:val="none"/>
          <w:lang w:val="en-US" w:eastAsia="zh-CN"/>
        </w:rPr>
        <w:t>2</w:t>
      </w:r>
      <w:r>
        <w:rPr>
          <w:rFonts w:hint="eastAsia" w:ascii="宋体" w:hAnsi="宋体" w:eastAsia="宋体" w:cs="宋体"/>
          <w:b w:val="0"/>
          <w:color w:val="auto"/>
          <w:highlight w:val="none"/>
        </w:rPr>
        <w:t>.偏离表（技术）</w:t>
      </w:r>
      <w:bookmarkEnd w:id="49"/>
      <w:bookmarkEnd w:id="50"/>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1944"/>
        <w:gridCol w:w="2318"/>
      </w:tblGrid>
      <w:tr w14:paraId="0A954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3FDCD23C">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项      目</w:t>
            </w:r>
          </w:p>
        </w:tc>
        <w:tc>
          <w:tcPr>
            <w:tcW w:w="2130" w:type="dxa"/>
            <w:noWrap w:val="0"/>
            <w:vAlign w:val="top"/>
          </w:tcPr>
          <w:p w14:paraId="6D595C65">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招标要求（详见招标文件）</w:t>
            </w:r>
          </w:p>
        </w:tc>
        <w:tc>
          <w:tcPr>
            <w:tcW w:w="1944" w:type="dxa"/>
            <w:noWrap w:val="0"/>
            <w:vAlign w:val="top"/>
          </w:tcPr>
          <w:p w14:paraId="35296DEE">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投标内容（响应情况）</w:t>
            </w:r>
          </w:p>
        </w:tc>
        <w:tc>
          <w:tcPr>
            <w:tcW w:w="2318" w:type="dxa"/>
            <w:noWrap w:val="0"/>
            <w:vAlign w:val="top"/>
          </w:tcPr>
          <w:p w14:paraId="65314F38">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偏离说明（正偏离、无偏离、负偏离）</w:t>
            </w:r>
          </w:p>
        </w:tc>
      </w:tr>
      <w:tr w14:paraId="124A1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72F30B33">
            <w:pPr>
              <w:pStyle w:val="193"/>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标的物</w:t>
            </w:r>
          </w:p>
        </w:tc>
        <w:tc>
          <w:tcPr>
            <w:tcW w:w="2130" w:type="dxa"/>
            <w:noWrap w:val="0"/>
            <w:vAlign w:val="top"/>
          </w:tcPr>
          <w:p w14:paraId="1F7B1CC4">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1403F76A">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73FBF325">
            <w:pPr>
              <w:pStyle w:val="193"/>
              <w:spacing w:line="360" w:lineRule="auto"/>
              <w:ind w:firstLine="0"/>
              <w:rPr>
                <w:rFonts w:hint="eastAsia" w:ascii="宋体" w:hAnsi="宋体" w:eastAsia="宋体" w:cs="宋体"/>
                <w:color w:val="auto"/>
                <w:highlight w:val="none"/>
              </w:rPr>
            </w:pPr>
          </w:p>
        </w:tc>
      </w:tr>
      <w:tr w14:paraId="4D5DA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79926C3C">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130" w:type="dxa"/>
            <w:noWrap w:val="0"/>
            <w:vAlign w:val="top"/>
          </w:tcPr>
          <w:p w14:paraId="20EF8585">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79C2EC36">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3F85CDA4">
            <w:pPr>
              <w:pStyle w:val="193"/>
              <w:spacing w:line="360" w:lineRule="auto"/>
              <w:ind w:firstLine="0"/>
              <w:rPr>
                <w:rFonts w:hint="eastAsia" w:ascii="宋体" w:hAnsi="宋体" w:eastAsia="宋体" w:cs="宋体"/>
                <w:color w:val="auto"/>
                <w:highlight w:val="none"/>
              </w:rPr>
            </w:pPr>
          </w:p>
        </w:tc>
      </w:tr>
      <w:tr w14:paraId="2B47A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0AB06982">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130" w:type="dxa"/>
            <w:noWrap w:val="0"/>
            <w:vAlign w:val="top"/>
          </w:tcPr>
          <w:p w14:paraId="274D775B">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2CDCB242">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5069CEBA">
            <w:pPr>
              <w:pStyle w:val="193"/>
              <w:spacing w:line="360" w:lineRule="auto"/>
              <w:ind w:firstLine="0"/>
              <w:rPr>
                <w:rFonts w:hint="eastAsia" w:ascii="宋体" w:hAnsi="宋体" w:eastAsia="宋体" w:cs="宋体"/>
                <w:color w:val="auto"/>
                <w:highlight w:val="none"/>
              </w:rPr>
            </w:pPr>
          </w:p>
        </w:tc>
      </w:tr>
      <w:tr w14:paraId="226A4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5125F649">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130" w:type="dxa"/>
            <w:noWrap w:val="0"/>
            <w:vAlign w:val="top"/>
          </w:tcPr>
          <w:p w14:paraId="3282B087">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62CC53D3">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3B576685">
            <w:pPr>
              <w:pStyle w:val="193"/>
              <w:spacing w:line="360" w:lineRule="auto"/>
              <w:ind w:firstLine="0"/>
              <w:rPr>
                <w:rFonts w:hint="eastAsia" w:ascii="宋体" w:hAnsi="宋体" w:eastAsia="宋体" w:cs="宋体"/>
                <w:color w:val="auto"/>
                <w:highlight w:val="none"/>
              </w:rPr>
            </w:pPr>
          </w:p>
        </w:tc>
      </w:tr>
      <w:tr w14:paraId="28E97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noWrap w:val="0"/>
            <w:vAlign w:val="top"/>
          </w:tcPr>
          <w:p w14:paraId="5BD1FB0D">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…………（根据采购内容自行列明）</w:t>
            </w:r>
          </w:p>
        </w:tc>
        <w:tc>
          <w:tcPr>
            <w:tcW w:w="2130" w:type="dxa"/>
            <w:noWrap w:val="0"/>
            <w:vAlign w:val="top"/>
          </w:tcPr>
          <w:p w14:paraId="4870B243">
            <w:pPr>
              <w:pStyle w:val="193"/>
              <w:spacing w:line="360" w:lineRule="auto"/>
              <w:ind w:firstLine="0"/>
              <w:rPr>
                <w:rFonts w:hint="eastAsia" w:ascii="宋体" w:hAnsi="宋体" w:eastAsia="宋体" w:cs="宋体"/>
                <w:color w:val="auto"/>
                <w:highlight w:val="none"/>
              </w:rPr>
            </w:pPr>
          </w:p>
        </w:tc>
        <w:tc>
          <w:tcPr>
            <w:tcW w:w="1944" w:type="dxa"/>
            <w:noWrap w:val="0"/>
            <w:vAlign w:val="top"/>
          </w:tcPr>
          <w:p w14:paraId="0E33B553">
            <w:pPr>
              <w:pStyle w:val="193"/>
              <w:spacing w:line="360" w:lineRule="auto"/>
              <w:ind w:firstLine="0"/>
              <w:rPr>
                <w:rFonts w:hint="eastAsia" w:ascii="宋体" w:hAnsi="宋体" w:eastAsia="宋体" w:cs="宋体"/>
                <w:color w:val="auto"/>
                <w:highlight w:val="none"/>
              </w:rPr>
            </w:pPr>
          </w:p>
        </w:tc>
        <w:tc>
          <w:tcPr>
            <w:tcW w:w="2318" w:type="dxa"/>
            <w:noWrap w:val="0"/>
            <w:vAlign w:val="top"/>
          </w:tcPr>
          <w:p w14:paraId="25CFF45C">
            <w:pPr>
              <w:pStyle w:val="193"/>
              <w:spacing w:line="360" w:lineRule="auto"/>
              <w:ind w:firstLine="0"/>
              <w:rPr>
                <w:rFonts w:hint="eastAsia" w:ascii="宋体" w:hAnsi="宋体" w:eastAsia="宋体" w:cs="宋体"/>
                <w:color w:val="auto"/>
                <w:highlight w:val="none"/>
              </w:rPr>
            </w:pPr>
          </w:p>
        </w:tc>
      </w:tr>
    </w:tbl>
    <w:p w14:paraId="14CAA82D">
      <w:pPr>
        <w:rPr>
          <w:rFonts w:hint="eastAsia" w:ascii="宋体" w:hAnsi="宋体" w:eastAsia="宋体" w:cs="宋体"/>
          <w:color w:val="auto"/>
          <w:sz w:val="24"/>
          <w:szCs w:val="20"/>
          <w:highlight w:val="none"/>
          <w:lang w:val="zh-CN" w:eastAsia="zh-CN" w:bidi="ar-SA"/>
        </w:rPr>
      </w:pPr>
    </w:p>
    <w:p w14:paraId="7874D2A9">
      <w:pPr>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注：如有偏离，需在本表详细描述偏离情况，如投标人完全响应招标文件要求，可填写“无偏离”，未填写则默认投标人完全响应招标要求。</w:t>
      </w:r>
    </w:p>
    <w:p w14:paraId="43CF6263">
      <w:pPr>
        <w:pStyle w:val="193"/>
        <w:spacing w:line="360" w:lineRule="auto"/>
        <w:ind w:firstLine="0"/>
        <w:rPr>
          <w:rFonts w:hint="eastAsia" w:ascii="宋体" w:hAnsi="宋体" w:eastAsia="宋体" w:cs="宋体"/>
          <w:color w:val="auto"/>
          <w:highlight w:val="none"/>
        </w:rPr>
      </w:pPr>
    </w:p>
    <w:p w14:paraId="69C689CC">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投标人（单位盖章）：</w:t>
      </w:r>
    </w:p>
    <w:p w14:paraId="4C0084F8">
      <w:pPr>
        <w:pStyle w:val="193"/>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法定代表人或被授权人（签字或盖章）：                         年  月  日</w:t>
      </w:r>
      <w:r>
        <w:rPr>
          <w:rFonts w:hint="eastAsia" w:ascii="宋体" w:hAnsi="宋体" w:eastAsia="宋体" w:cs="宋体"/>
          <w:color w:val="auto"/>
          <w:highlight w:val="none"/>
        </w:rPr>
        <w:br w:type="page" w:clear="all"/>
      </w:r>
      <w:bookmarkStart w:id="51" w:name="_Ref501489748"/>
    </w:p>
    <w:p w14:paraId="5318381A">
      <w:pPr>
        <w:pStyle w:val="39"/>
        <w:spacing w:line="416" w:lineRule="auto"/>
        <w:rPr>
          <w:rFonts w:hint="eastAsia" w:ascii="宋体" w:hAnsi="宋体" w:eastAsia="宋体" w:cs="宋体"/>
          <w:b w:val="0"/>
          <w:color w:val="auto"/>
          <w:highlight w:val="none"/>
        </w:rPr>
      </w:pPr>
      <w:bookmarkStart w:id="52" w:name="_Ref79678842"/>
      <w:bookmarkStart w:id="53" w:name="_Toc18218"/>
      <w:r>
        <w:rPr>
          <w:rFonts w:hint="eastAsia" w:ascii="宋体" w:hAnsi="宋体" w:eastAsia="宋体" w:cs="宋体"/>
          <w:b w:val="0"/>
          <w:color w:val="auto"/>
          <w:highlight w:val="none"/>
        </w:rPr>
        <w:t>1</w:t>
      </w:r>
      <w:r>
        <w:rPr>
          <w:rFonts w:hint="eastAsia" w:ascii="宋体" w:hAnsi="宋体" w:eastAsia="宋体" w:cs="宋体"/>
          <w:b w:val="0"/>
          <w:color w:val="auto"/>
          <w:highlight w:val="none"/>
          <w:lang w:val="en-US" w:eastAsia="zh-CN"/>
        </w:rPr>
        <w:t>3</w:t>
      </w:r>
      <w:r>
        <w:rPr>
          <w:rFonts w:hint="eastAsia" w:ascii="宋体" w:hAnsi="宋体" w:eastAsia="宋体" w:cs="宋体"/>
          <w:b w:val="0"/>
          <w:color w:val="auto"/>
          <w:highlight w:val="none"/>
        </w:rPr>
        <w:t>.资格证明文件</w:t>
      </w:r>
      <w:bookmarkEnd w:id="51"/>
      <w:bookmarkEnd w:id="52"/>
      <w:bookmarkEnd w:id="53"/>
    </w:p>
    <w:p w14:paraId="33FD9BE8">
      <w:pPr>
        <w:pStyle w:val="193"/>
        <w:rPr>
          <w:rFonts w:hint="eastAsia" w:ascii="宋体" w:hAnsi="宋体" w:eastAsia="宋体" w:cs="宋体"/>
          <w:color w:val="auto"/>
          <w:highlight w:val="none"/>
        </w:rPr>
      </w:pPr>
      <w:r>
        <w:rPr>
          <w:rFonts w:hint="eastAsia" w:ascii="宋体" w:hAnsi="宋体" w:eastAsia="宋体" w:cs="宋体"/>
          <w:color w:val="auto"/>
          <w:highlight w:val="none"/>
        </w:rPr>
        <w:t>详见招标文件资格要求</w:t>
      </w:r>
    </w:p>
    <w:p w14:paraId="7BFE4442">
      <w:pPr>
        <w:pStyle w:val="39"/>
        <w:spacing w:line="416" w:lineRule="auto"/>
        <w:rPr>
          <w:rFonts w:hint="eastAsia" w:ascii="宋体" w:hAnsi="宋体" w:eastAsia="宋体" w:cs="宋体"/>
          <w:b w:val="0"/>
          <w:color w:val="auto"/>
          <w:highlight w:val="none"/>
        </w:rPr>
      </w:pPr>
      <w:bookmarkStart w:id="54" w:name="_Ref79412931"/>
      <w:r>
        <w:rPr>
          <w:rFonts w:hint="eastAsia" w:ascii="宋体" w:hAnsi="宋体" w:eastAsia="宋体" w:cs="宋体"/>
          <w:b w:val="0"/>
          <w:color w:val="auto"/>
          <w:highlight w:val="none"/>
        </w:rPr>
        <w:br w:type="page" w:clear="all"/>
      </w:r>
      <w:bookmarkEnd w:id="54"/>
      <w:bookmarkStart w:id="55" w:name="_Ref79412935"/>
      <w:bookmarkStart w:id="56" w:name="_Toc18294"/>
      <w:r>
        <w:rPr>
          <w:rFonts w:hint="eastAsia" w:ascii="宋体" w:hAnsi="宋体" w:eastAsia="宋体" w:cs="宋体"/>
          <w:b w:val="0"/>
          <w:color w:val="auto"/>
          <w:highlight w:val="none"/>
        </w:rPr>
        <w:t>1</w:t>
      </w:r>
      <w:r>
        <w:rPr>
          <w:rFonts w:hint="eastAsia" w:ascii="宋体" w:hAnsi="宋体" w:eastAsia="宋体" w:cs="宋体"/>
          <w:b w:val="0"/>
          <w:color w:val="auto"/>
          <w:highlight w:val="none"/>
          <w:lang w:val="en-US" w:eastAsia="zh-CN"/>
        </w:rPr>
        <w:t>4</w:t>
      </w:r>
      <w:r>
        <w:rPr>
          <w:rFonts w:hint="eastAsia" w:ascii="宋体" w:hAnsi="宋体" w:eastAsia="宋体" w:cs="宋体"/>
          <w:b w:val="0"/>
          <w:color w:val="auto"/>
          <w:highlight w:val="none"/>
        </w:rPr>
        <w:t>.远程参与开标会议诚信承诺书</w:t>
      </w:r>
      <w:bookmarkEnd w:id="55"/>
      <w:bookmarkEnd w:id="56"/>
    </w:p>
    <w:p w14:paraId="6D1840BC">
      <w:pPr>
        <w:spacing w:line="360" w:lineRule="auto"/>
        <w:ind w:firstLine="422"/>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远程参与开标会议诚信承诺书</w:t>
      </w:r>
    </w:p>
    <w:p w14:paraId="6908143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 (采购人)</w:t>
      </w:r>
    </w:p>
    <w:p w14:paraId="2EF140F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我方郑重承诺:遵循公开、公平、公正和诚实守信的原则，参加本次远程开标会议，是我方真实意思的表达。</w:t>
      </w:r>
    </w:p>
    <w:p w14:paraId="50D2EEA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一、不出借、买卖、伪造、涂改企业和从业人员的资质证书、营业执照、资格业绩、印章以及其他相关资信证明文件,严禁其他企业或个人以我公司的名义投标（响应）。</w:t>
      </w:r>
    </w:p>
    <w:p w14:paraId="73F32E0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二、严格遵守法律、法规和采购文件规定的投标（响应）程序。不隐瞒真实情况，不弄虚作假，不骗取投标（响应）和中标（成交）资格。</w:t>
      </w:r>
    </w:p>
    <w:p w14:paraId="32E057C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三、坚决抵制和杜绝串标、围标、哄抬报价、贿赂、回扣等违法投标（响应）和不正当竞争行为。</w:t>
      </w:r>
    </w:p>
    <w:p w14:paraId="4F02160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四、依法经营，公平竞争，不采取违法、违规或不正当手段损害、侵犯同行企业的正当权益。</w:t>
      </w:r>
    </w:p>
    <w:p w14:paraId="42568B8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p>
    <w:p w14:paraId="30E7431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确保设施、设备工况良好。我方将负责提前检查电力供应、网络环境和远程开标会议有关设施、设备的稳定性和安全性，因我方原因导致无法完成投标（响应）或者不能进行现场实时交互的，均由我方自行承担一切后果。</w:t>
      </w:r>
    </w:p>
    <w:p w14:paraId="2385C7C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七、不向采购人或评审专家或相关人员行贿，以牟取中标。</w:t>
      </w:r>
    </w:p>
    <w:p w14:paraId="3652B83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八、我方将在法律、法规框架允许的范围内就有关评审过程中的事项向管理人员提出咨询或疑问。</w:t>
      </w:r>
    </w:p>
    <w:p w14:paraId="119BC8B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九、我方若有违反承诺内容的行为，自愿接受取消投标（响应）资格、将不良行为记录记入档案、没收投标（响应）保证金等有关处理，并承担相应的法律责任。给采购人造成损失的，依法承担赔偿责任。</w:t>
      </w:r>
    </w:p>
    <w:p w14:paraId="186EBB7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承诺单位(盖章):</w:t>
      </w:r>
    </w:p>
    <w:p w14:paraId="1B22D85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法定代表人(签名):</w:t>
      </w:r>
    </w:p>
    <w:p w14:paraId="4942EE4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授权委托人(签名):</w:t>
      </w:r>
    </w:p>
    <w:p w14:paraId="29E2ADA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5AC660D7">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A842B5F">
      <w:pPr>
        <w:pStyle w:val="193"/>
        <w:rPr>
          <w:rFonts w:hint="eastAsia" w:ascii="宋体" w:hAnsi="宋体" w:eastAsia="宋体" w:cs="宋体"/>
          <w:color w:val="auto"/>
          <w:highlight w:val="none"/>
        </w:rPr>
      </w:pPr>
    </w:p>
    <w:p w14:paraId="49222B1D">
      <w:pPr>
        <w:pStyle w:val="594"/>
        <w:spacing w:before="0" w:after="0" w:line="360" w:lineRule="auto"/>
        <w:rPr>
          <w:rFonts w:hint="eastAsia" w:ascii="宋体" w:hAnsi="宋体" w:eastAsia="宋体" w:cs="宋体"/>
          <w:b w:val="0"/>
          <w:bCs/>
          <w:color w:val="auto"/>
          <w:spacing w:val="0"/>
          <w:sz w:val="32"/>
          <w:szCs w:val="32"/>
          <w:highlight w:val="none"/>
          <w:lang w:val="en-US" w:eastAsia="zh-CN" w:bidi="ar-SA"/>
        </w:rPr>
      </w:pPr>
      <w:bookmarkStart w:id="57" w:name="_Toc10044"/>
      <w:r>
        <w:rPr>
          <w:rFonts w:hint="eastAsia" w:ascii="宋体" w:hAnsi="宋体" w:eastAsia="宋体" w:cs="宋体"/>
          <w:b w:val="0"/>
          <w:bCs/>
          <w:color w:val="auto"/>
          <w:spacing w:val="0"/>
          <w:sz w:val="32"/>
          <w:szCs w:val="32"/>
          <w:highlight w:val="none"/>
          <w:lang w:val="en-US" w:eastAsia="zh-CN" w:bidi="ar-SA"/>
        </w:rPr>
        <w:t>15.人员配备一览表</w:t>
      </w:r>
      <w:bookmarkEnd w:id="57"/>
    </w:p>
    <w:p w14:paraId="7BB6EC9F">
      <w:pPr>
        <w:spacing w:line="360" w:lineRule="auto"/>
        <w:ind w:firstLine="422"/>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人员配备一览表</w:t>
      </w:r>
    </w:p>
    <w:tbl>
      <w:tblPr>
        <w:tblStyle w:val="32"/>
        <w:tblW w:w="50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846"/>
        <w:gridCol w:w="1760"/>
        <w:gridCol w:w="1981"/>
        <w:gridCol w:w="1164"/>
        <w:gridCol w:w="1165"/>
        <w:gridCol w:w="1165"/>
        <w:gridCol w:w="1159"/>
      </w:tblGrid>
      <w:tr w14:paraId="4304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7576DA77">
            <w:pPr>
              <w:spacing w:line="360" w:lineRule="auto"/>
              <w:jc w:val="center"/>
              <w:rPr>
                <w:rFonts w:hAnsi="宋体"/>
                <w:color w:val="auto"/>
                <w:szCs w:val="21"/>
                <w:highlight w:val="none"/>
              </w:rPr>
            </w:pPr>
            <w:r>
              <w:rPr>
                <w:rFonts w:hAnsi="宋体"/>
                <w:color w:val="auto"/>
                <w:szCs w:val="21"/>
                <w:highlight w:val="none"/>
              </w:rPr>
              <w:t>序号</w:t>
            </w:r>
          </w:p>
        </w:tc>
        <w:tc>
          <w:tcPr>
            <w:tcW w:w="417" w:type="dxa"/>
            <w:noWrap w:val="0"/>
            <w:vAlign w:val="center"/>
          </w:tcPr>
          <w:p w14:paraId="1AD115B2">
            <w:pPr>
              <w:spacing w:line="360" w:lineRule="auto"/>
              <w:jc w:val="center"/>
              <w:rPr>
                <w:rFonts w:hAnsi="宋体"/>
                <w:color w:val="auto"/>
                <w:szCs w:val="21"/>
                <w:highlight w:val="none"/>
              </w:rPr>
            </w:pPr>
            <w:r>
              <w:rPr>
                <w:rFonts w:hint="eastAsia" w:hAnsi="宋体"/>
                <w:color w:val="auto"/>
                <w:szCs w:val="21"/>
                <w:highlight w:val="none"/>
              </w:rPr>
              <w:t>姓名</w:t>
            </w:r>
          </w:p>
        </w:tc>
        <w:tc>
          <w:tcPr>
            <w:tcW w:w="886" w:type="dxa"/>
            <w:noWrap w:val="0"/>
            <w:vAlign w:val="center"/>
          </w:tcPr>
          <w:p w14:paraId="08C50B9D">
            <w:pPr>
              <w:spacing w:line="360" w:lineRule="auto"/>
              <w:jc w:val="center"/>
              <w:rPr>
                <w:rFonts w:hAnsi="宋体"/>
                <w:color w:val="auto"/>
                <w:szCs w:val="21"/>
                <w:highlight w:val="none"/>
              </w:rPr>
            </w:pPr>
            <w:r>
              <w:rPr>
                <w:rFonts w:hint="eastAsia" w:hAnsi="宋体"/>
                <w:color w:val="auto"/>
                <w:szCs w:val="21"/>
                <w:highlight w:val="none"/>
              </w:rPr>
              <w:t>身份证号码</w:t>
            </w:r>
          </w:p>
        </w:tc>
        <w:tc>
          <w:tcPr>
            <w:tcW w:w="997" w:type="dxa"/>
            <w:noWrap w:val="0"/>
            <w:vAlign w:val="center"/>
          </w:tcPr>
          <w:p w14:paraId="46550DDA">
            <w:pPr>
              <w:spacing w:line="360" w:lineRule="auto"/>
              <w:jc w:val="center"/>
              <w:rPr>
                <w:rFonts w:hAnsi="宋体"/>
                <w:color w:val="auto"/>
                <w:szCs w:val="21"/>
                <w:highlight w:val="none"/>
              </w:rPr>
            </w:pPr>
            <w:r>
              <w:rPr>
                <w:rFonts w:hint="eastAsia" w:hAnsi="宋体"/>
                <w:color w:val="auto"/>
                <w:szCs w:val="21"/>
                <w:highlight w:val="none"/>
              </w:rPr>
              <w:t>岗位名称</w:t>
            </w:r>
          </w:p>
        </w:tc>
        <w:tc>
          <w:tcPr>
            <w:tcW w:w="586" w:type="dxa"/>
            <w:noWrap w:val="0"/>
            <w:vAlign w:val="center"/>
          </w:tcPr>
          <w:p w14:paraId="1195D967">
            <w:pPr>
              <w:spacing w:line="360" w:lineRule="auto"/>
              <w:jc w:val="center"/>
              <w:rPr>
                <w:rFonts w:hAnsi="宋体"/>
                <w:color w:val="auto"/>
                <w:szCs w:val="21"/>
                <w:highlight w:val="none"/>
              </w:rPr>
            </w:pPr>
            <w:r>
              <w:rPr>
                <w:rFonts w:hint="eastAsia" w:hAnsi="宋体"/>
                <w:color w:val="auto"/>
                <w:szCs w:val="21"/>
                <w:highlight w:val="none"/>
              </w:rPr>
              <w:t>性别</w:t>
            </w:r>
          </w:p>
        </w:tc>
        <w:tc>
          <w:tcPr>
            <w:tcW w:w="586" w:type="dxa"/>
            <w:noWrap w:val="0"/>
            <w:vAlign w:val="center"/>
          </w:tcPr>
          <w:p w14:paraId="56A83D37">
            <w:pPr>
              <w:spacing w:line="360" w:lineRule="auto"/>
              <w:jc w:val="center"/>
              <w:rPr>
                <w:rFonts w:hint="eastAsia" w:hAnsi="宋体"/>
                <w:color w:val="auto"/>
                <w:szCs w:val="21"/>
                <w:highlight w:val="none"/>
              </w:rPr>
            </w:pPr>
            <w:r>
              <w:rPr>
                <w:rFonts w:hint="eastAsia" w:hAnsi="宋体"/>
                <w:color w:val="auto"/>
                <w:szCs w:val="21"/>
                <w:highlight w:val="none"/>
              </w:rPr>
              <w:t>年龄</w:t>
            </w:r>
          </w:p>
        </w:tc>
        <w:tc>
          <w:tcPr>
            <w:tcW w:w="586" w:type="dxa"/>
            <w:noWrap w:val="0"/>
            <w:vAlign w:val="center"/>
          </w:tcPr>
          <w:p w14:paraId="58EA4FB6">
            <w:pPr>
              <w:spacing w:line="360" w:lineRule="auto"/>
              <w:jc w:val="center"/>
              <w:rPr>
                <w:rFonts w:hint="eastAsia" w:hAnsi="宋体"/>
                <w:color w:val="auto"/>
                <w:szCs w:val="21"/>
                <w:highlight w:val="none"/>
              </w:rPr>
            </w:pPr>
            <w:r>
              <w:rPr>
                <w:rFonts w:hint="eastAsia" w:hAnsi="宋体"/>
                <w:color w:val="auto"/>
                <w:szCs w:val="21"/>
                <w:highlight w:val="none"/>
              </w:rPr>
              <w:t>学历</w:t>
            </w:r>
          </w:p>
        </w:tc>
        <w:tc>
          <w:tcPr>
            <w:tcW w:w="583" w:type="dxa"/>
            <w:noWrap w:val="0"/>
            <w:vAlign w:val="center"/>
          </w:tcPr>
          <w:p w14:paraId="71FB9953">
            <w:pPr>
              <w:spacing w:line="360" w:lineRule="auto"/>
              <w:jc w:val="center"/>
              <w:rPr>
                <w:rFonts w:hint="eastAsia" w:hAnsi="宋体"/>
                <w:color w:val="auto"/>
                <w:szCs w:val="21"/>
                <w:highlight w:val="none"/>
              </w:rPr>
            </w:pPr>
            <w:r>
              <w:rPr>
                <w:rFonts w:hint="eastAsia" w:hAnsi="宋体"/>
                <w:color w:val="auto"/>
                <w:szCs w:val="21"/>
                <w:highlight w:val="none"/>
              </w:rPr>
              <w:t>证书</w:t>
            </w:r>
          </w:p>
        </w:tc>
      </w:tr>
      <w:tr w14:paraId="3730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207A1E11">
            <w:pPr>
              <w:spacing w:line="360" w:lineRule="auto"/>
              <w:jc w:val="center"/>
              <w:rPr>
                <w:rFonts w:hAnsi="宋体"/>
                <w:color w:val="auto"/>
                <w:szCs w:val="21"/>
                <w:highlight w:val="none"/>
              </w:rPr>
            </w:pPr>
            <w:r>
              <w:rPr>
                <w:rFonts w:hAnsi="宋体"/>
                <w:color w:val="auto"/>
                <w:szCs w:val="21"/>
                <w:highlight w:val="none"/>
              </w:rPr>
              <w:t>1</w:t>
            </w:r>
          </w:p>
        </w:tc>
        <w:tc>
          <w:tcPr>
            <w:tcW w:w="417" w:type="dxa"/>
            <w:noWrap w:val="0"/>
            <w:vAlign w:val="center"/>
          </w:tcPr>
          <w:p w14:paraId="3A056EEB">
            <w:pPr>
              <w:spacing w:line="360" w:lineRule="auto"/>
              <w:jc w:val="center"/>
              <w:rPr>
                <w:rFonts w:hAnsi="宋体"/>
                <w:color w:val="auto"/>
                <w:szCs w:val="21"/>
                <w:highlight w:val="none"/>
              </w:rPr>
            </w:pPr>
          </w:p>
        </w:tc>
        <w:tc>
          <w:tcPr>
            <w:tcW w:w="886" w:type="dxa"/>
            <w:noWrap w:val="0"/>
            <w:vAlign w:val="center"/>
          </w:tcPr>
          <w:p w14:paraId="4A3C0B02">
            <w:pPr>
              <w:spacing w:line="360" w:lineRule="auto"/>
              <w:jc w:val="center"/>
              <w:rPr>
                <w:rFonts w:hAnsi="宋体"/>
                <w:color w:val="auto"/>
                <w:szCs w:val="21"/>
                <w:highlight w:val="none"/>
              </w:rPr>
            </w:pPr>
          </w:p>
        </w:tc>
        <w:tc>
          <w:tcPr>
            <w:tcW w:w="997" w:type="dxa"/>
            <w:noWrap w:val="0"/>
            <w:vAlign w:val="center"/>
          </w:tcPr>
          <w:p w14:paraId="322D7792">
            <w:pPr>
              <w:spacing w:line="360" w:lineRule="auto"/>
              <w:jc w:val="center"/>
              <w:rPr>
                <w:rFonts w:hAnsi="宋体"/>
                <w:color w:val="auto"/>
                <w:szCs w:val="21"/>
                <w:highlight w:val="none"/>
              </w:rPr>
            </w:pPr>
          </w:p>
        </w:tc>
        <w:tc>
          <w:tcPr>
            <w:tcW w:w="586" w:type="dxa"/>
            <w:noWrap w:val="0"/>
            <w:vAlign w:val="center"/>
          </w:tcPr>
          <w:p w14:paraId="1EA349C1">
            <w:pPr>
              <w:spacing w:line="360" w:lineRule="auto"/>
              <w:jc w:val="center"/>
              <w:rPr>
                <w:rFonts w:hAnsi="宋体"/>
                <w:color w:val="auto"/>
                <w:szCs w:val="21"/>
                <w:highlight w:val="none"/>
              </w:rPr>
            </w:pPr>
          </w:p>
        </w:tc>
        <w:tc>
          <w:tcPr>
            <w:tcW w:w="586" w:type="dxa"/>
            <w:noWrap w:val="0"/>
            <w:vAlign w:val="center"/>
          </w:tcPr>
          <w:p w14:paraId="1A367BB8">
            <w:pPr>
              <w:spacing w:line="360" w:lineRule="auto"/>
              <w:jc w:val="center"/>
              <w:rPr>
                <w:rFonts w:hAnsi="宋体"/>
                <w:color w:val="auto"/>
                <w:szCs w:val="21"/>
                <w:highlight w:val="none"/>
              </w:rPr>
            </w:pPr>
          </w:p>
        </w:tc>
        <w:tc>
          <w:tcPr>
            <w:tcW w:w="586" w:type="dxa"/>
            <w:noWrap w:val="0"/>
            <w:vAlign w:val="center"/>
          </w:tcPr>
          <w:p w14:paraId="221C2B90">
            <w:pPr>
              <w:spacing w:line="360" w:lineRule="auto"/>
              <w:jc w:val="center"/>
              <w:rPr>
                <w:rFonts w:hAnsi="宋体"/>
                <w:color w:val="auto"/>
                <w:szCs w:val="21"/>
                <w:highlight w:val="none"/>
              </w:rPr>
            </w:pPr>
          </w:p>
        </w:tc>
        <w:tc>
          <w:tcPr>
            <w:tcW w:w="583" w:type="dxa"/>
            <w:noWrap w:val="0"/>
            <w:vAlign w:val="center"/>
          </w:tcPr>
          <w:p w14:paraId="33A6E437">
            <w:pPr>
              <w:spacing w:line="360" w:lineRule="auto"/>
              <w:jc w:val="center"/>
              <w:rPr>
                <w:rFonts w:hAnsi="宋体"/>
                <w:color w:val="auto"/>
                <w:szCs w:val="21"/>
                <w:highlight w:val="none"/>
              </w:rPr>
            </w:pPr>
          </w:p>
        </w:tc>
      </w:tr>
      <w:tr w14:paraId="2F37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021D6B25">
            <w:pPr>
              <w:pStyle w:val="596"/>
              <w:spacing w:line="360" w:lineRule="auto"/>
              <w:jc w:val="center"/>
              <w:rPr>
                <w:rFonts w:hAnsi="宋体" w:eastAsia="宋体"/>
                <w:color w:val="auto"/>
                <w:sz w:val="21"/>
                <w:szCs w:val="21"/>
                <w:highlight w:val="none"/>
              </w:rPr>
            </w:pPr>
            <w:r>
              <w:rPr>
                <w:rFonts w:hint="eastAsia" w:hAnsi="宋体" w:eastAsia="宋体"/>
                <w:color w:val="auto"/>
                <w:sz w:val="21"/>
                <w:szCs w:val="21"/>
                <w:highlight w:val="none"/>
              </w:rPr>
              <w:t>2</w:t>
            </w:r>
          </w:p>
        </w:tc>
        <w:tc>
          <w:tcPr>
            <w:tcW w:w="417" w:type="dxa"/>
            <w:noWrap w:val="0"/>
            <w:vAlign w:val="center"/>
          </w:tcPr>
          <w:p w14:paraId="1F25DFA8">
            <w:pPr>
              <w:pStyle w:val="596"/>
              <w:spacing w:line="360" w:lineRule="auto"/>
              <w:jc w:val="center"/>
              <w:rPr>
                <w:rFonts w:hAnsi="宋体" w:eastAsia="宋体"/>
                <w:color w:val="auto"/>
                <w:sz w:val="21"/>
                <w:szCs w:val="21"/>
                <w:highlight w:val="none"/>
              </w:rPr>
            </w:pPr>
          </w:p>
        </w:tc>
        <w:tc>
          <w:tcPr>
            <w:tcW w:w="886" w:type="dxa"/>
            <w:noWrap w:val="0"/>
            <w:vAlign w:val="center"/>
          </w:tcPr>
          <w:p w14:paraId="5D4BCBE9">
            <w:pPr>
              <w:pStyle w:val="596"/>
              <w:spacing w:line="360" w:lineRule="auto"/>
              <w:jc w:val="center"/>
              <w:rPr>
                <w:rFonts w:hAnsi="宋体" w:eastAsia="宋体"/>
                <w:color w:val="auto"/>
                <w:sz w:val="21"/>
                <w:szCs w:val="21"/>
                <w:highlight w:val="none"/>
              </w:rPr>
            </w:pPr>
          </w:p>
        </w:tc>
        <w:tc>
          <w:tcPr>
            <w:tcW w:w="997" w:type="dxa"/>
            <w:noWrap w:val="0"/>
            <w:vAlign w:val="center"/>
          </w:tcPr>
          <w:p w14:paraId="51452C56">
            <w:pPr>
              <w:pStyle w:val="596"/>
              <w:spacing w:line="360" w:lineRule="auto"/>
              <w:jc w:val="center"/>
              <w:rPr>
                <w:rFonts w:hAnsi="宋体" w:eastAsia="宋体"/>
                <w:color w:val="auto"/>
                <w:sz w:val="21"/>
                <w:szCs w:val="21"/>
                <w:highlight w:val="none"/>
              </w:rPr>
            </w:pPr>
          </w:p>
        </w:tc>
        <w:tc>
          <w:tcPr>
            <w:tcW w:w="586" w:type="dxa"/>
            <w:noWrap w:val="0"/>
            <w:vAlign w:val="center"/>
          </w:tcPr>
          <w:p w14:paraId="1EF5CD2D">
            <w:pPr>
              <w:pStyle w:val="596"/>
              <w:spacing w:line="360" w:lineRule="auto"/>
              <w:jc w:val="center"/>
              <w:rPr>
                <w:rFonts w:hAnsi="宋体" w:eastAsia="宋体"/>
                <w:color w:val="auto"/>
                <w:sz w:val="21"/>
                <w:szCs w:val="21"/>
                <w:highlight w:val="none"/>
              </w:rPr>
            </w:pPr>
          </w:p>
        </w:tc>
        <w:tc>
          <w:tcPr>
            <w:tcW w:w="586" w:type="dxa"/>
            <w:noWrap w:val="0"/>
            <w:vAlign w:val="center"/>
          </w:tcPr>
          <w:p w14:paraId="70A46BAE">
            <w:pPr>
              <w:pStyle w:val="596"/>
              <w:spacing w:line="360" w:lineRule="auto"/>
              <w:jc w:val="center"/>
              <w:rPr>
                <w:rFonts w:hAnsi="宋体" w:eastAsia="宋体"/>
                <w:color w:val="auto"/>
                <w:sz w:val="21"/>
                <w:szCs w:val="21"/>
                <w:highlight w:val="none"/>
              </w:rPr>
            </w:pPr>
          </w:p>
        </w:tc>
        <w:tc>
          <w:tcPr>
            <w:tcW w:w="586" w:type="dxa"/>
            <w:noWrap w:val="0"/>
            <w:vAlign w:val="center"/>
          </w:tcPr>
          <w:p w14:paraId="4E5B301F">
            <w:pPr>
              <w:pStyle w:val="596"/>
              <w:spacing w:line="360" w:lineRule="auto"/>
              <w:jc w:val="center"/>
              <w:rPr>
                <w:rFonts w:hAnsi="宋体" w:eastAsia="宋体"/>
                <w:color w:val="auto"/>
                <w:sz w:val="21"/>
                <w:szCs w:val="21"/>
                <w:highlight w:val="none"/>
              </w:rPr>
            </w:pPr>
          </w:p>
        </w:tc>
        <w:tc>
          <w:tcPr>
            <w:tcW w:w="583" w:type="dxa"/>
            <w:noWrap w:val="0"/>
            <w:vAlign w:val="center"/>
          </w:tcPr>
          <w:p w14:paraId="420B41AD">
            <w:pPr>
              <w:pStyle w:val="596"/>
              <w:spacing w:line="360" w:lineRule="auto"/>
              <w:jc w:val="center"/>
              <w:rPr>
                <w:rFonts w:hAnsi="宋体" w:eastAsia="宋体"/>
                <w:color w:val="auto"/>
                <w:sz w:val="21"/>
                <w:szCs w:val="21"/>
                <w:highlight w:val="none"/>
              </w:rPr>
            </w:pPr>
          </w:p>
        </w:tc>
      </w:tr>
      <w:tr w14:paraId="1566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41968929">
            <w:pPr>
              <w:pStyle w:val="596"/>
              <w:spacing w:line="360" w:lineRule="auto"/>
              <w:jc w:val="center"/>
              <w:rPr>
                <w:rFonts w:hAnsi="宋体" w:eastAsia="宋体"/>
                <w:color w:val="auto"/>
                <w:sz w:val="21"/>
                <w:szCs w:val="21"/>
                <w:highlight w:val="none"/>
              </w:rPr>
            </w:pPr>
            <w:r>
              <w:rPr>
                <w:rFonts w:hint="eastAsia" w:hAnsi="宋体" w:eastAsia="宋体"/>
                <w:color w:val="auto"/>
                <w:sz w:val="21"/>
                <w:szCs w:val="21"/>
                <w:highlight w:val="none"/>
              </w:rPr>
              <w:t>3</w:t>
            </w:r>
          </w:p>
        </w:tc>
        <w:tc>
          <w:tcPr>
            <w:tcW w:w="417" w:type="dxa"/>
            <w:noWrap w:val="0"/>
            <w:vAlign w:val="center"/>
          </w:tcPr>
          <w:p w14:paraId="57A8C738">
            <w:pPr>
              <w:pStyle w:val="596"/>
              <w:spacing w:line="360" w:lineRule="auto"/>
              <w:jc w:val="center"/>
              <w:rPr>
                <w:rFonts w:hAnsi="宋体" w:eastAsia="宋体"/>
                <w:color w:val="auto"/>
                <w:sz w:val="21"/>
                <w:szCs w:val="21"/>
                <w:highlight w:val="none"/>
              </w:rPr>
            </w:pPr>
          </w:p>
        </w:tc>
        <w:tc>
          <w:tcPr>
            <w:tcW w:w="886" w:type="dxa"/>
            <w:noWrap w:val="0"/>
            <w:vAlign w:val="center"/>
          </w:tcPr>
          <w:p w14:paraId="18C1ABB5">
            <w:pPr>
              <w:pStyle w:val="596"/>
              <w:spacing w:line="360" w:lineRule="auto"/>
              <w:jc w:val="center"/>
              <w:rPr>
                <w:rFonts w:hAnsi="宋体" w:eastAsia="宋体"/>
                <w:color w:val="auto"/>
                <w:sz w:val="21"/>
                <w:szCs w:val="21"/>
                <w:highlight w:val="none"/>
              </w:rPr>
            </w:pPr>
          </w:p>
        </w:tc>
        <w:tc>
          <w:tcPr>
            <w:tcW w:w="997" w:type="dxa"/>
            <w:noWrap w:val="0"/>
            <w:vAlign w:val="center"/>
          </w:tcPr>
          <w:p w14:paraId="54899309">
            <w:pPr>
              <w:pStyle w:val="596"/>
              <w:spacing w:line="360" w:lineRule="auto"/>
              <w:jc w:val="center"/>
              <w:rPr>
                <w:rFonts w:hAnsi="宋体" w:eastAsia="宋体"/>
                <w:color w:val="auto"/>
                <w:sz w:val="21"/>
                <w:szCs w:val="21"/>
                <w:highlight w:val="none"/>
              </w:rPr>
            </w:pPr>
          </w:p>
        </w:tc>
        <w:tc>
          <w:tcPr>
            <w:tcW w:w="586" w:type="dxa"/>
            <w:noWrap w:val="0"/>
            <w:vAlign w:val="center"/>
          </w:tcPr>
          <w:p w14:paraId="12020953">
            <w:pPr>
              <w:pStyle w:val="596"/>
              <w:spacing w:line="360" w:lineRule="auto"/>
              <w:jc w:val="center"/>
              <w:rPr>
                <w:rFonts w:hAnsi="宋体" w:eastAsia="宋体"/>
                <w:color w:val="auto"/>
                <w:sz w:val="21"/>
                <w:szCs w:val="21"/>
                <w:highlight w:val="none"/>
              </w:rPr>
            </w:pPr>
          </w:p>
        </w:tc>
        <w:tc>
          <w:tcPr>
            <w:tcW w:w="586" w:type="dxa"/>
            <w:noWrap w:val="0"/>
            <w:vAlign w:val="center"/>
          </w:tcPr>
          <w:p w14:paraId="76A07EC3">
            <w:pPr>
              <w:pStyle w:val="596"/>
              <w:spacing w:line="360" w:lineRule="auto"/>
              <w:jc w:val="center"/>
              <w:rPr>
                <w:rFonts w:hAnsi="宋体" w:eastAsia="宋体"/>
                <w:color w:val="auto"/>
                <w:sz w:val="21"/>
                <w:szCs w:val="21"/>
                <w:highlight w:val="none"/>
              </w:rPr>
            </w:pPr>
          </w:p>
        </w:tc>
        <w:tc>
          <w:tcPr>
            <w:tcW w:w="586" w:type="dxa"/>
            <w:noWrap w:val="0"/>
            <w:vAlign w:val="center"/>
          </w:tcPr>
          <w:p w14:paraId="54765C78">
            <w:pPr>
              <w:pStyle w:val="596"/>
              <w:spacing w:line="360" w:lineRule="auto"/>
              <w:jc w:val="center"/>
              <w:rPr>
                <w:rFonts w:hAnsi="宋体" w:eastAsia="宋体"/>
                <w:color w:val="auto"/>
                <w:sz w:val="21"/>
                <w:szCs w:val="21"/>
                <w:highlight w:val="none"/>
              </w:rPr>
            </w:pPr>
          </w:p>
        </w:tc>
        <w:tc>
          <w:tcPr>
            <w:tcW w:w="583" w:type="dxa"/>
            <w:noWrap w:val="0"/>
            <w:vAlign w:val="center"/>
          </w:tcPr>
          <w:p w14:paraId="00DC1317">
            <w:pPr>
              <w:pStyle w:val="596"/>
              <w:spacing w:line="360" w:lineRule="auto"/>
              <w:jc w:val="center"/>
              <w:rPr>
                <w:rFonts w:hAnsi="宋体" w:eastAsia="宋体"/>
                <w:color w:val="auto"/>
                <w:sz w:val="21"/>
                <w:szCs w:val="21"/>
                <w:highlight w:val="none"/>
              </w:rPr>
            </w:pPr>
          </w:p>
        </w:tc>
      </w:tr>
      <w:tr w14:paraId="1338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71081AA7">
            <w:pPr>
              <w:pStyle w:val="596"/>
              <w:spacing w:line="360" w:lineRule="auto"/>
              <w:jc w:val="center"/>
              <w:rPr>
                <w:rFonts w:hAnsi="宋体" w:eastAsia="宋体"/>
                <w:color w:val="auto"/>
                <w:sz w:val="21"/>
                <w:szCs w:val="21"/>
                <w:highlight w:val="none"/>
              </w:rPr>
            </w:pPr>
            <w:r>
              <w:rPr>
                <w:rFonts w:hint="eastAsia" w:hAnsi="宋体" w:eastAsia="宋体"/>
                <w:color w:val="auto"/>
                <w:sz w:val="21"/>
                <w:szCs w:val="21"/>
                <w:highlight w:val="none"/>
              </w:rPr>
              <w:t>4</w:t>
            </w:r>
          </w:p>
        </w:tc>
        <w:tc>
          <w:tcPr>
            <w:tcW w:w="417" w:type="dxa"/>
            <w:noWrap w:val="0"/>
            <w:vAlign w:val="center"/>
          </w:tcPr>
          <w:p w14:paraId="7A96BB72">
            <w:pPr>
              <w:pStyle w:val="596"/>
              <w:spacing w:line="360" w:lineRule="auto"/>
              <w:jc w:val="center"/>
              <w:rPr>
                <w:rFonts w:hAnsi="宋体" w:eastAsia="宋体"/>
                <w:color w:val="auto"/>
                <w:sz w:val="21"/>
                <w:szCs w:val="21"/>
                <w:highlight w:val="none"/>
              </w:rPr>
            </w:pPr>
          </w:p>
        </w:tc>
        <w:tc>
          <w:tcPr>
            <w:tcW w:w="886" w:type="dxa"/>
            <w:noWrap w:val="0"/>
            <w:vAlign w:val="center"/>
          </w:tcPr>
          <w:p w14:paraId="2AC804F6">
            <w:pPr>
              <w:pStyle w:val="596"/>
              <w:spacing w:line="360" w:lineRule="auto"/>
              <w:jc w:val="center"/>
              <w:rPr>
                <w:rFonts w:hAnsi="宋体" w:eastAsia="宋体"/>
                <w:color w:val="auto"/>
                <w:sz w:val="21"/>
                <w:szCs w:val="21"/>
                <w:highlight w:val="none"/>
              </w:rPr>
            </w:pPr>
          </w:p>
        </w:tc>
        <w:tc>
          <w:tcPr>
            <w:tcW w:w="997" w:type="dxa"/>
            <w:noWrap w:val="0"/>
            <w:vAlign w:val="center"/>
          </w:tcPr>
          <w:p w14:paraId="0525DEED">
            <w:pPr>
              <w:pStyle w:val="596"/>
              <w:spacing w:line="360" w:lineRule="auto"/>
              <w:jc w:val="center"/>
              <w:rPr>
                <w:rFonts w:hAnsi="宋体" w:eastAsia="宋体"/>
                <w:color w:val="auto"/>
                <w:sz w:val="21"/>
                <w:szCs w:val="21"/>
                <w:highlight w:val="none"/>
              </w:rPr>
            </w:pPr>
          </w:p>
        </w:tc>
        <w:tc>
          <w:tcPr>
            <w:tcW w:w="586" w:type="dxa"/>
            <w:noWrap w:val="0"/>
            <w:vAlign w:val="center"/>
          </w:tcPr>
          <w:p w14:paraId="24BA9409">
            <w:pPr>
              <w:pStyle w:val="596"/>
              <w:spacing w:line="360" w:lineRule="auto"/>
              <w:jc w:val="center"/>
              <w:rPr>
                <w:rFonts w:hAnsi="宋体" w:eastAsia="宋体"/>
                <w:color w:val="auto"/>
                <w:sz w:val="21"/>
                <w:szCs w:val="21"/>
                <w:highlight w:val="none"/>
              </w:rPr>
            </w:pPr>
          </w:p>
        </w:tc>
        <w:tc>
          <w:tcPr>
            <w:tcW w:w="586" w:type="dxa"/>
            <w:noWrap w:val="0"/>
            <w:vAlign w:val="center"/>
          </w:tcPr>
          <w:p w14:paraId="79C26303">
            <w:pPr>
              <w:pStyle w:val="596"/>
              <w:spacing w:line="360" w:lineRule="auto"/>
              <w:jc w:val="center"/>
              <w:rPr>
                <w:rFonts w:hAnsi="宋体" w:eastAsia="宋体"/>
                <w:color w:val="auto"/>
                <w:sz w:val="21"/>
                <w:szCs w:val="21"/>
                <w:highlight w:val="none"/>
              </w:rPr>
            </w:pPr>
          </w:p>
        </w:tc>
        <w:tc>
          <w:tcPr>
            <w:tcW w:w="586" w:type="dxa"/>
            <w:noWrap w:val="0"/>
            <w:vAlign w:val="center"/>
          </w:tcPr>
          <w:p w14:paraId="1F1E0104">
            <w:pPr>
              <w:pStyle w:val="596"/>
              <w:spacing w:line="360" w:lineRule="auto"/>
              <w:jc w:val="center"/>
              <w:rPr>
                <w:rFonts w:hAnsi="宋体" w:eastAsia="宋体"/>
                <w:color w:val="auto"/>
                <w:sz w:val="21"/>
                <w:szCs w:val="21"/>
                <w:highlight w:val="none"/>
              </w:rPr>
            </w:pPr>
          </w:p>
        </w:tc>
        <w:tc>
          <w:tcPr>
            <w:tcW w:w="583" w:type="dxa"/>
            <w:noWrap w:val="0"/>
            <w:vAlign w:val="center"/>
          </w:tcPr>
          <w:p w14:paraId="26E986ED">
            <w:pPr>
              <w:pStyle w:val="596"/>
              <w:spacing w:line="360" w:lineRule="auto"/>
              <w:jc w:val="center"/>
              <w:rPr>
                <w:rFonts w:hAnsi="宋体" w:eastAsia="宋体"/>
                <w:color w:val="auto"/>
                <w:sz w:val="21"/>
                <w:szCs w:val="21"/>
                <w:highlight w:val="none"/>
              </w:rPr>
            </w:pPr>
          </w:p>
        </w:tc>
      </w:tr>
      <w:tr w14:paraId="3998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7B87676F">
            <w:pPr>
              <w:pStyle w:val="596"/>
              <w:spacing w:line="360" w:lineRule="auto"/>
              <w:jc w:val="center"/>
              <w:rPr>
                <w:rFonts w:hAnsi="宋体" w:eastAsia="宋体"/>
                <w:color w:val="auto"/>
                <w:sz w:val="21"/>
                <w:szCs w:val="21"/>
                <w:highlight w:val="none"/>
              </w:rPr>
            </w:pPr>
            <w:r>
              <w:rPr>
                <w:rFonts w:hint="eastAsia" w:hAnsi="宋体" w:eastAsia="宋体"/>
                <w:color w:val="auto"/>
                <w:sz w:val="21"/>
                <w:szCs w:val="21"/>
                <w:highlight w:val="none"/>
              </w:rPr>
              <w:t>5</w:t>
            </w:r>
          </w:p>
        </w:tc>
        <w:tc>
          <w:tcPr>
            <w:tcW w:w="417" w:type="dxa"/>
            <w:noWrap w:val="0"/>
            <w:vAlign w:val="center"/>
          </w:tcPr>
          <w:p w14:paraId="3633D050">
            <w:pPr>
              <w:pStyle w:val="596"/>
              <w:spacing w:line="360" w:lineRule="auto"/>
              <w:jc w:val="center"/>
              <w:rPr>
                <w:rFonts w:hAnsi="宋体" w:eastAsia="宋体"/>
                <w:color w:val="auto"/>
                <w:sz w:val="21"/>
                <w:szCs w:val="21"/>
                <w:highlight w:val="none"/>
              </w:rPr>
            </w:pPr>
          </w:p>
        </w:tc>
        <w:tc>
          <w:tcPr>
            <w:tcW w:w="886" w:type="dxa"/>
            <w:noWrap w:val="0"/>
            <w:vAlign w:val="center"/>
          </w:tcPr>
          <w:p w14:paraId="349BC79A">
            <w:pPr>
              <w:pStyle w:val="596"/>
              <w:spacing w:line="360" w:lineRule="auto"/>
              <w:jc w:val="center"/>
              <w:rPr>
                <w:rFonts w:hAnsi="宋体" w:eastAsia="宋体"/>
                <w:color w:val="auto"/>
                <w:sz w:val="21"/>
                <w:szCs w:val="21"/>
                <w:highlight w:val="none"/>
              </w:rPr>
            </w:pPr>
          </w:p>
        </w:tc>
        <w:tc>
          <w:tcPr>
            <w:tcW w:w="997" w:type="dxa"/>
            <w:noWrap w:val="0"/>
            <w:vAlign w:val="center"/>
          </w:tcPr>
          <w:p w14:paraId="2DB24ECD">
            <w:pPr>
              <w:pStyle w:val="596"/>
              <w:spacing w:line="360" w:lineRule="auto"/>
              <w:jc w:val="center"/>
              <w:rPr>
                <w:rFonts w:hAnsi="宋体" w:eastAsia="宋体"/>
                <w:color w:val="auto"/>
                <w:sz w:val="21"/>
                <w:szCs w:val="21"/>
                <w:highlight w:val="none"/>
              </w:rPr>
            </w:pPr>
          </w:p>
        </w:tc>
        <w:tc>
          <w:tcPr>
            <w:tcW w:w="586" w:type="dxa"/>
            <w:noWrap w:val="0"/>
            <w:vAlign w:val="center"/>
          </w:tcPr>
          <w:p w14:paraId="5253659B">
            <w:pPr>
              <w:pStyle w:val="596"/>
              <w:spacing w:line="360" w:lineRule="auto"/>
              <w:jc w:val="center"/>
              <w:rPr>
                <w:rFonts w:hAnsi="宋体" w:eastAsia="宋体"/>
                <w:color w:val="auto"/>
                <w:sz w:val="21"/>
                <w:szCs w:val="21"/>
                <w:highlight w:val="none"/>
              </w:rPr>
            </w:pPr>
          </w:p>
        </w:tc>
        <w:tc>
          <w:tcPr>
            <w:tcW w:w="586" w:type="dxa"/>
            <w:noWrap w:val="0"/>
            <w:vAlign w:val="center"/>
          </w:tcPr>
          <w:p w14:paraId="4275DA02">
            <w:pPr>
              <w:pStyle w:val="596"/>
              <w:spacing w:line="360" w:lineRule="auto"/>
              <w:jc w:val="center"/>
              <w:rPr>
                <w:rFonts w:hAnsi="宋体" w:eastAsia="宋体"/>
                <w:color w:val="auto"/>
                <w:sz w:val="21"/>
                <w:szCs w:val="21"/>
                <w:highlight w:val="none"/>
              </w:rPr>
            </w:pPr>
          </w:p>
        </w:tc>
        <w:tc>
          <w:tcPr>
            <w:tcW w:w="586" w:type="dxa"/>
            <w:noWrap w:val="0"/>
            <w:vAlign w:val="center"/>
          </w:tcPr>
          <w:p w14:paraId="494A3CC1">
            <w:pPr>
              <w:pStyle w:val="596"/>
              <w:spacing w:line="360" w:lineRule="auto"/>
              <w:jc w:val="center"/>
              <w:rPr>
                <w:rFonts w:hAnsi="宋体" w:eastAsia="宋体"/>
                <w:color w:val="auto"/>
                <w:sz w:val="21"/>
                <w:szCs w:val="21"/>
                <w:highlight w:val="none"/>
              </w:rPr>
            </w:pPr>
          </w:p>
        </w:tc>
        <w:tc>
          <w:tcPr>
            <w:tcW w:w="583" w:type="dxa"/>
            <w:noWrap w:val="0"/>
            <w:vAlign w:val="center"/>
          </w:tcPr>
          <w:p w14:paraId="703DEFF9">
            <w:pPr>
              <w:pStyle w:val="596"/>
              <w:spacing w:line="360" w:lineRule="auto"/>
              <w:jc w:val="center"/>
              <w:rPr>
                <w:rFonts w:hAnsi="宋体" w:eastAsia="宋体"/>
                <w:color w:val="auto"/>
                <w:sz w:val="21"/>
                <w:szCs w:val="21"/>
                <w:highlight w:val="none"/>
              </w:rPr>
            </w:pPr>
          </w:p>
        </w:tc>
      </w:tr>
      <w:tr w14:paraId="3AF8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8" w:type="dxa"/>
            <w:noWrap w:val="0"/>
            <w:vAlign w:val="center"/>
          </w:tcPr>
          <w:p w14:paraId="00E23079">
            <w:pPr>
              <w:pStyle w:val="596"/>
              <w:spacing w:line="360" w:lineRule="auto"/>
              <w:jc w:val="center"/>
              <w:rPr>
                <w:rFonts w:hint="eastAsia" w:hAnsi="宋体" w:eastAsia="宋体"/>
                <w:color w:val="auto"/>
                <w:sz w:val="21"/>
                <w:szCs w:val="21"/>
                <w:highlight w:val="none"/>
              </w:rPr>
            </w:pPr>
            <w:r>
              <w:rPr>
                <w:rFonts w:hAnsi="宋体"/>
                <w:color w:val="auto"/>
                <w:sz w:val="21"/>
                <w:szCs w:val="21"/>
                <w:highlight w:val="none"/>
              </w:rPr>
              <w:t>…</w:t>
            </w:r>
          </w:p>
        </w:tc>
        <w:tc>
          <w:tcPr>
            <w:tcW w:w="417" w:type="dxa"/>
            <w:noWrap w:val="0"/>
            <w:vAlign w:val="center"/>
          </w:tcPr>
          <w:p w14:paraId="26E4F99F">
            <w:pPr>
              <w:pStyle w:val="596"/>
              <w:spacing w:line="360" w:lineRule="auto"/>
              <w:jc w:val="center"/>
              <w:rPr>
                <w:rFonts w:hAnsi="宋体" w:eastAsia="宋体"/>
                <w:color w:val="auto"/>
                <w:sz w:val="21"/>
                <w:szCs w:val="21"/>
                <w:highlight w:val="none"/>
              </w:rPr>
            </w:pPr>
          </w:p>
        </w:tc>
        <w:tc>
          <w:tcPr>
            <w:tcW w:w="886" w:type="dxa"/>
            <w:noWrap w:val="0"/>
            <w:vAlign w:val="center"/>
          </w:tcPr>
          <w:p w14:paraId="08F5FC26">
            <w:pPr>
              <w:pStyle w:val="596"/>
              <w:spacing w:line="360" w:lineRule="auto"/>
              <w:jc w:val="center"/>
              <w:rPr>
                <w:rFonts w:hAnsi="宋体" w:eastAsia="宋体"/>
                <w:color w:val="auto"/>
                <w:sz w:val="21"/>
                <w:szCs w:val="21"/>
                <w:highlight w:val="none"/>
              </w:rPr>
            </w:pPr>
          </w:p>
        </w:tc>
        <w:tc>
          <w:tcPr>
            <w:tcW w:w="997" w:type="dxa"/>
            <w:noWrap w:val="0"/>
            <w:vAlign w:val="center"/>
          </w:tcPr>
          <w:p w14:paraId="1481A996">
            <w:pPr>
              <w:pStyle w:val="596"/>
              <w:spacing w:line="360" w:lineRule="auto"/>
              <w:jc w:val="center"/>
              <w:rPr>
                <w:rFonts w:hAnsi="宋体" w:eastAsia="宋体"/>
                <w:color w:val="auto"/>
                <w:sz w:val="21"/>
                <w:szCs w:val="21"/>
                <w:highlight w:val="none"/>
              </w:rPr>
            </w:pPr>
          </w:p>
        </w:tc>
        <w:tc>
          <w:tcPr>
            <w:tcW w:w="586" w:type="dxa"/>
            <w:noWrap w:val="0"/>
            <w:vAlign w:val="center"/>
          </w:tcPr>
          <w:p w14:paraId="28E09B42">
            <w:pPr>
              <w:pStyle w:val="596"/>
              <w:spacing w:line="360" w:lineRule="auto"/>
              <w:jc w:val="center"/>
              <w:rPr>
                <w:rFonts w:hAnsi="宋体" w:eastAsia="宋体"/>
                <w:color w:val="auto"/>
                <w:sz w:val="21"/>
                <w:szCs w:val="21"/>
                <w:highlight w:val="none"/>
              </w:rPr>
            </w:pPr>
          </w:p>
        </w:tc>
        <w:tc>
          <w:tcPr>
            <w:tcW w:w="586" w:type="dxa"/>
            <w:noWrap w:val="0"/>
            <w:vAlign w:val="center"/>
          </w:tcPr>
          <w:p w14:paraId="4F7D290F">
            <w:pPr>
              <w:pStyle w:val="596"/>
              <w:spacing w:line="360" w:lineRule="auto"/>
              <w:jc w:val="center"/>
              <w:rPr>
                <w:rFonts w:hAnsi="宋体" w:eastAsia="宋体"/>
                <w:color w:val="auto"/>
                <w:sz w:val="21"/>
                <w:szCs w:val="21"/>
                <w:highlight w:val="none"/>
              </w:rPr>
            </w:pPr>
          </w:p>
        </w:tc>
        <w:tc>
          <w:tcPr>
            <w:tcW w:w="586" w:type="dxa"/>
            <w:noWrap w:val="0"/>
            <w:vAlign w:val="center"/>
          </w:tcPr>
          <w:p w14:paraId="351ED9F4">
            <w:pPr>
              <w:pStyle w:val="596"/>
              <w:spacing w:line="360" w:lineRule="auto"/>
              <w:jc w:val="center"/>
              <w:rPr>
                <w:rFonts w:hAnsi="宋体" w:eastAsia="宋体"/>
                <w:color w:val="auto"/>
                <w:sz w:val="21"/>
                <w:szCs w:val="21"/>
                <w:highlight w:val="none"/>
              </w:rPr>
            </w:pPr>
          </w:p>
        </w:tc>
        <w:tc>
          <w:tcPr>
            <w:tcW w:w="583" w:type="dxa"/>
            <w:noWrap w:val="0"/>
            <w:vAlign w:val="center"/>
          </w:tcPr>
          <w:p w14:paraId="208D74E6">
            <w:pPr>
              <w:pStyle w:val="596"/>
              <w:spacing w:line="360" w:lineRule="auto"/>
              <w:jc w:val="center"/>
              <w:rPr>
                <w:rFonts w:hAnsi="宋体" w:eastAsia="宋体"/>
                <w:color w:val="auto"/>
                <w:sz w:val="21"/>
                <w:szCs w:val="21"/>
                <w:highlight w:val="none"/>
              </w:rPr>
            </w:pPr>
          </w:p>
        </w:tc>
      </w:tr>
    </w:tbl>
    <w:p w14:paraId="35F8F99D">
      <w:pPr>
        <w:spacing w:line="360" w:lineRule="auto"/>
        <w:rPr>
          <w:color w:val="auto"/>
          <w:szCs w:val="21"/>
          <w:highlight w:val="none"/>
          <w:lang w:val="zh-CN"/>
        </w:rPr>
      </w:pPr>
    </w:p>
    <w:p w14:paraId="0ADB53D5">
      <w:pPr>
        <w:spacing w:before="156" w:line="360" w:lineRule="auto"/>
        <w:rPr>
          <w:color w:val="auto"/>
          <w:highlight w:val="none"/>
          <w:lang w:val="zh-CN"/>
        </w:rPr>
      </w:pPr>
      <w:r>
        <w:rPr>
          <w:rFonts w:hint="eastAsia"/>
          <w:color w:val="auto"/>
          <w:highlight w:val="none"/>
        </w:rPr>
        <w:t>注：请按以上格式自制表格填写后投标。</w:t>
      </w:r>
    </w:p>
    <w:p w14:paraId="14D58EA4">
      <w:pPr>
        <w:spacing w:before="156" w:line="360" w:lineRule="auto"/>
        <w:rPr>
          <w:color w:val="auto"/>
          <w:highlight w:val="none"/>
          <w:lang w:val="zh-CN"/>
        </w:rPr>
      </w:pPr>
    </w:p>
    <w:p w14:paraId="4FED36BF">
      <w:pPr>
        <w:spacing w:line="600" w:lineRule="auto"/>
        <w:rPr>
          <w:color w:val="auto"/>
          <w:highlight w:val="none"/>
        </w:rPr>
      </w:pPr>
      <w:r>
        <w:rPr>
          <w:color w:val="auto"/>
          <w:highlight w:val="none"/>
          <w:lang w:val="zh-CN"/>
        </w:rPr>
        <w:t>投标人：（公章）</w:t>
      </w:r>
    </w:p>
    <w:p w14:paraId="73B408C1">
      <w:pPr>
        <w:spacing w:line="600" w:lineRule="auto"/>
        <w:rPr>
          <w:rFonts w:hAnsi="宋体" w:eastAsia="宋体"/>
          <w:color w:val="auto"/>
          <w:sz w:val="21"/>
          <w:szCs w:val="21"/>
          <w:highlight w:val="none"/>
        </w:rPr>
      </w:pPr>
      <w:r>
        <w:rPr>
          <w:rFonts w:hAnsi="宋体" w:eastAsia="宋体"/>
          <w:color w:val="auto"/>
          <w:sz w:val="21"/>
          <w:szCs w:val="21"/>
          <w:highlight w:val="none"/>
        </w:rPr>
        <w:t>法定代表人或被授权人：（签字或盖章）</w:t>
      </w:r>
    </w:p>
    <w:p w14:paraId="10D68144">
      <w:pPr>
        <w:spacing w:line="600" w:lineRule="auto"/>
        <w:rPr>
          <w:color w:val="auto"/>
          <w:highlight w:val="none"/>
          <w:lang w:val="zh-CN"/>
        </w:rPr>
      </w:pPr>
      <w:r>
        <w:rPr>
          <w:color w:val="auto"/>
          <w:highlight w:val="none"/>
          <w:lang w:val="zh-CN"/>
        </w:rPr>
        <w:t>日期：</w:t>
      </w:r>
      <w:r>
        <w:rPr>
          <w:rFonts w:hint="eastAsia"/>
          <w:color w:val="auto"/>
          <w:highlight w:val="none"/>
          <w:lang w:val="en-US" w:eastAsia="zh-CN"/>
        </w:rPr>
        <w:t xml:space="preserve"> </w:t>
      </w:r>
      <w:r>
        <w:rPr>
          <w:color w:val="auto"/>
          <w:highlight w:val="none"/>
          <w:lang w:val="zh-CN"/>
        </w:rPr>
        <w:t>年</w:t>
      </w:r>
      <w:r>
        <w:rPr>
          <w:rFonts w:hint="eastAsia"/>
          <w:color w:val="auto"/>
          <w:highlight w:val="none"/>
          <w:lang w:val="en-US" w:eastAsia="zh-CN"/>
        </w:rPr>
        <w:t xml:space="preserve">  </w:t>
      </w:r>
      <w:r>
        <w:rPr>
          <w:color w:val="auto"/>
          <w:highlight w:val="none"/>
          <w:lang w:val="zh-CN"/>
        </w:rPr>
        <w:t>月</w:t>
      </w:r>
      <w:r>
        <w:rPr>
          <w:rFonts w:hint="eastAsia"/>
          <w:color w:val="auto"/>
          <w:highlight w:val="none"/>
          <w:lang w:val="en-US" w:eastAsia="zh-CN"/>
        </w:rPr>
        <w:t xml:space="preserve">  </w:t>
      </w:r>
      <w:r>
        <w:rPr>
          <w:color w:val="auto"/>
          <w:highlight w:val="none"/>
          <w:lang w:val="zh-CN"/>
        </w:rPr>
        <w:t>日</w:t>
      </w:r>
    </w:p>
    <w:p w14:paraId="545C5310">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C99FB65">
      <w:pPr>
        <w:pStyle w:val="594"/>
        <w:spacing w:before="0" w:after="0" w:line="360" w:lineRule="auto"/>
        <w:rPr>
          <w:rFonts w:hint="eastAsia" w:ascii="宋体" w:hAnsi="宋体" w:eastAsia="宋体" w:cs="宋体"/>
          <w:b w:val="0"/>
          <w:bCs/>
          <w:color w:val="auto"/>
          <w:spacing w:val="0"/>
          <w:sz w:val="32"/>
          <w:szCs w:val="32"/>
          <w:highlight w:val="none"/>
          <w:lang w:val="en-US" w:eastAsia="zh-CN" w:bidi="ar-SA"/>
        </w:rPr>
      </w:pPr>
      <w:bookmarkStart w:id="58" w:name="_Toc14938"/>
      <w:r>
        <w:rPr>
          <w:rFonts w:hint="eastAsia" w:ascii="宋体" w:hAnsi="宋体" w:eastAsia="宋体" w:cs="宋体"/>
          <w:b w:val="0"/>
          <w:bCs/>
          <w:color w:val="auto"/>
          <w:spacing w:val="0"/>
          <w:sz w:val="32"/>
          <w:szCs w:val="32"/>
          <w:highlight w:val="none"/>
          <w:lang w:val="en-US" w:eastAsia="zh-CN" w:bidi="ar-SA"/>
        </w:rPr>
        <w:t>16.投标单位情况表</w:t>
      </w:r>
      <w:bookmarkEnd w:id="58"/>
    </w:p>
    <w:p w14:paraId="51BAF665">
      <w:pPr>
        <w:pStyle w:val="193"/>
        <w:rPr>
          <w:rFonts w:hint="eastAsia" w:ascii="宋体" w:hAnsi="宋体" w:eastAsia="宋体" w:cs="宋体"/>
          <w:b/>
          <w:color w:val="auto"/>
          <w:sz w:val="21"/>
          <w:szCs w:val="21"/>
          <w:highlight w:val="none"/>
          <w:lang w:val="en-US" w:eastAsia="zh-CN" w:bidi="ar-SA"/>
        </w:rPr>
      </w:pPr>
      <w:r>
        <w:rPr>
          <w:rFonts w:ascii="宋体" w:hAnsi="宋体" w:eastAsia="宋体"/>
          <w:color w:val="auto"/>
          <w:sz w:val="21"/>
          <w:szCs w:val="21"/>
          <w:highlight w:val="none"/>
        </w:rPr>
        <w:t xml:space="preserve">                          </w:t>
      </w:r>
      <w:r>
        <w:rPr>
          <w:rFonts w:hint="eastAsia" w:ascii="宋体" w:hAnsi="宋体" w:eastAsia="宋体" w:cs="宋体"/>
          <w:b/>
          <w:color w:val="auto"/>
          <w:sz w:val="21"/>
          <w:szCs w:val="21"/>
          <w:highlight w:val="none"/>
          <w:lang w:val="en-US" w:eastAsia="zh-CN" w:bidi="ar-SA"/>
        </w:rPr>
        <w:t>投标单位情况表</w:t>
      </w:r>
    </w:p>
    <w:p w14:paraId="596A1255">
      <w:pPr>
        <w:pStyle w:val="193"/>
        <w:rPr>
          <w:rFonts w:ascii="宋体" w:hAnsi="宋体" w:eastAsia="宋体"/>
          <w:color w:val="auto"/>
          <w:sz w:val="21"/>
          <w:szCs w:val="21"/>
          <w:highlight w:val="none"/>
        </w:rPr>
      </w:pPr>
      <w:r>
        <w:rPr>
          <w:rFonts w:hint="eastAsia" w:ascii="宋体" w:hAnsi="宋体" w:eastAsia="宋体"/>
          <w:color w:val="auto"/>
          <w:sz w:val="21"/>
          <w:szCs w:val="21"/>
          <w:highlight w:val="none"/>
        </w:rPr>
        <w:t>单位名称（盖章）</w:t>
      </w:r>
    </w:p>
    <w:tbl>
      <w:tblPr>
        <w:tblStyle w:val="32"/>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977"/>
        <w:gridCol w:w="1792"/>
        <w:gridCol w:w="1610"/>
        <w:gridCol w:w="147"/>
        <w:gridCol w:w="1366"/>
        <w:gridCol w:w="1235"/>
      </w:tblGrid>
      <w:tr w14:paraId="6AA7442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3DBF4CCB">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法定代表人</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13E3C3C8">
            <w:pPr>
              <w:pStyle w:val="193"/>
              <w:spacing w:line="400" w:lineRule="exact"/>
              <w:ind w:firstLine="0"/>
              <w:rPr>
                <w:rFonts w:ascii="宋体" w:hAnsi="宋体" w:eastAsia="宋体"/>
                <w:color w:val="auto"/>
                <w:sz w:val="21"/>
                <w:szCs w:val="21"/>
                <w:highlight w:val="none"/>
              </w:rPr>
            </w:pPr>
          </w:p>
        </w:tc>
        <w:tc>
          <w:tcPr>
            <w:tcW w:w="1757" w:type="dxa"/>
            <w:gridSpan w:val="2"/>
            <w:tcBorders>
              <w:top w:val="single" w:color="000000" w:sz="6" w:space="0"/>
              <w:left w:val="single" w:color="000000" w:sz="6" w:space="0"/>
              <w:bottom w:val="single" w:color="000000" w:sz="6" w:space="0"/>
              <w:right w:val="single" w:color="000000" w:sz="6" w:space="0"/>
            </w:tcBorders>
            <w:noWrap w:val="0"/>
            <w:vAlign w:val="top"/>
          </w:tcPr>
          <w:p w14:paraId="11FEE120">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成立日期</w:t>
            </w:r>
          </w:p>
        </w:tc>
        <w:tc>
          <w:tcPr>
            <w:tcW w:w="2601" w:type="dxa"/>
            <w:gridSpan w:val="2"/>
            <w:tcBorders>
              <w:top w:val="single" w:color="000000" w:sz="6" w:space="0"/>
              <w:left w:val="single" w:color="000000" w:sz="6" w:space="0"/>
              <w:bottom w:val="single" w:color="000000" w:sz="6" w:space="0"/>
              <w:right w:val="single" w:color="000000" w:sz="6" w:space="0"/>
            </w:tcBorders>
            <w:noWrap w:val="0"/>
            <w:vAlign w:val="top"/>
          </w:tcPr>
          <w:p w14:paraId="10DBC81F">
            <w:pPr>
              <w:pStyle w:val="193"/>
              <w:spacing w:line="400" w:lineRule="exact"/>
              <w:ind w:firstLine="0"/>
              <w:rPr>
                <w:rFonts w:ascii="宋体" w:hAnsi="宋体" w:eastAsia="宋体"/>
                <w:color w:val="auto"/>
                <w:sz w:val="21"/>
                <w:szCs w:val="21"/>
                <w:highlight w:val="none"/>
              </w:rPr>
            </w:pPr>
          </w:p>
        </w:tc>
      </w:tr>
      <w:tr w14:paraId="6B8B132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274578BE">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企业地址</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4D729EED">
            <w:pPr>
              <w:pStyle w:val="193"/>
              <w:spacing w:line="400" w:lineRule="exact"/>
              <w:ind w:firstLine="0"/>
              <w:rPr>
                <w:rFonts w:ascii="宋体" w:hAnsi="宋体" w:eastAsia="宋体"/>
                <w:color w:val="auto"/>
                <w:sz w:val="21"/>
                <w:szCs w:val="21"/>
                <w:highlight w:val="none"/>
              </w:rPr>
            </w:pPr>
          </w:p>
        </w:tc>
        <w:tc>
          <w:tcPr>
            <w:tcW w:w="1757" w:type="dxa"/>
            <w:gridSpan w:val="2"/>
            <w:tcBorders>
              <w:top w:val="single" w:color="000000" w:sz="6" w:space="0"/>
              <w:left w:val="single" w:color="000000" w:sz="6" w:space="0"/>
              <w:bottom w:val="single" w:color="000000" w:sz="6" w:space="0"/>
              <w:right w:val="single" w:color="000000" w:sz="6" w:space="0"/>
            </w:tcBorders>
            <w:noWrap w:val="0"/>
            <w:vAlign w:val="top"/>
          </w:tcPr>
          <w:p w14:paraId="414B58CF">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注册资本</w:t>
            </w:r>
          </w:p>
        </w:tc>
        <w:tc>
          <w:tcPr>
            <w:tcW w:w="2601" w:type="dxa"/>
            <w:gridSpan w:val="2"/>
            <w:tcBorders>
              <w:top w:val="single" w:color="000000" w:sz="6" w:space="0"/>
              <w:left w:val="single" w:color="000000" w:sz="6" w:space="0"/>
              <w:bottom w:val="single" w:color="000000" w:sz="6" w:space="0"/>
              <w:right w:val="single" w:color="000000" w:sz="6" w:space="0"/>
            </w:tcBorders>
            <w:noWrap w:val="0"/>
            <w:vAlign w:val="top"/>
          </w:tcPr>
          <w:p w14:paraId="04E90DB4">
            <w:pPr>
              <w:pStyle w:val="193"/>
              <w:spacing w:line="400" w:lineRule="exact"/>
              <w:ind w:firstLine="1680"/>
              <w:rPr>
                <w:rFonts w:ascii="宋体" w:hAnsi="宋体" w:eastAsia="宋体"/>
                <w:color w:val="auto"/>
                <w:sz w:val="21"/>
                <w:szCs w:val="21"/>
                <w:highlight w:val="none"/>
              </w:rPr>
            </w:pPr>
            <w:r>
              <w:rPr>
                <w:rFonts w:hint="eastAsia" w:ascii="宋体" w:hAnsi="宋体" w:eastAsia="宋体"/>
                <w:color w:val="auto"/>
                <w:sz w:val="21"/>
                <w:szCs w:val="21"/>
                <w:highlight w:val="none"/>
              </w:rPr>
              <w:t>万元</w:t>
            </w:r>
          </w:p>
        </w:tc>
      </w:tr>
      <w:tr w14:paraId="2F2E1F2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3B138B66">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经营范围</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5B0462A5">
            <w:pPr>
              <w:pStyle w:val="193"/>
              <w:spacing w:line="400" w:lineRule="exact"/>
              <w:ind w:firstLine="0"/>
              <w:rPr>
                <w:rFonts w:ascii="宋体" w:hAnsi="宋体" w:eastAsia="宋体"/>
                <w:color w:val="auto"/>
                <w:sz w:val="21"/>
                <w:szCs w:val="21"/>
                <w:highlight w:val="none"/>
              </w:rPr>
            </w:pPr>
          </w:p>
        </w:tc>
      </w:tr>
      <w:tr w14:paraId="2EA1795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09AA1F67">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职工人数</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4DB8D0FE">
            <w:pPr>
              <w:pStyle w:val="193"/>
              <w:spacing w:line="400" w:lineRule="exact"/>
              <w:ind w:firstLine="0"/>
              <w:rPr>
                <w:rFonts w:ascii="宋体" w:hAnsi="宋体" w:eastAsia="宋体"/>
                <w:color w:val="auto"/>
                <w:sz w:val="21"/>
                <w:szCs w:val="21"/>
                <w:highlight w:val="none"/>
              </w:rPr>
            </w:pPr>
          </w:p>
        </w:tc>
        <w:tc>
          <w:tcPr>
            <w:tcW w:w="3123" w:type="dxa"/>
            <w:gridSpan w:val="3"/>
            <w:tcBorders>
              <w:top w:val="single" w:color="000000" w:sz="6" w:space="0"/>
              <w:left w:val="single" w:color="000000" w:sz="6" w:space="0"/>
              <w:bottom w:val="single" w:color="000000" w:sz="6" w:space="0"/>
              <w:right w:val="single" w:color="000000" w:sz="6" w:space="0"/>
            </w:tcBorders>
            <w:noWrap w:val="0"/>
            <w:vAlign w:val="top"/>
          </w:tcPr>
          <w:p w14:paraId="376F8956">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其中：有中高级以上职称的人数</w:t>
            </w:r>
          </w:p>
        </w:tc>
        <w:tc>
          <w:tcPr>
            <w:tcW w:w="1235" w:type="dxa"/>
            <w:tcBorders>
              <w:top w:val="single" w:color="000000" w:sz="6" w:space="0"/>
              <w:left w:val="single" w:color="000000" w:sz="6" w:space="0"/>
              <w:bottom w:val="single" w:color="000000" w:sz="6" w:space="0"/>
              <w:right w:val="single" w:color="000000" w:sz="6" w:space="0"/>
            </w:tcBorders>
            <w:noWrap w:val="0"/>
            <w:vAlign w:val="top"/>
          </w:tcPr>
          <w:p w14:paraId="19B329A7">
            <w:pPr>
              <w:pStyle w:val="193"/>
              <w:spacing w:line="400" w:lineRule="exact"/>
              <w:ind w:firstLine="0"/>
              <w:rPr>
                <w:rFonts w:ascii="宋体" w:hAnsi="宋体" w:eastAsia="宋体"/>
                <w:color w:val="auto"/>
                <w:sz w:val="21"/>
                <w:szCs w:val="21"/>
                <w:highlight w:val="none"/>
              </w:rPr>
            </w:pPr>
          </w:p>
        </w:tc>
      </w:tr>
      <w:tr w14:paraId="172C50E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7D5EDBFD">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资产总额</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2CDFC861">
            <w:pPr>
              <w:pStyle w:val="193"/>
              <w:spacing w:line="400" w:lineRule="exact"/>
              <w:ind w:firstLine="0"/>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万元</w:t>
            </w:r>
          </w:p>
        </w:tc>
        <w:tc>
          <w:tcPr>
            <w:tcW w:w="1610" w:type="dxa"/>
            <w:tcBorders>
              <w:top w:val="single" w:color="000000" w:sz="6" w:space="0"/>
              <w:left w:val="single" w:color="000000" w:sz="6" w:space="0"/>
              <w:bottom w:val="single" w:color="000000" w:sz="6" w:space="0"/>
              <w:right w:val="single" w:color="000000" w:sz="6" w:space="0"/>
            </w:tcBorders>
            <w:noWrap w:val="0"/>
            <w:vAlign w:val="top"/>
          </w:tcPr>
          <w:p w14:paraId="0C13A3AC">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净资产</w:t>
            </w:r>
          </w:p>
        </w:tc>
        <w:tc>
          <w:tcPr>
            <w:tcW w:w="2748" w:type="dxa"/>
            <w:gridSpan w:val="3"/>
            <w:tcBorders>
              <w:top w:val="single" w:color="000000" w:sz="6" w:space="0"/>
              <w:left w:val="single" w:color="000000" w:sz="6" w:space="0"/>
              <w:bottom w:val="single" w:color="000000" w:sz="6" w:space="0"/>
              <w:right w:val="single" w:color="000000" w:sz="6" w:space="0"/>
            </w:tcBorders>
            <w:noWrap w:val="0"/>
            <w:vAlign w:val="top"/>
          </w:tcPr>
          <w:p w14:paraId="6F44A19B">
            <w:pPr>
              <w:pStyle w:val="193"/>
              <w:spacing w:line="400" w:lineRule="exact"/>
              <w:ind w:firstLine="0"/>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万元</w:t>
            </w:r>
          </w:p>
        </w:tc>
      </w:tr>
      <w:tr w14:paraId="66F4E9E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688B90E7">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股东权益</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26BF2E50">
            <w:pPr>
              <w:pStyle w:val="193"/>
              <w:spacing w:line="400" w:lineRule="exact"/>
              <w:ind w:firstLine="0"/>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万元</w:t>
            </w:r>
          </w:p>
        </w:tc>
        <w:tc>
          <w:tcPr>
            <w:tcW w:w="1610" w:type="dxa"/>
            <w:tcBorders>
              <w:top w:val="single" w:color="000000" w:sz="6" w:space="0"/>
              <w:left w:val="single" w:color="000000" w:sz="6" w:space="0"/>
              <w:bottom w:val="single" w:color="000000" w:sz="6" w:space="0"/>
              <w:right w:val="single" w:color="000000" w:sz="6" w:space="0"/>
            </w:tcBorders>
            <w:noWrap w:val="0"/>
            <w:vAlign w:val="top"/>
          </w:tcPr>
          <w:p w14:paraId="76037444">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销售收入</w:t>
            </w:r>
          </w:p>
        </w:tc>
        <w:tc>
          <w:tcPr>
            <w:tcW w:w="2748" w:type="dxa"/>
            <w:gridSpan w:val="3"/>
            <w:tcBorders>
              <w:top w:val="single" w:color="000000" w:sz="6" w:space="0"/>
              <w:left w:val="single" w:color="000000" w:sz="6" w:space="0"/>
              <w:bottom w:val="single" w:color="000000" w:sz="6" w:space="0"/>
              <w:right w:val="single" w:color="000000" w:sz="6" w:space="0"/>
            </w:tcBorders>
            <w:noWrap w:val="0"/>
            <w:vAlign w:val="top"/>
          </w:tcPr>
          <w:p w14:paraId="1718B807">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2023</w:t>
            </w:r>
            <w:r>
              <w:rPr>
                <w:rFonts w:ascii="宋体" w:hAnsi="宋体" w:eastAsia="宋体"/>
                <w:color w:val="auto"/>
                <w:sz w:val="21"/>
                <w:szCs w:val="21"/>
                <w:highlight w:val="none"/>
              </w:rPr>
              <w:t xml:space="preserve">年          </w:t>
            </w:r>
            <w:r>
              <w:rPr>
                <w:rFonts w:hint="eastAsia" w:ascii="宋体" w:hAnsi="宋体" w:eastAsia="宋体"/>
                <w:color w:val="auto"/>
                <w:sz w:val="21"/>
                <w:szCs w:val="21"/>
                <w:highlight w:val="none"/>
              </w:rPr>
              <w:t>万元</w:t>
            </w:r>
          </w:p>
        </w:tc>
      </w:tr>
      <w:tr w14:paraId="19DCF8E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21192CE4">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实现利润</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59007830">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2023</w:t>
            </w:r>
            <w:r>
              <w:rPr>
                <w:rFonts w:ascii="宋体" w:hAnsi="宋体" w:eastAsia="宋体"/>
                <w:color w:val="auto"/>
                <w:sz w:val="21"/>
                <w:szCs w:val="21"/>
                <w:highlight w:val="none"/>
              </w:rPr>
              <w:t xml:space="preserve">年  </w:t>
            </w:r>
            <w:r>
              <w:rPr>
                <w:rFonts w:hint="eastAsia" w:ascii="宋体" w:hAnsi="宋体" w:eastAsia="宋体"/>
                <w:color w:val="auto"/>
                <w:sz w:val="21"/>
                <w:szCs w:val="21"/>
                <w:highlight w:val="none"/>
              </w:rPr>
              <w:t xml:space="preserve">  万元</w:t>
            </w:r>
          </w:p>
        </w:tc>
        <w:tc>
          <w:tcPr>
            <w:tcW w:w="1610" w:type="dxa"/>
            <w:tcBorders>
              <w:top w:val="single" w:color="000000" w:sz="6" w:space="0"/>
              <w:left w:val="single" w:color="000000" w:sz="6" w:space="0"/>
              <w:bottom w:val="single" w:color="000000" w:sz="6" w:space="0"/>
              <w:right w:val="single" w:color="000000" w:sz="6" w:space="0"/>
            </w:tcBorders>
            <w:noWrap w:val="0"/>
            <w:vAlign w:val="top"/>
          </w:tcPr>
          <w:p w14:paraId="574E4327">
            <w:pPr>
              <w:pStyle w:val="193"/>
              <w:spacing w:line="400" w:lineRule="exact"/>
              <w:ind w:firstLine="0"/>
              <w:rPr>
                <w:rFonts w:ascii="宋体" w:hAnsi="宋体" w:eastAsia="宋体"/>
                <w:color w:val="auto"/>
                <w:sz w:val="21"/>
                <w:szCs w:val="21"/>
                <w:highlight w:val="none"/>
              </w:rPr>
            </w:pPr>
          </w:p>
        </w:tc>
        <w:tc>
          <w:tcPr>
            <w:tcW w:w="2748" w:type="dxa"/>
            <w:gridSpan w:val="3"/>
            <w:tcBorders>
              <w:top w:val="single" w:color="000000" w:sz="6" w:space="0"/>
              <w:left w:val="single" w:color="000000" w:sz="6" w:space="0"/>
              <w:bottom w:val="single" w:color="000000" w:sz="6" w:space="0"/>
              <w:right w:val="single" w:color="000000" w:sz="6" w:space="0"/>
            </w:tcBorders>
            <w:noWrap w:val="0"/>
            <w:vAlign w:val="top"/>
          </w:tcPr>
          <w:p w14:paraId="6CD6173B">
            <w:pPr>
              <w:pStyle w:val="193"/>
              <w:spacing w:line="400" w:lineRule="exact"/>
              <w:ind w:firstLine="0"/>
              <w:rPr>
                <w:rFonts w:ascii="宋体" w:hAnsi="宋体" w:eastAsia="宋体"/>
                <w:color w:val="auto"/>
                <w:sz w:val="21"/>
                <w:szCs w:val="21"/>
                <w:highlight w:val="none"/>
              </w:rPr>
            </w:pPr>
          </w:p>
        </w:tc>
      </w:tr>
      <w:tr w14:paraId="06B7D62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2F1544C8">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营业面积</w:t>
            </w:r>
          </w:p>
          <w:p w14:paraId="71E5B6DB">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（含厂房面积）</w:t>
            </w:r>
          </w:p>
        </w:tc>
        <w:tc>
          <w:tcPr>
            <w:tcW w:w="1792" w:type="dxa"/>
            <w:tcBorders>
              <w:top w:val="single" w:color="000000" w:sz="6" w:space="0"/>
              <w:left w:val="single" w:color="000000" w:sz="6" w:space="0"/>
              <w:bottom w:val="single" w:color="000000" w:sz="6" w:space="0"/>
              <w:right w:val="single" w:color="000000" w:sz="6" w:space="0"/>
            </w:tcBorders>
            <w:noWrap w:val="0"/>
            <w:vAlign w:val="top"/>
          </w:tcPr>
          <w:p w14:paraId="67C2727F">
            <w:pPr>
              <w:pStyle w:val="193"/>
              <w:spacing w:line="400" w:lineRule="exact"/>
              <w:ind w:firstLine="0"/>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平方米</w:t>
            </w:r>
          </w:p>
        </w:tc>
        <w:tc>
          <w:tcPr>
            <w:tcW w:w="1610" w:type="dxa"/>
            <w:tcBorders>
              <w:top w:val="single" w:color="000000" w:sz="6" w:space="0"/>
              <w:left w:val="single" w:color="000000" w:sz="6" w:space="0"/>
              <w:bottom w:val="single" w:color="000000" w:sz="6" w:space="0"/>
              <w:right w:val="single" w:color="000000" w:sz="6" w:space="0"/>
            </w:tcBorders>
            <w:noWrap w:val="0"/>
            <w:vAlign w:val="top"/>
          </w:tcPr>
          <w:p w14:paraId="155B6D5C">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其中：</w:t>
            </w:r>
          </w:p>
        </w:tc>
        <w:tc>
          <w:tcPr>
            <w:tcW w:w="2748" w:type="dxa"/>
            <w:gridSpan w:val="3"/>
            <w:tcBorders>
              <w:top w:val="single" w:color="000000" w:sz="6" w:space="0"/>
              <w:left w:val="single" w:color="000000" w:sz="6" w:space="0"/>
              <w:bottom w:val="single" w:color="000000" w:sz="6" w:space="0"/>
              <w:right w:val="single" w:color="000000" w:sz="6" w:space="0"/>
            </w:tcBorders>
            <w:noWrap w:val="0"/>
            <w:vAlign w:val="top"/>
          </w:tcPr>
          <w:p w14:paraId="793BABE3">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自有面积</w:t>
            </w:r>
            <w:r>
              <w:rPr>
                <w:rFonts w:ascii="宋体" w:hAnsi="宋体" w:eastAsia="宋体"/>
                <w:color w:val="auto"/>
                <w:sz w:val="21"/>
                <w:szCs w:val="21"/>
                <w:highlight w:val="none"/>
              </w:rPr>
              <w:t xml:space="preserve">       平方米</w:t>
            </w:r>
          </w:p>
          <w:p w14:paraId="12D0D830">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承租面积</w:t>
            </w:r>
            <w:r>
              <w:rPr>
                <w:rFonts w:ascii="宋体" w:hAnsi="宋体" w:eastAsia="宋体"/>
                <w:color w:val="auto"/>
                <w:sz w:val="21"/>
                <w:szCs w:val="21"/>
                <w:highlight w:val="none"/>
              </w:rPr>
              <w:t xml:space="preserve">       平方米</w:t>
            </w:r>
          </w:p>
        </w:tc>
      </w:tr>
      <w:tr w14:paraId="4028106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5E299F8D">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单位简历及内设机构情况</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58D8FD01">
            <w:pPr>
              <w:pStyle w:val="193"/>
              <w:spacing w:line="400" w:lineRule="exact"/>
              <w:ind w:firstLine="0"/>
              <w:rPr>
                <w:rFonts w:ascii="宋体" w:hAnsi="宋体" w:eastAsia="宋体"/>
                <w:color w:val="auto"/>
                <w:sz w:val="21"/>
                <w:szCs w:val="21"/>
                <w:highlight w:val="none"/>
              </w:rPr>
            </w:pPr>
          </w:p>
        </w:tc>
      </w:tr>
      <w:tr w14:paraId="66C9109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3DE0FC57">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单位优势及特长</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744D3147">
            <w:pPr>
              <w:pStyle w:val="193"/>
              <w:spacing w:line="400" w:lineRule="exact"/>
              <w:ind w:firstLine="0"/>
              <w:rPr>
                <w:rFonts w:ascii="宋体" w:hAnsi="宋体" w:eastAsia="宋体"/>
                <w:color w:val="auto"/>
                <w:sz w:val="21"/>
                <w:szCs w:val="21"/>
                <w:highlight w:val="none"/>
              </w:rPr>
            </w:pPr>
          </w:p>
        </w:tc>
      </w:tr>
      <w:tr w14:paraId="75F320C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3E9AB12B">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职工“三险”缴纳情况</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3C148721">
            <w:pPr>
              <w:pStyle w:val="193"/>
              <w:spacing w:line="400" w:lineRule="exact"/>
              <w:ind w:firstLine="0"/>
              <w:rPr>
                <w:rFonts w:ascii="宋体" w:hAnsi="宋体" w:eastAsia="宋体"/>
                <w:color w:val="auto"/>
                <w:sz w:val="21"/>
                <w:szCs w:val="21"/>
                <w:highlight w:val="none"/>
              </w:rPr>
            </w:pPr>
          </w:p>
        </w:tc>
      </w:tr>
      <w:tr w14:paraId="0E1E22F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4D2DE60C">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近三年来完成或正在履行的重大合同情况</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4B2B1134">
            <w:pPr>
              <w:pStyle w:val="193"/>
              <w:spacing w:line="400" w:lineRule="exact"/>
              <w:ind w:firstLine="0"/>
              <w:rPr>
                <w:rFonts w:ascii="宋体" w:hAnsi="宋体" w:eastAsia="宋体"/>
                <w:color w:val="auto"/>
                <w:sz w:val="21"/>
                <w:szCs w:val="21"/>
                <w:highlight w:val="none"/>
              </w:rPr>
            </w:pPr>
          </w:p>
        </w:tc>
      </w:tr>
      <w:tr w14:paraId="2200BB3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6BF44A93">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2年内在经营过程中受到何种奖励或处分</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788A51F2">
            <w:pPr>
              <w:pStyle w:val="193"/>
              <w:spacing w:line="400" w:lineRule="exact"/>
              <w:ind w:firstLine="0"/>
              <w:rPr>
                <w:rFonts w:ascii="宋体" w:hAnsi="宋体" w:eastAsia="宋体"/>
                <w:color w:val="auto"/>
                <w:sz w:val="21"/>
                <w:szCs w:val="21"/>
                <w:highlight w:val="none"/>
              </w:rPr>
            </w:pPr>
          </w:p>
        </w:tc>
      </w:tr>
      <w:tr w14:paraId="0811A74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6DC235E7">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3年内有无因售假、售劣或是其他原因被消费者投诉或起诉的情况及说明</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77A7D553">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（包括解决方式和结果）</w:t>
            </w:r>
          </w:p>
        </w:tc>
      </w:tr>
      <w:tr w14:paraId="5B47E7F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151800BF">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3年内主要负责人有无因经济犯罪被司法机关追究的情况及说明</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5BD16C65">
            <w:pPr>
              <w:pStyle w:val="193"/>
              <w:spacing w:line="400" w:lineRule="exact"/>
              <w:ind w:firstLine="0"/>
              <w:rPr>
                <w:rFonts w:ascii="宋体" w:hAnsi="宋体" w:eastAsia="宋体"/>
                <w:color w:val="auto"/>
                <w:sz w:val="21"/>
                <w:szCs w:val="21"/>
                <w:highlight w:val="none"/>
              </w:rPr>
            </w:pPr>
          </w:p>
        </w:tc>
      </w:tr>
      <w:tr w14:paraId="7722022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noWrap w:val="0"/>
            <w:vAlign w:val="top"/>
          </w:tcPr>
          <w:p w14:paraId="25717CD7">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获得技术认证的工程师及简介</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4EC67818">
            <w:pPr>
              <w:pStyle w:val="193"/>
              <w:spacing w:line="400" w:lineRule="exact"/>
              <w:ind w:firstLine="0"/>
              <w:rPr>
                <w:rFonts w:ascii="宋体" w:hAnsi="宋体" w:eastAsia="宋体"/>
                <w:color w:val="auto"/>
                <w:sz w:val="21"/>
                <w:szCs w:val="21"/>
                <w:highlight w:val="none"/>
              </w:rPr>
            </w:pPr>
          </w:p>
        </w:tc>
      </w:tr>
      <w:tr w14:paraId="2F08C00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10" w:hRule="atLeast"/>
        </w:trPr>
        <w:tc>
          <w:tcPr>
            <w:tcW w:w="2977" w:type="dxa"/>
            <w:tcBorders>
              <w:top w:val="single" w:color="000000" w:sz="6" w:space="0"/>
              <w:left w:val="single" w:color="000000" w:sz="6" w:space="0"/>
              <w:bottom w:val="single" w:color="000000" w:sz="6" w:space="0"/>
              <w:right w:val="single" w:color="000000" w:sz="6" w:space="0"/>
            </w:tcBorders>
            <w:noWrap w:val="0"/>
            <w:vAlign w:val="top"/>
          </w:tcPr>
          <w:p w14:paraId="628242C1">
            <w:pPr>
              <w:pStyle w:val="193"/>
              <w:spacing w:line="400" w:lineRule="exact"/>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其他需要说明的情况</w:t>
            </w:r>
          </w:p>
        </w:tc>
        <w:tc>
          <w:tcPr>
            <w:tcW w:w="6150" w:type="dxa"/>
            <w:gridSpan w:val="5"/>
            <w:tcBorders>
              <w:top w:val="single" w:color="000000" w:sz="6" w:space="0"/>
              <w:left w:val="single" w:color="000000" w:sz="6" w:space="0"/>
              <w:bottom w:val="single" w:color="000000" w:sz="6" w:space="0"/>
              <w:right w:val="single" w:color="000000" w:sz="6" w:space="0"/>
            </w:tcBorders>
            <w:noWrap w:val="0"/>
            <w:vAlign w:val="top"/>
          </w:tcPr>
          <w:p w14:paraId="425950E2">
            <w:pPr>
              <w:pStyle w:val="193"/>
              <w:spacing w:line="400" w:lineRule="exact"/>
              <w:ind w:firstLine="0"/>
              <w:rPr>
                <w:rFonts w:ascii="宋体" w:hAnsi="宋体" w:eastAsia="宋体"/>
                <w:color w:val="auto"/>
                <w:sz w:val="21"/>
                <w:szCs w:val="21"/>
                <w:highlight w:val="none"/>
              </w:rPr>
            </w:pPr>
          </w:p>
        </w:tc>
      </w:tr>
    </w:tbl>
    <w:p w14:paraId="76BFB3BC">
      <w:pPr>
        <w:pStyle w:val="257"/>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59" w:name="_Toc11357"/>
      <w:bookmarkStart w:id="60" w:name="_Toc31478"/>
      <w:r>
        <w:rPr>
          <w:rFonts w:hint="eastAsia" w:ascii="宋体" w:hAnsi="宋体" w:eastAsia="宋体" w:cs="宋体"/>
          <w:color w:val="auto"/>
          <w:highlight w:val="none"/>
        </w:rPr>
        <w:t>第四章  招标书</w:t>
      </w:r>
      <w:bookmarkEnd w:id="59"/>
      <w:bookmarkEnd w:id="60"/>
    </w:p>
    <w:p w14:paraId="4B96193D">
      <w:pPr>
        <w:spacing w:line="360" w:lineRule="auto"/>
        <w:ind w:firstLine="420" w:firstLineChars="200"/>
        <w:rPr>
          <w:rFonts w:hint="eastAsia" w:ascii="宋体" w:hAnsi="宋体" w:eastAsia="宋体" w:cs="宋体"/>
          <w:color w:val="auto"/>
          <w:szCs w:val="21"/>
          <w:highlight w:val="none"/>
        </w:rPr>
      </w:pPr>
      <w:bookmarkStart w:id="61" w:name="_Toc339548794"/>
      <w:bookmarkStart w:id="62" w:name="_Toc266088666"/>
      <w:r>
        <w:rPr>
          <w:rFonts w:hint="eastAsia" w:ascii="宋体" w:hAnsi="宋体" w:eastAsia="宋体" w:cs="宋体"/>
          <w:color w:val="auto"/>
          <w:szCs w:val="21"/>
          <w:highlight w:val="none"/>
        </w:rPr>
        <w:t>受昆山市中医医院的委托，</w:t>
      </w:r>
      <w:r>
        <w:rPr>
          <w:rFonts w:hint="eastAsia" w:ascii="宋体" w:hAnsi="宋体" w:cs="宋体"/>
          <w:color w:val="auto"/>
          <w:szCs w:val="21"/>
          <w:highlight w:val="none"/>
          <w:lang w:eastAsia="zh-CN"/>
        </w:rPr>
        <w:t>昆山市建工工程咨询管理有限公司</w:t>
      </w:r>
      <w:r>
        <w:rPr>
          <w:rFonts w:hint="eastAsia" w:ascii="宋体" w:hAnsi="宋体" w:eastAsia="宋体" w:cs="宋体"/>
          <w:color w:val="auto"/>
          <w:szCs w:val="21"/>
          <w:highlight w:val="none"/>
        </w:rPr>
        <w:t>作为招标代理人，为采购单位拟采购的</w:t>
      </w:r>
      <w:r>
        <w:rPr>
          <w:rFonts w:hint="eastAsia" w:ascii="宋体" w:hAnsi="宋体" w:eastAsia="宋体" w:cs="宋体"/>
          <w:color w:val="auto"/>
          <w:szCs w:val="21"/>
          <w:highlight w:val="none"/>
          <w:lang w:eastAsia="zh-CN"/>
        </w:rPr>
        <w:t>食堂年度食材采购</w:t>
      </w:r>
      <w:r>
        <w:rPr>
          <w:rFonts w:hint="eastAsia" w:ascii="宋体" w:hAnsi="宋体" w:eastAsia="宋体" w:cs="宋体"/>
          <w:color w:val="auto"/>
          <w:szCs w:val="21"/>
          <w:highlight w:val="none"/>
        </w:rPr>
        <w:t>进行国内公开招标。</w:t>
      </w:r>
    </w:p>
    <w:bookmarkEnd w:id="61"/>
    <w:bookmarkEnd w:id="62"/>
    <w:p w14:paraId="4BA30C11">
      <w:pPr>
        <w:spacing w:line="360" w:lineRule="auto"/>
        <w:ind w:firstLine="420" w:firstLineChars="200"/>
        <w:rPr>
          <w:rFonts w:hint="eastAsia" w:ascii="宋体" w:hAnsi="宋体" w:eastAsia="宋体" w:cs="宋体"/>
          <w:color w:val="auto"/>
          <w:szCs w:val="21"/>
          <w:highlight w:val="none"/>
        </w:rPr>
      </w:pPr>
      <w:bookmarkStart w:id="63" w:name="_Toc495914990"/>
      <w:bookmarkStart w:id="64" w:name="_Toc495915053"/>
      <w:r>
        <w:rPr>
          <w:rFonts w:hint="eastAsia" w:ascii="宋体" w:hAnsi="宋体" w:eastAsia="宋体" w:cs="宋体"/>
          <w:color w:val="auto"/>
          <w:szCs w:val="21"/>
          <w:highlight w:val="none"/>
        </w:rPr>
        <w:t>一、项目编号：</w:t>
      </w:r>
      <w:r>
        <w:rPr>
          <w:rFonts w:hint="eastAsia" w:ascii="宋体" w:hAnsi="宋体" w:cs="宋体"/>
          <w:color w:val="auto"/>
          <w:sz w:val="24"/>
          <w:highlight w:val="none"/>
          <w:lang w:eastAsia="zh-CN"/>
        </w:rPr>
        <w:t>JSZC-320583-KSJG-G2024-0001</w:t>
      </w:r>
      <w:r>
        <w:rPr>
          <w:rFonts w:hint="eastAsia" w:ascii="宋体" w:hAnsi="宋体" w:eastAsia="宋体" w:cs="宋体"/>
          <w:color w:val="auto"/>
          <w:szCs w:val="21"/>
          <w:highlight w:val="none"/>
        </w:rPr>
        <w:t>号</w:t>
      </w:r>
    </w:p>
    <w:p w14:paraId="47B9059F">
      <w:pPr>
        <w:spacing w:line="360" w:lineRule="auto"/>
        <w:ind w:firstLine="420" w:firstLineChars="200"/>
        <w:rPr>
          <w:rFonts w:hint="eastAsia" w:ascii="宋体" w:hAnsi="宋体" w:eastAsia="宋体" w:cs="宋体"/>
          <w:color w:val="auto"/>
          <w:szCs w:val="21"/>
          <w:highlight w:val="none"/>
          <w:lang w:eastAsia="zh-CN"/>
        </w:rPr>
      </w:pPr>
      <w:bookmarkStart w:id="65" w:name="_Toc475023243"/>
      <w:bookmarkStart w:id="66" w:name="_Toc328386624"/>
      <w:bookmarkStart w:id="67" w:name="_Toc71721073"/>
      <w:r>
        <w:rPr>
          <w:rFonts w:hint="eastAsia" w:ascii="宋体" w:hAnsi="宋体" w:eastAsia="宋体" w:cs="宋体"/>
          <w:color w:val="auto"/>
          <w:szCs w:val="21"/>
          <w:highlight w:val="none"/>
        </w:rPr>
        <w:t>二、采购内容：委托第三方机构开展</w:t>
      </w:r>
      <w:r>
        <w:rPr>
          <w:rFonts w:hint="eastAsia" w:ascii="宋体" w:hAnsi="宋体" w:eastAsia="宋体" w:cs="宋体"/>
          <w:color w:val="auto"/>
          <w:szCs w:val="21"/>
          <w:highlight w:val="none"/>
          <w:lang w:eastAsia="zh-CN"/>
        </w:rPr>
        <w:t>食堂年度食材采购</w:t>
      </w:r>
    </w:p>
    <w:p w14:paraId="0059E357">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配送内容：包括且不限于蔬菜类、鲜肉类、家禽类、蛋类、水产类、冻品、水果、粮油、副食、干货、杂货、调味配料</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烘焙类</w:t>
      </w:r>
      <w:r>
        <w:rPr>
          <w:rFonts w:hint="eastAsia" w:ascii="宋体" w:hAnsi="宋体" w:eastAsia="宋体" w:cs="宋体"/>
          <w:b/>
          <w:bCs/>
          <w:color w:val="auto"/>
          <w:szCs w:val="21"/>
          <w:highlight w:val="none"/>
        </w:rPr>
        <w:t>等。</w:t>
      </w:r>
    </w:p>
    <w:p w14:paraId="4E67B4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三、医院食堂运营概况</w:t>
      </w:r>
    </w:p>
    <w:p w14:paraId="132283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（一）基本情况：</w:t>
      </w:r>
    </w:p>
    <w:p w14:paraId="50A7F8A9">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昆山市中医医院员工及第三方服务人员约2000人；住院床位1200张。</w:t>
      </w:r>
    </w:p>
    <w:p w14:paraId="5D6B2C01">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（二）服务约定</w:t>
      </w:r>
    </w:p>
    <w:p w14:paraId="35F20568">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1、对象：昆山市中医医院西部医疗中心全体工作人员、第三方公司服务人员、所有患者及家属；</w:t>
      </w:r>
    </w:p>
    <w:p w14:paraId="6295E23F">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2、内容：</w:t>
      </w:r>
    </w:p>
    <w:p w14:paraId="7057B314">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（1）每日早、中、晚工作餐；</w:t>
      </w:r>
    </w:p>
    <w:p w14:paraId="63B483D9">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3、方式：</w:t>
      </w:r>
    </w:p>
    <w:p w14:paraId="41EA5684">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（1）早点以面食、稀饭、点心等为主（不少于</w:t>
      </w:r>
      <w:r>
        <w:rPr>
          <w:rFonts w:hint="eastAsia" w:ascii="宋体" w:hAnsi="宋体" w:cs="宋体"/>
          <w:b/>
          <w:color w:val="auto"/>
          <w:szCs w:val="21"/>
          <w:highlight w:val="none"/>
          <w:lang w:val="en-US" w:eastAsia="zh-CN"/>
        </w:rPr>
        <w:t>15</w:t>
      </w:r>
      <w:r>
        <w:rPr>
          <w:rFonts w:hint="eastAsia" w:ascii="宋体" w:hAnsi="宋体" w:eastAsia="宋体" w:cs="宋体"/>
          <w:b/>
          <w:color w:val="auto"/>
          <w:szCs w:val="21"/>
          <w:highlight w:val="none"/>
        </w:rPr>
        <w:t>个品种）；</w:t>
      </w:r>
    </w:p>
    <w:p w14:paraId="2359F260">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（2）午餐、晚餐以工作套餐为主，配以风味特色餐；</w:t>
      </w:r>
    </w:p>
    <w:p w14:paraId="4EB2EE90">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（3）工作套餐不低于十二菜（四大荤四小荤四蔬菜）一汤一水果一奶制品进行自选；</w:t>
      </w:r>
    </w:p>
    <w:p w14:paraId="150AF7D9">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（4）配合营养科开展治疗饮食；</w:t>
      </w:r>
    </w:p>
    <w:p w14:paraId="2D35B6AE">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（5）小型用餐区采用桌餐形式，需提前预定；</w:t>
      </w:r>
    </w:p>
    <w:p w14:paraId="2FE6920E">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（6）提供小炒服务；</w:t>
      </w:r>
    </w:p>
    <w:p w14:paraId="4E20DF90">
      <w:pPr>
        <w:spacing w:line="360" w:lineRule="auto"/>
        <w:ind w:firstLine="426" w:firstLineChars="20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（7）提供西餐服务。</w:t>
      </w:r>
    </w:p>
    <w:p w14:paraId="7AA8362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本项目按综合评分结果排名产生1家中标供应商。</w:t>
      </w:r>
    </w:p>
    <w:p w14:paraId="660BFB70">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四、服务期限</w:t>
      </w:r>
    </w:p>
    <w:p w14:paraId="2273658E">
      <w:pPr>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中标供应商服务期限为一年。</w:t>
      </w:r>
    </w:p>
    <w:p w14:paraId="73B83F54">
      <w:pPr>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五、</w:t>
      </w:r>
      <w:r>
        <w:rPr>
          <w:rFonts w:hint="eastAsia" w:ascii="宋体" w:hAnsi="宋体" w:eastAsia="宋体" w:cs="宋体"/>
          <w:b/>
          <w:color w:val="auto"/>
          <w:szCs w:val="21"/>
          <w:highlight w:val="none"/>
        </w:rPr>
        <w:t>食材品质要求</w:t>
      </w:r>
      <w:r>
        <w:rPr>
          <w:rFonts w:hint="eastAsia" w:ascii="宋体" w:hAnsi="宋体" w:eastAsia="宋体" w:cs="宋体"/>
          <w:color w:val="auto"/>
          <w:szCs w:val="21"/>
          <w:highlight w:val="none"/>
        </w:rPr>
        <w:t>：</w:t>
      </w:r>
    </w:p>
    <w:p w14:paraId="4CB979DA">
      <w:pPr>
        <w:autoSpaceDE w:val="0"/>
        <w:autoSpaceDN w:val="0"/>
        <w:adjustRightInd w:val="0"/>
        <w:snapToGrid w:val="0"/>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（一）所有配送的食材需符合</w:t>
      </w:r>
      <w:r>
        <w:rPr>
          <w:rFonts w:hint="eastAsia" w:ascii="宋体" w:hAnsi="宋体" w:eastAsia="宋体" w:cs="宋体"/>
          <w:color w:val="auto"/>
          <w:szCs w:val="21"/>
          <w:highlight w:val="none"/>
          <w:lang w:val="zh-CN"/>
        </w:rPr>
        <w:t>《中华人民共和国食品安全法》、《餐饮业和集体用餐配送单位卫生规范》、《国家食品卫生标准》、《食品卫生法》和《动物检疫法》等，保证卫生安全，须无毒、无害、无腐烂，具有较好的色、香、味等感官性状。</w:t>
      </w:r>
    </w:p>
    <w:p w14:paraId="056F3DBB">
      <w:pPr>
        <w:autoSpaceDE w:val="0"/>
        <w:autoSpaceDN w:val="0"/>
        <w:adjustRightInd w:val="0"/>
        <w:snapToGri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所有食材均为非转基因产品，并提供非转基因检测报告。</w:t>
      </w:r>
    </w:p>
    <w:p w14:paraId="73DC2079">
      <w:pPr>
        <w:autoSpaceDE w:val="0"/>
        <w:autoSpaceDN w:val="0"/>
        <w:adjustRightInd w:val="0"/>
        <w:snapToGri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（三）具体食材质量要求如下：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238"/>
        <w:gridCol w:w="7994"/>
      </w:tblGrid>
      <w:tr w14:paraId="2874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18A2585E">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38" w:type="dxa"/>
            <w:noWrap w:val="0"/>
            <w:vAlign w:val="top"/>
          </w:tcPr>
          <w:p w14:paraId="2E4324F1">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食材类型</w:t>
            </w:r>
          </w:p>
        </w:tc>
        <w:tc>
          <w:tcPr>
            <w:tcW w:w="7994" w:type="dxa"/>
            <w:noWrap w:val="0"/>
            <w:vAlign w:val="top"/>
          </w:tcPr>
          <w:p w14:paraId="680F2E4D">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要求</w:t>
            </w:r>
          </w:p>
        </w:tc>
      </w:tr>
      <w:tr w14:paraId="376D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272F660">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38" w:type="dxa"/>
            <w:noWrap w:val="0"/>
            <w:vAlign w:val="top"/>
          </w:tcPr>
          <w:p w14:paraId="2079D8E6">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蔬菜类</w:t>
            </w:r>
          </w:p>
        </w:tc>
        <w:tc>
          <w:tcPr>
            <w:tcW w:w="7994" w:type="dxa"/>
            <w:noWrap w:val="0"/>
            <w:vAlign w:val="top"/>
          </w:tcPr>
          <w:p w14:paraId="4B211AB4">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新鲜嫩绿、无黄叶、无菜虫，必须通过农药残留成分测试，蔬菜不带根、不带泥，符合食品卫生要求。</w:t>
            </w:r>
          </w:p>
        </w:tc>
      </w:tr>
      <w:tr w14:paraId="0549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529AB84">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38" w:type="dxa"/>
            <w:noWrap w:val="0"/>
            <w:vAlign w:val="top"/>
          </w:tcPr>
          <w:p w14:paraId="5D9A6A0A">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鲜肉类</w:t>
            </w:r>
          </w:p>
        </w:tc>
        <w:tc>
          <w:tcPr>
            <w:tcW w:w="7994" w:type="dxa"/>
            <w:noWrap w:val="0"/>
            <w:vAlign w:val="top"/>
          </w:tcPr>
          <w:p w14:paraId="55498465">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来源于国家认可的正规肉厂，为当日新鲜商品，必须经检验检疫合格的、有动物检疫及屠宰证明，肉质新鲜，不注水，无病毒，符合食品卫生要求。</w:t>
            </w:r>
          </w:p>
        </w:tc>
      </w:tr>
      <w:tr w14:paraId="5BF0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BD07567">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38" w:type="dxa"/>
            <w:noWrap w:val="0"/>
            <w:vAlign w:val="top"/>
          </w:tcPr>
          <w:p w14:paraId="72342357">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水产类</w:t>
            </w:r>
          </w:p>
        </w:tc>
        <w:tc>
          <w:tcPr>
            <w:tcW w:w="7994" w:type="dxa"/>
            <w:noWrap w:val="0"/>
            <w:vAlign w:val="top"/>
          </w:tcPr>
          <w:p w14:paraId="6C5AAB4B">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肉质新鲜，无病毒，不含有害物质，鲜鱼类必须生猛鲜活。</w:t>
            </w:r>
          </w:p>
        </w:tc>
      </w:tr>
      <w:tr w14:paraId="3684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19E6FC32">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38" w:type="dxa"/>
            <w:noWrap w:val="0"/>
            <w:vAlign w:val="top"/>
          </w:tcPr>
          <w:p w14:paraId="0872318B">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家禽类</w:t>
            </w:r>
          </w:p>
        </w:tc>
        <w:tc>
          <w:tcPr>
            <w:tcW w:w="7994" w:type="dxa"/>
            <w:noWrap w:val="0"/>
            <w:vAlign w:val="top"/>
          </w:tcPr>
          <w:p w14:paraId="461DB662">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有动物检疫证明，新鲜肥美，无内脏，不注水，无病毒，符合食品卫生要求。</w:t>
            </w:r>
          </w:p>
        </w:tc>
      </w:tr>
      <w:tr w14:paraId="214AD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3753037">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238" w:type="dxa"/>
            <w:noWrap w:val="0"/>
            <w:vAlign w:val="top"/>
          </w:tcPr>
          <w:p w14:paraId="0AF501D0">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蛋类</w:t>
            </w:r>
          </w:p>
        </w:tc>
        <w:tc>
          <w:tcPr>
            <w:tcW w:w="7994" w:type="dxa"/>
            <w:noWrap w:val="0"/>
            <w:vAlign w:val="top"/>
          </w:tcPr>
          <w:p w14:paraId="36B07B45">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无公害禽蛋，新鲜，无变质，破损较少。</w:t>
            </w:r>
          </w:p>
        </w:tc>
      </w:tr>
      <w:tr w14:paraId="27A7F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66EE2A21">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238" w:type="dxa"/>
            <w:noWrap w:val="0"/>
            <w:vAlign w:val="top"/>
          </w:tcPr>
          <w:p w14:paraId="5A3A29A9">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冻品类</w:t>
            </w:r>
          </w:p>
        </w:tc>
        <w:tc>
          <w:tcPr>
            <w:tcW w:w="7994" w:type="dxa"/>
            <w:noWrap w:val="0"/>
            <w:vAlign w:val="top"/>
          </w:tcPr>
          <w:p w14:paraId="4DBAC41D">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需有出厂日期、品质优良、包装完好、无异味、无病毒，在保质期内并在送货时提供相对应检验检疫报告等资料。冻品含水量不能超8%,超过8%少于13%按8%结算，超过13%的，该类冻品不予结算。</w:t>
            </w:r>
          </w:p>
        </w:tc>
      </w:tr>
      <w:tr w14:paraId="4983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220B0C8">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238" w:type="dxa"/>
            <w:noWrap w:val="0"/>
            <w:vAlign w:val="top"/>
          </w:tcPr>
          <w:p w14:paraId="295B1C2F">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调料类</w:t>
            </w:r>
          </w:p>
        </w:tc>
        <w:tc>
          <w:tcPr>
            <w:tcW w:w="7994" w:type="dxa"/>
            <w:noWrap w:val="0"/>
            <w:vAlign w:val="top"/>
          </w:tcPr>
          <w:p w14:paraId="6525EAC4">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正规厂家或其代理商，有商标牌号，注明生产日期、产地、保质期、包装规格、有QS标志。</w:t>
            </w:r>
          </w:p>
        </w:tc>
      </w:tr>
      <w:tr w14:paraId="39E6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863F29F">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238" w:type="dxa"/>
            <w:noWrap w:val="0"/>
            <w:vAlign w:val="top"/>
          </w:tcPr>
          <w:p w14:paraId="33447C54">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豆制品类</w:t>
            </w:r>
          </w:p>
        </w:tc>
        <w:tc>
          <w:tcPr>
            <w:tcW w:w="7994" w:type="dxa"/>
            <w:noWrap w:val="0"/>
            <w:vAlign w:val="top"/>
          </w:tcPr>
          <w:p w14:paraId="4ED9A0FB">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以非转基因大豆或杂豆为主要原料，经过加工制成的食品，包括发酵豆制品、非发酵豆制品和大豆蛋白类制品，均须达到食品安全国家标准。</w:t>
            </w:r>
          </w:p>
        </w:tc>
      </w:tr>
      <w:tr w14:paraId="3265E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77F33E4A">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238" w:type="dxa"/>
            <w:noWrap w:val="0"/>
            <w:vAlign w:val="top"/>
          </w:tcPr>
          <w:p w14:paraId="3052A2B5">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卤货类</w:t>
            </w:r>
          </w:p>
        </w:tc>
        <w:tc>
          <w:tcPr>
            <w:tcW w:w="7994" w:type="dxa"/>
            <w:noWrap w:val="0"/>
            <w:vAlign w:val="top"/>
          </w:tcPr>
          <w:p w14:paraId="1BB1914D">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色香味美，无异味、全面烧熟、无病毒、符合卫生要求。</w:t>
            </w:r>
          </w:p>
        </w:tc>
      </w:tr>
      <w:tr w14:paraId="6127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33CE202">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238" w:type="dxa"/>
            <w:noWrap w:val="0"/>
            <w:vAlign w:val="top"/>
          </w:tcPr>
          <w:p w14:paraId="2C2F0649">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水果类</w:t>
            </w:r>
          </w:p>
        </w:tc>
        <w:tc>
          <w:tcPr>
            <w:tcW w:w="7994" w:type="dxa"/>
            <w:noWrap w:val="0"/>
            <w:vAlign w:val="top"/>
          </w:tcPr>
          <w:p w14:paraId="6BD0C5CB">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须为非转基因产品，个头均匀，无斑点，无破损，果实成熟新鲜，味道纯正。按指定品牌及合理报价及收货。</w:t>
            </w:r>
          </w:p>
        </w:tc>
      </w:tr>
      <w:tr w14:paraId="7F17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6230D8CD">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238" w:type="dxa"/>
            <w:noWrap w:val="0"/>
            <w:vAlign w:val="top"/>
          </w:tcPr>
          <w:p w14:paraId="2BE253C8">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奶制品</w:t>
            </w:r>
          </w:p>
        </w:tc>
        <w:tc>
          <w:tcPr>
            <w:tcW w:w="7994" w:type="dxa"/>
            <w:noWrap w:val="0"/>
            <w:vAlign w:val="top"/>
          </w:tcPr>
          <w:p w14:paraId="44FA8025">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产品包装及外观干净、整洁，生产日期、保质期、贮藏条件标识清晰，须在保质期内。</w:t>
            </w:r>
          </w:p>
        </w:tc>
      </w:tr>
      <w:tr w14:paraId="54F94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D2E933B">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238" w:type="dxa"/>
            <w:noWrap w:val="0"/>
            <w:vAlign w:val="top"/>
          </w:tcPr>
          <w:p w14:paraId="77070F9A">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米面类</w:t>
            </w:r>
          </w:p>
        </w:tc>
        <w:tc>
          <w:tcPr>
            <w:tcW w:w="7994" w:type="dxa"/>
            <w:noWrap w:val="0"/>
            <w:vAlign w:val="top"/>
          </w:tcPr>
          <w:p w14:paraId="75311CC9">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产品包装外观整洁，无破损，商品标签信息清晰，生产日期、保质期、贮藏条件清晰 ，须在保质期内，大米，面粉类等产品感官正常。</w:t>
            </w:r>
          </w:p>
        </w:tc>
      </w:tr>
      <w:tr w14:paraId="2245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2BCE3E2B">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238" w:type="dxa"/>
            <w:noWrap w:val="0"/>
            <w:vAlign w:val="top"/>
          </w:tcPr>
          <w:p w14:paraId="573849F5">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食用油</w:t>
            </w:r>
          </w:p>
        </w:tc>
        <w:tc>
          <w:tcPr>
            <w:tcW w:w="7994" w:type="dxa"/>
            <w:noWrap w:val="0"/>
            <w:vAlign w:val="top"/>
          </w:tcPr>
          <w:p w14:paraId="67D8564D">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外包装规范干净，整洁，无破损，无漏油情况，须在保质期内。</w:t>
            </w:r>
          </w:p>
        </w:tc>
      </w:tr>
      <w:tr w14:paraId="49C7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53221342">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238" w:type="dxa"/>
            <w:noWrap w:val="0"/>
            <w:vAlign w:val="top"/>
          </w:tcPr>
          <w:p w14:paraId="4C6536DE">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干货类</w:t>
            </w:r>
          </w:p>
        </w:tc>
        <w:tc>
          <w:tcPr>
            <w:tcW w:w="7994" w:type="dxa"/>
            <w:noWrap w:val="0"/>
            <w:vAlign w:val="top"/>
          </w:tcPr>
          <w:p w14:paraId="7A8D2A74">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在保质期范围内，并保持较好的外观和等级，须是正规厂家并具有合格证书且无任何有害添加剂的优质产品。</w:t>
            </w:r>
          </w:p>
        </w:tc>
      </w:tr>
    </w:tbl>
    <w:p w14:paraId="49E59F69">
      <w:pPr>
        <w:autoSpaceDE w:val="0"/>
        <w:autoSpaceDN w:val="0"/>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六、</w:t>
      </w:r>
      <w:r>
        <w:rPr>
          <w:rFonts w:hint="eastAsia" w:ascii="宋体" w:hAnsi="宋体" w:eastAsia="宋体" w:cs="宋体"/>
          <w:b/>
          <w:color w:val="auto"/>
          <w:szCs w:val="21"/>
          <w:highlight w:val="none"/>
        </w:rPr>
        <w:t>食材安全要求</w:t>
      </w:r>
    </w:p>
    <w:p w14:paraId="5B1E525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1.供应商需提供所有食材的质量检测报告及相关的产品合格证明，并确保证明的真实、合法、有效。</w:t>
      </w:r>
    </w:p>
    <w:p w14:paraId="12E7656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2.采购方有权对供应商配送的各类食材自行或者委托</w:t>
      </w:r>
      <w:r>
        <w:rPr>
          <w:rFonts w:hint="eastAsia" w:ascii="宋体" w:hAnsi="宋体" w:eastAsia="宋体" w:cs="宋体"/>
          <w:color w:val="auto"/>
          <w:szCs w:val="21"/>
          <w:highlight w:val="none"/>
          <w:lang w:val="en-US" w:eastAsia="zh-CN"/>
        </w:rPr>
        <w:t>有资质的</w:t>
      </w:r>
      <w:r>
        <w:rPr>
          <w:rFonts w:hint="eastAsia" w:ascii="宋体" w:hAnsi="宋体" w:eastAsia="宋体" w:cs="宋体"/>
          <w:color w:val="auto"/>
          <w:szCs w:val="21"/>
          <w:highlight w:val="none"/>
        </w:rPr>
        <w:t>第三方检测机构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p>
    <w:p w14:paraId="26E9E41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3.外包装食材的保质期不得低于产品标注保质期的三分之一（自产品标注的生产日期算起）。</w:t>
      </w:r>
    </w:p>
    <w:p w14:paraId="4703AA8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p>
    <w:p w14:paraId="4BAC0E9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5.供应商所供食材质量达不到国家有关食品安全标准而造成食物中毒或其它后果，经公安机关或卫生防疫部门鉴定属于供应商责任的，其产生的一切法律和经济责任全部由供应商承担。</w:t>
      </w:r>
    </w:p>
    <w:p w14:paraId="28FDD50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6.供应商所有员工均须凭健康证上岗，应成立本项目配送专项服务小组，负责相关工作及提供各种服务。</w:t>
      </w:r>
    </w:p>
    <w:p w14:paraId="5A06528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7.供应商应该按照采购方的要求，建立完整的食材追踪溯源体系，提供</w:t>
      </w:r>
      <w:r>
        <w:rPr>
          <w:rFonts w:hint="eastAsia" w:ascii="宋体" w:hAnsi="宋体" w:cs="宋体"/>
          <w:color w:val="auto"/>
          <w:szCs w:val="21"/>
          <w:highlight w:val="none"/>
          <w:lang w:val="en-US" w:eastAsia="zh-CN"/>
        </w:rPr>
        <w:t>有资质</w:t>
      </w:r>
      <w:r>
        <w:rPr>
          <w:rFonts w:hint="eastAsia" w:ascii="宋体" w:hAnsi="宋体" w:eastAsia="宋体" w:cs="宋体"/>
          <w:color w:val="auto"/>
          <w:szCs w:val="21"/>
          <w:highlight w:val="none"/>
        </w:rPr>
        <w:t>实验室检测报告，应当建立专门台账，按食材进货索证和台账登记本格式如实记录配送给采购方的各类物品，留存相关检验合格证明、资质证明、营业执照等有效资料，并可追踪溯源，采购方有权定期检查。</w:t>
      </w:r>
    </w:p>
    <w:p w14:paraId="544A3833">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七、食材配送和验收要求</w:t>
      </w:r>
    </w:p>
    <w:p w14:paraId="5F37B5BA">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hint="eastAsia" w:ascii="宋体" w:hAnsi="宋体" w:eastAsia="宋体" w:cs="宋体"/>
          <w:color w:val="auto"/>
          <w:szCs w:val="21"/>
          <w:highlight w:val="none"/>
        </w:rPr>
        <w:t>上述</w:t>
      </w:r>
      <w:r>
        <w:rPr>
          <w:rFonts w:hint="eastAsia" w:ascii="宋体" w:hAnsi="宋体" w:eastAsia="宋体" w:cs="宋体"/>
          <w:color w:val="auto"/>
          <w:szCs w:val="21"/>
          <w:highlight w:val="none"/>
          <w:lang w:val="zh-CN"/>
        </w:rPr>
        <w:t>货款。</w:t>
      </w:r>
    </w:p>
    <w:p w14:paraId="08D9436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供应商须至少配备4台冷藏车，冷藏车必须满足采购方现场实际条件，符合运输的需求及可操作性。</w:t>
      </w:r>
    </w:p>
    <w:p w14:paraId="728CA26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p>
    <w:p w14:paraId="5389CEAE">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每日食材供应中，供应商应确保所供食材品种、数量、重量的准确性，采购方和供应商应分别建立采购和供应台账，确定专人（不少于两人）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p>
    <w:p w14:paraId="2FF5E61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如因供应商食材配送问题而影响本项目正常</w:t>
      </w:r>
      <w:r>
        <w:rPr>
          <w:rFonts w:hint="eastAsia" w:ascii="宋体" w:hAnsi="宋体" w:eastAsia="宋体" w:cs="宋体"/>
          <w:color w:val="auto"/>
          <w:szCs w:val="21"/>
          <w:highlight w:val="none"/>
        </w:rPr>
        <w:t>供</w:t>
      </w:r>
      <w:r>
        <w:rPr>
          <w:rFonts w:hint="eastAsia" w:ascii="宋体" w:hAnsi="宋体" w:eastAsia="宋体" w:cs="宋体"/>
          <w:color w:val="auto"/>
          <w:szCs w:val="21"/>
          <w:highlight w:val="none"/>
          <w:lang w:val="zh-CN"/>
        </w:rPr>
        <w:t>餐，出现一次，采购方提出口头警告并要求供应商做出书面保证，</w:t>
      </w:r>
      <w:r>
        <w:rPr>
          <w:rFonts w:hint="eastAsia" w:ascii="宋体" w:hAnsi="宋体" w:eastAsia="宋体" w:cs="宋体"/>
          <w:color w:val="auto"/>
          <w:szCs w:val="21"/>
          <w:highlight w:val="none"/>
        </w:rPr>
        <w:t>出现</w:t>
      </w:r>
      <w:r>
        <w:rPr>
          <w:rFonts w:hint="eastAsia" w:ascii="宋体" w:hAnsi="宋体" w:eastAsia="宋体" w:cs="宋体"/>
          <w:color w:val="auto"/>
          <w:szCs w:val="21"/>
          <w:highlight w:val="none"/>
          <w:lang w:val="zh-CN"/>
        </w:rPr>
        <w:t>二次扣当天货款10%-30%；达到三次，采购方可解除供货合同。</w:t>
      </w:r>
    </w:p>
    <w:p w14:paraId="7051C0F3">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采购方对所供食材进行定期检查，如发现问题随时向供应商反映，供应商应及时改进并将整改方案及措施告知采购方，否则，采购方有权中断与供货方的合作，一方终止合同须提前十五天通知对方。</w:t>
      </w:r>
    </w:p>
    <w:p w14:paraId="1233FEA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临时加货处理：对于采购方临时有客餐任务或临时增加员工用餐时，供应商需在接到采购方口头或书面通知时按要求将货物送到采购方的指定地点，派专人负责跟踪服务，保证用餐正常。</w:t>
      </w:r>
    </w:p>
    <w:p w14:paraId="54246D0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 配送过程中涉及相关车辆无法直接抵达区域（如地下停车场等），需转运所涉及的所有费用均含在投标报价中。</w:t>
      </w:r>
    </w:p>
    <w:p w14:paraId="19162DED">
      <w:pPr>
        <w:pStyle w:val="39"/>
        <w:ind w:firstLine="420" w:firstLineChars="200"/>
        <w:outlineLvl w:val="9"/>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9.配送产品外包装要求完好，无破损。</w:t>
      </w:r>
    </w:p>
    <w:p w14:paraId="225A8024">
      <w:pPr>
        <w:rPr>
          <w:rFonts w:hint="default"/>
          <w:highlight w:val="none"/>
          <w:lang w:val="en-US" w:eastAsia="zh-CN"/>
        </w:rPr>
      </w:pPr>
    </w:p>
    <w:p w14:paraId="3BC5A3C1">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八、定价和询价要求</w:t>
      </w:r>
    </w:p>
    <w:p w14:paraId="3A5774E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供应商须按采购方要求每周提供各类食材的报价清单（报价清单需要涵盖所有配送食材原料），若逾期不报，扣除该周食材配送费用的1%。如采购方对食材价格和质量有疑问，供应商须配合采购方随时进行市场调研。</w:t>
      </w:r>
    </w:p>
    <w:p w14:paraId="0E23C1C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采购方调查发现市场同规格、同质量的货品，价格明显低于供应方所供货品，要求供应商根据市场价格立即调整供货价格，如未及时调整达</w:t>
      </w: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lang w:val="zh-CN"/>
        </w:rPr>
        <w:t>次以上，采购方有权更换供应商。</w:t>
      </w:r>
    </w:p>
    <w:p w14:paraId="4D61512F">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九、其他服务要求</w:t>
      </w:r>
    </w:p>
    <w:p w14:paraId="0383976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本项目设试供期，采购方选定供应商并签订合同后正式进入试供期。试供期为一个月，主要考察供应商的货物质量、服务、信誉等方面。试供期满且经采购方综合考察认为合格的，合同继续执行；若试供期间出现质量、服务等问题的，采购方有权终止合同。</w:t>
      </w:r>
    </w:p>
    <w:p w14:paraId="5A4AEBC3">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供应商若需对食材进行现场加工，采购方可提供初加工操作场地，但供应商应工作人员需服从采购方的管理，严格遵守国家的有关法律法规。若违反相关规定，首次发现采购方将予以书面警告；书面警告后再出现</w:t>
      </w:r>
      <w:r>
        <w:rPr>
          <w:rFonts w:hint="eastAsia" w:ascii="宋体" w:hAnsi="宋体" w:eastAsia="宋体" w:cs="宋体"/>
          <w:color w:val="auto"/>
          <w:szCs w:val="21"/>
          <w:highlight w:val="none"/>
        </w:rPr>
        <w:t>类似</w:t>
      </w:r>
      <w:r>
        <w:rPr>
          <w:rFonts w:hint="eastAsia" w:ascii="宋体" w:hAnsi="宋体" w:eastAsia="宋体" w:cs="宋体"/>
          <w:color w:val="auto"/>
          <w:szCs w:val="21"/>
          <w:highlight w:val="none"/>
          <w:lang w:val="zh-CN"/>
        </w:rPr>
        <w:t>情况，采购方有权扣除供应商当天总货款的30％；屡禁不止、情节严重的，采购方有权没收履约保证金，且采购方可直接解除服务合同。</w:t>
      </w:r>
    </w:p>
    <w:p w14:paraId="1B1739C3">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配送供应商不得对采购方或验收人员有行贿行为，一经发现，采购方有权无条件终止合同扣除剩余货款。供应商应遵守采购方保密规定，不得将采购方信息泄露给第三方或其他有关利益方。</w:t>
      </w:r>
    </w:p>
    <w:p w14:paraId="72952BF5">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4.如供应商为非本地单位，中标后需在项目所在地设立临时处理点，作为食材中转和售后服务点，采购方有权对临时处理点进行食品安全卫生</w:t>
      </w:r>
      <w:r>
        <w:rPr>
          <w:rFonts w:hint="eastAsia" w:ascii="宋体" w:hAnsi="宋体" w:eastAsia="宋体" w:cs="宋体"/>
          <w:color w:val="auto"/>
          <w:szCs w:val="21"/>
          <w:highlight w:val="none"/>
        </w:rPr>
        <w:t>检查</w:t>
      </w:r>
      <w:r>
        <w:rPr>
          <w:rFonts w:hint="eastAsia" w:ascii="宋体" w:hAnsi="宋体" w:eastAsia="宋体" w:cs="宋体"/>
          <w:color w:val="auto"/>
          <w:szCs w:val="21"/>
          <w:highlight w:val="none"/>
          <w:lang w:val="zh-CN"/>
        </w:rPr>
        <w:t>。</w:t>
      </w:r>
    </w:p>
    <w:p w14:paraId="5E36B2DC">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供应商在整个配送服务周期内不得将配送服务全部或部分转包，若转包一经采购方发现，采购方可提前终止配送合同。</w:t>
      </w:r>
    </w:p>
    <w:p w14:paraId="06C9C06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因配送过程中出现人身等安全事故，供应商独立承担一切刑事、民事责任，与采购方无关。</w:t>
      </w:r>
    </w:p>
    <w:p w14:paraId="6F44ACD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供应商应对抗风险的能力:根据本项目需求，遵循市场规律，并坚持公开、公平、公正原则，择优选取</w:t>
      </w:r>
      <w:r>
        <w:rPr>
          <w:rFonts w:hint="eastAsia" w:ascii="宋体" w:hAnsi="宋体" w:cs="宋体"/>
          <w:color w:val="auto"/>
          <w:szCs w:val="21"/>
          <w:highlight w:val="none"/>
          <w:lang w:val="zh-CN"/>
        </w:rPr>
        <w:t>：</w:t>
      </w:r>
    </w:p>
    <w:p w14:paraId="3353D042">
      <w:pPr>
        <w:autoSpaceDE w:val="0"/>
        <w:autoSpaceDN w:val="0"/>
        <w:adjustRightInd w:val="0"/>
        <w:spacing w:line="360" w:lineRule="auto"/>
        <w:ind w:firstLine="420" w:firstLineChars="200"/>
        <w:rPr>
          <w:rFonts w:hint="eastAsia" w:ascii="宋体" w:hAnsi="宋体" w:eastAsia="宋体" w:cs="宋体"/>
          <w:color w:val="auto"/>
          <w:szCs w:val="21"/>
          <w:highlight w:val="none"/>
        </w:rPr>
      </w:pPr>
      <w:bookmarkStart w:id="68" w:name="_Hlk131686857"/>
      <w:r>
        <w:rPr>
          <w:rFonts w:hint="eastAsia" w:ascii="宋体" w:hAnsi="宋体" w:eastAsia="宋体" w:cs="宋体"/>
          <w:color w:val="auto"/>
          <w:szCs w:val="21"/>
          <w:highlight w:val="none"/>
          <w:lang w:val="zh-CN"/>
        </w:rPr>
        <w:t>7.1为保证食材的安全，供应商需增加实验室检测功能，</w:t>
      </w:r>
      <w:r>
        <w:rPr>
          <w:rFonts w:hint="eastAsia" w:ascii="宋体" w:hAnsi="宋体" w:eastAsia="宋体" w:cs="宋体"/>
          <w:color w:val="auto"/>
          <w:szCs w:val="21"/>
          <w:highlight w:val="none"/>
        </w:rPr>
        <w:t>每天上传</w:t>
      </w:r>
      <w:r>
        <w:rPr>
          <w:rFonts w:hint="eastAsia" w:ascii="宋体" w:hAnsi="宋体" w:eastAsia="宋体" w:cs="宋体"/>
          <w:color w:val="auto"/>
          <w:szCs w:val="21"/>
          <w:highlight w:val="none"/>
          <w:shd w:val="clear" w:color="auto" w:fill="FFFFFF"/>
        </w:rPr>
        <w:t>苏州</w:t>
      </w:r>
      <w:r>
        <w:rPr>
          <w:rFonts w:hint="eastAsia" w:ascii="宋体" w:hAnsi="宋体" w:eastAsia="宋体" w:cs="宋体"/>
          <w:color w:val="auto"/>
          <w:szCs w:val="21"/>
          <w:highlight w:val="none"/>
          <w:shd w:val="clear" w:color="auto" w:fill="FFFFFF"/>
          <w:lang w:val="en-US" w:eastAsia="zh-CN"/>
        </w:rPr>
        <w:t>市市场监督管理局</w:t>
      </w:r>
      <w:r>
        <w:rPr>
          <w:rFonts w:hint="eastAsia" w:ascii="宋体" w:hAnsi="宋体" w:eastAsia="宋体" w:cs="宋体"/>
          <w:color w:val="auto"/>
          <w:szCs w:val="21"/>
          <w:highlight w:val="none"/>
        </w:rPr>
        <w:t>，并提供每项报告的苏源e码二维码。</w:t>
      </w:r>
    </w:p>
    <w:p w14:paraId="7CB4DBD8">
      <w:pPr>
        <w:shd w:val="clear" w:color="auto" w:fill="FFFFFF"/>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7.2为便于追溯食材的</w:t>
      </w:r>
      <w:r>
        <w:rPr>
          <w:rFonts w:hint="eastAsia" w:ascii="宋体" w:hAnsi="宋体" w:eastAsia="宋体" w:cs="宋体"/>
          <w:color w:val="auto"/>
          <w:szCs w:val="21"/>
          <w:highlight w:val="none"/>
        </w:rPr>
        <w:t>种植/养殖</w:t>
      </w:r>
      <w:r>
        <w:rPr>
          <w:rFonts w:hint="eastAsia" w:ascii="宋体" w:hAnsi="宋体" w:eastAsia="宋体" w:cs="宋体"/>
          <w:color w:val="auto"/>
          <w:szCs w:val="21"/>
          <w:highlight w:val="none"/>
          <w:lang w:val="zh-CN"/>
        </w:rPr>
        <w:t>基地，供应商需自有或租赁基地面积≥</w:t>
      </w:r>
      <w:r>
        <w:rPr>
          <w:rFonts w:hint="eastAsia" w:ascii="宋体" w:hAnsi="宋体" w:eastAsia="宋体" w:cs="宋体"/>
          <w:color w:val="auto"/>
          <w:szCs w:val="21"/>
          <w:highlight w:val="none"/>
        </w:rPr>
        <w:t>500</w:t>
      </w:r>
      <w:r>
        <w:rPr>
          <w:rFonts w:hint="eastAsia" w:ascii="宋体" w:hAnsi="宋体" w:eastAsia="宋体" w:cs="宋体"/>
          <w:color w:val="auto"/>
          <w:szCs w:val="21"/>
          <w:highlight w:val="none"/>
          <w:lang w:val="zh-CN"/>
        </w:rPr>
        <w:t>亩，以当地农业龙头企业为最佳；</w:t>
      </w:r>
    </w:p>
    <w:p w14:paraId="3EFF1821">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7.3为增加食材的质量，供应商配送场地或者企业场所用地≥</w:t>
      </w:r>
      <w:r>
        <w:rPr>
          <w:rFonts w:hint="eastAsia" w:ascii="宋体" w:hAnsi="宋体" w:eastAsia="宋体" w:cs="宋体"/>
          <w:color w:val="auto"/>
          <w:szCs w:val="21"/>
          <w:highlight w:val="none"/>
        </w:rPr>
        <w:t>1000平方米</w:t>
      </w:r>
      <w:r>
        <w:rPr>
          <w:rFonts w:hint="eastAsia" w:ascii="宋体" w:hAnsi="宋体" w:eastAsia="宋体" w:cs="宋体"/>
          <w:color w:val="auto"/>
          <w:szCs w:val="21"/>
          <w:highlight w:val="none"/>
          <w:lang w:val="zh-CN"/>
        </w:rPr>
        <w:t>。</w:t>
      </w:r>
    </w:p>
    <w:p w14:paraId="212332BE">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7.4企业已购或将购食品安全责任保险金额≥</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zh-CN"/>
        </w:rPr>
        <w:t>000万元。</w:t>
      </w:r>
    </w:p>
    <w:bookmarkEnd w:id="68"/>
    <w:p w14:paraId="401A8FBD">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十、中标供应商考核管理办法</w:t>
      </w:r>
    </w:p>
    <w:p w14:paraId="776B1EC5">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.食材配送服务项目</w:t>
      </w:r>
      <w:r>
        <w:rPr>
          <w:rFonts w:hint="eastAsia" w:ascii="宋体" w:hAnsi="宋体" w:eastAsia="宋体" w:cs="宋体"/>
          <w:color w:val="auto"/>
          <w:szCs w:val="21"/>
          <w:highlight w:val="none"/>
          <w:lang w:val="zh-CN"/>
        </w:rPr>
        <w:t>实行月考核制度，每月由采购单位对配送公司进行考核</w:t>
      </w:r>
      <w:r>
        <w:rPr>
          <w:rFonts w:hint="eastAsia" w:ascii="宋体" w:hAnsi="宋体" w:eastAsia="宋体" w:cs="宋体"/>
          <w:color w:val="auto"/>
          <w:szCs w:val="21"/>
          <w:highlight w:val="none"/>
        </w:rPr>
        <w:t>。</w:t>
      </w:r>
    </w:p>
    <w:p w14:paraId="3813C0A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采购</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val="zh-CN"/>
        </w:rPr>
        <w:t>将联合市场监督管理局等部门建立联合检查制度，并通过第三方暗访等措施，定期或不定期地深入食堂、配送公司及配送公司的自供蔬菜、</w:t>
      </w:r>
      <w:r>
        <w:rPr>
          <w:rFonts w:hint="eastAsia" w:ascii="宋体" w:hAnsi="宋体" w:eastAsia="宋体" w:cs="宋体"/>
          <w:color w:val="auto"/>
          <w:szCs w:val="21"/>
          <w:highlight w:val="none"/>
          <w:shd w:val="clear" w:color="auto" w:fill="FFFFFF"/>
          <w:lang w:val="zh-CN"/>
        </w:rPr>
        <w:t>水产基地</w:t>
      </w:r>
      <w:r>
        <w:rPr>
          <w:rFonts w:hint="eastAsia" w:ascii="宋体" w:hAnsi="宋体" w:eastAsia="宋体" w:cs="宋体"/>
          <w:color w:val="auto"/>
          <w:szCs w:val="21"/>
          <w:highlight w:val="none"/>
          <w:lang w:val="zh-CN"/>
        </w:rPr>
        <w:t>，对配送工作进行督查。</w:t>
      </w:r>
    </w:p>
    <w:p w14:paraId="661B658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食材配送服务实行百分制考核，</w:t>
      </w:r>
      <w:r>
        <w:rPr>
          <w:rFonts w:hint="eastAsia" w:ascii="宋体" w:hAnsi="宋体" w:eastAsia="宋体" w:cs="宋体"/>
          <w:color w:val="auto"/>
          <w:szCs w:val="21"/>
          <w:highlight w:val="none"/>
        </w:rPr>
        <w:t>每月考核一次</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考核制度见附表），综合考评得分作为支付当月配送费用的依据，具体计算方法如下：</w:t>
      </w:r>
    </w:p>
    <w:p w14:paraId="34F52831">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考评分在90分（包括90分）以上的，甲方全额支付乙方当月配送费用。</w:t>
      </w:r>
    </w:p>
    <w:p w14:paraId="4FEC0F6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考评</w:t>
      </w:r>
      <w:r>
        <w:rPr>
          <w:rFonts w:hint="eastAsia" w:ascii="宋体" w:hAnsi="宋体" w:eastAsia="宋体" w:cs="宋体"/>
          <w:color w:val="auto"/>
          <w:szCs w:val="21"/>
          <w:highlight w:val="none"/>
          <w:lang w:val="zh-CN"/>
        </w:rPr>
        <w:t>分在</w:t>
      </w:r>
      <w:r>
        <w:rPr>
          <w:rFonts w:hint="eastAsia" w:ascii="宋体" w:hAnsi="宋体" w:eastAsia="宋体" w:cs="宋体"/>
          <w:color w:val="auto"/>
          <w:szCs w:val="21"/>
          <w:highlight w:val="none"/>
        </w:rPr>
        <w:t>85</w:t>
      </w:r>
      <w:r>
        <w:rPr>
          <w:rFonts w:hint="eastAsia" w:ascii="宋体" w:hAnsi="宋体" w:eastAsia="宋体" w:cs="宋体"/>
          <w:color w:val="auto"/>
          <w:szCs w:val="21"/>
          <w:highlight w:val="none"/>
          <w:lang w:val="zh-CN"/>
        </w:rPr>
        <w:t>分（</w:t>
      </w:r>
      <w:r>
        <w:rPr>
          <w:rFonts w:hint="eastAsia" w:ascii="宋体" w:hAnsi="宋体" w:eastAsia="宋体" w:cs="宋体"/>
          <w:color w:val="auto"/>
          <w:szCs w:val="21"/>
          <w:highlight w:val="none"/>
        </w:rPr>
        <w:t>包括85分</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以上、90分以下的</w:t>
      </w:r>
      <w:r>
        <w:rPr>
          <w:rFonts w:hint="eastAsia" w:ascii="宋体" w:hAnsi="宋体" w:eastAsia="宋体" w:cs="宋体"/>
          <w:color w:val="auto"/>
          <w:szCs w:val="21"/>
          <w:highlight w:val="none"/>
          <w:lang w:val="zh-CN"/>
        </w:rPr>
        <w:t>的，扣除当月配送费用的</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w:t>
      </w:r>
    </w:p>
    <w:p w14:paraId="6349F98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考评</w:t>
      </w:r>
      <w:r>
        <w:rPr>
          <w:rFonts w:hint="eastAsia" w:ascii="宋体" w:hAnsi="宋体" w:eastAsia="宋体" w:cs="宋体"/>
          <w:color w:val="auto"/>
          <w:szCs w:val="21"/>
          <w:highlight w:val="none"/>
          <w:lang w:val="zh-CN"/>
        </w:rPr>
        <w:t>分在</w:t>
      </w:r>
      <w:r>
        <w:rPr>
          <w:rFonts w:hint="eastAsia" w:ascii="宋体" w:hAnsi="宋体" w:eastAsia="宋体" w:cs="宋体"/>
          <w:color w:val="auto"/>
          <w:szCs w:val="21"/>
          <w:highlight w:val="none"/>
        </w:rPr>
        <w:t>80</w:t>
      </w:r>
      <w:r>
        <w:rPr>
          <w:rFonts w:hint="eastAsia" w:ascii="宋体" w:hAnsi="宋体" w:eastAsia="宋体" w:cs="宋体"/>
          <w:color w:val="auto"/>
          <w:szCs w:val="21"/>
          <w:highlight w:val="none"/>
          <w:lang w:val="zh-CN"/>
        </w:rPr>
        <w:t>分（</w:t>
      </w:r>
      <w:r>
        <w:rPr>
          <w:rFonts w:hint="eastAsia" w:ascii="宋体" w:hAnsi="宋体" w:eastAsia="宋体" w:cs="宋体"/>
          <w:color w:val="auto"/>
          <w:szCs w:val="21"/>
          <w:highlight w:val="none"/>
        </w:rPr>
        <w:t>包括80分</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以上、85以下分的</w:t>
      </w:r>
      <w:r>
        <w:rPr>
          <w:rFonts w:hint="eastAsia" w:ascii="宋体" w:hAnsi="宋体" w:eastAsia="宋体" w:cs="宋体"/>
          <w:color w:val="auto"/>
          <w:szCs w:val="21"/>
          <w:highlight w:val="none"/>
          <w:lang w:val="zh-CN"/>
        </w:rPr>
        <w:t>，扣除当月配送费用的</w:t>
      </w: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zh-CN"/>
        </w:rPr>
        <w:t>%。</w:t>
      </w:r>
    </w:p>
    <w:p w14:paraId="1B6433E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 xml:space="preserve">4 </w:t>
      </w:r>
      <w:r>
        <w:rPr>
          <w:rFonts w:hint="eastAsia" w:ascii="宋体" w:hAnsi="宋体" w:eastAsia="宋体" w:cs="宋体"/>
          <w:color w:val="auto"/>
          <w:highlight w:val="none"/>
        </w:rPr>
        <w:t>考评分在80分以下的，为月综合考评不达标。如中标人在年度服务期内两次配送服务月综合考评未达标，则年度综合考评不达标，采购人有权终止合同。</w:t>
      </w:r>
    </w:p>
    <w:p w14:paraId="5EAB5F80">
      <w:pPr>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十一、付款方式：采购方和供应商次月核对上月配送食材总量及费用总额，核对无误后进行支付，详见附件合同。</w:t>
      </w:r>
    </w:p>
    <w:p w14:paraId="52677BEF">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十二、监督管理</w:t>
      </w:r>
    </w:p>
    <w:p w14:paraId="2B50132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食材供应商在合同执行期间有下列行为之一的，采购方有权直接解除供货服务合同：</w:t>
      </w:r>
    </w:p>
    <w:p w14:paraId="13C9644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1.中标后无正当理由不与采购单位签订合同的；</w:t>
      </w:r>
    </w:p>
    <w:p w14:paraId="55D99D7F">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2.擅自变更或者终止采购服务合同的；</w:t>
      </w:r>
    </w:p>
    <w:p w14:paraId="04B4F47B">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3.试供期不合格的（详见合同）；</w:t>
      </w:r>
    </w:p>
    <w:p w14:paraId="4EE0AEAC">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4.不按采购需求、投标文件以及采购服务合同要求全面履约或履约情况评价不合格的；</w:t>
      </w:r>
    </w:p>
    <w:p w14:paraId="05DEACA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5.未按规定出具检测报告或相关承诺书等资料达到二次的；</w:t>
      </w:r>
    </w:p>
    <w:p w14:paraId="34B2A513">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6.经核实配送食材不符合采购单位要求达到三次的；</w:t>
      </w:r>
    </w:p>
    <w:p w14:paraId="56B1B505">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7.不按要求提供报价三次的；</w:t>
      </w:r>
    </w:p>
    <w:p w14:paraId="3747FE4D">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8.虚高报价三次的；</w:t>
      </w:r>
    </w:p>
    <w:p w14:paraId="1F674E8F">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9.配送的食材存在严重质量问题的；</w:t>
      </w:r>
    </w:p>
    <w:p w14:paraId="40BD2587">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10.因配送的食材质量达不到国家有关食品安全标准而造成食物中毒或其它后果，经公安机关或卫生防疫部门鉴定属于供应商（配送单位）责任的；</w:t>
      </w:r>
    </w:p>
    <w:p w14:paraId="36D1A82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11.造成严重后果或恶劣影响的行为。</w:t>
      </w:r>
    </w:p>
    <w:p w14:paraId="57521110">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十三、综合说明：</w:t>
      </w:r>
    </w:p>
    <w:p w14:paraId="36AA19F5">
      <w:pPr>
        <w:autoSpaceDE w:val="0"/>
        <w:autoSpaceDN w:val="0"/>
        <w:adjustRightInd w:val="0"/>
        <w:snapToGrid w:val="0"/>
        <w:spacing w:line="360" w:lineRule="auto"/>
        <w:ind w:firstLine="409" w:firstLineChars="195"/>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投标单位提供的服务能够至少达到以上要求，同时明确详细的服务方案。</w:t>
      </w:r>
    </w:p>
    <w:p w14:paraId="25E3617C">
      <w:pPr>
        <w:autoSpaceDE w:val="0"/>
        <w:autoSpaceDN w:val="0"/>
        <w:adjustRightInd w:val="0"/>
        <w:snapToGrid w:val="0"/>
        <w:spacing w:line="360" w:lineRule="auto"/>
        <w:ind w:firstLine="409" w:firstLineChars="195"/>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投标单位必须承诺招标文件中提出的全部维护要求，如果以其中某些条款不响应时，应在文件中逐条列出，未列出的视同响应。</w:t>
      </w:r>
    </w:p>
    <w:p w14:paraId="72E0EE64">
      <w:pPr>
        <w:autoSpaceDE w:val="0"/>
        <w:autoSpaceDN w:val="0"/>
        <w:adjustRightInd w:val="0"/>
        <w:snapToGrid w:val="0"/>
        <w:spacing w:line="360" w:lineRule="auto"/>
        <w:ind w:firstLine="409" w:firstLineChars="195"/>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3.如遇政策调整或经营模式改变，甲方有权提前终止合同，已发生的合同金额按实结算，无须承担任何违约责任。</w:t>
      </w:r>
    </w:p>
    <w:p w14:paraId="2339EA46">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w:t>
      </w:r>
      <w:r>
        <w:rPr>
          <w:rFonts w:hint="eastAsia" w:ascii="宋体" w:hAnsi="宋体" w:cs="宋体"/>
          <w:b/>
          <w:color w:val="auto"/>
          <w:sz w:val="32"/>
          <w:szCs w:val="32"/>
          <w:highlight w:val="none"/>
          <w:lang w:val="en-US" w:eastAsia="zh-CN"/>
        </w:rPr>
        <w:t>考核</w:t>
      </w:r>
      <w:r>
        <w:rPr>
          <w:rFonts w:hint="eastAsia" w:ascii="宋体" w:hAnsi="宋体" w:eastAsia="宋体" w:cs="宋体"/>
          <w:b/>
          <w:color w:val="auto"/>
          <w:sz w:val="32"/>
          <w:szCs w:val="32"/>
          <w:highlight w:val="none"/>
        </w:rPr>
        <w:t>表：</w:t>
      </w:r>
    </w:p>
    <w:p w14:paraId="12FEE648">
      <w:pPr>
        <w:jc w:val="center"/>
        <w:rPr>
          <w:rFonts w:hint="eastAsia" w:ascii="宋体" w:hAnsi="宋体" w:eastAsia="宋体" w:cs="宋体"/>
          <w:b/>
          <w:bCs/>
          <w:color w:val="auto"/>
          <w:highlight w:val="none"/>
        </w:rPr>
      </w:pPr>
      <w:r>
        <w:rPr>
          <w:rFonts w:hint="eastAsia" w:ascii="宋体" w:hAnsi="宋体" w:eastAsia="宋体" w:cs="宋体"/>
          <w:color w:val="auto"/>
          <w:highlight w:val="none"/>
          <w:lang w:val="zh-CN"/>
        </w:rPr>
        <w:br w:type="page"/>
      </w:r>
      <w:bookmarkEnd w:id="65"/>
      <w:bookmarkEnd w:id="66"/>
      <w:bookmarkEnd w:id="67"/>
    </w:p>
    <w:tbl>
      <w:tblPr>
        <w:tblStyle w:val="32"/>
        <w:tblpPr w:leftFromText="180" w:rightFromText="180" w:vertAnchor="page" w:horzAnchor="page" w:tblpXSpec="center" w:tblpY="1719"/>
        <w:tblW w:w="9975" w:type="dxa"/>
        <w:tblInd w:w="0" w:type="dxa"/>
        <w:tblLayout w:type="fixed"/>
        <w:tblCellMar>
          <w:top w:w="0" w:type="dxa"/>
          <w:left w:w="108" w:type="dxa"/>
          <w:bottom w:w="0" w:type="dxa"/>
          <w:right w:w="108" w:type="dxa"/>
        </w:tblCellMar>
      </w:tblPr>
      <w:tblGrid>
        <w:gridCol w:w="959"/>
        <w:gridCol w:w="1134"/>
        <w:gridCol w:w="6526"/>
        <w:gridCol w:w="718"/>
        <w:gridCol w:w="638"/>
      </w:tblGrid>
      <w:tr w14:paraId="2B7F2A27">
        <w:tblPrEx>
          <w:tblCellMar>
            <w:top w:w="0" w:type="dxa"/>
            <w:left w:w="108" w:type="dxa"/>
            <w:bottom w:w="0" w:type="dxa"/>
            <w:right w:w="108" w:type="dxa"/>
          </w:tblCellMar>
        </w:tblPrEx>
        <w:trPr>
          <w:trHeight w:val="405" w:hRule="atLeast"/>
        </w:trPr>
        <w:tc>
          <w:tcPr>
            <w:tcW w:w="9975" w:type="dxa"/>
            <w:gridSpan w:val="5"/>
            <w:noWrap/>
            <w:vAlign w:val="center"/>
          </w:tcPr>
          <w:p w14:paraId="6054D1BD">
            <w:pPr>
              <w:widowControl/>
              <w:jc w:val="center"/>
              <w:textAlignment w:val="center"/>
              <w:rPr>
                <w:rFonts w:ascii="宋体" w:hAnsi="宋体" w:cs="宋体"/>
                <w:b/>
                <w:bCs/>
                <w:color w:val="auto"/>
                <w:sz w:val="32"/>
                <w:szCs w:val="32"/>
                <w:highlight w:val="none"/>
              </w:rPr>
            </w:pPr>
            <w:bookmarkStart w:id="69" w:name="_Toc71721074"/>
            <w:r>
              <w:rPr>
                <w:rFonts w:hint="eastAsia" w:ascii="宋体" w:hAnsi="宋体" w:cs="宋体"/>
                <w:b/>
                <w:bCs/>
                <w:color w:val="auto"/>
                <w:kern w:val="0"/>
                <w:sz w:val="32"/>
                <w:szCs w:val="32"/>
                <w:highlight w:val="none"/>
              </w:rPr>
              <w:t>食堂食材供货及配送服务月度考核表</w:t>
            </w:r>
          </w:p>
        </w:tc>
      </w:tr>
      <w:tr w14:paraId="54FE952A">
        <w:tblPrEx>
          <w:tblCellMar>
            <w:top w:w="0" w:type="dxa"/>
            <w:left w:w="108" w:type="dxa"/>
            <w:bottom w:w="0" w:type="dxa"/>
            <w:right w:w="108" w:type="dxa"/>
          </w:tblCellMar>
        </w:tblPrEx>
        <w:trPr>
          <w:trHeight w:val="285" w:hRule="atLeast"/>
        </w:trPr>
        <w:tc>
          <w:tcPr>
            <w:tcW w:w="959" w:type="dxa"/>
            <w:noWrap/>
            <w:vAlign w:val="center"/>
          </w:tcPr>
          <w:p w14:paraId="7F89CF53">
            <w:pPr>
              <w:rPr>
                <w:rFonts w:ascii="宋体" w:hAnsi="宋体" w:cs="宋体"/>
                <w:color w:val="auto"/>
                <w:sz w:val="22"/>
                <w:szCs w:val="22"/>
                <w:highlight w:val="none"/>
              </w:rPr>
            </w:pPr>
          </w:p>
        </w:tc>
        <w:tc>
          <w:tcPr>
            <w:tcW w:w="1134" w:type="dxa"/>
            <w:noWrap/>
            <w:vAlign w:val="center"/>
          </w:tcPr>
          <w:p w14:paraId="2CE90389">
            <w:pPr>
              <w:widowControl/>
              <w:textAlignment w:val="center"/>
              <w:rPr>
                <w:rFonts w:ascii="宋体" w:hAnsi="宋体" w:cs="宋体"/>
                <w:color w:val="auto"/>
                <w:sz w:val="24"/>
                <w:highlight w:val="none"/>
              </w:rPr>
            </w:pPr>
            <w:r>
              <w:rPr>
                <w:rFonts w:hint="eastAsia" w:ascii="宋体" w:hAnsi="宋体" w:cs="宋体"/>
                <w:color w:val="auto"/>
                <w:kern w:val="0"/>
                <w:sz w:val="24"/>
                <w:highlight w:val="none"/>
              </w:rPr>
              <w:t xml:space="preserve"> </w:t>
            </w:r>
          </w:p>
        </w:tc>
        <w:tc>
          <w:tcPr>
            <w:tcW w:w="6526" w:type="dxa"/>
            <w:vAlign w:val="center"/>
          </w:tcPr>
          <w:p w14:paraId="6EE8ACA6">
            <w:pPr>
              <w:rPr>
                <w:rFonts w:ascii="宋体" w:hAnsi="宋体" w:cs="宋体"/>
                <w:color w:val="auto"/>
                <w:sz w:val="22"/>
                <w:szCs w:val="22"/>
                <w:highlight w:val="none"/>
              </w:rPr>
            </w:pPr>
          </w:p>
        </w:tc>
        <w:tc>
          <w:tcPr>
            <w:tcW w:w="718" w:type="dxa"/>
            <w:noWrap/>
            <w:vAlign w:val="center"/>
          </w:tcPr>
          <w:p w14:paraId="0539A2B6">
            <w:pPr>
              <w:rPr>
                <w:rFonts w:ascii="宋体" w:hAnsi="宋体" w:cs="宋体"/>
                <w:color w:val="auto"/>
                <w:sz w:val="22"/>
                <w:szCs w:val="22"/>
                <w:highlight w:val="none"/>
              </w:rPr>
            </w:pPr>
          </w:p>
        </w:tc>
        <w:tc>
          <w:tcPr>
            <w:tcW w:w="638" w:type="dxa"/>
            <w:noWrap/>
            <w:vAlign w:val="center"/>
          </w:tcPr>
          <w:p w14:paraId="76A0EBC6">
            <w:pPr>
              <w:rPr>
                <w:rFonts w:ascii="宋体" w:hAnsi="宋体" w:cs="宋体"/>
                <w:color w:val="auto"/>
                <w:sz w:val="22"/>
                <w:szCs w:val="22"/>
                <w:highlight w:val="none"/>
              </w:rPr>
            </w:pPr>
          </w:p>
        </w:tc>
      </w:tr>
      <w:tr w14:paraId="64D82F6B">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9297F3B">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序号</w:t>
            </w:r>
          </w:p>
        </w:tc>
        <w:tc>
          <w:tcPr>
            <w:tcW w:w="1134" w:type="dxa"/>
            <w:tcBorders>
              <w:top w:val="single" w:color="000000" w:sz="4" w:space="0"/>
              <w:left w:val="single" w:color="000000" w:sz="4" w:space="0"/>
              <w:bottom w:val="single" w:color="000000" w:sz="4" w:space="0"/>
              <w:right w:val="single" w:color="000000" w:sz="4" w:space="0"/>
            </w:tcBorders>
            <w:vAlign w:val="center"/>
          </w:tcPr>
          <w:p w14:paraId="3C33C907">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指标</w:t>
            </w:r>
          </w:p>
        </w:tc>
        <w:tc>
          <w:tcPr>
            <w:tcW w:w="6526" w:type="dxa"/>
            <w:tcBorders>
              <w:top w:val="single" w:color="000000" w:sz="4" w:space="0"/>
              <w:left w:val="single" w:color="000000" w:sz="4" w:space="0"/>
              <w:bottom w:val="single" w:color="000000" w:sz="4" w:space="0"/>
              <w:right w:val="single" w:color="000000" w:sz="4" w:space="0"/>
            </w:tcBorders>
            <w:vAlign w:val="center"/>
          </w:tcPr>
          <w:p w14:paraId="2E8A9C72">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考核要素和评估内容及其标准</w:t>
            </w:r>
          </w:p>
        </w:tc>
        <w:tc>
          <w:tcPr>
            <w:tcW w:w="718" w:type="dxa"/>
            <w:tcBorders>
              <w:top w:val="single" w:color="000000" w:sz="4" w:space="0"/>
              <w:left w:val="single" w:color="000000" w:sz="4" w:space="0"/>
              <w:bottom w:val="single" w:color="000000" w:sz="4" w:space="0"/>
              <w:right w:val="single" w:color="000000" w:sz="4" w:space="0"/>
            </w:tcBorders>
            <w:vAlign w:val="center"/>
          </w:tcPr>
          <w:p w14:paraId="10EDA949">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分值</w:t>
            </w:r>
          </w:p>
        </w:tc>
        <w:tc>
          <w:tcPr>
            <w:tcW w:w="638" w:type="dxa"/>
            <w:tcBorders>
              <w:top w:val="single" w:color="000000" w:sz="4" w:space="0"/>
              <w:left w:val="single" w:color="000000" w:sz="4" w:space="0"/>
              <w:bottom w:val="single" w:color="000000" w:sz="4" w:space="0"/>
              <w:right w:val="single" w:color="000000" w:sz="4" w:space="0"/>
            </w:tcBorders>
            <w:vAlign w:val="center"/>
          </w:tcPr>
          <w:p w14:paraId="334B79F4">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得分</w:t>
            </w:r>
          </w:p>
        </w:tc>
      </w:tr>
      <w:tr w14:paraId="65B1EF3C">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6A9887E">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134" w:type="dxa"/>
            <w:tcBorders>
              <w:top w:val="single" w:color="000000" w:sz="4" w:space="0"/>
              <w:left w:val="single" w:color="000000" w:sz="4" w:space="0"/>
              <w:bottom w:val="single" w:color="000000" w:sz="4" w:space="0"/>
              <w:right w:val="single" w:color="000000" w:sz="4" w:space="0"/>
            </w:tcBorders>
            <w:vAlign w:val="center"/>
          </w:tcPr>
          <w:p w14:paraId="22B095E5">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服务团队</w:t>
            </w:r>
          </w:p>
        </w:tc>
        <w:tc>
          <w:tcPr>
            <w:tcW w:w="6526" w:type="dxa"/>
            <w:tcBorders>
              <w:top w:val="single" w:color="000000" w:sz="4" w:space="0"/>
              <w:left w:val="single" w:color="000000" w:sz="4" w:space="0"/>
              <w:bottom w:val="single" w:color="000000" w:sz="4" w:space="0"/>
              <w:right w:val="single" w:color="000000" w:sz="4" w:space="0"/>
            </w:tcBorders>
            <w:vAlign w:val="center"/>
          </w:tcPr>
          <w:p w14:paraId="73145C0E">
            <w:pPr>
              <w:widowControl/>
              <w:textAlignment w:val="center"/>
              <w:rPr>
                <w:rFonts w:ascii="宋体" w:hAnsi="宋体" w:cs="宋体"/>
                <w:color w:val="auto"/>
                <w:szCs w:val="21"/>
                <w:highlight w:val="none"/>
              </w:rPr>
            </w:pPr>
            <w:r>
              <w:rPr>
                <w:rStyle w:val="292"/>
                <w:rFonts w:hint="default"/>
                <w:color w:val="auto"/>
                <w:highlight w:val="none"/>
              </w:rPr>
              <w:t>有专门的团队服务人员，工作认真，服务热情周到，定期沟通协调，</w:t>
            </w:r>
            <w:r>
              <w:rPr>
                <w:rStyle w:val="592"/>
                <w:rFonts w:hint="default"/>
                <w:color w:val="auto"/>
                <w:highlight w:val="none"/>
              </w:rPr>
              <w:t>得</w:t>
            </w:r>
            <w:r>
              <w:rPr>
                <w:rStyle w:val="292"/>
                <w:rFonts w:hint="default"/>
                <w:color w:val="auto"/>
                <w:highlight w:val="none"/>
              </w:rPr>
              <w:t>4分，提供从业人员身份证、健康证明复印件及工作证，得2分，人证不符发现一次扣6分。</w:t>
            </w:r>
          </w:p>
        </w:tc>
        <w:tc>
          <w:tcPr>
            <w:tcW w:w="718" w:type="dxa"/>
            <w:tcBorders>
              <w:top w:val="single" w:color="000000" w:sz="4" w:space="0"/>
              <w:left w:val="single" w:color="000000" w:sz="4" w:space="0"/>
              <w:bottom w:val="single" w:color="000000" w:sz="4" w:space="0"/>
              <w:right w:val="single" w:color="000000" w:sz="4" w:space="0"/>
            </w:tcBorders>
            <w:vAlign w:val="center"/>
          </w:tcPr>
          <w:p w14:paraId="534F8F68">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6</w:t>
            </w:r>
          </w:p>
        </w:tc>
        <w:tc>
          <w:tcPr>
            <w:tcW w:w="638" w:type="dxa"/>
            <w:tcBorders>
              <w:top w:val="single" w:color="000000" w:sz="4" w:space="0"/>
              <w:left w:val="single" w:color="000000" w:sz="4" w:space="0"/>
              <w:bottom w:val="single" w:color="000000" w:sz="4" w:space="0"/>
              <w:right w:val="single" w:color="000000" w:sz="4" w:space="0"/>
            </w:tcBorders>
            <w:vAlign w:val="center"/>
          </w:tcPr>
          <w:p w14:paraId="538BE69B">
            <w:pPr>
              <w:widowControl/>
              <w:jc w:val="center"/>
              <w:textAlignment w:val="center"/>
              <w:rPr>
                <w:rFonts w:ascii="宋体" w:hAnsi="宋体" w:cs="宋体"/>
                <w:color w:val="auto"/>
                <w:kern w:val="0"/>
                <w:szCs w:val="21"/>
                <w:highlight w:val="none"/>
              </w:rPr>
            </w:pPr>
          </w:p>
        </w:tc>
      </w:tr>
      <w:tr w14:paraId="4B8D4240">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5AD9287">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1134" w:type="dxa"/>
            <w:tcBorders>
              <w:top w:val="single" w:color="000000" w:sz="4" w:space="0"/>
              <w:left w:val="single" w:color="000000" w:sz="4" w:space="0"/>
              <w:bottom w:val="single" w:color="000000" w:sz="4" w:space="0"/>
              <w:right w:val="single" w:color="000000" w:sz="4" w:space="0"/>
            </w:tcBorders>
            <w:vAlign w:val="center"/>
          </w:tcPr>
          <w:p w14:paraId="3532AE80">
            <w:pPr>
              <w:widowControl/>
              <w:jc w:val="center"/>
              <w:textAlignment w:val="center"/>
              <w:rPr>
                <w:rFonts w:ascii="宋体" w:hAnsi="宋体" w:cs="宋体"/>
                <w:color w:val="auto"/>
                <w:szCs w:val="21"/>
                <w:highlight w:val="none"/>
              </w:rPr>
            </w:pPr>
            <w:r>
              <w:rPr>
                <w:rFonts w:ascii="宋体" w:hAnsi="宋体" w:cs="宋体"/>
                <w:color w:val="auto"/>
                <w:szCs w:val="21"/>
                <w:highlight w:val="none"/>
              </w:rPr>
              <w:t>配送设备</w:t>
            </w:r>
          </w:p>
        </w:tc>
        <w:tc>
          <w:tcPr>
            <w:tcW w:w="6526" w:type="dxa"/>
            <w:tcBorders>
              <w:top w:val="single" w:color="000000" w:sz="4" w:space="0"/>
              <w:left w:val="single" w:color="000000" w:sz="4" w:space="0"/>
              <w:bottom w:val="single" w:color="000000" w:sz="4" w:space="0"/>
              <w:right w:val="single" w:color="000000" w:sz="4" w:space="0"/>
            </w:tcBorders>
            <w:vAlign w:val="center"/>
          </w:tcPr>
          <w:p w14:paraId="7C81B8EC">
            <w:pPr>
              <w:widowControl/>
              <w:textAlignment w:val="center"/>
              <w:rPr>
                <w:rFonts w:ascii="宋体" w:hAnsi="宋体" w:cs="宋体"/>
                <w:color w:val="auto"/>
                <w:szCs w:val="21"/>
                <w:highlight w:val="none"/>
              </w:rPr>
            </w:pPr>
            <w:r>
              <w:rPr>
                <w:rStyle w:val="292"/>
                <w:rFonts w:hint="default"/>
                <w:color w:val="auto"/>
                <w:highlight w:val="none"/>
              </w:rPr>
              <w:t>提供配送车辆信息材料、送货均使用专用冷藏车（4-10月须开启冷藏设备，其余时间视气温情况而定）得8分，未用冷藏车或该开启冷藏设备而未开启冷藏设备发现一次扣8分，人车不符或委托其他车辆人员代送发现一次扣8分。</w:t>
            </w:r>
          </w:p>
        </w:tc>
        <w:tc>
          <w:tcPr>
            <w:tcW w:w="718" w:type="dxa"/>
            <w:tcBorders>
              <w:top w:val="single" w:color="000000" w:sz="4" w:space="0"/>
              <w:left w:val="single" w:color="000000" w:sz="4" w:space="0"/>
              <w:bottom w:val="single" w:color="000000" w:sz="4" w:space="0"/>
              <w:right w:val="single" w:color="000000" w:sz="4" w:space="0"/>
            </w:tcBorders>
            <w:vAlign w:val="center"/>
          </w:tcPr>
          <w:p w14:paraId="424CC6E2">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8</w:t>
            </w:r>
          </w:p>
        </w:tc>
        <w:tc>
          <w:tcPr>
            <w:tcW w:w="638" w:type="dxa"/>
            <w:tcBorders>
              <w:top w:val="single" w:color="000000" w:sz="4" w:space="0"/>
              <w:left w:val="single" w:color="000000" w:sz="4" w:space="0"/>
              <w:bottom w:val="single" w:color="000000" w:sz="4" w:space="0"/>
              <w:right w:val="single" w:color="000000" w:sz="4" w:space="0"/>
            </w:tcBorders>
            <w:vAlign w:val="center"/>
          </w:tcPr>
          <w:p w14:paraId="07147231">
            <w:pPr>
              <w:widowControl/>
              <w:jc w:val="center"/>
              <w:textAlignment w:val="center"/>
              <w:rPr>
                <w:rFonts w:ascii="宋体" w:hAnsi="宋体" w:cs="宋体"/>
                <w:color w:val="auto"/>
                <w:kern w:val="0"/>
                <w:szCs w:val="21"/>
                <w:highlight w:val="none"/>
              </w:rPr>
            </w:pPr>
          </w:p>
        </w:tc>
      </w:tr>
      <w:tr w14:paraId="42181555">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6D15B22">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1134" w:type="dxa"/>
            <w:tcBorders>
              <w:top w:val="single" w:color="000000" w:sz="4" w:space="0"/>
              <w:left w:val="single" w:color="000000" w:sz="4" w:space="0"/>
              <w:bottom w:val="single" w:color="000000" w:sz="4" w:space="0"/>
              <w:right w:val="single" w:color="000000" w:sz="4" w:space="0"/>
            </w:tcBorders>
            <w:vAlign w:val="center"/>
          </w:tcPr>
          <w:p w14:paraId="621F1B6F">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准时送货</w:t>
            </w:r>
          </w:p>
        </w:tc>
        <w:tc>
          <w:tcPr>
            <w:tcW w:w="6526" w:type="dxa"/>
            <w:tcBorders>
              <w:top w:val="single" w:color="000000" w:sz="4" w:space="0"/>
              <w:left w:val="single" w:color="000000" w:sz="4" w:space="0"/>
              <w:bottom w:val="single" w:color="000000" w:sz="4" w:space="0"/>
              <w:right w:val="single" w:color="000000" w:sz="4" w:space="0"/>
            </w:tcBorders>
            <w:vAlign w:val="center"/>
          </w:tcPr>
          <w:p w14:paraId="39CEB297">
            <w:pPr>
              <w:widowControl/>
              <w:jc w:val="left"/>
              <w:textAlignment w:val="center"/>
              <w:rPr>
                <w:rFonts w:ascii="宋体" w:hAnsi="宋体"/>
                <w:color w:val="auto"/>
                <w:szCs w:val="21"/>
                <w:highlight w:val="none"/>
              </w:rPr>
            </w:pPr>
            <w:r>
              <w:rPr>
                <w:rStyle w:val="292"/>
                <w:rFonts w:hint="default"/>
                <w:color w:val="auto"/>
                <w:highlight w:val="none"/>
              </w:rPr>
              <w:t>食材均在规定时间内全部送达得10分，分次送达一次扣5分，扣完为止。未在规定时间内（8:00前）送达，延误一次扣5分，扣完为止。临时加急采买食材未在规定时间内送达，延误一次扣5分，扣完为止。影响出菜或活动举办，一次扣10分。</w:t>
            </w:r>
          </w:p>
        </w:tc>
        <w:tc>
          <w:tcPr>
            <w:tcW w:w="718" w:type="dxa"/>
            <w:tcBorders>
              <w:top w:val="single" w:color="000000" w:sz="4" w:space="0"/>
              <w:left w:val="single" w:color="000000" w:sz="4" w:space="0"/>
              <w:bottom w:val="single" w:color="000000" w:sz="4" w:space="0"/>
              <w:right w:val="single" w:color="000000" w:sz="4" w:space="0"/>
            </w:tcBorders>
            <w:vAlign w:val="center"/>
          </w:tcPr>
          <w:p w14:paraId="74CE3B44">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vAlign w:val="center"/>
          </w:tcPr>
          <w:p w14:paraId="0CC0A37C">
            <w:pPr>
              <w:widowControl/>
              <w:jc w:val="center"/>
              <w:textAlignment w:val="center"/>
              <w:rPr>
                <w:rFonts w:ascii="宋体" w:hAnsi="宋体" w:cs="宋体"/>
                <w:color w:val="auto"/>
                <w:kern w:val="0"/>
                <w:szCs w:val="21"/>
                <w:highlight w:val="none"/>
              </w:rPr>
            </w:pPr>
          </w:p>
        </w:tc>
      </w:tr>
      <w:tr w14:paraId="18EC3449">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6B0049DB">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4</w:t>
            </w:r>
          </w:p>
        </w:tc>
        <w:tc>
          <w:tcPr>
            <w:tcW w:w="1134" w:type="dxa"/>
            <w:tcBorders>
              <w:top w:val="single" w:color="000000" w:sz="4" w:space="0"/>
              <w:left w:val="single" w:color="000000" w:sz="4" w:space="0"/>
              <w:bottom w:val="single" w:color="000000" w:sz="4" w:space="0"/>
              <w:right w:val="single" w:color="000000" w:sz="4" w:space="0"/>
            </w:tcBorders>
            <w:vAlign w:val="center"/>
          </w:tcPr>
          <w:p w14:paraId="3EE493CD">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配送</w:t>
            </w:r>
            <w:r>
              <w:rPr>
                <w:rFonts w:ascii="宋体" w:hAnsi="宋体" w:cs="宋体"/>
                <w:color w:val="auto"/>
                <w:szCs w:val="21"/>
                <w:highlight w:val="none"/>
              </w:rPr>
              <w:t>要求</w:t>
            </w:r>
          </w:p>
        </w:tc>
        <w:tc>
          <w:tcPr>
            <w:tcW w:w="6526" w:type="dxa"/>
            <w:tcBorders>
              <w:top w:val="single" w:color="000000" w:sz="4" w:space="0"/>
              <w:left w:val="single" w:color="000000" w:sz="4" w:space="0"/>
              <w:bottom w:val="single" w:color="000000" w:sz="4" w:space="0"/>
              <w:right w:val="single" w:color="000000" w:sz="4" w:space="0"/>
            </w:tcBorders>
            <w:vAlign w:val="center"/>
          </w:tcPr>
          <w:p w14:paraId="249D5CD5">
            <w:pPr>
              <w:widowControl/>
              <w:textAlignment w:val="center"/>
              <w:rPr>
                <w:rFonts w:ascii="宋体" w:hAnsi="宋体" w:cs="宋体"/>
                <w:color w:val="auto"/>
                <w:szCs w:val="21"/>
                <w:highlight w:val="none"/>
              </w:rPr>
            </w:pPr>
            <w:r>
              <w:rPr>
                <w:rStyle w:val="292"/>
                <w:rFonts w:hint="default"/>
                <w:color w:val="auto"/>
                <w:highlight w:val="none"/>
              </w:rPr>
              <w:t>验菜准备工作充分，在验菜前按照食材种类整齐摆放在指定区域内得2分，盛放容器合适得2分，验菜毕主动协助餐饮团队将食材运送至各操作间得2分，</w:t>
            </w:r>
            <w:r>
              <w:rPr>
                <w:rFonts w:ascii="宋体" w:hAnsi="宋体" w:cs="宋体"/>
                <w:color w:val="auto"/>
                <w:szCs w:val="21"/>
                <w:highlight w:val="none"/>
              </w:rPr>
              <w:t xml:space="preserve"> 做好现场清洁卫生工作得</w:t>
            </w:r>
            <w:r>
              <w:rPr>
                <w:rFonts w:hint="eastAsia" w:ascii="宋体" w:hAnsi="宋体" w:cs="宋体"/>
                <w:color w:val="auto"/>
                <w:szCs w:val="21"/>
                <w:highlight w:val="none"/>
              </w:rPr>
              <w:t>2分</w:t>
            </w:r>
            <w:r>
              <w:rPr>
                <w:rFonts w:ascii="宋体" w:hAnsi="宋体" w:cs="宋体"/>
                <w:color w:val="auto"/>
                <w:szCs w:val="21"/>
                <w:highlight w:val="none"/>
              </w:rPr>
              <w:t>，关闭门禁得</w:t>
            </w:r>
            <w:r>
              <w:rPr>
                <w:rFonts w:hint="eastAsia" w:ascii="宋体" w:hAnsi="宋体" w:cs="宋体"/>
                <w:color w:val="auto"/>
                <w:szCs w:val="21"/>
                <w:highlight w:val="none"/>
              </w:rPr>
              <w:t>2分，擅自进入冻库发现一次扣5分，扣完为止。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169F6147">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0BD0ED7">
            <w:pPr>
              <w:rPr>
                <w:rFonts w:ascii="宋体" w:hAnsi="宋体" w:cs="宋体"/>
                <w:color w:val="auto"/>
                <w:sz w:val="22"/>
                <w:szCs w:val="22"/>
                <w:highlight w:val="none"/>
              </w:rPr>
            </w:pPr>
          </w:p>
        </w:tc>
      </w:tr>
      <w:tr w14:paraId="15F75ED9">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49394A21">
            <w:pPr>
              <w:widowControl/>
              <w:jc w:val="center"/>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5</w:t>
            </w:r>
          </w:p>
        </w:tc>
        <w:tc>
          <w:tcPr>
            <w:tcW w:w="1134" w:type="dxa"/>
            <w:tcBorders>
              <w:top w:val="single" w:color="000000" w:sz="4" w:space="0"/>
              <w:left w:val="single" w:color="000000" w:sz="4" w:space="0"/>
              <w:bottom w:val="single" w:color="000000" w:sz="4" w:space="0"/>
              <w:right w:val="single" w:color="000000" w:sz="4" w:space="0"/>
            </w:tcBorders>
            <w:vAlign w:val="center"/>
          </w:tcPr>
          <w:p w14:paraId="1FC6FD54">
            <w:pPr>
              <w:widowControl/>
              <w:textAlignment w:val="center"/>
              <w:rPr>
                <w:rFonts w:ascii="宋体" w:hAnsi="宋体" w:cs="宋体"/>
                <w:color w:val="auto"/>
                <w:szCs w:val="21"/>
                <w:highlight w:val="none"/>
              </w:rPr>
            </w:pPr>
            <w:r>
              <w:rPr>
                <w:rFonts w:hint="eastAsia" w:ascii="宋体" w:hAnsi="宋体" w:cs="宋体"/>
                <w:color w:val="auto"/>
                <w:szCs w:val="21"/>
                <w:highlight w:val="none"/>
              </w:rPr>
              <w:t>操作规范</w:t>
            </w:r>
          </w:p>
        </w:tc>
        <w:tc>
          <w:tcPr>
            <w:tcW w:w="6526" w:type="dxa"/>
            <w:tcBorders>
              <w:top w:val="single" w:color="000000" w:sz="4" w:space="0"/>
              <w:left w:val="single" w:color="000000" w:sz="4" w:space="0"/>
              <w:bottom w:val="single" w:color="000000" w:sz="4" w:space="0"/>
              <w:right w:val="single" w:color="000000" w:sz="4" w:space="0"/>
            </w:tcBorders>
            <w:vAlign w:val="center"/>
          </w:tcPr>
          <w:p w14:paraId="32E6703F">
            <w:pPr>
              <w:widowControl/>
              <w:textAlignment w:val="center"/>
              <w:rPr>
                <w:rStyle w:val="292"/>
                <w:rFonts w:hint="default"/>
                <w:color w:val="auto"/>
                <w:highlight w:val="none"/>
              </w:rPr>
            </w:pPr>
            <w:r>
              <w:rPr>
                <w:rStyle w:val="292"/>
                <w:rFonts w:hint="default"/>
                <w:color w:val="auto"/>
                <w:highlight w:val="none"/>
              </w:rPr>
              <w:t>有专门的工作服，服装整洁干净，操作规范，能按要求进行粗加工，并在规定时间内完成，操作完毕做好现场清洁卫生及设备保养维护工作</w:t>
            </w:r>
            <w:r>
              <w:rPr>
                <w:rStyle w:val="292"/>
                <w:color w:val="auto"/>
                <w:highlight w:val="none"/>
              </w:rPr>
              <w:t>得</w:t>
            </w:r>
            <w:r>
              <w:rPr>
                <w:rStyle w:val="292"/>
                <w:rFonts w:hint="default"/>
                <w:color w:val="auto"/>
                <w:highlight w:val="none"/>
              </w:rPr>
              <w:t>6</w:t>
            </w:r>
            <w:r>
              <w:rPr>
                <w:rStyle w:val="292"/>
                <w:color w:val="auto"/>
                <w:highlight w:val="none"/>
              </w:rPr>
              <w:t>分</w:t>
            </w:r>
            <w:r>
              <w:rPr>
                <w:rStyle w:val="292"/>
                <w:rFonts w:hint="default"/>
                <w:color w:val="auto"/>
                <w:highlight w:val="none"/>
              </w:rPr>
              <w:t>，未穿工作服一次扣2分，未按要求完成加工一次扣2分，未按要求保持现场清洁及设备保养一次扣2分。</w:t>
            </w:r>
          </w:p>
        </w:tc>
        <w:tc>
          <w:tcPr>
            <w:tcW w:w="718" w:type="dxa"/>
            <w:tcBorders>
              <w:top w:val="single" w:color="000000" w:sz="4" w:space="0"/>
              <w:left w:val="single" w:color="000000" w:sz="4" w:space="0"/>
              <w:bottom w:val="single" w:color="000000" w:sz="4" w:space="0"/>
              <w:right w:val="single" w:color="000000" w:sz="4" w:space="0"/>
            </w:tcBorders>
            <w:vAlign w:val="center"/>
          </w:tcPr>
          <w:p w14:paraId="0584164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A669D7D">
            <w:pPr>
              <w:rPr>
                <w:rFonts w:ascii="宋体" w:hAnsi="宋体" w:cs="宋体"/>
                <w:color w:val="auto"/>
                <w:sz w:val="22"/>
                <w:szCs w:val="22"/>
                <w:highlight w:val="none"/>
              </w:rPr>
            </w:pPr>
          </w:p>
        </w:tc>
      </w:tr>
      <w:tr w14:paraId="5A6E4F83">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3066D73C">
            <w:pPr>
              <w:widowControl/>
              <w:jc w:val="center"/>
              <w:textAlignment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1134" w:type="dxa"/>
            <w:tcBorders>
              <w:top w:val="single" w:color="000000" w:sz="4" w:space="0"/>
              <w:left w:val="single" w:color="000000" w:sz="4" w:space="0"/>
              <w:bottom w:val="single" w:color="000000" w:sz="4" w:space="0"/>
              <w:right w:val="single" w:color="000000" w:sz="4" w:space="0"/>
            </w:tcBorders>
            <w:vAlign w:val="center"/>
          </w:tcPr>
          <w:p w14:paraId="4222AEB6">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保质保量</w:t>
            </w:r>
          </w:p>
        </w:tc>
        <w:tc>
          <w:tcPr>
            <w:tcW w:w="6526" w:type="dxa"/>
            <w:tcBorders>
              <w:top w:val="single" w:color="000000" w:sz="4" w:space="0"/>
              <w:left w:val="single" w:color="000000" w:sz="4" w:space="0"/>
              <w:bottom w:val="single" w:color="000000" w:sz="4" w:space="0"/>
              <w:right w:val="single" w:color="000000" w:sz="4" w:space="0"/>
            </w:tcBorders>
            <w:vAlign w:val="center"/>
          </w:tcPr>
          <w:p w14:paraId="04D89307">
            <w:pPr>
              <w:widowControl/>
              <w:textAlignment w:val="center"/>
              <w:rPr>
                <w:rFonts w:ascii="宋体" w:hAnsi="宋体"/>
                <w:color w:val="auto"/>
                <w:szCs w:val="21"/>
                <w:highlight w:val="none"/>
              </w:rPr>
            </w:pPr>
            <w:r>
              <w:rPr>
                <w:rStyle w:val="292"/>
                <w:rFonts w:hint="default"/>
                <w:color w:val="auto"/>
                <w:highlight w:val="none"/>
              </w:rPr>
              <w:t>保证商品质量，经过实验室功能检测，保证食材新鲜，无以次（劣）充好现象，无过期或变质食品得10分，发现一次假冒伪劣商品、变质商品、过期商品扣10分。食材未经挑选出现腐烂、黄叶等现象或原材料来源不明的发现</w:t>
            </w:r>
            <w:r>
              <w:rPr>
                <w:rFonts w:hint="eastAsia" w:cs="宋体"/>
                <w:color w:val="auto"/>
                <w:kern w:val="0"/>
                <w:highlight w:val="none"/>
              </w:rPr>
              <w:t>一</w:t>
            </w:r>
            <w:r>
              <w:rPr>
                <w:rStyle w:val="292"/>
                <w:rFonts w:hint="default"/>
                <w:color w:val="auto"/>
                <w:highlight w:val="none"/>
              </w:rPr>
              <w:t>次扣</w:t>
            </w:r>
            <w:r>
              <w:rPr>
                <w:rFonts w:hint="eastAsia" w:cs="宋体"/>
                <w:color w:val="auto"/>
                <w:kern w:val="0"/>
                <w:highlight w:val="none"/>
              </w:rPr>
              <w:t>5</w:t>
            </w:r>
            <w:r>
              <w:rPr>
                <w:rStyle w:val="292"/>
                <w:rFonts w:hint="default"/>
                <w:color w:val="auto"/>
                <w:highlight w:val="none"/>
              </w:rPr>
              <w:t>分，扣完为止。所有供应的货物的保质期绝不低于产品标注保质期的三分之一（自产品标注的生产日期算起），发现一次扣10分。（需注明发现时间及现场实物照片）。送货无短斤缺两现象，缺少分量达到该类食材配送总量5%以上，发现一次扣5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43EDCDE3">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4D02D2AB">
            <w:pPr>
              <w:rPr>
                <w:rFonts w:ascii="宋体" w:hAnsi="宋体" w:cs="宋体"/>
                <w:color w:val="auto"/>
                <w:sz w:val="22"/>
                <w:szCs w:val="22"/>
                <w:highlight w:val="none"/>
              </w:rPr>
            </w:pPr>
          </w:p>
        </w:tc>
      </w:tr>
      <w:tr w14:paraId="36CEEA72">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6CF6312F">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7</w:t>
            </w:r>
          </w:p>
        </w:tc>
        <w:tc>
          <w:tcPr>
            <w:tcW w:w="1134" w:type="dxa"/>
            <w:tcBorders>
              <w:top w:val="single" w:color="000000" w:sz="4" w:space="0"/>
              <w:left w:val="single" w:color="000000" w:sz="4" w:space="0"/>
              <w:bottom w:val="single" w:color="000000" w:sz="4" w:space="0"/>
              <w:right w:val="single" w:color="000000" w:sz="4" w:space="0"/>
            </w:tcBorders>
            <w:vAlign w:val="center"/>
          </w:tcPr>
          <w:p w14:paraId="0106D2F7">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安全清洁</w:t>
            </w:r>
          </w:p>
        </w:tc>
        <w:tc>
          <w:tcPr>
            <w:tcW w:w="6526" w:type="dxa"/>
            <w:tcBorders>
              <w:top w:val="single" w:color="000000" w:sz="4" w:space="0"/>
              <w:left w:val="single" w:color="000000" w:sz="4" w:space="0"/>
              <w:bottom w:val="single" w:color="000000" w:sz="4" w:space="0"/>
              <w:right w:val="single" w:color="000000" w:sz="4" w:space="0"/>
            </w:tcBorders>
            <w:vAlign w:val="center"/>
          </w:tcPr>
          <w:p w14:paraId="12FA3068">
            <w:pPr>
              <w:widowControl/>
              <w:textAlignment w:val="center"/>
              <w:rPr>
                <w:rFonts w:ascii="宋体" w:hAnsi="宋体" w:cs="宋体"/>
                <w:color w:val="auto"/>
                <w:szCs w:val="21"/>
                <w:highlight w:val="none"/>
              </w:rPr>
            </w:pPr>
            <w:r>
              <w:rPr>
                <w:rStyle w:val="292"/>
                <w:rFonts w:hint="default"/>
                <w:color w:val="auto"/>
                <w:highlight w:val="none"/>
              </w:rPr>
              <w:t>运输工具、贮物筐箱、包装材料等保持清洁卫生得4分，抽查到不符要求的发现一次扣1分，扣完为止。运输过程中，防止有油污血水等污染运输通道，发现一次扣1分，扣完为止。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13D2D4EF">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40DE5EAC">
            <w:pPr>
              <w:rPr>
                <w:rFonts w:ascii="宋体" w:hAnsi="宋体" w:cs="宋体"/>
                <w:color w:val="auto"/>
                <w:sz w:val="22"/>
                <w:szCs w:val="22"/>
                <w:highlight w:val="none"/>
              </w:rPr>
            </w:pPr>
          </w:p>
        </w:tc>
      </w:tr>
      <w:tr w14:paraId="29E2A97F">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25A4CBED">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8</w:t>
            </w:r>
          </w:p>
        </w:tc>
        <w:tc>
          <w:tcPr>
            <w:tcW w:w="1134" w:type="dxa"/>
            <w:tcBorders>
              <w:top w:val="single" w:color="000000" w:sz="4" w:space="0"/>
              <w:left w:val="single" w:color="000000" w:sz="4" w:space="0"/>
              <w:bottom w:val="single" w:color="000000" w:sz="4" w:space="0"/>
              <w:right w:val="single" w:color="000000" w:sz="4" w:space="0"/>
            </w:tcBorders>
            <w:vAlign w:val="center"/>
          </w:tcPr>
          <w:p w14:paraId="7EF07364">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品牌规范</w:t>
            </w:r>
          </w:p>
        </w:tc>
        <w:tc>
          <w:tcPr>
            <w:tcW w:w="6526" w:type="dxa"/>
            <w:tcBorders>
              <w:top w:val="single" w:color="000000" w:sz="4" w:space="0"/>
              <w:left w:val="single" w:color="000000" w:sz="4" w:space="0"/>
              <w:bottom w:val="single" w:color="000000" w:sz="4" w:space="0"/>
              <w:right w:val="single" w:color="000000" w:sz="4" w:space="0"/>
            </w:tcBorders>
            <w:vAlign w:val="center"/>
          </w:tcPr>
          <w:p w14:paraId="483C972D">
            <w:pPr>
              <w:widowControl/>
              <w:textAlignment w:val="center"/>
              <w:rPr>
                <w:rFonts w:ascii="宋体" w:hAnsi="宋体" w:cs="宋体"/>
                <w:color w:val="auto"/>
                <w:szCs w:val="21"/>
                <w:highlight w:val="none"/>
              </w:rPr>
            </w:pPr>
            <w:r>
              <w:rPr>
                <w:rStyle w:val="292"/>
                <w:rFonts w:hint="default"/>
                <w:color w:val="auto"/>
                <w:highlight w:val="none"/>
              </w:rPr>
              <w:t>按照采购方公布的目录品牌规格采购、供货，实际配送与食材申购单无差错得10分，擅自更改申购单发现1次扣5分，擅自更换品牌配送发现1次扣5分，扣完为止，不能及时按照采购方公布的目录品牌规格采购发现1次扣5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4A68B54A">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642C784">
            <w:pPr>
              <w:rPr>
                <w:rFonts w:ascii="宋体" w:hAnsi="宋体" w:cs="宋体"/>
                <w:color w:val="auto"/>
                <w:sz w:val="22"/>
                <w:szCs w:val="22"/>
                <w:highlight w:val="none"/>
              </w:rPr>
            </w:pPr>
          </w:p>
        </w:tc>
      </w:tr>
      <w:tr w14:paraId="658D2AFE">
        <w:tblPrEx>
          <w:tblCellMar>
            <w:top w:w="0" w:type="dxa"/>
            <w:left w:w="108" w:type="dxa"/>
            <w:bottom w:w="0" w:type="dxa"/>
            <w:right w:w="108" w:type="dxa"/>
          </w:tblCellMar>
        </w:tblPrEx>
        <w:trPr>
          <w:trHeight w:val="127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037D387">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9</w:t>
            </w:r>
          </w:p>
        </w:tc>
        <w:tc>
          <w:tcPr>
            <w:tcW w:w="1134" w:type="dxa"/>
            <w:tcBorders>
              <w:top w:val="single" w:color="000000" w:sz="4" w:space="0"/>
              <w:left w:val="single" w:color="000000" w:sz="4" w:space="0"/>
              <w:bottom w:val="single" w:color="000000" w:sz="4" w:space="0"/>
              <w:right w:val="single" w:color="000000" w:sz="4" w:space="0"/>
            </w:tcBorders>
            <w:vAlign w:val="center"/>
          </w:tcPr>
          <w:p w14:paraId="0DF0E612">
            <w:pPr>
              <w:rPr>
                <w:color w:val="auto"/>
                <w:highlight w:val="none"/>
              </w:rPr>
            </w:pPr>
            <w:r>
              <w:rPr>
                <w:rFonts w:hint="eastAsia"/>
                <w:color w:val="auto"/>
                <w:highlight w:val="none"/>
              </w:rPr>
              <w:t>单据清晰</w:t>
            </w:r>
          </w:p>
        </w:tc>
        <w:tc>
          <w:tcPr>
            <w:tcW w:w="6526" w:type="dxa"/>
            <w:tcBorders>
              <w:top w:val="single" w:color="000000" w:sz="4" w:space="0"/>
              <w:left w:val="single" w:color="000000" w:sz="4" w:space="0"/>
              <w:bottom w:val="single" w:color="000000" w:sz="4" w:space="0"/>
              <w:right w:val="single" w:color="000000" w:sz="4" w:space="0"/>
            </w:tcBorders>
          </w:tcPr>
          <w:p w14:paraId="239F418F">
            <w:pPr>
              <w:rPr>
                <w:color w:val="auto"/>
                <w:highlight w:val="none"/>
              </w:rPr>
            </w:pPr>
            <w:r>
              <w:rPr>
                <w:rFonts w:hint="eastAsia"/>
                <w:color w:val="auto"/>
                <w:highlight w:val="none"/>
              </w:rPr>
              <w:t>按采购方要求每周提供各类食材的报价清单（报价清单需要涵盖所有配送食材原料）得4分，若逾期或不报价，一次扣2分，扣完为止；擅自调价，每次扣2分，扣完为止；虚报价格，超过市场价30%，发现一次扣8分。每日规定时间内完成电子送货单，数据正确得4分，未在规定时间内完成，一次扣2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47060243">
            <w:pPr>
              <w:jc w:val="center"/>
              <w:rPr>
                <w:color w:val="auto"/>
                <w:highlight w:val="none"/>
              </w:rPr>
            </w:pPr>
            <w:r>
              <w:rPr>
                <w:rFonts w:hint="eastAsia"/>
                <w:color w:val="auto"/>
                <w:highlight w:val="none"/>
              </w:rPr>
              <w:t>8</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70AE74B6">
            <w:pPr>
              <w:rPr>
                <w:rFonts w:ascii="宋体" w:hAnsi="宋体" w:cs="宋体"/>
                <w:color w:val="auto"/>
                <w:sz w:val="22"/>
                <w:szCs w:val="22"/>
                <w:highlight w:val="none"/>
              </w:rPr>
            </w:pPr>
          </w:p>
        </w:tc>
      </w:tr>
      <w:tr w14:paraId="53E7F92D">
        <w:tblPrEx>
          <w:tblCellMar>
            <w:top w:w="0" w:type="dxa"/>
            <w:left w:w="108" w:type="dxa"/>
            <w:bottom w:w="0" w:type="dxa"/>
            <w:right w:w="108" w:type="dxa"/>
          </w:tblCellMar>
        </w:tblPrEx>
        <w:trPr>
          <w:trHeight w:val="983"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6BA34006">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10</w:t>
            </w:r>
          </w:p>
        </w:tc>
        <w:tc>
          <w:tcPr>
            <w:tcW w:w="1134" w:type="dxa"/>
            <w:tcBorders>
              <w:top w:val="single" w:color="000000" w:sz="4" w:space="0"/>
              <w:left w:val="single" w:color="000000" w:sz="4" w:space="0"/>
              <w:bottom w:val="single" w:color="000000" w:sz="4" w:space="0"/>
              <w:right w:val="single" w:color="000000" w:sz="4" w:space="0"/>
            </w:tcBorders>
            <w:vAlign w:val="center"/>
          </w:tcPr>
          <w:p w14:paraId="0E7EF89D">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索证索票</w:t>
            </w:r>
          </w:p>
        </w:tc>
        <w:tc>
          <w:tcPr>
            <w:tcW w:w="6526" w:type="dxa"/>
            <w:tcBorders>
              <w:top w:val="single" w:color="000000" w:sz="4" w:space="0"/>
              <w:left w:val="single" w:color="000000" w:sz="4" w:space="0"/>
              <w:bottom w:val="single" w:color="000000" w:sz="4" w:space="0"/>
              <w:right w:val="single" w:color="000000" w:sz="4" w:space="0"/>
            </w:tcBorders>
            <w:vAlign w:val="center"/>
          </w:tcPr>
          <w:p w14:paraId="07D9320E">
            <w:pPr>
              <w:widowControl/>
              <w:textAlignment w:val="center"/>
              <w:rPr>
                <w:rFonts w:ascii="宋体" w:hAnsi="宋体" w:cs="宋体"/>
                <w:color w:val="auto"/>
                <w:szCs w:val="21"/>
                <w:highlight w:val="none"/>
              </w:rPr>
            </w:pPr>
            <w:r>
              <w:rPr>
                <w:rStyle w:val="292"/>
                <w:rFonts w:hint="default"/>
                <w:color w:val="auto"/>
                <w:highlight w:val="none"/>
              </w:rPr>
              <w:t>按照相关法律法规规定及监管部门要求，所有食材必须向采购方提供原材料的检测报告及产品合格证，证件齐全、随货一起送达得8分，每少一次扣2分，扣完为止。供应商应该按照采购方的要求，建立完整的各类物品追踪溯源体系，</w:t>
            </w:r>
            <w:r>
              <w:rPr>
                <w:rFonts w:hint="eastAsia" w:ascii="宋体" w:hAnsi="宋体"/>
                <w:color w:val="auto"/>
                <w:szCs w:val="21"/>
                <w:highlight w:val="none"/>
              </w:rPr>
              <w:t>提供实验室检测报告，</w:t>
            </w:r>
            <w:r>
              <w:rPr>
                <w:rStyle w:val="292"/>
                <w:rFonts w:hint="default"/>
                <w:color w:val="auto"/>
                <w:highlight w:val="none"/>
              </w:rPr>
              <w:t>建立专门台账，按食品进货索证和台账登记本格式如实记录配送给采购方的各类物品，留存相关检验合格证明、资质证明、营业执照等有效资料，并可追踪溯源得2分，采购方有权定期检查，发现问题每次扣2分。</w:t>
            </w:r>
          </w:p>
        </w:tc>
        <w:tc>
          <w:tcPr>
            <w:tcW w:w="718" w:type="dxa"/>
            <w:tcBorders>
              <w:top w:val="single" w:color="000000" w:sz="4" w:space="0"/>
              <w:left w:val="single" w:color="000000" w:sz="4" w:space="0"/>
              <w:bottom w:val="single" w:color="000000" w:sz="4" w:space="0"/>
              <w:right w:val="single" w:color="000000" w:sz="4" w:space="0"/>
            </w:tcBorders>
            <w:vAlign w:val="center"/>
          </w:tcPr>
          <w:p w14:paraId="44CD859E">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7BD3418">
            <w:pPr>
              <w:rPr>
                <w:rFonts w:ascii="宋体" w:hAnsi="宋体" w:cs="宋体"/>
                <w:color w:val="auto"/>
                <w:sz w:val="22"/>
                <w:szCs w:val="22"/>
                <w:highlight w:val="none"/>
              </w:rPr>
            </w:pPr>
          </w:p>
        </w:tc>
      </w:tr>
      <w:tr w14:paraId="6BB70EA2">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405EF01A">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11</w:t>
            </w:r>
          </w:p>
        </w:tc>
        <w:tc>
          <w:tcPr>
            <w:tcW w:w="1134" w:type="dxa"/>
            <w:tcBorders>
              <w:top w:val="single" w:color="000000" w:sz="4" w:space="0"/>
              <w:left w:val="single" w:color="000000" w:sz="4" w:space="0"/>
              <w:bottom w:val="single" w:color="000000" w:sz="4" w:space="0"/>
              <w:right w:val="single" w:color="000000" w:sz="4" w:space="0"/>
            </w:tcBorders>
            <w:vAlign w:val="center"/>
          </w:tcPr>
          <w:p w14:paraId="17971DC6">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应急处置</w:t>
            </w:r>
          </w:p>
        </w:tc>
        <w:tc>
          <w:tcPr>
            <w:tcW w:w="6526" w:type="dxa"/>
            <w:tcBorders>
              <w:top w:val="single" w:color="000000" w:sz="4" w:space="0"/>
              <w:left w:val="single" w:color="000000" w:sz="4" w:space="0"/>
              <w:bottom w:val="single" w:color="000000" w:sz="4" w:space="0"/>
              <w:right w:val="single" w:color="000000" w:sz="4" w:space="0"/>
            </w:tcBorders>
            <w:vAlign w:val="center"/>
          </w:tcPr>
          <w:p w14:paraId="2A71C041">
            <w:pPr>
              <w:widowControl/>
              <w:textAlignment w:val="center"/>
              <w:rPr>
                <w:rFonts w:ascii="宋体" w:hAnsi="宋体" w:cs="宋体"/>
                <w:color w:val="auto"/>
                <w:szCs w:val="21"/>
                <w:highlight w:val="none"/>
              </w:rPr>
            </w:pPr>
            <w:r>
              <w:rPr>
                <w:rFonts w:hint="eastAsia" w:ascii="宋体" w:hAnsi="宋体" w:cs="宋体"/>
                <w:color w:val="auto"/>
                <w:kern w:val="0"/>
                <w:szCs w:val="21"/>
                <w:highlight w:val="none"/>
              </w:rPr>
              <w:t>对于突发事件能够快速处置，明确专门人员应急处置机制，明确应急处置流程，细化相应岗位人员在食品安全事故应急处置中的职责，落实应急处置措施，快速反应，妥善处置得4分。</w:t>
            </w:r>
          </w:p>
        </w:tc>
        <w:tc>
          <w:tcPr>
            <w:tcW w:w="718" w:type="dxa"/>
            <w:tcBorders>
              <w:top w:val="single" w:color="000000" w:sz="4" w:space="0"/>
              <w:left w:val="single" w:color="000000" w:sz="4" w:space="0"/>
              <w:bottom w:val="single" w:color="000000" w:sz="4" w:space="0"/>
              <w:right w:val="single" w:color="000000" w:sz="4" w:space="0"/>
            </w:tcBorders>
            <w:vAlign w:val="center"/>
          </w:tcPr>
          <w:p w14:paraId="49A98D0C">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7D122A73">
            <w:pPr>
              <w:rPr>
                <w:rFonts w:ascii="宋体" w:hAnsi="宋体" w:cs="宋体"/>
                <w:color w:val="auto"/>
                <w:sz w:val="22"/>
                <w:szCs w:val="22"/>
                <w:highlight w:val="none"/>
              </w:rPr>
            </w:pPr>
          </w:p>
        </w:tc>
      </w:tr>
      <w:tr w14:paraId="33CFC9A9">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4CAF63C5">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12</w:t>
            </w:r>
          </w:p>
        </w:tc>
        <w:tc>
          <w:tcPr>
            <w:tcW w:w="1134" w:type="dxa"/>
            <w:tcBorders>
              <w:top w:val="single" w:color="000000" w:sz="4" w:space="0"/>
              <w:left w:val="single" w:color="000000" w:sz="4" w:space="0"/>
              <w:bottom w:val="single" w:color="000000" w:sz="4" w:space="0"/>
              <w:right w:val="single" w:color="000000" w:sz="4" w:space="0"/>
            </w:tcBorders>
            <w:vAlign w:val="center"/>
          </w:tcPr>
          <w:p w14:paraId="1C3D2812">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结算精准</w:t>
            </w:r>
          </w:p>
        </w:tc>
        <w:tc>
          <w:tcPr>
            <w:tcW w:w="6526" w:type="dxa"/>
            <w:tcBorders>
              <w:top w:val="single" w:color="000000" w:sz="4" w:space="0"/>
              <w:left w:val="single" w:color="000000" w:sz="4" w:space="0"/>
              <w:bottom w:val="single" w:color="000000" w:sz="4" w:space="0"/>
              <w:right w:val="single" w:color="000000" w:sz="4" w:space="0"/>
            </w:tcBorders>
            <w:vAlign w:val="center"/>
          </w:tcPr>
          <w:p w14:paraId="7617494F">
            <w:pPr>
              <w:widowControl/>
              <w:textAlignment w:val="center"/>
              <w:rPr>
                <w:rFonts w:ascii="宋体" w:hAnsi="宋体" w:cs="宋体"/>
                <w:color w:val="auto"/>
                <w:szCs w:val="21"/>
                <w:highlight w:val="none"/>
              </w:rPr>
            </w:pPr>
            <w:r>
              <w:rPr>
                <w:rStyle w:val="292"/>
                <w:rFonts w:hint="default"/>
                <w:color w:val="auto"/>
                <w:highlight w:val="none"/>
              </w:rPr>
              <w:t>送货单上单价、月底结算价格与采购方核定价一致，得4分，每月10日前，将对账单发送至采购方，延误一天扣2分。</w:t>
            </w:r>
          </w:p>
        </w:tc>
        <w:tc>
          <w:tcPr>
            <w:tcW w:w="718" w:type="dxa"/>
            <w:tcBorders>
              <w:top w:val="single" w:color="000000" w:sz="4" w:space="0"/>
              <w:left w:val="single" w:color="000000" w:sz="4" w:space="0"/>
              <w:bottom w:val="single" w:color="000000" w:sz="4" w:space="0"/>
              <w:right w:val="single" w:color="000000" w:sz="4" w:space="0"/>
            </w:tcBorders>
            <w:vAlign w:val="center"/>
          </w:tcPr>
          <w:p w14:paraId="7C1121BB">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F077A07">
            <w:pPr>
              <w:rPr>
                <w:rFonts w:ascii="宋体" w:hAnsi="宋体" w:cs="宋体"/>
                <w:color w:val="auto"/>
                <w:sz w:val="22"/>
                <w:szCs w:val="22"/>
                <w:highlight w:val="none"/>
              </w:rPr>
            </w:pPr>
          </w:p>
        </w:tc>
      </w:tr>
      <w:tr w14:paraId="2C64E27B">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40925066">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13</w:t>
            </w:r>
          </w:p>
        </w:tc>
        <w:tc>
          <w:tcPr>
            <w:tcW w:w="1134" w:type="dxa"/>
            <w:tcBorders>
              <w:top w:val="single" w:color="000000" w:sz="4" w:space="0"/>
              <w:left w:val="single" w:color="000000" w:sz="4" w:space="0"/>
              <w:bottom w:val="single" w:color="000000" w:sz="4" w:space="0"/>
              <w:right w:val="single" w:color="000000" w:sz="4" w:space="0"/>
            </w:tcBorders>
            <w:vAlign w:val="center"/>
          </w:tcPr>
          <w:p w14:paraId="4C23FC5A">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及时整改</w:t>
            </w:r>
          </w:p>
        </w:tc>
        <w:tc>
          <w:tcPr>
            <w:tcW w:w="6526" w:type="dxa"/>
            <w:tcBorders>
              <w:top w:val="single" w:color="000000" w:sz="4" w:space="0"/>
              <w:left w:val="single" w:color="000000" w:sz="4" w:space="0"/>
              <w:bottom w:val="single" w:color="000000" w:sz="4" w:space="0"/>
              <w:right w:val="single" w:color="000000" w:sz="4" w:space="0"/>
            </w:tcBorders>
            <w:vAlign w:val="center"/>
          </w:tcPr>
          <w:p w14:paraId="7F03A50B">
            <w:pPr>
              <w:widowControl/>
              <w:textAlignment w:val="center"/>
              <w:rPr>
                <w:rFonts w:ascii="宋体" w:hAnsi="宋体" w:cs="宋体"/>
                <w:color w:val="auto"/>
                <w:szCs w:val="21"/>
                <w:highlight w:val="none"/>
              </w:rPr>
            </w:pPr>
            <w:r>
              <w:rPr>
                <w:rStyle w:val="292"/>
                <w:rFonts w:hint="default"/>
                <w:color w:val="auto"/>
                <w:highlight w:val="none"/>
              </w:rPr>
              <w:t>对采购方的意见、建议虚心接受，运作过程中出现的新情况新问题及时主动沟通、协调有效果，及时整改见实效得4分，整改效果不明显扣2分，未见整改效果扣4分。</w:t>
            </w:r>
          </w:p>
        </w:tc>
        <w:tc>
          <w:tcPr>
            <w:tcW w:w="718" w:type="dxa"/>
            <w:tcBorders>
              <w:top w:val="single" w:color="000000" w:sz="4" w:space="0"/>
              <w:left w:val="single" w:color="000000" w:sz="4" w:space="0"/>
              <w:bottom w:val="single" w:color="000000" w:sz="4" w:space="0"/>
              <w:right w:val="single" w:color="000000" w:sz="4" w:space="0"/>
            </w:tcBorders>
            <w:vAlign w:val="center"/>
          </w:tcPr>
          <w:p w14:paraId="4740C615">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5BA7E45C">
            <w:pPr>
              <w:rPr>
                <w:rFonts w:ascii="宋体" w:hAnsi="宋体" w:cs="宋体"/>
                <w:color w:val="auto"/>
                <w:sz w:val="22"/>
                <w:szCs w:val="22"/>
                <w:highlight w:val="none"/>
              </w:rPr>
            </w:pPr>
          </w:p>
        </w:tc>
      </w:tr>
      <w:tr w14:paraId="1F226A17">
        <w:tblPrEx>
          <w:tblCellMar>
            <w:top w:w="0" w:type="dxa"/>
            <w:left w:w="108" w:type="dxa"/>
            <w:bottom w:w="0" w:type="dxa"/>
            <w:right w:w="108" w:type="dxa"/>
          </w:tblCellMar>
        </w:tblPrEx>
        <w:trPr>
          <w:trHeight w:val="51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41127F3A">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14</w:t>
            </w:r>
          </w:p>
        </w:tc>
        <w:tc>
          <w:tcPr>
            <w:tcW w:w="1134" w:type="dxa"/>
            <w:tcBorders>
              <w:top w:val="single" w:color="000000" w:sz="4" w:space="0"/>
              <w:left w:val="single" w:color="000000" w:sz="4" w:space="0"/>
              <w:bottom w:val="single" w:color="000000" w:sz="4" w:space="0"/>
              <w:right w:val="single" w:color="000000" w:sz="4" w:space="0"/>
            </w:tcBorders>
            <w:vAlign w:val="center"/>
          </w:tcPr>
          <w:p w14:paraId="4085E1A5">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诚信经营</w:t>
            </w:r>
          </w:p>
        </w:tc>
        <w:tc>
          <w:tcPr>
            <w:tcW w:w="6526" w:type="dxa"/>
            <w:tcBorders>
              <w:top w:val="single" w:color="000000" w:sz="4" w:space="0"/>
              <w:left w:val="single" w:color="000000" w:sz="4" w:space="0"/>
              <w:bottom w:val="single" w:color="000000" w:sz="4" w:space="0"/>
              <w:right w:val="single" w:color="000000" w:sz="4" w:space="0"/>
            </w:tcBorders>
            <w:vAlign w:val="center"/>
          </w:tcPr>
          <w:p w14:paraId="5B95A90A">
            <w:pPr>
              <w:widowControl/>
              <w:textAlignment w:val="center"/>
              <w:rPr>
                <w:rFonts w:ascii="宋体" w:hAnsi="宋体" w:cs="宋体"/>
                <w:color w:val="auto"/>
                <w:szCs w:val="21"/>
                <w:highlight w:val="none"/>
              </w:rPr>
            </w:pPr>
            <w:r>
              <w:rPr>
                <w:rStyle w:val="292"/>
                <w:rFonts w:hint="default"/>
                <w:color w:val="auto"/>
                <w:highlight w:val="none"/>
              </w:rPr>
              <w:t>不得将部分商品或部分采购方的供应权限转让或分包给他人经营，如有违反扣6分，并考虑取消配送资格。</w:t>
            </w:r>
          </w:p>
        </w:tc>
        <w:tc>
          <w:tcPr>
            <w:tcW w:w="718" w:type="dxa"/>
            <w:tcBorders>
              <w:top w:val="single" w:color="000000" w:sz="4" w:space="0"/>
              <w:left w:val="single" w:color="000000" w:sz="4" w:space="0"/>
              <w:bottom w:val="single" w:color="000000" w:sz="4" w:space="0"/>
              <w:right w:val="single" w:color="000000" w:sz="4" w:space="0"/>
            </w:tcBorders>
            <w:vAlign w:val="center"/>
          </w:tcPr>
          <w:p w14:paraId="1665394F">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6</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780A330">
            <w:pPr>
              <w:rPr>
                <w:rFonts w:ascii="宋体" w:hAnsi="宋体" w:cs="宋体"/>
                <w:color w:val="auto"/>
                <w:sz w:val="22"/>
                <w:szCs w:val="22"/>
                <w:highlight w:val="none"/>
              </w:rPr>
            </w:pPr>
          </w:p>
        </w:tc>
      </w:tr>
      <w:tr w14:paraId="34370F38">
        <w:tblPrEx>
          <w:tblCellMar>
            <w:top w:w="0" w:type="dxa"/>
            <w:left w:w="108" w:type="dxa"/>
            <w:bottom w:w="0" w:type="dxa"/>
            <w:right w:w="108" w:type="dxa"/>
          </w:tblCellMar>
        </w:tblPrEx>
        <w:trPr>
          <w:trHeight w:val="51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7F6337BB">
            <w:pPr>
              <w:widowControl/>
              <w:jc w:val="center"/>
              <w:textAlignment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15</w:t>
            </w:r>
          </w:p>
        </w:tc>
        <w:tc>
          <w:tcPr>
            <w:tcW w:w="1134" w:type="dxa"/>
            <w:tcBorders>
              <w:top w:val="single" w:color="000000" w:sz="4" w:space="0"/>
              <w:left w:val="single" w:color="000000" w:sz="4" w:space="0"/>
              <w:bottom w:val="single" w:color="000000" w:sz="4" w:space="0"/>
              <w:right w:val="single" w:color="000000" w:sz="4" w:space="0"/>
            </w:tcBorders>
            <w:vAlign w:val="center"/>
          </w:tcPr>
          <w:p w14:paraId="77E229B9">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考核得分</w:t>
            </w:r>
          </w:p>
        </w:tc>
        <w:tc>
          <w:tcPr>
            <w:tcW w:w="6526" w:type="dxa"/>
            <w:tcBorders>
              <w:top w:val="single" w:color="000000" w:sz="4" w:space="0"/>
              <w:left w:val="single" w:color="000000" w:sz="4" w:space="0"/>
              <w:bottom w:val="single" w:color="000000" w:sz="4" w:space="0"/>
              <w:right w:val="single" w:color="000000" w:sz="4" w:space="0"/>
            </w:tcBorders>
            <w:vAlign w:val="center"/>
          </w:tcPr>
          <w:p w14:paraId="4077BCB2">
            <w:pPr>
              <w:widowControl/>
              <w:textAlignment w:val="center"/>
              <w:rPr>
                <w:rStyle w:val="292"/>
                <w:rFonts w:hint="default"/>
                <w:color w:val="auto"/>
                <w:highlight w:val="none"/>
              </w:rPr>
            </w:pPr>
          </w:p>
        </w:tc>
        <w:tc>
          <w:tcPr>
            <w:tcW w:w="718" w:type="dxa"/>
            <w:tcBorders>
              <w:top w:val="single" w:color="000000" w:sz="4" w:space="0"/>
              <w:left w:val="single" w:color="000000" w:sz="4" w:space="0"/>
              <w:bottom w:val="single" w:color="000000" w:sz="4" w:space="0"/>
              <w:right w:val="single" w:color="000000" w:sz="4" w:space="0"/>
            </w:tcBorders>
            <w:vAlign w:val="center"/>
          </w:tcPr>
          <w:p w14:paraId="6403419D">
            <w:pPr>
              <w:widowControl/>
              <w:jc w:val="center"/>
              <w:textAlignment w:val="center"/>
              <w:rPr>
                <w:rFonts w:ascii="宋体" w:hAnsi="宋体" w:cs="宋体"/>
                <w:color w:val="auto"/>
                <w:kern w:val="0"/>
                <w:szCs w:val="21"/>
                <w:highlight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6BC1865F">
            <w:pPr>
              <w:rPr>
                <w:rFonts w:ascii="宋体" w:hAnsi="宋体" w:cs="宋体"/>
                <w:color w:val="auto"/>
                <w:sz w:val="22"/>
                <w:szCs w:val="22"/>
                <w:highlight w:val="none"/>
              </w:rPr>
            </w:pPr>
          </w:p>
        </w:tc>
      </w:tr>
    </w:tbl>
    <w:p w14:paraId="71CB22F1">
      <w:pPr>
        <w:rPr>
          <w:rFonts w:ascii="宋体" w:hAnsi="宋体"/>
          <w:color w:val="auto"/>
          <w:szCs w:val="18"/>
          <w:highlight w:val="none"/>
        </w:rPr>
      </w:pPr>
    </w:p>
    <w:p w14:paraId="502823B4">
      <w:pPr>
        <w:rPr>
          <w:rFonts w:ascii="宋体" w:hAnsi="宋体"/>
          <w:color w:val="auto"/>
          <w:highlight w:val="none"/>
        </w:rPr>
      </w:pPr>
      <w:r>
        <w:rPr>
          <w:rFonts w:hint="eastAsia" w:ascii="宋体" w:hAnsi="宋体"/>
          <w:color w:val="auto"/>
          <w:szCs w:val="18"/>
          <w:highlight w:val="none"/>
        </w:rPr>
        <w:t>注：</w:t>
      </w:r>
      <w:r>
        <w:rPr>
          <w:rFonts w:hint="eastAsia" w:ascii="宋体" w:hAnsi="宋体" w:cs="宋体"/>
          <w:color w:val="auto"/>
          <w:szCs w:val="21"/>
          <w:highlight w:val="none"/>
          <w:lang w:val="zh-CN"/>
        </w:rPr>
        <w:t>食材配送服务实行百分制考核，</w:t>
      </w:r>
      <w:r>
        <w:rPr>
          <w:rFonts w:hint="eastAsia" w:ascii="宋体" w:hAnsi="宋体"/>
          <w:color w:val="auto"/>
          <w:szCs w:val="21"/>
          <w:highlight w:val="none"/>
        </w:rPr>
        <w:t>每月考核一次，综合考评分作为支付当月配送费用的计算依据，运行期间</w:t>
      </w:r>
      <w:r>
        <w:rPr>
          <w:rFonts w:hint="eastAsia" w:ascii="宋体" w:hAnsi="宋体"/>
          <w:color w:val="auto"/>
          <w:kern w:val="0"/>
          <w:highlight w:val="none"/>
        </w:rPr>
        <w:t>根据实际配送情况对考核细则可做相应调整。</w:t>
      </w:r>
    </w:p>
    <w:p w14:paraId="6E1EB72C">
      <w:pPr>
        <w:rPr>
          <w:rFonts w:ascii="宋体" w:hAnsi="宋体"/>
          <w:color w:val="auto"/>
          <w:highlight w:val="none"/>
        </w:rPr>
      </w:pPr>
    </w:p>
    <w:p w14:paraId="6CA52DF6">
      <w:pPr>
        <w:jc w:val="left"/>
        <w:rPr>
          <w:rFonts w:hint="eastAsia" w:ascii="宋体" w:hAnsi="宋体" w:eastAsia="宋体" w:cs="宋体"/>
          <w:color w:val="auto"/>
          <w:szCs w:val="21"/>
          <w:highlight w:val="none"/>
        </w:rPr>
        <w:sectPr>
          <w:footerReference r:id="rId7" w:type="first"/>
          <w:footerReference r:id="rId6" w:type="default"/>
          <w:pgSz w:w="11906" w:h="16838"/>
          <w:pgMar w:top="1440" w:right="1080" w:bottom="1440" w:left="1080" w:header="964" w:footer="992" w:gutter="0"/>
          <w:pgNumType w:fmt="decimal" w:start="1"/>
          <w:cols w:space="720" w:num="1"/>
          <w:titlePg/>
          <w:docGrid w:linePitch="380" w:charSpace="-5735"/>
        </w:sectPr>
      </w:pPr>
      <w:r>
        <w:rPr>
          <w:rFonts w:hint="eastAsia" w:ascii="宋体" w:hAnsi="宋体"/>
          <w:color w:val="auto"/>
          <w:szCs w:val="18"/>
          <w:highlight w:val="none"/>
        </w:rPr>
        <w:t xml:space="preserve">考核人：                                                                                                                                                                                                                                                                                                                                                                                                                                                                                                                                                                                                                                                                                                                                                                                                                                                                                                                                                                                                                                                                                                                                                                                                                                                                                                                                                                                                                                                                                                                                                                                                                                                       考核时间：               </w:t>
      </w:r>
      <w:r>
        <w:rPr>
          <w:rFonts w:hint="eastAsia" w:ascii="宋体" w:hAnsi="宋体" w:eastAsia="宋体" w:cs="宋体"/>
          <w:color w:val="auto"/>
          <w:szCs w:val="18"/>
          <w:highlight w:val="none"/>
        </w:rPr>
        <w:t xml:space="preserve">         </w:t>
      </w:r>
      <w:bookmarkStart w:id="70" w:name="_Toc378339528"/>
    </w:p>
    <w:bookmarkEnd w:id="70"/>
    <w:p w14:paraId="29DB22A3">
      <w:pPr>
        <w:pStyle w:val="3"/>
        <w:jc w:val="center"/>
        <w:rPr>
          <w:rFonts w:hint="eastAsia" w:ascii="宋体" w:hAnsi="宋体" w:eastAsia="宋体" w:cs="宋体"/>
          <w:color w:val="auto"/>
          <w:highlight w:val="none"/>
        </w:rPr>
      </w:pPr>
      <w:bookmarkStart w:id="71" w:name="_Toc19502"/>
      <w:bookmarkStart w:id="72" w:name="_Toc144370280"/>
      <w:bookmarkStart w:id="73" w:name="_Toc8727"/>
      <w:r>
        <w:rPr>
          <w:rFonts w:hint="eastAsia" w:ascii="宋体" w:hAnsi="宋体" w:eastAsia="宋体" w:cs="宋体"/>
          <w:b/>
          <w:bCs/>
          <w:color w:val="auto"/>
          <w:sz w:val="32"/>
          <w:szCs w:val="32"/>
          <w:highlight w:val="none"/>
          <w:lang w:val="en-US" w:eastAsia="zh-CN" w:bidi="ar-SA"/>
        </w:rPr>
        <w:t>第五章 合同主要内容</w:t>
      </w:r>
      <w:bookmarkEnd w:id="71"/>
      <w:bookmarkEnd w:id="72"/>
      <w:bookmarkEnd w:id="73"/>
    </w:p>
    <w:p w14:paraId="5E424780">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w:t>
      </w:r>
    </w:p>
    <w:p w14:paraId="423D01EA">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p>
    <w:p w14:paraId="4906E0DE">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p w14:paraId="06BD9BFE">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p>
    <w:p w14:paraId="12F629E5">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p>
    <w:p w14:paraId="5EFB625B">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p w14:paraId="4453FA2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color w:val="auto"/>
          <w:szCs w:val="21"/>
          <w:highlight w:val="none"/>
        </w:rPr>
        <w:t>《中华人民共和国民法典》和《中华人民共和国政府采购法》等有关法律法规</w:t>
      </w:r>
      <w:r>
        <w:rPr>
          <w:rFonts w:hint="eastAsia" w:ascii="宋体" w:hAnsi="宋体" w:eastAsia="宋体" w:cs="宋体"/>
          <w:color w:val="auto"/>
          <w:szCs w:val="21"/>
          <w:highlight w:val="none"/>
        </w:rPr>
        <w:t>有关规定，为明确采购单位（甲方）和供应单位（乙方）购销过程中的权利、义务和经济责任，经双方友好协商，签订以下条款，共同遵守。</w:t>
      </w:r>
    </w:p>
    <w:p w14:paraId="3EC415F6">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一、定义：以下术语有特定的含义：</w:t>
      </w:r>
    </w:p>
    <w:p w14:paraId="63C835A1">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“货物”本合同所称货物是指乙方基于其已中标的投标文件而应向甲方提供的符合招标要求规格及功能的</w:t>
      </w:r>
      <w:r>
        <w:rPr>
          <w:rFonts w:hint="eastAsia" w:ascii="宋体" w:hAnsi="宋体" w:eastAsia="宋体" w:cs="宋体"/>
          <w:color w:val="auto"/>
          <w:szCs w:val="21"/>
          <w:highlight w:val="none"/>
          <w:u w:val="single"/>
        </w:rPr>
        <w:t xml:space="preserve"> （货物名称）</w:t>
      </w:r>
      <w:r>
        <w:rPr>
          <w:rFonts w:hint="eastAsia" w:ascii="宋体" w:hAnsi="宋体" w:eastAsia="宋体" w:cs="宋体"/>
          <w:color w:val="auto"/>
          <w:szCs w:val="21"/>
          <w:highlight w:val="none"/>
        </w:rPr>
        <w:t>及其全部备品备件，它还应包括由乙方送交给甲方的所有的必须文件和与使用及测试有关的应进行的任何规定的服务。</w:t>
      </w:r>
    </w:p>
    <w:p w14:paraId="3AF68DFA">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p>
    <w:p w14:paraId="33FC6A64">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“合同价”系指根据中标的投标文件和合同规定，乙方在正确地履行合同义务后甲方应支付乙方的价款。</w:t>
      </w:r>
    </w:p>
    <w:p w14:paraId="1F3F9449">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“甲方”系指合同中明确规定的实际购买货物和接受服务单位。</w:t>
      </w:r>
    </w:p>
    <w:p w14:paraId="72A8BF34">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“乙方”系指合同中规定的提供货物和提供服务的单位。</w:t>
      </w:r>
    </w:p>
    <w:p w14:paraId="311D650C">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p>
    <w:p w14:paraId="660FF506">
      <w:pPr>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二、交货地点：</w:t>
      </w:r>
      <w:r>
        <w:rPr>
          <w:rFonts w:hint="eastAsia" w:ascii="宋体" w:hAnsi="宋体" w:eastAsia="宋体" w:cs="宋体"/>
          <w:color w:val="auto"/>
          <w:szCs w:val="21"/>
          <w:highlight w:val="none"/>
        </w:rPr>
        <w:t xml:space="preserve"> </w:t>
      </w:r>
    </w:p>
    <w:p w14:paraId="43B339BB">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p>
    <w:p w14:paraId="6B978D64">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项目地点： </w:t>
      </w:r>
    </w:p>
    <w:p w14:paraId="0F64F5FC">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三、订单确认</w:t>
      </w:r>
    </w:p>
    <w:p w14:paraId="1E205D5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甲方向乙方采购食堂包括且不限于蔬菜类、鲜肉类、水产类、冻品、水果、粮油、副食、干货、杂货、调配料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烘焙类</w:t>
      </w:r>
      <w:r>
        <w:rPr>
          <w:rFonts w:hint="eastAsia" w:ascii="宋体" w:hAnsi="宋体" w:eastAsia="宋体" w:cs="宋体"/>
          <w:color w:val="auto"/>
          <w:szCs w:val="21"/>
          <w:highlight w:val="none"/>
        </w:rPr>
        <w:t>等食材，具体内容以每天甲方提供的采购清单为准。</w:t>
      </w:r>
    </w:p>
    <w:p w14:paraId="2DEB0FF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甲方提前一天于下午6点之前以电子形式向乙方下订单，并说明送货品种、时间、地点和特殊要求等，乙方须按甲方订购的要求送达。</w:t>
      </w:r>
    </w:p>
    <w:p w14:paraId="6BE4B7EA">
      <w:pPr>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四、</w:t>
      </w:r>
      <w:r>
        <w:rPr>
          <w:rFonts w:hint="eastAsia" w:ascii="宋体" w:hAnsi="宋体" w:eastAsia="宋体" w:cs="宋体"/>
          <w:b/>
          <w:color w:val="auto"/>
          <w:szCs w:val="21"/>
          <w:highlight w:val="none"/>
        </w:rPr>
        <w:t>食材质量要求</w:t>
      </w:r>
      <w:r>
        <w:rPr>
          <w:rFonts w:hint="eastAsia" w:ascii="宋体" w:hAnsi="宋体" w:eastAsia="宋体" w:cs="宋体"/>
          <w:color w:val="auto"/>
          <w:szCs w:val="21"/>
          <w:highlight w:val="none"/>
        </w:rPr>
        <w:t>：</w:t>
      </w:r>
    </w:p>
    <w:p w14:paraId="17EA72F6">
      <w:pPr>
        <w:autoSpaceDE w:val="0"/>
        <w:autoSpaceDN w:val="0"/>
        <w:adjustRightInd w:val="0"/>
        <w:snapToGrid w:val="0"/>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（一）所有配送的食材需符合</w:t>
      </w:r>
      <w:r>
        <w:rPr>
          <w:rFonts w:hint="eastAsia" w:ascii="宋体" w:hAnsi="宋体" w:eastAsia="宋体" w:cs="宋体"/>
          <w:color w:val="auto"/>
          <w:szCs w:val="21"/>
          <w:highlight w:val="none"/>
          <w:lang w:val="zh-CN"/>
        </w:rPr>
        <w:t>《中华人民共和国食品安全法》、《餐饮业和集体用餐配送单位卫生规范》、《国家食品卫生标准》、《食品卫生法》和《动物检疫法》等，保证卫生安全，须无毒、无害、无腐烂，具有较好的色、香、味等感官性状。</w:t>
      </w:r>
    </w:p>
    <w:p w14:paraId="09C67643">
      <w:pPr>
        <w:autoSpaceDE w:val="0"/>
        <w:autoSpaceDN w:val="0"/>
        <w:adjustRightInd w:val="0"/>
        <w:snapToGri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所有食材均为非转基因产品。</w:t>
      </w:r>
    </w:p>
    <w:p w14:paraId="386A2AE2">
      <w:pPr>
        <w:autoSpaceDE w:val="0"/>
        <w:autoSpaceDN w:val="0"/>
        <w:adjustRightInd w:val="0"/>
        <w:snapToGri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（三）具体食材质量要求如下：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173"/>
        <w:gridCol w:w="7409"/>
      </w:tblGrid>
      <w:tr w14:paraId="0872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D7580B8">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38" w:type="dxa"/>
            <w:noWrap w:val="0"/>
            <w:vAlign w:val="top"/>
          </w:tcPr>
          <w:p w14:paraId="4B788D32">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食材类型</w:t>
            </w:r>
          </w:p>
        </w:tc>
        <w:tc>
          <w:tcPr>
            <w:tcW w:w="7994" w:type="dxa"/>
            <w:noWrap w:val="0"/>
            <w:vAlign w:val="top"/>
          </w:tcPr>
          <w:p w14:paraId="3D6C8748">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要求</w:t>
            </w:r>
          </w:p>
        </w:tc>
      </w:tr>
      <w:tr w14:paraId="0EE7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3373F8A">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38" w:type="dxa"/>
            <w:noWrap w:val="0"/>
            <w:vAlign w:val="top"/>
          </w:tcPr>
          <w:p w14:paraId="38396620">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蔬菜类</w:t>
            </w:r>
          </w:p>
        </w:tc>
        <w:tc>
          <w:tcPr>
            <w:tcW w:w="7994" w:type="dxa"/>
            <w:noWrap w:val="0"/>
            <w:vAlign w:val="top"/>
          </w:tcPr>
          <w:p w14:paraId="23414251">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新鲜嫩绿、无黄叶、无菜虫，必须通过农药残留成分测试，蔬菜不带根、不带泥，符合食品卫生要求。</w:t>
            </w:r>
          </w:p>
        </w:tc>
      </w:tr>
      <w:tr w14:paraId="505B3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2CAA97E9">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38" w:type="dxa"/>
            <w:noWrap w:val="0"/>
            <w:vAlign w:val="top"/>
          </w:tcPr>
          <w:p w14:paraId="79F1745C">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鲜肉类</w:t>
            </w:r>
          </w:p>
        </w:tc>
        <w:tc>
          <w:tcPr>
            <w:tcW w:w="7994" w:type="dxa"/>
            <w:noWrap w:val="0"/>
            <w:vAlign w:val="top"/>
          </w:tcPr>
          <w:p w14:paraId="19DF87F4">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来源于国家认可的正规肉厂，为当日新鲜商品，必须经检验检疫合格的、有动物检疫及屠宰证明，肉质新鲜，不注水，无病毒，符合食品卫生要求。</w:t>
            </w:r>
          </w:p>
        </w:tc>
      </w:tr>
      <w:tr w14:paraId="556F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28BB9EE">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38" w:type="dxa"/>
            <w:noWrap w:val="0"/>
            <w:vAlign w:val="top"/>
          </w:tcPr>
          <w:p w14:paraId="70132D5C">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水产类</w:t>
            </w:r>
          </w:p>
        </w:tc>
        <w:tc>
          <w:tcPr>
            <w:tcW w:w="7994" w:type="dxa"/>
            <w:noWrap w:val="0"/>
            <w:vAlign w:val="top"/>
          </w:tcPr>
          <w:p w14:paraId="3CFD70BC">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肉质新鲜，无病毒，不含有害物质，鲜鱼类必须生猛鲜活。</w:t>
            </w:r>
          </w:p>
        </w:tc>
      </w:tr>
      <w:tr w14:paraId="6508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685F7773">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38" w:type="dxa"/>
            <w:noWrap w:val="0"/>
            <w:vAlign w:val="top"/>
          </w:tcPr>
          <w:p w14:paraId="73C7EE1B">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家禽类</w:t>
            </w:r>
          </w:p>
        </w:tc>
        <w:tc>
          <w:tcPr>
            <w:tcW w:w="7994" w:type="dxa"/>
            <w:noWrap w:val="0"/>
            <w:vAlign w:val="top"/>
          </w:tcPr>
          <w:p w14:paraId="5727769E">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有动物检疫证明，新鲜肥美，无内脏，不注水，无病毒，符合食品卫生要求。</w:t>
            </w:r>
          </w:p>
        </w:tc>
      </w:tr>
      <w:tr w14:paraId="67534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1F98822">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238" w:type="dxa"/>
            <w:noWrap w:val="0"/>
            <w:vAlign w:val="top"/>
          </w:tcPr>
          <w:p w14:paraId="3E45626D">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蛋类</w:t>
            </w:r>
          </w:p>
        </w:tc>
        <w:tc>
          <w:tcPr>
            <w:tcW w:w="7994" w:type="dxa"/>
            <w:noWrap w:val="0"/>
            <w:vAlign w:val="top"/>
          </w:tcPr>
          <w:p w14:paraId="3DCB35E9">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无公害禽蛋，新鲜，无变质，破损较少。</w:t>
            </w:r>
          </w:p>
        </w:tc>
      </w:tr>
      <w:tr w14:paraId="48B36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1E7BAB07">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238" w:type="dxa"/>
            <w:noWrap w:val="0"/>
            <w:vAlign w:val="top"/>
          </w:tcPr>
          <w:p w14:paraId="405E626E">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冻品类</w:t>
            </w:r>
          </w:p>
        </w:tc>
        <w:tc>
          <w:tcPr>
            <w:tcW w:w="7994" w:type="dxa"/>
            <w:noWrap w:val="0"/>
            <w:vAlign w:val="top"/>
          </w:tcPr>
          <w:p w14:paraId="181DABE0">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需有出厂日期、品质优良、包装完好、无异味、无病毒，在保质期内并在送货时提供相对应检验检疫报告等资料。冻品含水量不能超8%,超过8%少于13%按8%结算，超过13%的，该类冻品不予结算。</w:t>
            </w:r>
          </w:p>
        </w:tc>
      </w:tr>
      <w:tr w14:paraId="38CA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207636C1">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238" w:type="dxa"/>
            <w:noWrap w:val="0"/>
            <w:vAlign w:val="top"/>
          </w:tcPr>
          <w:p w14:paraId="056661EB">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调料类</w:t>
            </w:r>
          </w:p>
        </w:tc>
        <w:tc>
          <w:tcPr>
            <w:tcW w:w="7994" w:type="dxa"/>
            <w:noWrap w:val="0"/>
            <w:vAlign w:val="top"/>
          </w:tcPr>
          <w:p w14:paraId="05BD064B">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正规知名厂家或其代理商，有商标牌号，注明生产日期、产地、保质期、包装规格、有QS标志。</w:t>
            </w:r>
          </w:p>
        </w:tc>
      </w:tr>
      <w:tr w14:paraId="42C6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385BAA60">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238" w:type="dxa"/>
            <w:noWrap w:val="0"/>
            <w:vAlign w:val="top"/>
          </w:tcPr>
          <w:p w14:paraId="0303B1D1">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豆制品类</w:t>
            </w:r>
          </w:p>
        </w:tc>
        <w:tc>
          <w:tcPr>
            <w:tcW w:w="7994" w:type="dxa"/>
            <w:noWrap w:val="0"/>
            <w:vAlign w:val="top"/>
          </w:tcPr>
          <w:p w14:paraId="3BF0E5BC">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以非转基因大豆或杂豆为主要原料，经过加工制成的食品，包括发酵豆制品、非发酵豆制品和大豆蛋白类制品，均须达到食品安全国家标准。</w:t>
            </w:r>
          </w:p>
        </w:tc>
      </w:tr>
      <w:tr w14:paraId="4859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120BB505">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238" w:type="dxa"/>
            <w:noWrap w:val="0"/>
            <w:vAlign w:val="top"/>
          </w:tcPr>
          <w:p w14:paraId="5D04AEC8">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卤货类</w:t>
            </w:r>
          </w:p>
        </w:tc>
        <w:tc>
          <w:tcPr>
            <w:tcW w:w="7994" w:type="dxa"/>
            <w:noWrap w:val="0"/>
            <w:vAlign w:val="top"/>
          </w:tcPr>
          <w:p w14:paraId="261A115C">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色香味美，无异味、全面烧熟、无病毒、符合卫生要求。</w:t>
            </w:r>
          </w:p>
        </w:tc>
      </w:tr>
      <w:tr w14:paraId="659B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37C862B7">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238" w:type="dxa"/>
            <w:noWrap w:val="0"/>
            <w:vAlign w:val="top"/>
          </w:tcPr>
          <w:p w14:paraId="0D203F8F">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水果类</w:t>
            </w:r>
          </w:p>
        </w:tc>
        <w:tc>
          <w:tcPr>
            <w:tcW w:w="7994" w:type="dxa"/>
            <w:noWrap w:val="0"/>
            <w:vAlign w:val="top"/>
          </w:tcPr>
          <w:p w14:paraId="2679E72A">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须为非转基因产品，个头均匀，无斑点，无破损，果实成熟新鲜，味道纯正。按指定品牌及合理报价及收货。</w:t>
            </w:r>
          </w:p>
        </w:tc>
      </w:tr>
      <w:tr w14:paraId="4EC3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56DED052">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238" w:type="dxa"/>
            <w:noWrap w:val="0"/>
            <w:vAlign w:val="top"/>
          </w:tcPr>
          <w:p w14:paraId="010F9059">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奶制品</w:t>
            </w:r>
          </w:p>
        </w:tc>
        <w:tc>
          <w:tcPr>
            <w:tcW w:w="7994" w:type="dxa"/>
            <w:noWrap w:val="0"/>
            <w:vAlign w:val="top"/>
          </w:tcPr>
          <w:p w14:paraId="2D377417">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产品包装及外观干净、整洁，生产日期、保质期、贮藏条件标识清晰，须在保质期内。</w:t>
            </w:r>
          </w:p>
        </w:tc>
      </w:tr>
      <w:tr w14:paraId="2F014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19329C8C">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238" w:type="dxa"/>
            <w:noWrap w:val="0"/>
            <w:vAlign w:val="top"/>
          </w:tcPr>
          <w:p w14:paraId="2A06EED6">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米面类</w:t>
            </w:r>
          </w:p>
        </w:tc>
        <w:tc>
          <w:tcPr>
            <w:tcW w:w="7994" w:type="dxa"/>
            <w:noWrap w:val="0"/>
            <w:vAlign w:val="top"/>
          </w:tcPr>
          <w:p w14:paraId="50F9A4D8">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产品包装外观整洁，无破损，商品标签信息清晰，生产日期、保质期、贮藏条件清晰 ，须在保质期内，大米，面粉类等产品感官正常。</w:t>
            </w:r>
          </w:p>
        </w:tc>
      </w:tr>
      <w:tr w14:paraId="53ED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51B7C834">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238" w:type="dxa"/>
            <w:noWrap w:val="0"/>
            <w:vAlign w:val="top"/>
          </w:tcPr>
          <w:p w14:paraId="38E62E6A">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食用油</w:t>
            </w:r>
          </w:p>
        </w:tc>
        <w:tc>
          <w:tcPr>
            <w:tcW w:w="7994" w:type="dxa"/>
            <w:noWrap w:val="0"/>
            <w:vAlign w:val="top"/>
          </w:tcPr>
          <w:p w14:paraId="6AA750BB">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外包装规范干净，整洁，无破损，无漏油情况，须在保质期内。</w:t>
            </w:r>
          </w:p>
        </w:tc>
      </w:tr>
      <w:tr w14:paraId="4969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4B658E0A">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238" w:type="dxa"/>
            <w:noWrap w:val="0"/>
            <w:vAlign w:val="top"/>
          </w:tcPr>
          <w:p w14:paraId="423CB010">
            <w:pPr>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干货类</w:t>
            </w:r>
          </w:p>
        </w:tc>
        <w:tc>
          <w:tcPr>
            <w:tcW w:w="7994" w:type="dxa"/>
            <w:noWrap w:val="0"/>
            <w:vAlign w:val="top"/>
          </w:tcPr>
          <w:p w14:paraId="3FCEF49E">
            <w:pPr>
              <w:autoSpaceDE w:val="0"/>
              <w:autoSpaceDN w:val="0"/>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在保质期范围内，并保持较好的外观和等级，须是正规厂家并具有合格证书且无任何有害添加剂的优质产品。</w:t>
            </w:r>
          </w:p>
        </w:tc>
      </w:tr>
    </w:tbl>
    <w:p w14:paraId="34875FEE">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五、食材安全要求</w:t>
      </w:r>
    </w:p>
    <w:p w14:paraId="4CF5A4B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1.乙方需提供所有食材的质量检测报告及相关的产品合格证明，并确保证明的真实、合法、有效。</w:t>
      </w:r>
    </w:p>
    <w:p w14:paraId="0DB715D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p>
    <w:p w14:paraId="1466AB0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3.外包装食材的保质期不得低于产品标注保质期的三分之一（自产品标注的生产日期算起）。</w:t>
      </w:r>
    </w:p>
    <w:p w14:paraId="24B0880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严禁配送假冒、变质、过期的产品，不得弄虚作假或以次充好，对于不符合质量要求的食材，甲方有权要求退货或换货。如甲方发现乙方配送假货，且经第三方（双方认可）验证确认后，乙方应承担该批货物价款3-10倍的赔偿。</w:t>
      </w:r>
    </w:p>
    <w:p w14:paraId="56A5F6B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5.乙方所供食材质量达不到国家有关食品安全标准而造成食物中毒或其它后果，经公安机关或卫生防疫部门鉴定属于乙方责任的，其产生的一切法律和经济责任全部由乙方承担。</w:t>
      </w:r>
    </w:p>
    <w:p w14:paraId="3A3377A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6.乙方所有员工均须凭健康证上岗，在疫情防控期间，必须符合当地疫情防控要求，同时应成立食堂配送项目专项服务小组，负责相关工作及提供各种服务。</w:t>
      </w:r>
    </w:p>
    <w:p w14:paraId="2E0F9D5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p>
    <w:p w14:paraId="1F3C1E48">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六、食材配送和验收要求</w:t>
      </w:r>
    </w:p>
    <w:p w14:paraId="3AC8FF0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p>
    <w:p w14:paraId="682BCDF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2.乙方须至少配备4台冷藏车，冷藏车必须满足甲方现场实际条件，符合运输的需求及可操作性。</w:t>
      </w:r>
    </w:p>
    <w:p w14:paraId="1126123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p>
    <w:p w14:paraId="74B797F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p>
    <w:p w14:paraId="4C35674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5.如因乙方食材配送问题而影响本项目正常供餐，出现一次，甲方提出口头警告并要求乙方做出书面保证，出现二次扣当天货款10%-30%；达到三次，甲方可解除供货合同。</w:t>
      </w:r>
    </w:p>
    <w:p w14:paraId="28F110FD">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6.甲方对所供食材进行定期检查，如发现问题随时向乙方反映，乙方应及时改进并将整改方案及措施告知甲方，否则，甲方有权中断与乙方的合作，一方终止合同须提前十五天通知对方。</w:t>
      </w:r>
    </w:p>
    <w:p w14:paraId="0142B50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7.临时加货处理：对于甲方临时有客餐任务或临时增加员工用餐时，乙方需在接到甲方口头或书面通知时按要求将货物送到甲方的指定地点，派专人负责跟踪服务，保证用餐正常。</w:t>
      </w:r>
    </w:p>
    <w:p w14:paraId="122E2F05">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七、定价和询价要求</w:t>
      </w:r>
    </w:p>
    <w:p w14:paraId="7B514B6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1.乙方须按甲方要求每周提供各类食材的报价清单（报价清单需要涵盖所有配送食材原料），若逾期不报，扣除该周食材配送费用的1%。如甲方对食材价格和质量有疑问，乙方须配合甲方随时进行市场调研。</w:t>
      </w:r>
    </w:p>
    <w:p w14:paraId="39ED671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2.甲方调查发现市场同规格、同质量的货品，价格明显低于供应方所供货品，要求乙方根据市场价格立即调整供货价格，如未及时调整达二次以上，甲方有权更换乙方。</w:t>
      </w:r>
    </w:p>
    <w:p w14:paraId="0FF779A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3.如遇台风、暴雨、供求关系、宏观调控等原因造成的市场价格上涨（超过5%）或下降（超过5%）持续超过3天，需临时调整时，经甲乙双方协商同意后方可调整。</w:t>
      </w:r>
    </w:p>
    <w:p w14:paraId="2C90FF6A">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八、其他服务要求</w:t>
      </w:r>
    </w:p>
    <w:p w14:paraId="2E5E1CA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设试供期，甲方选定乙方并签订合同后正式进入试供期。试供期为一个月，主要考察乙方的货物质量、服务、信誉等方面。试供期满且经甲方综合考察认为合格的，合同继续执行；若试供期间出现质量、服务等问题的，甲方有权终止合同。</w:t>
      </w:r>
    </w:p>
    <w:p w14:paraId="34EB8F9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2.配送乙方不得对甲方或验收人员有行贿行为，一经发现，甲方有权无条件终止合同扣除剩余货款。乙方应遵守甲方保密规定，不得将甲方信息泄露给第三方或其他有关利益方。</w:t>
      </w:r>
    </w:p>
    <w:p w14:paraId="66C0C945">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3.如乙方为非本地单位，中标后需在项目所在地设立临时处理点，作为食材中转和售后服务点，甲方有权对临时处理点进行食品安全卫生检查。</w:t>
      </w:r>
    </w:p>
    <w:p w14:paraId="7918375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4.乙方在整个配送服务周期内不得将配送服务全部或部分转包，若转包一经甲方发现，甲方可提前终止配送合同。</w:t>
      </w:r>
    </w:p>
    <w:p w14:paraId="2E9ECE2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5.因配送过程中出现人身等安全事故，乙方独立承担一切刑事、民事责任，与甲方无关。</w:t>
      </w:r>
    </w:p>
    <w:p w14:paraId="15AB7AD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乙方若需对食材进行现场加工，甲方可提供初加工操作场地，但乙方工作人员需服从甲方的管理，严格遵守国家的有关法律法规。若违反相关规定，首次发现甲方将予以书面警告；书面警告后再出现类似情况，甲方有权扣除乙方当天总货款的30％；屡禁不止、情节严重的，甲方有权没收履约保证金，且甲方可直接解除服务合同。</w:t>
      </w:r>
    </w:p>
    <w:p w14:paraId="61AD6E7F">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乙方因采购食材现场粗加工的实际需要，甲方可提供粗加工操作场地、部分加工设备。</w:t>
      </w:r>
    </w:p>
    <w:p w14:paraId="789E3E92">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乙方分派至甲方现场粗加工的所有员工，应该经过严格审查，选用业务素质高、遵纪守法、责任心强、工作认真、无违法犯罪不良行为记录的员工；乙方所有粗加工员工需凭健康证上岗，若出现人员更换时，必须及时报甲方备案并出示相关健康证明；同时乙方员工必须严格履行相关保密义务。</w:t>
      </w:r>
    </w:p>
    <w:p w14:paraId="4BA77575">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乙方在甲方场地进行粗加工作业时，必须严格保证配送的食材符合《中华人民共和国食品安全法》、《餐饮业和集体用餐配送单位卫生规范》相关产品国家标准，特殊物品应符合行业内通用标准。所供食品均符合《国家食品卫生标准》、《食品卫生法》和《动物检疫法》等相关规定，保证卫生安全，应当无毒、无害。</w:t>
      </w:r>
    </w:p>
    <w:p w14:paraId="3FB4783D">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6.4 乙方在甲方场地进行粗加工作业时，出现摔伤、刀伤等人身安全事故，按照《中华人民共和国劳动法》等相关法规，乙方独立承担一切刑事、民事责任，与甲方无关；乙方工作人员在甲方场地发生治安、盗窃、打架、斗殴、投毒、人员伤亡等事故或其他造成严重后果、不良影响的事件，乙方须承担一切法律、经济责任并及时按规定妥善处理，同时甲方有权直接解除采购合同。</w:t>
      </w:r>
    </w:p>
    <w:p w14:paraId="6D76820E">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6.5 乙方在甲方场地进行粗加工作业时，必须严格遵守《中华人民共和国安全生产法》等相关法律法规，若因乙方人员故意或者工作过失导致发生生产安全、食品食物安全等事故或其他严重后果、恶劣影响的事故，一切法律经济责任均由乙方承担，甲方有权直接解除采购合同。</w:t>
      </w:r>
    </w:p>
    <w:p w14:paraId="7629968E">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6.6 乙方工作人员在甲方场地进行粗加工作业时，服从甲方的管理，严格遵守下列规定：</w:t>
      </w:r>
    </w:p>
    <w:p w14:paraId="67E034DC">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a.严禁在甲方提供的初加工场所内吸烟、随地吐痰、揪鼻涕、瘙痒、掏耳朵、剔牙、玩游戏、打电话或嬉戏打闹等不良行为。</w:t>
      </w:r>
    </w:p>
    <w:p w14:paraId="73CDB962">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b.工作时间不窜岗、不干私活，语言举止文明，不断提升自身素质和业务水平。</w:t>
      </w:r>
    </w:p>
    <w:p w14:paraId="2D113834">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c.不得私自占用和损害甲方场地公物，若有损害公物要主动报告并赔偿甲方损失。</w:t>
      </w:r>
    </w:p>
    <w:p w14:paraId="209E2463">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d.不将私人物品、有害物品和与食品加工无关的物品带入工作区。</w:t>
      </w:r>
    </w:p>
    <w:p w14:paraId="7C3B0FE3">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e.不得私自在甲方场所进食，窃取甲方的物品、食品及任何食品原材料。</w:t>
      </w:r>
    </w:p>
    <w:p w14:paraId="4D6AE403">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f.乙方工作人员在甲方场地工作期间，积极服从甲方管理，积极做好“防火、防盗、防投毒、防疾病”等工作。</w:t>
      </w:r>
    </w:p>
    <w:p w14:paraId="75E08B55">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g.乙方工作人员在甲方场地工作期间内违反本合同规定，首次发现甲方将予以书面警告；书面警告后再出现同样情况，甲方有权扣除乙方当天总货款的30％；屡禁不止、情节严重的，甲方有权没收履约保证金，且甲方可直接解除服务合同。</w:t>
      </w:r>
    </w:p>
    <w:p w14:paraId="58C6795D">
      <w:pPr>
        <w:autoSpaceDE w:val="0"/>
        <w:autoSpaceDN w:val="0"/>
        <w:adjustRightIn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九、监督管理</w:t>
      </w:r>
    </w:p>
    <w:p w14:paraId="5EE66367">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乙方在合同执行期间有下列行为之一的，甲方有权直接解除供货服务合同：</w:t>
      </w:r>
    </w:p>
    <w:p w14:paraId="6806883D">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1.中标后无正当理由不与采购单位签订合同的；</w:t>
      </w:r>
    </w:p>
    <w:p w14:paraId="6784EED9">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2.擅自变更或者终止采购服务合同的；</w:t>
      </w:r>
    </w:p>
    <w:p w14:paraId="24A493AF">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3.试供期不合格的；</w:t>
      </w:r>
    </w:p>
    <w:p w14:paraId="44088D1C">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4.不按采购需求、投标文件以及采购服务合同要求全面履约或履约情况评价不合格的；</w:t>
      </w:r>
    </w:p>
    <w:p w14:paraId="4948552E">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5.未按规定出具检测报告或相关承诺书等资料达到二次的；</w:t>
      </w:r>
    </w:p>
    <w:p w14:paraId="0C9A208F">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6.经核实配送食材不符合采购单位要求达到三次的；</w:t>
      </w:r>
    </w:p>
    <w:p w14:paraId="31720DE5">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7.不按要求提供报价三次的；</w:t>
      </w:r>
    </w:p>
    <w:p w14:paraId="32A46334">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8.虚高报价三次的；</w:t>
      </w:r>
    </w:p>
    <w:p w14:paraId="324D9C45">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9.配送的食材存在严重质量问题的；</w:t>
      </w:r>
    </w:p>
    <w:p w14:paraId="63D2618D">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10.因配送的食材质量达不到国家有关食品安全标准而造成食物中毒或其它后果，经公安机关或卫生防疫部门鉴定属于乙方（配送单位）责任的；</w:t>
      </w:r>
    </w:p>
    <w:p w14:paraId="3075FA97">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11.造成严重后果或恶劣影响的行为。</w:t>
      </w:r>
    </w:p>
    <w:p w14:paraId="34F76BFD">
      <w:pPr>
        <w:autoSpaceDE w:val="0"/>
        <w:autoSpaceDN w:val="0"/>
        <w:adjustRightIn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十、付款方式</w:t>
      </w:r>
    </w:p>
    <w:p w14:paraId="47837E72">
      <w:pPr>
        <w:autoSpaceDE w:val="0"/>
        <w:autoSpaceDN w:val="0"/>
        <w:adjustRightInd w:val="0"/>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1.合同价格：暂按预算金额人民币</w:t>
      </w:r>
      <w:r>
        <w:rPr>
          <w:rFonts w:hint="eastAsia" w:ascii="宋体" w:hAnsi="宋体" w:eastAsia="宋体" w:cs="宋体"/>
          <w:color w:val="auto"/>
          <w:szCs w:val="21"/>
          <w:highlight w:val="none"/>
          <w:lang w:val="en-US" w:eastAsia="zh-CN"/>
        </w:rPr>
        <w:t>壹仟零捌拾万</w:t>
      </w:r>
      <w:r>
        <w:rPr>
          <w:rFonts w:hint="eastAsia" w:ascii="宋体" w:hAnsi="宋体" w:eastAsia="宋体" w:cs="宋体"/>
          <w:color w:val="auto"/>
          <w:szCs w:val="21"/>
          <w:highlight w:val="none"/>
        </w:rPr>
        <w:t>元整（￥：10</w:t>
      </w:r>
      <w:r>
        <w:rPr>
          <w:rFonts w:hint="eastAsia" w:ascii="宋体" w:hAnsi="宋体" w:eastAsia="宋体" w:cs="宋体"/>
          <w:color w:val="auto"/>
          <w:szCs w:val="21"/>
          <w:highlight w:val="none"/>
          <w:lang w:val="en-US" w:eastAsia="zh-CN"/>
        </w:rPr>
        <w:t>800</w:t>
      </w:r>
      <w:r>
        <w:rPr>
          <w:rFonts w:hint="eastAsia" w:ascii="宋体" w:hAnsi="宋体" w:eastAsia="宋体" w:cs="宋体"/>
          <w:color w:val="auto"/>
          <w:szCs w:val="21"/>
          <w:highlight w:val="none"/>
        </w:rPr>
        <w:t>00</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元），中标</w:t>
      </w:r>
      <w:r>
        <w:rPr>
          <w:rFonts w:hint="eastAsia" w:ascii="宋体" w:hAnsi="宋体" w:cs="宋体"/>
          <w:color w:val="auto"/>
          <w:szCs w:val="21"/>
          <w:highlight w:val="none"/>
          <w:lang w:val="en-US" w:eastAsia="zh-CN"/>
        </w:rPr>
        <w:t>折扣</w:t>
      </w:r>
      <w:r>
        <w:rPr>
          <w:rFonts w:hint="eastAsia" w:ascii="宋体" w:hAnsi="宋体" w:eastAsia="宋体" w:cs="宋体"/>
          <w:color w:val="auto"/>
          <w:szCs w:val="21"/>
          <w:highlight w:val="none"/>
        </w:rPr>
        <w:t>率：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含</w:t>
      </w:r>
      <w:r>
        <w:rPr>
          <w:rFonts w:hint="eastAsia" w:ascii="宋体" w:hAnsi="宋体" w:eastAsia="宋体" w:cs="宋体"/>
          <w:color w:val="auto"/>
          <w:szCs w:val="21"/>
          <w:highlight w:val="none"/>
        </w:rPr>
        <w:t>法定增值税</w:t>
      </w:r>
      <w:r>
        <w:rPr>
          <w:rFonts w:hint="eastAsia" w:ascii="宋体" w:hAnsi="宋体" w:eastAsia="宋体" w:cs="宋体"/>
          <w:color w:val="auto"/>
          <w:szCs w:val="21"/>
          <w:highlight w:val="none"/>
          <w:lang w:val="en-US" w:eastAsia="zh-CN"/>
        </w:rPr>
        <w:t>税率</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p>
    <w:p w14:paraId="288C229F">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采购方和供应商次月核对上月配送食材总量及费用总额，核对无误后进行支付。</w:t>
      </w:r>
    </w:p>
    <w:p w14:paraId="22C4DB01">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2.甲方根据乙方每天提供的实际送货清单为结算依据，月底进行对账（根据月度考核情况调整支付金额，对账总金额-考核扣款），按实际对账金额乘以折扣率结算总价。</w:t>
      </w:r>
    </w:p>
    <w:p w14:paraId="0939BF05">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需向甲方提供国家正式税务发票，甲方在收到发票后的15个工作日内结清货款，甲方以转账方式将货款转入乙方指定的帐户，不得将货款交给其他人员。若甲方拖欠，则每天按货款总额的万分之五支付滞纳金。</w:t>
      </w:r>
    </w:p>
    <w:p w14:paraId="27C32150">
      <w:pPr>
        <w:autoSpaceDE w:val="0"/>
        <w:autoSpaceDN w:val="0"/>
        <w:adjustRightIn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十一、履约保证金</w:t>
      </w:r>
    </w:p>
    <w:p w14:paraId="728BABD5">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1.乙方交纳人民币伍拾万元作为本合同的履约保证金。</w:t>
      </w:r>
    </w:p>
    <w:p w14:paraId="26E91FD8">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2.中标乙方提交履约保证金的，乙方应当以转账形式提交，不接受其他方式缴纳。</w:t>
      </w:r>
    </w:p>
    <w:p w14:paraId="6F2AB886">
      <w:pPr>
        <w:autoSpaceDE w:val="0"/>
        <w:autoSpaceDN w:val="0"/>
        <w:adjustRightInd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3.如乙方无违反招标文件事项、违反本合同约定事项，履约保证金在本合同期满后无息退回；如有违反招标文件，违反本合同的，没收履约保证金。</w:t>
      </w:r>
    </w:p>
    <w:p w14:paraId="2054CBFC">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十二、合同期限</w:t>
      </w:r>
    </w:p>
    <w:p w14:paraId="7A7B4210">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合同履行期限：本项目服务期限为一年，具体时间为    年  月  日至   年  月  日，</w:t>
      </w:r>
      <w:r>
        <w:rPr>
          <w:rFonts w:hint="eastAsia" w:ascii="宋体" w:hAnsi="宋体" w:eastAsia="宋体" w:cs="宋体"/>
          <w:b/>
          <w:bCs/>
          <w:color w:val="auto"/>
          <w:kern w:val="0"/>
          <w:szCs w:val="21"/>
          <w:highlight w:val="none"/>
        </w:rPr>
        <w:t>一般情况下本合同服务期限届满或按实结算金额达到合同预算金额，本合同自然终止。</w:t>
      </w:r>
    </w:p>
    <w:p w14:paraId="582DB6E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与乙方签订合同后正式进入试供期，试供期为一个月（具体试供时间以甲方通知为准）。试供期满且经甲方综合考察认为合格的，合同继续执行；若试供期间出现货物质量、服务不达标等问题的，经甲方考察认为不合格的，服务合作终止，合同作废。</w:t>
      </w:r>
    </w:p>
    <w:p w14:paraId="3D435609">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十三、合同终止</w:t>
      </w:r>
    </w:p>
    <w:p w14:paraId="7FB8FA5D">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甲方对乙方送货有任何意见，可随时向乙方反映，乙方应及时改进，否则，甲方有权在无须征得乙方同意的情况下单方面直接中断与乙方的合同。一方终止合同须提前十五天通知对方。 </w:t>
      </w:r>
    </w:p>
    <w:p w14:paraId="2641937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如遇政策调整或经营模式改变，甲方有权提前终止合同，已发生的合同金额按实结算，无须承担任何违约责任。</w:t>
      </w:r>
    </w:p>
    <w:p w14:paraId="6185A292">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十四、争议处理</w:t>
      </w:r>
    </w:p>
    <w:p w14:paraId="7B7226F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上述条款未尽事宜，甲乙双方本着友好合作的精神协商解决。对本合同发生争议时，由甲乙双方协商解决；协商不成，可向</w:t>
      </w:r>
      <w:r>
        <w:rPr>
          <w:rFonts w:hint="eastAsia" w:ascii="宋体" w:hAnsi="宋体" w:eastAsia="宋体" w:cs="宋体"/>
          <w:color w:val="auto"/>
          <w:szCs w:val="21"/>
          <w:highlight w:val="none"/>
          <w:lang w:eastAsia="zh-CN"/>
        </w:rPr>
        <w:t>昆山市中医医院</w:t>
      </w:r>
      <w:r>
        <w:rPr>
          <w:rFonts w:hint="eastAsia" w:ascii="宋体" w:hAnsi="宋体" w:eastAsia="宋体" w:cs="宋体"/>
          <w:color w:val="auto"/>
          <w:szCs w:val="21"/>
          <w:highlight w:val="none"/>
        </w:rPr>
        <w:t>提起诉讼。</w:t>
      </w:r>
    </w:p>
    <w:p w14:paraId="1BCED142">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十四、本合同一式四份，甲、乙双方各执一份，备案机构、代理机构各执一份，具有同等法律效力，自盖章签字之日起生效。</w:t>
      </w:r>
    </w:p>
    <w:p w14:paraId="0D79A95E">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                                    乙方 : </w:t>
      </w:r>
    </w:p>
    <w:p w14:paraId="00A6098D">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                                    地址 : </w:t>
      </w:r>
    </w:p>
    <w:p w14:paraId="77BAA73D">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法人代表:                                 法人代表 :</w:t>
      </w:r>
    </w:p>
    <w:p w14:paraId="5A56A343">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 :                              委托代理人 :                </w:t>
      </w:r>
    </w:p>
    <w:p w14:paraId="73BC32A6">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                                    电话：</w:t>
      </w:r>
    </w:p>
    <w:p w14:paraId="21A68A96">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传真号码：                                传真号码：</w:t>
      </w:r>
    </w:p>
    <w:p w14:paraId="78E862F5">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  </w:t>
      </w:r>
    </w:p>
    <w:p w14:paraId="7EDB6E3B">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帐号 :                                    帐号 : </w:t>
      </w:r>
    </w:p>
    <w:p w14:paraId="444987C4">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     年     月     日               日期 :     年     月     日</w:t>
      </w:r>
    </w:p>
    <w:p w14:paraId="0610C6AC">
      <w:pPr>
        <w:rPr>
          <w:rFonts w:hint="eastAsia" w:ascii="宋体" w:hAnsi="宋体" w:eastAsia="宋体" w:cs="宋体"/>
          <w:color w:val="auto"/>
          <w:highlight w:val="none"/>
        </w:rPr>
      </w:pPr>
      <w:r>
        <w:rPr>
          <w:rFonts w:hint="eastAsia" w:ascii="宋体" w:hAnsi="宋体" w:cs="宋体"/>
          <w:color w:val="auto"/>
          <w:highlight w:val="none"/>
          <w:lang w:val="en-US" w:eastAsia="zh-CN"/>
        </w:rPr>
        <w:t>附考核表：</w:t>
      </w:r>
    </w:p>
    <w:p w14:paraId="6F19D4A3">
      <w:pPr>
        <w:rPr>
          <w:rFonts w:hint="eastAsia" w:ascii="宋体" w:hAnsi="宋体" w:cs="宋体"/>
          <w:color w:val="auto"/>
          <w:highlight w:val="none"/>
          <w:lang w:val="en-US" w:eastAsia="zh-CN"/>
        </w:rPr>
      </w:pPr>
    </w:p>
    <w:p w14:paraId="0EF28372">
      <w:pPr>
        <w:rPr>
          <w:rFonts w:hint="eastAsia" w:ascii="宋体" w:hAnsi="宋体" w:cs="宋体"/>
          <w:color w:val="auto"/>
          <w:highlight w:val="none"/>
          <w:lang w:val="en-US" w:eastAsia="zh-CN"/>
        </w:rPr>
      </w:pPr>
    </w:p>
    <w:tbl>
      <w:tblPr>
        <w:tblStyle w:val="32"/>
        <w:tblpPr w:leftFromText="180" w:rightFromText="180" w:vertAnchor="page" w:horzAnchor="page" w:tblpXSpec="center" w:tblpY="1719"/>
        <w:tblW w:w="9975" w:type="dxa"/>
        <w:tblInd w:w="0" w:type="dxa"/>
        <w:tblLayout w:type="fixed"/>
        <w:tblCellMar>
          <w:top w:w="0" w:type="dxa"/>
          <w:left w:w="108" w:type="dxa"/>
          <w:bottom w:w="0" w:type="dxa"/>
          <w:right w:w="108" w:type="dxa"/>
        </w:tblCellMar>
      </w:tblPr>
      <w:tblGrid>
        <w:gridCol w:w="959"/>
        <w:gridCol w:w="1134"/>
        <w:gridCol w:w="6526"/>
        <w:gridCol w:w="718"/>
        <w:gridCol w:w="638"/>
      </w:tblGrid>
      <w:tr w14:paraId="59DF59DE">
        <w:tblPrEx>
          <w:tblCellMar>
            <w:top w:w="0" w:type="dxa"/>
            <w:left w:w="108" w:type="dxa"/>
            <w:bottom w:w="0" w:type="dxa"/>
            <w:right w:w="108" w:type="dxa"/>
          </w:tblCellMar>
        </w:tblPrEx>
        <w:trPr>
          <w:trHeight w:val="405" w:hRule="atLeast"/>
        </w:trPr>
        <w:tc>
          <w:tcPr>
            <w:tcW w:w="9975" w:type="dxa"/>
            <w:gridSpan w:val="5"/>
            <w:noWrap/>
            <w:vAlign w:val="center"/>
          </w:tcPr>
          <w:p w14:paraId="534B8878">
            <w:pPr>
              <w:widowControl/>
              <w:jc w:val="center"/>
              <w:textAlignment w:val="center"/>
              <w:rPr>
                <w:rFonts w:ascii="宋体" w:hAnsi="宋体" w:cs="宋体"/>
                <w:b/>
                <w:bCs/>
                <w:color w:val="auto"/>
                <w:sz w:val="32"/>
                <w:szCs w:val="32"/>
                <w:highlight w:val="none"/>
              </w:rPr>
            </w:pPr>
            <w:r>
              <w:rPr>
                <w:rFonts w:hint="eastAsia" w:ascii="宋体" w:hAnsi="宋体" w:cs="宋体"/>
                <w:b/>
                <w:bCs/>
                <w:color w:val="auto"/>
                <w:kern w:val="0"/>
                <w:sz w:val="32"/>
                <w:szCs w:val="32"/>
                <w:highlight w:val="none"/>
              </w:rPr>
              <w:t>食堂食材供货及配送服务月度考核表</w:t>
            </w:r>
          </w:p>
        </w:tc>
      </w:tr>
      <w:tr w14:paraId="50E60365">
        <w:tblPrEx>
          <w:tblCellMar>
            <w:top w:w="0" w:type="dxa"/>
            <w:left w:w="108" w:type="dxa"/>
            <w:bottom w:w="0" w:type="dxa"/>
            <w:right w:w="108" w:type="dxa"/>
          </w:tblCellMar>
        </w:tblPrEx>
        <w:trPr>
          <w:trHeight w:val="285" w:hRule="atLeast"/>
        </w:trPr>
        <w:tc>
          <w:tcPr>
            <w:tcW w:w="959" w:type="dxa"/>
            <w:noWrap/>
            <w:vAlign w:val="center"/>
          </w:tcPr>
          <w:p w14:paraId="70362A91">
            <w:pPr>
              <w:rPr>
                <w:rFonts w:ascii="宋体" w:hAnsi="宋体" w:cs="宋体"/>
                <w:color w:val="auto"/>
                <w:sz w:val="22"/>
                <w:szCs w:val="22"/>
                <w:highlight w:val="none"/>
              </w:rPr>
            </w:pPr>
          </w:p>
        </w:tc>
        <w:tc>
          <w:tcPr>
            <w:tcW w:w="1134" w:type="dxa"/>
            <w:noWrap/>
            <w:vAlign w:val="center"/>
          </w:tcPr>
          <w:p w14:paraId="426E058D">
            <w:pPr>
              <w:widowControl/>
              <w:textAlignment w:val="center"/>
              <w:rPr>
                <w:rFonts w:ascii="宋体" w:hAnsi="宋体" w:cs="宋体"/>
                <w:color w:val="auto"/>
                <w:sz w:val="24"/>
                <w:highlight w:val="none"/>
              </w:rPr>
            </w:pPr>
            <w:r>
              <w:rPr>
                <w:rFonts w:hint="eastAsia" w:ascii="宋体" w:hAnsi="宋体" w:cs="宋体"/>
                <w:color w:val="auto"/>
                <w:kern w:val="0"/>
                <w:sz w:val="24"/>
                <w:highlight w:val="none"/>
              </w:rPr>
              <w:t xml:space="preserve"> </w:t>
            </w:r>
          </w:p>
        </w:tc>
        <w:tc>
          <w:tcPr>
            <w:tcW w:w="6526" w:type="dxa"/>
            <w:vAlign w:val="center"/>
          </w:tcPr>
          <w:p w14:paraId="15FA871B">
            <w:pPr>
              <w:rPr>
                <w:rFonts w:ascii="宋体" w:hAnsi="宋体" w:cs="宋体"/>
                <w:color w:val="auto"/>
                <w:sz w:val="22"/>
                <w:szCs w:val="22"/>
                <w:highlight w:val="none"/>
              </w:rPr>
            </w:pPr>
          </w:p>
        </w:tc>
        <w:tc>
          <w:tcPr>
            <w:tcW w:w="718" w:type="dxa"/>
            <w:noWrap/>
            <w:vAlign w:val="center"/>
          </w:tcPr>
          <w:p w14:paraId="4AEF2E9E">
            <w:pPr>
              <w:rPr>
                <w:rFonts w:ascii="宋体" w:hAnsi="宋体" w:cs="宋体"/>
                <w:color w:val="auto"/>
                <w:sz w:val="22"/>
                <w:szCs w:val="22"/>
                <w:highlight w:val="none"/>
              </w:rPr>
            </w:pPr>
          </w:p>
        </w:tc>
        <w:tc>
          <w:tcPr>
            <w:tcW w:w="638" w:type="dxa"/>
            <w:noWrap/>
            <w:vAlign w:val="center"/>
          </w:tcPr>
          <w:p w14:paraId="10BD7784">
            <w:pPr>
              <w:rPr>
                <w:rFonts w:ascii="宋体" w:hAnsi="宋体" w:cs="宋体"/>
                <w:color w:val="auto"/>
                <w:sz w:val="22"/>
                <w:szCs w:val="22"/>
                <w:highlight w:val="none"/>
              </w:rPr>
            </w:pPr>
          </w:p>
        </w:tc>
      </w:tr>
      <w:tr w14:paraId="2A991CCC">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2F41B45">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序号</w:t>
            </w:r>
          </w:p>
        </w:tc>
        <w:tc>
          <w:tcPr>
            <w:tcW w:w="1134" w:type="dxa"/>
            <w:tcBorders>
              <w:top w:val="single" w:color="000000" w:sz="4" w:space="0"/>
              <w:left w:val="single" w:color="000000" w:sz="4" w:space="0"/>
              <w:bottom w:val="single" w:color="000000" w:sz="4" w:space="0"/>
              <w:right w:val="single" w:color="000000" w:sz="4" w:space="0"/>
            </w:tcBorders>
            <w:vAlign w:val="center"/>
          </w:tcPr>
          <w:p w14:paraId="4FC6E2DD">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指标</w:t>
            </w:r>
          </w:p>
        </w:tc>
        <w:tc>
          <w:tcPr>
            <w:tcW w:w="6526" w:type="dxa"/>
            <w:tcBorders>
              <w:top w:val="single" w:color="000000" w:sz="4" w:space="0"/>
              <w:left w:val="single" w:color="000000" w:sz="4" w:space="0"/>
              <w:bottom w:val="single" w:color="000000" w:sz="4" w:space="0"/>
              <w:right w:val="single" w:color="000000" w:sz="4" w:space="0"/>
            </w:tcBorders>
            <w:vAlign w:val="center"/>
          </w:tcPr>
          <w:p w14:paraId="41E447B0">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考核要素和评估内容及其标准</w:t>
            </w:r>
          </w:p>
        </w:tc>
        <w:tc>
          <w:tcPr>
            <w:tcW w:w="718" w:type="dxa"/>
            <w:tcBorders>
              <w:top w:val="single" w:color="000000" w:sz="4" w:space="0"/>
              <w:left w:val="single" w:color="000000" w:sz="4" w:space="0"/>
              <w:bottom w:val="single" w:color="000000" w:sz="4" w:space="0"/>
              <w:right w:val="single" w:color="000000" w:sz="4" w:space="0"/>
            </w:tcBorders>
            <w:vAlign w:val="center"/>
          </w:tcPr>
          <w:p w14:paraId="262598D9">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分值</w:t>
            </w:r>
          </w:p>
        </w:tc>
        <w:tc>
          <w:tcPr>
            <w:tcW w:w="638" w:type="dxa"/>
            <w:tcBorders>
              <w:top w:val="single" w:color="000000" w:sz="4" w:space="0"/>
              <w:left w:val="single" w:color="000000" w:sz="4" w:space="0"/>
              <w:bottom w:val="single" w:color="000000" w:sz="4" w:space="0"/>
              <w:right w:val="single" w:color="000000" w:sz="4" w:space="0"/>
            </w:tcBorders>
            <w:vAlign w:val="center"/>
          </w:tcPr>
          <w:p w14:paraId="1F3E9C11">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得分</w:t>
            </w:r>
          </w:p>
        </w:tc>
      </w:tr>
      <w:tr w14:paraId="24D2352D">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BDB78C4">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134" w:type="dxa"/>
            <w:tcBorders>
              <w:top w:val="single" w:color="000000" w:sz="4" w:space="0"/>
              <w:left w:val="single" w:color="000000" w:sz="4" w:space="0"/>
              <w:bottom w:val="single" w:color="000000" w:sz="4" w:space="0"/>
              <w:right w:val="single" w:color="000000" w:sz="4" w:space="0"/>
            </w:tcBorders>
            <w:vAlign w:val="center"/>
          </w:tcPr>
          <w:p w14:paraId="0A7D5CE5">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服务团队</w:t>
            </w:r>
          </w:p>
        </w:tc>
        <w:tc>
          <w:tcPr>
            <w:tcW w:w="6526" w:type="dxa"/>
            <w:tcBorders>
              <w:top w:val="single" w:color="000000" w:sz="4" w:space="0"/>
              <w:left w:val="single" w:color="000000" w:sz="4" w:space="0"/>
              <w:bottom w:val="single" w:color="000000" w:sz="4" w:space="0"/>
              <w:right w:val="single" w:color="000000" w:sz="4" w:space="0"/>
            </w:tcBorders>
            <w:vAlign w:val="center"/>
          </w:tcPr>
          <w:p w14:paraId="78F6F1C3">
            <w:pPr>
              <w:widowControl/>
              <w:textAlignment w:val="center"/>
              <w:rPr>
                <w:rFonts w:ascii="宋体" w:hAnsi="宋体" w:cs="宋体"/>
                <w:color w:val="auto"/>
                <w:szCs w:val="21"/>
                <w:highlight w:val="none"/>
              </w:rPr>
            </w:pPr>
            <w:r>
              <w:rPr>
                <w:rStyle w:val="292"/>
                <w:rFonts w:hint="default"/>
                <w:color w:val="auto"/>
                <w:highlight w:val="none"/>
              </w:rPr>
              <w:t>有专门的团队服务人员，工作认真，服务热情周到，定期沟通协调，</w:t>
            </w:r>
            <w:r>
              <w:rPr>
                <w:rStyle w:val="592"/>
                <w:rFonts w:hint="default"/>
                <w:color w:val="auto"/>
                <w:highlight w:val="none"/>
              </w:rPr>
              <w:t>得</w:t>
            </w:r>
            <w:r>
              <w:rPr>
                <w:rStyle w:val="292"/>
                <w:rFonts w:hint="default"/>
                <w:color w:val="auto"/>
                <w:highlight w:val="none"/>
              </w:rPr>
              <w:t>4分，提供从业人员身份证、健康证明复印件及工作证，得2分，人证不符发现一次扣6分。</w:t>
            </w:r>
          </w:p>
        </w:tc>
        <w:tc>
          <w:tcPr>
            <w:tcW w:w="718" w:type="dxa"/>
            <w:tcBorders>
              <w:top w:val="single" w:color="000000" w:sz="4" w:space="0"/>
              <w:left w:val="single" w:color="000000" w:sz="4" w:space="0"/>
              <w:bottom w:val="single" w:color="000000" w:sz="4" w:space="0"/>
              <w:right w:val="single" w:color="000000" w:sz="4" w:space="0"/>
            </w:tcBorders>
            <w:vAlign w:val="center"/>
          </w:tcPr>
          <w:p w14:paraId="3DA28BC8">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6</w:t>
            </w:r>
          </w:p>
        </w:tc>
        <w:tc>
          <w:tcPr>
            <w:tcW w:w="638" w:type="dxa"/>
            <w:tcBorders>
              <w:top w:val="single" w:color="000000" w:sz="4" w:space="0"/>
              <w:left w:val="single" w:color="000000" w:sz="4" w:space="0"/>
              <w:bottom w:val="single" w:color="000000" w:sz="4" w:space="0"/>
              <w:right w:val="single" w:color="000000" w:sz="4" w:space="0"/>
            </w:tcBorders>
            <w:vAlign w:val="center"/>
          </w:tcPr>
          <w:p w14:paraId="3D620043">
            <w:pPr>
              <w:widowControl/>
              <w:jc w:val="center"/>
              <w:textAlignment w:val="center"/>
              <w:rPr>
                <w:rFonts w:ascii="宋体" w:hAnsi="宋体" w:cs="宋体"/>
                <w:color w:val="auto"/>
                <w:kern w:val="0"/>
                <w:szCs w:val="21"/>
                <w:highlight w:val="none"/>
              </w:rPr>
            </w:pPr>
          </w:p>
        </w:tc>
      </w:tr>
      <w:tr w14:paraId="4E5EA80D">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40171FD">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1134" w:type="dxa"/>
            <w:tcBorders>
              <w:top w:val="single" w:color="000000" w:sz="4" w:space="0"/>
              <w:left w:val="single" w:color="000000" w:sz="4" w:space="0"/>
              <w:bottom w:val="single" w:color="000000" w:sz="4" w:space="0"/>
              <w:right w:val="single" w:color="000000" w:sz="4" w:space="0"/>
            </w:tcBorders>
            <w:vAlign w:val="center"/>
          </w:tcPr>
          <w:p w14:paraId="353C0C28">
            <w:pPr>
              <w:widowControl/>
              <w:jc w:val="center"/>
              <w:textAlignment w:val="center"/>
              <w:rPr>
                <w:rFonts w:ascii="宋体" w:hAnsi="宋体" w:cs="宋体"/>
                <w:color w:val="auto"/>
                <w:szCs w:val="21"/>
                <w:highlight w:val="none"/>
              </w:rPr>
            </w:pPr>
            <w:r>
              <w:rPr>
                <w:rFonts w:ascii="宋体" w:hAnsi="宋体" w:cs="宋体"/>
                <w:color w:val="auto"/>
                <w:szCs w:val="21"/>
                <w:highlight w:val="none"/>
              </w:rPr>
              <w:t>配送设备</w:t>
            </w:r>
          </w:p>
        </w:tc>
        <w:tc>
          <w:tcPr>
            <w:tcW w:w="6526" w:type="dxa"/>
            <w:tcBorders>
              <w:top w:val="single" w:color="000000" w:sz="4" w:space="0"/>
              <w:left w:val="single" w:color="000000" w:sz="4" w:space="0"/>
              <w:bottom w:val="single" w:color="000000" w:sz="4" w:space="0"/>
              <w:right w:val="single" w:color="000000" w:sz="4" w:space="0"/>
            </w:tcBorders>
            <w:vAlign w:val="center"/>
          </w:tcPr>
          <w:p w14:paraId="1D492A3F">
            <w:pPr>
              <w:widowControl/>
              <w:textAlignment w:val="center"/>
              <w:rPr>
                <w:rFonts w:ascii="宋体" w:hAnsi="宋体" w:cs="宋体"/>
                <w:color w:val="auto"/>
                <w:szCs w:val="21"/>
                <w:highlight w:val="none"/>
              </w:rPr>
            </w:pPr>
            <w:r>
              <w:rPr>
                <w:rStyle w:val="292"/>
                <w:rFonts w:hint="default"/>
                <w:color w:val="auto"/>
                <w:highlight w:val="none"/>
              </w:rPr>
              <w:t>提供配送车辆信息材料、送货均使用专用冷藏车（4-10月须开启冷藏设备，其余时间视气温情况而定）得8分，未用冷藏车或该开启冷藏设备而未开启冷藏设备发现一次扣8分，人车不符或委托其他车辆人员代送发现一次扣8分。</w:t>
            </w:r>
          </w:p>
        </w:tc>
        <w:tc>
          <w:tcPr>
            <w:tcW w:w="718" w:type="dxa"/>
            <w:tcBorders>
              <w:top w:val="single" w:color="000000" w:sz="4" w:space="0"/>
              <w:left w:val="single" w:color="000000" w:sz="4" w:space="0"/>
              <w:bottom w:val="single" w:color="000000" w:sz="4" w:space="0"/>
              <w:right w:val="single" w:color="000000" w:sz="4" w:space="0"/>
            </w:tcBorders>
            <w:vAlign w:val="center"/>
          </w:tcPr>
          <w:p w14:paraId="320FBECE">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8</w:t>
            </w:r>
          </w:p>
        </w:tc>
        <w:tc>
          <w:tcPr>
            <w:tcW w:w="638" w:type="dxa"/>
            <w:tcBorders>
              <w:top w:val="single" w:color="000000" w:sz="4" w:space="0"/>
              <w:left w:val="single" w:color="000000" w:sz="4" w:space="0"/>
              <w:bottom w:val="single" w:color="000000" w:sz="4" w:space="0"/>
              <w:right w:val="single" w:color="000000" w:sz="4" w:space="0"/>
            </w:tcBorders>
            <w:vAlign w:val="center"/>
          </w:tcPr>
          <w:p w14:paraId="7D51B0D7">
            <w:pPr>
              <w:widowControl/>
              <w:jc w:val="center"/>
              <w:textAlignment w:val="center"/>
              <w:rPr>
                <w:rFonts w:ascii="宋体" w:hAnsi="宋体" w:cs="宋体"/>
                <w:color w:val="auto"/>
                <w:kern w:val="0"/>
                <w:szCs w:val="21"/>
                <w:highlight w:val="none"/>
              </w:rPr>
            </w:pPr>
          </w:p>
        </w:tc>
      </w:tr>
      <w:tr w14:paraId="7863C5D2">
        <w:tblPrEx>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406A4F18">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1134" w:type="dxa"/>
            <w:tcBorders>
              <w:top w:val="single" w:color="000000" w:sz="4" w:space="0"/>
              <w:left w:val="single" w:color="000000" w:sz="4" w:space="0"/>
              <w:bottom w:val="single" w:color="000000" w:sz="4" w:space="0"/>
              <w:right w:val="single" w:color="000000" w:sz="4" w:space="0"/>
            </w:tcBorders>
            <w:vAlign w:val="center"/>
          </w:tcPr>
          <w:p w14:paraId="456C8D56">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准时送货</w:t>
            </w:r>
          </w:p>
        </w:tc>
        <w:tc>
          <w:tcPr>
            <w:tcW w:w="6526" w:type="dxa"/>
            <w:tcBorders>
              <w:top w:val="single" w:color="000000" w:sz="4" w:space="0"/>
              <w:left w:val="single" w:color="000000" w:sz="4" w:space="0"/>
              <w:bottom w:val="single" w:color="000000" w:sz="4" w:space="0"/>
              <w:right w:val="single" w:color="000000" w:sz="4" w:space="0"/>
            </w:tcBorders>
            <w:vAlign w:val="center"/>
          </w:tcPr>
          <w:p w14:paraId="7FFECC84">
            <w:pPr>
              <w:widowControl/>
              <w:jc w:val="left"/>
              <w:textAlignment w:val="center"/>
              <w:rPr>
                <w:rFonts w:ascii="宋体" w:hAnsi="宋体"/>
                <w:color w:val="auto"/>
                <w:szCs w:val="21"/>
                <w:highlight w:val="none"/>
              </w:rPr>
            </w:pPr>
            <w:r>
              <w:rPr>
                <w:rStyle w:val="292"/>
                <w:rFonts w:hint="default"/>
                <w:color w:val="auto"/>
                <w:highlight w:val="none"/>
              </w:rPr>
              <w:t>食材均在规定时间内全部送达得10分，分次送达一次扣5分，扣完为止。未在规定时间内（8:00前）送达，延误一次扣5分，扣完为止。临时加急采买食材未在规定时间内送达，延误一次扣5分，扣完为止。影响出菜或活动举办，一次扣10分。</w:t>
            </w:r>
          </w:p>
        </w:tc>
        <w:tc>
          <w:tcPr>
            <w:tcW w:w="718" w:type="dxa"/>
            <w:tcBorders>
              <w:top w:val="single" w:color="000000" w:sz="4" w:space="0"/>
              <w:left w:val="single" w:color="000000" w:sz="4" w:space="0"/>
              <w:bottom w:val="single" w:color="000000" w:sz="4" w:space="0"/>
              <w:right w:val="single" w:color="000000" w:sz="4" w:space="0"/>
            </w:tcBorders>
            <w:vAlign w:val="center"/>
          </w:tcPr>
          <w:p w14:paraId="10345AA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vAlign w:val="center"/>
          </w:tcPr>
          <w:p w14:paraId="70AC2338">
            <w:pPr>
              <w:widowControl/>
              <w:jc w:val="center"/>
              <w:textAlignment w:val="center"/>
              <w:rPr>
                <w:rFonts w:ascii="宋体" w:hAnsi="宋体" w:cs="宋体"/>
                <w:color w:val="auto"/>
                <w:kern w:val="0"/>
                <w:szCs w:val="21"/>
                <w:highlight w:val="none"/>
              </w:rPr>
            </w:pPr>
          </w:p>
        </w:tc>
      </w:tr>
      <w:tr w14:paraId="5B9EDFDC">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64A3E6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4</w:t>
            </w:r>
          </w:p>
        </w:tc>
        <w:tc>
          <w:tcPr>
            <w:tcW w:w="1134" w:type="dxa"/>
            <w:tcBorders>
              <w:top w:val="single" w:color="000000" w:sz="4" w:space="0"/>
              <w:left w:val="single" w:color="000000" w:sz="4" w:space="0"/>
              <w:bottom w:val="single" w:color="000000" w:sz="4" w:space="0"/>
              <w:right w:val="single" w:color="000000" w:sz="4" w:space="0"/>
            </w:tcBorders>
            <w:vAlign w:val="center"/>
          </w:tcPr>
          <w:p w14:paraId="3CD7A0CA">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配送</w:t>
            </w:r>
            <w:r>
              <w:rPr>
                <w:rFonts w:ascii="宋体" w:hAnsi="宋体" w:cs="宋体"/>
                <w:color w:val="auto"/>
                <w:szCs w:val="21"/>
                <w:highlight w:val="none"/>
              </w:rPr>
              <w:t>要求</w:t>
            </w:r>
          </w:p>
        </w:tc>
        <w:tc>
          <w:tcPr>
            <w:tcW w:w="6526" w:type="dxa"/>
            <w:tcBorders>
              <w:top w:val="single" w:color="000000" w:sz="4" w:space="0"/>
              <w:left w:val="single" w:color="000000" w:sz="4" w:space="0"/>
              <w:bottom w:val="single" w:color="000000" w:sz="4" w:space="0"/>
              <w:right w:val="single" w:color="000000" w:sz="4" w:space="0"/>
            </w:tcBorders>
            <w:vAlign w:val="center"/>
          </w:tcPr>
          <w:p w14:paraId="0B2D16FB">
            <w:pPr>
              <w:widowControl/>
              <w:textAlignment w:val="center"/>
              <w:rPr>
                <w:rFonts w:ascii="宋体" w:hAnsi="宋体" w:cs="宋体"/>
                <w:color w:val="auto"/>
                <w:szCs w:val="21"/>
                <w:highlight w:val="none"/>
              </w:rPr>
            </w:pPr>
            <w:r>
              <w:rPr>
                <w:rStyle w:val="292"/>
                <w:rFonts w:hint="default"/>
                <w:color w:val="auto"/>
                <w:highlight w:val="none"/>
              </w:rPr>
              <w:t>验菜准备工作充分，在验菜前按照食材种类整齐摆放在指定区域内得2分，盛放容器合适得2分，验菜毕主动协助餐饮团队将食材运送至各操作间得2分，</w:t>
            </w:r>
            <w:r>
              <w:rPr>
                <w:rFonts w:ascii="宋体" w:hAnsi="宋体" w:cs="宋体"/>
                <w:color w:val="auto"/>
                <w:szCs w:val="21"/>
                <w:highlight w:val="none"/>
              </w:rPr>
              <w:t xml:space="preserve"> 做好现场清洁卫生工作得</w:t>
            </w:r>
            <w:r>
              <w:rPr>
                <w:rFonts w:hint="eastAsia" w:ascii="宋体" w:hAnsi="宋体" w:cs="宋体"/>
                <w:color w:val="auto"/>
                <w:szCs w:val="21"/>
                <w:highlight w:val="none"/>
              </w:rPr>
              <w:t>2分</w:t>
            </w:r>
            <w:r>
              <w:rPr>
                <w:rFonts w:ascii="宋体" w:hAnsi="宋体" w:cs="宋体"/>
                <w:color w:val="auto"/>
                <w:szCs w:val="21"/>
                <w:highlight w:val="none"/>
              </w:rPr>
              <w:t>，关闭门禁得</w:t>
            </w:r>
            <w:r>
              <w:rPr>
                <w:rFonts w:hint="eastAsia" w:ascii="宋体" w:hAnsi="宋体" w:cs="宋体"/>
                <w:color w:val="auto"/>
                <w:szCs w:val="21"/>
                <w:highlight w:val="none"/>
              </w:rPr>
              <w:t>2分，擅自进入冻库发现一次扣5分，扣完为止。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03374327">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75C6AEF6">
            <w:pPr>
              <w:rPr>
                <w:rFonts w:ascii="宋体" w:hAnsi="宋体" w:cs="宋体"/>
                <w:color w:val="auto"/>
                <w:sz w:val="22"/>
                <w:szCs w:val="22"/>
                <w:highlight w:val="none"/>
              </w:rPr>
            </w:pPr>
          </w:p>
        </w:tc>
      </w:tr>
      <w:tr w14:paraId="59FBD778">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0CEDE90">
            <w:pPr>
              <w:widowControl/>
              <w:jc w:val="center"/>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5</w:t>
            </w:r>
          </w:p>
        </w:tc>
        <w:tc>
          <w:tcPr>
            <w:tcW w:w="1134" w:type="dxa"/>
            <w:tcBorders>
              <w:top w:val="single" w:color="000000" w:sz="4" w:space="0"/>
              <w:left w:val="single" w:color="000000" w:sz="4" w:space="0"/>
              <w:bottom w:val="single" w:color="000000" w:sz="4" w:space="0"/>
              <w:right w:val="single" w:color="000000" w:sz="4" w:space="0"/>
            </w:tcBorders>
            <w:vAlign w:val="center"/>
          </w:tcPr>
          <w:p w14:paraId="158A0947">
            <w:pPr>
              <w:widowControl/>
              <w:textAlignment w:val="center"/>
              <w:rPr>
                <w:rFonts w:ascii="宋体" w:hAnsi="宋体" w:cs="宋体"/>
                <w:color w:val="auto"/>
                <w:szCs w:val="21"/>
                <w:highlight w:val="none"/>
              </w:rPr>
            </w:pPr>
            <w:r>
              <w:rPr>
                <w:rFonts w:hint="eastAsia" w:ascii="宋体" w:hAnsi="宋体" w:cs="宋体"/>
                <w:color w:val="auto"/>
                <w:szCs w:val="21"/>
                <w:highlight w:val="none"/>
              </w:rPr>
              <w:t>操作规范</w:t>
            </w:r>
          </w:p>
        </w:tc>
        <w:tc>
          <w:tcPr>
            <w:tcW w:w="6526" w:type="dxa"/>
            <w:tcBorders>
              <w:top w:val="single" w:color="000000" w:sz="4" w:space="0"/>
              <w:left w:val="single" w:color="000000" w:sz="4" w:space="0"/>
              <w:bottom w:val="single" w:color="000000" w:sz="4" w:space="0"/>
              <w:right w:val="single" w:color="000000" w:sz="4" w:space="0"/>
            </w:tcBorders>
            <w:vAlign w:val="center"/>
          </w:tcPr>
          <w:p w14:paraId="714115A8">
            <w:pPr>
              <w:widowControl/>
              <w:textAlignment w:val="center"/>
              <w:rPr>
                <w:rStyle w:val="292"/>
                <w:rFonts w:hint="default"/>
                <w:color w:val="auto"/>
                <w:highlight w:val="none"/>
              </w:rPr>
            </w:pPr>
            <w:r>
              <w:rPr>
                <w:rStyle w:val="292"/>
                <w:rFonts w:hint="default"/>
                <w:color w:val="auto"/>
                <w:highlight w:val="none"/>
              </w:rPr>
              <w:t>有专门的工作服，服装整洁干净，操作规范，能按要求进行粗加工，并在规定时间内完成，操作完毕做好现场清洁卫生及设备保养维护工作</w:t>
            </w:r>
            <w:r>
              <w:rPr>
                <w:rStyle w:val="292"/>
                <w:color w:val="auto"/>
                <w:highlight w:val="none"/>
              </w:rPr>
              <w:t>得</w:t>
            </w:r>
            <w:r>
              <w:rPr>
                <w:rStyle w:val="292"/>
                <w:rFonts w:hint="default"/>
                <w:color w:val="auto"/>
                <w:highlight w:val="none"/>
              </w:rPr>
              <w:t>6</w:t>
            </w:r>
            <w:r>
              <w:rPr>
                <w:rStyle w:val="292"/>
                <w:color w:val="auto"/>
                <w:highlight w:val="none"/>
              </w:rPr>
              <w:t>分</w:t>
            </w:r>
            <w:r>
              <w:rPr>
                <w:rStyle w:val="292"/>
                <w:rFonts w:hint="default"/>
                <w:color w:val="auto"/>
                <w:highlight w:val="none"/>
              </w:rPr>
              <w:t>，未穿工作服一次扣2分，未按要求完成加工一次扣2分，未按要求保持现场清洁及设备保养一次扣2分。</w:t>
            </w:r>
          </w:p>
        </w:tc>
        <w:tc>
          <w:tcPr>
            <w:tcW w:w="718" w:type="dxa"/>
            <w:tcBorders>
              <w:top w:val="single" w:color="000000" w:sz="4" w:space="0"/>
              <w:left w:val="single" w:color="000000" w:sz="4" w:space="0"/>
              <w:bottom w:val="single" w:color="000000" w:sz="4" w:space="0"/>
              <w:right w:val="single" w:color="000000" w:sz="4" w:space="0"/>
            </w:tcBorders>
            <w:vAlign w:val="center"/>
          </w:tcPr>
          <w:p w14:paraId="07429B8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2085D076">
            <w:pPr>
              <w:rPr>
                <w:rFonts w:ascii="宋体" w:hAnsi="宋体" w:cs="宋体"/>
                <w:color w:val="auto"/>
                <w:sz w:val="22"/>
                <w:szCs w:val="22"/>
                <w:highlight w:val="none"/>
              </w:rPr>
            </w:pPr>
          </w:p>
        </w:tc>
      </w:tr>
      <w:tr w14:paraId="372AB9C4">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E1B6D14">
            <w:pPr>
              <w:widowControl/>
              <w:jc w:val="center"/>
              <w:textAlignment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1134" w:type="dxa"/>
            <w:tcBorders>
              <w:top w:val="single" w:color="000000" w:sz="4" w:space="0"/>
              <w:left w:val="single" w:color="000000" w:sz="4" w:space="0"/>
              <w:bottom w:val="single" w:color="000000" w:sz="4" w:space="0"/>
              <w:right w:val="single" w:color="000000" w:sz="4" w:space="0"/>
            </w:tcBorders>
            <w:vAlign w:val="center"/>
          </w:tcPr>
          <w:p w14:paraId="60A08AAD">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保质保量</w:t>
            </w:r>
          </w:p>
        </w:tc>
        <w:tc>
          <w:tcPr>
            <w:tcW w:w="6526" w:type="dxa"/>
            <w:tcBorders>
              <w:top w:val="single" w:color="000000" w:sz="4" w:space="0"/>
              <w:left w:val="single" w:color="000000" w:sz="4" w:space="0"/>
              <w:bottom w:val="single" w:color="000000" w:sz="4" w:space="0"/>
              <w:right w:val="single" w:color="000000" w:sz="4" w:space="0"/>
            </w:tcBorders>
            <w:vAlign w:val="center"/>
          </w:tcPr>
          <w:p w14:paraId="5A6305CC">
            <w:pPr>
              <w:widowControl/>
              <w:textAlignment w:val="center"/>
              <w:rPr>
                <w:rFonts w:ascii="宋体" w:hAnsi="宋体"/>
                <w:color w:val="auto"/>
                <w:szCs w:val="21"/>
                <w:highlight w:val="none"/>
              </w:rPr>
            </w:pPr>
            <w:r>
              <w:rPr>
                <w:rStyle w:val="292"/>
                <w:rFonts w:hint="default"/>
                <w:color w:val="auto"/>
                <w:highlight w:val="none"/>
              </w:rPr>
              <w:t>保证商品质量，经过实验室功能检测，保证食材新鲜，无以次（劣）充好现象，无过期或变质食品得10分，发现一次假冒伪劣商品、变质商品、过期商品扣10分。食材未经挑选出现腐烂、黄叶等现象或原材料来源不明的发现</w:t>
            </w:r>
            <w:r>
              <w:rPr>
                <w:rFonts w:hint="eastAsia" w:cs="宋体"/>
                <w:color w:val="auto"/>
                <w:kern w:val="0"/>
                <w:highlight w:val="none"/>
              </w:rPr>
              <w:t>一</w:t>
            </w:r>
            <w:r>
              <w:rPr>
                <w:rStyle w:val="292"/>
                <w:rFonts w:hint="default"/>
                <w:color w:val="auto"/>
                <w:highlight w:val="none"/>
              </w:rPr>
              <w:t>次扣</w:t>
            </w:r>
            <w:r>
              <w:rPr>
                <w:rFonts w:hint="eastAsia" w:cs="宋体"/>
                <w:color w:val="auto"/>
                <w:kern w:val="0"/>
                <w:highlight w:val="none"/>
              </w:rPr>
              <w:t>5</w:t>
            </w:r>
            <w:r>
              <w:rPr>
                <w:rStyle w:val="292"/>
                <w:rFonts w:hint="default"/>
                <w:color w:val="auto"/>
                <w:highlight w:val="none"/>
              </w:rPr>
              <w:t>分，扣完为止。所有供应的货物的保质期绝不低于产品标注保质期的三分之一（自产品标注的生产日期算起），发现一次扣10分。（需注明发现时间及现场实物照片）。送货无短斤缺两现象，缺少分量达到该类食材配送总量5%以上，发现一次扣5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732FD8CF">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CD59C98">
            <w:pPr>
              <w:rPr>
                <w:rFonts w:ascii="宋体" w:hAnsi="宋体" w:cs="宋体"/>
                <w:color w:val="auto"/>
                <w:sz w:val="22"/>
                <w:szCs w:val="22"/>
                <w:highlight w:val="none"/>
              </w:rPr>
            </w:pPr>
          </w:p>
        </w:tc>
      </w:tr>
      <w:tr w14:paraId="3A0E1C1C">
        <w:tblPrEx>
          <w:tblCellMar>
            <w:top w:w="0" w:type="dxa"/>
            <w:left w:w="108" w:type="dxa"/>
            <w:bottom w:w="0" w:type="dxa"/>
            <w:right w:w="108" w:type="dxa"/>
          </w:tblCellMar>
        </w:tblPrEx>
        <w:trPr>
          <w:trHeight w:val="102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2D0E0BC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7</w:t>
            </w:r>
          </w:p>
        </w:tc>
        <w:tc>
          <w:tcPr>
            <w:tcW w:w="1134" w:type="dxa"/>
            <w:tcBorders>
              <w:top w:val="single" w:color="000000" w:sz="4" w:space="0"/>
              <w:left w:val="single" w:color="000000" w:sz="4" w:space="0"/>
              <w:bottom w:val="single" w:color="000000" w:sz="4" w:space="0"/>
              <w:right w:val="single" w:color="000000" w:sz="4" w:space="0"/>
            </w:tcBorders>
            <w:vAlign w:val="center"/>
          </w:tcPr>
          <w:p w14:paraId="4E846D9E">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安全清洁</w:t>
            </w:r>
          </w:p>
        </w:tc>
        <w:tc>
          <w:tcPr>
            <w:tcW w:w="6526" w:type="dxa"/>
            <w:tcBorders>
              <w:top w:val="single" w:color="000000" w:sz="4" w:space="0"/>
              <w:left w:val="single" w:color="000000" w:sz="4" w:space="0"/>
              <w:bottom w:val="single" w:color="000000" w:sz="4" w:space="0"/>
              <w:right w:val="single" w:color="000000" w:sz="4" w:space="0"/>
            </w:tcBorders>
            <w:vAlign w:val="center"/>
          </w:tcPr>
          <w:p w14:paraId="17BE01B8">
            <w:pPr>
              <w:widowControl/>
              <w:textAlignment w:val="center"/>
              <w:rPr>
                <w:rFonts w:ascii="宋体" w:hAnsi="宋体" w:cs="宋体"/>
                <w:color w:val="auto"/>
                <w:szCs w:val="21"/>
                <w:highlight w:val="none"/>
              </w:rPr>
            </w:pPr>
            <w:r>
              <w:rPr>
                <w:rStyle w:val="292"/>
                <w:rFonts w:hint="default"/>
                <w:color w:val="auto"/>
                <w:highlight w:val="none"/>
              </w:rPr>
              <w:t>运输工具、贮物筐箱、包装材料等保持清洁卫生得4分，抽查到不符要求的发现一次扣1分，扣完为止。运输过程中，防止有油污血水等污染运输通道，发现一次扣1分，扣完为止。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64872290">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4EF88CA4">
            <w:pPr>
              <w:rPr>
                <w:rFonts w:ascii="宋体" w:hAnsi="宋体" w:cs="宋体"/>
                <w:color w:val="auto"/>
                <w:sz w:val="22"/>
                <w:szCs w:val="22"/>
                <w:highlight w:val="none"/>
              </w:rPr>
            </w:pPr>
          </w:p>
        </w:tc>
      </w:tr>
      <w:tr w14:paraId="17CB9591">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0F0AB7C4">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8</w:t>
            </w:r>
          </w:p>
        </w:tc>
        <w:tc>
          <w:tcPr>
            <w:tcW w:w="1134" w:type="dxa"/>
            <w:tcBorders>
              <w:top w:val="single" w:color="000000" w:sz="4" w:space="0"/>
              <w:left w:val="single" w:color="000000" w:sz="4" w:space="0"/>
              <w:bottom w:val="single" w:color="000000" w:sz="4" w:space="0"/>
              <w:right w:val="single" w:color="000000" w:sz="4" w:space="0"/>
            </w:tcBorders>
            <w:vAlign w:val="center"/>
          </w:tcPr>
          <w:p w14:paraId="4EE4D981">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品牌规范</w:t>
            </w:r>
          </w:p>
        </w:tc>
        <w:tc>
          <w:tcPr>
            <w:tcW w:w="6526" w:type="dxa"/>
            <w:tcBorders>
              <w:top w:val="single" w:color="000000" w:sz="4" w:space="0"/>
              <w:left w:val="single" w:color="000000" w:sz="4" w:space="0"/>
              <w:bottom w:val="single" w:color="000000" w:sz="4" w:space="0"/>
              <w:right w:val="single" w:color="000000" w:sz="4" w:space="0"/>
            </w:tcBorders>
            <w:vAlign w:val="center"/>
          </w:tcPr>
          <w:p w14:paraId="585537B3">
            <w:pPr>
              <w:widowControl/>
              <w:textAlignment w:val="center"/>
              <w:rPr>
                <w:rFonts w:ascii="宋体" w:hAnsi="宋体" w:cs="宋体"/>
                <w:color w:val="auto"/>
                <w:szCs w:val="21"/>
                <w:highlight w:val="none"/>
              </w:rPr>
            </w:pPr>
            <w:r>
              <w:rPr>
                <w:rStyle w:val="292"/>
                <w:rFonts w:hint="default"/>
                <w:color w:val="auto"/>
                <w:highlight w:val="none"/>
              </w:rPr>
              <w:t>按照采购方公布的目录品牌规格采购、供货，实际配送与食材申购单无差错得10分，擅自更改申购单发现1次扣5分，擅自更换品牌配送发现1次扣5分，扣完为止，不能及时按照采购方公布的目录品牌规格采购发现1次扣5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682D8E50">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0D62A0B">
            <w:pPr>
              <w:rPr>
                <w:rFonts w:ascii="宋体" w:hAnsi="宋体" w:cs="宋体"/>
                <w:color w:val="auto"/>
                <w:sz w:val="22"/>
                <w:szCs w:val="22"/>
                <w:highlight w:val="none"/>
              </w:rPr>
            </w:pPr>
          </w:p>
        </w:tc>
      </w:tr>
      <w:tr w14:paraId="6614B149">
        <w:tblPrEx>
          <w:tblCellMar>
            <w:top w:w="0" w:type="dxa"/>
            <w:left w:w="108" w:type="dxa"/>
            <w:bottom w:w="0" w:type="dxa"/>
            <w:right w:w="108" w:type="dxa"/>
          </w:tblCellMar>
        </w:tblPrEx>
        <w:trPr>
          <w:trHeight w:val="127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9F96821">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9</w:t>
            </w:r>
          </w:p>
        </w:tc>
        <w:tc>
          <w:tcPr>
            <w:tcW w:w="1134" w:type="dxa"/>
            <w:tcBorders>
              <w:top w:val="single" w:color="000000" w:sz="4" w:space="0"/>
              <w:left w:val="single" w:color="000000" w:sz="4" w:space="0"/>
              <w:bottom w:val="single" w:color="000000" w:sz="4" w:space="0"/>
              <w:right w:val="single" w:color="000000" w:sz="4" w:space="0"/>
            </w:tcBorders>
            <w:vAlign w:val="center"/>
          </w:tcPr>
          <w:p w14:paraId="4A1C3513">
            <w:pPr>
              <w:rPr>
                <w:color w:val="auto"/>
                <w:highlight w:val="none"/>
              </w:rPr>
            </w:pPr>
            <w:r>
              <w:rPr>
                <w:rFonts w:hint="eastAsia"/>
                <w:color w:val="auto"/>
                <w:highlight w:val="none"/>
              </w:rPr>
              <w:t>单据清晰</w:t>
            </w:r>
          </w:p>
        </w:tc>
        <w:tc>
          <w:tcPr>
            <w:tcW w:w="6526" w:type="dxa"/>
            <w:tcBorders>
              <w:top w:val="single" w:color="000000" w:sz="4" w:space="0"/>
              <w:left w:val="single" w:color="000000" w:sz="4" w:space="0"/>
              <w:bottom w:val="single" w:color="000000" w:sz="4" w:space="0"/>
              <w:right w:val="single" w:color="000000" w:sz="4" w:space="0"/>
            </w:tcBorders>
          </w:tcPr>
          <w:p w14:paraId="2679646F">
            <w:pPr>
              <w:rPr>
                <w:color w:val="auto"/>
                <w:highlight w:val="none"/>
              </w:rPr>
            </w:pPr>
            <w:r>
              <w:rPr>
                <w:rFonts w:hint="eastAsia"/>
                <w:color w:val="auto"/>
                <w:highlight w:val="none"/>
              </w:rPr>
              <w:t>按采购方要求每周提供各类食材的报价清单（报价清单需要涵盖所有配送食材原料）得4分，若逾期或不报价，一次扣2分，扣完为止；擅自调价，每次扣2分，扣完为止；虚报价格，超过市场价30%，发现一次扣8分。每日规定时间内完成电子送货单，数据正确得4分，未在规定时间内完成，一次扣2分，扣完为止。</w:t>
            </w:r>
          </w:p>
        </w:tc>
        <w:tc>
          <w:tcPr>
            <w:tcW w:w="718" w:type="dxa"/>
            <w:tcBorders>
              <w:top w:val="single" w:color="000000" w:sz="4" w:space="0"/>
              <w:left w:val="single" w:color="000000" w:sz="4" w:space="0"/>
              <w:bottom w:val="single" w:color="000000" w:sz="4" w:space="0"/>
              <w:right w:val="single" w:color="000000" w:sz="4" w:space="0"/>
            </w:tcBorders>
            <w:vAlign w:val="center"/>
          </w:tcPr>
          <w:p w14:paraId="2735E211">
            <w:pPr>
              <w:jc w:val="center"/>
              <w:rPr>
                <w:color w:val="auto"/>
                <w:highlight w:val="none"/>
              </w:rPr>
            </w:pPr>
            <w:r>
              <w:rPr>
                <w:rFonts w:hint="eastAsia"/>
                <w:color w:val="auto"/>
                <w:highlight w:val="none"/>
              </w:rPr>
              <w:t>8</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570825C2">
            <w:pPr>
              <w:rPr>
                <w:rFonts w:ascii="宋体" w:hAnsi="宋体" w:cs="宋体"/>
                <w:color w:val="auto"/>
                <w:sz w:val="22"/>
                <w:szCs w:val="22"/>
                <w:highlight w:val="none"/>
              </w:rPr>
            </w:pPr>
          </w:p>
        </w:tc>
      </w:tr>
      <w:tr w14:paraId="46F3BDA1">
        <w:tblPrEx>
          <w:tblCellMar>
            <w:top w:w="0" w:type="dxa"/>
            <w:left w:w="108" w:type="dxa"/>
            <w:bottom w:w="0" w:type="dxa"/>
            <w:right w:w="108" w:type="dxa"/>
          </w:tblCellMar>
        </w:tblPrEx>
        <w:trPr>
          <w:trHeight w:val="983"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7EB1796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10</w:t>
            </w:r>
          </w:p>
        </w:tc>
        <w:tc>
          <w:tcPr>
            <w:tcW w:w="1134" w:type="dxa"/>
            <w:tcBorders>
              <w:top w:val="single" w:color="000000" w:sz="4" w:space="0"/>
              <w:left w:val="single" w:color="000000" w:sz="4" w:space="0"/>
              <w:bottom w:val="single" w:color="000000" w:sz="4" w:space="0"/>
              <w:right w:val="single" w:color="000000" w:sz="4" w:space="0"/>
            </w:tcBorders>
            <w:vAlign w:val="center"/>
          </w:tcPr>
          <w:p w14:paraId="0660C77E">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索证索票</w:t>
            </w:r>
          </w:p>
        </w:tc>
        <w:tc>
          <w:tcPr>
            <w:tcW w:w="6526" w:type="dxa"/>
            <w:tcBorders>
              <w:top w:val="single" w:color="000000" w:sz="4" w:space="0"/>
              <w:left w:val="single" w:color="000000" w:sz="4" w:space="0"/>
              <w:bottom w:val="single" w:color="000000" w:sz="4" w:space="0"/>
              <w:right w:val="single" w:color="000000" w:sz="4" w:space="0"/>
            </w:tcBorders>
            <w:vAlign w:val="center"/>
          </w:tcPr>
          <w:p w14:paraId="2BE16694">
            <w:pPr>
              <w:widowControl/>
              <w:textAlignment w:val="center"/>
              <w:rPr>
                <w:rFonts w:ascii="宋体" w:hAnsi="宋体" w:cs="宋体"/>
                <w:color w:val="auto"/>
                <w:szCs w:val="21"/>
                <w:highlight w:val="none"/>
              </w:rPr>
            </w:pPr>
            <w:r>
              <w:rPr>
                <w:rStyle w:val="292"/>
                <w:rFonts w:hint="default"/>
                <w:color w:val="auto"/>
                <w:highlight w:val="none"/>
              </w:rPr>
              <w:t>按照相关法律法规规定及监管部门要求，所有食材必须向采购方提供原材料的检测报告及产品合格证，证件齐全、随货一起送达得8分，每少一次扣2分，扣完为止。供应商应该按照采购方的要求，建立完整的各类物品追踪溯源体系，</w:t>
            </w:r>
            <w:r>
              <w:rPr>
                <w:rFonts w:hint="eastAsia" w:ascii="宋体" w:hAnsi="宋体"/>
                <w:color w:val="auto"/>
                <w:szCs w:val="21"/>
                <w:highlight w:val="none"/>
              </w:rPr>
              <w:t>提供实验室检测报告，</w:t>
            </w:r>
            <w:r>
              <w:rPr>
                <w:rStyle w:val="292"/>
                <w:rFonts w:hint="default"/>
                <w:color w:val="auto"/>
                <w:highlight w:val="none"/>
              </w:rPr>
              <w:t>建立专门台账，按食品进货索证和台账登记本格式如实记录配送给采购方的各类物品，留存相关检验合格证明、资质证明、营业执照等有效资料，并可追踪溯源得2分，采购方有权定期检查，发现问题每次扣2分。</w:t>
            </w:r>
          </w:p>
        </w:tc>
        <w:tc>
          <w:tcPr>
            <w:tcW w:w="718" w:type="dxa"/>
            <w:tcBorders>
              <w:top w:val="single" w:color="000000" w:sz="4" w:space="0"/>
              <w:left w:val="single" w:color="000000" w:sz="4" w:space="0"/>
              <w:bottom w:val="single" w:color="000000" w:sz="4" w:space="0"/>
              <w:right w:val="single" w:color="000000" w:sz="4" w:space="0"/>
            </w:tcBorders>
            <w:vAlign w:val="center"/>
          </w:tcPr>
          <w:p w14:paraId="3788678E">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10</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DE05065">
            <w:pPr>
              <w:rPr>
                <w:rFonts w:ascii="宋体" w:hAnsi="宋体" w:cs="宋体"/>
                <w:color w:val="auto"/>
                <w:sz w:val="22"/>
                <w:szCs w:val="22"/>
                <w:highlight w:val="none"/>
              </w:rPr>
            </w:pPr>
          </w:p>
        </w:tc>
      </w:tr>
      <w:tr w14:paraId="5F0A8CE8">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E7A94C8">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11</w:t>
            </w:r>
          </w:p>
        </w:tc>
        <w:tc>
          <w:tcPr>
            <w:tcW w:w="1134" w:type="dxa"/>
            <w:tcBorders>
              <w:top w:val="single" w:color="000000" w:sz="4" w:space="0"/>
              <w:left w:val="single" w:color="000000" w:sz="4" w:space="0"/>
              <w:bottom w:val="single" w:color="000000" w:sz="4" w:space="0"/>
              <w:right w:val="single" w:color="000000" w:sz="4" w:space="0"/>
            </w:tcBorders>
            <w:vAlign w:val="center"/>
          </w:tcPr>
          <w:p w14:paraId="45E57017">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应急处置</w:t>
            </w:r>
          </w:p>
        </w:tc>
        <w:tc>
          <w:tcPr>
            <w:tcW w:w="6526" w:type="dxa"/>
            <w:tcBorders>
              <w:top w:val="single" w:color="000000" w:sz="4" w:space="0"/>
              <w:left w:val="single" w:color="000000" w:sz="4" w:space="0"/>
              <w:bottom w:val="single" w:color="000000" w:sz="4" w:space="0"/>
              <w:right w:val="single" w:color="000000" w:sz="4" w:space="0"/>
            </w:tcBorders>
            <w:vAlign w:val="center"/>
          </w:tcPr>
          <w:p w14:paraId="1AF03E38">
            <w:pPr>
              <w:widowControl/>
              <w:textAlignment w:val="center"/>
              <w:rPr>
                <w:rFonts w:ascii="宋体" w:hAnsi="宋体" w:cs="宋体"/>
                <w:color w:val="auto"/>
                <w:szCs w:val="21"/>
                <w:highlight w:val="none"/>
              </w:rPr>
            </w:pPr>
            <w:r>
              <w:rPr>
                <w:rFonts w:hint="eastAsia" w:ascii="宋体" w:hAnsi="宋体" w:cs="宋体"/>
                <w:color w:val="auto"/>
                <w:kern w:val="0"/>
                <w:szCs w:val="21"/>
                <w:highlight w:val="none"/>
              </w:rPr>
              <w:t>对于突发事件能够快速处置，明确专门人员应急处置机制，明确应急处置流程，细化相应岗位人员在食品安全事故应急处置中的职责，落实应急处置措施，快速反应，妥善处置得4分。</w:t>
            </w:r>
          </w:p>
        </w:tc>
        <w:tc>
          <w:tcPr>
            <w:tcW w:w="718" w:type="dxa"/>
            <w:tcBorders>
              <w:top w:val="single" w:color="000000" w:sz="4" w:space="0"/>
              <w:left w:val="single" w:color="000000" w:sz="4" w:space="0"/>
              <w:bottom w:val="single" w:color="000000" w:sz="4" w:space="0"/>
              <w:right w:val="single" w:color="000000" w:sz="4" w:space="0"/>
            </w:tcBorders>
            <w:vAlign w:val="center"/>
          </w:tcPr>
          <w:p w14:paraId="654AE4B1">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2EEA704">
            <w:pPr>
              <w:rPr>
                <w:rFonts w:ascii="宋体" w:hAnsi="宋体" w:cs="宋体"/>
                <w:color w:val="auto"/>
                <w:sz w:val="22"/>
                <w:szCs w:val="22"/>
                <w:highlight w:val="none"/>
              </w:rPr>
            </w:pPr>
          </w:p>
        </w:tc>
      </w:tr>
      <w:tr w14:paraId="42B700AC">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4CE78CD4">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12</w:t>
            </w:r>
          </w:p>
        </w:tc>
        <w:tc>
          <w:tcPr>
            <w:tcW w:w="1134" w:type="dxa"/>
            <w:tcBorders>
              <w:top w:val="single" w:color="000000" w:sz="4" w:space="0"/>
              <w:left w:val="single" w:color="000000" w:sz="4" w:space="0"/>
              <w:bottom w:val="single" w:color="000000" w:sz="4" w:space="0"/>
              <w:right w:val="single" w:color="000000" w:sz="4" w:space="0"/>
            </w:tcBorders>
            <w:vAlign w:val="center"/>
          </w:tcPr>
          <w:p w14:paraId="113D8CEA">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结算精准</w:t>
            </w:r>
          </w:p>
        </w:tc>
        <w:tc>
          <w:tcPr>
            <w:tcW w:w="6526" w:type="dxa"/>
            <w:tcBorders>
              <w:top w:val="single" w:color="000000" w:sz="4" w:space="0"/>
              <w:left w:val="single" w:color="000000" w:sz="4" w:space="0"/>
              <w:bottom w:val="single" w:color="000000" w:sz="4" w:space="0"/>
              <w:right w:val="single" w:color="000000" w:sz="4" w:space="0"/>
            </w:tcBorders>
            <w:vAlign w:val="center"/>
          </w:tcPr>
          <w:p w14:paraId="38D5E931">
            <w:pPr>
              <w:widowControl/>
              <w:textAlignment w:val="center"/>
              <w:rPr>
                <w:rFonts w:ascii="宋体" w:hAnsi="宋体" w:cs="宋体"/>
                <w:color w:val="auto"/>
                <w:szCs w:val="21"/>
                <w:highlight w:val="none"/>
              </w:rPr>
            </w:pPr>
            <w:r>
              <w:rPr>
                <w:rStyle w:val="292"/>
                <w:rFonts w:hint="default"/>
                <w:color w:val="auto"/>
                <w:highlight w:val="none"/>
              </w:rPr>
              <w:t>送货单上单价、月底结算价格与采购方核定价一致，得4分，每月10日前，将对账单发送至采购方，延误一天扣2分。</w:t>
            </w:r>
          </w:p>
        </w:tc>
        <w:tc>
          <w:tcPr>
            <w:tcW w:w="718" w:type="dxa"/>
            <w:tcBorders>
              <w:top w:val="single" w:color="000000" w:sz="4" w:space="0"/>
              <w:left w:val="single" w:color="000000" w:sz="4" w:space="0"/>
              <w:bottom w:val="single" w:color="000000" w:sz="4" w:space="0"/>
              <w:right w:val="single" w:color="000000" w:sz="4" w:space="0"/>
            </w:tcBorders>
            <w:vAlign w:val="center"/>
          </w:tcPr>
          <w:p w14:paraId="1C2B3CB6">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51F94447">
            <w:pPr>
              <w:rPr>
                <w:rFonts w:ascii="宋体" w:hAnsi="宋体" w:cs="宋体"/>
                <w:color w:val="auto"/>
                <w:sz w:val="22"/>
                <w:szCs w:val="22"/>
                <w:highlight w:val="none"/>
              </w:rPr>
            </w:pPr>
          </w:p>
        </w:tc>
      </w:tr>
      <w:tr w14:paraId="3AED1DA2">
        <w:tblPrEx>
          <w:tblCellMar>
            <w:top w:w="0" w:type="dxa"/>
            <w:left w:w="108" w:type="dxa"/>
            <w:bottom w:w="0" w:type="dxa"/>
            <w:right w:w="108" w:type="dxa"/>
          </w:tblCellMar>
        </w:tblPrEx>
        <w:trPr>
          <w:trHeight w:val="765"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1D021745">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13</w:t>
            </w:r>
          </w:p>
        </w:tc>
        <w:tc>
          <w:tcPr>
            <w:tcW w:w="1134" w:type="dxa"/>
            <w:tcBorders>
              <w:top w:val="single" w:color="000000" w:sz="4" w:space="0"/>
              <w:left w:val="single" w:color="000000" w:sz="4" w:space="0"/>
              <w:bottom w:val="single" w:color="000000" w:sz="4" w:space="0"/>
              <w:right w:val="single" w:color="000000" w:sz="4" w:space="0"/>
            </w:tcBorders>
            <w:vAlign w:val="center"/>
          </w:tcPr>
          <w:p w14:paraId="5DBF0FEB">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及时整改</w:t>
            </w:r>
          </w:p>
        </w:tc>
        <w:tc>
          <w:tcPr>
            <w:tcW w:w="6526" w:type="dxa"/>
            <w:tcBorders>
              <w:top w:val="single" w:color="000000" w:sz="4" w:space="0"/>
              <w:left w:val="single" w:color="000000" w:sz="4" w:space="0"/>
              <w:bottom w:val="single" w:color="000000" w:sz="4" w:space="0"/>
              <w:right w:val="single" w:color="000000" w:sz="4" w:space="0"/>
            </w:tcBorders>
            <w:vAlign w:val="center"/>
          </w:tcPr>
          <w:p w14:paraId="5A9F20F9">
            <w:pPr>
              <w:widowControl/>
              <w:textAlignment w:val="center"/>
              <w:rPr>
                <w:rFonts w:ascii="宋体" w:hAnsi="宋体" w:cs="宋体"/>
                <w:color w:val="auto"/>
                <w:szCs w:val="21"/>
                <w:highlight w:val="none"/>
              </w:rPr>
            </w:pPr>
            <w:r>
              <w:rPr>
                <w:rStyle w:val="292"/>
                <w:rFonts w:hint="default"/>
                <w:color w:val="auto"/>
                <w:highlight w:val="none"/>
              </w:rPr>
              <w:t>对采购方的意见、建议虚心接受，运作过程中出现的新情况新问题及时主动沟通、协调有效果，及时整改见实效得4分，整改效果不明显扣2分，未见整改效果扣4分。</w:t>
            </w:r>
          </w:p>
        </w:tc>
        <w:tc>
          <w:tcPr>
            <w:tcW w:w="718" w:type="dxa"/>
            <w:tcBorders>
              <w:top w:val="single" w:color="000000" w:sz="4" w:space="0"/>
              <w:left w:val="single" w:color="000000" w:sz="4" w:space="0"/>
              <w:bottom w:val="single" w:color="000000" w:sz="4" w:space="0"/>
              <w:right w:val="single" w:color="000000" w:sz="4" w:space="0"/>
            </w:tcBorders>
            <w:vAlign w:val="center"/>
          </w:tcPr>
          <w:p w14:paraId="7E0B2D1B">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4</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646492F">
            <w:pPr>
              <w:rPr>
                <w:rFonts w:ascii="宋体" w:hAnsi="宋体" w:cs="宋体"/>
                <w:color w:val="auto"/>
                <w:sz w:val="22"/>
                <w:szCs w:val="22"/>
                <w:highlight w:val="none"/>
              </w:rPr>
            </w:pPr>
          </w:p>
        </w:tc>
      </w:tr>
      <w:tr w14:paraId="2CD34B94">
        <w:tblPrEx>
          <w:tblCellMar>
            <w:top w:w="0" w:type="dxa"/>
            <w:left w:w="108" w:type="dxa"/>
            <w:bottom w:w="0" w:type="dxa"/>
            <w:right w:w="108" w:type="dxa"/>
          </w:tblCellMar>
        </w:tblPrEx>
        <w:trPr>
          <w:trHeight w:val="51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2C95EC0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14</w:t>
            </w:r>
          </w:p>
        </w:tc>
        <w:tc>
          <w:tcPr>
            <w:tcW w:w="1134" w:type="dxa"/>
            <w:tcBorders>
              <w:top w:val="single" w:color="000000" w:sz="4" w:space="0"/>
              <w:left w:val="single" w:color="000000" w:sz="4" w:space="0"/>
              <w:bottom w:val="single" w:color="000000" w:sz="4" w:space="0"/>
              <w:right w:val="single" w:color="000000" w:sz="4" w:space="0"/>
            </w:tcBorders>
            <w:vAlign w:val="center"/>
          </w:tcPr>
          <w:p w14:paraId="59C84B23">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诚信经营</w:t>
            </w:r>
          </w:p>
        </w:tc>
        <w:tc>
          <w:tcPr>
            <w:tcW w:w="6526" w:type="dxa"/>
            <w:tcBorders>
              <w:top w:val="single" w:color="000000" w:sz="4" w:space="0"/>
              <w:left w:val="single" w:color="000000" w:sz="4" w:space="0"/>
              <w:bottom w:val="single" w:color="000000" w:sz="4" w:space="0"/>
              <w:right w:val="single" w:color="000000" w:sz="4" w:space="0"/>
            </w:tcBorders>
            <w:vAlign w:val="center"/>
          </w:tcPr>
          <w:p w14:paraId="5FE4BD2D">
            <w:pPr>
              <w:widowControl/>
              <w:textAlignment w:val="center"/>
              <w:rPr>
                <w:rFonts w:ascii="宋体" w:hAnsi="宋体" w:cs="宋体"/>
                <w:color w:val="auto"/>
                <w:szCs w:val="21"/>
                <w:highlight w:val="none"/>
              </w:rPr>
            </w:pPr>
            <w:r>
              <w:rPr>
                <w:rStyle w:val="292"/>
                <w:rFonts w:hint="default"/>
                <w:color w:val="auto"/>
                <w:highlight w:val="none"/>
              </w:rPr>
              <w:t>不得将部分商品或部分采购方的供应权限转让或分包给他人经营，如有违反扣6分，并考虑取消配送资格。</w:t>
            </w:r>
          </w:p>
        </w:tc>
        <w:tc>
          <w:tcPr>
            <w:tcW w:w="718" w:type="dxa"/>
            <w:tcBorders>
              <w:top w:val="single" w:color="000000" w:sz="4" w:space="0"/>
              <w:left w:val="single" w:color="000000" w:sz="4" w:space="0"/>
              <w:bottom w:val="single" w:color="000000" w:sz="4" w:space="0"/>
              <w:right w:val="single" w:color="000000" w:sz="4" w:space="0"/>
            </w:tcBorders>
            <w:vAlign w:val="center"/>
          </w:tcPr>
          <w:p w14:paraId="7AE8A69B">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6</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B3C7BB7">
            <w:pPr>
              <w:rPr>
                <w:rFonts w:ascii="宋体" w:hAnsi="宋体" w:cs="宋体"/>
                <w:color w:val="auto"/>
                <w:sz w:val="22"/>
                <w:szCs w:val="22"/>
                <w:highlight w:val="none"/>
              </w:rPr>
            </w:pPr>
          </w:p>
        </w:tc>
      </w:tr>
      <w:tr w14:paraId="130AECB5">
        <w:tblPrEx>
          <w:tblCellMar>
            <w:top w:w="0" w:type="dxa"/>
            <w:left w:w="108" w:type="dxa"/>
            <w:bottom w:w="0" w:type="dxa"/>
            <w:right w:w="108" w:type="dxa"/>
          </w:tblCellMar>
        </w:tblPrEx>
        <w:trPr>
          <w:trHeight w:val="510" w:hRule="atLeast"/>
        </w:trPr>
        <w:tc>
          <w:tcPr>
            <w:tcW w:w="959" w:type="dxa"/>
            <w:tcBorders>
              <w:top w:val="single" w:color="000000" w:sz="4" w:space="0"/>
              <w:left w:val="single" w:color="000000" w:sz="4" w:space="0"/>
              <w:bottom w:val="single" w:color="000000" w:sz="4" w:space="0"/>
              <w:right w:val="single" w:color="000000" w:sz="4" w:space="0"/>
            </w:tcBorders>
            <w:noWrap/>
            <w:vAlign w:val="center"/>
          </w:tcPr>
          <w:p w14:paraId="3237376A">
            <w:pPr>
              <w:widowControl/>
              <w:jc w:val="center"/>
              <w:textAlignment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15</w:t>
            </w:r>
          </w:p>
        </w:tc>
        <w:tc>
          <w:tcPr>
            <w:tcW w:w="1134" w:type="dxa"/>
            <w:tcBorders>
              <w:top w:val="single" w:color="000000" w:sz="4" w:space="0"/>
              <w:left w:val="single" w:color="000000" w:sz="4" w:space="0"/>
              <w:bottom w:val="single" w:color="000000" w:sz="4" w:space="0"/>
              <w:right w:val="single" w:color="000000" w:sz="4" w:space="0"/>
            </w:tcBorders>
            <w:vAlign w:val="center"/>
          </w:tcPr>
          <w:p w14:paraId="3DF83D2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考核得分</w:t>
            </w:r>
          </w:p>
        </w:tc>
        <w:tc>
          <w:tcPr>
            <w:tcW w:w="6526" w:type="dxa"/>
            <w:tcBorders>
              <w:top w:val="single" w:color="000000" w:sz="4" w:space="0"/>
              <w:left w:val="single" w:color="000000" w:sz="4" w:space="0"/>
              <w:bottom w:val="single" w:color="000000" w:sz="4" w:space="0"/>
              <w:right w:val="single" w:color="000000" w:sz="4" w:space="0"/>
            </w:tcBorders>
            <w:vAlign w:val="center"/>
          </w:tcPr>
          <w:p w14:paraId="452200D0">
            <w:pPr>
              <w:widowControl/>
              <w:textAlignment w:val="center"/>
              <w:rPr>
                <w:rStyle w:val="292"/>
                <w:rFonts w:hint="default"/>
                <w:color w:val="auto"/>
                <w:highlight w:val="none"/>
              </w:rPr>
            </w:pPr>
          </w:p>
        </w:tc>
        <w:tc>
          <w:tcPr>
            <w:tcW w:w="718" w:type="dxa"/>
            <w:tcBorders>
              <w:top w:val="single" w:color="000000" w:sz="4" w:space="0"/>
              <w:left w:val="single" w:color="000000" w:sz="4" w:space="0"/>
              <w:bottom w:val="single" w:color="000000" w:sz="4" w:space="0"/>
              <w:right w:val="single" w:color="000000" w:sz="4" w:space="0"/>
            </w:tcBorders>
            <w:vAlign w:val="center"/>
          </w:tcPr>
          <w:p w14:paraId="72C409D0">
            <w:pPr>
              <w:widowControl/>
              <w:jc w:val="center"/>
              <w:textAlignment w:val="center"/>
              <w:rPr>
                <w:rFonts w:ascii="宋体" w:hAnsi="宋体" w:cs="宋体"/>
                <w:color w:val="auto"/>
                <w:kern w:val="0"/>
                <w:szCs w:val="21"/>
                <w:highlight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F8225C1">
            <w:pPr>
              <w:rPr>
                <w:rFonts w:ascii="宋体" w:hAnsi="宋体" w:cs="宋体"/>
                <w:color w:val="auto"/>
                <w:sz w:val="22"/>
                <w:szCs w:val="22"/>
                <w:highlight w:val="none"/>
              </w:rPr>
            </w:pPr>
          </w:p>
        </w:tc>
      </w:tr>
    </w:tbl>
    <w:p w14:paraId="50B5118F">
      <w:pPr>
        <w:rPr>
          <w:rFonts w:ascii="宋体" w:hAnsi="宋体"/>
          <w:color w:val="auto"/>
          <w:szCs w:val="18"/>
          <w:highlight w:val="none"/>
        </w:rPr>
      </w:pPr>
    </w:p>
    <w:p w14:paraId="3C5D0A7F">
      <w:pPr>
        <w:rPr>
          <w:rFonts w:ascii="宋体" w:hAnsi="宋体"/>
          <w:color w:val="auto"/>
          <w:highlight w:val="none"/>
        </w:rPr>
      </w:pPr>
      <w:r>
        <w:rPr>
          <w:rFonts w:hint="eastAsia" w:ascii="宋体" w:hAnsi="宋体"/>
          <w:color w:val="auto"/>
          <w:szCs w:val="18"/>
          <w:highlight w:val="none"/>
        </w:rPr>
        <w:t>注：</w:t>
      </w:r>
      <w:r>
        <w:rPr>
          <w:rFonts w:hint="eastAsia" w:ascii="宋体" w:hAnsi="宋体" w:cs="宋体"/>
          <w:color w:val="auto"/>
          <w:szCs w:val="21"/>
          <w:highlight w:val="none"/>
          <w:lang w:val="zh-CN"/>
        </w:rPr>
        <w:t>食材配送服务实行百分制考核，</w:t>
      </w:r>
      <w:r>
        <w:rPr>
          <w:rFonts w:hint="eastAsia" w:ascii="宋体" w:hAnsi="宋体"/>
          <w:color w:val="auto"/>
          <w:szCs w:val="21"/>
          <w:highlight w:val="none"/>
        </w:rPr>
        <w:t>每月考核一次，综合考评分作为支付当月配送费用的计算依据，运行期间</w:t>
      </w:r>
      <w:r>
        <w:rPr>
          <w:rFonts w:hint="eastAsia" w:ascii="宋体" w:hAnsi="宋体"/>
          <w:color w:val="auto"/>
          <w:kern w:val="0"/>
          <w:highlight w:val="none"/>
        </w:rPr>
        <w:t>根据实际配送情况对考核细则可做相应调整。</w:t>
      </w:r>
    </w:p>
    <w:p w14:paraId="693C8979">
      <w:pPr>
        <w:rPr>
          <w:rFonts w:ascii="宋体" w:hAnsi="宋体"/>
          <w:color w:val="auto"/>
          <w:highlight w:val="none"/>
        </w:rPr>
      </w:pPr>
    </w:p>
    <w:p w14:paraId="1CA5A016">
      <w:pPr>
        <w:jc w:val="left"/>
        <w:rPr>
          <w:rFonts w:hint="eastAsia" w:ascii="宋体" w:hAnsi="宋体" w:eastAsia="宋体" w:cs="宋体"/>
          <w:color w:val="auto"/>
          <w:highlight w:val="none"/>
        </w:rPr>
      </w:pPr>
      <w:r>
        <w:rPr>
          <w:rFonts w:hint="eastAsia" w:ascii="宋体" w:hAnsi="宋体"/>
          <w:color w:val="auto"/>
          <w:szCs w:val="18"/>
          <w:highlight w:val="none"/>
        </w:rPr>
        <w:t xml:space="preserve">考核人：                                                                                                                                                                                                                                                                                                                                                                                                                                                                                                                                                                                                                                                                                                                                                                                                                                                                                                                                                                                                                                                                                                                                                                                                                                                                                                                                                                                                                                                                                                                                                                                                                                                       考核时间：               </w:t>
      </w:r>
      <w:r>
        <w:rPr>
          <w:rFonts w:hint="eastAsia" w:ascii="宋体" w:hAnsi="宋体" w:eastAsia="宋体" w:cs="宋体"/>
          <w:color w:val="auto"/>
          <w:highlight w:val="none"/>
        </w:rPr>
        <w:br w:type="page"/>
      </w:r>
    </w:p>
    <w:p w14:paraId="15CCEC20">
      <w:pPr>
        <w:pStyle w:val="30"/>
        <w:jc w:val="center"/>
        <w:outlineLvl w:val="0"/>
        <w:rPr>
          <w:rFonts w:hint="eastAsia" w:ascii="宋体" w:hAnsi="宋体" w:eastAsia="宋体" w:cs="宋体"/>
          <w:b w:val="0"/>
          <w:bCs w:val="0"/>
          <w:color w:val="auto"/>
          <w:highlight w:val="none"/>
        </w:rPr>
      </w:pPr>
      <w:bookmarkStart w:id="74" w:name="_Toc25440"/>
      <w:bookmarkStart w:id="75" w:name="_Toc144370281"/>
      <w:bookmarkStart w:id="76" w:name="_Toc5723"/>
      <w:r>
        <w:rPr>
          <w:rFonts w:hint="eastAsia" w:ascii="宋体" w:hAnsi="宋体" w:eastAsia="宋体" w:cs="宋体"/>
          <w:b/>
          <w:bCs/>
          <w:color w:val="auto"/>
          <w:sz w:val="32"/>
          <w:szCs w:val="32"/>
          <w:highlight w:val="none"/>
          <w:lang w:val="en-US" w:eastAsia="zh-CN" w:bidi="ar-SA"/>
        </w:rPr>
        <w:t>第六章  评标方法、采购政策、评分标准</w:t>
      </w:r>
      <w:bookmarkEnd w:id="69"/>
      <w:bookmarkEnd w:id="74"/>
      <w:bookmarkEnd w:id="75"/>
      <w:bookmarkEnd w:id="76"/>
    </w:p>
    <w:p w14:paraId="3C7D671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一、评标办法</w:t>
      </w:r>
    </w:p>
    <w:p w14:paraId="7413166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1.本次招标评标方法为综合评分法，即在最大限度地满足招标文件实质性要求前提下，按照招标文件中规定的各项因素进行综合评审后，以评标总得分由高到低顺序依次作为中标候选人或者中标人的评标方法。</w:t>
      </w:r>
    </w:p>
    <w:p w14:paraId="5ABFF12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综合评分的主要因素为：价格、技术、财务状况、信誉、业绩、服务、对招标文件的响应程度，以及相应的比重或者数值等。总分值100分，价格分值占总分值的比重为10%（权重），技术与质量及其它90%（权重）。</w:t>
      </w:r>
    </w:p>
    <w:p w14:paraId="41C4DF3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p>
    <w:p w14:paraId="0E277054">
      <w:pPr>
        <w:widowControl/>
        <w:tabs>
          <w:tab w:val="left" w:pos="0"/>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p>
    <w:p w14:paraId="0F8A299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三、采购政策</w:t>
      </w:r>
    </w:p>
    <w:p w14:paraId="2475292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（一）小、微企业</w:t>
      </w:r>
    </w:p>
    <w:p w14:paraId="05190E7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政府采购促进中小企业发展管理办法》（财库〔2020〕46号）的相关规定，如投标人认定本企业为小型或微型企业，则需根据《中小企业划型标准规定》（工信部联企业〔2011〕300号）填报《中小企业声明函》。</w:t>
      </w:r>
      <w:r>
        <w:rPr>
          <w:rFonts w:hint="eastAsia" w:ascii="宋体" w:hAnsi="宋体" w:eastAsia="宋体" w:cs="宋体"/>
          <w:color w:val="auto"/>
          <w:kern w:val="0"/>
          <w:szCs w:val="21"/>
          <w:highlight w:val="none"/>
        </w:rPr>
        <w:t>对其报价给予20%的扣除，扣除后的价格参与价格评审。</w:t>
      </w:r>
      <w:r>
        <w:rPr>
          <w:rFonts w:hint="eastAsia" w:ascii="宋体" w:hAnsi="宋体" w:eastAsia="宋体" w:cs="宋体"/>
          <w:color w:val="auto"/>
          <w:szCs w:val="21"/>
          <w:highlight w:val="none"/>
        </w:rPr>
        <w:t>加盖公章后的《中小企业声明函》电子件放置于投标文件一中提交，未提交则不享受预留采购份额政策。</w:t>
      </w:r>
    </w:p>
    <w:p w14:paraId="129C45F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（二）残疾人福利性单位</w:t>
      </w:r>
    </w:p>
    <w:p w14:paraId="7A29D4D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一中提交，未提交则不享受预留采购份额政策。</w:t>
      </w:r>
    </w:p>
    <w:p w14:paraId="42BEFC1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（三）监狱企业</w:t>
      </w:r>
    </w:p>
    <w:p w14:paraId="768B241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一中提交，未提交则不享受预留采购份额政策。</w:t>
      </w:r>
    </w:p>
    <w:p w14:paraId="759CF4E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（四）绿色采购</w:t>
      </w:r>
    </w:p>
    <w:p w14:paraId="55BB5B6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响应文件三中提交。</w:t>
      </w:r>
    </w:p>
    <w:p w14:paraId="7387623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（五）若投标人提供的《中小企业声明函》 、《残疾人福利性单位声明函》及监狱企业认定证明等材料为虚假材料，按《中华人民共和国政府采购法》等相关法律法规的规定处理，并报请政府采购监管部门给予行政处罚。</w:t>
      </w:r>
    </w:p>
    <w:p w14:paraId="4B10404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四、评分标准</w:t>
      </w:r>
    </w:p>
    <w:p w14:paraId="4CB3928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（一）价格（10分）</w:t>
      </w:r>
    </w:p>
    <w:p w14:paraId="06A53991">
      <w:pPr>
        <w:adjustRightInd w:val="0"/>
        <w:snapToGrid w:val="0"/>
        <w:spacing w:line="360" w:lineRule="auto"/>
        <w:ind w:firstLine="420" w:firstLineChars="200"/>
        <w:rPr>
          <w:rFonts w:hint="eastAsia" w:ascii="宋体" w:hAnsi="Times New Roman" w:eastAsia="宋体" w:cs="Times New Roman"/>
          <w:color w:val="0000FF"/>
          <w:kern w:val="2"/>
          <w:szCs w:val="21"/>
        </w:rPr>
      </w:pPr>
      <w:r>
        <w:rPr>
          <w:rFonts w:hint="eastAsia" w:ascii="宋体" w:hAnsi="Times New Roman" w:eastAsia="宋体" w:cs="Times New Roman"/>
          <w:color w:val="0000FF"/>
          <w:kern w:val="2"/>
          <w:szCs w:val="21"/>
        </w:rPr>
        <w:t>1.投标总报价低于或等于财政预算价格的，为有效投标报价。超财政预算的投标报价为无效投标报价。无效投标报价的投标文件不进行评审，也不得中标。</w:t>
      </w:r>
    </w:p>
    <w:p w14:paraId="4976E44C">
      <w:pPr>
        <w:adjustRightInd w:val="0"/>
        <w:snapToGrid w:val="0"/>
        <w:spacing w:line="360" w:lineRule="auto"/>
        <w:ind w:firstLine="420" w:firstLineChars="200"/>
        <w:rPr>
          <w:rFonts w:hint="eastAsia" w:ascii="宋体" w:hAnsi="Times New Roman" w:eastAsia="宋体" w:cs="Times New Roman"/>
          <w:color w:val="0000FF"/>
          <w:kern w:val="2"/>
          <w:szCs w:val="21"/>
        </w:rPr>
      </w:pPr>
      <w:r>
        <w:rPr>
          <w:rFonts w:hint="eastAsia" w:ascii="宋体" w:hAnsi="Times New Roman" w:eastAsia="宋体" w:cs="Times New Roman"/>
          <w:color w:val="0000FF"/>
          <w:kern w:val="2"/>
          <w:szCs w:val="21"/>
        </w:rPr>
        <w:t>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p>
    <w:p w14:paraId="1CEA74C9">
      <w:pPr>
        <w:adjustRightInd w:val="0"/>
        <w:snapToGrid w:val="0"/>
        <w:spacing w:line="360" w:lineRule="auto"/>
        <w:ind w:firstLine="420" w:firstLineChars="200"/>
        <w:rPr>
          <w:rFonts w:hint="eastAsia" w:ascii="宋体" w:hAnsi="Times New Roman" w:eastAsia="宋体" w:cs="Times New Roman"/>
          <w:color w:val="0000FF"/>
          <w:kern w:val="2"/>
          <w:szCs w:val="21"/>
        </w:rPr>
      </w:pPr>
      <w:r>
        <w:rPr>
          <w:rFonts w:hint="eastAsia" w:ascii="宋体" w:hAnsi="Times New Roman" w:eastAsia="宋体" w:cs="Times New Roman"/>
          <w:color w:val="0000FF"/>
          <w:kern w:val="2"/>
          <w:szCs w:val="21"/>
        </w:rPr>
        <w:t>3.价格分采用低价优先法计算，即满足招标文件要求且投标折扣最低的投标折扣为评标基准价，其价格分为满分10分。其他投标人的价格分统一按照下列公式计算：</w:t>
      </w:r>
    </w:p>
    <w:p w14:paraId="40A4E924">
      <w:pPr>
        <w:adjustRightInd w:val="0"/>
        <w:snapToGrid w:val="0"/>
        <w:spacing w:line="360" w:lineRule="auto"/>
        <w:ind w:firstLine="420" w:firstLineChars="200"/>
        <w:rPr>
          <w:rFonts w:hint="eastAsia" w:ascii="宋体" w:hAnsi="Times New Roman" w:eastAsia="宋体" w:cs="Times New Roman"/>
          <w:color w:val="0000FF"/>
          <w:kern w:val="2"/>
          <w:szCs w:val="21"/>
        </w:rPr>
      </w:pPr>
      <w:r>
        <w:rPr>
          <w:rFonts w:hint="eastAsia" w:ascii="宋体" w:hAnsi="Times New Roman" w:eastAsia="宋体" w:cs="Times New Roman"/>
          <w:color w:val="0000FF"/>
          <w:kern w:val="2"/>
          <w:szCs w:val="21"/>
        </w:rPr>
        <w:t>投标报价得分=（评标基准价/投标折扣）*价格权重*100，小数点后保留两位。</w:t>
      </w:r>
    </w:p>
    <w:p w14:paraId="34C2CA2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(二)技术及其它（90分）：</w:t>
      </w:r>
    </w:p>
    <w:p w14:paraId="0B04E07B">
      <w:pPr>
        <w:spacing w:line="360" w:lineRule="auto"/>
        <w:ind w:left="360"/>
        <w:rPr>
          <w:rFonts w:hint="eastAsia" w:ascii="宋体" w:hAnsi="宋体" w:eastAsia="宋体" w:cs="宋体"/>
          <w:color w:val="auto"/>
          <w:sz w:val="24"/>
          <w:highlight w:val="none"/>
        </w:rPr>
      </w:pPr>
      <w:bookmarkStart w:id="77" w:name="gpc_accord_horizontal_1"/>
      <w:r>
        <w:rPr>
          <w:rFonts w:hint="eastAsia" w:ascii="宋体" w:hAnsi="宋体" w:eastAsia="宋体" w:cs="宋体"/>
          <w:color w:val="auto"/>
          <w:sz w:val="24"/>
          <w:highlight w:val="none"/>
        </w:rPr>
        <w:t>初审评审指标</w:t>
      </w:r>
      <w:bookmarkStart w:id="78" w:name="gpc_pack_1_name_1"/>
      <w:bookmarkEnd w:id="78"/>
      <w:r>
        <w:rPr>
          <w:rFonts w:hint="eastAsia" w:ascii="宋体" w:hAnsi="宋体" w:eastAsia="宋体" w:cs="宋体"/>
          <w:color w:val="auto"/>
          <w:sz w:val="24"/>
          <w:highlight w:val="none"/>
        </w:rPr>
        <w:t xml:space="preserve">   </w:t>
      </w:r>
    </w:p>
    <w:tbl>
      <w:tblPr>
        <w:tblStyle w:val="32"/>
        <w:tblW w:w="4850"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2"/>
        <w:gridCol w:w="4987"/>
        <w:gridCol w:w="2589"/>
      </w:tblGrid>
      <w:tr w14:paraId="5AC71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432" w:type="dxa"/>
            <w:noWrap w:val="0"/>
            <w:vAlign w:val="center"/>
          </w:tcPr>
          <w:p w14:paraId="3BDE4A3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指标</w:t>
            </w:r>
          </w:p>
        </w:tc>
        <w:tc>
          <w:tcPr>
            <w:tcW w:w="4988" w:type="dxa"/>
            <w:noWrap w:val="0"/>
            <w:vAlign w:val="top"/>
          </w:tcPr>
          <w:p w14:paraId="21991FD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描述</w:t>
            </w:r>
          </w:p>
        </w:tc>
        <w:tc>
          <w:tcPr>
            <w:tcW w:w="2590" w:type="dxa"/>
            <w:noWrap w:val="0"/>
            <w:vAlign w:val="top"/>
          </w:tcPr>
          <w:p w14:paraId="4DEA033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是否合格</w:t>
            </w:r>
          </w:p>
        </w:tc>
      </w:tr>
      <w:tr w14:paraId="4CC5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32" w:type="dxa"/>
            <w:noWrap w:val="0"/>
            <w:vAlign w:val="top"/>
          </w:tcPr>
          <w:p w14:paraId="2F2A21D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资格性检查</w:t>
            </w:r>
          </w:p>
        </w:tc>
        <w:tc>
          <w:tcPr>
            <w:tcW w:w="4988" w:type="dxa"/>
            <w:noWrap w:val="0"/>
            <w:vAlign w:val="top"/>
          </w:tcPr>
          <w:p w14:paraId="594135AE">
            <w:pPr>
              <w:jc w:val="center"/>
              <w:rPr>
                <w:rFonts w:hint="eastAsia" w:ascii="宋体" w:hAnsi="宋体" w:eastAsia="宋体" w:cs="宋体"/>
                <w:color w:val="auto"/>
                <w:szCs w:val="21"/>
                <w:highlight w:val="none"/>
              </w:rPr>
            </w:pPr>
          </w:p>
        </w:tc>
        <w:tc>
          <w:tcPr>
            <w:tcW w:w="2590" w:type="dxa"/>
            <w:noWrap w:val="0"/>
            <w:vAlign w:val="top"/>
          </w:tcPr>
          <w:p w14:paraId="697C222B">
            <w:pPr>
              <w:jc w:val="center"/>
              <w:rPr>
                <w:rFonts w:hint="eastAsia" w:ascii="宋体" w:hAnsi="宋体" w:eastAsia="宋体" w:cs="宋体"/>
                <w:color w:val="auto"/>
                <w:szCs w:val="21"/>
                <w:highlight w:val="none"/>
              </w:rPr>
            </w:pPr>
          </w:p>
        </w:tc>
      </w:tr>
      <w:tr w14:paraId="2BF7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32" w:type="dxa"/>
            <w:noWrap w:val="0"/>
            <w:vAlign w:val="top"/>
          </w:tcPr>
          <w:p w14:paraId="3BA8C6A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符合性检查</w:t>
            </w:r>
          </w:p>
        </w:tc>
        <w:tc>
          <w:tcPr>
            <w:tcW w:w="4988" w:type="dxa"/>
            <w:noWrap w:val="0"/>
            <w:vAlign w:val="top"/>
          </w:tcPr>
          <w:p w14:paraId="1745D877">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工期（服务期）、响应时间、质保期（如有）、付款方式、投标内容</w:t>
            </w:r>
          </w:p>
        </w:tc>
        <w:tc>
          <w:tcPr>
            <w:tcW w:w="2590" w:type="dxa"/>
            <w:noWrap w:val="0"/>
            <w:vAlign w:val="top"/>
          </w:tcPr>
          <w:p w14:paraId="3C221924">
            <w:pPr>
              <w:jc w:val="center"/>
              <w:rPr>
                <w:rFonts w:hint="eastAsia" w:ascii="宋体" w:hAnsi="宋体" w:eastAsia="宋体" w:cs="宋体"/>
                <w:color w:val="auto"/>
                <w:szCs w:val="21"/>
                <w:highlight w:val="none"/>
              </w:rPr>
            </w:pPr>
          </w:p>
        </w:tc>
      </w:tr>
      <w:bookmarkEnd w:id="77"/>
    </w:tbl>
    <w:p w14:paraId="60AD310E">
      <w:pPr>
        <w:spacing w:line="360" w:lineRule="auto"/>
        <w:ind w:left="360"/>
        <w:rPr>
          <w:rFonts w:hint="eastAsia" w:ascii="宋体" w:hAnsi="宋体" w:eastAsia="宋体" w:cs="宋体"/>
          <w:color w:val="auto"/>
          <w:sz w:val="24"/>
          <w:highlight w:val="none"/>
        </w:rPr>
      </w:pPr>
      <w:bookmarkStart w:id="79" w:name="gpc_score_horizontal_1"/>
      <w:r>
        <w:rPr>
          <w:rFonts w:hint="eastAsia" w:ascii="宋体" w:hAnsi="宋体" w:eastAsia="宋体" w:cs="宋体"/>
          <w:color w:val="auto"/>
          <w:sz w:val="24"/>
          <w:highlight w:val="none"/>
        </w:rPr>
        <w:t>复审评审指标</w:t>
      </w:r>
      <w:bookmarkEnd w:id="63"/>
      <w:bookmarkEnd w:id="64"/>
    </w:p>
    <w:tbl>
      <w:tblPr>
        <w:tblStyle w:val="32"/>
        <w:tblW w:w="9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9"/>
        <w:gridCol w:w="1271"/>
        <w:gridCol w:w="6427"/>
        <w:gridCol w:w="885"/>
      </w:tblGrid>
      <w:tr w14:paraId="30DFF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1069" w:type="dxa"/>
            <w:noWrap w:val="0"/>
            <w:vAlign w:val="center"/>
          </w:tcPr>
          <w:p w14:paraId="31629879">
            <w:pPr>
              <w:spacing w:line="320" w:lineRule="exact"/>
              <w:jc w:val="center"/>
              <w:rPr>
                <w:rFonts w:hint="eastAsia" w:ascii="宋体" w:hAnsi="宋体" w:eastAsia="宋体" w:cs="宋体"/>
                <w:color w:val="auto"/>
                <w:szCs w:val="21"/>
                <w:highlight w:val="none"/>
              </w:rPr>
            </w:pPr>
            <w:bookmarkStart w:id="80" w:name="_Hlk131687697"/>
            <w:r>
              <w:rPr>
                <w:rFonts w:hint="eastAsia" w:ascii="宋体" w:hAnsi="宋体" w:eastAsia="宋体" w:cs="宋体"/>
                <w:color w:val="auto"/>
                <w:szCs w:val="21"/>
                <w:highlight w:val="none"/>
              </w:rPr>
              <w:t>评审类别</w:t>
            </w:r>
          </w:p>
        </w:tc>
        <w:tc>
          <w:tcPr>
            <w:tcW w:w="1271" w:type="dxa"/>
            <w:noWrap w:val="0"/>
            <w:vAlign w:val="center"/>
          </w:tcPr>
          <w:p w14:paraId="0CCC3B7D">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评审项</w:t>
            </w:r>
          </w:p>
        </w:tc>
        <w:tc>
          <w:tcPr>
            <w:tcW w:w="6427" w:type="dxa"/>
            <w:noWrap w:val="0"/>
            <w:vAlign w:val="center"/>
          </w:tcPr>
          <w:p w14:paraId="4394B93A">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评审规则</w:t>
            </w:r>
          </w:p>
        </w:tc>
        <w:tc>
          <w:tcPr>
            <w:tcW w:w="885" w:type="dxa"/>
            <w:noWrap w:val="0"/>
            <w:vAlign w:val="center"/>
          </w:tcPr>
          <w:p w14:paraId="6E6FB1EA">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分值</w:t>
            </w:r>
          </w:p>
        </w:tc>
      </w:tr>
      <w:tr w14:paraId="048F6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1069" w:type="dxa"/>
            <w:noWrap w:val="0"/>
            <w:vAlign w:val="center"/>
          </w:tcPr>
          <w:p w14:paraId="47452DBB">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价格（10分）</w:t>
            </w:r>
          </w:p>
        </w:tc>
        <w:tc>
          <w:tcPr>
            <w:tcW w:w="1271" w:type="dxa"/>
            <w:noWrap w:val="0"/>
            <w:vAlign w:val="center"/>
          </w:tcPr>
          <w:p w14:paraId="68D7C5F3">
            <w:pPr>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价格评审指标</w:t>
            </w:r>
          </w:p>
        </w:tc>
        <w:tc>
          <w:tcPr>
            <w:tcW w:w="6427" w:type="dxa"/>
            <w:noWrap w:val="0"/>
            <w:vAlign w:val="center"/>
          </w:tcPr>
          <w:p w14:paraId="40FD594F">
            <w:pPr>
              <w:rPr>
                <w:rFonts w:hint="eastAsia" w:ascii="宋体" w:hAnsi="宋体" w:eastAsia="宋体" w:cs="宋体"/>
                <w:color w:val="auto"/>
                <w:szCs w:val="21"/>
                <w:highlight w:val="none"/>
              </w:rPr>
            </w:pPr>
            <w:r>
              <w:rPr>
                <w:rFonts w:hint="eastAsia" w:ascii="宋体" w:hAnsi="宋体"/>
                <w:szCs w:val="21"/>
              </w:rPr>
              <w:t>投标报价得分=（评标基准价</w:t>
            </w:r>
            <w:r>
              <w:rPr>
                <w:rFonts w:hint="eastAsia" w:ascii="宋体" w:hAnsi="宋体"/>
              </w:rPr>
              <w:t>折扣</w:t>
            </w:r>
            <w:r>
              <w:rPr>
                <w:rFonts w:hint="eastAsia" w:ascii="宋体" w:hAnsi="宋体"/>
                <w:szCs w:val="21"/>
              </w:rPr>
              <w:t>/投标折扣）*价格权值*100；（计算到小数点后二位）超预算的投标报价不进入评标程序。</w:t>
            </w:r>
          </w:p>
        </w:tc>
        <w:tc>
          <w:tcPr>
            <w:tcW w:w="885" w:type="dxa"/>
            <w:noWrap w:val="0"/>
            <w:vAlign w:val="center"/>
          </w:tcPr>
          <w:p w14:paraId="0146AC6A">
            <w:pPr>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r>
      <w:tr w14:paraId="71DBD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48" w:hRule="atLeast"/>
          <w:jc w:val="center"/>
        </w:trPr>
        <w:tc>
          <w:tcPr>
            <w:tcW w:w="1069" w:type="dxa"/>
            <w:vMerge w:val="restart"/>
            <w:noWrap w:val="0"/>
            <w:vAlign w:val="center"/>
          </w:tcPr>
          <w:p w14:paraId="0523BAC2">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方案（</w:t>
            </w:r>
            <w:r>
              <w:rPr>
                <w:rFonts w:hint="eastAsia" w:ascii="宋体" w:hAnsi="宋体" w:cs="宋体"/>
                <w:color w:val="auto"/>
                <w:szCs w:val="21"/>
                <w:highlight w:val="none"/>
                <w:lang w:val="en-US" w:eastAsia="zh-CN"/>
              </w:rPr>
              <w:t>40</w:t>
            </w:r>
            <w:r>
              <w:rPr>
                <w:rFonts w:hint="eastAsia" w:ascii="宋体" w:hAnsi="宋体" w:eastAsia="宋体" w:cs="宋体"/>
                <w:color w:val="auto"/>
                <w:szCs w:val="21"/>
                <w:highlight w:val="none"/>
              </w:rPr>
              <w:t>分）</w:t>
            </w:r>
          </w:p>
        </w:tc>
        <w:tc>
          <w:tcPr>
            <w:tcW w:w="1271" w:type="dxa"/>
            <w:noWrap w:val="0"/>
            <w:vAlign w:val="center"/>
          </w:tcPr>
          <w:p w14:paraId="3E125204">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质量保证方案</w:t>
            </w:r>
          </w:p>
        </w:tc>
        <w:tc>
          <w:tcPr>
            <w:tcW w:w="6427" w:type="dxa"/>
            <w:noWrap w:val="0"/>
            <w:vAlign w:val="center"/>
          </w:tcPr>
          <w:p w14:paraId="24C8CE20">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投标单位有详细的：</w:t>
            </w:r>
          </w:p>
          <w:p w14:paraId="5CB493E9">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zh-CN"/>
              </w:rPr>
              <w:t xml:space="preserve">根据货物的来源、加工、包装环节的质量保证措施方案， </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分</w:t>
            </w:r>
            <w:r>
              <w:rPr>
                <w:rFonts w:hint="eastAsia" w:ascii="宋体" w:hAnsi="宋体" w:eastAsia="宋体" w:cs="宋体"/>
                <w:color w:val="auto"/>
                <w:szCs w:val="21"/>
                <w:highlight w:val="none"/>
              </w:rPr>
              <w:t>；</w:t>
            </w:r>
          </w:p>
          <w:p w14:paraId="133486AF">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 xml:space="preserve">根据货物的保存、运输环节的质量保证措施方案， </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分</w:t>
            </w:r>
            <w:r>
              <w:rPr>
                <w:rFonts w:hint="eastAsia" w:ascii="宋体" w:hAnsi="宋体" w:eastAsia="宋体" w:cs="宋体"/>
                <w:color w:val="auto"/>
                <w:szCs w:val="21"/>
                <w:highlight w:val="none"/>
              </w:rPr>
              <w:t>；</w:t>
            </w:r>
          </w:p>
          <w:p w14:paraId="6497C511">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 xml:space="preserve">根据货物的来源、加工、包装环节的安全保证措施方案， </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分</w:t>
            </w:r>
            <w:r>
              <w:rPr>
                <w:rFonts w:hint="eastAsia" w:ascii="宋体" w:hAnsi="宋体" w:eastAsia="宋体" w:cs="宋体"/>
                <w:color w:val="auto"/>
                <w:szCs w:val="21"/>
                <w:highlight w:val="none"/>
              </w:rPr>
              <w:t>；</w:t>
            </w:r>
          </w:p>
          <w:p w14:paraId="10699311">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4.根据货物的保存、运输环节的安全保证措施方案， </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分。</w:t>
            </w:r>
          </w:p>
          <w:p w14:paraId="2D3F97F4">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highlight w:val="none"/>
              </w:rPr>
              <w:t>（以上某项缺项或不完善不符合项目的不得对应项分）</w:t>
            </w:r>
          </w:p>
        </w:tc>
        <w:tc>
          <w:tcPr>
            <w:tcW w:w="885" w:type="dxa"/>
            <w:noWrap w:val="0"/>
            <w:vAlign w:val="center"/>
          </w:tcPr>
          <w:p w14:paraId="6046F1E2">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r>
      <w:tr w14:paraId="0CE3A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02" w:hRule="atLeast"/>
          <w:jc w:val="center"/>
        </w:trPr>
        <w:tc>
          <w:tcPr>
            <w:tcW w:w="1069" w:type="dxa"/>
            <w:vMerge w:val="continue"/>
            <w:noWrap w:val="0"/>
            <w:vAlign w:val="center"/>
          </w:tcPr>
          <w:p w14:paraId="7B14E839">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17FFAFAC">
            <w:pPr>
              <w:widowControl/>
              <w:spacing w:line="320" w:lineRule="exact"/>
              <w:ind w:left="50" w:right="5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应急响应方案</w:t>
            </w:r>
          </w:p>
        </w:tc>
        <w:tc>
          <w:tcPr>
            <w:tcW w:w="6427" w:type="dxa"/>
            <w:noWrap w:val="0"/>
            <w:vAlign w:val="center"/>
          </w:tcPr>
          <w:p w14:paraId="691D66FE">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各级各类应急预案：</w:t>
            </w:r>
          </w:p>
          <w:p w14:paraId="4F39E7C9">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1.对自然灾害突发事件（包括发生台风、暴雨、冻雪等灾害性天气）时的应急预案及相应的措施，2分；</w:t>
            </w:r>
          </w:p>
          <w:p w14:paraId="18C85ADD">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2.对突发事件时的应急预案及相应的措施，2分；</w:t>
            </w:r>
          </w:p>
          <w:p w14:paraId="00304B50">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3.对食品安全事件（如食物中毒）的应急处理方案，2分</w:t>
            </w:r>
          </w:p>
          <w:p w14:paraId="2A6D99AC">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zh-CN"/>
              </w:rPr>
              <w:t>.配送点地理位置比较（按导航显示最短的距离为准，提供截图证明；</w:t>
            </w:r>
            <w:r>
              <w:rPr>
                <w:rFonts w:hint="eastAsia" w:ascii="宋体" w:hAnsi="宋体" w:eastAsia="宋体" w:cs="宋体"/>
                <w:color w:val="auto"/>
                <w:szCs w:val="21"/>
                <w:highlight w:val="none"/>
              </w:rPr>
              <w:t>起点为投标人营业执照工商注册地址或具有食品经营许可证的配送点，终点为</w:t>
            </w:r>
            <w:r>
              <w:rPr>
                <w:rFonts w:hint="eastAsia" w:ascii="宋体" w:hAnsi="宋体" w:eastAsia="宋体" w:cs="宋体"/>
                <w:color w:val="auto"/>
                <w:highlight w:val="none"/>
              </w:rPr>
              <w:t>昆山市</w:t>
            </w:r>
            <w:r>
              <w:rPr>
                <w:rFonts w:hint="eastAsia" w:ascii="宋体" w:hAnsi="宋体" w:eastAsia="宋体" w:cs="宋体"/>
                <w:color w:val="auto"/>
                <w:szCs w:val="21"/>
                <w:highlight w:val="none"/>
                <w:lang w:val="zh-CN"/>
              </w:rPr>
              <w:t>中医医院：昆山市祖冲之南路388号。）</w:t>
            </w:r>
          </w:p>
          <w:p w14:paraId="5C4F4301">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配送距离≤20公里得</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lang w:val="zh-CN"/>
              </w:rPr>
              <w:t>分；20公里＜配送距离＜30公里得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zh-CN"/>
              </w:rPr>
              <w:t>分；配送距离≥30公里以上</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lang w:val="zh-CN"/>
              </w:rPr>
              <w:t>分。</w:t>
            </w:r>
          </w:p>
          <w:p w14:paraId="3A5303FF">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highlight w:val="none"/>
              </w:rPr>
              <w:t>（以上某项缺项或不完善不符合项目的不得对应项分）</w:t>
            </w:r>
          </w:p>
        </w:tc>
        <w:tc>
          <w:tcPr>
            <w:tcW w:w="885" w:type="dxa"/>
            <w:noWrap w:val="0"/>
            <w:vAlign w:val="center"/>
          </w:tcPr>
          <w:p w14:paraId="28AF61E9">
            <w:pPr>
              <w:widowControl/>
              <w:spacing w:line="320" w:lineRule="exact"/>
              <w:ind w:left="50" w:right="50"/>
              <w:jc w:val="center"/>
              <w:rPr>
                <w:rFonts w:hint="default" w:ascii="宋体" w:hAnsi="宋体" w:eastAsia="宋体" w:cs="宋体"/>
                <w:strike/>
                <w:color w:val="auto"/>
                <w:szCs w:val="21"/>
                <w:highlight w:val="none"/>
                <w:lang w:val="en-US" w:eastAsia="zh-CN"/>
              </w:rPr>
            </w:pPr>
            <w:r>
              <w:rPr>
                <w:rFonts w:hint="eastAsia" w:ascii="宋体" w:hAnsi="宋体" w:cs="宋体"/>
                <w:color w:val="auto"/>
                <w:szCs w:val="21"/>
                <w:highlight w:val="none"/>
                <w:lang w:val="en-US" w:eastAsia="zh-CN"/>
              </w:rPr>
              <w:t>7.5</w:t>
            </w:r>
          </w:p>
        </w:tc>
      </w:tr>
      <w:tr w14:paraId="07126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02" w:hRule="atLeast"/>
          <w:jc w:val="center"/>
        </w:trPr>
        <w:tc>
          <w:tcPr>
            <w:tcW w:w="1069" w:type="dxa"/>
            <w:vMerge w:val="continue"/>
            <w:noWrap w:val="0"/>
            <w:vAlign w:val="center"/>
          </w:tcPr>
          <w:p w14:paraId="69D54D0A">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1D103AE6">
            <w:pPr>
              <w:widowControl/>
              <w:spacing w:line="320" w:lineRule="exact"/>
              <w:ind w:left="50" w:right="5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配送服务方案</w:t>
            </w:r>
          </w:p>
        </w:tc>
        <w:tc>
          <w:tcPr>
            <w:tcW w:w="6427" w:type="dxa"/>
            <w:noWrap w:val="0"/>
            <w:vAlign w:val="center"/>
          </w:tcPr>
          <w:p w14:paraId="36395352">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本项目配送服务方案</w:t>
            </w:r>
            <w:r>
              <w:rPr>
                <w:rFonts w:hint="eastAsia" w:ascii="宋体" w:hAnsi="宋体" w:eastAsia="宋体" w:cs="宋体"/>
                <w:color w:val="auto"/>
                <w:szCs w:val="21"/>
                <w:highlight w:val="none"/>
              </w:rPr>
              <w:t>:</w:t>
            </w:r>
          </w:p>
          <w:p w14:paraId="21D1B9CF">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1.货源</w:t>
            </w:r>
            <w:r>
              <w:rPr>
                <w:rFonts w:hint="eastAsia" w:ascii="宋体" w:hAnsi="宋体" w:eastAsia="宋体" w:cs="宋体"/>
                <w:color w:val="auto"/>
                <w:szCs w:val="21"/>
                <w:highlight w:val="none"/>
                <w:lang w:val="zh-CN"/>
              </w:rPr>
              <w:t>、采购渠道</w:t>
            </w:r>
            <w:r>
              <w:rPr>
                <w:rFonts w:hint="eastAsia" w:ascii="宋体" w:hAnsi="宋体" w:eastAsia="宋体" w:cs="宋体"/>
                <w:color w:val="auto"/>
                <w:szCs w:val="21"/>
                <w:highlight w:val="none"/>
              </w:rPr>
              <w:t>方案，1分；</w:t>
            </w:r>
          </w:p>
          <w:p w14:paraId="147E9193">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供货保障</w:t>
            </w:r>
            <w:r>
              <w:rPr>
                <w:rFonts w:hint="eastAsia" w:ascii="宋体" w:hAnsi="宋体" w:eastAsia="宋体" w:cs="宋体"/>
                <w:color w:val="auto"/>
                <w:szCs w:val="21"/>
                <w:highlight w:val="none"/>
              </w:rPr>
              <w:t>方案，1分；</w:t>
            </w:r>
          </w:p>
          <w:p w14:paraId="62FEF98A">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品质监控</w:t>
            </w:r>
            <w:r>
              <w:rPr>
                <w:rFonts w:hint="eastAsia" w:ascii="宋体" w:hAnsi="宋体" w:eastAsia="宋体" w:cs="宋体"/>
                <w:color w:val="auto"/>
                <w:szCs w:val="21"/>
                <w:highlight w:val="none"/>
              </w:rPr>
              <w:t>方案，1分；</w:t>
            </w:r>
          </w:p>
          <w:p w14:paraId="1C187EF0">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zh-CN"/>
              </w:rPr>
              <w:t>日常管理组织</w:t>
            </w:r>
            <w:r>
              <w:rPr>
                <w:rFonts w:hint="eastAsia" w:ascii="宋体" w:hAnsi="宋体" w:eastAsia="宋体" w:cs="宋体"/>
                <w:color w:val="auto"/>
                <w:szCs w:val="21"/>
                <w:highlight w:val="none"/>
              </w:rPr>
              <w:t>方案，1分；</w:t>
            </w:r>
          </w:p>
          <w:p w14:paraId="6A040B71">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zh-CN"/>
              </w:rPr>
              <w:t>物流配送</w:t>
            </w:r>
            <w:r>
              <w:rPr>
                <w:rFonts w:hint="eastAsia" w:ascii="宋体" w:hAnsi="宋体" w:eastAsia="宋体" w:cs="宋体"/>
                <w:color w:val="auto"/>
                <w:szCs w:val="21"/>
                <w:highlight w:val="none"/>
              </w:rPr>
              <w:t>方案及</w:t>
            </w:r>
            <w:r>
              <w:rPr>
                <w:rFonts w:hint="eastAsia" w:ascii="宋体" w:hAnsi="宋体" w:eastAsia="宋体" w:cs="宋体"/>
                <w:color w:val="auto"/>
                <w:szCs w:val="21"/>
                <w:highlight w:val="none"/>
                <w:lang w:val="zh-CN"/>
              </w:rPr>
              <w:t>各种规章制度</w:t>
            </w:r>
            <w:r>
              <w:rPr>
                <w:rFonts w:hint="eastAsia" w:ascii="宋体" w:hAnsi="宋体" w:eastAsia="宋体" w:cs="宋体"/>
                <w:color w:val="auto"/>
                <w:szCs w:val="21"/>
                <w:highlight w:val="none"/>
              </w:rPr>
              <w:t>方案，1分；</w:t>
            </w:r>
          </w:p>
          <w:p w14:paraId="26D756B2">
            <w:pPr>
              <w:widowControl/>
              <w:spacing w:line="320" w:lineRule="exact"/>
              <w:ind w:left="50" w:right="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6.现场加工方案（对于部分货物需由配送公司工作人员现场加工），</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p>
          <w:p w14:paraId="6B1F3D57">
            <w:pPr>
              <w:widowControl/>
              <w:spacing w:line="320" w:lineRule="exact"/>
              <w:ind w:left="50" w:right="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7.针对甲方个性化定制相关产品，配送服务响应方案；加急配送时间承诺，承诺配送响应时间≤1小时，1分；</w:t>
            </w:r>
          </w:p>
          <w:p w14:paraId="0A95E011">
            <w:pPr>
              <w:widowControl/>
              <w:spacing w:line="320" w:lineRule="exact"/>
              <w:ind w:left="50" w:right="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8.配送服务包含中：a.冷鲜肉类b.家禽类c.禽蛋类d.调味品e.烘焙类；详细例举合作品牌厂家明细</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2分</w:t>
            </w:r>
            <w:r>
              <w:rPr>
                <w:rFonts w:hint="eastAsia" w:ascii="宋体" w:hAnsi="宋体" w:cs="宋体"/>
                <w:color w:val="auto"/>
                <w:szCs w:val="21"/>
                <w:highlight w:val="none"/>
                <w:lang w:val="en-US" w:eastAsia="zh-CN"/>
              </w:rPr>
              <w:t>；</w:t>
            </w:r>
          </w:p>
          <w:p w14:paraId="10CA31C1">
            <w:pPr>
              <w:widowControl/>
              <w:spacing w:line="320" w:lineRule="exact"/>
              <w:ind w:left="50" w:right="5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val="zh-CN" w:eastAsia="zh-CN"/>
              </w:rPr>
              <w:t>特殊情况如何快速调配人员提供服务、具体操作流程、</w:t>
            </w:r>
            <w:r>
              <w:rPr>
                <w:rFonts w:hint="eastAsia" w:ascii="宋体" w:hAnsi="宋体" w:eastAsia="宋体" w:cs="宋体"/>
                <w:color w:val="auto"/>
                <w:szCs w:val="21"/>
                <w:highlight w:val="none"/>
                <w:lang w:val="en-US" w:eastAsia="zh-CN"/>
              </w:rPr>
              <w:t>有</w:t>
            </w:r>
            <w:r>
              <w:rPr>
                <w:rFonts w:hint="eastAsia" w:ascii="宋体" w:hAnsi="宋体" w:eastAsia="宋体" w:cs="宋体"/>
                <w:color w:val="auto"/>
                <w:szCs w:val="21"/>
                <w:highlight w:val="none"/>
                <w:lang w:val="zh-CN" w:eastAsia="zh-CN"/>
              </w:rPr>
              <w:t>效措施等，</w:t>
            </w:r>
            <w:r>
              <w:rPr>
                <w:rFonts w:hint="eastAsia" w:ascii="宋体" w:hAnsi="宋体" w:eastAsia="宋体" w:cs="宋体"/>
                <w:color w:val="auto"/>
                <w:szCs w:val="21"/>
                <w:highlight w:val="none"/>
                <w:lang w:val="en-US" w:eastAsia="zh-CN"/>
              </w:rPr>
              <w:t>4.5</w:t>
            </w:r>
            <w:r>
              <w:rPr>
                <w:rFonts w:hint="eastAsia" w:ascii="宋体" w:hAnsi="宋体" w:eastAsia="宋体" w:cs="宋体"/>
                <w:color w:val="auto"/>
                <w:szCs w:val="21"/>
                <w:highlight w:val="none"/>
                <w:lang w:val="zh-CN" w:eastAsia="zh-CN"/>
              </w:rPr>
              <w:t>分。</w:t>
            </w:r>
          </w:p>
          <w:p w14:paraId="647559D1">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（以上某项缺项或不完善不符合项目的不得对应项分</w:t>
            </w:r>
            <w:r>
              <w:rPr>
                <w:rFonts w:hint="eastAsia" w:ascii="宋体" w:hAnsi="宋体" w:eastAsia="宋体" w:cs="宋体"/>
                <w:b w:val="0"/>
                <w:bCs w:val="0"/>
                <w:color w:val="auto"/>
                <w:sz w:val="21"/>
                <w:szCs w:val="24"/>
                <w:highlight w:val="none"/>
                <w:lang w:val="en-US" w:eastAsia="zh-CN" w:bidi="ar-SA"/>
              </w:rPr>
              <w:t>）</w:t>
            </w:r>
          </w:p>
        </w:tc>
        <w:tc>
          <w:tcPr>
            <w:tcW w:w="885" w:type="dxa"/>
            <w:noWrap w:val="0"/>
            <w:vAlign w:val="center"/>
          </w:tcPr>
          <w:p w14:paraId="61329F4F">
            <w:pPr>
              <w:widowControl/>
              <w:spacing w:line="320" w:lineRule="exact"/>
              <w:ind w:left="50" w:right="5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14.5</w:t>
            </w:r>
          </w:p>
        </w:tc>
      </w:tr>
      <w:tr w14:paraId="1EEB0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02" w:hRule="atLeast"/>
          <w:jc w:val="center"/>
        </w:trPr>
        <w:tc>
          <w:tcPr>
            <w:tcW w:w="1069" w:type="dxa"/>
            <w:vMerge w:val="continue"/>
            <w:noWrap w:val="0"/>
            <w:vAlign w:val="center"/>
          </w:tcPr>
          <w:p w14:paraId="764F0BAA">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094B24C5">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食品安全追溯及召回机制方案</w:t>
            </w:r>
          </w:p>
        </w:tc>
        <w:tc>
          <w:tcPr>
            <w:tcW w:w="6427" w:type="dxa"/>
            <w:noWrap w:val="0"/>
            <w:vAlign w:val="top"/>
          </w:tcPr>
          <w:p w14:paraId="6F58F7E8">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1.建立食品安全追溯体系（</w:t>
            </w:r>
            <w:r>
              <w:rPr>
                <w:rFonts w:hint="eastAsia" w:ascii="宋体" w:hAnsi="宋体" w:eastAsia="宋体" w:cs="宋体"/>
                <w:color w:val="auto"/>
                <w:szCs w:val="21"/>
                <w:highlight w:val="none"/>
                <w:shd w:val="clear" w:color="auto" w:fill="FFFFFF"/>
              </w:rPr>
              <w:t>为保证食材的安全，需增加实验室检测功能，每天上传苏州</w:t>
            </w:r>
            <w:r>
              <w:rPr>
                <w:rFonts w:hint="eastAsia" w:ascii="宋体" w:hAnsi="宋体" w:eastAsia="宋体" w:cs="宋体"/>
                <w:color w:val="auto"/>
                <w:szCs w:val="21"/>
                <w:highlight w:val="none"/>
                <w:shd w:val="clear" w:color="auto" w:fill="FFFFFF"/>
                <w:lang w:val="en-US" w:eastAsia="zh-CN"/>
              </w:rPr>
              <w:t>市市场监督管理局</w:t>
            </w:r>
            <w:r>
              <w:rPr>
                <w:rFonts w:hint="eastAsia" w:ascii="宋体" w:hAnsi="宋体" w:eastAsia="宋体" w:cs="宋体"/>
                <w:color w:val="auto"/>
                <w:szCs w:val="21"/>
                <w:highlight w:val="none"/>
                <w:shd w:val="clear" w:color="auto" w:fill="FFFFFF"/>
              </w:rPr>
              <w:t>，并提供每项报告的苏源e码二维码。</w:t>
            </w:r>
            <w:r>
              <w:rPr>
                <w:rFonts w:hint="eastAsia" w:ascii="宋体" w:hAnsi="宋体" w:eastAsia="宋体" w:cs="宋体"/>
                <w:color w:val="auto"/>
                <w:highlight w:val="none"/>
              </w:rPr>
              <w:t>），采集、留存生产经营信息，保证食品可追溯，有相关方案得3分；</w:t>
            </w:r>
          </w:p>
          <w:p w14:paraId="2E6A6F55">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2.建立食品召回机制，</w:t>
            </w:r>
            <w:r>
              <w:rPr>
                <w:rFonts w:hint="eastAsia" w:ascii="宋体" w:hAnsi="宋体" w:eastAsia="宋体" w:cs="宋体"/>
                <w:color w:val="auto"/>
                <w:szCs w:val="21"/>
                <w:highlight w:val="none"/>
              </w:rPr>
              <w:t>有相关方案得1分</w:t>
            </w:r>
          </w:p>
          <w:p w14:paraId="3E28C8D9">
            <w:pPr>
              <w:widowControl/>
              <w:spacing w:line="320" w:lineRule="exact"/>
              <w:ind w:right="50"/>
              <w:rPr>
                <w:rFonts w:hint="eastAsia" w:ascii="宋体" w:hAnsi="宋体" w:eastAsia="宋体" w:cs="宋体"/>
                <w:color w:val="auto"/>
                <w:highlight w:val="none"/>
              </w:rPr>
            </w:pPr>
            <w:r>
              <w:rPr>
                <w:rFonts w:hint="eastAsia" w:ascii="宋体" w:hAnsi="宋体" w:eastAsia="宋体" w:cs="宋体"/>
                <w:color w:val="auto"/>
                <w:highlight w:val="none"/>
              </w:rPr>
              <w:t>3.发现的不符合食品安全标准或者有证据证明可能危害人体健康的，快速启动召回措施，并对召回的食品采取无害化处理、销毁等措施，有相关方案得1分。</w:t>
            </w:r>
          </w:p>
        </w:tc>
        <w:tc>
          <w:tcPr>
            <w:tcW w:w="885" w:type="dxa"/>
            <w:noWrap w:val="0"/>
            <w:vAlign w:val="center"/>
          </w:tcPr>
          <w:p w14:paraId="34593234">
            <w:pPr>
              <w:pStyle w:val="2"/>
              <w:rPr>
                <w:rFonts w:hint="eastAsia" w:ascii="宋体" w:hAnsi="宋体" w:eastAsia="宋体" w:cs="宋体"/>
                <w:color w:val="auto"/>
                <w:highlight w:val="none"/>
              </w:rPr>
            </w:pPr>
            <w:r>
              <w:rPr>
                <w:rFonts w:hint="eastAsia" w:ascii="宋体" w:hAnsi="宋体" w:eastAsia="宋体" w:cs="宋体"/>
                <w:color w:val="auto"/>
                <w:highlight w:val="none"/>
              </w:rPr>
              <w:t>5</w:t>
            </w:r>
          </w:p>
        </w:tc>
      </w:tr>
      <w:tr w14:paraId="07F10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69" w:hRule="atLeast"/>
          <w:jc w:val="center"/>
        </w:trPr>
        <w:tc>
          <w:tcPr>
            <w:tcW w:w="1069" w:type="dxa"/>
            <w:vMerge w:val="continue"/>
            <w:noWrap w:val="0"/>
            <w:vAlign w:val="center"/>
          </w:tcPr>
          <w:p w14:paraId="2622CA06">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0FF60B8A">
            <w:pPr>
              <w:spacing w:line="2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合理化建议</w:t>
            </w:r>
          </w:p>
        </w:tc>
        <w:tc>
          <w:tcPr>
            <w:tcW w:w="6427" w:type="dxa"/>
            <w:noWrap w:val="0"/>
            <w:vAlign w:val="top"/>
          </w:tcPr>
          <w:p w14:paraId="4E9FAAB7">
            <w:pPr>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针对本项目开展提出合理化建议，促进本项目的合理开展和有效执行。能够提出建设性、前瞻性建议且内容叙述清晰完整，可行性较高，符合采购人需求的得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分，有合理化建议但可行性一般的，得1.5分，没有或建议不合理的不得分。</w:t>
            </w:r>
          </w:p>
        </w:tc>
        <w:tc>
          <w:tcPr>
            <w:tcW w:w="885" w:type="dxa"/>
            <w:noWrap w:val="0"/>
            <w:vAlign w:val="center"/>
          </w:tcPr>
          <w:p w14:paraId="4230344E">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2</w:t>
            </w:r>
          </w:p>
        </w:tc>
      </w:tr>
      <w:tr w14:paraId="51286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75CC7542">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26958775">
            <w:pPr>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增值服务</w:t>
            </w:r>
          </w:p>
        </w:tc>
        <w:tc>
          <w:tcPr>
            <w:tcW w:w="6427" w:type="dxa"/>
            <w:noWrap w:val="0"/>
            <w:vAlign w:val="top"/>
          </w:tcPr>
          <w:p w14:paraId="5255648E">
            <w:pPr>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针对本项目开展提出切实可行的增值服务，可行性较高，符合采购人需求的得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分，可行性一般的，得1分，没有的不得分。</w:t>
            </w:r>
          </w:p>
        </w:tc>
        <w:tc>
          <w:tcPr>
            <w:tcW w:w="885" w:type="dxa"/>
            <w:noWrap w:val="0"/>
            <w:vAlign w:val="center"/>
          </w:tcPr>
          <w:p w14:paraId="577B4705">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r>
      <w:tr w14:paraId="6706C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restart"/>
            <w:noWrap w:val="0"/>
            <w:vAlign w:val="center"/>
          </w:tcPr>
          <w:p w14:paraId="74293573">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highlight w:val="none"/>
              </w:rPr>
              <w:t>企业综合实力（</w:t>
            </w:r>
            <w:r>
              <w:rPr>
                <w:rFonts w:hint="eastAsia" w:ascii="宋体" w:hAnsi="宋体" w:cs="宋体"/>
                <w:color w:val="auto"/>
                <w:highlight w:val="none"/>
                <w:lang w:val="en-US" w:eastAsia="zh-CN"/>
              </w:rPr>
              <w:t>50</w:t>
            </w:r>
            <w:r>
              <w:rPr>
                <w:rFonts w:hint="eastAsia" w:ascii="宋体" w:hAnsi="宋体" w:eastAsia="宋体" w:cs="宋体"/>
                <w:color w:val="auto"/>
                <w:highlight w:val="none"/>
              </w:rPr>
              <w:t>分）</w:t>
            </w:r>
          </w:p>
        </w:tc>
        <w:tc>
          <w:tcPr>
            <w:tcW w:w="1271" w:type="dxa"/>
            <w:noWrap w:val="0"/>
            <w:vAlign w:val="center"/>
          </w:tcPr>
          <w:p w14:paraId="7F70382B">
            <w:pPr>
              <w:spacing w:line="260" w:lineRule="exact"/>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种植/养殖基地</w:t>
            </w:r>
          </w:p>
        </w:tc>
        <w:tc>
          <w:tcPr>
            <w:tcW w:w="6427" w:type="dxa"/>
            <w:noWrap w:val="0"/>
            <w:vAlign w:val="top"/>
          </w:tcPr>
          <w:p w14:paraId="03517980">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投标单位拥有自有或合作的种植/养殖基地总面积情况：</w:t>
            </w:r>
          </w:p>
          <w:p w14:paraId="270AE186">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a．</w:t>
            </w: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zh-CN"/>
              </w:rPr>
              <w:t>00亩(含)或以上的得4分；</w:t>
            </w:r>
          </w:p>
          <w:p w14:paraId="7EF91C53">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b．</w:t>
            </w: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zh-CN"/>
              </w:rPr>
              <w:t>00亩(不含)--</w:t>
            </w: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zh-CN"/>
              </w:rPr>
              <w:t>00亩（不含）的得</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分；</w:t>
            </w:r>
          </w:p>
          <w:p w14:paraId="10279782">
            <w:pPr>
              <w:widowControl/>
              <w:spacing w:line="320" w:lineRule="exact"/>
              <w:ind w:left="50" w:right="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c. </w:t>
            </w: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zh-CN"/>
              </w:rPr>
              <w:t>00亩以下的得1分</w:t>
            </w:r>
            <w:r>
              <w:rPr>
                <w:rFonts w:hint="eastAsia" w:ascii="宋体" w:hAnsi="宋体" w:eastAsia="宋体" w:cs="宋体"/>
                <w:color w:val="auto"/>
                <w:szCs w:val="21"/>
                <w:highlight w:val="none"/>
              </w:rPr>
              <w:t>。</w:t>
            </w:r>
          </w:p>
          <w:p w14:paraId="2E797262">
            <w:pPr>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（投标单位须提供自有证明材料，或合作种养植基地土地租赁期内的合同扫描件加盖公章，缺项或未提供证明材料的则不得分。）</w:t>
            </w:r>
          </w:p>
        </w:tc>
        <w:tc>
          <w:tcPr>
            <w:tcW w:w="885" w:type="dxa"/>
            <w:noWrap w:val="0"/>
            <w:vAlign w:val="center"/>
          </w:tcPr>
          <w:p w14:paraId="3720907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r>
      <w:tr w14:paraId="69747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4D8ED2B4">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5B061F50">
            <w:pPr>
              <w:spacing w:line="260" w:lineRule="exact"/>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体系认证情况</w:t>
            </w:r>
          </w:p>
        </w:tc>
        <w:tc>
          <w:tcPr>
            <w:tcW w:w="6427" w:type="dxa"/>
            <w:noWrap w:val="0"/>
            <w:vAlign w:val="top"/>
          </w:tcPr>
          <w:p w14:paraId="7ACFF86D">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1.通过质量管理体系认证，得2分；</w:t>
            </w:r>
          </w:p>
          <w:p w14:paraId="6BFB00D9">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2.通过HACCP体系认证，得2分；</w:t>
            </w:r>
          </w:p>
          <w:p w14:paraId="5A1A48FB">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3.通过环境管理体系认证，得2分；</w:t>
            </w:r>
          </w:p>
          <w:p w14:paraId="08570B45">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4.通过食品安全管理体系认证，得2分；</w:t>
            </w:r>
          </w:p>
          <w:p w14:paraId="5A1A5EF0">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5.通过职业健康安全管理体系认证，得2分；</w:t>
            </w:r>
          </w:p>
          <w:p w14:paraId="2CCC3443">
            <w:pPr>
              <w:widowControl/>
              <w:spacing w:line="320" w:lineRule="exact"/>
              <w:ind w:left="50" w:right="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6.供应链安全管理体系认证，得2分；</w:t>
            </w:r>
          </w:p>
          <w:p w14:paraId="551F8F04">
            <w:pPr>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（投标单位须提供有效期内的相关证明材料，并提供中国国家认证认可监督管理委员会（CNCA）网站查询情况截图，扫描件加盖公章。）</w:t>
            </w:r>
          </w:p>
        </w:tc>
        <w:tc>
          <w:tcPr>
            <w:tcW w:w="885" w:type="dxa"/>
            <w:noWrap w:val="0"/>
            <w:vAlign w:val="center"/>
          </w:tcPr>
          <w:p w14:paraId="63F8929B">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12</w:t>
            </w:r>
          </w:p>
        </w:tc>
      </w:tr>
      <w:tr w14:paraId="08446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0" w:hRule="atLeast"/>
          <w:jc w:val="center"/>
        </w:trPr>
        <w:tc>
          <w:tcPr>
            <w:tcW w:w="1069" w:type="dxa"/>
            <w:vMerge w:val="continue"/>
            <w:noWrap w:val="0"/>
            <w:vAlign w:val="center"/>
          </w:tcPr>
          <w:p w14:paraId="0C3DB2F8">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06A0DDA5">
            <w:pPr>
              <w:spacing w:line="260" w:lineRule="exact"/>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公司业绩</w:t>
            </w:r>
          </w:p>
        </w:tc>
        <w:tc>
          <w:tcPr>
            <w:tcW w:w="6427" w:type="dxa"/>
            <w:noWrap w:val="0"/>
            <w:vAlign w:val="top"/>
          </w:tcPr>
          <w:p w14:paraId="02B01C45">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w:t>
            </w:r>
            <w:r>
              <w:rPr>
                <w:rFonts w:hint="eastAsia" w:ascii="宋体" w:hAnsi="宋体" w:cs="宋体"/>
                <w:color w:val="auto"/>
                <w:szCs w:val="21"/>
                <w:highlight w:val="none"/>
                <w:lang w:val="en-US" w:eastAsia="zh-CN"/>
              </w:rPr>
              <w:t>须提供：</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年1月</w:t>
            </w:r>
            <w:r>
              <w:rPr>
                <w:rFonts w:hint="eastAsia" w:ascii="宋体" w:hAnsi="宋体" w:eastAsia="宋体" w:cs="宋体"/>
                <w:color w:val="auto"/>
                <w:szCs w:val="21"/>
                <w:highlight w:val="none"/>
              </w:rPr>
              <w:t>至今</w:t>
            </w:r>
            <w:r>
              <w:rPr>
                <w:rFonts w:hint="eastAsia" w:ascii="宋体" w:hAnsi="宋体" w:cs="宋体"/>
                <w:color w:val="auto"/>
                <w:szCs w:val="21"/>
                <w:highlight w:val="none"/>
                <w:lang w:val="en-US" w:eastAsia="zh-CN"/>
              </w:rPr>
              <w:t>承接过类似业绩（以合同签订时间为准），</w:t>
            </w:r>
            <w:r>
              <w:rPr>
                <w:rFonts w:hint="eastAsia" w:ascii="宋体" w:hAnsi="宋体" w:eastAsia="宋体" w:cs="宋体"/>
                <w:color w:val="auto"/>
                <w:szCs w:val="21"/>
                <w:highlight w:val="none"/>
              </w:rPr>
              <w:t>有一个得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分，最高</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21C163A9">
            <w:pPr>
              <w:spacing w:line="2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须提供合同原件扫描件，部分结算发票原件扫描件，缺任何一项均不得分。）</w:t>
            </w:r>
          </w:p>
        </w:tc>
        <w:tc>
          <w:tcPr>
            <w:tcW w:w="885" w:type="dxa"/>
            <w:noWrap w:val="0"/>
            <w:vAlign w:val="center"/>
          </w:tcPr>
          <w:p w14:paraId="600D4AAC">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r>
      <w:tr w14:paraId="2E06A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59C77B72">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315F54F9">
            <w:pPr>
              <w:widowControl/>
              <w:spacing w:line="320" w:lineRule="exact"/>
              <w:ind w:left="50" w:right="5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荣誉情况</w:t>
            </w:r>
          </w:p>
        </w:tc>
        <w:tc>
          <w:tcPr>
            <w:tcW w:w="6427" w:type="dxa"/>
            <w:noWrap w:val="0"/>
            <w:vAlign w:val="center"/>
          </w:tcPr>
          <w:p w14:paraId="423BE1B8">
            <w:pPr>
              <w:widowControl/>
              <w:spacing w:line="320" w:lineRule="exact"/>
              <w:ind w:left="50" w:right="5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投标单位2021年至今获得县市级农业产业化龙头企业荣誉得1分，地市级农业产业化龙头企业荣誉得2分，省级及以上农业产业化龙头企业荣誉荣誉得3分，最高得3分；</w:t>
            </w:r>
          </w:p>
          <w:p w14:paraId="2EB18DB2">
            <w:pPr>
              <w:widowControl/>
              <w:spacing w:line="320" w:lineRule="exact"/>
              <w:ind w:left="50" w:right="5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（提供相关荣誉证书或证明材料扫描件，以投标人获得的最高荣誉为准，同时获得不重复得分）</w:t>
            </w:r>
          </w:p>
        </w:tc>
        <w:tc>
          <w:tcPr>
            <w:tcW w:w="885" w:type="dxa"/>
            <w:noWrap w:val="0"/>
            <w:vAlign w:val="center"/>
          </w:tcPr>
          <w:p w14:paraId="55E0F3D5">
            <w:pPr>
              <w:widowControl/>
              <w:spacing w:line="320" w:lineRule="exact"/>
              <w:ind w:right="5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r>
      <w:tr w14:paraId="3FE67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3525A800">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719B1171">
            <w:pPr>
              <w:widowControl/>
              <w:spacing w:line="320" w:lineRule="exact"/>
              <w:ind w:left="50" w:right="50"/>
              <w:jc w:val="center"/>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食品质量安全承诺</w:t>
            </w:r>
          </w:p>
        </w:tc>
        <w:tc>
          <w:tcPr>
            <w:tcW w:w="6427" w:type="dxa"/>
            <w:noWrap w:val="0"/>
            <w:vAlign w:val="center"/>
          </w:tcPr>
          <w:p w14:paraId="1892554D">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w:t>
            </w:r>
            <w:r>
              <w:rPr>
                <w:rFonts w:hint="eastAsia" w:ascii="宋体" w:hAnsi="宋体" w:cs="宋体"/>
                <w:color w:val="auto"/>
                <w:szCs w:val="21"/>
                <w:highlight w:val="none"/>
                <w:lang w:val="en-US" w:eastAsia="zh-CN"/>
              </w:rPr>
              <w:t>单位</w:t>
            </w:r>
            <w:r>
              <w:rPr>
                <w:rFonts w:hint="eastAsia" w:ascii="宋体" w:hAnsi="宋体" w:eastAsia="宋体" w:cs="宋体"/>
                <w:color w:val="auto"/>
                <w:szCs w:val="21"/>
                <w:highlight w:val="none"/>
              </w:rPr>
              <w:t>须提供食品安全承诺书（格式详见招标文件）得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分，否则不得分。在实际履约过程中如出现违反承诺的，采购单位可直接终止合作。</w:t>
            </w:r>
          </w:p>
          <w:p w14:paraId="6A504DF7">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（投标单位须提供承诺书扫描件加盖公章。）</w:t>
            </w:r>
          </w:p>
        </w:tc>
        <w:tc>
          <w:tcPr>
            <w:tcW w:w="885" w:type="dxa"/>
            <w:noWrap w:val="0"/>
            <w:vAlign w:val="center"/>
          </w:tcPr>
          <w:p w14:paraId="3922E577">
            <w:pPr>
              <w:widowControl/>
              <w:spacing w:line="320" w:lineRule="exact"/>
              <w:ind w:left="50" w:right="5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r>
      <w:tr w14:paraId="13A98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202C7CDA">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63095DC1">
            <w:pPr>
              <w:widowControl/>
              <w:spacing w:line="320" w:lineRule="exact"/>
              <w:ind w:left="50" w:right="50"/>
              <w:jc w:val="center"/>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食品安全</w:t>
            </w:r>
            <w:r>
              <w:rPr>
                <w:rFonts w:hint="eastAsia" w:ascii="宋体" w:hAnsi="宋体" w:eastAsia="宋体" w:cs="宋体"/>
                <w:color w:val="auto"/>
                <w:szCs w:val="21"/>
                <w:highlight w:val="none"/>
              </w:rPr>
              <w:t>责任</w:t>
            </w:r>
            <w:r>
              <w:rPr>
                <w:rFonts w:hint="eastAsia" w:ascii="宋体" w:hAnsi="宋体" w:eastAsia="宋体" w:cs="宋体"/>
                <w:color w:val="auto"/>
                <w:szCs w:val="21"/>
                <w:highlight w:val="none"/>
                <w:lang w:val="zh-CN"/>
              </w:rPr>
              <w:t>保险</w:t>
            </w:r>
          </w:p>
        </w:tc>
        <w:tc>
          <w:tcPr>
            <w:tcW w:w="6427" w:type="dxa"/>
            <w:noWrap w:val="0"/>
            <w:vAlign w:val="center"/>
          </w:tcPr>
          <w:p w14:paraId="078E5B25">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增强投标单位承担风险能力，保障用餐人员权益。</w:t>
            </w:r>
          </w:p>
          <w:p w14:paraId="60C743B0">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投标单位提供有效的食品安全责任保险。</w:t>
            </w:r>
          </w:p>
          <w:p w14:paraId="4410DCBD">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1．保险金额≥</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000万元，得2分；</w:t>
            </w:r>
          </w:p>
          <w:p w14:paraId="25334F32">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2．1000万元＜保险金额＜</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000万元，得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p>
          <w:p w14:paraId="3FDC2960">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（投标单位须提供有效期内的食品安全保险合同扫描件加盖公章）</w:t>
            </w:r>
          </w:p>
        </w:tc>
        <w:tc>
          <w:tcPr>
            <w:tcW w:w="885" w:type="dxa"/>
            <w:noWrap w:val="0"/>
            <w:vAlign w:val="center"/>
          </w:tcPr>
          <w:p w14:paraId="3B710581">
            <w:pPr>
              <w:widowControl/>
              <w:spacing w:line="320" w:lineRule="exact"/>
              <w:ind w:left="50" w:right="5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2</w:t>
            </w:r>
          </w:p>
        </w:tc>
      </w:tr>
      <w:tr w14:paraId="23CA9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79133A41">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34C29DE1">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▲配送场所情况</w:t>
            </w:r>
          </w:p>
          <w:p w14:paraId="2A117267">
            <w:pPr>
              <w:pStyle w:val="2"/>
              <w:ind w:firstLine="0"/>
              <w:jc w:val="both"/>
              <w:rPr>
                <w:rFonts w:hint="eastAsia" w:ascii="宋体" w:hAnsi="宋体" w:eastAsia="宋体" w:cs="宋体"/>
                <w:color w:val="auto"/>
                <w:sz w:val="21"/>
                <w:szCs w:val="24"/>
                <w:highlight w:val="none"/>
              </w:rPr>
            </w:pPr>
          </w:p>
        </w:tc>
        <w:tc>
          <w:tcPr>
            <w:tcW w:w="6427" w:type="dxa"/>
            <w:noWrap w:val="0"/>
            <w:vAlign w:val="center"/>
          </w:tcPr>
          <w:p w14:paraId="49894F80">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一、场所面积：</w:t>
            </w:r>
          </w:p>
          <w:p w14:paraId="6A1CF327">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1.1000平方米＜场所面积＜</w:t>
            </w:r>
            <w:r>
              <w:rPr>
                <w:rFonts w:hint="eastAsia" w:ascii="宋体" w:hAnsi="宋体" w:cs="宋体"/>
                <w:color w:val="auto"/>
                <w:highlight w:val="none"/>
                <w:lang w:val="en-US" w:eastAsia="zh-CN"/>
              </w:rPr>
              <w:t>2000</w:t>
            </w:r>
            <w:r>
              <w:rPr>
                <w:rFonts w:hint="eastAsia" w:ascii="宋体" w:hAnsi="宋体" w:eastAsia="宋体" w:cs="宋体"/>
                <w:color w:val="auto"/>
                <w:highlight w:val="none"/>
              </w:rPr>
              <w:t>平方米  1分</w:t>
            </w:r>
          </w:p>
          <w:p w14:paraId="58752B11">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val="en-US" w:eastAsia="zh-CN"/>
              </w:rPr>
              <w:t>2000</w:t>
            </w:r>
            <w:r>
              <w:rPr>
                <w:rFonts w:hint="eastAsia" w:ascii="宋体" w:hAnsi="宋体" w:eastAsia="宋体" w:cs="宋体"/>
                <w:color w:val="auto"/>
                <w:highlight w:val="none"/>
              </w:rPr>
              <w:t>平方米≤场所面积＜</w:t>
            </w:r>
            <w:r>
              <w:rPr>
                <w:rFonts w:hint="eastAsia" w:ascii="宋体" w:hAnsi="宋体" w:cs="宋体"/>
                <w:color w:val="auto"/>
                <w:highlight w:val="none"/>
                <w:lang w:val="en-US" w:eastAsia="zh-CN"/>
              </w:rPr>
              <w:t>3000</w:t>
            </w:r>
            <w:r>
              <w:rPr>
                <w:rFonts w:hint="eastAsia" w:ascii="宋体" w:hAnsi="宋体" w:eastAsia="宋体" w:cs="宋体"/>
                <w:color w:val="auto"/>
                <w:highlight w:val="none"/>
              </w:rPr>
              <w:t>平方米  3分</w:t>
            </w:r>
          </w:p>
          <w:p w14:paraId="3BD7624B">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3.场所面积</w:t>
            </w:r>
            <w:r>
              <w:rPr>
                <w:rFonts w:hint="eastAsia" w:ascii="宋体" w:hAnsi="宋体" w:eastAsia="宋体" w:cs="宋体"/>
                <w:color w:val="auto"/>
                <w:szCs w:val="21"/>
                <w:highlight w:val="none"/>
              </w:rPr>
              <w:t>≥</w:t>
            </w:r>
            <w:r>
              <w:rPr>
                <w:rFonts w:hint="eastAsia" w:ascii="宋体" w:hAnsi="宋体" w:cs="宋体"/>
                <w:color w:val="auto"/>
                <w:highlight w:val="none"/>
                <w:lang w:val="en-US" w:eastAsia="zh-CN"/>
              </w:rPr>
              <w:t>3</w:t>
            </w:r>
            <w:r>
              <w:rPr>
                <w:rFonts w:hint="eastAsia" w:ascii="宋体" w:hAnsi="宋体" w:eastAsia="宋体" w:cs="宋体"/>
                <w:color w:val="auto"/>
                <w:highlight w:val="none"/>
              </w:rPr>
              <w:t xml:space="preserve">000平方米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4分</w:t>
            </w:r>
          </w:p>
          <w:p w14:paraId="0073BA5E">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（投标单位须提供房屋权属证明，或在租赁合同期内的房屋租赁合同</w:t>
            </w:r>
            <w:r>
              <w:rPr>
                <w:rFonts w:hint="eastAsia" w:ascii="宋体" w:hAnsi="宋体" w:eastAsia="宋体" w:cs="宋体"/>
                <w:color w:val="auto"/>
                <w:highlight w:val="none"/>
                <w:lang w:val="en-US" w:eastAsia="zh-CN"/>
              </w:rPr>
              <w:t>及产权证复印件同时提供</w:t>
            </w:r>
            <w:r>
              <w:rPr>
                <w:rFonts w:hint="eastAsia" w:ascii="宋体" w:hAnsi="宋体" w:eastAsia="宋体" w:cs="宋体"/>
                <w:color w:val="auto"/>
                <w:highlight w:val="none"/>
              </w:rPr>
              <w:t>部分租赁发票扫描件加盖公章。场所地址以投标人营业执照工商注册地址为准</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证明材料</w:t>
            </w:r>
            <w:r>
              <w:rPr>
                <w:rFonts w:hint="eastAsia" w:ascii="宋体" w:hAnsi="宋体" w:eastAsia="宋体" w:cs="宋体"/>
                <w:color w:val="auto"/>
                <w:highlight w:val="none"/>
              </w:rPr>
              <w:t>缺</w:t>
            </w:r>
            <w:r>
              <w:rPr>
                <w:rFonts w:hint="eastAsia" w:ascii="宋体" w:hAnsi="宋体" w:eastAsia="宋体" w:cs="宋体"/>
                <w:color w:val="auto"/>
                <w:highlight w:val="none"/>
                <w:lang w:val="en-US" w:eastAsia="zh-CN"/>
              </w:rPr>
              <w:t>任何一</w:t>
            </w:r>
            <w:r>
              <w:rPr>
                <w:rFonts w:hint="eastAsia" w:ascii="宋体" w:hAnsi="宋体" w:eastAsia="宋体" w:cs="宋体"/>
                <w:color w:val="auto"/>
                <w:highlight w:val="none"/>
              </w:rPr>
              <w:t>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不得分</w:t>
            </w:r>
            <w:r>
              <w:rPr>
                <w:rFonts w:hint="eastAsia" w:ascii="宋体" w:hAnsi="宋体" w:eastAsia="宋体" w:cs="宋体"/>
                <w:color w:val="auto"/>
                <w:highlight w:val="none"/>
              </w:rPr>
              <w:t>）</w:t>
            </w:r>
          </w:p>
          <w:p w14:paraId="77338B89">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二、配送场所布局：</w:t>
            </w:r>
          </w:p>
          <w:p w14:paraId="44BB7B7E">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1.配送场所各功能区按照原料进入、处理、暂存、分装、供应的流程，布局完善合理：如办公区域、仓储区域、肉类分割加工区、筐箱清洗消毒区、蔬菜分拣区、冷藏冷冻区、物资分发区、食品分装区、车辆装卸场地布局等，得3分</w:t>
            </w:r>
          </w:p>
          <w:p w14:paraId="55824C93">
            <w:pPr>
              <w:widowControl/>
              <w:spacing w:line="320" w:lineRule="exact"/>
              <w:ind w:left="50" w:right="50"/>
              <w:rPr>
                <w:rFonts w:hint="eastAsia" w:ascii="宋体" w:hAnsi="宋体" w:eastAsia="宋体" w:cs="宋体"/>
                <w:color w:val="auto"/>
                <w:highlight w:val="none"/>
              </w:rPr>
            </w:pPr>
            <w:r>
              <w:rPr>
                <w:rFonts w:hint="eastAsia" w:ascii="宋体" w:hAnsi="宋体" w:eastAsia="宋体" w:cs="宋体"/>
                <w:color w:val="auto"/>
                <w:highlight w:val="none"/>
              </w:rPr>
              <w:t>（投标人须提供布局图和各区域彩色图片</w:t>
            </w:r>
            <w:r>
              <w:rPr>
                <w:rFonts w:hint="eastAsia" w:ascii="宋体" w:hAnsi="宋体" w:eastAsia="宋体" w:cs="宋体"/>
                <w:color w:val="auto"/>
                <w:highlight w:val="none"/>
                <w:lang w:val="en-US" w:eastAsia="zh-CN"/>
              </w:rPr>
              <w:t>并标识区域对应面积</w:t>
            </w:r>
            <w:r>
              <w:rPr>
                <w:rFonts w:hint="eastAsia" w:ascii="宋体" w:hAnsi="宋体" w:eastAsia="宋体" w:cs="宋体"/>
                <w:color w:val="auto"/>
                <w:highlight w:val="none"/>
              </w:rPr>
              <w:t>，并予以说明。以上某项缺项、非实景照片、不完善不符合项目的不得对应项分。）</w:t>
            </w:r>
          </w:p>
        </w:tc>
        <w:tc>
          <w:tcPr>
            <w:tcW w:w="885" w:type="dxa"/>
            <w:noWrap w:val="0"/>
            <w:vAlign w:val="center"/>
          </w:tcPr>
          <w:p w14:paraId="7564C82F">
            <w:pPr>
              <w:pStyle w:val="2"/>
              <w:rPr>
                <w:rFonts w:hint="eastAsia" w:ascii="宋体" w:hAnsi="宋体" w:eastAsia="宋体" w:cs="宋体"/>
                <w:color w:val="auto"/>
                <w:highlight w:val="none"/>
              </w:rPr>
            </w:pPr>
            <w:r>
              <w:rPr>
                <w:rFonts w:hint="eastAsia" w:ascii="宋体" w:hAnsi="宋体" w:eastAsia="宋体" w:cs="宋体"/>
                <w:color w:val="auto"/>
                <w:highlight w:val="none"/>
              </w:rPr>
              <w:t>7</w:t>
            </w:r>
          </w:p>
        </w:tc>
      </w:tr>
      <w:tr w14:paraId="3AC76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5196EA0D">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601DE7F2">
            <w:pPr>
              <w:widowControl/>
              <w:spacing w:line="320" w:lineRule="exact"/>
              <w:ind w:left="50" w:right="50"/>
              <w:jc w:val="center"/>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w:t>
            </w:r>
            <w:r>
              <w:rPr>
                <w:rFonts w:hint="eastAsia" w:ascii="宋体" w:hAnsi="宋体" w:eastAsia="宋体" w:cs="宋体"/>
                <w:bCs/>
                <w:color w:val="auto"/>
                <w:szCs w:val="21"/>
                <w:highlight w:val="none"/>
              </w:rPr>
              <w:t>冷冻、冷藏库面积</w:t>
            </w:r>
          </w:p>
        </w:tc>
        <w:tc>
          <w:tcPr>
            <w:tcW w:w="6427" w:type="dxa"/>
            <w:shd w:val="clear" w:color="auto" w:fill="auto"/>
            <w:noWrap w:val="0"/>
            <w:vAlign w:val="center"/>
          </w:tcPr>
          <w:p w14:paraId="7CA5BD41">
            <w:pPr>
              <w:rPr>
                <w:rFonts w:hint="eastAsia" w:ascii="宋体" w:hAnsi="宋体" w:cs="宋体"/>
                <w:color w:val="auto"/>
                <w:szCs w:val="21"/>
                <w:highlight w:val="none"/>
              </w:rPr>
            </w:pPr>
            <w:r>
              <w:rPr>
                <w:rFonts w:hint="eastAsia" w:ascii="宋体" w:hAnsi="宋体" w:cs="宋体"/>
                <w:color w:val="auto"/>
                <w:szCs w:val="21"/>
                <w:highlight w:val="none"/>
              </w:rPr>
              <w:t>根据投标人的冷藏冷冻库能力的比较：</w:t>
            </w:r>
          </w:p>
          <w:p w14:paraId="4C5664A4">
            <w:pPr>
              <w:rPr>
                <w:rFonts w:hint="eastAsia" w:ascii="宋体" w:hAnsi="宋体" w:cs="宋体"/>
                <w:color w:val="auto"/>
                <w:szCs w:val="21"/>
                <w:highlight w:val="none"/>
              </w:rPr>
            </w:pPr>
            <w:r>
              <w:rPr>
                <w:rFonts w:hint="eastAsia" w:ascii="宋体" w:hAnsi="宋体" w:cs="宋体"/>
                <w:color w:val="auto"/>
                <w:szCs w:val="21"/>
                <w:highlight w:val="none"/>
              </w:rPr>
              <w:t>1、冷藏冷冻容积达到100-499m³的得1分，500-999m³的得2分，1000m³及以上的得3分。</w:t>
            </w:r>
          </w:p>
          <w:p w14:paraId="453AC2B1">
            <w:pPr>
              <w:rPr>
                <w:rFonts w:hint="eastAsia" w:ascii="宋体" w:hAnsi="宋体" w:cs="宋体"/>
                <w:color w:val="auto"/>
                <w:szCs w:val="21"/>
                <w:highlight w:val="none"/>
              </w:rPr>
            </w:pPr>
            <w:r>
              <w:rPr>
                <w:rFonts w:hint="eastAsia" w:ascii="宋体" w:hAnsi="宋体" w:cs="宋体"/>
                <w:color w:val="auto"/>
                <w:szCs w:val="21"/>
                <w:highlight w:val="none"/>
              </w:rPr>
              <w:t>2、冷藏冷冻库内部设施和规范管理：原料分类存放摆放、温度控制、清洁维护等合理的得1分。</w:t>
            </w:r>
          </w:p>
          <w:p w14:paraId="5166C5AC">
            <w:pP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（提供场地平面图、布局图或现场彩色照片等相关证明材料）</w:t>
            </w:r>
          </w:p>
        </w:tc>
        <w:tc>
          <w:tcPr>
            <w:tcW w:w="885" w:type="dxa"/>
            <w:noWrap w:val="0"/>
            <w:vAlign w:val="center"/>
          </w:tcPr>
          <w:p w14:paraId="2B0B2B0F">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r>
      <w:tr w14:paraId="65267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04607234">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5D4A667F">
            <w:pPr>
              <w:widowControl/>
              <w:spacing w:line="320" w:lineRule="exact"/>
              <w:ind w:left="50" w:right="5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kern w:val="0"/>
                <w:szCs w:val="21"/>
                <w:highlight w:val="none"/>
              </w:rPr>
              <w:t>冷链运输车辆情况</w:t>
            </w:r>
          </w:p>
        </w:tc>
        <w:tc>
          <w:tcPr>
            <w:tcW w:w="6427" w:type="dxa"/>
            <w:noWrap w:val="0"/>
            <w:vAlign w:val="center"/>
          </w:tcPr>
          <w:p w14:paraId="1AA11D3F">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投标人自有核载重量1吨以上冷链运输厢式货车有</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辆得1分，</w:t>
            </w:r>
            <w:r>
              <w:rPr>
                <w:rFonts w:hint="eastAsia" w:ascii="宋体" w:hAnsi="宋体" w:cs="宋体"/>
                <w:color w:val="auto"/>
                <w:kern w:val="0"/>
                <w:szCs w:val="21"/>
                <w:highlight w:val="none"/>
                <w:lang w:val="en-US" w:eastAsia="zh-CN"/>
              </w:rPr>
              <w:t>每增加1辆得1分，</w:t>
            </w:r>
            <w:r>
              <w:rPr>
                <w:rFonts w:hint="eastAsia" w:ascii="宋体" w:hAnsi="宋体" w:eastAsia="宋体" w:cs="宋体"/>
                <w:color w:val="auto"/>
                <w:kern w:val="0"/>
                <w:szCs w:val="21"/>
                <w:highlight w:val="none"/>
              </w:rPr>
              <w:t>最高3分。</w:t>
            </w:r>
          </w:p>
          <w:p w14:paraId="6E233A73">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（需提供车辆照片、车辆登记证书、自购发票、行驶证复印件等相关证明材料扫描件加盖公章）</w:t>
            </w:r>
          </w:p>
        </w:tc>
        <w:tc>
          <w:tcPr>
            <w:tcW w:w="885" w:type="dxa"/>
            <w:noWrap w:val="0"/>
            <w:vAlign w:val="center"/>
          </w:tcPr>
          <w:p w14:paraId="35DA137E">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r>
      <w:tr w14:paraId="32B40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06" w:hRule="atLeast"/>
          <w:jc w:val="center"/>
        </w:trPr>
        <w:tc>
          <w:tcPr>
            <w:tcW w:w="1069" w:type="dxa"/>
            <w:vMerge w:val="continue"/>
            <w:noWrap w:val="0"/>
            <w:vAlign w:val="center"/>
          </w:tcPr>
          <w:p w14:paraId="2332541E">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6931F511">
            <w:pPr>
              <w:widowControl/>
              <w:spacing w:line="320" w:lineRule="exact"/>
              <w:ind w:left="50" w:right="50"/>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投标单位的专业检测设备</w:t>
            </w:r>
            <w:r>
              <w:rPr>
                <w:rFonts w:hint="eastAsia" w:ascii="宋体" w:hAnsi="宋体" w:cs="宋体"/>
                <w:color w:val="auto"/>
                <w:szCs w:val="21"/>
                <w:highlight w:val="none"/>
                <w:lang w:val="en-US" w:eastAsia="zh-CN"/>
              </w:rPr>
              <w:t>1</w:t>
            </w:r>
          </w:p>
        </w:tc>
        <w:tc>
          <w:tcPr>
            <w:tcW w:w="6427" w:type="dxa"/>
            <w:noWrap w:val="0"/>
            <w:vAlign w:val="center"/>
          </w:tcPr>
          <w:p w14:paraId="4C9293B5">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1.拥有自主的检测实验室，得2分；</w:t>
            </w:r>
          </w:p>
          <w:p w14:paraId="76B30139">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拥有专业自有检测功能设备（须为食品安全检测类并形成固定资产的设备）的如农药残留检测功能、重金属检测功能、亚硝酸盐检测功能、瘦肉精检测功能、细菌检测功能、食品添加剂检测功能等。每项得0.5分，最高3分。</w:t>
            </w:r>
          </w:p>
          <w:p w14:paraId="1BBCAF86">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（投标单位须提供检测实验室证明材料、仪器设备清单、仪器设备图片、仪器设备购置发票或其它有效相关证明文件扫描件加盖公章。）</w:t>
            </w:r>
          </w:p>
        </w:tc>
        <w:tc>
          <w:tcPr>
            <w:tcW w:w="885" w:type="dxa"/>
            <w:noWrap w:val="0"/>
            <w:vAlign w:val="center"/>
          </w:tcPr>
          <w:p w14:paraId="6D6A0236">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r>
      <w:tr w14:paraId="5222B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4F8A408B">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33C77F1B">
            <w:pPr>
              <w:widowControl/>
              <w:spacing w:line="320" w:lineRule="exact"/>
              <w:ind w:left="50" w:right="50"/>
              <w:jc w:val="center"/>
              <w:rPr>
                <w:rFonts w:hint="eastAsia" w:ascii="宋体" w:hAnsi="宋体" w:eastAsia="宋体" w:cs="宋体"/>
                <w:color w:val="auto"/>
                <w:szCs w:val="21"/>
                <w:highlight w:val="none"/>
                <w:lang w:val="en-US" w:eastAsia="zh-CN"/>
              </w:rPr>
            </w:pP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lang w:val="zh-CN"/>
              </w:rPr>
              <w:t>投标单位的专业检测设备</w:t>
            </w:r>
            <w:r>
              <w:rPr>
                <w:rFonts w:hint="eastAsia" w:ascii="宋体" w:hAnsi="宋体" w:cs="宋体"/>
                <w:color w:val="auto"/>
                <w:szCs w:val="21"/>
                <w:highlight w:val="none"/>
                <w:lang w:val="en-US" w:eastAsia="zh-CN"/>
              </w:rPr>
              <w:t>2</w:t>
            </w:r>
          </w:p>
        </w:tc>
        <w:tc>
          <w:tcPr>
            <w:tcW w:w="6427" w:type="dxa"/>
            <w:noWrap w:val="0"/>
            <w:vAlign w:val="center"/>
          </w:tcPr>
          <w:p w14:paraId="4E120913">
            <w:pPr>
              <w:widowControl/>
              <w:numPr>
                <w:ilvl w:val="0"/>
                <w:numId w:val="4"/>
              </w:numPr>
              <w:spacing w:line="320" w:lineRule="exact"/>
              <w:ind w:right="50"/>
              <w:rPr>
                <w:rFonts w:hint="eastAsia" w:ascii="宋体" w:hAnsi="宋体" w:eastAsia="宋体" w:cs="宋体"/>
                <w:color w:val="auto"/>
                <w:szCs w:val="21"/>
                <w:highlight w:val="none"/>
              </w:rPr>
            </w:pPr>
            <w:r>
              <w:rPr>
                <w:rFonts w:hint="eastAsia" w:ascii="宋体" w:hAnsi="宋体" w:cs="宋体"/>
                <w:color w:val="000000"/>
                <w:szCs w:val="21"/>
                <w:highlight w:val="none"/>
              </w:rPr>
              <w:t>目前拥有具备C</w:t>
            </w:r>
            <w:r>
              <w:rPr>
                <w:rFonts w:ascii="宋体" w:hAnsi="宋体" w:cs="宋体"/>
                <w:color w:val="000000"/>
                <w:szCs w:val="21"/>
                <w:highlight w:val="none"/>
              </w:rPr>
              <w:t>MA</w:t>
            </w:r>
            <w:r>
              <w:rPr>
                <w:rFonts w:hint="eastAsia" w:ascii="宋体" w:hAnsi="宋体" w:cs="宋体"/>
                <w:color w:val="000000"/>
                <w:szCs w:val="21"/>
                <w:highlight w:val="none"/>
              </w:rPr>
              <w:t>认证资质的配套检测机构或与具备CMA认证资质的第三方专业检测机构有合作的，有一家得1分，最高得2分</w:t>
            </w:r>
            <w:r>
              <w:rPr>
                <w:rFonts w:hint="eastAsia" w:ascii="宋体" w:hAnsi="宋体" w:eastAsia="宋体" w:cs="宋体"/>
                <w:color w:val="auto"/>
                <w:szCs w:val="21"/>
                <w:highlight w:val="none"/>
              </w:rPr>
              <w:t>；（提供委托协议等相关证明材料扫描件）。</w:t>
            </w:r>
          </w:p>
          <w:p w14:paraId="15DE6595">
            <w:pPr>
              <w:widowControl/>
              <w:numPr>
                <w:ilvl w:val="0"/>
                <w:numId w:val="4"/>
              </w:numPr>
              <w:spacing w:line="320" w:lineRule="exact"/>
              <w:ind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承诺中标后与具备CMA认证资质的第三方专业检测机构合作的得1分</w:t>
            </w:r>
            <w:r>
              <w:rPr>
                <w:rFonts w:hint="eastAsia" w:ascii="宋体" w:hAnsi="宋体" w:eastAsia="宋体" w:cs="宋体"/>
                <w:color w:val="auto"/>
                <w:kern w:val="0"/>
                <w:szCs w:val="21"/>
                <w:highlight w:val="none"/>
              </w:rPr>
              <w:t>（投标单位须提供承诺函加盖公章）</w:t>
            </w:r>
            <w:r>
              <w:rPr>
                <w:rFonts w:hint="eastAsia" w:ascii="宋体" w:hAnsi="宋体" w:cs="宋体"/>
                <w:color w:val="auto"/>
                <w:szCs w:val="21"/>
                <w:highlight w:val="none"/>
                <w:lang w:eastAsia="zh-CN"/>
              </w:rPr>
              <w:t>。</w:t>
            </w:r>
          </w:p>
        </w:tc>
        <w:tc>
          <w:tcPr>
            <w:tcW w:w="885" w:type="dxa"/>
            <w:noWrap w:val="0"/>
            <w:vAlign w:val="center"/>
          </w:tcPr>
          <w:p w14:paraId="1754005A">
            <w:pPr>
              <w:widowControl/>
              <w:spacing w:line="320" w:lineRule="exact"/>
              <w:ind w:left="50" w:right="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r>
      <w:tr w14:paraId="72B32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4BB9D4AF">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145CAFCC">
            <w:pPr>
              <w:widowControl/>
              <w:spacing w:line="320" w:lineRule="exact"/>
              <w:ind w:left="50" w:right="50"/>
              <w:jc w:val="center"/>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拟用于本项目团队</w:t>
            </w:r>
          </w:p>
        </w:tc>
        <w:tc>
          <w:tcPr>
            <w:tcW w:w="6427" w:type="dxa"/>
            <w:noWrap w:val="0"/>
            <w:vAlign w:val="top"/>
          </w:tcPr>
          <w:p w14:paraId="7AFFC0D5">
            <w:pPr>
              <w:widowControl/>
              <w:numPr>
                <w:ilvl w:val="0"/>
                <w:numId w:val="5"/>
              </w:numPr>
              <w:spacing w:line="320" w:lineRule="exact"/>
              <w:ind w:right="5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拟派</w:t>
            </w:r>
            <w:r>
              <w:rPr>
                <w:rFonts w:hint="eastAsia" w:ascii="宋体" w:hAnsi="宋体" w:eastAsia="宋体" w:cs="宋体"/>
                <w:color w:val="auto"/>
                <w:szCs w:val="21"/>
                <w:highlight w:val="none"/>
              </w:rPr>
              <w:t>本项目的人员有10人（含）以上具有合格有效健康证的得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提供投标单位为其交纳的近期社保证明及健康证扫描件</w:t>
            </w:r>
            <w:r>
              <w:rPr>
                <w:rFonts w:hint="eastAsia" w:ascii="宋体" w:hAnsi="宋体" w:cs="宋体"/>
                <w:color w:val="auto"/>
                <w:szCs w:val="21"/>
                <w:highlight w:val="none"/>
                <w:lang w:eastAsia="zh-CN"/>
              </w:rPr>
              <w:t>）。</w:t>
            </w:r>
          </w:p>
          <w:p w14:paraId="4E178595">
            <w:pPr>
              <w:widowControl/>
              <w:numPr>
                <w:ilvl w:val="0"/>
                <w:numId w:val="5"/>
              </w:numPr>
              <w:spacing w:line="320" w:lineRule="exact"/>
              <w:ind w:right="5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拟派本项目的</w:t>
            </w:r>
            <w:r>
              <w:rPr>
                <w:rFonts w:hint="eastAsia" w:ascii="宋体" w:hAnsi="宋体" w:cs="宋体"/>
                <w:color w:val="auto"/>
                <w:szCs w:val="21"/>
                <w:highlight w:val="none"/>
                <w:lang w:eastAsia="zh-CN"/>
              </w:rPr>
              <w:t>食品安全管理人员，</w:t>
            </w:r>
            <w:r>
              <w:rPr>
                <w:rFonts w:hint="eastAsia" w:ascii="宋体" w:hAnsi="宋体" w:cs="宋体"/>
                <w:color w:val="auto"/>
                <w:szCs w:val="21"/>
                <w:highlight w:val="none"/>
                <w:lang w:val="en-US" w:eastAsia="zh-CN"/>
              </w:rPr>
              <w:t>有1人得0.5分，最高1</w:t>
            </w:r>
            <w:r>
              <w:rPr>
                <w:rFonts w:hint="eastAsia" w:ascii="宋体" w:hAnsi="宋体" w:cs="宋体"/>
                <w:color w:val="auto"/>
                <w:szCs w:val="21"/>
                <w:highlight w:val="none"/>
                <w:lang w:eastAsia="zh-CN"/>
              </w:rPr>
              <w:t>分，（投标人须提供食品安全管理人员相关证书、食品安全管理员考试合格证明查询截图</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lang w:eastAsia="zh-CN"/>
              </w:rPr>
              <w:t>食品安全管理人员</w:t>
            </w:r>
            <w:r>
              <w:rPr>
                <w:rFonts w:hint="eastAsia" w:ascii="宋体" w:hAnsi="宋体" w:cs="宋体"/>
                <w:color w:val="auto"/>
                <w:szCs w:val="21"/>
                <w:highlight w:val="none"/>
                <w:lang w:val="en-US" w:eastAsia="zh-CN"/>
              </w:rPr>
              <w:t>劳动</w:t>
            </w:r>
            <w:r>
              <w:rPr>
                <w:rFonts w:hint="eastAsia" w:ascii="宋体" w:hAnsi="宋体" w:eastAsia="宋体" w:cs="宋体"/>
                <w:color w:val="auto"/>
                <w:szCs w:val="21"/>
                <w:highlight w:val="none"/>
              </w:rPr>
              <w:t>合同扫描件</w:t>
            </w:r>
            <w:r>
              <w:rPr>
                <w:rFonts w:hint="eastAsia" w:ascii="宋体" w:hAnsi="宋体" w:cs="宋体"/>
                <w:bCs/>
                <w:color w:val="auto"/>
                <w:szCs w:val="21"/>
                <w:highlight w:val="none"/>
                <w:lang w:val="en-US" w:eastAsia="zh-CN"/>
              </w:rPr>
              <w:t>加</w:t>
            </w:r>
            <w:r>
              <w:rPr>
                <w:rFonts w:hint="eastAsia" w:ascii="宋体" w:hAnsi="宋体" w:eastAsia="宋体" w:cs="宋体"/>
                <w:bCs/>
                <w:color w:val="auto"/>
                <w:szCs w:val="21"/>
                <w:highlight w:val="none"/>
              </w:rPr>
              <w:t>社保证明并加盖公章</w:t>
            </w:r>
            <w:r>
              <w:rPr>
                <w:rFonts w:hint="eastAsia" w:ascii="宋体" w:hAnsi="宋体" w:cs="宋体"/>
                <w:bCs/>
                <w:color w:val="auto"/>
                <w:szCs w:val="21"/>
                <w:highlight w:val="none"/>
                <w:lang w:eastAsia="zh-CN"/>
              </w:rPr>
              <w:t>，</w:t>
            </w:r>
            <w:r>
              <w:rPr>
                <w:rFonts w:hint="eastAsia" w:ascii="宋体" w:hAnsi="宋体" w:cs="宋体"/>
                <w:color w:val="auto"/>
                <w:szCs w:val="21"/>
                <w:highlight w:val="none"/>
                <w:lang w:val="en-US" w:eastAsia="zh-CN"/>
              </w:rPr>
              <w:t>缺任何一项要求不得分</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w:t>
            </w:r>
          </w:p>
        </w:tc>
        <w:tc>
          <w:tcPr>
            <w:tcW w:w="885" w:type="dxa"/>
            <w:noWrap w:val="0"/>
            <w:vAlign w:val="center"/>
          </w:tcPr>
          <w:p w14:paraId="2FEBE7BB">
            <w:pPr>
              <w:widowControl/>
              <w:spacing w:line="320" w:lineRule="exact"/>
              <w:ind w:left="50" w:right="5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r>
      <w:tr w14:paraId="1364A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2" w:hRule="atLeast"/>
          <w:jc w:val="center"/>
        </w:trPr>
        <w:tc>
          <w:tcPr>
            <w:tcW w:w="1069" w:type="dxa"/>
            <w:vMerge w:val="continue"/>
            <w:noWrap w:val="0"/>
            <w:vAlign w:val="center"/>
          </w:tcPr>
          <w:p w14:paraId="21B38659">
            <w:pPr>
              <w:spacing w:line="320" w:lineRule="exact"/>
              <w:jc w:val="center"/>
              <w:rPr>
                <w:rFonts w:hint="eastAsia" w:ascii="宋体" w:hAnsi="宋体" w:eastAsia="宋体" w:cs="宋体"/>
                <w:color w:val="auto"/>
                <w:szCs w:val="21"/>
                <w:highlight w:val="none"/>
              </w:rPr>
            </w:pPr>
          </w:p>
        </w:tc>
        <w:tc>
          <w:tcPr>
            <w:tcW w:w="1271" w:type="dxa"/>
            <w:noWrap w:val="0"/>
            <w:vAlign w:val="center"/>
          </w:tcPr>
          <w:p w14:paraId="1BC5F044">
            <w:pPr>
              <w:widowControl/>
              <w:spacing w:line="320" w:lineRule="exact"/>
              <w:ind w:left="50" w:right="50"/>
              <w:jc w:val="center"/>
              <w:rPr>
                <w:rFonts w:hint="default" w:ascii="宋体" w:hAnsi="宋体" w:eastAsia="宋体" w:cs="宋体"/>
                <w:color w:val="auto"/>
                <w:szCs w:val="21"/>
                <w:highlight w:val="none"/>
                <w:lang w:val="en-US" w:eastAsia="zh-CN"/>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投标单位</w:t>
            </w:r>
            <w:r>
              <w:rPr>
                <w:rFonts w:hint="eastAsia" w:ascii="宋体" w:hAnsi="宋体" w:eastAsia="宋体" w:cs="宋体"/>
                <w:color w:val="auto"/>
                <w:szCs w:val="21"/>
                <w:highlight w:val="none"/>
              </w:rPr>
              <w:t>的检测员</w:t>
            </w:r>
          </w:p>
        </w:tc>
        <w:tc>
          <w:tcPr>
            <w:tcW w:w="6427" w:type="dxa"/>
            <w:noWrap w:val="0"/>
            <w:vAlign w:val="center"/>
          </w:tcPr>
          <w:p w14:paraId="19CF2B0A">
            <w:pPr>
              <w:widowControl/>
              <w:spacing w:line="320" w:lineRule="exact"/>
              <w:ind w:left="50" w:right="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投标单位具备食品检测专业技术人员，有1名得</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rPr>
              <w:t>分，最高得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p>
          <w:p w14:paraId="20E8E2F3">
            <w:pPr>
              <w:widowControl/>
              <w:spacing w:line="320" w:lineRule="exact"/>
              <w:ind w:left="50" w:right="5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（投标单位须提供相关证明材料及人员合同扫描件</w:t>
            </w:r>
            <w:r>
              <w:rPr>
                <w:rFonts w:hint="eastAsia" w:ascii="宋体" w:hAnsi="宋体" w:eastAsia="宋体" w:cs="宋体"/>
                <w:bCs/>
                <w:color w:val="auto"/>
                <w:szCs w:val="21"/>
                <w:highlight w:val="none"/>
              </w:rPr>
              <w:t>及社保证明并加盖公章）</w:t>
            </w:r>
          </w:p>
        </w:tc>
        <w:tc>
          <w:tcPr>
            <w:tcW w:w="885" w:type="dxa"/>
            <w:noWrap w:val="0"/>
            <w:vAlign w:val="center"/>
          </w:tcPr>
          <w:p w14:paraId="12BA3F77">
            <w:pPr>
              <w:widowControl/>
              <w:spacing w:line="320" w:lineRule="exact"/>
              <w:ind w:left="50" w:right="5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r>
      <w:bookmarkEnd w:id="79"/>
      <w:bookmarkEnd w:id="80"/>
    </w:tbl>
    <w:p w14:paraId="10789F9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lang w:val="en-US" w:eastAsia="zh-CN" w:bidi="ar-SA"/>
        </w:rPr>
      </w:pPr>
    </w:p>
    <w:p w14:paraId="31354CBD">
      <w:pPr>
        <w:spacing w:line="360" w:lineRule="auto"/>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备注：</w:t>
      </w:r>
    </w:p>
    <w:p w14:paraId="46B7E7D6">
      <w:pPr>
        <w:keepNext w:val="0"/>
        <w:keepLines w:val="0"/>
        <w:pageBreakBefore w:val="0"/>
        <w:widowControl w:val="0"/>
        <w:spacing w:line="360" w:lineRule="auto"/>
        <w:ind w:firstLine="42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1.除报价得分外，投标单位技术得分未达到除报价得分外总分的75%做无效标处理。</w:t>
      </w:r>
    </w:p>
    <w:p w14:paraId="74B7B480">
      <w:pPr>
        <w:keepNext w:val="0"/>
        <w:keepLines w:val="0"/>
        <w:pageBreakBefore w:val="0"/>
        <w:widowControl w:val="0"/>
        <w:spacing w:line="360" w:lineRule="auto"/>
        <w:ind w:firstLine="42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2.涉及评审的资料均需电子件形式上传，本项目不收取纸质投标文件及相关原件等纸质材料，仅以投标单位提供的电子投标文件为准。</w:t>
      </w:r>
    </w:p>
    <w:p w14:paraId="5AB7AF61">
      <w:pPr>
        <w:keepNext w:val="0"/>
        <w:keepLines w:val="0"/>
        <w:pageBreakBefore w:val="0"/>
        <w:widowControl w:val="0"/>
        <w:spacing w:line="360" w:lineRule="auto"/>
        <w:ind w:firstLine="42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3.各投标单位必须通过“苏采云”进行该项目网上电子投标，否则视为无效投标.</w:t>
      </w:r>
    </w:p>
    <w:p w14:paraId="51C6B0E7">
      <w:pPr>
        <w:keepNext w:val="0"/>
        <w:keepLines w:val="0"/>
        <w:pageBreakBefore w:val="0"/>
        <w:widowControl w:val="0"/>
        <w:spacing w:line="360" w:lineRule="auto"/>
        <w:ind w:firstLine="42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4.针对评分标准中评分的每一条，投标人均应提供相关资料或作出相应说明供评委评判。</w:t>
      </w:r>
    </w:p>
    <w:p w14:paraId="627646E4">
      <w:pPr>
        <w:keepNext w:val="0"/>
        <w:keepLines w:val="0"/>
        <w:pageBreakBefore w:val="0"/>
        <w:widowControl w:val="0"/>
        <w:spacing w:line="360" w:lineRule="auto"/>
        <w:ind w:firstLine="42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p>
    <w:p w14:paraId="616F3672">
      <w:pPr>
        <w:keepNext w:val="0"/>
        <w:keepLines w:val="0"/>
        <w:pageBreakBefore w:val="0"/>
        <w:widowControl w:val="0"/>
        <w:spacing w:line="360" w:lineRule="auto"/>
        <w:ind w:firstLine="42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6.本项目由评委会经综合评标法确定中标单位，最低的报价或最高的</w:t>
      </w:r>
      <w:r>
        <w:rPr>
          <w:rFonts w:hint="eastAsia" w:ascii="宋体" w:hAnsi="宋体" w:cs="Times New Roman"/>
          <w:b/>
          <w:bCs/>
          <w:color w:val="000000"/>
          <w:sz w:val="21"/>
          <w:szCs w:val="21"/>
          <w:highlight w:val="none"/>
          <w:lang w:val="en-US" w:eastAsia="zh-CN" w:bidi="ar-SA"/>
        </w:rPr>
        <w:t>折扣</w:t>
      </w:r>
      <w:r>
        <w:rPr>
          <w:rFonts w:hint="eastAsia" w:ascii="宋体" w:hAnsi="宋体" w:eastAsia="宋体" w:cs="Times New Roman"/>
          <w:b/>
          <w:bCs/>
          <w:color w:val="000000"/>
          <w:sz w:val="21"/>
          <w:szCs w:val="21"/>
          <w:highlight w:val="none"/>
          <w:lang w:val="en-US" w:eastAsia="zh-CN" w:bidi="ar-SA"/>
        </w:rPr>
        <w:t>率并不能成为中标的唯一依据。</w:t>
      </w:r>
    </w:p>
    <w:p w14:paraId="6EB91824">
      <w:pPr>
        <w:widowControl w:val="0"/>
        <w:spacing w:line="360" w:lineRule="auto"/>
        <w:ind w:firstLine="0"/>
        <w:jc w:val="right"/>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全文完</w:t>
      </w:r>
    </w:p>
    <w:p w14:paraId="234EB52D">
      <w:pPr>
        <w:pStyle w:val="263"/>
        <w:keepNext w:val="0"/>
        <w:keepLines w:val="0"/>
        <w:pageBreakBefore w:val="0"/>
        <w:widowControl w:val="0"/>
        <w:tabs>
          <w:tab w:val="left" w:pos="1466"/>
        </w:tabs>
        <w:kinsoku/>
        <w:wordWrap/>
        <w:overflowPunct/>
        <w:topLinePunct w:val="0"/>
        <w:autoSpaceDE/>
        <w:autoSpaceDN/>
        <w:bidi w:val="0"/>
        <w:adjustRightInd/>
        <w:snapToGrid/>
        <w:spacing w:after="0" w:line="360" w:lineRule="auto"/>
        <w:ind w:left="0" w:firstLine="0"/>
        <w:textAlignment w:val="auto"/>
        <w:rPr>
          <w:rFonts w:hint="eastAsia" w:ascii="宋体" w:hAnsi="宋体" w:eastAsia="宋体" w:cs="宋体"/>
          <w:color w:val="auto"/>
          <w:sz w:val="24"/>
          <w:highlight w:val="none"/>
        </w:rPr>
      </w:pPr>
    </w:p>
    <w:sectPr>
      <w:headerReference r:id="rId8" w:type="default"/>
      <w:footerReference r:id="rId9" w:type="default"/>
      <w:pgSz w:w="11906" w:h="16838"/>
      <w:pgMar w:top="1247" w:right="1134" w:bottom="1021" w:left="1701"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仿宋"/>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大黑简体">
    <w:altName w:val="黑体"/>
    <w:panose1 w:val="020B0503020202020204"/>
    <w:charset w:val="00"/>
    <w:family w:val="auto"/>
    <w:pitch w:val="default"/>
    <w:sig w:usb0="00000000" w:usb1="00000000" w:usb2="00000000" w:usb3="00000000" w:csb0="00000000" w:csb1="00000000"/>
  </w:font>
  <w:font w:name="Futura Heavy">
    <w:altName w:val="DejaVu Math TeX Gyre"/>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Microsoft Sans Serif">
    <w:panose1 w:val="020B0604020202020204"/>
    <w:charset w:val="00"/>
    <w:family w:val="auto"/>
    <w:pitch w:val="default"/>
    <w:sig w:usb0="E5002EFF" w:usb1="C000605B" w:usb2="00000029" w:usb3="00000000" w:csb0="200101FF" w:csb1="20280000"/>
  </w:font>
  <w:font w:name="全真中明體">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amp;#23435;&amp;#20307;">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auto"/>
    <w:pitch w:val="default"/>
    <w:sig w:usb0="00000001" w:usb1="080E0000" w:usb2="00000000" w:usb3="00000000" w:csb0="00040000" w:csb1="00000000"/>
  </w:font>
  <w:font w:name="文鼎粗黑">
    <w:altName w:val="黑体"/>
    <w:panose1 w:val="020B0503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95731">
    <w:pPr>
      <w:pStyle w:val="20"/>
      <w:tabs>
        <w:tab w:val="center" w:pos="4153"/>
        <w:tab w:val="right" w:pos="8306"/>
        <w:tab w:val="clear" w:pos="7143"/>
        <w:tab w:val="clear" w:pos="14287"/>
      </w:tabs>
      <w:jc w:val="center"/>
    </w:pPr>
  </w:p>
  <w:p w14:paraId="2EF4F9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1181A">
    <w:pPr>
      <w:pStyle w:val="2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F16290">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3F16290">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CA0C7">
    <w:pPr>
      <w:pStyle w:val="20"/>
      <w:tabs>
        <w:tab w:val="center" w:pos="4153"/>
        <w:tab w:val="right" w:pos="8306"/>
        <w:tab w:val="clear" w:pos="7143"/>
        <w:tab w:val="clear" w:pos="14287"/>
      </w:tabs>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3492E6">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93492E6">
                    <w:pPr>
                      <w:pStyle w:val="20"/>
                    </w:pPr>
                    <w:r>
                      <w:fldChar w:fldCharType="begin"/>
                    </w:r>
                    <w:r>
                      <w:instrText xml:space="preserve"> PAGE  \* MERGEFORMAT </w:instrText>
                    </w:r>
                    <w:r>
                      <w:fldChar w:fldCharType="separate"/>
                    </w:r>
                    <w:r>
                      <w:t>1</w:t>
                    </w:r>
                    <w:r>
                      <w:fldChar w:fldCharType="end"/>
                    </w:r>
                  </w:p>
                </w:txbxContent>
              </v:textbox>
            </v:shape>
          </w:pict>
        </mc:Fallback>
      </mc:AlternateContent>
    </w:r>
  </w:p>
  <w:p w14:paraId="285AB34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28C55">
    <w:pPr>
      <w:pStyle w:val="237"/>
      <w:tabs>
        <w:tab w:val="center" w:pos="4535"/>
      </w:tabs>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77335">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AC77335">
                    <w:pPr>
                      <w:pStyle w:val="2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AFB60">
    <w:pPr>
      <w:pStyle w:val="21"/>
      <w:pBdr>
        <w:bottom w:val="single" w:color="auto" w:sz="4" w:space="0"/>
      </w:pBdr>
      <w:ind w:firstLine="420" w:firstLineChars="200"/>
      <w:rPr>
        <w:rFonts w:hint="eastAsia" w:ascii="等线" w:hAnsi="等线" w:eastAsia="等线"/>
        <w:sz w:val="21"/>
        <w:szCs w:val="21"/>
      </w:rPr>
    </w:pPr>
    <w:r>
      <w:rPr>
        <w:rFonts w:hint="eastAsia"/>
        <w:lang w:val="en-US" w:eastAsia="zh-CN"/>
      </w:rPr>
      <w:t xml:space="preserve">                                                </w:t>
    </w:r>
    <w:r>
      <w:rPr>
        <w:rFonts w:hint="eastAsia" w:ascii="宋体" w:hAnsi="宋体" w:eastAsia="宋体" w:cs="宋体"/>
        <w:lang w:val="en-US" w:eastAsia="zh-CN"/>
      </w:rPr>
      <w:t>项目编号：JSZC-320583-KSJG-G2024-0001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2C613">
    <w:pPr>
      <w:pStyle w:val="21"/>
      <w:pBdr>
        <w:bottom w:val="single" w:color="auto" w:sz="4" w:space="0"/>
      </w:pBdr>
      <w:jc w:val="right"/>
      <w:rPr>
        <w:rFonts w:hint="default" w:eastAsia="宋体"/>
        <w:lang w:val="en-US" w:eastAsia="zh-CN"/>
      </w:rPr>
    </w:pPr>
    <w:r>
      <w:rPr>
        <w:rFonts w:hint="eastAsia"/>
        <w:lang w:val="en-US" w:eastAsia="zh-CN"/>
      </w:rPr>
      <w:t xml:space="preserve">                                        </w:t>
    </w:r>
    <w:r>
      <w:rPr>
        <w:rFonts w:hint="eastAsia" w:ascii="宋体" w:hAnsi="宋体" w:eastAsia="宋体" w:cs="宋体"/>
        <w:lang w:val="en-US" w:eastAsia="zh-CN"/>
      </w:rPr>
      <w:t xml:space="preserve">项目编号：JSZC-320583-KSJG-G2024-0001 </w:t>
    </w: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99DC8">
    <w:pPr>
      <w:pStyle w:val="21"/>
      <w:pBdr>
        <w:bottom w:val="single" w:color="auto" w:sz="4" w:space="0"/>
      </w:pBdr>
      <w:ind w:firstLine="630" w:firstLineChars="300"/>
      <w:rPr>
        <w:rFonts w:hint="default" w:eastAsia="宋体"/>
        <w:lang w:val="en-US" w:eastAsia="zh-CN"/>
      </w:rPr>
    </w:pPr>
    <w:r>
      <w:rPr>
        <w:rFonts w:hint="eastAsia"/>
        <w:lang w:val="en-US" w:eastAsia="zh-CN"/>
      </w:rPr>
      <w:t xml:space="preserve">                                          </w:t>
    </w:r>
    <w:r>
      <w:rPr>
        <w:rFonts w:hint="eastAsia" w:ascii="宋体" w:hAnsi="宋体" w:eastAsia="宋体" w:cs="宋体"/>
        <w:lang w:val="en-US" w:eastAsia="zh-CN"/>
      </w:rPr>
      <w:t>项目编号：JSZC-320583-KSJG-G2024-0001</w:t>
    </w:r>
    <w:r>
      <w:rPr>
        <w:rFonts w:hint="eastAsia"/>
        <w:lang w:val="en-US" w:eastAsia="zh-CN"/>
      </w:rPr>
      <w:t xml:space="preserve">  </w:t>
    </w:r>
  </w:p>
  <w:p w14:paraId="18DB649F">
    <w:pPr>
      <w:pStyle w:val="21"/>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50FEB4"/>
    <w:multiLevelType w:val="multilevel"/>
    <w:tmpl w:val="AC50FEB4"/>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0E92B262"/>
    <w:multiLevelType w:val="singleLevel"/>
    <w:tmpl w:val="0E92B262"/>
    <w:lvl w:ilvl="0" w:tentative="0">
      <w:start w:val="1"/>
      <w:numFmt w:val="decimal"/>
      <w:lvlText w:val="%1."/>
      <w:lvlJc w:val="left"/>
      <w:pPr>
        <w:tabs>
          <w:tab w:val="left" w:pos="312"/>
        </w:tabs>
      </w:pPr>
    </w:lvl>
  </w:abstractNum>
  <w:abstractNum w:abstractNumId="2">
    <w:nsid w:val="5EF5D633"/>
    <w:multiLevelType w:val="multilevel"/>
    <w:tmpl w:val="5EF5D633"/>
    <w:lvl w:ilvl="0" w:tentative="0">
      <w:start w:val="1"/>
      <w:numFmt w:val="chineseCountingThousand"/>
      <w:lvlText w:val="%1、"/>
      <w:lvlJc w:val="left"/>
      <w:pPr>
        <w:ind w:left="844" w:hanging="420"/>
      </w:pPr>
    </w:lvl>
    <w:lvl w:ilvl="1" w:tentative="0">
      <w:start w:val="2"/>
      <w:numFmt w:val="decimal"/>
      <w:lvlText w:val="%2、"/>
      <w:lvlJc w:val="left"/>
      <w:pPr>
        <w:ind w:left="1204" w:hanging="36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3">
    <w:nsid w:val="6561D155"/>
    <w:multiLevelType w:val="multilevel"/>
    <w:tmpl w:val="6561D15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7EE831E"/>
    <w:multiLevelType w:val="singleLevel"/>
    <w:tmpl w:val="67EE831E"/>
    <w:lvl w:ilvl="0" w:tentative="0">
      <w:start w:val="1"/>
      <w:numFmt w:val="decimal"/>
      <w:lvlText w:val="%1."/>
      <w:lvlJc w:val="left"/>
      <w:pPr>
        <w:tabs>
          <w:tab w:val="left" w:pos="312"/>
        </w:tabs>
      </w:pPr>
      <w:rPr>
        <w:rFonts w:hint="default"/>
        <w:color w:val="0000FF"/>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yYjFkZjJmODViY2Q5MDdjNjE4ZWMyZGYxYmU2ZjEifQ=="/>
  </w:docVars>
  <w:rsids>
    <w:rsidRoot w:val="00000000"/>
    <w:rsid w:val="01602ABC"/>
    <w:rsid w:val="022774AE"/>
    <w:rsid w:val="036808E2"/>
    <w:rsid w:val="036A5D1C"/>
    <w:rsid w:val="038A3960"/>
    <w:rsid w:val="04785F6A"/>
    <w:rsid w:val="04EB5887"/>
    <w:rsid w:val="04F90471"/>
    <w:rsid w:val="0580501B"/>
    <w:rsid w:val="05A83C45"/>
    <w:rsid w:val="06374324"/>
    <w:rsid w:val="064A065D"/>
    <w:rsid w:val="064E336B"/>
    <w:rsid w:val="06E77E02"/>
    <w:rsid w:val="071A2920"/>
    <w:rsid w:val="07DA42F9"/>
    <w:rsid w:val="07DE4EA5"/>
    <w:rsid w:val="08236132"/>
    <w:rsid w:val="088C631B"/>
    <w:rsid w:val="08D55065"/>
    <w:rsid w:val="0ABA32A4"/>
    <w:rsid w:val="0AD9743E"/>
    <w:rsid w:val="0B9434D7"/>
    <w:rsid w:val="0C7F4BB9"/>
    <w:rsid w:val="0D241B28"/>
    <w:rsid w:val="0DDA2CF4"/>
    <w:rsid w:val="0EA0672E"/>
    <w:rsid w:val="0EA73FF6"/>
    <w:rsid w:val="0F7A2ADB"/>
    <w:rsid w:val="0F98263F"/>
    <w:rsid w:val="1095480E"/>
    <w:rsid w:val="11537A88"/>
    <w:rsid w:val="12001C68"/>
    <w:rsid w:val="125A548B"/>
    <w:rsid w:val="127D0D96"/>
    <w:rsid w:val="12B5065D"/>
    <w:rsid w:val="12C64289"/>
    <w:rsid w:val="13011AAC"/>
    <w:rsid w:val="132643C5"/>
    <w:rsid w:val="13384A61"/>
    <w:rsid w:val="13636C52"/>
    <w:rsid w:val="13C202F5"/>
    <w:rsid w:val="140F3E38"/>
    <w:rsid w:val="14C36CD2"/>
    <w:rsid w:val="159B1C8F"/>
    <w:rsid w:val="15ED4D6D"/>
    <w:rsid w:val="15FF5499"/>
    <w:rsid w:val="16543EFF"/>
    <w:rsid w:val="17C63C33"/>
    <w:rsid w:val="17CC38C7"/>
    <w:rsid w:val="17FC7BCD"/>
    <w:rsid w:val="186C33DA"/>
    <w:rsid w:val="19243DD6"/>
    <w:rsid w:val="19C15671"/>
    <w:rsid w:val="1AE9736B"/>
    <w:rsid w:val="1C13588E"/>
    <w:rsid w:val="1C204A0A"/>
    <w:rsid w:val="1D2461B8"/>
    <w:rsid w:val="1DCD471E"/>
    <w:rsid w:val="1E6F1C79"/>
    <w:rsid w:val="1F6D07D8"/>
    <w:rsid w:val="20CB32E8"/>
    <w:rsid w:val="21610DF7"/>
    <w:rsid w:val="22402341"/>
    <w:rsid w:val="226E12EC"/>
    <w:rsid w:val="23782476"/>
    <w:rsid w:val="24657168"/>
    <w:rsid w:val="25104604"/>
    <w:rsid w:val="263D40BD"/>
    <w:rsid w:val="26A33A01"/>
    <w:rsid w:val="27093CA2"/>
    <w:rsid w:val="271E248E"/>
    <w:rsid w:val="27C46D1A"/>
    <w:rsid w:val="2814326A"/>
    <w:rsid w:val="28CD5F1A"/>
    <w:rsid w:val="29564327"/>
    <w:rsid w:val="2A6428AE"/>
    <w:rsid w:val="2AC24A4E"/>
    <w:rsid w:val="2AD0584D"/>
    <w:rsid w:val="2B063533"/>
    <w:rsid w:val="2B6A5C20"/>
    <w:rsid w:val="2BEF0B9E"/>
    <w:rsid w:val="2C317B9A"/>
    <w:rsid w:val="2C73502A"/>
    <w:rsid w:val="2C7713C2"/>
    <w:rsid w:val="2CF05EB7"/>
    <w:rsid w:val="2D396E2B"/>
    <w:rsid w:val="2D4F076C"/>
    <w:rsid w:val="2DB15E0A"/>
    <w:rsid w:val="2DE40294"/>
    <w:rsid w:val="2F0D0FDF"/>
    <w:rsid w:val="3106021B"/>
    <w:rsid w:val="32081D71"/>
    <w:rsid w:val="32190EBE"/>
    <w:rsid w:val="32F20BA1"/>
    <w:rsid w:val="33101476"/>
    <w:rsid w:val="34356E11"/>
    <w:rsid w:val="34566337"/>
    <w:rsid w:val="34661E18"/>
    <w:rsid w:val="35163A7C"/>
    <w:rsid w:val="354665FB"/>
    <w:rsid w:val="365C5BAE"/>
    <w:rsid w:val="36A50B08"/>
    <w:rsid w:val="36C86E39"/>
    <w:rsid w:val="36CF2106"/>
    <w:rsid w:val="37194E8A"/>
    <w:rsid w:val="37217B5C"/>
    <w:rsid w:val="37C44B04"/>
    <w:rsid w:val="38940D3C"/>
    <w:rsid w:val="39086E89"/>
    <w:rsid w:val="3A3146AF"/>
    <w:rsid w:val="3AAB7443"/>
    <w:rsid w:val="3B3E5395"/>
    <w:rsid w:val="3BA71722"/>
    <w:rsid w:val="3BC84D65"/>
    <w:rsid w:val="3C466254"/>
    <w:rsid w:val="3DDD2303"/>
    <w:rsid w:val="3DE8245A"/>
    <w:rsid w:val="3E3D2DA2"/>
    <w:rsid w:val="3E4B1963"/>
    <w:rsid w:val="3E6259ED"/>
    <w:rsid w:val="3F9C7756"/>
    <w:rsid w:val="3FF57DD8"/>
    <w:rsid w:val="404657C2"/>
    <w:rsid w:val="40A50042"/>
    <w:rsid w:val="42402E61"/>
    <w:rsid w:val="434B5F61"/>
    <w:rsid w:val="43A70ED1"/>
    <w:rsid w:val="441E71D2"/>
    <w:rsid w:val="44DB2DA3"/>
    <w:rsid w:val="45336CAD"/>
    <w:rsid w:val="459A5616"/>
    <w:rsid w:val="45AA038D"/>
    <w:rsid w:val="45AD6D83"/>
    <w:rsid w:val="483D231C"/>
    <w:rsid w:val="487B4BF3"/>
    <w:rsid w:val="491A265E"/>
    <w:rsid w:val="4BF3589F"/>
    <w:rsid w:val="4C956D80"/>
    <w:rsid w:val="4CAD4014"/>
    <w:rsid w:val="4E1F157C"/>
    <w:rsid w:val="4E504131"/>
    <w:rsid w:val="4EBE7F2F"/>
    <w:rsid w:val="4ED0764A"/>
    <w:rsid w:val="4EFD16A2"/>
    <w:rsid w:val="4FF4358B"/>
    <w:rsid w:val="513269A9"/>
    <w:rsid w:val="51384546"/>
    <w:rsid w:val="516A6800"/>
    <w:rsid w:val="52517CA2"/>
    <w:rsid w:val="53191BD8"/>
    <w:rsid w:val="53E74BD0"/>
    <w:rsid w:val="540C56BF"/>
    <w:rsid w:val="574B6D15"/>
    <w:rsid w:val="5798756F"/>
    <w:rsid w:val="58350652"/>
    <w:rsid w:val="58D8107F"/>
    <w:rsid w:val="591606C7"/>
    <w:rsid w:val="593F01A3"/>
    <w:rsid w:val="5A1F5C99"/>
    <w:rsid w:val="5A572F78"/>
    <w:rsid w:val="5A84657D"/>
    <w:rsid w:val="5AAC0B3B"/>
    <w:rsid w:val="5AB75F5E"/>
    <w:rsid w:val="5C8712BE"/>
    <w:rsid w:val="5CB33B9F"/>
    <w:rsid w:val="5EAB6C4E"/>
    <w:rsid w:val="5EC46383"/>
    <w:rsid w:val="5ED30EB9"/>
    <w:rsid w:val="5F8B79B9"/>
    <w:rsid w:val="605B3830"/>
    <w:rsid w:val="61243C22"/>
    <w:rsid w:val="61A54E3B"/>
    <w:rsid w:val="61B37CD9"/>
    <w:rsid w:val="6254223A"/>
    <w:rsid w:val="62CA6A4B"/>
    <w:rsid w:val="62CF7BBD"/>
    <w:rsid w:val="637251F2"/>
    <w:rsid w:val="641F6922"/>
    <w:rsid w:val="64897A59"/>
    <w:rsid w:val="64953A9B"/>
    <w:rsid w:val="66215288"/>
    <w:rsid w:val="66B30495"/>
    <w:rsid w:val="66CB7BE9"/>
    <w:rsid w:val="66EF2B81"/>
    <w:rsid w:val="675D79BF"/>
    <w:rsid w:val="67FA3AF6"/>
    <w:rsid w:val="68435106"/>
    <w:rsid w:val="69224EEB"/>
    <w:rsid w:val="69B146F5"/>
    <w:rsid w:val="6AC90DF4"/>
    <w:rsid w:val="6ACD221D"/>
    <w:rsid w:val="6B0D0E8B"/>
    <w:rsid w:val="6B1E7BB5"/>
    <w:rsid w:val="6B2D401B"/>
    <w:rsid w:val="6C2007D7"/>
    <w:rsid w:val="6D502450"/>
    <w:rsid w:val="6DDB7D5E"/>
    <w:rsid w:val="6E325480"/>
    <w:rsid w:val="6EDF101B"/>
    <w:rsid w:val="70301D7F"/>
    <w:rsid w:val="70600DB7"/>
    <w:rsid w:val="70D25A04"/>
    <w:rsid w:val="71072188"/>
    <w:rsid w:val="711D243B"/>
    <w:rsid w:val="723015EC"/>
    <w:rsid w:val="72891B63"/>
    <w:rsid w:val="733777E5"/>
    <w:rsid w:val="73C179F6"/>
    <w:rsid w:val="73E60A36"/>
    <w:rsid w:val="741F235B"/>
    <w:rsid w:val="744055BA"/>
    <w:rsid w:val="74762747"/>
    <w:rsid w:val="75092201"/>
    <w:rsid w:val="76347B4E"/>
    <w:rsid w:val="76C75323"/>
    <w:rsid w:val="77802ADA"/>
    <w:rsid w:val="778A6EA1"/>
    <w:rsid w:val="77BA09E4"/>
    <w:rsid w:val="78092AF5"/>
    <w:rsid w:val="790A14F7"/>
    <w:rsid w:val="799274FF"/>
    <w:rsid w:val="7A340B59"/>
    <w:rsid w:val="7B6E2211"/>
    <w:rsid w:val="7BA85442"/>
    <w:rsid w:val="7C260408"/>
    <w:rsid w:val="7CDF4788"/>
    <w:rsid w:val="7D1A650D"/>
    <w:rsid w:val="7DB76E86"/>
    <w:rsid w:val="7E380EDD"/>
    <w:rsid w:val="7EA81599"/>
    <w:rsid w:val="7EA915CA"/>
    <w:rsid w:val="7F0F1615"/>
    <w:rsid w:val="7F456371"/>
    <w:rsid w:val="7F4917F5"/>
    <w:rsid w:val="7F6330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9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ind w:firstLine="420"/>
      <w:jc w:val="left"/>
    </w:pPr>
    <w:rPr>
      <w:rFonts w:eastAsia="楷体_GB2312"/>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qFormat/>
    <w:uiPriority w:val="0"/>
    <w:pPr>
      <w:spacing w:line="520" w:lineRule="exact"/>
      <w:ind w:left="570"/>
    </w:pPr>
    <w:rPr>
      <w:rFonts w:ascii="方正仿宋简体" w:hAnsi="创艺简仿宋" w:eastAsia="方正仿宋简体"/>
      <w:sz w:val="24"/>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hint="eastAsia" w:ascii="宋体" w:hAnsi="Courier New" w:eastAsia="楷体_GB2312"/>
      <w:sz w:val="28"/>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link w:val="50"/>
    <w:qFormat/>
    <w:uiPriority w:val="10"/>
    <w:pPr>
      <w:spacing w:before="300" w:after="200"/>
      <w:contextualSpacing/>
    </w:pPr>
    <w:rPr>
      <w:sz w:val="48"/>
      <w:szCs w:val="48"/>
    </w:rPr>
  </w:style>
  <w:style w:type="paragraph" w:styleId="31">
    <w:name w:val="Body Text First Indent 2"/>
    <w:basedOn w:val="14"/>
    <w:qFormat/>
    <w:uiPriority w:val="0"/>
    <w:pPr>
      <w:spacing w:after="120"/>
      <w:ind w:firstLine="420" w:firstLineChars="20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page number"/>
    <w:qFormat/>
    <w:uiPriority w:val="99"/>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标题 21"/>
    <w:basedOn w:val="1"/>
    <w:next w:val="1"/>
    <w:link w:val="199"/>
    <w:qFormat/>
    <w:uiPriority w:val="0"/>
    <w:pPr>
      <w:keepNext/>
      <w:keepLines/>
      <w:spacing w:before="260" w:after="260" w:line="413" w:lineRule="auto"/>
      <w:outlineLvl w:val="1"/>
    </w:pPr>
    <w:rPr>
      <w:rFonts w:ascii="Arial" w:hAnsi="Arial" w:eastAsia="黑体"/>
      <w:b/>
      <w:bCs/>
      <w:sz w:val="32"/>
      <w:szCs w:val="32"/>
    </w:rPr>
  </w:style>
  <w:style w:type="character" w:customStyle="1" w:styleId="40">
    <w:name w:val="Heading 1 Char"/>
    <w:link w:val="3"/>
    <w:qFormat/>
    <w:uiPriority w:val="9"/>
    <w:rPr>
      <w:rFonts w:ascii="Arial" w:hAnsi="Arial" w:eastAsia="Arial" w:cs="Arial"/>
      <w:sz w:val="40"/>
      <w:szCs w:val="40"/>
    </w:rPr>
  </w:style>
  <w:style w:type="character" w:customStyle="1" w:styleId="41">
    <w:name w:val="Heading 2 Char"/>
    <w:link w:val="4"/>
    <w:qFormat/>
    <w:uiPriority w:val="9"/>
    <w:rPr>
      <w:rFonts w:ascii="Arial" w:hAnsi="Arial" w:eastAsia="Arial" w:cs="Arial"/>
      <w:sz w:val="34"/>
    </w:rPr>
  </w:style>
  <w:style w:type="character" w:customStyle="1" w:styleId="42">
    <w:name w:val="Heading 3 Char"/>
    <w:link w:val="5"/>
    <w:qFormat/>
    <w:uiPriority w:val="9"/>
    <w:rPr>
      <w:rFonts w:ascii="Arial" w:hAnsi="Arial" w:eastAsia="Arial" w:cs="Arial"/>
      <w:sz w:val="30"/>
      <w:szCs w:val="30"/>
    </w:rPr>
  </w:style>
  <w:style w:type="character" w:customStyle="1" w:styleId="43">
    <w:name w:val="Heading 4 Char"/>
    <w:link w:val="6"/>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0"/>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8"/>
    <w:qFormat/>
    <w:uiPriority w:val="0"/>
    <w:pPr>
      <w:keepNext/>
      <w:keepLines/>
      <w:spacing w:before="340" w:after="330" w:line="576" w:lineRule="auto"/>
      <w:outlineLvl w:val="0"/>
    </w:pPr>
    <w:rPr>
      <w:rFonts w:eastAsia="楷体_GB2312"/>
      <w:b/>
      <w:sz w:val="44"/>
      <w:szCs w:val="20"/>
    </w:rPr>
  </w:style>
  <w:style w:type="paragraph" w:customStyle="1" w:styleId="188">
    <w:name w:val="标题 31"/>
    <w:basedOn w:val="1"/>
    <w:next w:val="1"/>
    <w:link w:val="200"/>
    <w:qFormat/>
    <w:uiPriority w:val="0"/>
    <w:pPr>
      <w:keepNext/>
      <w:keepLines/>
      <w:spacing w:before="260" w:after="260" w:line="413" w:lineRule="auto"/>
      <w:outlineLvl w:val="2"/>
    </w:pPr>
    <w:rPr>
      <w:b/>
      <w:bCs/>
      <w:sz w:val="32"/>
      <w:szCs w:val="32"/>
    </w:rPr>
  </w:style>
  <w:style w:type="paragraph" w:customStyle="1" w:styleId="189">
    <w:name w:val="标题 41"/>
    <w:basedOn w:val="1"/>
    <w:next w:val="1"/>
    <w:link w:val="201"/>
    <w:qFormat/>
    <w:uiPriority w:val="0"/>
    <w:pPr>
      <w:keepNext/>
      <w:keepLines/>
      <w:spacing w:before="280" w:after="290" w:line="376" w:lineRule="auto"/>
      <w:outlineLvl w:val="3"/>
    </w:pPr>
    <w:rPr>
      <w:rFonts w:ascii="Cambria" w:hAnsi="Cambria"/>
      <w:b/>
      <w:bCs/>
      <w:sz w:val="28"/>
      <w:szCs w:val="28"/>
    </w:rPr>
  </w:style>
  <w:style w:type="paragraph" w:customStyle="1" w:styleId="190">
    <w:name w:val="标题 51"/>
    <w:basedOn w:val="1"/>
    <w:next w:val="1"/>
    <w:link w:val="202"/>
    <w:qFormat/>
    <w:uiPriority w:val="0"/>
    <w:pPr>
      <w:keepNext/>
      <w:keepLines/>
      <w:spacing w:before="280" w:after="290" w:line="376" w:lineRule="auto"/>
      <w:outlineLvl w:val="4"/>
    </w:pPr>
    <w:rPr>
      <w:rFonts w:ascii="Calibri" w:hAnsi="Calibri"/>
      <w:b/>
      <w:bCs/>
      <w:sz w:val="28"/>
      <w:szCs w:val="28"/>
    </w:rPr>
  </w:style>
  <w:style w:type="paragraph" w:customStyle="1" w:styleId="191">
    <w:name w:val="标题 61"/>
    <w:basedOn w:val="1"/>
    <w:next w:val="1"/>
    <w:link w:val="203"/>
    <w:qFormat/>
    <w:uiPriority w:val="0"/>
    <w:pPr>
      <w:keepNext/>
      <w:keepLines/>
      <w:tabs>
        <w:tab w:val="left" w:pos="3578"/>
      </w:tabs>
      <w:ind w:left="284" w:firstLine="1134"/>
      <w:outlineLvl w:val="5"/>
    </w:pPr>
    <w:rPr>
      <w:rFonts w:ascii="宋体" w:hAnsi="宋体"/>
      <w:b/>
      <w:bCs/>
      <w:sz w:val="30"/>
    </w:rPr>
  </w:style>
  <w:style w:type="paragraph" w:customStyle="1" w:styleId="192">
    <w:name w:val="标题 71"/>
    <w:basedOn w:val="1"/>
    <w:next w:val="193"/>
    <w:link w:val="204"/>
    <w:qFormat/>
    <w:uiPriority w:val="0"/>
    <w:pPr>
      <w:keepNext/>
      <w:keepLines/>
      <w:spacing w:before="240" w:after="64" w:line="320" w:lineRule="auto"/>
      <w:outlineLvl w:val="6"/>
    </w:pPr>
    <w:rPr>
      <w:b/>
      <w:sz w:val="24"/>
      <w:szCs w:val="20"/>
    </w:rPr>
  </w:style>
  <w:style w:type="paragraph" w:customStyle="1" w:styleId="193">
    <w:name w:val="正文缩进1"/>
    <w:basedOn w:val="1"/>
    <w:link w:val="205"/>
    <w:qFormat/>
    <w:uiPriority w:val="0"/>
    <w:pPr>
      <w:ind w:firstLine="420"/>
      <w:jc w:val="left"/>
    </w:pPr>
    <w:rPr>
      <w:rFonts w:eastAsia="楷体_GB2312"/>
      <w:sz w:val="24"/>
      <w:szCs w:val="20"/>
    </w:rPr>
  </w:style>
  <w:style w:type="paragraph" w:customStyle="1" w:styleId="194">
    <w:name w:val="标题 81"/>
    <w:basedOn w:val="1"/>
    <w:next w:val="193"/>
    <w:link w:val="206"/>
    <w:qFormat/>
    <w:uiPriority w:val="0"/>
    <w:pPr>
      <w:keepNext/>
      <w:keepLines/>
      <w:spacing w:before="240" w:after="64" w:line="320" w:lineRule="auto"/>
      <w:outlineLvl w:val="7"/>
    </w:pPr>
    <w:rPr>
      <w:rFonts w:ascii="Arial" w:hAnsi="Arial" w:eastAsia="黑体"/>
      <w:sz w:val="24"/>
      <w:szCs w:val="20"/>
    </w:rPr>
  </w:style>
  <w:style w:type="paragraph" w:customStyle="1" w:styleId="195">
    <w:name w:val="标题 91"/>
    <w:basedOn w:val="1"/>
    <w:next w:val="193"/>
    <w:link w:val="207"/>
    <w:qFormat/>
    <w:uiPriority w:val="0"/>
    <w:pPr>
      <w:keepNext/>
      <w:keepLines/>
      <w:tabs>
        <w:tab w:val="left" w:pos="1584"/>
      </w:tabs>
      <w:spacing w:before="240" w:after="64" w:line="320" w:lineRule="auto"/>
      <w:ind w:left="1584" w:hanging="1584"/>
      <w:outlineLvl w:val="8"/>
    </w:pPr>
    <w:rPr>
      <w:rFonts w:ascii="Arial" w:hAnsi="Arial" w:eastAsia="黑体"/>
      <w:szCs w:val="20"/>
    </w:rPr>
  </w:style>
  <w:style w:type="character" w:customStyle="1" w:styleId="196">
    <w:name w:val="默认段落字体1"/>
    <w:link w:val="1"/>
    <w:unhideWhenUsed/>
    <w:qFormat/>
    <w:uiPriority w:val="1"/>
  </w:style>
  <w:style w:type="table" w:customStyle="1" w:styleId="197">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98">
    <w:name w:val="标题 1 字符"/>
    <w:link w:val="187"/>
    <w:qFormat/>
    <w:uiPriority w:val="0"/>
    <w:rPr>
      <w:rFonts w:eastAsia="楷体_GB2312"/>
      <w:b/>
      <w:sz w:val="44"/>
      <w:lang w:val="en-US" w:eastAsia="zh-CN" w:bidi="ar-SA"/>
    </w:rPr>
  </w:style>
  <w:style w:type="character" w:customStyle="1" w:styleId="199">
    <w:name w:val="标题 2 字符"/>
    <w:link w:val="39"/>
    <w:qFormat/>
    <w:uiPriority w:val="0"/>
    <w:rPr>
      <w:rFonts w:ascii="Arial" w:hAnsi="Arial" w:eastAsia="黑体"/>
      <w:b/>
      <w:bCs/>
      <w:sz w:val="32"/>
      <w:szCs w:val="32"/>
      <w:lang w:val="en-US" w:eastAsia="zh-CN" w:bidi="ar-SA"/>
    </w:rPr>
  </w:style>
  <w:style w:type="character" w:customStyle="1" w:styleId="200">
    <w:name w:val="标题 3 字符"/>
    <w:link w:val="188"/>
    <w:qFormat/>
    <w:uiPriority w:val="0"/>
    <w:rPr>
      <w:rFonts w:eastAsia="宋体"/>
      <w:b/>
      <w:bCs/>
      <w:sz w:val="32"/>
      <w:szCs w:val="32"/>
      <w:lang w:val="en-US" w:eastAsia="zh-CN" w:bidi="ar-SA"/>
    </w:rPr>
  </w:style>
  <w:style w:type="character" w:customStyle="1" w:styleId="201">
    <w:name w:val="标题 4 字符"/>
    <w:link w:val="189"/>
    <w:qFormat/>
    <w:uiPriority w:val="0"/>
    <w:rPr>
      <w:rFonts w:ascii="Cambria" w:hAnsi="Cambria" w:eastAsia="宋体"/>
      <w:b/>
      <w:bCs/>
      <w:sz w:val="28"/>
      <w:szCs w:val="28"/>
      <w:lang w:val="en-US" w:eastAsia="zh-CN" w:bidi="ar-SA"/>
    </w:rPr>
  </w:style>
  <w:style w:type="character" w:customStyle="1" w:styleId="202">
    <w:name w:val="标题 5 字符"/>
    <w:link w:val="190"/>
    <w:qFormat/>
    <w:uiPriority w:val="0"/>
    <w:rPr>
      <w:rFonts w:ascii="Calibri" w:hAnsi="Calibri"/>
      <w:b/>
      <w:bCs/>
      <w:sz w:val="28"/>
      <w:szCs w:val="28"/>
    </w:rPr>
  </w:style>
  <w:style w:type="character" w:customStyle="1" w:styleId="203">
    <w:name w:val="标题 6 字符"/>
    <w:link w:val="191"/>
    <w:qFormat/>
    <w:uiPriority w:val="0"/>
    <w:rPr>
      <w:rFonts w:ascii="宋体" w:hAnsi="宋体"/>
      <w:b/>
      <w:bCs/>
      <w:sz w:val="30"/>
      <w:szCs w:val="24"/>
    </w:rPr>
  </w:style>
  <w:style w:type="character" w:customStyle="1" w:styleId="204">
    <w:name w:val="标题 7 字符"/>
    <w:link w:val="192"/>
    <w:qFormat/>
    <w:uiPriority w:val="0"/>
    <w:rPr>
      <w:b/>
      <w:sz w:val="24"/>
    </w:rPr>
  </w:style>
  <w:style w:type="character" w:customStyle="1" w:styleId="205">
    <w:name w:val="正文缩进 字符1"/>
    <w:link w:val="193"/>
    <w:qFormat/>
    <w:uiPriority w:val="0"/>
    <w:rPr>
      <w:rFonts w:eastAsia="楷体_GB2312"/>
      <w:sz w:val="24"/>
      <w:lang w:val="en-US" w:eastAsia="zh-CN" w:bidi="ar-SA"/>
    </w:rPr>
  </w:style>
  <w:style w:type="character" w:customStyle="1" w:styleId="206">
    <w:name w:val="标题 8 字符"/>
    <w:link w:val="194"/>
    <w:qFormat/>
    <w:uiPriority w:val="0"/>
    <w:rPr>
      <w:rFonts w:ascii="Arial" w:hAnsi="Arial" w:eastAsia="黑体"/>
      <w:sz w:val="24"/>
    </w:rPr>
  </w:style>
  <w:style w:type="character" w:customStyle="1" w:styleId="207">
    <w:name w:val="标题 9 字符"/>
    <w:link w:val="195"/>
    <w:qFormat/>
    <w:uiPriority w:val="0"/>
    <w:rPr>
      <w:rFonts w:ascii="Arial" w:hAnsi="Arial" w:eastAsia="黑体"/>
      <w:sz w:val="21"/>
    </w:rPr>
  </w:style>
  <w:style w:type="paragraph" w:customStyle="1" w:styleId="208">
    <w:name w:val="列表 31"/>
    <w:basedOn w:val="1"/>
    <w:qFormat/>
    <w:uiPriority w:val="0"/>
    <w:pPr>
      <w:ind w:left="1260" w:hanging="420"/>
    </w:pPr>
    <w:rPr>
      <w:szCs w:val="20"/>
    </w:rPr>
  </w:style>
  <w:style w:type="paragraph" w:customStyle="1" w:styleId="209">
    <w:name w:val="目录 71"/>
    <w:basedOn w:val="1"/>
    <w:next w:val="1"/>
    <w:unhideWhenUsed/>
    <w:qFormat/>
    <w:uiPriority w:val="0"/>
    <w:pPr>
      <w:ind w:left="2520"/>
    </w:pPr>
    <w:rPr>
      <w:rFonts w:ascii="Calibri" w:hAnsi="Calibri"/>
      <w:szCs w:val="22"/>
    </w:rPr>
  </w:style>
  <w:style w:type="paragraph" w:customStyle="1" w:styleId="210">
    <w:name w:val="列表编号 21"/>
    <w:basedOn w:val="1"/>
    <w:qFormat/>
    <w:uiPriority w:val="0"/>
    <w:pPr>
      <w:keepNext/>
      <w:tabs>
        <w:tab w:val="left" w:pos="780"/>
      </w:tabs>
      <w:spacing w:line="360" w:lineRule="auto"/>
      <w:ind w:left="780" w:hanging="360"/>
    </w:pPr>
    <w:rPr>
      <w:rFonts w:ascii="Arial" w:hAnsi="Arial"/>
      <w:sz w:val="24"/>
      <w:szCs w:val="20"/>
    </w:rPr>
  </w:style>
  <w:style w:type="paragraph" w:customStyle="1" w:styleId="211">
    <w:name w:val="列表编号1"/>
    <w:basedOn w:val="1"/>
    <w:qFormat/>
    <w:uiPriority w:val="0"/>
    <w:pPr>
      <w:tabs>
        <w:tab w:val="left" w:pos="960"/>
      </w:tabs>
      <w:spacing w:line="360" w:lineRule="auto"/>
      <w:ind w:left="960" w:hanging="960"/>
    </w:pPr>
    <w:rPr>
      <w:color w:val="000000"/>
      <w:sz w:val="28"/>
      <w:szCs w:val="20"/>
    </w:rPr>
  </w:style>
  <w:style w:type="paragraph" w:customStyle="1" w:styleId="212">
    <w:name w:val="题注1"/>
    <w:basedOn w:val="1"/>
    <w:next w:val="1"/>
    <w:qFormat/>
    <w:uiPriority w:val="0"/>
    <w:pPr>
      <w:spacing w:before="152" w:after="160"/>
    </w:pPr>
    <w:rPr>
      <w:rFonts w:ascii="Arial" w:hAnsi="Arial" w:eastAsia="黑体" w:cs="Arial"/>
      <w:sz w:val="20"/>
      <w:szCs w:val="20"/>
    </w:rPr>
  </w:style>
  <w:style w:type="paragraph" w:customStyle="1" w:styleId="213">
    <w:name w:val="文档结构图1"/>
    <w:basedOn w:val="1"/>
    <w:link w:val="214"/>
    <w:qFormat/>
    <w:uiPriority w:val="99"/>
    <w:pPr>
      <w:shd w:val="clear" w:color="auto" w:fill="000080"/>
    </w:pPr>
    <w:rPr>
      <w:szCs w:val="20"/>
    </w:rPr>
  </w:style>
  <w:style w:type="character" w:customStyle="1" w:styleId="214">
    <w:name w:val="文档结构图 字符"/>
    <w:link w:val="213"/>
    <w:qFormat/>
    <w:uiPriority w:val="99"/>
    <w:rPr>
      <w:sz w:val="21"/>
      <w:shd w:val="clear" w:color="auto" w:fill="000080"/>
    </w:rPr>
  </w:style>
  <w:style w:type="paragraph" w:customStyle="1" w:styleId="215">
    <w:name w:val="引文目录标题1"/>
    <w:basedOn w:val="1"/>
    <w:next w:val="1"/>
    <w:semiHidden/>
    <w:qFormat/>
    <w:uiPriority w:val="0"/>
    <w:pPr>
      <w:spacing w:before="120" w:line="312" w:lineRule="atLeast"/>
    </w:pPr>
    <w:rPr>
      <w:rFonts w:ascii="Arial" w:hAnsi="Arial"/>
      <w:b/>
      <w:sz w:val="24"/>
    </w:rPr>
  </w:style>
  <w:style w:type="paragraph" w:customStyle="1" w:styleId="216">
    <w:name w:val="批注文字1"/>
    <w:basedOn w:val="1"/>
    <w:link w:val="217"/>
    <w:qFormat/>
    <w:uiPriority w:val="0"/>
    <w:pPr>
      <w:jc w:val="left"/>
    </w:pPr>
  </w:style>
  <w:style w:type="character" w:customStyle="1" w:styleId="217">
    <w:name w:val="批注文字 字符"/>
    <w:link w:val="216"/>
    <w:qFormat/>
    <w:uiPriority w:val="0"/>
    <w:rPr>
      <w:sz w:val="21"/>
      <w:szCs w:val="24"/>
    </w:rPr>
  </w:style>
  <w:style w:type="paragraph" w:customStyle="1" w:styleId="218">
    <w:name w:val="正文文本 31"/>
    <w:basedOn w:val="1"/>
    <w:link w:val="219"/>
    <w:qFormat/>
    <w:uiPriority w:val="0"/>
    <w:pPr>
      <w:spacing w:after="120"/>
    </w:pPr>
    <w:rPr>
      <w:sz w:val="16"/>
      <w:szCs w:val="16"/>
    </w:rPr>
  </w:style>
  <w:style w:type="character" w:customStyle="1" w:styleId="219">
    <w:name w:val="正文文本 3 字符"/>
    <w:link w:val="218"/>
    <w:qFormat/>
    <w:uiPriority w:val="0"/>
    <w:rPr>
      <w:sz w:val="16"/>
      <w:szCs w:val="16"/>
    </w:rPr>
  </w:style>
  <w:style w:type="paragraph" w:customStyle="1" w:styleId="220">
    <w:name w:val="正文文本1"/>
    <w:basedOn w:val="1"/>
    <w:link w:val="221"/>
    <w:qFormat/>
    <w:uiPriority w:val="0"/>
    <w:pPr>
      <w:jc w:val="center"/>
    </w:pPr>
    <w:rPr>
      <w:rFonts w:ascii="方正大黑简体" w:eastAsia="方正大黑简体"/>
      <w:position w:val="6"/>
      <w:sz w:val="30"/>
      <w:szCs w:val="20"/>
    </w:rPr>
  </w:style>
  <w:style w:type="character" w:customStyle="1" w:styleId="221">
    <w:name w:val="正文文本 字符"/>
    <w:link w:val="220"/>
    <w:qFormat/>
    <w:uiPriority w:val="0"/>
    <w:rPr>
      <w:rFonts w:ascii="方正大黑简体" w:eastAsia="方正大黑简体"/>
      <w:position w:val="6"/>
      <w:sz w:val="30"/>
      <w:lang w:val="en-US" w:eastAsia="zh-CN" w:bidi="ar-SA"/>
    </w:rPr>
  </w:style>
  <w:style w:type="paragraph" w:customStyle="1" w:styleId="222">
    <w:name w:val="正文文本缩进1"/>
    <w:basedOn w:val="1"/>
    <w:next w:val="223"/>
    <w:link w:val="224"/>
    <w:qFormat/>
    <w:uiPriority w:val="0"/>
    <w:pPr>
      <w:spacing w:line="520" w:lineRule="exact"/>
      <w:ind w:left="570"/>
    </w:pPr>
    <w:rPr>
      <w:rFonts w:ascii="方正仿宋简体" w:hAnsi="创艺简仿宋" w:eastAsia="方正仿宋简体"/>
      <w:sz w:val="24"/>
      <w:szCs w:val="20"/>
    </w:rPr>
  </w:style>
  <w:style w:type="paragraph" w:customStyle="1" w:styleId="223">
    <w:name w:val="目录 51"/>
    <w:next w:val="1"/>
    <w:qFormat/>
    <w:uiPriority w:val="0"/>
    <w:pPr>
      <w:ind w:left="1275"/>
      <w:jc w:val="both"/>
    </w:pPr>
    <w:rPr>
      <w:rFonts w:hint="default" w:ascii="Times New Roman" w:hAnsi="Times New Roman" w:eastAsia="宋体" w:cs="Times New Roman"/>
      <w:sz w:val="21"/>
      <w:lang w:val="en-US" w:eastAsia="zh-CN" w:bidi="ar-SA"/>
    </w:rPr>
  </w:style>
  <w:style w:type="character" w:customStyle="1" w:styleId="224">
    <w:name w:val="正文文本缩进 字符"/>
    <w:link w:val="222"/>
    <w:qFormat/>
    <w:uiPriority w:val="0"/>
    <w:rPr>
      <w:rFonts w:ascii="方正仿宋简体" w:hAnsi="创艺简仿宋" w:eastAsia="方正仿宋简体"/>
      <w:sz w:val="24"/>
      <w:lang w:val="en-US" w:eastAsia="zh-CN" w:bidi="ar-SA"/>
    </w:rPr>
  </w:style>
  <w:style w:type="paragraph" w:customStyle="1" w:styleId="225">
    <w:name w:val="列表 21"/>
    <w:basedOn w:val="1"/>
    <w:qFormat/>
    <w:uiPriority w:val="0"/>
    <w:pPr>
      <w:ind w:left="100" w:hanging="200"/>
    </w:pPr>
  </w:style>
  <w:style w:type="paragraph" w:customStyle="1" w:styleId="226">
    <w:name w:val="目录 52"/>
    <w:basedOn w:val="1"/>
    <w:next w:val="1"/>
    <w:unhideWhenUsed/>
    <w:qFormat/>
    <w:uiPriority w:val="0"/>
    <w:pPr>
      <w:ind w:left="1680"/>
    </w:pPr>
    <w:rPr>
      <w:rFonts w:ascii="Calibri" w:hAnsi="Calibri"/>
      <w:szCs w:val="22"/>
    </w:rPr>
  </w:style>
  <w:style w:type="paragraph" w:customStyle="1" w:styleId="227">
    <w:name w:val="目录 31"/>
    <w:basedOn w:val="1"/>
    <w:next w:val="1"/>
    <w:qFormat/>
    <w:uiPriority w:val="39"/>
    <w:pPr>
      <w:ind w:left="840"/>
    </w:pPr>
  </w:style>
  <w:style w:type="paragraph" w:customStyle="1" w:styleId="228">
    <w:name w:val="纯文本1111"/>
    <w:basedOn w:val="1"/>
    <w:link w:val="229"/>
    <w:qFormat/>
    <w:uiPriority w:val="0"/>
    <w:rPr>
      <w:rFonts w:ascii="宋体" w:hAnsi="Courier New" w:eastAsia="楷体_GB2312"/>
      <w:sz w:val="28"/>
      <w:szCs w:val="20"/>
    </w:rPr>
  </w:style>
  <w:style w:type="character" w:customStyle="1" w:styleId="229">
    <w:name w:val="纯文本 字符"/>
    <w:link w:val="228"/>
    <w:qFormat/>
    <w:uiPriority w:val="0"/>
    <w:rPr>
      <w:rFonts w:ascii="宋体" w:hAnsi="Courier New" w:eastAsia="楷体_GB2312"/>
      <w:sz w:val="28"/>
      <w:lang w:val="en-US" w:eastAsia="zh-CN" w:bidi="ar-SA"/>
    </w:rPr>
  </w:style>
  <w:style w:type="paragraph" w:customStyle="1" w:styleId="230">
    <w:name w:val="目录 81"/>
    <w:basedOn w:val="1"/>
    <w:next w:val="1"/>
    <w:unhideWhenUsed/>
    <w:qFormat/>
    <w:uiPriority w:val="0"/>
    <w:pPr>
      <w:ind w:left="2940"/>
    </w:pPr>
    <w:rPr>
      <w:rFonts w:ascii="Calibri" w:hAnsi="Calibri"/>
      <w:szCs w:val="22"/>
    </w:rPr>
  </w:style>
  <w:style w:type="paragraph" w:customStyle="1" w:styleId="231">
    <w:name w:val="日期1"/>
    <w:basedOn w:val="1"/>
    <w:next w:val="1"/>
    <w:link w:val="232"/>
    <w:qFormat/>
    <w:uiPriority w:val="0"/>
    <w:rPr>
      <w:rFonts w:ascii="宋体" w:hAnsi="宋体" w:eastAsia="楷体_GB2312"/>
      <w:sz w:val="24"/>
      <w:szCs w:val="20"/>
    </w:rPr>
  </w:style>
  <w:style w:type="character" w:customStyle="1" w:styleId="232">
    <w:name w:val="日期 字符"/>
    <w:link w:val="231"/>
    <w:qFormat/>
    <w:uiPriority w:val="0"/>
    <w:rPr>
      <w:rFonts w:ascii="宋体" w:hAnsi="宋体" w:eastAsia="楷体_GB2312"/>
      <w:sz w:val="24"/>
    </w:rPr>
  </w:style>
  <w:style w:type="paragraph" w:customStyle="1" w:styleId="233">
    <w:name w:val="正文文本缩进 21"/>
    <w:basedOn w:val="1"/>
    <w:link w:val="234"/>
    <w:qFormat/>
    <w:uiPriority w:val="0"/>
    <w:pPr>
      <w:spacing w:line="360" w:lineRule="auto"/>
      <w:ind w:firstLine="540"/>
    </w:pPr>
    <w:rPr>
      <w:rFonts w:ascii="宋体" w:hAnsi="宋体"/>
      <w:sz w:val="24"/>
    </w:rPr>
  </w:style>
  <w:style w:type="character" w:customStyle="1" w:styleId="234">
    <w:name w:val="正文文本缩进 2 字符"/>
    <w:link w:val="233"/>
    <w:qFormat/>
    <w:uiPriority w:val="0"/>
    <w:rPr>
      <w:rFonts w:ascii="宋体" w:hAnsi="宋体" w:eastAsia="宋体"/>
      <w:sz w:val="24"/>
      <w:szCs w:val="24"/>
      <w:lang w:val="en-US" w:eastAsia="zh-CN" w:bidi="ar-SA"/>
    </w:rPr>
  </w:style>
  <w:style w:type="paragraph" w:customStyle="1" w:styleId="235">
    <w:name w:val="批注框文本1"/>
    <w:basedOn w:val="1"/>
    <w:link w:val="236"/>
    <w:qFormat/>
    <w:uiPriority w:val="0"/>
    <w:rPr>
      <w:rFonts w:ascii="Calibri" w:hAnsi="Calibri"/>
      <w:sz w:val="18"/>
      <w:szCs w:val="18"/>
    </w:rPr>
  </w:style>
  <w:style w:type="character" w:customStyle="1" w:styleId="236">
    <w:name w:val="批注框文本 字符"/>
    <w:link w:val="235"/>
    <w:qFormat/>
    <w:uiPriority w:val="0"/>
    <w:rPr>
      <w:rFonts w:ascii="Calibri" w:hAnsi="Calibri" w:eastAsia="宋体"/>
      <w:sz w:val="18"/>
      <w:szCs w:val="18"/>
      <w:lang w:val="en-US" w:eastAsia="zh-CN" w:bidi="ar-SA"/>
    </w:rPr>
  </w:style>
  <w:style w:type="paragraph" w:customStyle="1" w:styleId="237">
    <w:name w:val="页脚1"/>
    <w:basedOn w:val="1"/>
    <w:link w:val="238"/>
    <w:qFormat/>
    <w:uiPriority w:val="99"/>
    <w:pPr>
      <w:tabs>
        <w:tab w:val="center" w:pos="4153"/>
        <w:tab w:val="right" w:pos="8306"/>
      </w:tabs>
      <w:jc w:val="left"/>
    </w:pPr>
    <w:rPr>
      <w:sz w:val="18"/>
      <w:szCs w:val="18"/>
    </w:rPr>
  </w:style>
  <w:style w:type="character" w:customStyle="1" w:styleId="238">
    <w:name w:val="页脚 字符"/>
    <w:link w:val="237"/>
    <w:qFormat/>
    <w:uiPriority w:val="99"/>
    <w:rPr>
      <w:rFonts w:eastAsia="宋体"/>
      <w:sz w:val="18"/>
      <w:szCs w:val="18"/>
      <w:lang w:val="en-US" w:eastAsia="zh-CN" w:bidi="ar-SA"/>
    </w:rPr>
  </w:style>
  <w:style w:type="paragraph" w:customStyle="1" w:styleId="239">
    <w:name w:val="页眉1"/>
    <w:basedOn w:val="1"/>
    <w:link w:val="240"/>
    <w:qFormat/>
    <w:uiPriority w:val="99"/>
    <w:pPr>
      <w:pBdr>
        <w:bottom w:val="single" w:color="000000" w:sz="6" w:space="1"/>
      </w:pBdr>
      <w:tabs>
        <w:tab w:val="center" w:pos="4153"/>
        <w:tab w:val="right" w:pos="8306"/>
      </w:tabs>
      <w:jc w:val="center"/>
    </w:pPr>
    <w:rPr>
      <w:rFonts w:eastAsia="楷体_GB2312"/>
      <w:sz w:val="18"/>
      <w:szCs w:val="20"/>
    </w:rPr>
  </w:style>
  <w:style w:type="character" w:customStyle="1" w:styleId="240">
    <w:name w:val="页眉 字符"/>
    <w:link w:val="239"/>
    <w:qFormat/>
    <w:uiPriority w:val="99"/>
    <w:rPr>
      <w:rFonts w:eastAsia="楷体_GB2312"/>
      <w:sz w:val="18"/>
      <w:lang w:val="en-US" w:eastAsia="zh-CN" w:bidi="ar-SA"/>
    </w:rPr>
  </w:style>
  <w:style w:type="paragraph" w:customStyle="1" w:styleId="241">
    <w:name w:val="目录 11"/>
    <w:basedOn w:val="1"/>
    <w:next w:val="1"/>
    <w:qFormat/>
    <w:uiPriority w:val="39"/>
    <w:pPr>
      <w:tabs>
        <w:tab w:val="right" w:leader="dot" w:pos="8296"/>
      </w:tabs>
      <w:spacing w:line="360" w:lineRule="auto"/>
    </w:pPr>
    <w:rPr>
      <w:rFonts w:ascii="宋体" w:hAnsi="宋体"/>
      <w:b/>
      <w:lang w:val="en-US" w:eastAsia="zh-CN"/>
    </w:rPr>
  </w:style>
  <w:style w:type="paragraph" w:customStyle="1" w:styleId="242">
    <w:name w:val="目录 41"/>
    <w:basedOn w:val="1"/>
    <w:next w:val="1"/>
    <w:unhideWhenUsed/>
    <w:qFormat/>
    <w:uiPriority w:val="39"/>
    <w:pPr>
      <w:ind w:left="1260"/>
    </w:pPr>
    <w:rPr>
      <w:rFonts w:ascii="Calibri" w:hAnsi="Calibri"/>
      <w:szCs w:val="22"/>
    </w:rPr>
  </w:style>
  <w:style w:type="paragraph" w:customStyle="1" w:styleId="243">
    <w:name w:val="索引标题1"/>
    <w:basedOn w:val="1"/>
    <w:next w:val="244"/>
    <w:qFormat/>
    <w:uiPriority w:val="0"/>
    <w:rPr>
      <w:rFonts w:ascii="Arial" w:hAnsi="Arial" w:cs="Arial"/>
      <w:b/>
      <w:bCs/>
    </w:rPr>
  </w:style>
  <w:style w:type="paragraph" w:customStyle="1" w:styleId="244">
    <w:name w:val="索引 11"/>
    <w:basedOn w:val="1"/>
    <w:next w:val="1"/>
    <w:qFormat/>
    <w:uiPriority w:val="0"/>
    <w:pPr>
      <w:widowControl/>
      <w:spacing w:line="270" w:lineRule="atLeast"/>
      <w:jc w:val="center"/>
    </w:pPr>
    <w:rPr>
      <w:rFonts w:ascii="宋体" w:hAnsi="宋体"/>
      <w:b/>
      <w:szCs w:val="18"/>
    </w:rPr>
  </w:style>
  <w:style w:type="paragraph" w:customStyle="1" w:styleId="245">
    <w:name w:val="副标题1"/>
    <w:basedOn w:val="1"/>
    <w:next w:val="1"/>
    <w:link w:val="246"/>
    <w:qFormat/>
    <w:uiPriority w:val="0"/>
    <w:pPr>
      <w:spacing w:before="240" w:after="60" w:line="312" w:lineRule="auto"/>
      <w:jc w:val="center"/>
      <w:outlineLvl w:val="1"/>
    </w:pPr>
    <w:rPr>
      <w:rFonts w:ascii="Cambria" w:hAnsi="Cambria"/>
      <w:b/>
      <w:bCs/>
      <w:sz w:val="32"/>
      <w:szCs w:val="32"/>
    </w:rPr>
  </w:style>
  <w:style w:type="character" w:customStyle="1" w:styleId="246">
    <w:name w:val="副标题 字符"/>
    <w:link w:val="245"/>
    <w:qFormat/>
    <w:uiPriority w:val="0"/>
    <w:rPr>
      <w:rFonts w:ascii="Cambria" w:hAnsi="Cambria"/>
      <w:b/>
      <w:bCs/>
      <w:sz w:val="32"/>
      <w:szCs w:val="32"/>
    </w:rPr>
  </w:style>
  <w:style w:type="paragraph" w:customStyle="1" w:styleId="247">
    <w:name w:val="目录 61"/>
    <w:basedOn w:val="1"/>
    <w:next w:val="1"/>
    <w:unhideWhenUsed/>
    <w:qFormat/>
    <w:uiPriority w:val="0"/>
    <w:pPr>
      <w:ind w:left="2100"/>
    </w:pPr>
    <w:rPr>
      <w:rFonts w:ascii="Calibri" w:hAnsi="Calibri"/>
      <w:szCs w:val="22"/>
    </w:rPr>
  </w:style>
  <w:style w:type="paragraph" w:customStyle="1" w:styleId="248">
    <w:name w:val="正文文本缩进 31"/>
    <w:basedOn w:val="1"/>
    <w:link w:val="249"/>
    <w:qFormat/>
    <w:uiPriority w:val="0"/>
    <w:pPr>
      <w:spacing w:after="120"/>
      <w:ind w:left="420"/>
    </w:pPr>
    <w:rPr>
      <w:sz w:val="16"/>
      <w:szCs w:val="16"/>
    </w:rPr>
  </w:style>
  <w:style w:type="character" w:customStyle="1" w:styleId="249">
    <w:name w:val="正文文本缩进 3 字符"/>
    <w:link w:val="248"/>
    <w:qFormat/>
    <w:uiPriority w:val="0"/>
    <w:rPr>
      <w:sz w:val="16"/>
      <w:szCs w:val="16"/>
    </w:rPr>
  </w:style>
  <w:style w:type="paragraph" w:customStyle="1" w:styleId="250">
    <w:name w:val="目录 21"/>
    <w:basedOn w:val="1"/>
    <w:next w:val="1"/>
    <w:qFormat/>
    <w:uiPriority w:val="39"/>
    <w:pPr>
      <w:ind w:left="420"/>
    </w:pPr>
    <w:rPr>
      <w:szCs w:val="20"/>
    </w:rPr>
  </w:style>
  <w:style w:type="paragraph" w:customStyle="1" w:styleId="251">
    <w:name w:val="目录 91"/>
    <w:basedOn w:val="1"/>
    <w:next w:val="1"/>
    <w:unhideWhenUsed/>
    <w:qFormat/>
    <w:uiPriority w:val="0"/>
    <w:pPr>
      <w:ind w:left="3360"/>
    </w:pPr>
    <w:rPr>
      <w:rFonts w:ascii="Calibri" w:hAnsi="Calibri"/>
      <w:szCs w:val="22"/>
    </w:rPr>
  </w:style>
  <w:style w:type="paragraph" w:customStyle="1" w:styleId="252">
    <w:name w:val="正文文本 211"/>
    <w:basedOn w:val="1"/>
    <w:link w:val="253"/>
    <w:qFormat/>
    <w:uiPriority w:val="0"/>
    <w:pPr>
      <w:spacing w:after="120" w:line="480" w:lineRule="auto"/>
      <w:ind w:firstLine="250"/>
    </w:pPr>
    <w:rPr>
      <w:sz w:val="24"/>
    </w:rPr>
  </w:style>
  <w:style w:type="character" w:customStyle="1" w:styleId="253">
    <w:name w:val="正文文本 2 字符"/>
    <w:link w:val="252"/>
    <w:qFormat/>
    <w:uiPriority w:val="0"/>
    <w:rPr>
      <w:sz w:val="24"/>
      <w:szCs w:val="24"/>
    </w:rPr>
  </w:style>
  <w:style w:type="paragraph" w:customStyle="1" w:styleId="254">
    <w:name w:val="HTML 预设格式1"/>
    <w:basedOn w:val="1"/>
    <w:link w:val="2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55">
    <w:name w:val="HTML 预设格式 字符"/>
    <w:link w:val="254"/>
    <w:qFormat/>
    <w:uiPriority w:val="0"/>
    <w:rPr>
      <w:rFonts w:ascii="宋体" w:hAnsi="宋体" w:cs="宋体"/>
      <w:sz w:val="24"/>
      <w:szCs w:val="24"/>
    </w:rPr>
  </w:style>
  <w:style w:type="paragraph" w:customStyle="1" w:styleId="256">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57">
    <w:name w:val="标题1"/>
    <w:basedOn w:val="1"/>
    <w:link w:val="258"/>
    <w:qFormat/>
    <w:uiPriority w:val="0"/>
    <w:pPr>
      <w:spacing w:before="240" w:after="60" w:line="360" w:lineRule="auto"/>
      <w:jc w:val="center"/>
      <w:outlineLvl w:val="0"/>
    </w:pPr>
    <w:rPr>
      <w:rFonts w:ascii="宋体" w:hAnsi="宋体"/>
      <w:b/>
      <w:bCs/>
      <w:sz w:val="32"/>
      <w:szCs w:val="32"/>
    </w:rPr>
  </w:style>
  <w:style w:type="character" w:customStyle="1" w:styleId="258">
    <w:name w:val="标题 字符"/>
    <w:link w:val="257"/>
    <w:qFormat/>
    <w:uiPriority w:val="0"/>
    <w:rPr>
      <w:rFonts w:ascii="宋体" w:hAnsi="宋体" w:cs="Arial"/>
      <w:b/>
      <w:bCs/>
      <w:sz w:val="32"/>
      <w:szCs w:val="32"/>
    </w:rPr>
  </w:style>
  <w:style w:type="paragraph" w:customStyle="1" w:styleId="259">
    <w:name w:val="批注主题1"/>
    <w:basedOn w:val="216"/>
    <w:next w:val="216"/>
    <w:link w:val="260"/>
    <w:qFormat/>
    <w:uiPriority w:val="0"/>
    <w:rPr>
      <w:b/>
      <w:bCs/>
    </w:rPr>
  </w:style>
  <w:style w:type="character" w:customStyle="1" w:styleId="260">
    <w:name w:val="批注主题 字符"/>
    <w:link w:val="259"/>
    <w:qFormat/>
    <w:uiPriority w:val="0"/>
    <w:rPr>
      <w:b/>
      <w:bCs/>
      <w:sz w:val="21"/>
      <w:szCs w:val="24"/>
    </w:rPr>
  </w:style>
  <w:style w:type="paragraph" w:customStyle="1" w:styleId="261">
    <w:name w:val="正文首行缩进1"/>
    <w:basedOn w:val="220"/>
    <w:link w:val="262"/>
    <w:qFormat/>
    <w:uiPriority w:val="0"/>
    <w:pPr>
      <w:spacing w:after="120" w:line="300" w:lineRule="auto"/>
      <w:ind w:firstLine="420"/>
      <w:jc w:val="both"/>
    </w:pPr>
    <w:rPr>
      <w:sz w:val="24"/>
      <w:szCs w:val="24"/>
    </w:rPr>
  </w:style>
  <w:style w:type="character" w:customStyle="1" w:styleId="262">
    <w:name w:val="正文首行缩进 字符"/>
    <w:link w:val="261"/>
    <w:qFormat/>
    <w:uiPriority w:val="0"/>
    <w:rPr>
      <w:rFonts w:ascii="方正大黑简体" w:eastAsia="方正大黑简体"/>
      <w:position w:val="6"/>
      <w:sz w:val="24"/>
      <w:szCs w:val="24"/>
      <w:lang w:val="en-US" w:eastAsia="zh-CN" w:bidi="ar-SA"/>
    </w:rPr>
  </w:style>
  <w:style w:type="paragraph" w:customStyle="1" w:styleId="263">
    <w:name w:val="正文首行缩进 21"/>
    <w:basedOn w:val="222"/>
    <w:link w:val="264"/>
    <w:qFormat/>
    <w:uiPriority w:val="0"/>
    <w:pPr>
      <w:spacing w:after="120" w:line="240" w:lineRule="auto"/>
      <w:ind w:left="420" w:firstLine="420"/>
    </w:pPr>
    <w:rPr>
      <w:rFonts w:ascii="Times New Roman" w:hAnsi="Times New Roman" w:eastAsia="宋体"/>
      <w:sz w:val="21"/>
      <w:szCs w:val="24"/>
    </w:rPr>
  </w:style>
  <w:style w:type="character" w:customStyle="1" w:styleId="264">
    <w:name w:val="正文首行缩进 2 字符"/>
    <w:link w:val="263"/>
    <w:qFormat/>
    <w:uiPriority w:val="0"/>
    <w:rPr>
      <w:sz w:val="21"/>
      <w:szCs w:val="24"/>
      <w:lang w:val="en-US" w:eastAsia="zh-CN" w:bidi="ar-SA"/>
    </w:rPr>
  </w:style>
  <w:style w:type="table" w:customStyle="1" w:styleId="265">
    <w:name w:val="网格型11"/>
    <w:basedOn w:val="197"/>
    <w:qFormat/>
    <w:uiPriority w:val="59"/>
    <w:pPr>
      <w:widowControl w:val="0"/>
      <w:jc w:val="both"/>
    </w:pPr>
  </w:style>
  <w:style w:type="table" w:customStyle="1" w:styleId="266">
    <w:name w:val="网格型 11"/>
    <w:basedOn w:val="197"/>
    <w:qFormat/>
    <w:uiPriority w:val="0"/>
    <w:pPr>
      <w:widowControl w:val="0"/>
      <w:jc w:val="both"/>
    </w:pPr>
  </w:style>
  <w:style w:type="table" w:customStyle="1" w:styleId="267">
    <w:name w:val="网格型 81"/>
    <w:basedOn w:val="197"/>
    <w:qFormat/>
    <w:uiPriority w:val="0"/>
    <w:pPr>
      <w:widowControl w:val="0"/>
      <w:spacing w:line="300" w:lineRule="auto"/>
      <w:ind w:firstLine="250"/>
      <w:jc w:val="both"/>
    </w:pPr>
  </w:style>
  <w:style w:type="table" w:customStyle="1" w:styleId="268">
    <w:name w:val="专业型1"/>
    <w:basedOn w:val="197"/>
    <w:qFormat/>
    <w:uiPriority w:val="0"/>
    <w:pPr>
      <w:widowControl w:val="0"/>
      <w:spacing w:line="300" w:lineRule="auto"/>
      <w:ind w:firstLine="250"/>
      <w:jc w:val="both"/>
    </w:pPr>
  </w:style>
  <w:style w:type="character" w:customStyle="1" w:styleId="269">
    <w:name w:val="要点1"/>
    <w:link w:val="1"/>
    <w:qFormat/>
    <w:uiPriority w:val="22"/>
    <w:rPr>
      <w:b/>
      <w:bCs/>
    </w:rPr>
  </w:style>
  <w:style w:type="character" w:customStyle="1" w:styleId="270">
    <w:name w:val="页码1"/>
    <w:link w:val="1"/>
    <w:qFormat/>
    <w:uiPriority w:val="99"/>
  </w:style>
  <w:style w:type="character" w:customStyle="1" w:styleId="271">
    <w:name w:val="已访问的超链接1"/>
    <w:link w:val="1"/>
    <w:qFormat/>
    <w:uiPriority w:val="99"/>
    <w:rPr>
      <w:color w:val="800080"/>
      <w:u w:val="single"/>
    </w:rPr>
  </w:style>
  <w:style w:type="character" w:customStyle="1" w:styleId="272">
    <w:name w:val="强调1"/>
    <w:link w:val="1"/>
    <w:qFormat/>
    <w:uiPriority w:val="0"/>
    <w:rPr>
      <w:b/>
      <w:bCs/>
    </w:rPr>
  </w:style>
  <w:style w:type="character" w:customStyle="1" w:styleId="273">
    <w:name w:val="HTML 打字机1"/>
    <w:link w:val="1"/>
    <w:qFormat/>
    <w:uiPriority w:val="0"/>
    <w:rPr>
      <w:rFonts w:ascii="黑体" w:hAnsi="Courier New" w:eastAsia="黑体" w:cs="Courier New"/>
      <w:sz w:val="14"/>
      <w:szCs w:val="14"/>
    </w:rPr>
  </w:style>
  <w:style w:type="character" w:customStyle="1" w:styleId="274">
    <w:name w:val="超链接1"/>
    <w:link w:val="1"/>
    <w:qFormat/>
    <w:uiPriority w:val="99"/>
    <w:rPr>
      <w:color w:val="0000FF"/>
      <w:u w:val="single"/>
    </w:rPr>
  </w:style>
  <w:style w:type="character" w:customStyle="1" w:styleId="275">
    <w:name w:val="批注引用1"/>
    <w:link w:val="1"/>
    <w:qFormat/>
    <w:uiPriority w:val="99"/>
    <w:rPr>
      <w:sz w:val="21"/>
      <w:szCs w:val="21"/>
    </w:rPr>
  </w:style>
  <w:style w:type="paragraph" w:customStyle="1" w:styleId="276">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77">
    <w:name w:val="gray_b"/>
    <w:link w:val="1"/>
    <w:qFormat/>
    <w:uiPriority w:val="0"/>
  </w:style>
  <w:style w:type="character" w:customStyle="1" w:styleId="278">
    <w:name w:val="unnamed31"/>
    <w:link w:val="1"/>
    <w:qFormat/>
    <w:uiPriority w:val="0"/>
    <w:rPr>
      <w:rFonts w:hint="eastAsia" w:ascii="宋体" w:hAnsi="宋体" w:eastAsia="宋体"/>
      <w:color w:val="000099"/>
      <w:spacing w:val="0"/>
      <w:sz w:val="18"/>
      <w:szCs w:val="18"/>
      <w:u w:val="none"/>
    </w:rPr>
  </w:style>
  <w:style w:type="character" w:customStyle="1" w:styleId="279">
    <w:name w:val="title_emph1"/>
    <w:link w:val="1"/>
    <w:qFormat/>
    <w:uiPriority w:val="0"/>
    <w:rPr>
      <w:rFonts w:ascii="Arial" w:hAnsi="Arial"/>
      <w:b/>
      <w:sz w:val="18"/>
    </w:rPr>
  </w:style>
  <w:style w:type="character" w:customStyle="1" w:styleId="280">
    <w:name w:val="华宇段落1 Char Char"/>
    <w:link w:val="1"/>
    <w:qFormat/>
    <w:uiPriority w:val="0"/>
    <w:rPr>
      <w:rFonts w:eastAsia="宋体"/>
      <w:sz w:val="24"/>
      <w:lang w:val="en-US" w:eastAsia="zh-CN"/>
    </w:rPr>
  </w:style>
  <w:style w:type="character" w:customStyle="1" w:styleId="281">
    <w:name w:val="s"/>
    <w:link w:val="1"/>
    <w:qFormat/>
    <w:uiPriority w:val="0"/>
  </w:style>
  <w:style w:type="character" w:customStyle="1" w:styleId="282">
    <w:name w:val="正文文本 3 Char1"/>
    <w:link w:val="1"/>
    <w:qFormat/>
    <w:uiPriority w:val="0"/>
    <w:rPr>
      <w:sz w:val="16"/>
      <w:szCs w:val="16"/>
    </w:rPr>
  </w:style>
  <w:style w:type="character" w:customStyle="1" w:styleId="283">
    <w:name w:val="不明显强调"/>
    <w:link w:val="1"/>
    <w:qFormat/>
    <w:uiPriority w:val="0"/>
    <w:rPr>
      <w:i/>
      <w:iCs/>
      <w:color w:val="808080"/>
    </w:rPr>
  </w:style>
  <w:style w:type="character" w:customStyle="1" w:styleId="284">
    <w:name w:val="style1"/>
    <w:link w:val="1"/>
    <w:qFormat/>
    <w:uiPriority w:val="0"/>
  </w:style>
  <w:style w:type="character" w:customStyle="1" w:styleId="285">
    <w:name w:val="maywed421"/>
    <w:link w:val="1"/>
    <w:qFormat/>
    <w:uiPriority w:val="0"/>
    <w:rPr>
      <w:color w:val="366FB6"/>
      <w:u w:val="none"/>
    </w:rPr>
  </w:style>
  <w:style w:type="character" w:customStyle="1" w:styleId="286">
    <w:name w:val="label"/>
    <w:link w:val="1"/>
    <w:qFormat/>
    <w:uiPriority w:val="0"/>
  </w:style>
  <w:style w:type="character" w:customStyle="1" w:styleId="287">
    <w:name w:val="xiangxicanshu_txt21"/>
    <w:link w:val="1"/>
    <w:qFormat/>
    <w:uiPriority w:val="0"/>
    <w:rPr>
      <w:rFonts w:ascii="Arial" w:hAnsi="Arial" w:cs="Arial"/>
      <w:color w:val="6F6F6F"/>
      <w:sz w:val="18"/>
      <w:szCs w:val="18"/>
    </w:rPr>
  </w:style>
  <w:style w:type="character" w:customStyle="1" w:styleId="288">
    <w:name w:val="普通 (Web) Char Char Char"/>
    <w:link w:val="1"/>
    <w:qFormat/>
    <w:uiPriority w:val="0"/>
    <w:rPr>
      <w:rFonts w:eastAsia="宋体"/>
      <w:sz w:val="24"/>
      <w:lang w:val="en-US" w:eastAsia="zh-CN"/>
    </w:rPr>
  </w:style>
  <w:style w:type="character" w:customStyle="1" w:styleId="289">
    <w:name w:val="Normal with Symbol Char"/>
    <w:link w:val="290"/>
    <w:qFormat/>
    <w:uiPriority w:val="0"/>
    <w:rPr>
      <w:rFonts w:ascii="Arial" w:hAnsi="Arial"/>
      <w:sz w:val="24"/>
      <w:szCs w:val="24"/>
    </w:rPr>
  </w:style>
  <w:style w:type="paragraph" w:customStyle="1" w:styleId="290">
    <w:name w:val="Normal with Symbol"/>
    <w:basedOn w:val="1"/>
    <w:link w:val="289"/>
    <w:qFormat/>
    <w:uiPriority w:val="0"/>
    <w:pPr>
      <w:widowControl/>
      <w:tabs>
        <w:tab w:val="left" w:pos="990"/>
      </w:tabs>
      <w:spacing w:before="120" w:after="120"/>
      <w:ind w:left="990" w:hanging="180"/>
      <w:jc w:val="left"/>
    </w:pPr>
    <w:rPr>
      <w:rFonts w:ascii="Arial" w:hAnsi="Arial"/>
      <w:sz w:val="24"/>
    </w:rPr>
  </w:style>
  <w:style w:type="character" w:customStyle="1" w:styleId="291">
    <w:name w:val="wenzi41"/>
    <w:link w:val="1"/>
    <w:qFormat/>
    <w:uiPriority w:val="0"/>
    <w:rPr>
      <w:b/>
      <w:bCs/>
      <w:color w:val="C52900"/>
      <w:sz w:val="18"/>
      <w:szCs w:val="18"/>
      <w:u w:val="none"/>
    </w:rPr>
  </w:style>
  <w:style w:type="character" w:customStyle="1" w:styleId="292">
    <w:name w:val="font41"/>
    <w:link w:val="1"/>
    <w:qFormat/>
    <w:uiPriority w:val="0"/>
    <w:rPr>
      <w:rFonts w:hint="eastAsia" w:ascii="宋体" w:hAnsi="宋体" w:eastAsia="宋体"/>
      <w:color w:val="FF0000"/>
      <w:sz w:val="21"/>
      <w:szCs w:val="21"/>
      <w:u w:val="none"/>
    </w:rPr>
  </w:style>
  <w:style w:type="character" w:customStyle="1" w:styleId="293">
    <w:name w:val="页眉 Char1"/>
    <w:link w:val="1"/>
    <w:qFormat/>
    <w:uiPriority w:val="0"/>
    <w:rPr>
      <w:sz w:val="18"/>
      <w:szCs w:val="18"/>
    </w:rPr>
  </w:style>
  <w:style w:type="character" w:customStyle="1" w:styleId="294">
    <w:name w:val="style21"/>
    <w:link w:val="1"/>
    <w:qFormat/>
    <w:uiPriority w:val="0"/>
    <w:rPr>
      <w:b/>
      <w:bCs/>
      <w:sz w:val="24"/>
      <w:szCs w:val="24"/>
    </w:rPr>
  </w:style>
  <w:style w:type="character" w:customStyle="1" w:styleId="295">
    <w:name w:val="newsbg1"/>
    <w:link w:val="1"/>
    <w:qFormat/>
    <w:uiPriority w:val="0"/>
  </w:style>
  <w:style w:type="character" w:customStyle="1" w:styleId="296">
    <w:name w:val="页脚 Char1"/>
    <w:link w:val="1"/>
    <w:qFormat/>
    <w:uiPriority w:val="0"/>
    <w:rPr>
      <w:sz w:val="18"/>
      <w:szCs w:val="18"/>
    </w:rPr>
  </w:style>
  <w:style w:type="character" w:customStyle="1" w:styleId="297">
    <w:name w:val="Default Char"/>
    <w:link w:val="298"/>
    <w:qFormat/>
    <w:uiPriority w:val="0"/>
    <w:rPr>
      <w:rFonts w:ascii="Futura Heavy" w:eastAsia="Futura Heavy"/>
      <w:color w:val="000000"/>
      <w:sz w:val="24"/>
      <w:szCs w:val="24"/>
      <w:lang w:val="en-US" w:eastAsia="zh-CN" w:bidi="ar-SA"/>
    </w:rPr>
  </w:style>
  <w:style w:type="paragraph" w:customStyle="1" w:styleId="298">
    <w:name w:val="Default"/>
    <w:link w:val="297"/>
    <w:qFormat/>
    <w:uiPriority w:val="0"/>
    <w:pPr>
      <w:widowControl w:val="0"/>
    </w:pPr>
    <w:rPr>
      <w:rFonts w:hint="default" w:ascii="Futura Heavy" w:hAnsi="Times New Roman" w:eastAsia="Futura Heavy" w:cs="Times New Roman"/>
      <w:color w:val="000000"/>
      <w:sz w:val="24"/>
      <w:szCs w:val="24"/>
      <w:lang w:val="en-US" w:eastAsia="zh-CN" w:bidi="ar-SA"/>
    </w:rPr>
  </w:style>
  <w:style w:type="character" w:customStyle="1" w:styleId="299">
    <w:name w:val="正文文本缩进 3 Char1"/>
    <w:link w:val="1"/>
    <w:qFormat/>
    <w:uiPriority w:val="0"/>
    <w:rPr>
      <w:sz w:val="16"/>
      <w:szCs w:val="16"/>
    </w:rPr>
  </w:style>
  <w:style w:type="character" w:customStyle="1" w:styleId="300">
    <w:name w:val="bei21"/>
    <w:link w:val="1"/>
    <w:qFormat/>
    <w:uiPriority w:val="0"/>
  </w:style>
  <w:style w:type="character" w:customStyle="1" w:styleId="301">
    <w:name w:val="Char Char5"/>
    <w:link w:val="1"/>
    <w:semiHidden/>
    <w:qFormat/>
    <w:uiPriority w:val="0"/>
    <w:rPr>
      <w:b/>
      <w:bCs/>
      <w:sz w:val="32"/>
      <w:szCs w:val="32"/>
    </w:rPr>
  </w:style>
  <w:style w:type="character" w:customStyle="1" w:styleId="302">
    <w:name w:val="NICMAN Body Text Char Char"/>
    <w:link w:val="1"/>
    <w:qFormat/>
    <w:uiPriority w:val="0"/>
    <w:rPr>
      <w:rFonts w:ascii="方正大黑简体" w:eastAsia="方正大黑简体"/>
      <w:position w:val="6"/>
      <w:sz w:val="30"/>
      <w:lang w:val="en-US" w:eastAsia="zh-CN" w:bidi="ar-SA"/>
    </w:rPr>
  </w:style>
  <w:style w:type="character" w:customStyle="1" w:styleId="303">
    <w:name w:val="No Spacing Char"/>
    <w:link w:val="304"/>
    <w:qFormat/>
    <w:uiPriority w:val="0"/>
    <w:rPr>
      <w:lang w:val="en-GB" w:eastAsia="en-US" w:bidi="ar-SA"/>
    </w:rPr>
  </w:style>
  <w:style w:type="paragraph" w:customStyle="1" w:styleId="304">
    <w:name w:val="无间隔1"/>
    <w:link w:val="303"/>
    <w:qFormat/>
    <w:uiPriority w:val="0"/>
    <w:pPr>
      <w:spacing w:line="240" w:lineRule="atLeast"/>
    </w:pPr>
    <w:rPr>
      <w:rFonts w:hint="default" w:ascii="Times New Roman" w:hAnsi="Times New Roman" w:eastAsia="宋体" w:cs="Times New Roman"/>
      <w:lang w:val="en-GB" w:eastAsia="en-US" w:bidi="ar-SA"/>
    </w:rPr>
  </w:style>
  <w:style w:type="character" w:customStyle="1" w:styleId="305">
    <w:name w:val="apple-style-span"/>
    <w:link w:val="1"/>
    <w:qFormat/>
    <w:uiPriority w:val="0"/>
  </w:style>
  <w:style w:type="character" w:customStyle="1" w:styleId="306">
    <w:name w:val="加点正文缩进 Char"/>
    <w:link w:val="307"/>
    <w:qFormat/>
    <w:uiPriority w:val="0"/>
    <w:rPr>
      <w:rFonts w:ascii="宋体" w:hAnsi="宋体"/>
      <w:sz w:val="24"/>
      <w:szCs w:val="24"/>
    </w:rPr>
  </w:style>
  <w:style w:type="paragraph" w:customStyle="1" w:styleId="307">
    <w:name w:val="加点正文缩进"/>
    <w:basedOn w:val="1"/>
    <w:link w:val="306"/>
    <w:qFormat/>
    <w:uiPriority w:val="0"/>
    <w:pPr>
      <w:tabs>
        <w:tab w:val="left" w:pos="840"/>
      </w:tabs>
      <w:spacing w:line="300" w:lineRule="auto"/>
      <w:ind w:left="840" w:hanging="420"/>
    </w:pPr>
    <w:rPr>
      <w:rFonts w:ascii="宋体" w:hAnsi="宋体"/>
      <w:sz w:val="24"/>
    </w:rPr>
  </w:style>
  <w:style w:type="character" w:customStyle="1" w:styleId="308">
    <w:name w:val="标题 6 Char1"/>
    <w:link w:val="1"/>
    <w:qFormat/>
    <w:uiPriority w:val="0"/>
    <w:rPr>
      <w:rFonts w:ascii="Cambria" w:hAnsi="Cambria" w:eastAsia="宋体" w:cs="Times New Roman"/>
      <w:b/>
      <w:bCs/>
      <w:sz w:val="24"/>
      <w:szCs w:val="24"/>
    </w:rPr>
  </w:style>
  <w:style w:type="character" w:customStyle="1" w:styleId="309">
    <w:name w:val="indetail1"/>
    <w:link w:val="1"/>
    <w:qFormat/>
    <w:uiPriority w:val="0"/>
    <w:rPr>
      <w:sz w:val="18"/>
      <w:szCs w:val="18"/>
    </w:rPr>
  </w:style>
  <w:style w:type="character" w:customStyle="1" w:styleId="310">
    <w:name w:val="font01"/>
    <w:link w:val="1"/>
    <w:qFormat/>
    <w:uiPriority w:val="0"/>
    <w:rPr>
      <w:rFonts w:ascii="Times New Roman" w:hAnsi="Times New Roman" w:cs="Times New Roman"/>
      <w:color w:val="000000"/>
      <w:sz w:val="24"/>
      <w:szCs w:val="24"/>
      <w:u w:val="none"/>
    </w:rPr>
  </w:style>
  <w:style w:type="character" w:customStyle="1" w:styleId="311">
    <w:name w:val="param_td12"/>
    <w:link w:val="1"/>
    <w:qFormat/>
    <w:uiPriority w:val="0"/>
  </w:style>
  <w:style w:type="character" w:customStyle="1" w:styleId="312">
    <w:name w:val="方案正文 Char"/>
    <w:link w:val="313"/>
    <w:qFormat/>
    <w:uiPriority w:val="0"/>
    <w:rPr>
      <w:sz w:val="24"/>
      <w:szCs w:val="24"/>
    </w:rPr>
  </w:style>
  <w:style w:type="paragraph" w:customStyle="1" w:styleId="313">
    <w:name w:val="方案正文"/>
    <w:basedOn w:val="1"/>
    <w:link w:val="312"/>
    <w:qFormat/>
    <w:uiPriority w:val="0"/>
    <w:pPr>
      <w:spacing w:line="360" w:lineRule="auto"/>
    </w:pPr>
    <w:rPr>
      <w:sz w:val="24"/>
    </w:rPr>
  </w:style>
  <w:style w:type="character" w:customStyle="1" w:styleId="314">
    <w:name w:val="Formatvorlage Formatvorlage Links:  0&quot; Hängend:  13.5 ch + MingLiU Zchn"/>
    <w:link w:val="315"/>
    <w:qFormat/>
    <w:uiPriority w:val="0"/>
    <w:rPr>
      <w:rFonts w:ascii="Arial" w:hAnsi="Arial" w:eastAsia="Times New Roman"/>
      <w:sz w:val="24"/>
    </w:rPr>
  </w:style>
  <w:style w:type="paragraph" w:customStyle="1" w:styleId="315">
    <w:name w:val="Formatvorlage Formatvorlage Links:  0&quot; Hängend:  13.5 ch + MingLiU"/>
    <w:basedOn w:val="1"/>
    <w:link w:val="314"/>
    <w:qFormat/>
    <w:uiPriority w:val="0"/>
    <w:pPr>
      <w:ind w:left="3240" w:hanging="3240"/>
    </w:pPr>
    <w:rPr>
      <w:rFonts w:ascii="Arial" w:hAnsi="Arial" w:eastAsia="Times New Roman"/>
      <w:sz w:val="24"/>
      <w:szCs w:val="20"/>
    </w:rPr>
  </w:style>
  <w:style w:type="character" w:customStyle="1" w:styleId="316">
    <w:name w:val="标题 7 Char1"/>
    <w:link w:val="1"/>
    <w:qFormat/>
    <w:uiPriority w:val="0"/>
    <w:rPr>
      <w:b/>
      <w:bCs/>
      <w:sz w:val="24"/>
      <w:szCs w:val="24"/>
    </w:rPr>
  </w:style>
  <w:style w:type="character" w:customStyle="1" w:styleId="317">
    <w:name w:val="h3 Char1"/>
    <w:link w:val="1"/>
    <w:qFormat/>
    <w:uiPriority w:val="0"/>
    <w:rPr>
      <w:rFonts w:ascii="宋体" w:hAnsi="宋体" w:eastAsia="宋体"/>
      <w:sz w:val="28"/>
      <w:lang w:val="en-US" w:eastAsia="zh-CN" w:bidi="ar-SA"/>
    </w:rPr>
  </w:style>
  <w:style w:type="character" w:customStyle="1" w:styleId="318">
    <w:name w:val="td1301"/>
    <w:link w:val="1"/>
    <w:qFormat/>
    <w:uiPriority w:val="0"/>
  </w:style>
  <w:style w:type="character" w:customStyle="1" w:styleId="319">
    <w:name w:val="11"/>
    <w:link w:val="1"/>
    <w:qFormat/>
    <w:uiPriority w:val="0"/>
    <w:rPr>
      <w:sz w:val="36"/>
      <w:szCs w:val="36"/>
    </w:rPr>
  </w:style>
  <w:style w:type="character" w:customStyle="1" w:styleId="320">
    <w:name w:val="zi61"/>
    <w:link w:val="1"/>
    <w:qFormat/>
    <w:uiPriority w:val="0"/>
    <w:rPr>
      <w:b/>
      <w:bCs/>
      <w:color w:val="FF0000"/>
      <w:sz w:val="24"/>
      <w:szCs w:val="24"/>
      <w:u w:val="none"/>
    </w:rPr>
  </w:style>
  <w:style w:type="character" w:customStyle="1" w:styleId="321">
    <w:name w:val="标书正文格式 Char1"/>
    <w:link w:val="322"/>
    <w:qFormat/>
    <w:uiPriority w:val="0"/>
    <w:rPr>
      <w:rFonts w:eastAsia="楷体_GB2312"/>
      <w:sz w:val="24"/>
      <w:szCs w:val="24"/>
      <w:lang w:val="en-US" w:eastAsia="zh-CN" w:bidi="ar-SA"/>
    </w:rPr>
  </w:style>
  <w:style w:type="paragraph" w:customStyle="1" w:styleId="322">
    <w:name w:val="标书正文格式"/>
    <w:link w:val="321"/>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23">
    <w:name w:val="digest1"/>
    <w:link w:val="1"/>
    <w:qFormat/>
    <w:uiPriority w:val="0"/>
    <w:rPr>
      <w:rFonts w:eastAsia="宋体"/>
      <w:color w:val="3A4343"/>
      <w:sz w:val="20"/>
      <w:lang w:val="en-US" w:eastAsia="zh-CN"/>
    </w:rPr>
  </w:style>
  <w:style w:type="character" w:customStyle="1" w:styleId="324">
    <w:name w:val="rmv1"/>
    <w:link w:val="1"/>
    <w:qFormat/>
    <w:uiPriority w:val="0"/>
  </w:style>
  <w:style w:type="character" w:customStyle="1" w:styleId="325">
    <w:name w:val="纯文本 Char1"/>
    <w:link w:val="1"/>
    <w:qFormat/>
    <w:uiPriority w:val="0"/>
    <w:rPr>
      <w:rFonts w:ascii="宋体" w:hAnsi="Courier New" w:cs="Courier New"/>
      <w:sz w:val="21"/>
      <w:szCs w:val="21"/>
    </w:rPr>
  </w:style>
  <w:style w:type="character" w:customStyle="1" w:styleId="326">
    <w:name w:val="info4"/>
    <w:link w:val="1"/>
    <w:qFormat/>
    <w:uiPriority w:val="0"/>
  </w:style>
  <w:style w:type="character" w:customStyle="1" w:styleId="327">
    <w:name w:val="文档结构图 Char1"/>
    <w:link w:val="1"/>
    <w:qFormat/>
    <w:uiPriority w:val="0"/>
    <w:rPr>
      <w:rFonts w:ascii="宋体"/>
      <w:sz w:val="18"/>
      <w:szCs w:val="18"/>
    </w:rPr>
  </w:style>
  <w:style w:type="character" w:customStyle="1" w:styleId="328">
    <w:name w:val="释义正文2"/>
    <w:link w:val="1"/>
    <w:qFormat/>
    <w:uiPriority w:val="0"/>
    <w:rPr>
      <w:sz w:val="24"/>
    </w:rPr>
  </w:style>
  <w:style w:type="character" w:customStyle="1" w:styleId="329">
    <w:name w:val="unnamed101"/>
    <w:link w:val="1"/>
    <w:qFormat/>
    <w:uiPriority w:val="0"/>
    <w:rPr>
      <w:sz w:val="20"/>
      <w:szCs w:val="20"/>
    </w:rPr>
  </w:style>
  <w:style w:type="character" w:customStyle="1" w:styleId="330">
    <w:name w:val="style141"/>
    <w:link w:val="1"/>
    <w:qFormat/>
    <w:uiPriority w:val="0"/>
    <w:rPr>
      <w:rFonts w:hint="eastAsia" w:ascii="黑体" w:eastAsia="黑体"/>
      <w:b/>
      <w:bCs/>
      <w:color w:val="BE4040"/>
      <w:sz w:val="41"/>
      <w:szCs w:val="41"/>
    </w:rPr>
  </w:style>
  <w:style w:type="character" w:customStyle="1" w:styleId="331">
    <w:name w:val="line"/>
    <w:link w:val="1"/>
    <w:qFormat/>
    <w:uiPriority w:val="0"/>
  </w:style>
  <w:style w:type="character" w:customStyle="1" w:styleId="332">
    <w:name w:val="Char Char2"/>
    <w:link w:val="1"/>
    <w:semiHidden/>
    <w:qFormat/>
    <w:uiPriority w:val="0"/>
    <w:rPr>
      <w:rFonts w:ascii="Cambria" w:hAnsi="Cambria" w:eastAsia="宋体" w:cs="Times New Roman"/>
      <w:b/>
      <w:bCs/>
      <w:sz w:val="24"/>
      <w:szCs w:val="24"/>
    </w:rPr>
  </w:style>
  <w:style w:type="character" w:customStyle="1" w:styleId="333">
    <w:name w:val="p_inzi_cu1"/>
    <w:link w:val="1"/>
    <w:qFormat/>
    <w:uiPriority w:val="0"/>
    <w:rPr>
      <w:b/>
      <w:bCs/>
      <w:color w:val="171717"/>
      <w:sz w:val="17"/>
      <w:szCs w:val="17"/>
    </w:rPr>
  </w:style>
  <w:style w:type="character" w:customStyle="1" w:styleId="334">
    <w:name w:val="style101"/>
    <w:link w:val="1"/>
    <w:qFormat/>
    <w:uiPriority w:val="0"/>
    <w:rPr>
      <w:rFonts w:ascii="Arial" w:hAnsi="Arial" w:cs="Arial"/>
      <w:b/>
      <w:bCs/>
      <w:color w:val="003272"/>
      <w:sz w:val="36"/>
      <w:szCs w:val="36"/>
    </w:rPr>
  </w:style>
  <w:style w:type="character" w:customStyle="1" w:styleId="335">
    <w:name w:val="style2"/>
    <w:link w:val="1"/>
    <w:qFormat/>
    <w:uiPriority w:val="0"/>
  </w:style>
  <w:style w:type="character" w:customStyle="1" w:styleId="336">
    <w:name w:val="grame"/>
    <w:link w:val="1"/>
    <w:qFormat/>
    <w:uiPriority w:val="0"/>
  </w:style>
  <w:style w:type="character" w:customStyle="1" w:styleId="337">
    <w:name w:val="样式 仿宋_GB2312 四号 黑色"/>
    <w:link w:val="1"/>
    <w:qFormat/>
    <w:uiPriority w:val="0"/>
    <w:rPr>
      <w:rFonts w:ascii="仿宋_GB2312" w:hAnsi="仿宋_GB2312" w:eastAsia="仿宋_GB2312"/>
      <w:color w:val="000000"/>
      <w:sz w:val="24"/>
    </w:rPr>
  </w:style>
  <w:style w:type="character" w:customStyle="1" w:styleId="338">
    <w:name w:val="Char Char4"/>
    <w:link w:val="1"/>
    <w:semiHidden/>
    <w:qFormat/>
    <w:uiPriority w:val="0"/>
    <w:rPr>
      <w:rFonts w:ascii="Cambria" w:hAnsi="Cambria" w:eastAsia="宋体" w:cs="Times New Roman"/>
      <w:b/>
      <w:bCs/>
      <w:sz w:val="28"/>
      <w:szCs w:val="28"/>
    </w:rPr>
  </w:style>
  <w:style w:type="character" w:customStyle="1" w:styleId="339">
    <w:name w:val="titleblack14px1"/>
    <w:link w:val="1"/>
    <w:qFormat/>
    <w:uiPriority w:val="0"/>
    <w:rPr>
      <w:b/>
      <w:color w:val="000000"/>
      <w:sz w:val="28"/>
    </w:rPr>
  </w:style>
  <w:style w:type="character" w:customStyle="1" w:styleId="340">
    <w:name w:val="txt1"/>
    <w:link w:val="1"/>
    <w:qFormat/>
    <w:uiPriority w:val="0"/>
  </w:style>
  <w:style w:type="character" w:customStyle="1" w:styleId="341">
    <w:name w:val="hang1"/>
    <w:link w:val="1"/>
    <w:qFormat/>
    <w:uiPriority w:val="0"/>
  </w:style>
  <w:style w:type="character" w:customStyle="1" w:styleId="342">
    <w:name w:val="para"/>
    <w:link w:val="1"/>
    <w:qFormat/>
    <w:uiPriority w:val="0"/>
  </w:style>
  <w:style w:type="character" w:customStyle="1" w:styleId="343">
    <w:name w:val="正文文本 2 Char1"/>
    <w:link w:val="1"/>
    <w:qFormat/>
    <w:uiPriority w:val="0"/>
    <w:rPr>
      <w:sz w:val="21"/>
      <w:szCs w:val="24"/>
    </w:rPr>
  </w:style>
  <w:style w:type="character" w:customStyle="1" w:styleId="344">
    <w:name w:val="Char Char3"/>
    <w:link w:val="1"/>
    <w:semiHidden/>
    <w:qFormat/>
    <w:uiPriority w:val="0"/>
    <w:rPr>
      <w:b/>
      <w:bCs/>
      <w:sz w:val="28"/>
      <w:szCs w:val="28"/>
    </w:rPr>
  </w:style>
  <w:style w:type="character" w:customStyle="1" w:styleId="345">
    <w:name w:val="font-12"/>
    <w:link w:val="1"/>
    <w:qFormat/>
    <w:uiPriority w:val="0"/>
  </w:style>
  <w:style w:type="character" w:customStyle="1" w:styleId="346">
    <w:name w:val="p_inzi1"/>
    <w:link w:val="1"/>
    <w:qFormat/>
    <w:uiPriority w:val="0"/>
    <w:rPr>
      <w:color w:val="171717"/>
      <w:sz w:val="17"/>
      <w:szCs w:val="17"/>
    </w:rPr>
  </w:style>
  <w:style w:type="character" w:customStyle="1" w:styleId="347">
    <w:name w:val="正文文本 3 Char2"/>
    <w:link w:val="1"/>
    <w:qFormat/>
    <w:uiPriority w:val="0"/>
    <w:rPr>
      <w:sz w:val="16"/>
      <w:szCs w:val="16"/>
    </w:rPr>
  </w:style>
  <w:style w:type="character" w:customStyle="1" w:styleId="348">
    <w:name w:val="xiangxicanshu1"/>
    <w:link w:val="1"/>
    <w:qFormat/>
    <w:uiPriority w:val="0"/>
    <w:rPr>
      <w:rFonts w:ascii="ˎ̥" w:hAnsi="ˎ̥"/>
      <w:b/>
      <w:bCs/>
      <w:color w:val="6F6F6F"/>
      <w:sz w:val="18"/>
      <w:szCs w:val="18"/>
    </w:rPr>
  </w:style>
  <w:style w:type="character" w:customStyle="1" w:styleId="349">
    <w:name w:val="ca-0"/>
    <w:link w:val="1"/>
    <w:qFormat/>
    <w:uiPriority w:val="0"/>
  </w:style>
  <w:style w:type="character" w:customStyle="1" w:styleId="350">
    <w:name w:val="ct-def21"/>
    <w:link w:val="1"/>
    <w:qFormat/>
    <w:uiPriority w:val="0"/>
    <w:rPr>
      <w:rFonts w:hint="eastAsia" w:ascii="宋体" w:hAnsi="宋体" w:eastAsia="宋体"/>
      <w:color w:val="000000"/>
      <w:spacing w:val="0"/>
      <w:sz w:val="18"/>
      <w:u w:val="none"/>
    </w:rPr>
  </w:style>
  <w:style w:type="character" w:customStyle="1" w:styleId="351">
    <w:name w:val="标题 1 Char"/>
    <w:link w:val="1"/>
    <w:qFormat/>
    <w:uiPriority w:val="0"/>
    <w:rPr>
      <w:b/>
      <w:bCs/>
      <w:sz w:val="44"/>
      <w:szCs w:val="44"/>
    </w:rPr>
  </w:style>
  <w:style w:type="character" w:customStyle="1" w:styleId="352">
    <w:name w:val="正文文本缩进 2 Char1"/>
    <w:link w:val="1"/>
    <w:qFormat/>
    <w:uiPriority w:val="0"/>
    <w:rPr>
      <w:sz w:val="21"/>
      <w:szCs w:val="24"/>
    </w:rPr>
  </w:style>
  <w:style w:type="character" w:customStyle="1" w:styleId="353">
    <w:name w:val="第一章 标题 2 Char Char"/>
    <w:link w:val="1"/>
    <w:qFormat/>
    <w:uiPriority w:val="0"/>
    <w:rPr>
      <w:rFonts w:ascii="Arial" w:hAnsi="Arial" w:eastAsia="黑体" w:cs="Times New Roman"/>
      <w:b/>
      <w:bCs/>
      <w:sz w:val="32"/>
      <w:szCs w:val="32"/>
    </w:rPr>
  </w:style>
  <w:style w:type="character" w:customStyle="1" w:styleId="354">
    <w:name w:val="maintext1"/>
    <w:link w:val="1"/>
    <w:qFormat/>
    <w:uiPriority w:val="0"/>
    <w:rPr>
      <w:rFonts w:ascii="ˎ̥" w:hAnsi="ˎ̥"/>
      <w:color w:val="000000"/>
      <w:spacing w:val="24"/>
      <w:sz w:val="20"/>
      <w:szCs w:val="20"/>
    </w:rPr>
  </w:style>
  <w:style w:type="character" w:customStyle="1" w:styleId="355">
    <w:name w:val="Plain Text Char Char"/>
    <w:link w:val="356"/>
    <w:qFormat/>
    <w:uiPriority w:val="0"/>
    <w:rPr>
      <w:rFonts w:ascii="宋体" w:hAnsi="Courier New" w:eastAsia="楷体_GB2312"/>
      <w:sz w:val="28"/>
    </w:rPr>
  </w:style>
  <w:style w:type="paragraph" w:customStyle="1" w:styleId="356">
    <w:name w:val="纯文本1"/>
    <w:basedOn w:val="1"/>
    <w:link w:val="355"/>
    <w:qFormat/>
    <w:uiPriority w:val="0"/>
    <w:rPr>
      <w:rFonts w:ascii="宋体" w:hAnsi="Courier New" w:eastAsia="楷体_GB2312"/>
      <w:sz w:val="28"/>
      <w:szCs w:val="20"/>
    </w:rPr>
  </w:style>
  <w:style w:type="character" w:customStyle="1" w:styleId="357">
    <w:name w:val="letter list Char"/>
    <w:link w:val="1"/>
    <w:qFormat/>
    <w:uiPriority w:val="0"/>
    <w:rPr>
      <w:rFonts w:ascii="宋体" w:hAnsi="宋体"/>
      <w:b/>
      <w:bCs/>
      <w:sz w:val="24"/>
      <w:szCs w:val="24"/>
    </w:rPr>
  </w:style>
  <w:style w:type="character" w:customStyle="1" w:styleId="358">
    <w:name w:val="日期 Char1"/>
    <w:link w:val="1"/>
    <w:qFormat/>
    <w:uiPriority w:val="0"/>
    <w:rPr>
      <w:sz w:val="21"/>
      <w:szCs w:val="24"/>
    </w:rPr>
  </w:style>
  <w:style w:type="character" w:customStyle="1" w:styleId="359">
    <w:name w:val="Char Char Char Char Char Char Char Char"/>
    <w:link w:val="1"/>
    <w:qFormat/>
    <w:uiPriority w:val="0"/>
    <w:rPr>
      <w:rFonts w:ascii="Tahoma" w:hAnsi="Tahoma" w:eastAsia="宋体"/>
      <w:sz w:val="24"/>
      <w:lang w:val="en-US" w:eastAsia="zh-CN"/>
    </w:rPr>
  </w:style>
  <w:style w:type="character" w:customStyle="1" w:styleId="360">
    <w:name w:val="标题 5 Char1"/>
    <w:link w:val="1"/>
    <w:qFormat/>
    <w:uiPriority w:val="0"/>
    <w:rPr>
      <w:b/>
      <w:bCs/>
      <w:sz w:val="28"/>
      <w:szCs w:val="28"/>
    </w:rPr>
  </w:style>
  <w:style w:type="character" w:customStyle="1" w:styleId="361">
    <w:name w:val="h3 Char"/>
    <w:link w:val="1"/>
    <w:qFormat/>
    <w:uiPriority w:val="0"/>
    <w:rPr>
      <w:rFonts w:ascii="宋体" w:hAnsi="宋体" w:eastAsia="宋体"/>
      <w:sz w:val="28"/>
      <w:lang w:val="en-US" w:eastAsia="zh-CN" w:bidi="ar-SA"/>
    </w:rPr>
  </w:style>
  <w:style w:type="character" w:customStyle="1" w:styleId="362">
    <w:name w:val="保驾"/>
    <w:link w:val="1"/>
    <w:qFormat/>
    <w:uiPriority w:val="0"/>
    <w:rPr>
      <w:sz w:val="18"/>
    </w:rPr>
  </w:style>
  <w:style w:type="character" w:customStyle="1" w:styleId="363">
    <w:name w:val="正文首行缩进 Char1"/>
    <w:link w:val="1"/>
    <w:qFormat/>
    <w:uiPriority w:val="0"/>
    <w:rPr>
      <w:rFonts w:hAnsi="Times New Roman" w:cs="Times New Roman"/>
      <w:sz w:val="24"/>
      <w:szCs w:val="24"/>
      <w:lang w:val="en-US" w:eastAsia="zh-CN" w:bidi="ar-SA"/>
    </w:rPr>
  </w:style>
  <w:style w:type="character" w:customStyle="1" w:styleId="364">
    <w:name w:val="标准正文 Char Char"/>
    <w:link w:val="365"/>
    <w:qFormat/>
    <w:uiPriority w:val="0"/>
    <w:rPr>
      <w:rFonts w:ascii="仿宋_GB2312" w:eastAsia="仿宋_GB2312"/>
      <w:sz w:val="24"/>
      <w:lang w:val="en-US" w:eastAsia="zh-CN" w:bidi="ar-SA"/>
    </w:rPr>
  </w:style>
  <w:style w:type="paragraph" w:customStyle="1" w:styleId="365">
    <w:name w:val="标准正文 Char"/>
    <w:basedOn w:val="1"/>
    <w:link w:val="364"/>
    <w:qFormat/>
    <w:uiPriority w:val="0"/>
    <w:pPr>
      <w:spacing w:line="288" w:lineRule="auto"/>
    </w:pPr>
    <w:rPr>
      <w:rFonts w:ascii="仿宋_GB2312" w:eastAsia="仿宋_GB2312"/>
      <w:sz w:val="24"/>
      <w:szCs w:val="20"/>
    </w:rPr>
  </w:style>
  <w:style w:type="character" w:customStyle="1" w:styleId="366">
    <w:name w:val="15"/>
    <w:link w:val="1"/>
    <w:qFormat/>
    <w:uiPriority w:val="0"/>
  </w:style>
  <w:style w:type="character" w:customStyle="1" w:styleId="367">
    <w:name w:val="Char Char"/>
    <w:link w:val="1"/>
    <w:qFormat/>
    <w:uiPriority w:val="0"/>
    <w:rPr>
      <w:rFonts w:ascii="Cambria" w:hAnsi="Cambria"/>
      <w:b/>
      <w:bCs/>
      <w:sz w:val="32"/>
      <w:szCs w:val="32"/>
    </w:rPr>
  </w:style>
  <w:style w:type="character" w:customStyle="1" w:styleId="368">
    <w:name w:val="标题 8 Char1"/>
    <w:link w:val="1"/>
    <w:qFormat/>
    <w:uiPriority w:val="0"/>
    <w:rPr>
      <w:rFonts w:ascii="Cambria" w:hAnsi="Cambria" w:eastAsia="宋体" w:cs="Times New Roman"/>
      <w:sz w:val="24"/>
      <w:szCs w:val="24"/>
    </w:rPr>
  </w:style>
  <w:style w:type="character" w:customStyle="1" w:styleId="369">
    <w:name w:val="css_041a1"/>
    <w:link w:val="1"/>
    <w:qFormat/>
    <w:uiPriority w:val="0"/>
    <w:rPr>
      <w:color w:val="0033CC"/>
      <w:sz w:val="18"/>
      <w:szCs w:val="18"/>
    </w:rPr>
  </w:style>
  <w:style w:type="character" w:customStyle="1" w:styleId="370">
    <w:name w:val="ca-1"/>
    <w:link w:val="1"/>
    <w:qFormat/>
    <w:uiPriority w:val="0"/>
  </w:style>
  <w:style w:type="character" w:customStyle="1" w:styleId="371">
    <w:name w:val="unnamed2"/>
    <w:link w:val="1"/>
    <w:qFormat/>
    <w:uiPriority w:val="0"/>
  </w:style>
  <w:style w:type="character" w:customStyle="1" w:styleId="372">
    <w:name w:val="正文文本缩进 Char1"/>
    <w:link w:val="1"/>
    <w:qFormat/>
    <w:uiPriority w:val="0"/>
    <w:rPr>
      <w:sz w:val="21"/>
      <w:szCs w:val="24"/>
    </w:rPr>
  </w:style>
  <w:style w:type="character" w:customStyle="1" w:styleId="373">
    <w:name w:val="不用8 Char"/>
    <w:link w:val="1"/>
    <w:qFormat/>
    <w:uiPriority w:val="0"/>
    <w:rPr>
      <w:rFonts w:ascii="Arial" w:hAnsi="Arial" w:eastAsia="黑体"/>
      <w:sz w:val="24"/>
      <w:szCs w:val="24"/>
      <w:lang w:bidi="he-IL"/>
    </w:rPr>
  </w:style>
  <w:style w:type="character" w:customStyle="1" w:styleId="374">
    <w:name w:val="Char Char1"/>
    <w:link w:val="1"/>
    <w:qFormat/>
    <w:uiPriority w:val="0"/>
    <w:rPr>
      <w:rFonts w:ascii="宋体" w:hAnsi="宋体" w:eastAsia="宋体"/>
      <w:sz w:val="24"/>
      <w:szCs w:val="24"/>
      <w:lang w:val="en-US" w:eastAsia="zh-CN" w:bidi="ar-SA"/>
    </w:rPr>
  </w:style>
  <w:style w:type="character" w:customStyle="1" w:styleId="375">
    <w:name w:val="正文文本 Char1"/>
    <w:link w:val="1"/>
    <w:qFormat/>
    <w:uiPriority w:val="0"/>
    <w:rPr>
      <w:sz w:val="21"/>
      <w:szCs w:val="24"/>
    </w:rPr>
  </w:style>
  <w:style w:type="character" w:customStyle="1" w:styleId="376">
    <w:name w:val="Char Char Char Char Char Char Char Char Char"/>
    <w:link w:val="377"/>
    <w:qFormat/>
    <w:uiPriority w:val="0"/>
    <w:rPr>
      <w:rFonts w:ascii="Tahoma" w:hAnsi="Tahoma"/>
      <w:sz w:val="24"/>
    </w:rPr>
  </w:style>
  <w:style w:type="paragraph" w:customStyle="1" w:styleId="377">
    <w:name w:val="Char Char Char Char Char Char Char"/>
    <w:basedOn w:val="1"/>
    <w:link w:val="376"/>
    <w:qFormat/>
    <w:uiPriority w:val="0"/>
    <w:pPr>
      <w:spacing w:line="360" w:lineRule="auto"/>
      <w:ind w:firstLine="480"/>
    </w:pPr>
    <w:rPr>
      <w:rFonts w:ascii="Tahoma" w:hAnsi="Tahoma"/>
      <w:sz w:val="24"/>
      <w:szCs w:val="20"/>
    </w:rPr>
  </w:style>
  <w:style w:type="character" w:customStyle="1" w:styleId="378">
    <w:name w:val="style2 style26"/>
    <w:link w:val="1"/>
    <w:qFormat/>
    <w:uiPriority w:val="0"/>
  </w:style>
  <w:style w:type="character" w:customStyle="1" w:styleId="379">
    <w:name w:val="lh201"/>
    <w:link w:val="1"/>
    <w:qFormat/>
    <w:uiPriority w:val="0"/>
    <w:rPr>
      <w:color w:val="666666"/>
    </w:rPr>
  </w:style>
  <w:style w:type="character" w:customStyle="1" w:styleId="380">
    <w:name w:val="正文缩进 Char1"/>
    <w:link w:val="1"/>
    <w:qFormat/>
    <w:uiPriority w:val="0"/>
    <w:rPr>
      <w:rFonts w:eastAsia="楷体_GB2312"/>
      <w:sz w:val="24"/>
      <w:lang w:bidi="ar-SA"/>
    </w:rPr>
  </w:style>
  <w:style w:type="character" w:customStyle="1" w:styleId="381">
    <w:name w:val="Char Char6"/>
    <w:link w:val="1"/>
    <w:qFormat/>
    <w:uiPriority w:val="0"/>
    <w:rPr>
      <w:rFonts w:eastAsia="宋体"/>
      <w:b/>
      <w:bCs/>
      <w:sz w:val="44"/>
      <w:szCs w:val="44"/>
      <w:lang w:val="en-US" w:eastAsia="zh-CN" w:bidi="ar-SA"/>
    </w:rPr>
  </w:style>
  <w:style w:type="paragraph" w:customStyle="1" w:styleId="382">
    <w:name w:val="_Style 253"/>
    <w:basedOn w:val="222"/>
    <w:next w:val="263"/>
    <w:qFormat/>
    <w:uiPriority w:val="0"/>
    <w:pPr>
      <w:spacing w:after="120" w:line="240" w:lineRule="auto"/>
      <w:ind w:left="420" w:firstLine="420"/>
    </w:pPr>
    <w:rPr>
      <w:rFonts w:ascii="Times New Roman" w:hAnsi="Times New Roman" w:eastAsia="宋体"/>
      <w:sz w:val="21"/>
      <w:szCs w:val="24"/>
    </w:rPr>
  </w:style>
  <w:style w:type="paragraph" w:customStyle="1" w:styleId="383">
    <w:name w:val="Char Char1 Char Char Char Char Char Char Char"/>
    <w:basedOn w:val="1"/>
    <w:qFormat/>
    <w:uiPriority w:val="0"/>
    <w:rPr>
      <w:rFonts w:ascii="Tahoma" w:hAnsi="Tahoma"/>
      <w:sz w:val="24"/>
      <w:szCs w:val="20"/>
    </w:rPr>
  </w:style>
  <w:style w:type="paragraph" w:customStyle="1" w:styleId="384">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5">
    <w:name w:val="xl2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sz w:val="24"/>
    </w:rPr>
  </w:style>
  <w:style w:type="paragraph" w:customStyle="1" w:styleId="386">
    <w:name w:val="样式 标题 3h3H3sect1.2.3l3CT第二层条3rd level31.1.1BOD 0h31h..."/>
    <w:basedOn w:val="188"/>
    <w:qFormat/>
    <w:uiPriority w:val="0"/>
    <w:pPr>
      <w:spacing w:before="120" w:after="80" w:line="360" w:lineRule="auto"/>
    </w:pPr>
    <w:rPr>
      <w:rFonts w:ascii="Arial" w:hAnsi="Arial" w:eastAsia="黑体"/>
      <w:b w:val="0"/>
      <w:bCs w:val="0"/>
      <w:sz w:val="30"/>
      <w:szCs w:val="20"/>
    </w:rPr>
  </w:style>
  <w:style w:type="paragraph" w:customStyle="1" w:styleId="387">
    <w:name w:val="a0"/>
    <w:basedOn w:val="1"/>
    <w:qFormat/>
    <w:uiPriority w:val="0"/>
    <w:pPr>
      <w:widowControl/>
      <w:spacing w:before="100" w:beforeAutospacing="1" w:after="100" w:afterAutospacing="1"/>
      <w:jc w:val="left"/>
    </w:pPr>
    <w:rPr>
      <w:rFonts w:ascii="宋体" w:hAnsi="宋体" w:cs="宋体"/>
      <w:sz w:val="24"/>
    </w:rPr>
  </w:style>
  <w:style w:type="paragraph" w:customStyle="1" w:styleId="388">
    <w:name w:val="xl38"/>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9">
    <w:name w:val="Char"/>
    <w:basedOn w:val="1"/>
    <w:qFormat/>
    <w:uiPriority w:val="0"/>
    <w:pPr>
      <w:tabs>
        <w:tab w:val="left" w:pos="495"/>
      </w:tabs>
      <w:ind w:left="495" w:hanging="495"/>
    </w:pPr>
  </w:style>
  <w:style w:type="paragraph" w:customStyle="1" w:styleId="390">
    <w:name w:val="yehuda"/>
    <w:basedOn w:val="1"/>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pPr>
    <w:rPr>
      <w:sz w:val="24"/>
      <w:szCs w:val="20"/>
      <w:lang w:val="en-GB"/>
    </w:rPr>
  </w:style>
  <w:style w:type="paragraph" w:customStyle="1" w:styleId="39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sz w:val="24"/>
    </w:rPr>
  </w:style>
  <w:style w:type="paragraph" w:customStyle="1" w:styleId="392">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Cs w:val="21"/>
    </w:rPr>
  </w:style>
  <w:style w:type="paragraph" w:customStyle="1" w:styleId="393">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394">
    <w:name w:val="Body Text1"/>
    <w:basedOn w:val="1"/>
    <w:next w:val="248"/>
    <w:qFormat/>
    <w:uiPriority w:val="0"/>
    <w:pPr>
      <w:spacing w:line="360" w:lineRule="auto"/>
      <w:ind w:firstLine="480"/>
    </w:pPr>
    <w:rPr>
      <w:rFonts w:ascii="Arial" w:hAnsi="Arial"/>
      <w:sz w:val="24"/>
      <w:szCs w:val="20"/>
    </w:rPr>
  </w:style>
  <w:style w:type="paragraph" w:customStyle="1" w:styleId="395">
    <w:name w:val="标书正文"/>
    <w:basedOn w:val="220"/>
    <w:qFormat/>
    <w:uiPriority w:val="0"/>
    <w:pPr>
      <w:widowControl/>
      <w:spacing w:line="400" w:lineRule="exact"/>
      <w:ind w:firstLine="200"/>
      <w:jc w:val="both"/>
    </w:pPr>
    <w:rPr>
      <w:rFonts w:ascii="黑体" w:eastAsia="宋体"/>
      <w:position w:val="0"/>
      <w:sz w:val="24"/>
    </w:rPr>
  </w:style>
  <w:style w:type="paragraph" w:customStyle="1" w:styleId="396">
    <w:name w:val="表格标题"/>
    <w:basedOn w:val="397"/>
    <w:qFormat/>
    <w:uiPriority w:val="0"/>
    <w:pPr>
      <w:jc w:val="center"/>
    </w:pPr>
    <w:rPr>
      <w:b/>
    </w:rPr>
  </w:style>
  <w:style w:type="paragraph" w:customStyle="1" w:styleId="397">
    <w:name w:val="表格正文"/>
    <w:basedOn w:val="1"/>
    <w:qFormat/>
    <w:uiPriority w:val="0"/>
    <w:pPr>
      <w:spacing w:line="240" w:lineRule="atLeast"/>
    </w:pPr>
    <w:rPr>
      <w:rFonts w:eastAsia="楷体_GB2312"/>
      <w:sz w:val="24"/>
      <w:szCs w:val="20"/>
    </w:rPr>
  </w:style>
  <w:style w:type="paragraph" w:customStyle="1" w:styleId="398">
    <w:name w:val="xl45"/>
    <w:basedOn w:val="1"/>
    <w:qFormat/>
    <w:uiPriority w:val="0"/>
    <w:pPr>
      <w:widowControl/>
      <w:spacing w:before="100" w:beforeAutospacing="1" w:after="100" w:afterAutospacing="1"/>
      <w:jc w:val="left"/>
    </w:pPr>
    <w:rPr>
      <w:rFonts w:hint="eastAsia" w:ascii="仿宋_GB2312" w:hAnsi="宋体" w:eastAsia="仿宋_GB2312"/>
      <w:sz w:val="24"/>
    </w:rPr>
  </w:style>
  <w:style w:type="paragraph" w:customStyle="1" w:styleId="39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4"/>
    </w:rPr>
  </w:style>
  <w:style w:type="paragraph" w:customStyle="1" w:styleId="400">
    <w:name w:val="Plain Text2"/>
    <w:basedOn w:val="1"/>
    <w:qFormat/>
    <w:uiPriority w:val="0"/>
    <w:rPr>
      <w:rFonts w:ascii="宋体" w:hAnsi="Courier New" w:eastAsia="楷体_GB2312"/>
      <w:sz w:val="28"/>
      <w:szCs w:val="20"/>
    </w:rPr>
  </w:style>
  <w:style w:type="paragraph" w:customStyle="1" w:styleId="401">
    <w:name w:val="默认段落字体 Para Char Char Char Char Char Char Char Char Char1 Char Char Char Char Char Char Char"/>
    <w:basedOn w:val="213"/>
    <w:qFormat/>
    <w:uiPriority w:val="0"/>
    <w:rPr>
      <w:rFonts w:ascii="Tahoma" w:hAnsi="Tahoma"/>
      <w:sz w:val="24"/>
    </w:rPr>
  </w:style>
  <w:style w:type="paragraph" w:customStyle="1" w:styleId="402">
    <w:name w:val="样式 标题 4H4h4PIM 4第三层条bulletblbbheading 4 + Indent: Left 0..."/>
    <w:basedOn w:val="189"/>
    <w:next w:val="403"/>
    <w:qFormat/>
    <w:uiPriority w:val="0"/>
    <w:pPr>
      <w:keepNext w:val="0"/>
      <w:keepLines w:val="0"/>
      <w:tabs>
        <w:tab w:val="left" w:pos="1800"/>
      </w:tabs>
      <w:spacing w:line="360" w:lineRule="auto"/>
      <w:ind w:left="360"/>
    </w:pPr>
    <w:rPr>
      <w:rFonts w:ascii="黑体" w:hAnsi="Times New Roman" w:eastAsia="黑体" w:cs="宋体"/>
      <w:szCs w:val="20"/>
    </w:rPr>
  </w:style>
  <w:style w:type="paragraph" w:customStyle="1" w:styleId="403">
    <w:name w:val="封面标题"/>
    <w:basedOn w:val="1"/>
    <w:qFormat/>
    <w:uiPriority w:val="0"/>
    <w:pPr>
      <w:spacing w:line="360" w:lineRule="auto"/>
      <w:jc w:val="center"/>
    </w:pPr>
    <w:rPr>
      <w:rFonts w:eastAsia="黑体"/>
      <w:b/>
      <w:bCs/>
      <w:sz w:val="52"/>
      <w:szCs w:val="48"/>
    </w:rPr>
  </w:style>
  <w:style w:type="paragraph" w:customStyle="1" w:styleId="404">
    <w:name w:val="xl41"/>
    <w:basedOn w:val="1"/>
    <w:qFormat/>
    <w:uiPriority w:val="0"/>
    <w:pPr>
      <w:widowControl/>
      <w:pBdr>
        <w:top w:val="single" w:color="000000" w:sz="4" w:space="0"/>
        <w:bottom w:val="single" w:color="000000" w:sz="4" w:space="0"/>
      </w:pBdr>
      <w:spacing w:before="100" w:beforeAutospacing="1" w:after="100" w:afterAutospacing="1"/>
      <w:jc w:val="left"/>
    </w:pPr>
    <w:rPr>
      <w:sz w:val="24"/>
    </w:rPr>
  </w:style>
  <w:style w:type="paragraph" w:customStyle="1" w:styleId="405">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406">
    <w:name w:val="项目编号A"/>
    <w:basedOn w:val="1"/>
    <w:qFormat/>
    <w:uiPriority w:val="0"/>
    <w:pPr>
      <w:tabs>
        <w:tab w:val="left" w:pos="959"/>
      </w:tabs>
      <w:spacing w:line="360" w:lineRule="auto"/>
      <w:ind w:left="959" w:hanging="420"/>
    </w:pPr>
    <w:rPr>
      <w:rFonts w:ascii="Arial" w:hAnsi="Arial"/>
      <w:sz w:val="24"/>
      <w:szCs w:val="20"/>
    </w:rPr>
  </w:style>
  <w:style w:type="paragraph" w:customStyle="1" w:styleId="407">
    <w:name w:val="勾"/>
    <w:basedOn w:val="1"/>
    <w:qFormat/>
    <w:uiPriority w:val="0"/>
    <w:pPr>
      <w:tabs>
        <w:tab w:val="left" w:pos="425"/>
        <w:tab w:val="left" w:pos="960"/>
      </w:tabs>
      <w:spacing w:line="360" w:lineRule="auto"/>
      <w:ind w:left="960" w:hanging="960"/>
    </w:pPr>
    <w:rPr>
      <w:sz w:val="24"/>
      <w:szCs w:val="20"/>
    </w:rPr>
  </w:style>
  <w:style w:type="paragraph" w:customStyle="1" w:styleId="40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09">
    <w:name w:val="Char Char Char Char"/>
    <w:basedOn w:val="1"/>
    <w:qFormat/>
    <w:uiPriority w:val="0"/>
  </w:style>
  <w:style w:type="paragraph" w:customStyle="1" w:styleId="410">
    <w:name w:val="样式 仿宋_GB2312 四号 黑色 左 行距: 1.5 倍行距"/>
    <w:basedOn w:val="1"/>
    <w:qFormat/>
    <w:uiPriority w:val="0"/>
    <w:pPr>
      <w:spacing w:line="360" w:lineRule="auto"/>
      <w:jc w:val="left"/>
    </w:pPr>
    <w:rPr>
      <w:rFonts w:ascii="仿宋_GB2312" w:hAnsi="宋体" w:eastAsia="仿宋_GB2312"/>
      <w:color w:val="000000"/>
      <w:sz w:val="24"/>
      <w:szCs w:val="20"/>
    </w:rPr>
  </w:style>
  <w:style w:type="paragraph" w:customStyle="1" w:styleId="411">
    <w:name w:val="xl69"/>
    <w:basedOn w:val="1"/>
    <w:qFormat/>
    <w:uiPriority w:val="0"/>
    <w:pPr>
      <w:widowControl/>
      <w:spacing w:before="100" w:beforeAutospacing="1" w:after="100" w:afterAutospacing="1"/>
      <w:jc w:val="left"/>
    </w:pPr>
    <w:rPr>
      <w:rFonts w:ascii="Microsoft Sans Serif" w:hAnsi="Microsoft Sans Serif" w:cs="Microsoft Sans Serif"/>
      <w:sz w:val="24"/>
    </w:rPr>
  </w:style>
  <w:style w:type="paragraph" w:customStyle="1" w:styleId="412">
    <w:name w:val="xl5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sz w:val="28"/>
      <w:szCs w:val="28"/>
    </w:rPr>
  </w:style>
  <w:style w:type="paragraph" w:customStyle="1" w:styleId="413">
    <w:name w:val="样式2"/>
    <w:basedOn w:val="191"/>
    <w:qFormat/>
    <w:uiPriority w:val="0"/>
    <w:pPr>
      <w:tabs>
        <w:tab w:val="clear" w:pos="3578"/>
      </w:tabs>
      <w:spacing w:before="240" w:after="64" w:line="320" w:lineRule="auto"/>
      <w:ind w:left="1080" w:hanging="1080"/>
    </w:pPr>
    <w:rPr>
      <w:rFonts w:ascii="Arial" w:hAnsi="Arial" w:eastAsia="黑体"/>
      <w:sz w:val="24"/>
    </w:rPr>
  </w:style>
  <w:style w:type="paragraph" w:customStyle="1" w:styleId="414">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5">
    <w:name w:val="Char Char Char"/>
    <w:basedOn w:val="1"/>
    <w:qFormat/>
    <w:uiPriority w:val="0"/>
    <w:pPr>
      <w:spacing w:line="360" w:lineRule="auto"/>
    </w:pPr>
    <w:rPr>
      <w:sz w:val="24"/>
      <w:szCs w:val="20"/>
    </w:rPr>
  </w:style>
  <w:style w:type="paragraph" w:customStyle="1" w:styleId="416">
    <w:name w:val="缩进正文"/>
    <w:basedOn w:val="1"/>
    <w:qFormat/>
    <w:uiPriority w:val="0"/>
    <w:pPr>
      <w:widowControl/>
      <w:spacing w:line="360" w:lineRule="auto"/>
      <w:jc w:val="left"/>
    </w:pPr>
    <w:rPr>
      <w:rFonts w:ascii="宋体"/>
      <w:sz w:val="24"/>
      <w:szCs w:val="20"/>
      <w:lang w:val="en-US" w:eastAsia="zh-CN"/>
    </w:rPr>
  </w:style>
  <w:style w:type="paragraph" w:customStyle="1" w:styleId="417">
    <w:name w:val="xl3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sz w:val="24"/>
    </w:rPr>
  </w:style>
  <w:style w:type="paragraph" w:customStyle="1" w:styleId="418">
    <w:name w:val="样式 目录 3 + 左侧:  1.71 字符"/>
    <w:basedOn w:val="227"/>
    <w:qFormat/>
    <w:uiPriority w:val="0"/>
    <w:pPr>
      <w:tabs>
        <w:tab w:val="right" w:leader="dot" w:pos="8296"/>
      </w:tabs>
      <w:ind w:left="480" w:firstLine="420"/>
    </w:pPr>
    <w:rPr>
      <w:szCs w:val="20"/>
    </w:rPr>
  </w:style>
  <w:style w:type="paragraph" w:customStyle="1" w:styleId="419">
    <w:name w:val="xl42"/>
    <w:basedOn w:val="1"/>
    <w:qFormat/>
    <w:uiPriority w:val="0"/>
    <w:pPr>
      <w:widowControl/>
      <w:pBdr>
        <w:top w:val="single" w:color="000000" w:sz="4" w:space="0"/>
      </w:pBdr>
      <w:spacing w:before="100" w:beforeAutospacing="1" w:after="100" w:afterAutospacing="1"/>
      <w:jc w:val="left"/>
    </w:pPr>
    <w:rPr>
      <w:sz w:val="24"/>
    </w:rPr>
  </w:style>
  <w:style w:type="paragraph" w:customStyle="1" w:styleId="420">
    <w:name w:val="样式 四号 首行缩进:  2 字符"/>
    <w:basedOn w:val="1"/>
    <w:qFormat/>
    <w:uiPriority w:val="0"/>
    <w:pPr>
      <w:spacing w:line="360" w:lineRule="auto"/>
      <w:ind w:firstLine="560"/>
    </w:pPr>
    <w:rPr>
      <w:sz w:val="24"/>
      <w:szCs w:val="28"/>
    </w:rPr>
  </w:style>
  <w:style w:type="paragraph" w:customStyle="1" w:styleId="421">
    <w:name w:val="小点说明"/>
    <w:basedOn w:val="1"/>
    <w:qFormat/>
    <w:uiPriority w:val="0"/>
    <w:pPr>
      <w:tabs>
        <w:tab w:val="left" w:pos="392"/>
      </w:tabs>
      <w:spacing w:line="360" w:lineRule="auto"/>
      <w:ind w:left="360" w:firstLine="80"/>
    </w:pPr>
    <w:rPr>
      <w:rFonts w:ascii="宋体" w:hAnsi="Arial"/>
      <w:szCs w:val="20"/>
    </w:rPr>
  </w:style>
  <w:style w:type="paragraph" w:customStyle="1" w:styleId="422">
    <w:name w:val="页眉文档编号"/>
    <w:qFormat/>
    <w:uiPriority w:val="0"/>
    <w:pPr>
      <w:jc w:val="center"/>
    </w:pPr>
    <w:rPr>
      <w:rFonts w:hint="default" w:ascii="Times New Roman" w:hAnsi="Times New Roman" w:eastAsia="宋体" w:cs="Times New Roman"/>
      <w:sz w:val="21"/>
      <w:lang w:val="en-US" w:eastAsia="zh-CN" w:bidi="ar-SA"/>
    </w:rPr>
  </w:style>
  <w:style w:type="paragraph" w:customStyle="1" w:styleId="423">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sz w:val="28"/>
      <w:szCs w:val="28"/>
    </w:rPr>
  </w:style>
  <w:style w:type="paragraph" w:customStyle="1" w:styleId="42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icrosoft Sans Serif" w:hAnsi="Microsoft Sans Serif" w:cs="Microsoft Sans Serif"/>
      <w:color w:val="000000"/>
      <w:sz w:val="18"/>
      <w:szCs w:val="18"/>
    </w:rPr>
  </w:style>
  <w:style w:type="paragraph" w:customStyle="1" w:styleId="425">
    <w:name w:val="样式 仿宋_GB2312 四号 黑色 行距: 1.5 倍行距"/>
    <w:basedOn w:val="1"/>
    <w:qFormat/>
    <w:uiPriority w:val="0"/>
    <w:pPr>
      <w:spacing w:line="360" w:lineRule="auto"/>
      <w:ind w:firstLine="560"/>
    </w:pPr>
    <w:rPr>
      <w:rFonts w:ascii="仿宋_GB2312" w:hAnsi="宋体" w:eastAsia="仿宋_GB2312"/>
      <w:color w:val="000000"/>
      <w:sz w:val="24"/>
      <w:szCs w:val="20"/>
    </w:rPr>
  </w:style>
  <w:style w:type="paragraph" w:customStyle="1" w:styleId="426">
    <w:name w:val="样式 正文缩进 + 首行缩进:  2 字符"/>
    <w:basedOn w:val="193"/>
    <w:qFormat/>
    <w:uiPriority w:val="0"/>
    <w:pPr>
      <w:spacing w:line="360" w:lineRule="auto"/>
      <w:ind w:firstLine="480"/>
      <w:jc w:val="both"/>
    </w:pPr>
    <w:rPr>
      <w:rFonts w:eastAsia="宋体" w:cs="宋体"/>
    </w:rPr>
  </w:style>
  <w:style w:type="paragraph" w:customStyle="1" w:styleId="427">
    <w:name w:val="p0"/>
    <w:basedOn w:val="1"/>
    <w:qFormat/>
    <w:uiPriority w:val="0"/>
    <w:pPr>
      <w:widowControl/>
      <w:spacing w:before="100" w:beforeAutospacing="1" w:after="100" w:afterAutospacing="1"/>
      <w:jc w:val="left"/>
    </w:pPr>
    <w:rPr>
      <w:rFonts w:ascii="宋体" w:hAnsi="宋体" w:cs="宋体"/>
      <w:sz w:val="24"/>
    </w:rPr>
  </w:style>
  <w:style w:type="paragraph" w:customStyle="1" w:styleId="428">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9">
    <w:name w:val="样式 样式 仿宋_GB2312 小三 + 首行缩进:  2 字符"/>
    <w:basedOn w:val="430"/>
    <w:qFormat/>
    <w:uiPriority w:val="0"/>
    <w:pPr>
      <w:spacing w:line="360" w:lineRule="auto"/>
      <w:ind w:firstLine="0"/>
      <w:jc w:val="center"/>
    </w:pPr>
  </w:style>
  <w:style w:type="paragraph" w:customStyle="1" w:styleId="430">
    <w:name w:val="样式 仿宋_GB2312 小三"/>
    <w:basedOn w:val="1"/>
    <w:qFormat/>
    <w:uiPriority w:val="0"/>
    <w:pPr>
      <w:ind w:firstLine="600"/>
    </w:pPr>
    <w:rPr>
      <w:rFonts w:ascii="仿宋_GB2312" w:eastAsia="仿宋_GB2312"/>
      <w:sz w:val="24"/>
      <w:szCs w:val="20"/>
    </w:rPr>
  </w:style>
  <w:style w:type="paragraph" w:customStyle="1" w:styleId="431">
    <w:name w:val="样式 标题 4 + (西文) 宋体 小四"/>
    <w:basedOn w:val="1"/>
    <w:qFormat/>
    <w:uiPriority w:val="0"/>
    <w:pPr>
      <w:spacing w:line="360" w:lineRule="auto"/>
    </w:pPr>
    <w:rPr>
      <w:rFonts w:ascii="宋体" w:hAnsi="宋体" w:eastAsia="仿宋_GB2312"/>
      <w:sz w:val="24"/>
      <w:szCs w:val="20"/>
    </w:rPr>
  </w:style>
  <w:style w:type="paragraph" w:customStyle="1" w:styleId="432">
    <w:name w:val="图表题"/>
    <w:basedOn w:val="1"/>
    <w:qFormat/>
    <w:uiPriority w:val="0"/>
    <w:pPr>
      <w:spacing w:line="400" w:lineRule="exact"/>
      <w:jc w:val="center"/>
    </w:pPr>
    <w:rPr>
      <w:szCs w:val="20"/>
    </w:rPr>
  </w:style>
  <w:style w:type="paragraph" w:customStyle="1" w:styleId="433">
    <w:name w:val="Char Char Char Char Char Char Char Char Char Char"/>
    <w:basedOn w:val="1"/>
    <w:qFormat/>
    <w:uiPriority w:val="0"/>
    <w:pPr>
      <w:tabs>
        <w:tab w:val="left" w:pos="495"/>
      </w:tabs>
      <w:ind w:left="495" w:hanging="495"/>
    </w:pPr>
    <w:rPr>
      <w:sz w:val="24"/>
    </w:rPr>
  </w:style>
  <w:style w:type="paragraph" w:customStyle="1" w:styleId="434">
    <w:name w:val="列出段落11"/>
    <w:basedOn w:val="1"/>
    <w:qFormat/>
    <w:uiPriority w:val="34"/>
    <w:pPr>
      <w:ind w:firstLine="420"/>
    </w:pPr>
    <w:rPr>
      <w:rFonts w:ascii="Calibri" w:hAnsi="Calibri"/>
      <w:szCs w:val="22"/>
    </w:rPr>
  </w:style>
  <w:style w:type="paragraph" w:customStyle="1" w:styleId="435">
    <w:name w:val="Char Char1 Char Char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6">
    <w:name w:val="paragraph1"/>
    <w:basedOn w:val="1"/>
    <w:qFormat/>
    <w:uiPriority w:val="0"/>
    <w:pPr>
      <w:spacing w:line="360" w:lineRule="auto"/>
      <w:ind w:firstLine="480"/>
    </w:pPr>
    <w:rPr>
      <w:sz w:val="24"/>
    </w:rPr>
  </w:style>
  <w:style w:type="paragraph" w:customStyle="1" w:styleId="437">
    <w:name w:val="xl53"/>
    <w:basedOn w:val="1"/>
    <w:qFormat/>
    <w:uiPriority w:val="0"/>
    <w:pPr>
      <w:widowControl/>
      <w:pBdr>
        <w:left w:val="single" w:color="000000" w:sz="4" w:space="0"/>
        <w:right w:val="single" w:color="000000" w:sz="4" w:space="0"/>
      </w:pBdr>
      <w:spacing w:before="100" w:beforeAutospacing="1" w:after="100" w:afterAutospacing="1"/>
      <w:jc w:val="left"/>
    </w:pPr>
    <w:rPr>
      <w:rFonts w:hint="eastAsia" w:ascii="楷体_GB2312" w:hAnsi="宋体" w:eastAsia="楷体_GB2312"/>
      <w:sz w:val="22"/>
      <w:szCs w:val="22"/>
    </w:rPr>
  </w:style>
  <w:style w:type="paragraph" w:customStyle="1" w:styleId="438">
    <w:name w:val="msonormalcxsplast"/>
    <w:basedOn w:val="1"/>
    <w:qFormat/>
    <w:uiPriority w:val="0"/>
    <w:pPr>
      <w:widowControl/>
      <w:jc w:val="left"/>
    </w:pPr>
    <w:rPr>
      <w:rFonts w:ascii="宋体" w:hAnsi="宋体" w:cs="宋体"/>
      <w:sz w:val="24"/>
    </w:rPr>
  </w:style>
  <w:style w:type="paragraph" w:customStyle="1" w:styleId="439">
    <w:name w:val="样式 仿宋_GB2312 四号 黑色 行距: 1.5 倍行距2"/>
    <w:basedOn w:val="1"/>
    <w:qFormat/>
    <w:uiPriority w:val="0"/>
    <w:pPr>
      <w:spacing w:line="360" w:lineRule="auto"/>
    </w:pPr>
    <w:rPr>
      <w:rFonts w:ascii="仿宋_GB2312" w:eastAsia="仿宋_GB2312"/>
      <w:color w:val="000000"/>
      <w:sz w:val="24"/>
      <w:szCs w:val="20"/>
    </w:rPr>
  </w:style>
  <w:style w:type="paragraph" w:customStyle="1" w:styleId="440">
    <w:name w:val="样式4"/>
    <w:basedOn w:val="1"/>
    <w:qFormat/>
    <w:uiPriority w:val="0"/>
    <w:pPr>
      <w:tabs>
        <w:tab w:val="left" w:pos="420"/>
      </w:tabs>
      <w:spacing w:line="360" w:lineRule="auto"/>
      <w:ind w:left="420" w:hanging="420"/>
    </w:pPr>
    <w:rPr>
      <w:sz w:val="24"/>
    </w:rPr>
  </w:style>
  <w:style w:type="paragraph" w:customStyle="1" w:styleId="441">
    <w:name w:val="xl28"/>
    <w:basedOn w:val="1"/>
    <w:qFormat/>
    <w:uiPriority w:val="0"/>
    <w:pPr>
      <w:widowControl/>
      <w:spacing w:before="100" w:beforeAutospacing="1" w:after="100" w:afterAutospacing="1"/>
      <w:jc w:val="left"/>
    </w:pPr>
    <w:rPr>
      <w:sz w:val="24"/>
    </w:rPr>
  </w:style>
  <w:style w:type="paragraph" w:customStyle="1" w:styleId="442">
    <w:name w:val="样式 标题 1 + (西文) 宋体 小四"/>
    <w:basedOn w:val="187"/>
    <w:qFormat/>
    <w:uiPriority w:val="0"/>
    <w:pPr>
      <w:outlineLvl w:val="9"/>
    </w:pPr>
    <w:rPr>
      <w:rFonts w:ascii="宋体" w:hAnsi="宋体" w:eastAsia="宋体"/>
      <w:sz w:val="24"/>
    </w:rPr>
  </w:style>
  <w:style w:type="paragraph" w:customStyle="1" w:styleId="443">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444">
    <w:name w:val="表文字"/>
    <w:qFormat/>
    <w:uiPriority w:val="0"/>
    <w:rPr>
      <w:rFonts w:hint="default" w:ascii="宋体" w:hAnsi="Times New Roman" w:eastAsia="宋体" w:cs="Times New Roman"/>
      <w:lang w:val="en-US" w:eastAsia="zh-CN" w:bidi="ar-SA"/>
    </w:rPr>
  </w:style>
  <w:style w:type="paragraph" w:customStyle="1" w:styleId="445">
    <w:name w:val="正文(首行缩进)"/>
    <w:qFormat/>
    <w:uiPriority w:val="0"/>
    <w:pPr>
      <w:spacing w:line="360" w:lineRule="auto"/>
      <w:ind w:firstLine="420"/>
      <w:jc w:val="both"/>
    </w:pPr>
    <w:rPr>
      <w:rFonts w:hint="default" w:ascii="宋体" w:hAnsi="宋体" w:eastAsia="宋体" w:cs="Times New Roman"/>
      <w:sz w:val="24"/>
      <w:szCs w:val="24"/>
      <w:lang w:val="en-US" w:eastAsia="zh-CN" w:bidi="ar-SA"/>
    </w:rPr>
  </w:style>
  <w:style w:type="paragraph" w:customStyle="1" w:styleId="446">
    <w:name w:val="Ｃ"/>
    <w:basedOn w:val="1"/>
    <w:qFormat/>
    <w:uiPriority w:val="0"/>
    <w:pPr>
      <w:keepNext/>
      <w:widowControl/>
      <w:spacing w:line="0" w:lineRule="atLeast"/>
      <w:ind w:right="210"/>
      <w:jc w:val="center"/>
    </w:pPr>
    <w:rPr>
      <w:rFonts w:ascii="宋体"/>
      <w:sz w:val="16"/>
      <w:szCs w:val="20"/>
    </w:rPr>
  </w:style>
  <w:style w:type="paragraph" w:customStyle="1" w:styleId="447">
    <w:name w:val="6"/>
    <w:basedOn w:val="1"/>
    <w:next w:val="220"/>
    <w:qFormat/>
    <w:uiPriority w:val="0"/>
    <w:pPr>
      <w:spacing w:after="120"/>
    </w:pPr>
  </w:style>
  <w:style w:type="paragraph" w:customStyle="1" w:styleId="448">
    <w:name w:val="样式 标题4 + &amp;#23435.&amp;#20307. 五号 段前: 自动 段后: 自动"/>
    <w:basedOn w:val="193"/>
    <w:qFormat/>
    <w:uiPriority w:val="0"/>
    <w:pPr>
      <w:widowControl/>
      <w:spacing w:line="360" w:lineRule="auto"/>
      <w:ind w:firstLine="200"/>
    </w:pPr>
    <w:rPr>
      <w:rFonts w:ascii="&amp;#23435;&amp;#20307;" w:hAnsi="&amp;#23435;&amp;#20307;" w:eastAsia="宋体"/>
      <w:color w:val="000000"/>
    </w:rPr>
  </w:style>
  <w:style w:type="paragraph" w:customStyle="1" w:styleId="449">
    <w:name w:val="_Style 50"/>
    <w:basedOn w:val="1"/>
    <w:next w:val="228"/>
    <w:qFormat/>
    <w:uiPriority w:val="0"/>
    <w:pPr>
      <w:spacing w:line="360" w:lineRule="auto"/>
    </w:pPr>
    <w:rPr>
      <w:rFonts w:ascii="宋体" w:hAnsi="Courier New"/>
      <w:szCs w:val="20"/>
    </w:rPr>
  </w:style>
  <w:style w:type="paragraph" w:customStyle="1" w:styleId="450">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451">
    <w:name w:val="font6"/>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2">
    <w:name w:val="段落缩进2 小四"/>
    <w:basedOn w:val="1"/>
    <w:qFormat/>
    <w:uiPriority w:val="0"/>
    <w:pPr>
      <w:tabs>
        <w:tab w:val="left" w:pos="1800"/>
      </w:tabs>
      <w:spacing w:line="360" w:lineRule="auto"/>
      <w:ind w:firstLine="480"/>
    </w:pPr>
    <w:rPr>
      <w:rFonts w:ascii="宋体" w:hAnsi="宋体"/>
      <w:sz w:val="24"/>
    </w:rPr>
  </w:style>
  <w:style w:type="paragraph" w:customStyle="1" w:styleId="453">
    <w:name w:val="正文文字"/>
    <w:basedOn w:val="1"/>
    <w:qFormat/>
    <w:uiPriority w:val="0"/>
    <w:pPr>
      <w:spacing w:line="300" w:lineRule="auto"/>
    </w:pPr>
    <w:rPr>
      <w:szCs w:val="20"/>
    </w:rPr>
  </w:style>
  <w:style w:type="paragraph" w:customStyle="1" w:styleId="454">
    <w:name w:val="chen"/>
    <w:basedOn w:val="248"/>
    <w:qFormat/>
    <w:uiPriority w:val="0"/>
    <w:pPr>
      <w:tabs>
        <w:tab w:val="left" w:pos="7440"/>
      </w:tabs>
      <w:spacing w:after="0"/>
      <w:ind w:left="0" w:right="26" w:firstLine="480"/>
      <w:jc w:val="left"/>
    </w:pPr>
    <w:rPr>
      <w:rFonts w:ascii="楷体_GB2312" w:eastAsia="楷体_GB2312"/>
      <w:spacing w:val="4"/>
      <w:sz w:val="24"/>
      <w:szCs w:val="20"/>
    </w:rPr>
  </w:style>
  <w:style w:type="paragraph" w:customStyle="1" w:styleId="455">
    <w:name w:val="样式 标题 5H5h5Second Subheadingdashdsdddash1ds1dd1dash2d..."/>
    <w:basedOn w:val="190"/>
    <w:qFormat/>
    <w:uiPriority w:val="0"/>
    <w:pPr>
      <w:keepNext w:val="0"/>
      <w:keepLines w:val="0"/>
      <w:tabs>
        <w:tab w:val="left" w:pos="1800"/>
      </w:tabs>
      <w:spacing w:line="360" w:lineRule="auto"/>
    </w:pPr>
    <w:rPr>
      <w:rFonts w:ascii="黑体" w:hAnsi="Times New Roman" w:eastAsia="黑体" w:cs="宋体"/>
      <w:sz w:val="24"/>
      <w:szCs w:val="20"/>
    </w:rPr>
  </w:style>
  <w:style w:type="paragraph" w:customStyle="1" w:styleId="456">
    <w:name w:val="t14black"/>
    <w:basedOn w:val="1"/>
    <w:qFormat/>
    <w:uiPriority w:val="0"/>
    <w:pPr>
      <w:widowControl/>
      <w:spacing w:before="100" w:beforeAutospacing="1" w:after="100" w:afterAutospacing="1"/>
      <w:jc w:val="left"/>
    </w:pPr>
    <w:rPr>
      <w:rFonts w:ascii="宋体" w:hAnsi="宋体"/>
      <w:sz w:val="24"/>
    </w:rPr>
  </w:style>
  <w:style w:type="paragraph" w:customStyle="1" w:styleId="457">
    <w:name w:val="font8"/>
    <w:basedOn w:val="1"/>
    <w:qFormat/>
    <w:uiPriority w:val="0"/>
    <w:pPr>
      <w:widowControl/>
      <w:spacing w:before="100" w:beforeAutospacing="1" w:after="100" w:afterAutospacing="1"/>
      <w:jc w:val="left"/>
    </w:pPr>
    <w:rPr>
      <w:rFonts w:hint="eastAsia" w:ascii="楷体_GB2312" w:hAnsi="宋体" w:eastAsia="楷体_GB2312"/>
      <w:color w:val="0000FF"/>
      <w:sz w:val="22"/>
      <w:szCs w:val="22"/>
    </w:rPr>
  </w:style>
  <w:style w:type="paragraph" w:customStyle="1" w:styleId="458">
    <w:name w:val="P1"/>
    <w:qFormat/>
    <w:uiPriority w:val="0"/>
    <w:pPr>
      <w:widowControl w:val="0"/>
      <w:spacing w:after="240" w:line="0" w:lineRule="atLeast"/>
      <w:ind w:left="2304" w:hanging="576"/>
      <w:jc w:val="both"/>
    </w:pPr>
    <w:rPr>
      <w:rFonts w:hint="default" w:ascii="Times New Roman" w:hAnsi="Times New Roman" w:eastAsia="全真中明體" w:cs="Times New Roman"/>
      <w:spacing w:val="30"/>
      <w:sz w:val="24"/>
      <w:lang w:val="en-GB" w:eastAsia="zh-TW" w:bidi="ar-SA"/>
    </w:rPr>
  </w:style>
  <w:style w:type="paragraph" w:customStyle="1" w:styleId="459">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b/>
      <w:bCs/>
      <w:color w:val="000000"/>
      <w:sz w:val="24"/>
    </w:rPr>
  </w:style>
  <w:style w:type="paragraph" w:customStyle="1" w:styleId="460">
    <w:name w:val="def正文"/>
    <w:basedOn w:val="220"/>
    <w:qFormat/>
    <w:uiPriority w:val="0"/>
    <w:pPr>
      <w:widowControl/>
      <w:spacing w:line="360" w:lineRule="auto"/>
      <w:ind w:firstLine="562"/>
      <w:jc w:val="both"/>
    </w:pPr>
    <w:rPr>
      <w:rFonts w:ascii="楷体_GB2312" w:eastAsia="楷体_GB2312"/>
      <w:b/>
      <w:position w:val="0"/>
      <w:sz w:val="28"/>
      <w:szCs w:val="28"/>
    </w:rPr>
  </w:style>
  <w:style w:type="paragraph" w:customStyle="1" w:styleId="461">
    <w:name w:val="列出段落1"/>
    <w:basedOn w:val="1"/>
    <w:qFormat/>
    <w:uiPriority w:val="34"/>
    <w:pPr>
      <w:ind w:firstLine="420"/>
    </w:pPr>
    <w:rPr>
      <w:rFonts w:ascii="宋体" w:hAnsi="宋体"/>
      <w:sz w:val="24"/>
    </w:rPr>
  </w:style>
  <w:style w:type="paragraph" w:customStyle="1" w:styleId="462">
    <w:name w:val="xl59"/>
    <w:basedOn w:val="1"/>
    <w:qFormat/>
    <w:uiPriority w:val="0"/>
    <w:pPr>
      <w:widowControl/>
      <w:pBdr>
        <w:left w:val="single" w:color="000000" w:sz="8" w:space="0"/>
        <w:right w:val="single" w:color="000000" w:sz="8" w:space="0"/>
      </w:pBdr>
      <w:spacing w:before="100" w:beforeAutospacing="1" w:after="100" w:afterAutospacing="1"/>
      <w:jc w:val="center"/>
    </w:pPr>
    <w:rPr>
      <w:rFonts w:ascii="Arial Unicode MS" w:hAnsi="Arial Unicode MS" w:eastAsia="Arial Unicode MS"/>
      <w:sz w:val="24"/>
    </w:rPr>
  </w:style>
  <w:style w:type="paragraph" w:customStyle="1" w:styleId="463">
    <w:name w:val="xl39"/>
    <w:basedOn w:val="1"/>
    <w:qFormat/>
    <w:uiPriority w:val="0"/>
    <w:pPr>
      <w:widowControl/>
      <w:pBdr>
        <w:bottom w:val="single" w:color="000000" w:sz="4" w:space="0"/>
      </w:pBdr>
      <w:spacing w:before="100" w:beforeAutospacing="1" w:after="100" w:afterAutospacing="1"/>
      <w:jc w:val="left"/>
    </w:pPr>
    <w:rPr>
      <w:rFonts w:ascii="宋体" w:hAnsi="宋体"/>
      <w:sz w:val="24"/>
    </w:rPr>
  </w:style>
  <w:style w:type="paragraph" w:customStyle="1" w:styleId="46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icrosoft Sans Serif" w:hAnsi="Microsoft Sans Serif" w:cs="Microsoft Sans Serif"/>
      <w:sz w:val="24"/>
    </w:rPr>
  </w:style>
  <w:style w:type="paragraph" w:customStyle="1" w:styleId="465">
    <w:name w:val="样式 目录 4 +"/>
    <w:basedOn w:val="242"/>
    <w:qFormat/>
    <w:uiPriority w:val="0"/>
    <w:pPr>
      <w:tabs>
        <w:tab w:val="right" w:leader="dot" w:pos="8302"/>
      </w:tabs>
      <w:ind w:left="200" w:firstLine="400"/>
      <w:jc w:val="left"/>
    </w:pPr>
    <w:rPr>
      <w:rFonts w:ascii="Times New Roman" w:hAnsi="Times New Roman"/>
      <w:sz w:val="24"/>
      <w:szCs w:val="20"/>
      <w:lang w:val="en-US" w:eastAsia="zh-CN"/>
    </w:rPr>
  </w:style>
  <w:style w:type="paragraph" w:customStyle="1" w:styleId="466">
    <w:name w:val="标头1"/>
    <w:basedOn w:val="188"/>
    <w:qFormat/>
    <w:uiPriority w:val="0"/>
    <w:pPr>
      <w:spacing w:before="120" w:after="80" w:line="240" w:lineRule="auto"/>
    </w:pPr>
    <w:rPr>
      <w:rFonts w:eastAsia="黑体"/>
      <w:b w:val="0"/>
      <w:bCs w:val="0"/>
      <w:sz w:val="28"/>
      <w:szCs w:val="20"/>
    </w:rPr>
  </w:style>
  <w:style w:type="paragraph" w:customStyle="1" w:styleId="467">
    <w:name w:val="正文1"/>
    <w:basedOn w:val="1"/>
    <w:next w:val="1"/>
    <w:qFormat/>
    <w:uiPriority w:val="0"/>
    <w:pPr>
      <w:spacing w:before="120" w:line="360" w:lineRule="auto"/>
      <w:ind w:left="420" w:firstLine="527"/>
    </w:pPr>
    <w:rPr>
      <w:rFonts w:ascii="宋体" w:hAnsi="宋体"/>
    </w:rPr>
  </w:style>
  <w:style w:type="paragraph" w:customStyle="1" w:styleId="468">
    <w:name w:val="tytytyty"/>
    <w:basedOn w:val="1"/>
    <w:qFormat/>
    <w:uiPriority w:val="0"/>
    <w:pPr>
      <w:spacing w:line="360" w:lineRule="auto"/>
      <w:ind w:left="359" w:firstLine="480"/>
    </w:pPr>
    <w:rPr>
      <w:sz w:val="24"/>
      <w:lang w:eastAsia="ar-SA"/>
    </w:rPr>
  </w:style>
  <w:style w:type="paragraph" w:customStyle="1" w:styleId="469">
    <w:name w:val="notice2"/>
    <w:basedOn w:val="1"/>
    <w:qFormat/>
    <w:uiPriority w:val="0"/>
    <w:pPr>
      <w:widowControl/>
      <w:spacing w:after="150"/>
      <w:jc w:val="left"/>
    </w:pPr>
    <w:rPr>
      <w:rFonts w:ascii="宋体" w:hAnsi="宋体" w:cs="宋体"/>
      <w:color w:val="339900"/>
      <w:sz w:val="24"/>
    </w:rPr>
  </w:style>
  <w:style w:type="paragraph" w:customStyle="1" w:styleId="470">
    <w:name w:val="摘要"/>
    <w:basedOn w:val="1"/>
    <w:next w:val="39"/>
    <w:qFormat/>
    <w:uiPriority w:val="0"/>
    <w:pPr>
      <w:spacing w:line="360" w:lineRule="auto"/>
    </w:pPr>
    <w:rPr>
      <w:rFonts w:eastAsia="黑体"/>
      <w:sz w:val="24"/>
      <w:szCs w:val="20"/>
    </w:rPr>
  </w:style>
  <w:style w:type="paragraph" w:customStyle="1" w:styleId="471">
    <w:name w:val="xl40"/>
    <w:basedOn w:val="1"/>
    <w:qFormat/>
    <w:uiPriority w:val="0"/>
    <w:pPr>
      <w:widowControl/>
      <w:pBdr>
        <w:bottom w:val="single" w:color="000000" w:sz="4" w:space="0"/>
      </w:pBdr>
      <w:spacing w:before="100" w:beforeAutospacing="1" w:after="100" w:afterAutospacing="1"/>
      <w:jc w:val="left"/>
    </w:pPr>
    <w:rPr>
      <w:sz w:val="24"/>
    </w:rPr>
  </w:style>
  <w:style w:type="paragraph" w:customStyle="1" w:styleId="472">
    <w:name w:val="para1"/>
    <w:basedOn w:val="1"/>
    <w:qFormat/>
    <w:uiPriority w:val="0"/>
    <w:pPr>
      <w:widowControl/>
      <w:spacing w:before="100" w:beforeAutospacing="1" w:after="100" w:afterAutospacing="1"/>
      <w:jc w:val="left"/>
    </w:pPr>
    <w:rPr>
      <w:rFonts w:ascii="宋体" w:hAnsi="宋体" w:cs="宋体"/>
      <w:sz w:val="24"/>
    </w:rPr>
  </w:style>
  <w:style w:type="paragraph" w:customStyle="1" w:styleId="473">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474">
    <w:name w:val="xl51"/>
    <w:basedOn w:val="1"/>
    <w:qFormat/>
    <w:uiPriority w:val="0"/>
    <w:pPr>
      <w:widowControl/>
      <w:pBdr>
        <w:left w:val="single" w:color="000000" w:sz="4" w:space="0"/>
        <w:right w:val="single" w:color="000000" w:sz="4" w:space="0"/>
      </w:pBdr>
      <w:spacing w:before="100" w:beforeAutospacing="1" w:after="100" w:afterAutospacing="1"/>
      <w:jc w:val="center"/>
    </w:pPr>
    <w:rPr>
      <w:sz w:val="28"/>
      <w:szCs w:val="28"/>
    </w:rPr>
  </w:style>
  <w:style w:type="paragraph" w:customStyle="1" w:styleId="475">
    <w:name w:val="样式6"/>
    <w:basedOn w:val="188"/>
    <w:qFormat/>
    <w:uiPriority w:val="0"/>
    <w:pPr>
      <w:tabs>
        <w:tab w:val="left" w:pos="567"/>
      </w:tabs>
      <w:spacing w:before="240" w:after="240" w:line="345" w:lineRule="auto"/>
      <w:ind w:left="567" w:hanging="567"/>
      <w:jc w:val="left"/>
    </w:pPr>
    <w:rPr>
      <w:b w:val="0"/>
      <w:bCs w:val="0"/>
      <w:sz w:val="30"/>
      <w:szCs w:val="30"/>
    </w:rPr>
  </w:style>
  <w:style w:type="paragraph" w:customStyle="1" w:styleId="476">
    <w:name w:val="纯文本11"/>
    <w:basedOn w:val="1"/>
    <w:qFormat/>
    <w:uiPriority w:val="0"/>
    <w:pPr>
      <w:widowControl/>
      <w:jc w:val="left"/>
    </w:pPr>
    <w:rPr>
      <w:rFonts w:ascii="宋体" w:hAnsi="Courier New" w:eastAsia="楷体_GB2312"/>
      <w:sz w:val="26"/>
      <w:szCs w:val="20"/>
    </w:rPr>
  </w:style>
  <w:style w:type="paragraph" w:customStyle="1" w:styleId="477">
    <w:name w:val="xl54"/>
    <w:basedOn w:val="1"/>
    <w:qFormat/>
    <w:uiPriority w:val="0"/>
    <w:pPr>
      <w:widowControl/>
      <w:spacing w:before="100" w:beforeAutospacing="1" w:after="100" w:afterAutospacing="1"/>
      <w:jc w:val="center"/>
    </w:pPr>
    <w:rPr>
      <w:rFonts w:hint="eastAsia" w:ascii="隶书" w:hAnsi="宋体" w:eastAsia="隶书"/>
      <w:sz w:val="48"/>
      <w:szCs w:val="48"/>
    </w:rPr>
  </w:style>
  <w:style w:type="paragraph" w:customStyle="1" w:styleId="478">
    <w:name w:val="style1style2"/>
    <w:basedOn w:val="1"/>
    <w:qFormat/>
    <w:uiPriority w:val="0"/>
    <w:pPr>
      <w:widowControl/>
      <w:spacing w:before="100" w:beforeAutospacing="1" w:after="100" w:afterAutospacing="1"/>
      <w:jc w:val="left"/>
    </w:pPr>
    <w:rPr>
      <w:rFonts w:ascii="宋体" w:hAnsi="宋体" w:cs="宋体"/>
      <w:sz w:val="24"/>
    </w:rPr>
  </w:style>
  <w:style w:type="paragraph" w:customStyle="1" w:styleId="479">
    <w:name w:val="xl2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sz w:val="24"/>
    </w:rPr>
  </w:style>
  <w:style w:type="paragraph" w:customStyle="1" w:styleId="480">
    <w:name w:val="小标题 1"/>
    <w:basedOn w:val="1"/>
    <w:qFormat/>
    <w:uiPriority w:val="0"/>
    <w:pPr>
      <w:spacing w:line="360" w:lineRule="atLeast"/>
    </w:pPr>
    <w:rPr>
      <w:rFonts w:ascii="文鼎粗黑" w:eastAsia="文鼎粗黑"/>
      <w:sz w:val="22"/>
      <w:szCs w:val="20"/>
    </w:rPr>
  </w:style>
  <w:style w:type="paragraph" w:customStyle="1" w:styleId="481">
    <w:name w:val="Char1"/>
    <w:basedOn w:val="1"/>
    <w:qFormat/>
    <w:uiPriority w:val="0"/>
    <w:pPr>
      <w:widowControl/>
      <w:spacing w:after="160" w:line="240" w:lineRule="exact"/>
      <w:jc w:val="left"/>
    </w:pPr>
    <w:rPr>
      <w:rFonts w:ascii="Verdana" w:hAnsi="Verdana"/>
      <w:sz w:val="20"/>
      <w:szCs w:val="20"/>
      <w:lang w:eastAsia="en-US"/>
    </w:rPr>
  </w:style>
  <w:style w:type="paragraph" w:customStyle="1" w:styleId="482">
    <w:name w:val="样式 样式 标题 4H4Ref Heading 1rh1Heading sqlsect 1.2.3.4h4PIM 4b... +..."/>
    <w:basedOn w:val="1"/>
    <w:qFormat/>
    <w:uiPriority w:val="0"/>
    <w:pPr>
      <w:keepNext/>
      <w:tabs>
        <w:tab w:val="left" w:pos="3085"/>
      </w:tabs>
      <w:spacing w:before="360" w:after="240" w:line="300" w:lineRule="auto"/>
      <w:outlineLvl w:val="3"/>
    </w:pPr>
    <w:rPr>
      <w:rFonts w:ascii="宋体" w:hAnsi="宋体"/>
      <w:b/>
      <w:szCs w:val="20"/>
    </w:rPr>
  </w:style>
  <w:style w:type="paragraph" w:customStyle="1" w:styleId="483">
    <w:name w:val="普文W"/>
    <w:basedOn w:val="228"/>
    <w:qFormat/>
    <w:uiPriority w:val="0"/>
    <w:pPr>
      <w:spacing w:before="120" w:after="120" w:line="360" w:lineRule="auto"/>
    </w:pPr>
    <w:rPr>
      <w:rFonts w:eastAsia="宋体"/>
      <w:sz w:val="24"/>
    </w:rPr>
  </w:style>
  <w:style w:type="paragraph" w:customStyle="1" w:styleId="484">
    <w:name w:val="样式 样式 样式 标题 3sect1.2.3h3H3l3CTl3+toc 3heading 3Sub-section Tit....."/>
    <w:basedOn w:val="485"/>
    <w:qFormat/>
    <w:uiPriority w:val="0"/>
    <w:pPr>
      <w:tabs>
        <w:tab w:val="left" w:pos="1800"/>
      </w:tabs>
      <w:spacing w:before="468" w:after="312"/>
    </w:pPr>
  </w:style>
  <w:style w:type="paragraph" w:customStyle="1" w:styleId="485">
    <w:name w:val="样式 样式 标题 3sect1.2.3h3H3l3CTl3+toc 3heading 3Sub-section Tit... +..."/>
    <w:basedOn w:val="1"/>
    <w:qFormat/>
    <w:uiPriority w:val="0"/>
    <w:pPr>
      <w:tabs>
        <w:tab w:val="left" w:pos="1800"/>
      </w:tabs>
      <w:spacing w:line="412" w:lineRule="auto"/>
      <w:outlineLvl w:val="2"/>
    </w:pPr>
    <w:rPr>
      <w:rFonts w:eastAsia="黑体" w:cs="宋体"/>
      <w:b/>
      <w:bCs/>
      <w:sz w:val="30"/>
      <w:szCs w:val="20"/>
    </w:rPr>
  </w:style>
  <w:style w:type="paragraph" w:customStyle="1" w:styleId="486">
    <w:name w:val="样式 样式 首行缩进:  2 字符 + 首行缩进:  2 字符"/>
    <w:basedOn w:val="1"/>
    <w:qFormat/>
    <w:uiPriority w:val="0"/>
    <w:pPr>
      <w:tabs>
        <w:tab w:val="left" w:pos="1800"/>
      </w:tabs>
      <w:spacing w:line="360" w:lineRule="auto"/>
      <w:ind w:firstLine="420"/>
    </w:pPr>
    <w:rPr>
      <w:rFonts w:cs="宋体"/>
      <w:sz w:val="24"/>
      <w:szCs w:val="20"/>
    </w:rPr>
  </w:style>
  <w:style w:type="paragraph" w:customStyle="1" w:styleId="487">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488">
    <w:name w:val="华宇段落1 Char"/>
    <w:basedOn w:val="1"/>
    <w:qFormat/>
    <w:uiPriority w:val="0"/>
    <w:pPr>
      <w:spacing w:line="360" w:lineRule="auto"/>
      <w:ind w:firstLine="200"/>
    </w:pPr>
    <w:rPr>
      <w:sz w:val="24"/>
      <w:szCs w:val="20"/>
    </w:rPr>
  </w:style>
  <w:style w:type="paragraph" w:customStyle="1" w:styleId="489">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90">
    <w:name w:val="标题 4宋体"/>
    <w:basedOn w:val="189"/>
    <w:qFormat/>
    <w:uiPriority w:val="0"/>
    <w:pPr>
      <w:keepLines w:val="0"/>
      <w:spacing w:before="0" w:after="0" w:line="360" w:lineRule="auto"/>
      <w:jc w:val="left"/>
    </w:pPr>
    <w:rPr>
      <w:rFonts w:ascii="宋体" w:hAnsi="宋体"/>
      <w:color w:val="000000"/>
      <w:sz w:val="24"/>
      <w:szCs w:val="20"/>
    </w:rPr>
  </w:style>
  <w:style w:type="paragraph" w:customStyle="1" w:styleId="491">
    <w:name w:val="body4"/>
    <w:basedOn w:val="1"/>
    <w:next w:val="190"/>
    <w:qFormat/>
    <w:uiPriority w:val="0"/>
    <w:pPr>
      <w:widowControl/>
      <w:ind w:left="3960" w:firstLine="22"/>
      <w:jc w:val="left"/>
    </w:pPr>
    <w:rPr>
      <w:rFonts w:ascii="仿宋_GB2312" w:eastAsia="仿宋_GB2312"/>
      <w:sz w:val="28"/>
      <w:szCs w:val="20"/>
    </w:rPr>
  </w:style>
  <w:style w:type="paragraph" w:customStyle="1" w:styleId="492">
    <w:name w:val="公司名称"/>
    <w:basedOn w:val="1"/>
    <w:qFormat/>
    <w:uiPriority w:val="0"/>
    <w:pPr>
      <w:tabs>
        <w:tab w:val="left" w:pos="540"/>
      </w:tabs>
      <w:spacing w:line="360" w:lineRule="auto"/>
      <w:jc w:val="center"/>
    </w:pPr>
    <w:rPr>
      <w:rFonts w:eastAsia="黑体"/>
      <w:b/>
      <w:sz w:val="32"/>
      <w:szCs w:val="48"/>
    </w:rPr>
  </w:style>
  <w:style w:type="paragraph" w:customStyle="1" w:styleId="493">
    <w:name w:val="南通方案正文"/>
    <w:basedOn w:val="1"/>
    <w:qFormat/>
    <w:uiPriority w:val="0"/>
    <w:pPr>
      <w:spacing w:line="360" w:lineRule="auto"/>
      <w:ind w:firstLine="480"/>
    </w:pPr>
    <w:rPr>
      <w:rFonts w:cs="宋体"/>
      <w:sz w:val="24"/>
      <w:szCs w:val="20"/>
    </w:rPr>
  </w:style>
  <w:style w:type="paragraph" w:customStyle="1" w:styleId="494">
    <w:name w:val="pa-1"/>
    <w:basedOn w:val="1"/>
    <w:qFormat/>
    <w:uiPriority w:val="0"/>
    <w:pPr>
      <w:widowControl/>
      <w:spacing w:before="150" w:after="150"/>
      <w:jc w:val="left"/>
    </w:pPr>
    <w:rPr>
      <w:rFonts w:ascii="宋体" w:hAnsi="宋体" w:cs="宋体"/>
      <w:sz w:val="24"/>
    </w:rPr>
  </w:style>
  <w:style w:type="paragraph" w:customStyle="1" w:styleId="495">
    <w:name w:val="列项——（一级）"/>
    <w:qFormat/>
    <w:uiPriority w:val="0"/>
    <w:pPr>
      <w:widowControl w:val="0"/>
      <w:tabs>
        <w:tab w:val="left" w:pos="420"/>
        <w:tab w:val="left" w:pos="900"/>
      </w:tabs>
      <w:ind w:left="420" w:hanging="420"/>
      <w:jc w:val="both"/>
    </w:pPr>
    <w:rPr>
      <w:rFonts w:hint="default" w:ascii="宋体" w:hAnsi="Times New Roman" w:eastAsia="宋体" w:cs="Times New Roman"/>
      <w:sz w:val="21"/>
      <w:lang w:val="en-US" w:eastAsia="zh-CN" w:bidi="ar-SA"/>
    </w:rPr>
  </w:style>
  <w:style w:type="paragraph" w:customStyle="1" w:styleId="49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7">
    <w:name w:val="样式 标题 5 + 加粗 左侧:  0 厘米 悬挂缩进: 10.08 字符 行距: 1.5 倍行距"/>
    <w:basedOn w:val="190"/>
    <w:qFormat/>
    <w:uiPriority w:val="0"/>
    <w:pPr>
      <w:spacing w:before="120" w:after="120" w:line="360" w:lineRule="auto"/>
      <w:ind w:left="1008" w:hanging="1008"/>
    </w:pPr>
    <w:rPr>
      <w:rFonts w:ascii="Arial" w:hAnsi="Arial" w:eastAsia="黑体"/>
      <w:b w:val="0"/>
      <w:bCs w:val="0"/>
      <w:sz w:val="24"/>
      <w:szCs w:val="20"/>
    </w:rPr>
  </w:style>
  <w:style w:type="paragraph" w:customStyle="1" w:styleId="498">
    <w:name w:val="默认段落字体 Para Char Char Char Char Char Char Char"/>
    <w:basedOn w:val="1"/>
    <w:qFormat/>
    <w:uiPriority w:val="0"/>
    <w:rPr>
      <w:rFonts w:ascii="Tahoma" w:hAnsi="Tahoma"/>
      <w:sz w:val="24"/>
      <w:szCs w:val="20"/>
    </w:rPr>
  </w:style>
  <w:style w:type="paragraph" w:customStyle="1" w:styleId="499">
    <w:name w:val="Char2"/>
    <w:basedOn w:val="1"/>
    <w:qFormat/>
    <w:uiPriority w:val="0"/>
    <w:rPr>
      <w:rFonts w:ascii="Tahoma" w:hAnsi="Tahoma"/>
      <w:sz w:val="24"/>
      <w:szCs w:val="20"/>
    </w:rPr>
  </w:style>
  <w:style w:type="paragraph" w:customStyle="1" w:styleId="50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sz w:val="24"/>
    </w:rPr>
  </w:style>
  <w:style w:type="paragraph" w:customStyle="1" w:styleId="501">
    <w:name w:val="样式 宋体 四号 行距: 固定值 25 磅1"/>
    <w:basedOn w:val="1"/>
    <w:qFormat/>
    <w:uiPriority w:val="0"/>
    <w:pPr>
      <w:tabs>
        <w:tab w:val="left" w:pos="720"/>
        <w:tab w:val="left" w:pos="960"/>
      </w:tabs>
      <w:spacing w:line="500" w:lineRule="exact"/>
      <w:ind w:left="960" w:hanging="960"/>
    </w:pPr>
    <w:rPr>
      <w:rFonts w:hAnsi="宋体" w:cs="宋体"/>
      <w:sz w:val="28"/>
      <w:szCs w:val="20"/>
    </w:rPr>
  </w:style>
  <w:style w:type="paragraph" w:customStyle="1" w:styleId="502">
    <w:name w:val="xl33"/>
    <w:basedOn w:val="1"/>
    <w:qFormat/>
    <w:uiPriority w:val="0"/>
    <w:pPr>
      <w:widowControl/>
      <w:spacing w:before="100" w:beforeAutospacing="1" w:after="100" w:afterAutospacing="1"/>
      <w:jc w:val="center"/>
    </w:pPr>
    <w:rPr>
      <w:sz w:val="24"/>
    </w:rPr>
  </w:style>
  <w:style w:type="paragraph" w:customStyle="1" w:styleId="503">
    <w:name w:val="有符号正文"/>
    <w:basedOn w:val="1"/>
    <w:qFormat/>
    <w:uiPriority w:val="0"/>
    <w:pPr>
      <w:spacing w:line="400" w:lineRule="exact"/>
      <w:ind w:firstLine="200"/>
    </w:pPr>
    <w:rPr>
      <w:rFonts w:ascii="Arial" w:hAnsi="Arial"/>
    </w:rPr>
  </w:style>
  <w:style w:type="paragraph" w:customStyle="1" w:styleId="504">
    <w:name w:val="_Style 104"/>
    <w:basedOn w:val="1"/>
    <w:qFormat/>
    <w:uiPriority w:val="0"/>
    <w:pPr>
      <w:spacing w:after="160" w:line="240" w:lineRule="exact"/>
    </w:pPr>
    <w:rPr>
      <w:szCs w:val="20"/>
    </w:rPr>
  </w:style>
  <w:style w:type="paragraph" w:customStyle="1" w:styleId="505">
    <w:name w:val="正文缩进2"/>
    <w:basedOn w:val="1"/>
    <w:qFormat/>
    <w:uiPriority w:val="0"/>
    <w:pPr>
      <w:spacing w:line="360" w:lineRule="auto"/>
      <w:ind w:firstLine="480"/>
    </w:pPr>
    <w:rPr>
      <w:sz w:val="24"/>
      <w:szCs w:val="20"/>
    </w:rPr>
  </w:style>
  <w:style w:type="paragraph" w:customStyle="1" w:styleId="506">
    <w:name w:val="正文段"/>
    <w:basedOn w:val="1"/>
    <w:qFormat/>
    <w:uiPriority w:val="0"/>
    <w:pPr>
      <w:widowControl/>
      <w:spacing w:after="240" w:line="360" w:lineRule="atLeast"/>
      <w:ind w:firstLine="454"/>
    </w:pPr>
    <w:rPr>
      <w:rFonts w:ascii="宋体"/>
      <w:sz w:val="24"/>
      <w:szCs w:val="20"/>
    </w:rPr>
  </w:style>
  <w:style w:type="paragraph" w:customStyle="1" w:styleId="507">
    <w:name w:val="列出段落"/>
    <w:basedOn w:val="1"/>
    <w:link w:val="508"/>
    <w:qFormat/>
    <w:uiPriority w:val="34"/>
    <w:pPr>
      <w:ind w:firstLine="420"/>
    </w:pPr>
    <w:rPr>
      <w:rFonts w:ascii="Calibri" w:hAnsi="Calibri"/>
      <w:szCs w:val="22"/>
    </w:rPr>
  </w:style>
  <w:style w:type="character" w:customStyle="1" w:styleId="508">
    <w:name w:val="列出段落 字符"/>
    <w:link w:val="507"/>
    <w:qFormat/>
    <w:uiPriority w:val="34"/>
    <w:rPr>
      <w:rFonts w:ascii="Calibri" w:hAnsi="Calibri"/>
      <w:sz w:val="21"/>
      <w:szCs w:val="22"/>
    </w:rPr>
  </w:style>
  <w:style w:type="paragraph" w:customStyle="1" w:styleId="509">
    <w:name w:val="xl43"/>
    <w:basedOn w:val="1"/>
    <w:qFormat/>
    <w:uiPriority w:val="0"/>
    <w:pPr>
      <w:widowControl/>
      <w:spacing w:before="100" w:beforeAutospacing="1" w:after="100" w:afterAutospacing="1"/>
      <w:jc w:val="center"/>
    </w:pPr>
    <w:rPr>
      <w:rFonts w:ascii="宋体" w:hAnsi="宋体"/>
      <w:b/>
      <w:bCs/>
      <w:sz w:val="32"/>
      <w:szCs w:val="32"/>
    </w:rPr>
  </w:style>
  <w:style w:type="paragraph" w:customStyle="1" w:styleId="51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Microsoft Sans Serif" w:hAnsi="Microsoft Sans Serif" w:cs="Microsoft Sans Serif"/>
      <w:color w:val="000000"/>
      <w:sz w:val="18"/>
      <w:szCs w:val="18"/>
    </w:rPr>
  </w:style>
  <w:style w:type="paragraph" w:customStyle="1" w:styleId="511">
    <w:name w:val="font9"/>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12">
    <w:name w:val="次小点说明"/>
    <w:basedOn w:val="1"/>
    <w:qFormat/>
    <w:uiPriority w:val="0"/>
    <w:pPr>
      <w:tabs>
        <w:tab w:val="left" w:pos="425"/>
      </w:tabs>
      <w:spacing w:line="360" w:lineRule="auto"/>
      <w:ind w:left="625" w:hanging="425"/>
    </w:pPr>
  </w:style>
  <w:style w:type="paragraph" w:customStyle="1" w:styleId="513">
    <w:name w:val="默认段落字体 Para Char Char Char"/>
    <w:basedOn w:val="1"/>
    <w:qFormat/>
    <w:uiPriority w:val="0"/>
    <w:pPr>
      <w:spacing w:line="360" w:lineRule="auto"/>
      <w:ind w:firstLine="200"/>
    </w:pPr>
  </w:style>
  <w:style w:type="paragraph" w:customStyle="1" w:styleId="514">
    <w:name w:val="样式 标题 2H2 + 宋体 小三"/>
    <w:basedOn w:val="39"/>
    <w:qFormat/>
    <w:uiPriority w:val="0"/>
    <w:pPr>
      <w:spacing w:before="156" w:after="20" w:line="360" w:lineRule="auto"/>
      <w:jc w:val="center"/>
    </w:pPr>
    <w:rPr>
      <w:rFonts w:ascii="宋体" w:hAnsi="宋体" w:eastAsia="幼圆"/>
      <w:bCs w:val="0"/>
      <w:sz w:val="52"/>
      <w:szCs w:val="20"/>
    </w:rPr>
  </w:style>
  <w:style w:type="paragraph" w:customStyle="1" w:styleId="515">
    <w:name w:val="正文文本 21"/>
    <w:basedOn w:val="1"/>
    <w:qFormat/>
    <w:uiPriority w:val="0"/>
    <w:pPr>
      <w:spacing w:line="400" w:lineRule="exact"/>
      <w:ind w:firstLine="480"/>
      <w:jc w:val="left"/>
    </w:pPr>
    <w:rPr>
      <w:rFonts w:ascii="仿宋_GB2312" w:eastAsia="仿宋_GB2312"/>
      <w:sz w:val="24"/>
      <w:szCs w:val="20"/>
    </w:rPr>
  </w:style>
  <w:style w:type="paragraph" w:customStyle="1" w:styleId="516">
    <w:name w:val="FP-Title2"/>
    <w:qFormat/>
    <w:uiPriority w:val="0"/>
    <w:pPr>
      <w:spacing w:before="240" w:after="60"/>
    </w:pPr>
    <w:rPr>
      <w:rFonts w:hint="default" w:ascii="Arial" w:hAnsi="Arial" w:eastAsia="宋体" w:cs="Times New Roman"/>
      <w:b/>
      <w:sz w:val="24"/>
      <w:lang w:val="en-GB" w:eastAsia="en-US" w:bidi="ar-SA"/>
    </w:rPr>
  </w:style>
  <w:style w:type="paragraph" w:customStyle="1" w:styleId="517">
    <w:name w:val="方案文档"/>
    <w:basedOn w:val="1"/>
    <w:qFormat/>
    <w:uiPriority w:val="0"/>
    <w:pPr>
      <w:spacing w:before="120" w:after="120" w:line="360" w:lineRule="auto"/>
      <w:ind w:firstLine="225"/>
    </w:pPr>
    <w:rPr>
      <w:rFonts w:ascii="Arial" w:hAnsi="Arial"/>
      <w:sz w:val="24"/>
      <w:szCs w:val="20"/>
    </w:rPr>
  </w:style>
  <w:style w:type="paragraph" w:customStyle="1" w:styleId="518">
    <w:name w:val="纯文本2"/>
    <w:basedOn w:val="1"/>
    <w:qFormat/>
    <w:uiPriority w:val="0"/>
    <w:rPr>
      <w:rFonts w:ascii="宋体" w:hAnsi="Courier New" w:eastAsia="楷体_GB2312"/>
      <w:sz w:val="26"/>
      <w:szCs w:val="20"/>
    </w:rPr>
  </w:style>
  <w:style w:type="paragraph" w:customStyle="1" w:styleId="519">
    <w:name w:val="正文4"/>
    <w:basedOn w:val="1"/>
    <w:qFormat/>
    <w:uiPriority w:val="0"/>
    <w:pPr>
      <w:spacing w:line="360" w:lineRule="auto"/>
      <w:ind w:firstLine="480"/>
    </w:pPr>
    <w:rPr>
      <w:rFonts w:ascii="宋体" w:hAnsi="宋体"/>
      <w:sz w:val="24"/>
    </w:rPr>
  </w:style>
  <w:style w:type="paragraph" w:customStyle="1" w:styleId="520">
    <w:name w:val="样式 段落缩进2 小四 + 段前: 15.6 磅"/>
    <w:basedOn w:val="452"/>
    <w:qFormat/>
    <w:uiPriority w:val="0"/>
    <w:pPr>
      <w:spacing w:before="312"/>
    </w:pPr>
    <w:rPr>
      <w:szCs w:val="20"/>
    </w:rPr>
  </w:style>
  <w:style w:type="paragraph" w:customStyle="1" w:styleId="521">
    <w:name w:val="font11"/>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22">
    <w:name w:val="Char Char Char Char Char Char Char Char Char Char Char Char Char Char Char Char"/>
    <w:basedOn w:val="1"/>
    <w:qFormat/>
    <w:uiPriority w:val="0"/>
    <w:rPr>
      <w:rFonts w:ascii="仿宋_GB2312" w:eastAsia="仿宋_GB2312"/>
      <w:b/>
      <w:sz w:val="28"/>
      <w:szCs w:val="20"/>
    </w:rPr>
  </w:style>
  <w:style w:type="paragraph" w:customStyle="1" w:styleId="523">
    <w:name w:val="正文文本 Char Char"/>
    <w:basedOn w:val="1"/>
    <w:qFormat/>
    <w:uiPriority w:val="0"/>
    <w:pPr>
      <w:jc w:val="center"/>
    </w:pPr>
    <w:rPr>
      <w:szCs w:val="20"/>
    </w:rPr>
  </w:style>
  <w:style w:type="paragraph" w:customStyle="1" w:styleId="524">
    <w:name w:val="样式 目录 3 + 左侧:  1.71 字符1"/>
    <w:basedOn w:val="227"/>
    <w:qFormat/>
    <w:uiPriority w:val="0"/>
    <w:pPr>
      <w:tabs>
        <w:tab w:val="right" w:leader="dot" w:pos="8296"/>
      </w:tabs>
      <w:ind w:left="200" w:firstLine="200"/>
    </w:pPr>
    <w:rPr>
      <w:szCs w:val="20"/>
    </w:rPr>
  </w:style>
  <w:style w:type="paragraph" w:customStyle="1" w:styleId="52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526">
    <w:name w:val="Default Paragraph Font Para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27">
    <w:name w:val="Char Char Char1 Char"/>
    <w:basedOn w:val="1"/>
    <w:qFormat/>
    <w:uiPriority w:val="0"/>
    <w:pPr>
      <w:widowControl/>
      <w:spacing w:line="240" w:lineRule="exact"/>
      <w:jc w:val="left"/>
    </w:pPr>
    <w:rPr>
      <w:rFonts w:ascii="Verdana" w:hAnsi="Verdana"/>
      <w:sz w:val="20"/>
      <w:szCs w:val="20"/>
      <w:lang w:eastAsia="en-US"/>
    </w:rPr>
  </w:style>
  <w:style w:type="paragraph" w:customStyle="1" w:styleId="528">
    <w:name w:val="xl44"/>
    <w:basedOn w:val="1"/>
    <w:qFormat/>
    <w:uiPriority w:val="0"/>
    <w:pPr>
      <w:widowControl/>
      <w:spacing w:before="100" w:beforeAutospacing="1" w:after="100" w:afterAutospacing="1"/>
      <w:jc w:val="left"/>
    </w:pPr>
    <w:rPr>
      <w:sz w:val="24"/>
    </w:rPr>
  </w:style>
  <w:style w:type="paragraph" w:customStyle="1" w:styleId="529">
    <w:name w:val="图表"/>
    <w:basedOn w:val="1"/>
    <w:next w:val="530"/>
    <w:qFormat/>
    <w:uiPriority w:val="0"/>
    <w:pPr>
      <w:spacing w:before="120" w:line="240" w:lineRule="atLeast"/>
      <w:ind w:left="-420" w:right="-1349"/>
      <w:jc w:val="center"/>
    </w:pPr>
    <w:rPr>
      <w:rFonts w:ascii="宋体" w:hAnsi="Arial"/>
      <w:sz w:val="28"/>
      <w:szCs w:val="20"/>
      <w:lang w:val="en-US" w:eastAsia="zh-CN"/>
    </w:rPr>
  </w:style>
  <w:style w:type="paragraph" w:customStyle="1" w:styleId="530">
    <w:name w:val="图表说明"/>
    <w:basedOn w:val="1"/>
    <w:next w:val="1"/>
    <w:qFormat/>
    <w:uiPriority w:val="0"/>
    <w:pPr>
      <w:spacing w:after="120" w:line="240" w:lineRule="atLeast"/>
      <w:ind w:left="-420" w:right="-1349"/>
      <w:jc w:val="center"/>
    </w:pPr>
    <w:rPr>
      <w:rFonts w:ascii="Arial" w:hAnsi="Arial" w:eastAsia="楷体_GB2312"/>
      <w:sz w:val="24"/>
      <w:szCs w:val="20"/>
    </w:rPr>
  </w:style>
  <w:style w:type="paragraph" w:customStyle="1" w:styleId="531">
    <w:name w:val="Blockquote"/>
    <w:basedOn w:val="1"/>
    <w:qFormat/>
    <w:uiPriority w:val="0"/>
    <w:pPr>
      <w:spacing w:before="100" w:after="100"/>
      <w:ind w:left="360" w:right="360"/>
      <w:jc w:val="left"/>
    </w:pPr>
    <w:rPr>
      <w:sz w:val="24"/>
      <w:szCs w:val="21"/>
    </w:rPr>
  </w:style>
  <w:style w:type="paragraph" w:customStyle="1" w:styleId="532">
    <w:name w:val="大标题"/>
    <w:basedOn w:val="1"/>
    <w:qFormat/>
    <w:uiPriority w:val="0"/>
    <w:pPr>
      <w:jc w:val="center"/>
    </w:pPr>
    <w:rPr>
      <w:rFonts w:eastAsia="黑体" w:cs="宋体"/>
      <w:sz w:val="44"/>
      <w:szCs w:val="20"/>
    </w:rPr>
  </w:style>
  <w:style w:type="paragraph" w:customStyle="1" w:styleId="533">
    <w:name w:val="FA正文"/>
    <w:basedOn w:val="1"/>
    <w:qFormat/>
    <w:uiPriority w:val="0"/>
    <w:pPr>
      <w:spacing w:line="360" w:lineRule="auto"/>
    </w:pPr>
    <w:rPr>
      <w:sz w:val="24"/>
      <w:szCs w:val="21"/>
    </w:rPr>
  </w:style>
  <w:style w:type="paragraph" w:customStyle="1" w:styleId="534">
    <w:name w:val="Plain Text1"/>
    <w:basedOn w:val="1"/>
    <w:qFormat/>
    <w:uiPriority w:val="0"/>
    <w:rPr>
      <w:rFonts w:ascii="宋体" w:hAnsi="Courier New" w:eastAsia="楷体_GB2312" w:cs="宋体"/>
      <w:sz w:val="26"/>
      <w:szCs w:val="26"/>
    </w:rPr>
  </w:style>
  <w:style w:type="paragraph" w:customStyle="1" w:styleId="535">
    <w:name w:val="font10"/>
    <w:basedOn w:val="1"/>
    <w:qFormat/>
    <w:uiPriority w:val="0"/>
    <w:pPr>
      <w:widowControl/>
      <w:spacing w:before="100" w:beforeAutospacing="1" w:after="100" w:afterAutospacing="1"/>
      <w:jc w:val="left"/>
    </w:pPr>
    <w:rPr>
      <w:rFonts w:ascii="宋体" w:hAnsi="宋体" w:cs="宋体"/>
      <w:szCs w:val="21"/>
    </w:rPr>
  </w:style>
  <w:style w:type="paragraph" w:customStyle="1" w:styleId="536">
    <w:name w:val="font5"/>
    <w:basedOn w:val="1"/>
    <w:qFormat/>
    <w:uiPriority w:val="0"/>
    <w:pPr>
      <w:widowControl/>
      <w:spacing w:before="100" w:beforeAutospacing="1" w:after="100" w:afterAutospacing="1"/>
      <w:jc w:val="left"/>
    </w:pPr>
    <w:rPr>
      <w:rFonts w:hint="eastAsia" w:ascii="宋体" w:hAnsi="宋体"/>
      <w:sz w:val="24"/>
    </w:rPr>
  </w:style>
  <w:style w:type="paragraph" w:customStyle="1" w:styleId="537">
    <w:name w:val="正文(标书)"/>
    <w:basedOn w:val="193"/>
    <w:qFormat/>
    <w:uiPriority w:val="0"/>
    <w:pPr>
      <w:spacing w:before="40" w:line="360" w:lineRule="auto"/>
      <w:ind w:firstLine="510"/>
    </w:pPr>
    <w:rPr>
      <w:rFonts w:ascii="宋体" w:eastAsia="宋体"/>
    </w:rPr>
  </w:style>
  <w:style w:type="paragraph" w:styleId="538">
    <w:name w:val="List Paragraph"/>
    <w:basedOn w:val="1"/>
    <w:qFormat/>
    <w:uiPriority w:val="0"/>
    <w:pPr>
      <w:ind w:firstLine="420"/>
    </w:pPr>
    <w:rPr>
      <w:szCs w:val="20"/>
    </w:rPr>
  </w:style>
  <w:style w:type="paragraph" w:customStyle="1" w:styleId="539">
    <w:name w:val="样式 纯文本 + 仿宋_GB2312 黑色 行距: 1.5 倍行距1"/>
    <w:basedOn w:val="228"/>
    <w:qFormat/>
    <w:uiPriority w:val="0"/>
    <w:pPr>
      <w:spacing w:line="360" w:lineRule="auto"/>
      <w:ind w:firstLine="560"/>
    </w:pPr>
    <w:rPr>
      <w:rFonts w:ascii="仿宋_GB2312" w:hAnsi="宋体" w:eastAsia="仿宋_GB2312"/>
      <w:color w:val="000000"/>
      <w:sz w:val="24"/>
    </w:rPr>
  </w:style>
  <w:style w:type="paragraph" w:customStyle="1" w:styleId="540">
    <w:name w:val="msonormalcxspmiddle"/>
    <w:basedOn w:val="1"/>
    <w:qFormat/>
    <w:uiPriority w:val="0"/>
    <w:pPr>
      <w:widowControl/>
      <w:jc w:val="left"/>
    </w:pPr>
    <w:rPr>
      <w:rFonts w:ascii="宋体" w:hAnsi="宋体" w:cs="宋体"/>
      <w:sz w:val="24"/>
    </w:rPr>
  </w:style>
  <w:style w:type="paragraph" w:customStyle="1" w:styleId="541">
    <w:name w:val="font7"/>
    <w:basedOn w:val="1"/>
    <w:qFormat/>
    <w:uiPriority w:val="0"/>
    <w:pPr>
      <w:widowControl/>
      <w:spacing w:before="100" w:beforeAutospacing="1" w:after="100" w:afterAutospacing="1"/>
      <w:jc w:val="left"/>
    </w:pPr>
    <w:rPr>
      <w:sz w:val="24"/>
    </w:rPr>
  </w:style>
  <w:style w:type="paragraph" w:customStyle="1" w:styleId="542">
    <w:name w:val="xl47"/>
    <w:basedOn w:val="1"/>
    <w:qFormat/>
    <w:uiPriority w:val="0"/>
    <w:pPr>
      <w:widowControl/>
      <w:spacing w:before="100" w:beforeAutospacing="1" w:after="100" w:afterAutospacing="1"/>
      <w:jc w:val="left"/>
    </w:pPr>
    <w:rPr>
      <w:rFonts w:hint="eastAsia" w:ascii="仿宋_GB2312" w:hAnsi="宋体" w:eastAsia="仿宋_GB2312"/>
      <w:sz w:val="22"/>
      <w:szCs w:val="22"/>
    </w:rPr>
  </w:style>
  <w:style w:type="paragraph" w:customStyle="1" w:styleId="543">
    <w:name w:val="默认段落字体 Para Char Char Char Char"/>
    <w:basedOn w:val="1"/>
    <w:qFormat/>
    <w:uiPriority w:val="0"/>
    <w:rPr>
      <w:sz w:val="20"/>
      <w:szCs w:val="20"/>
    </w:rPr>
  </w:style>
  <w:style w:type="paragraph" w:customStyle="1" w:styleId="544">
    <w:name w:val="SS正文首行缩进 +"/>
    <w:basedOn w:val="261"/>
    <w:qFormat/>
    <w:uiPriority w:val="0"/>
    <w:pPr>
      <w:spacing w:before="156" w:line="360" w:lineRule="auto"/>
      <w:ind w:firstLine="480"/>
    </w:pPr>
    <w:rPr>
      <w:szCs w:val="20"/>
    </w:rPr>
  </w:style>
  <w:style w:type="paragraph" w:customStyle="1" w:styleId="545">
    <w:name w:val="样式 标题 2H2sect 1.2H21sect 1.21H22sect 1.22H211sect 1.211..."/>
    <w:basedOn w:val="39"/>
    <w:next w:val="1"/>
    <w:qFormat/>
    <w:uiPriority w:val="0"/>
    <w:pPr>
      <w:tabs>
        <w:tab w:val="left" w:pos="1800"/>
      </w:tabs>
      <w:spacing w:line="415" w:lineRule="auto"/>
    </w:pPr>
    <w:rPr>
      <w:rFonts w:ascii="宋体" w:hAnsi="宋体"/>
    </w:rPr>
  </w:style>
  <w:style w:type="paragraph" w:customStyle="1" w:styleId="546">
    <w:name w:val="xl7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47">
    <w:name w:val="TOC 标题"/>
    <w:basedOn w:val="187"/>
    <w:next w:val="1"/>
    <w:qFormat/>
    <w:uiPriority w:val="0"/>
    <w:pPr>
      <w:widowControl/>
      <w:spacing w:before="480" w:after="0" w:line="276" w:lineRule="auto"/>
      <w:jc w:val="left"/>
      <w:outlineLvl w:val="9"/>
    </w:pPr>
    <w:rPr>
      <w:rFonts w:ascii="Cambria" w:hAnsi="Cambria" w:eastAsia="宋体"/>
      <w:bCs/>
      <w:color w:val="365F91"/>
      <w:sz w:val="28"/>
      <w:szCs w:val="28"/>
    </w:rPr>
  </w:style>
  <w:style w:type="paragraph" w:customStyle="1" w:styleId="548">
    <w:name w:val="pa-0"/>
    <w:basedOn w:val="1"/>
    <w:qFormat/>
    <w:uiPriority w:val="0"/>
    <w:pPr>
      <w:widowControl/>
      <w:spacing w:before="150" w:after="150"/>
      <w:jc w:val="left"/>
    </w:pPr>
    <w:rPr>
      <w:rFonts w:ascii="宋体" w:hAnsi="宋体" w:cs="宋体"/>
      <w:sz w:val="24"/>
    </w:rPr>
  </w:style>
  <w:style w:type="paragraph" w:customStyle="1" w:styleId="549">
    <w:name w:val="性能表格"/>
    <w:basedOn w:val="1"/>
    <w:qFormat/>
    <w:uiPriority w:val="0"/>
    <w:pPr>
      <w:spacing w:line="360" w:lineRule="atLeast"/>
    </w:pPr>
    <w:rPr>
      <w:sz w:val="24"/>
      <w:szCs w:val="20"/>
    </w:rPr>
  </w:style>
  <w:style w:type="paragraph" w:customStyle="1" w:styleId="55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51">
    <w:name w:val="xl36"/>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552">
    <w:name w:val="表格"/>
    <w:basedOn w:val="1"/>
    <w:qFormat/>
    <w:uiPriority w:val="0"/>
    <w:rPr>
      <w:rFonts w:ascii="Arial" w:hAnsi="Arial"/>
      <w:sz w:val="24"/>
      <w:szCs w:val="20"/>
    </w:rPr>
  </w:style>
  <w:style w:type="paragraph" w:customStyle="1" w:styleId="553">
    <w:name w:val="xl46"/>
    <w:basedOn w:val="1"/>
    <w:qFormat/>
    <w:uiPriority w:val="0"/>
    <w:pPr>
      <w:widowControl/>
      <w:spacing w:before="100" w:beforeAutospacing="1" w:after="100" w:afterAutospacing="1"/>
      <w:jc w:val="left"/>
    </w:pPr>
    <w:rPr>
      <w:rFonts w:hint="eastAsia" w:ascii="仿宋_GB2312" w:hAnsi="宋体" w:eastAsia="仿宋_GB2312"/>
      <w:sz w:val="24"/>
    </w:rPr>
  </w:style>
  <w:style w:type="paragraph" w:customStyle="1" w:styleId="554">
    <w:name w:val="body3"/>
    <w:basedOn w:val="1"/>
    <w:next w:val="189"/>
    <w:qFormat/>
    <w:uiPriority w:val="0"/>
    <w:pPr>
      <w:widowControl/>
      <w:spacing w:line="0" w:lineRule="atLeast"/>
      <w:ind w:left="2610" w:right="210"/>
      <w:jc w:val="left"/>
    </w:pPr>
    <w:rPr>
      <w:rFonts w:ascii="宋体"/>
      <w:sz w:val="28"/>
      <w:szCs w:val="20"/>
    </w:rPr>
  </w:style>
  <w:style w:type="paragraph" w:customStyle="1" w:styleId="555">
    <w:name w:val="正文.表格"/>
    <w:basedOn w:val="1"/>
    <w:next w:val="1"/>
    <w:qFormat/>
    <w:uiPriority w:val="0"/>
    <w:pPr>
      <w:widowControl/>
      <w:jc w:val="center"/>
    </w:pPr>
  </w:style>
  <w:style w:type="paragraph" w:customStyle="1" w:styleId="556">
    <w:name w:val="简单回函地址"/>
    <w:basedOn w:val="1"/>
    <w:qFormat/>
    <w:uiPriority w:val="0"/>
    <w:rPr>
      <w:rFonts w:ascii="宋体" w:hAnsi="宋体"/>
      <w:color w:val="000000"/>
      <w:szCs w:val="21"/>
    </w:rPr>
  </w:style>
  <w:style w:type="paragraph" w:customStyle="1" w:styleId="557">
    <w:name w:val="目录1"/>
    <w:basedOn w:val="1"/>
    <w:qFormat/>
    <w:uiPriority w:val="0"/>
    <w:pPr>
      <w:widowControl/>
      <w:tabs>
        <w:tab w:val="left" w:leader="dot" w:pos="8503"/>
      </w:tabs>
      <w:spacing w:after="136" w:line="289" w:lineRule="atLeast"/>
      <w:jc w:val="left"/>
    </w:pPr>
    <w:rPr>
      <w:rFonts w:ascii="Arial" w:eastAsia="黑体"/>
      <w:color w:val="000000"/>
      <w:sz w:val="28"/>
      <w:szCs w:val="20"/>
    </w:rPr>
  </w:style>
  <w:style w:type="paragraph" w:customStyle="1" w:styleId="558">
    <w:name w:val="xl3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559">
    <w:name w:val=" Char Char Char Char"/>
    <w:basedOn w:val="1"/>
    <w:qFormat/>
    <w:uiPriority w:val="0"/>
    <w:pPr>
      <w:widowControl/>
      <w:spacing w:after="160" w:line="240" w:lineRule="exact"/>
      <w:jc w:val="left"/>
    </w:pPr>
    <w:rPr>
      <w:sz w:val="24"/>
      <w:szCs w:val="21"/>
    </w:rPr>
  </w:style>
  <w:style w:type="paragraph" w:customStyle="1" w:styleId="560">
    <w:name w:val="样式 仿宋_GB2312 四号 黑色 行距: 1.5 倍行距1"/>
    <w:basedOn w:val="1"/>
    <w:qFormat/>
    <w:uiPriority w:val="0"/>
    <w:pPr>
      <w:spacing w:line="360" w:lineRule="auto"/>
    </w:pPr>
    <w:rPr>
      <w:rFonts w:ascii="仿宋_GB2312" w:hAnsi="宋体" w:eastAsia="仿宋_GB2312"/>
      <w:color w:val="000000"/>
      <w:sz w:val="24"/>
      <w:szCs w:val="20"/>
    </w:rPr>
  </w:style>
  <w:style w:type="paragraph" w:customStyle="1" w:styleId="561">
    <w:name w:val="style25 style2 style26"/>
    <w:basedOn w:val="1"/>
    <w:qFormat/>
    <w:uiPriority w:val="0"/>
    <w:pPr>
      <w:widowControl/>
      <w:spacing w:before="100" w:beforeAutospacing="1" w:after="100" w:afterAutospacing="1"/>
      <w:jc w:val="left"/>
    </w:pPr>
    <w:rPr>
      <w:rFonts w:ascii="Arial Unicode MS" w:hAnsi="Arial Unicode MS"/>
      <w:sz w:val="24"/>
    </w:rPr>
  </w:style>
  <w:style w:type="paragraph" w:customStyle="1" w:styleId="562">
    <w:name w:val="xl31"/>
    <w:basedOn w:val="1"/>
    <w:qFormat/>
    <w:uiPriority w:val="0"/>
    <w:pPr>
      <w:widowControl/>
      <w:pBdr>
        <w:bottom w:val="single" w:color="000000" w:sz="4" w:space="0"/>
      </w:pBdr>
      <w:spacing w:before="100" w:beforeAutospacing="1" w:after="100" w:afterAutospacing="1"/>
      <w:jc w:val="left"/>
    </w:pPr>
    <w:rPr>
      <w:rFonts w:ascii="宋体" w:hAnsi="宋体"/>
      <w:sz w:val="24"/>
    </w:rPr>
  </w:style>
  <w:style w:type="paragraph" w:customStyle="1" w:styleId="563">
    <w:name w:val="缺省文本:1"/>
    <w:basedOn w:val="1"/>
    <w:qFormat/>
    <w:uiPriority w:val="0"/>
    <w:pPr>
      <w:jc w:val="left"/>
    </w:pPr>
    <w:rPr>
      <w:rFonts w:ascii="宋体"/>
      <w:sz w:val="24"/>
      <w:szCs w:val="20"/>
    </w:rPr>
  </w:style>
  <w:style w:type="paragraph" w:customStyle="1" w:styleId="564">
    <w:name w:val="EHPT"/>
    <w:basedOn w:val="1"/>
    <w:next w:val="220"/>
    <w:qFormat/>
    <w:uiPriority w:val="0"/>
    <w:pPr>
      <w:ind w:right="-694"/>
    </w:pPr>
    <w:rPr>
      <w:sz w:val="24"/>
      <w:szCs w:val="20"/>
    </w:rPr>
  </w:style>
  <w:style w:type="paragraph" w:customStyle="1" w:styleId="56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4"/>
    </w:rPr>
  </w:style>
  <w:style w:type="paragraph" w:customStyle="1" w:styleId="566">
    <w:name w:val="样式 标题 3h33rd levelHeading 3 - oldH3l3CT3章标题1Level 3 Hea..."/>
    <w:basedOn w:val="188"/>
    <w:qFormat/>
    <w:uiPriority w:val="0"/>
    <w:pPr>
      <w:keepNext w:val="0"/>
      <w:keepLines w:val="0"/>
      <w:spacing w:before="120" w:after="120" w:line="288" w:lineRule="auto"/>
      <w:contextualSpacing/>
    </w:pPr>
    <w:rPr>
      <w:rFonts w:ascii="Arial" w:hAnsi="Arial" w:cs="宋体"/>
      <w:color w:val="000000"/>
      <w:sz w:val="24"/>
      <w:szCs w:val="20"/>
    </w:rPr>
  </w:style>
  <w:style w:type="paragraph" w:customStyle="1" w:styleId="567">
    <w:name w:val="xl5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hint="eastAsia" w:ascii="楷体_GB2312" w:hAnsi="宋体" w:eastAsia="楷体_GB2312"/>
      <w:color w:val="0000FF"/>
      <w:sz w:val="22"/>
      <w:szCs w:val="22"/>
    </w:rPr>
  </w:style>
  <w:style w:type="paragraph" w:customStyle="1" w:styleId="568">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w:hAnsi="Arial" w:cs="Arial"/>
      <w:szCs w:val="21"/>
    </w:rPr>
  </w:style>
  <w:style w:type="paragraph" w:customStyle="1" w:styleId="56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color w:val="000000"/>
      <w:sz w:val="18"/>
      <w:szCs w:val="18"/>
    </w:rPr>
  </w:style>
  <w:style w:type="paragraph" w:customStyle="1" w:styleId="57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571">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color w:val="000000"/>
      <w:sz w:val="18"/>
      <w:szCs w:val="18"/>
    </w:rPr>
  </w:style>
  <w:style w:type="paragraph" w:customStyle="1" w:styleId="572">
    <w:name w:val="04论文正文"/>
    <w:basedOn w:val="1"/>
    <w:qFormat/>
    <w:uiPriority w:val="0"/>
    <w:pPr>
      <w:spacing w:line="400" w:lineRule="exact"/>
      <w:ind w:firstLine="480"/>
    </w:pPr>
    <w:rPr>
      <w:rFonts w:cs="宋体"/>
      <w:sz w:val="24"/>
    </w:rPr>
  </w:style>
  <w:style w:type="paragraph" w:customStyle="1" w:styleId="573">
    <w:name w:val="无间隔"/>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574">
    <w:name w:val="_Style 14"/>
    <w:basedOn w:val="1"/>
    <w:qFormat/>
    <w:uiPriority w:val="0"/>
    <w:rPr>
      <w:szCs w:val="20"/>
    </w:rPr>
  </w:style>
  <w:style w:type="paragraph" w:customStyle="1" w:styleId="575">
    <w:name w:val="样式 标题 4 + 仿宋_GB2312"/>
    <w:basedOn w:val="189"/>
    <w:qFormat/>
    <w:uiPriority w:val="0"/>
    <w:pPr>
      <w:keepLines w:val="0"/>
      <w:spacing w:before="0" w:after="0" w:line="300" w:lineRule="auto"/>
    </w:pPr>
    <w:rPr>
      <w:rFonts w:ascii="仿宋_GB2312" w:hAnsi="仿宋_GB2312" w:eastAsia="仿宋_GB2312"/>
      <w:color w:val="FF00FF"/>
      <w:sz w:val="30"/>
      <w:szCs w:val="30"/>
    </w:rPr>
  </w:style>
  <w:style w:type="paragraph" w:customStyle="1" w:styleId="576">
    <w:name w:val="Alt+X_首行空2"/>
    <w:basedOn w:val="1"/>
    <w:qFormat/>
    <w:uiPriority w:val="0"/>
    <w:pPr>
      <w:spacing w:line="360" w:lineRule="auto"/>
      <w:ind w:firstLine="480"/>
    </w:pPr>
    <w:rPr>
      <w:rFonts w:cs="宋体"/>
      <w:sz w:val="24"/>
    </w:rPr>
  </w:style>
  <w:style w:type="paragraph" w:customStyle="1" w:styleId="577">
    <w:name w:val="我的正文"/>
    <w:basedOn w:val="1"/>
    <w:qFormat/>
    <w:uiPriority w:val="0"/>
    <w:pPr>
      <w:widowControl/>
      <w:spacing w:line="300" w:lineRule="auto"/>
      <w:jc w:val="left"/>
    </w:pPr>
    <w:rPr>
      <w:rFonts w:eastAsia="楷体_GB2312"/>
      <w:spacing w:val="8"/>
      <w:sz w:val="24"/>
    </w:rPr>
  </w:style>
  <w:style w:type="table" w:customStyle="1" w:styleId="578">
    <w:name w:val="表格样式1"/>
    <w:basedOn w:val="197"/>
    <w:qFormat/>
    <w:uiPriority w:val="0"/>
  </w:style>
  <w:style w:type="table" w:customStyle="1" w:styleId="579">
    <w:name w:val="网格型1"/>
    <w:basedOn w:val="197"/>
    <w:unhideWhenUsed/>
    <w:qFormat/>
    <w:uiPriority w:val="59"/>
    <w:rPr>
      <w:rFonts w:ascii="Calibri" w:hAnsi="Calibri" w:eastAsia="宋体" w:cs="Times New Roman"/>
    </w:rPr>
  </w:style>
  <w:style w:type="paragraph" w:customStyle="1" w:styleId="580">
    <w:name w:val="纯文本111"/>
    <w:basedOn w:val="1"/>
    <w:qFormat/>
    <w:uiPriority w:val="0"/>
    <w:pPr>
      <w:widowControl/>
      <w:jc w:val="left"/>
    </w:pPr>
    <w:rPr>
      <w:rFonts w:ascii="宋体" w:hAnsi="Courier New" w:eastAsia="楷体_GB2312"/>
      <w:sz w:val="26"/>
      <w:szCs w:val="20"/>
    </w:rPr>
  </w:style>
  <w:style w:type="paragraph" w:customStyle="1" w:styleId="581">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582">
    <w:name w:val="正文缩进 字符"/>
    <w:link w:val="1"/>
    <w:qFormat/>
    <w:uiPriority w:val="0"/>
    <w:rPr>
      <w:rFonts w:eastAsia="楷体_GB2312"/>
      <w:sz w:val="24"/>
      <w:lang w:val="en-US" w:eastAsia="zh-CN" w:bidi="ar-SA"/>
    </w:rPr>
  </w:style>
  <w:style w:type="paragraph" w:customStyle="1" w:styleId="583">
    <w:name w:val="纯文本12"/>
    <w:basedOn w:val="1"/>
    <w:qFormat/>
    <w:uiPriority w:val="0"/>
    <w:rPr>
      <w:rFonts w:hint="eastAsia" w:ascii="宋体" w:hAnsi="Courier New" w:eastAsia="楷体_GB2312"/>
      <w:bCs/>
      <w:sz w:val="28"/>
      <w:szCs w:val="20"/>
    </w:rPr>
  </w:style>
  <w:style w:type="character" w:customStyle="1" w:styleId="584">
    <w:name w:val="正文缩进 Char"/>
    <w:link w:val="1"/>
    <w:qFormat/>
    <w:uiPriority w:val="0"/>
    <w:rPr>
      <w:rFonts w:ascii="Times New Roman" w:hAnsi="Times New Roman" w:eastAsia="楷体_GB2312" w:cs="Times New Roman"/>
      <w:sz w:val="24"/>
      <w:lang w:val="en-US" w:eastAsia="zh-CN" w:bidi="ar-SA"/>
    </w:rPr>
  </w:style>
  <w:style w:type="character" w:customStyle="1" w:styleId="585">
    <w:name w:val="标题 1 Char1"/>
    <w:link w:val="1"/>
    <w:qFormat/>
    <w:uiPriority w:val="0"/>
    <w:rPr>
      <w:rFonts w:eastAsia="楷体_GB2312"/>
      <w:b/>
      <w:sz w:val="44"/>
      <w:lang w:val="en-US" w:eastAsia="zh-CN" w:bidi="ar-SA"/>
    </w:rPr>
  </w:style>
  <w:style w:type="character" w:customStyle="1" w:styleId="586">
    <w:name w:val="页眉 字符1"/>
    <w:link w:val="1"/>
    <w:qFormat/>
    <w:uiPriority w:val="99"/>
    <w:rPr>
      <w:rFonts w:eastAsia="楷体_GB2312"/>
      <w:sz w:val="18"/>
      <w:lang w:val="en-US" w:eastAsia="zh-CN" w:bidi="ar-SA"/>
    </w:rPr>
  </w:style>
  <w:style w:type="character" w:customStyle="1" w:styleId="587">
    <w:name w:val="正文文本缩进 3 字符1"/>
    <w:link w:val="1"/>
    <w:qFormat/>
    <w:uiPriority w:val="0"/>
    <w:rPr>
      <w:sz w:val="16"/>
      <w:szCs w:val="16"/>
    </w:rPr>
  </w:style>
  <w:style w:type="character" w:customStyle="1" w:styleId="588">
    <w:name w:val="页脚 字符1"/>
    <w:link w:val="1"/>
    <w:qFormat/>
    <w:uiPriority w:val="0"/>
    <w:rPr>
      <w:rFonts w:eastAsia="宋体"/>
      <w:sz w:val="18"/>
      <w:szCs w:val="18"/>
      <w:lang w:val="en-US" w:eastAsia="zh-CN" w:bidi="ar-SA"/>
    </w:rPr>
  </w:style>
  <w:style w:type="paragraph" w:customStyle="1" w:styleId="589">
    <w:name w:val="Plain Text11"/>
    <w:basedOn w:val="1"/>
    <w:qFormat/>
    <w:uiPriority w:val="0"/>
    <w:rPr>
      <w:rFonts w:ascii="宋体" w:hAnsi="Courier New" w:eastAsia="楷体_GB2312"/>
      <w:sz w:val="28"/>
      <w:szCs w:val="20"/>
    </w:rPr>
  </w:style>
  <w:style w:type="character" w:customStyle="1" w:styleId="590">
    <w:name w:val="font21"/>
    <w:link w:val="1"/>
    <w:qFormat/>
    <w:uiPriority w:val="0"/>
    <w:rPr>
      <w:rFonts w:hint="eastAsia" w:ascii="宋体" w:hAnsi="宋体" w:eastAsia="宋体" w:cs="宋体"/>
      <w:color w:val="000000"/>
      <w:sz w:val="24"/>
      <w:szCs w:val="24"/>
      <w:u w:val="none"/>
    </w:rPr>
  </w:style>
  <w:style w:type="character" w:customStyle="1" w:styleId="591">
    <w:name w:val="font31"/>
    <w:link w:val="1"/>
    <w:qFormat/>
    <w:uiPriority w:val="0"/>
    <w:rPr>
      <w:rFonts w:hint="eastAsia" w:ascii="宋体" w:hAnsi="宋体" w:eastAsia="宋体" w:cs="宋体"/>
      <w:color w:val="000000"/>
      <w:sz w:val="20"/>
      <w:szCs w:val="20"/>
      <w:u w:val="none"/>
    </w:rPr>
  </w:style>
  <w:style w:type="character" w:customStyle="1" w:styleId="592">
    <w:name w:val="font51"/>
    <w:link w:val="1"/>
    <w:qFormat/>
    <w:uiPriority w:val="0"/>
    <w:rPr>
      <w:rFonts w:hint="eastAsia" w:ascii="宋体" w:hAnsi="宋体" w:eastAsia="宋体" w:cs="宋体"/>
      <w:color w:val="FF0000"/>
      <w:sz w:val="21"/>
      <w:szCs w:val="21"/>
      <w:u w:val="none"/>
    </w:rPr>
  </w:style>
  <w:style w:type="paragraph" w:customStyle="1" w:styleId="593">
    <w:name w:val="WPSOffice手动目录 1"/>
    <w:qFormat/>
    <w:uiPriority w:val="0"/>
    <w:pPr>
      <w:ind w:leftChars="0"/>
    </w:pPr>
    <w:rPr>
      <w:rFonts w:ascii="Times New Roman" w:hAnsi="Times New Roman" w:eastAsia="宋体" w:cs="Times New Roman"/>
      <w:sz w:val="20"/>
      <w:szCs w:val="20"/>
    </w:rPr>
  </w:style>
  <w:style w:type="paragraph" w:customStyle="1" w:styleId="594">
    <w:name w:val="标题 211"/>
    <w:basedOn w:val="1"/>
    <w:next w:val="1"/>
    <w:qFormat/>
    <w:uiPriority w:val="0"/>
    <w:pPr>
      <w:outlineLvl w:val="1"/>
    </w:pPr>
    <w:rPr>
      <w:rFonts w:ascii="Arial" w:hAnsi="Arial" w:eastAsia="黑体"/>
      <w:b/>
      <w:bCs/>
      <w:color w:val="000000"/>
      <w:spacing w:val="16"/>
      <w:sz w:val="28"/>
      <w:szCs w:val="32"/>
      <w:lang w:val="en-US" w:eastAsia="zh-CN" w:bidi="ar-SA"/>
    </w:rPr>
  </w:style>
  <w:style w:type="paragraph" w:customStyle="1" w:styleId="595">
    <w:name w:val="正文缩进11"/>
    <w:basedOn w:val="1"/>
    <w:qFormat/>
    <w:uiPriority w:val="99"/>
    <w:pPr>
      <w:ind w:firstLine="420"/>
      <w:jc w:val="left"/>
    </w:pPr>
    <w:rPr>
      <w:rFonts w:eastAsia="楷体_GB2312"/>
      <w:sz w:val="24"/>
    </w:rPr>
  </w:style>
  <w:style w:type="paragraph" w:customStyle="1" w:styleId="596">
    <w:name w:val="纯文本4"/>
    <w:basedOn w:val="1"/>
    <w:qFormat/>
    <w:uiPriority w:val="0"/>
    <w:rPr>
      <w:rFonts w:ascii="宋体" w:hAnsi="Courier New" w:eastAsia="楷体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61</Pages>
  <Words>18866</Words>
  <Characters>19949</Characters>
  <TotalTime>3</TotalTime>
  <ScaleCrop>false</ScaleCrop>
  <LinksUpToDate>false</LinksUpToDate>
  <CharactersWithSpaces>20671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2023-03-06T06:38:00Z</dcterms:created>
  <dc:creator>huting</dc:creator>
  <cp:lastModifiedBy>哆啦A梦</cp:lastModifiedBy>
  <cp:lastPrinted>2024-10-24T09:35:00Z</cp:lastPrinted>
  <dcterms:modified xsi:type="dcterms:W3CDTF">2024-10-25T00:57:25Z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79E4D22302F94E71ABC5BC9F3A0592D5_13</vt:lpwstr>
  </property>
</Properties>
</file>