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宋体" w:hAnsi="宋体" w:cs="宋体"/>
          <w:b/>
          <w:bCs/>
          <w:color w:val="auto"/>
          <w:sz w:val="36"/>
          <w:highlight w:val="none"/>
        </w:rPr>
      </w:pPr>
      <w:r>
        <w:rPr>
          <w:rFonts w:ascii="宋体" w:hAnsi="宋体" w:cs="宋体"/>
          <w:b/>
          <w:bCs/>
          <w:color w:val="auto"/>
          <w:sz w:val="36"/>
          <w:highlight w:val="none"/>
        </w:rPr>
      </w:r>
      <w:r/>
    </w:p>
    <w:p>
      <w:pPr>
        <w:jc w:val="right"/>
        <w:rPr>
          <w:rFonts w:ascii="宋体" w:hAnsi="宋体" w:cs="宋体"/>
          <w:b/>
          <w:bCs/>
          <w:color w:val="auto"/>
          <w:sz w:val="32"/>
          <w:szCs w:val="21"/>
          <w:highlight w:val="none"/>
        </w:rPr>
      </w:pPr>
      <w:r>
        <w:rPr>
          <w:rFonts w:hint="eastAsia" w:ascii="宋体" w:hAnsi="宋体" w:cs="宋体"/>
          <w:b/>
          <w:bCs/>
          <w:color w:val="auto"/>
          <w:sz w:val="32"/>
          <w:szCs w:val="21"/>
          <w:highlight w:val="none"/>
        </w:rPr>
        <w:t xml:space="preserve">JSZC-321000-JSWC-G2025-</w:t>
      </w:r>
      <w:r>
        <w:rPr>
          <w:rFonts w:hint="eastAsia" w:ascii="宋体" w:hAnsi="宋体" w:cs="宋体"/>
          <w:b/>
          <w:bCs/>
          <w:color w:val="auto"/>
          <w:sz w:val="32"/>
          <w:szCs w:val="21"/>
          <w:highlight w:val="none"/>
          <w:lang w:eastAsia="zh-CN"/>
        </w:rPr>
        <w:t xml:space="preserve">0006</w:t>
      </w:r>
      <w:r>
        <w:rPr>
          <w:rFonts w:hint="eastAsia" w:ascii="宋体" w:hAnsi="宋体" w:cs="宋体"/>
          <w:b/>
          <w:bCs/>
          <w:color w:val="auto"/>
          <w:sz w:val="32"/>
          <w:szCs w:val="21"/>
          <w:highlight w:val="none"/>
        </w:rPr>
        <w:t xml:space="preserve">号</w:t>
      </w:r>
      <w:r/>
    </w:p>
    <w:p>
      <w:pPr>
        <w:jc w:val="right"/>
        <w:rPr>
          <w:rFonts w:ascii="宋体" w:hAnsi="宋体" w:cs="宋体"/>
          <w:color w:val="auto"/>
          <w:sz w:val="36"/>
          <w:highlight w:val="none"/>
        </w:rPr>
      </w:pPr>
      <w:r/>
      <w:bookmarkStart w:id="40" w:name="_GoBack"/>
      <w:r/>
      <w:bookmarkEnd w:id="40"/>
      <w:r/>
      <w:r/>
    </w:p>
    <w:p>
      <w:pPr>
        <w:jc w:val="center"/>
        <w:rPr>
          <w:rFonts w:ascii="宋体" w:hAnsi="宋体" w:cs="宋体"/>
          <w:b/>
          <w:bCs/>
          <w:color w:val="auto"/>
          <w:sz w:val="36"/>
          <w:highlight w:val="none"/>
        </w:rPr>
      </w:pPr>
      <w:r>
        <w:rPr>
          <w:rFonts w:ascii="宋体" w:hAnsi="宋体" w:cs="宋体"/>
          <w:b/>
          <w:bCs/>
          <w:color w:val="auto"/>
          <w:sz w:val="36"/>
          <w:highlight w:val="none"/>
        </w:rPr>
      </w:r>
      <w:r/>
    </w:p>
    <w:p>
      <w:pPr>
        <w:jc w:val="center"/>
        <w:spacing w:line="360" w:lineRule="auto"/>
        <w:rPr>
          <w:rFonts w:ascii="宋体" w:hAnsi="宋体" w:cs="宋体"/>
          <w:b/>
          <w:bCs/>
          <w:color w:val="auto"/>
          <w:sz w:val="36"/>
          <w:highlight w:val="none"/>
        </w:rPr>
      </w:pPr>
      <w:r>
        <w:rPr>
          <w:rFonts w:hint="eastAsia" w:ascii="宋体" w:hAnsi="宋体" w:cs="宋体"/>
          <w:b/>
          <w:bCs/>
          <w:color w:val="auto"/>
          <w:sz w:val="36"/>
          <w:highlight w:val="none"/>
        </w:rPr>
        <w:t xml:space="preserve">扬州市农业综合行政执法信息化平台及视频监控网络升级维护项目公开招标文件</w:t>
      </w:r>
      <w:r/>
    </w:p>
    <w:p>
      <w:pPr>
        <w:jc w:val="center"/>
        <w:tabs>
          <w:tab w:val="left" w:pos="4620" w:leader="none"/>
        </w:tabs>
        <w:rPr>
          <w:rFonts w:ascii="宋体" w:hAnsi="宋体" w:cs="宋体"/>
          <w:color w:val="auto"/>
          <w:sz w:val="36"/>
          <w:highlight w:val="none"/>
        </w:rPr>
      </w:pPr>
      <w:r>
        <w:rPr>
          <w:rFonts w:ascii="宋体" w:hAnsi="宋体" w:cs="宋体"/>
          <w:color w:val="auto"/>
          <w:sz w:val="36"/>
          <w:highlight w:val="none"/>
        </w:rPr>
      </w:r>
      <w:r/>
    </w:p>
    <w:p>
      <w:pPr>
        <w:jc w:val="center"/>
        <w:rPr>
          <w:rFonts w:ascii="宋体" w:hAnsi="宋体" w:cs="宋体"/>
          <w:color w:val="auto"/>
          <w:sz w:val="36"/>
          <w:highlight w:val="none"/>
        </w:rPr>
      </w:pPr>
      <w:r>
        <w:rPr>
          <w:rFonts w:ascii="宋体" w:hAnsi="宋体" w:cs="宋体"/>
          <w:color w:val="auto"/>
          <w:sz w:val="36"/>
          <w:highlight w:val="none"/>
        </w:rPr>
      </w:r>
      <w:r/>
    </w:p>
    <w:p>
      <w:pPr>
        <w:jc w:val="left"/>
        <w:rPr>
          <w:rFonts w:ascii="宋体" w:hAnsi="宋体" w:cs="宋体"/>
          <w:color w:val="auto"/>
          <w:sz w:val="36"/>
          <w:highlight w:val="none"/>
        </w:rPr>
      </w:pPr>
      <w:r>
        <w:rPr>
          <w:rFonts w:hint="eastAsia" w:ascii="宋体" w:hAnsi="宋体" w:cs="宋体"/>
          <w:color w:val="auto"/>
          <w:sz w:val="36"/>
          <w:highlight w:val="none"/>
        </w:rPr>
        <mc:AlternateContent>
          <mc:Choice Requires="wpg">
            <w:drawing>
              <wp:inline xmlns:wp="http://schemas.openxmlformats.org/drawingml/2006/wordprocessingDrawing" distT="0" distB="0" distL="0" distR="0">
                <wp:extent cx="5591810" cy="3686810"/>
                <wp:effectExtent l="0" t="0" r="14604" b="1651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16"/>
                        <a:stretch/>
                      </pic:blipFill>
                      <pic:spPr bwMode="auto">
                        <a:xfrm>
                          <a:off x="0" y="0"/>
                          <a:ext cx="5591810" cy="36868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40.3pt;height:290.3pt;mso-wrap-distance-left:0.0pt;mso-wrap-distance-top:0.0pt;mso-wrap-distance-right:0.0pt;mso-wrap-distance-bottom:0.0pt;" stroked="f">
                <v:path textboxrect="0,0,0,0"/>
                <v:imagedata r:id="rId16" o:title=""/>
              </v:shape>
            </w:pict>
          </mc:Fallback>
        </mc:AlternateContent>
      </w:r>
      <w:r/>
    </w:p>
    <w:p>
      <w:pPr>
        <w:jc w:val="center"/>
        <w:rPr>
          <w:rFonts w:ascii="宋体" w:hAnsi="宋体" w:cs="宋体"/>
          <w:color w:val="auto"/>
          <w:sz w:val="36"/>
          <w:highlight w:val="none"/>
        </w:rPr>
      </w:pPr>
      <w:r>
        <w:rPr>
          <w:rFonts w:ascii="宋体" w:hAnsi="宋体" w:cs="宋体"/>
          <w:color w:val="auto"/>
          <w:sz w:val="36"/>
          <w:highlight w:val="none"/>
        </w:rPr>
      </w:r>
      <w:r/>
    </w:p>
    <w:p>
      <w:pPr>
        <w:pStyle w:val="879"/>
        <w:rPr>
          <w:color w:val="auto"/>
          <w:highlight w:val="none"/>
        </w:rPr>
      </w:pPr>
      <w:r>
        <w:rPr>
          <w:color w:val="auto"/>
          <w:highlight w:val="none"/>
        </w:rPr>
      </w:r>
      <w:r/>
    </w:p>
    <w:p>
      <w:pPr>
        <w:ind w:firstLine="1134"/>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采   购  人：扬州市农业综合行政执法监督局</w:t>
      </w:r>
      <w:r/>
    </w:p>
    <w:p>
      <w:pPr>
        <w:ind w:firstLine="1134"/>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采购代理机构(章)：江苏唯诚建设咨询有限公司</w:t>
      </w:r>
      <w:r/>
    </w:p>
    <w:p>
      <w:pPr>
        <w:ind w:firstLine="1134"/>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发 放 日 期：</w:t>
      </w:r>
      <w:bookmarkStart w:id="0" w:name="EB59c3faf64f2a4bd092a206fb1d0c3c03"/>
      <w:r>
        <w:rPr>
          <w:rFonts w:hint="eastAsia" w:ascii="宋体" w:hAnsi="宋体" w:cs="宋体"/>
          <w:b/>
          <w:bCs/>
          <w:color w:val="auto"/>
          <w:sz w:val="32"/>
          <w:szCs w:val="32"/>
          <w:highlight w:val="none"/>
        </w:rPr>
        <w:t xml:space="preserve">2025年2月</w:t>
      </w:r>
      <w:bookmarkEnd w:id="0"/>
      <w:r>
        <w:rPr>
          <w:rFonts w:hint="eastAsia" w:ascii="宋体" w:hAnsi="宋体" w:cs="宋体"/>
          <w:b/>
          <w:bCs/>
          <w:color w:val="auto"/>
          <w:sz w:val="32"/>
          <w:szCs w:val="32"/>
          <w:highlight w:val="none"/>
          <w:lang w:val="en-US" w:eastAsia="zh-CN"/>
        </w:rPr>
        <w:t xml:space="preserve">26</w:t>
      </w:r>
      <w:r>
        <w:rPr>
          <w:rFonts w:hint="eastAsia" w:ascii="宋体" w:hAnsi="宋体" w:cs="宋体"/>
          <w:b/>
          <w:bCs/>
          <w:color w:val="auto"/>
          <w:sz w:val="32"/>
          <w:szCs w:val="32"/>
          <w:highlight w:val="none"/>
        </w:rPr>
        <w:t xml:space="preserve">日</w:t>
      </w:r>
      <w:r/>
    </w:p>
    <w:p>
      <w:pPr>
        <w:jc w:val="center"/>
        <w:spacing w:line="360" w:lineRule="auto"/>
        <w:rPr>
          <w:rFonts w:ascii="宋体" w:hAnsi="宋体" w:cs="宋体"/>
          <w:color w:val="auto"/>
          <w:sz w:val="32"/>
          <w:highlight w:val="none"/>
        </w:rPr>
      </w:pPr>
      <w:r>
        <w:rPr>
          <w:rFonts w:ascii="宋体" w:hAnsi="宋体" w:cs="宋体"/>
          <w:color w:val="auto"/>
          <w:sz w:val="32"/>
          <w:highlight w:val="none"/>
        </w:rPr>
      </w:r>
      <w:r/>
    </w:p>
    <w:p>
      <w:pPr>
        <w:jc w:val="center"/>
        <w:spacing w:line="360" w:lineRule="auto"/>
        <w:rPr>
          <w:rFonts w:ascii="宋体" w:hAnsi="宋体" w:cs="宋体"/>
          <w:color w:val="auto"/>
          <w:sz w:val="32"/>
          <w:highlight w:val="none"/>
        </w:rPr>
      </w:pPr>
      <w:r>
        <w:rPr>
          <w:rFonts w:ascii="宋体" w:hAnsi="宋体" w:cs="宋体"/>
          <w:color w:val="auto"/>
          <w:sz w:val="32"/>
          <w:highlight w:val="none"/>
        </w:rPr>
      </w:r>
      <w:r/>
    </w:p>
    <w:p>
      <w:pPr>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spacing w:line="360" w:lineRule="auto"/>
        <w:rPr>
          <w:rFonts w:ascii="宋体" w:hAnsi="宋体" w:cs="宋体"/>
          <w:b/>
          <w:bCs/>
          <w:color w:val="auto"/>
          <w:sz w:val="32"/>
          <w:szCs w:val="32"/>
          <w:highlight w:val="none"/>
        </w:rPr>
      </w:pPr>
      <w:r>
        <w:rPr>
          <w:rFonts w:hint="eastAsia" w:ascii="宋体" w:hAnsi="宋体" w:cs="宋体"/>
          <w:b/>
          <w:bCs/>
          <w:color w:val="auto"/>
          <w:sz w:val="32"/>
          <w:highlight w:val="none"/>
        </w:rPr>
        <w:t xml:space="preserve">目 录</w:t>
      </w:r>
      <w:r/>
    </w:p>
    <w:p>
      <w:pPr>
        <w:pStyle w:val="865"/>
        <w:spacing w:line="360" w:lineRule="auto"/>
        <w:tabs>
          <w:tab w:val="right" w:pos="8296" w:leader="dot"/>
        </w:tabs>
        <w:rPr>
          <w:rFonts w:ascii="宋体" w:hAnsi="宋体" w:cs="宋体"/>
          <w:color w:val="auto"/>
          <w:highlight w:val="none"/>
        </w:rPr>
      </w:pPr>
      <w:r>
        <w:rPr>
          <w:rFonts w:hint="eastAsia" w:ascii="宋体" w:hAnsi="宋体" w:cs="宋体"/>
          <w:color w:val="auto"/>
          <w:sz w:val="28"/>
          <w:highlight w:val="none"/>
        </w:rPr>
        <w:fldChar w:fldCharType="begin"/>
      </w:r>
      <w:r>
        <w:rPr>
          <w:rFonts w:hint="eastAsia" w:ascii="宋体" w:hAnsi="宋体" w:cs="宋体"/>
          <w:color w:val="auto"/>
          <w:sz w:val="28"/>
          <w:highlight w:val="none"/>
        </w:rPr>
        <w:instrText xml:space="preserve"> TOC \o "1-3" \f </w:instrText>
      </w:r>
      <w:r>
        <w:rPr>
          <w:rFonts w:hint="eastAsia" w:ascii="宋体" w:hAnsi="宋体" w:cs="宋体"/>
          <w:color w:val="auto"/>
          <w:sz w:val="28"/>
          <w:highlight w:val="none"/>
        </w:rPr>
        <w:fldChar w:fldCharType="separate"/>
      </w:r>
      <w:r>
        <w:rPr>
          <w:rFonts w:hint="eastAsia" w:ascii="宋体" w:hAnsi="宋体" w:cs="宋体"/>
          <w:color w:val="auto"/>
          <w:highlight w:val="none"/>
        </w:rPr>
        <w:t xml:space="preserve">第一章 招标公告</w:t>
      </w:r>
      <w:r>
        <w:rPr>
          <w:rFonts w:hint="eastAsia" w:ascii="宋体" w:hAnsi="宋体" w:cs="宋体"/>
          <w:color w:val="auto"/>
          <w:highlight w:val="none"/>
        </w:rPr>
        <w:tab/>
      </w:r>
      <w:r>
        <w:rPr>
          <w:rFonts w:hint="eastAsia" w:ascii="宋体" w:hAnsi="宋体" w:cs="宋体"/>
          <w:color w:val="auto"/>
          <w:highlight w:val="none"/>
        </w:rPr>
        <w:t xml:space="preserve">3</w:t>
      </w:r>
      <w:r/>
    </w:p>
    <w:p>
      <w:pPr>
        <w:pStyle w:val="865"/>
        <w:spacing w:line="360" w:lineRule="auto"/>
        <w:tabs>
          <w:tab w:val="right" w:pos="8296" w:leader="dot"/>
        </w:tabs>
        <w:rPr>
          <w:rFonts w:ascii="宋体" w:hAnsi="宋体" w:cs="宋体"/>
          <w:color w:val="auto"/>
          <w:highlight w:val="none"/>
        </w:rPr>
      </w:pPr>
      <w:r>
        <w:rPr>
          <w:rFonts w:hint="eastAsia" w:ascii="宋体" w:hAnsi="宋体" w:cs="宋体"/>
          <w:color w:val="auto"/>
          <w:highlight w:val="none"/>
        </w:rPr>
        <w:t xml:space="preserve">第二章 投标人须知</w:t>
      </w:r>
      <w:r>
        <w:rPr>
          <w:rFonts w:hint="eastAsia" w:ascii="宋体" w:hAnsi="宋体" w:cs="宋体"/>
          <w:color w:val="auto"/>
          <w:highlight w:val="none"/>
        </w:rPr>
        <w:tab/>
      </w:r>
      <w:r>
        <w:rPr>
          <w:rFonts w:hint="eastAsia" w:ascii="宋体" w:hAnsi="宋体" w:cs="宋体"/>
          <w:color w:val="auto"/>
          <w:highlight w:val="none"/>
        </w:rPr>
        <w:t xml:space="preserve">7</w:t>
      </w:r>
      <w:r/>
    </w:p>
    <w:p>
      <w:pPr>
        <w:pStyle w:val="865"/>
        <w:spacing w:line="360" w:lineRule="auto"/>
        <w:tabs>
          <w:tab w:val="right" w:pos="8296" w:leader="dot"/>
        </w:tabs>
        <w:rPr>
          <w:rFonts w:ascii="宋体" w:hAnsi="宋体" w:cs="宋体"/>
          <w:color w:val="auto"/>
          <w:highlight w:val="none"/>
        </w:rPr>
      </w:pPr>
      <w:r>
        <w:rPr>
          <w:rFonts w:hint="eastAsia" w:ascii="宋体" w:hAnsi="宋体" w:cs="宋体"/>
          <w:color w:val="auto"/>
          <w:highlight w:val="none"/>
        </w:rPr>
        <w:t xml:space="preserve">第三章 合同条款及格式</w:t>
      </w:r>
      <w:r>
        <w:rPr>
          <w:rFonts w:hint="eastAsia" w:ascii="宋体" w:hAnsi="宋体" w:cs="宋体"/>
          <w:color w:val="auto"/>
          <w:highlight w:val="none"/>
        </w:rPr>
        <w:tab/>
      </w:r>
      <w:r>
        <w:rPr>
          <w:rFonts w:hint="eastAsia" w:ascii="宋体" w:hAnsi="宋体" w:cs="宋体"/>
          <w:color w:val="auto"/>
          <w:highlight w:val="none"/>
        </w:rPr>
        <w:t xml:space="preserve">17</w:t>
      </w:r>
      <w:r/>
    </w:p>
    <w:p>
      <w:pPr>
        <w:pStyle w:val="865"/>
        <w:spacing w:line="360" w:lineRule="auto"/>
        <w:tabs>
          <w:tab w:val="right" w:pos="8296" w:leader="dot"/>
        </w:tabs>
        <w:rPr>
          <w:rFonts w:ascii="宋体" w:hAnsi="宋体" w:cs="宋体"/>
          <w:color w:val="auto"/>
          <w:highlight w:val="none"/>
        </w:rPr>
      </w:pPr>
      <w:r>
        <w:rPr>
          <w:rFonts w:hint="eastAsia" w:ascii="宋体" w:hAnsi="宋体" w:cs="宋体"/>
          <w:color w:val="auto"/>
          <w:highlight w:val="none"/>
        </w:rPr>
        <w:t xml:space="preserve">第四章 项目需求</w:t>
      </w:r>
      <w:r>
        <w:rPr>
          <w:rFonts w:hint="eastAsia" w:ascii="宋体" w:hAnsi="宋体" w:cs="宋体"/>
          <w:color w:val="auto"/>
          <w:highlight w:val="none"/>
        </w:rPr>
        <w:tab/>
      </w:r>
      <w:r>
        <w:rPr>
          <w:rFonts w:hint="eastAsia" w:ascii="宋体" w:hAnsi="宋体" w:cs="宋体"/>
          <w:color w:val="auto"/>
          <w:highlight w:val="none"/>
        </w:rPr>
        <w:t xml:space="preserve">23</w:t>
      </w:r>
      <w:r/>
    </w:p>
    <w:p>
      <w:pPr>
        <w:pStyle w:val="865"/>
        <w:spacing w:line="360" w:lineRule="auto"/>
        <w:tabs>
          <w:tab w:val="right" w:pos="8296" w:leader="dot"/>
        </w:tabs>
        <w:rPr>
          <w:rFonts w:ascii="宋体" w:hAnsi="宋体" w:cs="宋体"/>
          <w:color w:val="auto"/>
          <w:highlight w:val="none"/>
        </w:rPr>
      </w:pPr>
      <w:r>
        <w:rPr>
          <w:rFonts w:hint="eastAsia" w:ascii="宋体" w:hAnsi="宋体" w:cs="宋体"/>
          <w:color w:val="auto"/>
          <w:highlight w:val="none"/>
        </w:rPr>
        <w:t xml:space="preserve">第五章 评标方法及评标标准</w:t>
      </w:r>
      <w:r>
        <w:rPr>
          <w:rFonts w:hint="eastAsia" w:ascii="宋体" w:hAnsi="宋体" w:cs="宋体"/>
          <w:color w:val="auto"/>
          <w:highlight w:val="none"/>
        </w:rPr>
        <w:tab/>
      </w:r>
      <w:r>
        <w:rPr>
          <w:rFonts w:hint="eastAsia" w:ascii="宋体" w:hAnsi="宋体" w:cs="宋体"/>
          <w:color w:val="auto"/>
          <w:highlight w:val="none"/>
        </w:rPr>
        <w:t xml:space="preserve">39</w:t>
      </w:r>
      <w:r/>
    </w:p>
    <w:p>
      <w:pPr>
        <w:pStyle w:val="865"/>
        <w:spacing w:line="360" w:lineRule="auto"/>
        <w:tabs>
          <w:tab w:val="right" w:pos="8296" w:leader="dot"/>
        </w:tabs>
        <w:rPr>
          <w:rFonts w:ascii="宋体" w:hAnsi="宋体" w:cs="宋体"/>
          <w:color w:val="auto"/>
          <w:highlight w:val="none"/>
        </w:rPr>
      </w:pPr>
      <w:r>
        <w:rPr>
          <w:rFonts w:hint="eastAsia" w:ascii="宋体" w:hAnsi="宋体" w:cs="宋体"/>
          <w:color w:val="auto"/>
          <w:highlight w:val="none"/>
        </w:rPr>
        <w:t xml:space="preserve">第六章 投标文件格式</w:t>
      </w:r>
      <w:r>
        <w:rPr>
          <w:rFonts w:hint="eastAsia" w:ascii="宋体" w:hAnsi="宋体" w:cs="宋体"/>
          <w:color w:val="auto"/>
          <w:highlight w:val="none"/>
        </w:rPr>
        <w:tab/>
      </w:r>
      <w:r>
        <w:rPr>
          <w:rFonts w:hint="eastAsia" w:ascii="宋体" w:hAnsi="宋体" w:cs="宋体"/>
          <w:color w:val="auto"/>
          <w:highlight w:val="none"/>
        </w:rPr>
        <w:t xml:space="preserve">42</w:t>
      </w:r>
      <w:r/>
    </w:p>
    <w:p>
      <w:pPr>
        <w:jc w:val="center"/>
        <w:spacing w:line="360" w:lineRule="auto"/>
        <w:rPr>
          <w:rFonts w:ascii="宋体" w:hAnsi="宋体" w:cs="宋体"/>
          <w:color w:val="auto"/>
          <w:sz w:val="28"/>
          <w:highlight w:val="none"/>
        </w:rPr>
        <w:sectPr>
          <w:headerReference w:type="default" r:id="rId9"/>
          <w:footerReference w:type="default" r:id="rId12"/>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cs="宋体"/>
          <w:color w:val="auto"/>
          <w:sz w:val="28"/>
          <w:highlight w:val="none"/>
        </w:rPr>
        <w:fldChar w:fldCharType="end"/>
      </w:r>
      <w:r/>
    </w:p>
    <w:p>
      <w:pPr>
        <w:pStyle w:val="834"/>
        <w:jc w:val="center"/>
        <w:spacing w:line="360" w:lineRule="auto"/>
        <w:rPr>
          <w:rFonts w:ascii="宋体" w:hAnsi="宋体" w:cs="宋体"/>
          <w:color w:val="auto"/>
          <w:sz w:val="36"/>
          <w:highlight w:val="none"/>
        </w:rPr>
      </w:pPr>
      <w:r/>
      <w:bookmarkStart w:id="1" w:name="_Toc497133090"/>
      <w:r/>
      <w:bookmarkStart w:id="2" w:name="OLE_LINK1"/>
      <w:r>
        <w:rPr>
          <w:rFonts w:hint="eastAsia" w:ascii="宋体" w:hAnsi="宋体" w:cs="宋体"/>
          <w:color w:val="auto"/>
          <w:sz w:val="36"/>
          <w:highlight w:val="none"/>
        </w:rPr>
        <w:t xml:space="preserve">第一章 招标公告</w:t>
      </w:r>
      <w:bookmarkEnd w:id="1"/>
      <w:r/>
      <w:bookmarkEnd w:id="2"/>
      <w:r/>
      <w:r/>
    </w:p>
    <w:p>
      <w:pPr>
        <w:ind w:firstLine="420"/>
        <w:spacing w:line="360" w:lineRule="auto"/>
        <w:tabs>
          <w:tab w:val="left" w:pos="266" w:leader="none"/>
        </w:tabs>
        <w:rPr>
          <w:rFonts w:ascii="宋体" w:hAnsi="宋体" w:cs="宋体"/>
          <w:color w:val="auto"/>
          <w:szCs w:val="21"/>
          <w:highlight w:val="none"/>
        </w:rPr>
      </w:pPr>
      <w:r/>
      <w:bookmarkStart w:id="3" w:name="_Toc497133091"/>
      <w:r>
        <w:rPr>
          <w:rFonts w:hint="eastAsia" w:ascii="宋体" w:hAnsi="宋体" w:cs="宋体"/>
          <w:color w:val="auto"/>
          <w:highlight w:val="none"/>
        </w:rPr>
        <w:t xml:space="preserve">受扬州市农业综合行政执法监督局的委托，江苏唯诚建设咨询有限公司就扬州市农业综合行政执法信息化平台及视频监控网络升级维护项目进行公开招标采购，欢迎符合条件的供应商投标。</w:t>
      </w:r>
      <w:r/>
    </w:p>
    <w:p>
      <w:pPr>
        <w:ind w:firstLine="422"/>
        <w:spacing w:line="360" w:lineRule="auto"/>
        <w:rPr>
          <w:rFonts w:ascii="宋体" w:hAnsi="宋体" w:cs="宋体"/>
          <w:b/>
          <w:bCs/>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color w:val="auto"/>
          <w:highlight w:val="none"/>
        </w:rPr>
        <w:t xml:space="preserve">项目概况</w:t>
      </w:r>
      <w:r/>
    </w:p>
    <w:p>
      <w:pPr>
        <w:ind w:firstLine="420"/>
        <w:spacing w:line="360" w:lineRule="auto"/>
        <w:rPr>
          <w:rFonts w:ascii="宋体" w:hAnsi="宋体" w:cs="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highlight w:val="none"/>
          <w:u w:val="single"/>
        </w:rPr>
        <w:t xml:space="preserve">扬州市农业综合行政执法信息化平台及视频监控网络升级维护项目 </w:t>
      </w:r>
      <w:r>
        <w:rPr>
          <w:rFonts w:hint="eastAsia" w:ascii="宋体" w:hAnsi="宋体" w:cs="宋体"/>
          <w:color w:val="auto"/>
          <w:highlight w:val="none"/>
        </w:rPr>
        <w:t xml:space="preserve">的潜在投标人可在</w:t>
      </w:r>
      <w:r>
        <w:rPr>
          <w:rFonts w:hint="eastAsia" w:ascii="宋体" w:hAnsi="宋体" w:cs="宋体"/>
          <w:color w:val="auto"/>
          <w:highlight w:val="none"/>
          <w:u w:val="single"/>
        </w:rPr>
        <w:t xml:space="preserve">“扬州市政府采购网”、“江苏省政府采购网”、“中国政府采购网”自行免费下载</w:t>
      </w:r>
      <w:r>
        <w:rPr>
          <w:rFonts w:hint="eastAsia" w:ascii="宋体" w:hAnsi="宋体" w:cs="宋体"/>
          <w:color w:val="auto"/>
          <w:highlight w:val="none"/>
        </w:rPr>
        <w:t xml:space="preserve">招标文件，并于</w:t>
      </w:r>
      <w:r>
        <w:rPr>
          <w:rFonts w:hint="eastAsia" w:ascii="宋体" w:hAnsi="宋体" w:cs="宋体"/>
          <w:color w:val="auto"/>
          <w:szCs w:val="21"/>
          <w:highlight w:val="none"/>
          <w:u w:val="single"/>
        </w:rPr>
        <w:t xml:space="preserve">2025年</w:t>
      </w:r>
      <w:r>
        <w:rPr>
          <w:rFonts w:hint="eastAsia" w:ascii="宋体" w:hAnsi="宋体" w:cs="宋体"/>
          <w:color w:val="auto"/>
          <w:szCs w:val="21"/>
          <w:highlight w:val="none"/>
          <w:u w:val="single"/>
          <w:lang w:val="en-US" w:eastAsia="zh-CN"/>
        </w:rPr>
        <w:t xml:space="preserve">3</w:t>
      </w:r>
      <w:r>
        <w:rPr>
          <w:rFonts w:hint="eastAsia" w:ascii="宋体" w:hAnsi="宋体" w:cs="宋体"/>
          <w:color w:val="auto"/>
          <w:szCs w:val="21"/>
          <w:highlight w:val="none"/>
          <w:u w:val="single"/>
        </w:rPr>
        <w:t xml:space="preserve">月</w:t>
      </w:r>
      <w:r>
        <w:rPr>
          <w:rFonts w:hint="eastAsia" w:ascii="宋体" w:hAnsi="宋体" w:cs="宋体"/>
          <w:color w:val="auto"/>
          <w:szCs w:val="21"/>
          <w:highlight w:val="none"/>
          <w:u w:val="single"/>
          <w:lang w:val="en-US" w:eastAsia="zh-CN"/>
        </w:rPr>
        <w:t xml:space="preserve">19</w:t>
      </w:r>
      <w:r>
        <w:rPr>
          <w:rFonts w:hint="eastAsia" w:ascii="宋体" w:hAnsi="宋体" w:cs="宋体"/>
          <w:color w:val="auto"/>
          <w:szCs w:val="21"/>
          <w:highlight w:val="none"/>
          <w:u w:val="single"/>
        </w:rPr>
        <w:t xml:space="preserve">日14点30分</w:t>
      </w:r>
      <w:r>
        <w:rPr>
          <w:rFonts w:hint="eastAsia" w:ascii="宋体" w:hAnsi="宋体" w:cs="宋体"/>
          <w:bCs/>
          <w:color w:val="auto"/>
          <w:highlight w:val="none"/>
          <w:u w:val="single"/>
        </w:rPr>
        <w:t xml:space="preserve">（</w:t>
      </w:r>
      <w:r>
        <w:rPr>
          <w:rFonts w:hint="eastAsia" w:ascii="宋体" w:hAnsi="宋体" w:cs="宋体"/>
          <w:bCs/>
          <w:color w:val="auto"/>
          <w:highlight w:val="none"/>
        </w:rPr>
        <w:t xml:space="preserve">北京时间）前递交投标文件</w:t>
      </w:r>
      <w:r>
        <w:rPr>
          <w:rFonts w:hint="eastAsia" w:ascii="宋体" w:hAnsi="宋体" w:cs="宋体"/>
          <w:color w:val="auto"/>
          <w:highlight w:val="none"/>
        </w:rPr>
        <w:t xml:space="preserve">。</w:t>
      </w:r>
      <w:r/>
    </w:p>
    <w:p>
      <w:pPr>
        <w:ind w:firstLine="422"/>
        <w:spacing w:line="360" w:lineRule="auto"/>
        <w:tabs>
          <w:tab w:val="left" w:pos="266" w:leader="none"/>
        </w:tabs>
        <w:rPr>
          <w:rFonts w:ascii="宋体" w:hAnsi="宋体" w:cs="宋体"/>
          <w:b/>
          <w:bCs/>
          <w:color w:val="auto"/>
          <w:highlight w:val="none"/>
        </w:rPr>
      </w:pPr>
      <w:r/>
      <w:bookmarkStart w:id="4" w:name="_Toc38985263"/>
      <w:r>
        <w:rPr>
          <w:rFonts w:hint="eastAsia" w:ascii="宋体" w:hAnsi="宋体" w:cs="宋体"/>
          <w:b/>
          <w:bCs/>
          <w:color w:val="auto"/>
          <w:highlight w:val="none"/>
        </w:rPr>
        <w:t xml:space="preserve">一、项目基本情况</w:t>
      </w:r>
      <w:bookmarkEnd w:id="4"/>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1.项目编号：JSZC-321000-JSWC-G2025-</w:t>
      </w:r>
      <w:r>
        <w:rPr>
          <w:rFonts w:hint="eastAsia" w:ascii="宋体" w:hAnsi="宋体" w:cs="宋体"/>
          <w:color w:val="auto"/>
          <w:highlight w:val="none"/>
          <w:lang w:eastAsia="zh-CN"/>
        </w:rPr>
        <w:t xml:space="preserve">0006</w:t>
      </w:r>
      <w:r>
        <w:rPr>
          <w:rFonts w:hint="eastAsia" w:ascii="宋体" w:hAnsi="宋体" w:cs="宋体"/>
          <w:color w:val="auto"/>
          <w:highlight w:val="none"/>
        </w:rPr>
        <w:t xml:space="preserve"> </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2.项目名称：扬州市农业综合行政执法信息化平台及视频监控网络升级维护项目</w:t>
      </w:r>
      <w:r/>
    </w:p>
    <w:p>
      <w:pPr>
        <w:ind w:firstLine="420"/>
        <w:spacing w:line="360" w:lineRule="auto"/>
        <w:rPr>
          <w:rFonts w:ascii="宋体" w:hAnsi="宋体" w:cs="宋体"/>
          <w:color w:val="auto"/>
          <w:sz w:val="24"/>
          <w:szCs w:val="24"/>
          <w:highlight w:val="none"/>
        </w:rPr>
      </w:pPr>
      <w:r>
        <w:rPr>
          <w:rFonts w:hint="eastAsia" w:ascii="宋体" w:hAnsi="宋体" w:cs="宋体"/>
          <w:color w:val="auto"/>
          <w:highlight w:val="none"/>
        </w:rPr>
        <w:t xml:space="preserve">3.预算金额：50.8万元</w:t>
      </w:r>
      <w:r/>
    </w:p>
    <w:p>
      <w:pPr>
        <w:ind w:firstLine="420"/>
        <w:spacing w:line="360" w:lineRule="auto"/>
        <w:rPr>
          <w:color w:val="auto"/>
          <w:highlight w:val="none"/>
        </w:rPr>
      </w:pPr>
      <w:r>
        <w:rPr>
          <w:rFonts w:hint="eastAsia" w:ascii="宋体" w:hAnsi="宋体" w:cs="宋体"/>
          <w:color w:val="auto"/>
          <w:highlight w:val="none"/>
        </w:rPr>
        <w:t xml:space="preserve">4.最高限价：50.8万元，投标报价高于最高限价的作废标处理。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5.采购需求：详见招标文件第四章</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7.供货期：</w:t>
      </w:r>
      <w:bookmarkStart w:id="5" w:name="_Toc38985264"/>
      <w:r>
        <w:rPr>
          <w:rFonts w:hint="eastAsia" w:ascii="宋体" w:hAnsi="宋体" w:cs="宋体"/>
          <w:color w:val="auto"/>
          <w:highlight w:val="none"/>
        </w:rPr>
        <w:t xml:space="preserve">在签订合同后4个月内完成系统设计、开发、对接及联调测试，并上线运行。</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8.本项目</w:t>
      </w:r>
      <w:r>
        <w:rPr>
          <w:rFonts w:hint="eastAsia" w:ascii="宋体" w:hAnsi="宋体" w:cs="宋体"/>
          <w:color w:val="auto"/>
          <w:highlight w:val="none"/>
          <w:u w:val="single"/>
        </w:rPr>
        <w:t xml:space="preserve">不接受</w:t>
      </w:r>
      <w:r>
        <w:rPr>
          <w:rFonts w:hint="eastAsia" w:ascii="宋体" w:hAnsi="宋体" w:cs="宋体"/>
          <w:color w:val="auto"/>
          <w:highlight w:val="none"/>
        </w:rPr>
        <w:t xml:space="preserve">联合体投标。</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9.本项目</w:t>
      </w:r>
      <w:r>
        <w:rPr>
          <w:rFonts w:hint="eastAsia" w:ascii="宋体" w:hAnsi="宋体" w:cs="宋体"/>
          <w:color w:val="auto"/>
          <w:highlight w:val="none"/>
          <w:u w:val="single"/>
        </w:rPr>
        <w:t xml:space="preserve">不接受</w:t>
      </w:r>
      <w:r>
        <w:rPr>
          <w:rFonts w:hint="eastAsia" w:ascii="宋体" w:hAnsi="宋体" w:cs="宋体"/>
          <w:color w:val="auto"/>
          <w:highlight w:val="none"/>
        </w:rPr>
        <w:t xml:space="preserve">进口产品投标。</w:t>
      </w:r>
      <w:r/>
    </w:p>
    <w:p>
      <w:pPr>
        <w:ind w:firstLine="422"/>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二、申请人的资格要求：</w:t>
      </w:r>
      <w:bookmarkEnd w:id="5"/>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1.满足《中华人民共和国政府采购法》第二十二条规定，并提供下列材料：</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1.1法人或者其他组织的营业执照等证明文件，自然人的身份证明</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1.2 依法缴纳职工社会保障资金的证明材料</w:t>
      </w:r>
      <w:r>
        <w:rPr>
          <w:rFonts w:hint="eastAsia" w:ascii="宋体" w:hAnsi="宋体" w:cs="宋体"/>
          <w:b/>
          <w:bCs/>
          <w:i/>
          <w:iCs/>
          <w:color w:val="auto"/>
          <w:szCs w:val="21"/>
          <w:highlight w:val="none"/>
          <w:u w:val="single"/>
        </w:rPr>
        <w:t xml:space="preserve">(税务、银行或社会保险基金管理部门出具的近三个月内任意一个月缴纳职工社会保障资金的缴款凭证或缴款证明)（投标人依法享受缓缴、免缴的提供证明材料）</w:t>
      </w:r>
      <w:r/>
    </w:p>
    <w:p>
      <w:pPr>
        <w:ind w:firstLine="420"/>
        <w:spacing w:line="360" w:lineRule="auto"/>
        <w:rPr>
          <w:rFonts w:ascii="宋体" w:hAnsi="宋体"/>
          <w:b/>
          <w:bCs/>
          <w:i/>
          <w:iCs/>
          <w:color w:val="auto"/>
          <w:highlight w:val="none"/>
          <w:u w:val="single"/>
        </w:rPr>
      </w:pPr>
      <w:r>
        <w:rPr>
          <w:rFonts w:hint="eastAsia" w:ascii="宋体" w:hAnsi="宋体" w:cs="宋体"/>
          <w:i/>
          <w:iCs/>
          <w:color w:val="auto"/>
          <w:szCs w:val="21"/>
          <w:highlight w:val="none"/>
          <w:u w:val="single"/>
        </w:rPr>
        <w:t xml:space="preserve">1.3 投标人近三个月内任意一月依法纳税的缴款凭证</w:t>
      </w:r>
      <w:r>
        <w:rPr>
          <w:rFonts w:hint="eastAsia" w:ascii="宋体" w:hAnsi="宋体" w:cs="宋体"/>
          <w:b/>
          <w:bCs/>
          <w:i/>
          <w:iCs/>
          <w:color w:val="auto"/>
          <w:szCs w:val="21"/>
          <w:highlight w:val="none"/>
          <w:u w:val="single"/>
        </w:rPr>
        <w:t xml:space="preserve">（投标人依法享受缓缴、免缴的提供证明材料）</w:t>
      </w:r>
      <w:r/>
    </w:p>
    <w:p>
      <w:pPr>
        <w:ind w:firstLine="420"/>
        <w:spacing w:line="360" w:lineRule="auto"/>
        <w:rPr>
          <w:rFonts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1.4 上一年度的财务报告情况（</w:t>
      </w:r>
      <w:r>
        <w:rPr>
          <w:rFonts w:hint="eastAsia" w:ascii="宋体" w:hAnsi="宋体" w:cs="宋体"/>
          <w:b/>
          <w:bCs/>
          <w:i/>
          <w:iCs/>
          <w:color w:val="auto"/>
          <w:szCs w:val="21"/>
          <w:highlight w:val="none"/>
          <w:u w:val="single"/>
        </w:rPr>
        <w:t xml:space="preserve">成立不满一年不需提供）</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1.5 具备履行合同所必需的设备和专业技术能力的证明材料</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1.6 参加本次政府采购活动前3年内在经营活动中没有重大违法记录的书面声明</w:t>
      </w:r>
      <w:r/>
    </w:p>
    <w:p>
      <w:pPr>
        <w:ind w:firstLine="420"/>
        <w:spacing w:line="360" w:lineRule="auto"/>
        <w:rPr>
          <w:rFonts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1.7 未被“信用中国”网站（www.creditchina.gov.cn）、“中国政府采购网"(www.ccgp.gov.cn)列入失信被执行人、重大税收违法案件当事人名单、政府采购严重违法失信行为记录名单</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1.8供应商信用承诺函</w:t>
      </w:r>
      <w:r/>
    </w:p>
    <w:p>
      <w:pPr>
        <w:numPr>
          <w:ilvl w:val="0"/>
          <w:numId w:val="7"/>
        </w:numPr>
        <w:ind w:firstLine="420"/>
        <w:spacing w:line="360" w:lineRule="auto"/>
        <w:rPr>
          <w:rFonts w:ascii="宋体" w:hAnsi="宋体" w:cs="宋体"/>
          <w:bCs/>
          <w:iCs/>
          <w:color w:val="auto"/>
          <w:highlight w:val="none"/>
        </w:rPr>
      </w:pPr>
      <w:r>
        <w:rPr>
          <w:rFonts w:hint="eastAsia" w:ascii="宋体" w:hAnsi="宋体" w:cs="宋体"/>
          <w:color w:val="auto"/>
          <w:szCs w:val="21"/>
          <w:highlight w:val="none"/>
        </w:rPr>
        <w:t xml:space="preserve">落实政府采购政策需满足的资格要求：</w:t>
      </w:r>
      <w:r>
        <w:rPr>
          <w:rFonts w:hint="eastAsia" w:ascii="宋体" w:hAnsi="宋体" w:cs="宋体"/>
          <w:bCs/>
          <w:iCs/>
          <w:color w:val="auto"/>
          <w:highlight w:val="none"/>
        </w:rPr>
        <w:t xml:space="preserve">本项目非预留份额的采购项目或采购包，执行价格扣除优惠政策，给予小微型企业、监狱企业或残疾人福利性单位报价20%的扣除，用扣除后的价格参加评审。价格扣除比例对小型企业和微型企业同等对待，不作区分。监狱企业、残疾人福利单位属于小型、微型企业的，不重复享受政策。</w:t>
      </w:r>
      <w:r/>
    </w:p>
    <w:p>
      <w:pPr>
        <w:ind w:firstLine="420"/>
        <w:spacing w:line="360" w:lineRule="auto"/>
        <w:rPr>
          <w:rFonts w:ascii="宋体" w:hAnsi="宋体" w:cs="宋体"/>
          <w:color w:val="auto"/>
          <w:szCs w:val="21"/>
          <w:highlight w:val="none"/>
          <w:lang w:val="en"/>
        </w:rPr>
      </w:pPr>
      <w:r>
        <w:rPr>
          <w:rFonts w:hint="eastAsia" w:ascii="宋体" w:hAnsi="宋体" w:cs="宋体"/>
          <w:color w:val="auto"/>
          <w:szCs w:val="21"/>
          <w:highlight w:val="none"/>
          <w:lang w:val="en"/>
        </w:rPr>
        <w:t xml:space="preserve">本项目采购标的按中小企业划分标准所属行业区分为：</w:t>
      </w:r>
      <w:r>
        <w:rPr>
          <w:rFonts w:hint="eastAsia" w:ascii="宋体" w:hAnsi="宋体" w:cs="宋体"/>
          <w:color w:val="auto"/>
          <w:szCs w:val="21"/>
          <w:highlight w:val="none"/>
        </w:rPr>
        <w:t xml:space="preserve">工业</w:t>
      </w:r>
      <w:r>
        <w:rPr>
          <w:rFonts w:hint="eastAsia" w:ascii="宋体" w:hAnsi="宋体" w:cs="宋体"/>
          <w:color w:val="auto"/>
          <w:szCs w:val="21"/>
          <w:highlight w:val="none"/>
          <w:lang w:val="en"/>
        </w:rPr>
        <w:t xml:space="preserve">（中小微企业划型标准网</w:t>
      </w:r>
      <w:r>
        <w:rPr>
          <w:rFonts w:hint="eastAsia" w:ascii="宋体" w:hAnsi="宋体" w:cs="宋体"/>
          <w:color w:val="auto"/>
          <w:szCs w:val="21"/>
          <w:highlight w:val="none"/>
          <w:lang w:val="en"/>
        </w:rPr>
        <w:fldChar w:fldCharType="begin"/>
      </w:r>
      <w:r>
        <w:rPr>
          <w:rFonts w:hint="eastAsia" w:ascii="宋体" w:hAnsi="宋体" w:cs="宋体"/>
          <w:color w:val="auto"/>
          <w:szCs w:val="21"/>
          <w:highlight w:val="none"/>
          <w:lang w:val="en"/>
        </w:rPr>
        <w:instrText xml:space="preserve"> HYPERLINK "http://www.ccgp.gov.cn/zcfg/mof/201310/t20131029_3587674.htm" </w:instrText>
      </w:r>
      <w:r>
        <w:rPr>
          <w:rFonts w:hint="eastAsia" w:ascii="宋体" w:hAnsi="宋体" w:cs="宋体"/>
          <w:color w:val="auto"/>
          <w:szCs w:val="21"/>
          <w:highlight w:val="none"/>
          <w:lang w:val="en"/>
        </w:rPr>
        <w:fldChar w:fldCharType="separate"/>
      </w:r>
      <w:r>
        <w:rPr>
          <w:rFonts w:hint="eastAsia" w:ascii="宋体" w:hAnsi="宋体" w:cs="宋体"/>
          <w:color w:val="auto"/>
          <w:highlight w:val="none"/>
          <w:lang w:val="en"/>
        </w:rPr>
        <w:t xml:space="preserve">http://www.ccgp.gov.cn/zcfg/mof/201310/t20131029_3587674.htm</w:t>
      </w:r>
      <w:r>
        <w:rPr>
          <w:rFonts w:hint="eastAsia" w:ascii="宋体" w:hAnsi="宋体" w:cs="宋体"/>
          <w:color w:val="auto"/>
          <w:highlight w:val="none"/>
          <w:lang w:val="en"/>
        </w:rPr>
        <w:fldChar w:fldCharType="end"/>
      </w:r>
      <w:r>
        <w:rPr>
          <w:rFonts w:hint="eastAsia" w:ascii="宋体" w:hAnsi="宋体" w:cs="宋体"/>
          <w:color w:val="auto"/>
          <w:szCs w:val="21"/>
          <w:highlight w:val="none"/>
          <w:lang w:val="en"/>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3.本项目的特定资格要求：无</w:t>
      </w:r>
      <w:r/>
    </w:p>
    <w:p>
      <w:pPr>
        <w:ind w:firstLine="422"/>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三、获取招标文件</w:t>
      </w:r>
      <w:r/>
    </w:p>
    <w:p>
      <w:pPr>
        <w:ind w:firstLine="420"/>
        <w:spacing w:line="360" w:lineRule="auto"/>
        <w:rPr>
          <w:rFonts w:ascii="宋体" w:hAnsi="宋体" w:cs="宋体"/>
          <w:color w:val="auto"/>
          <w:highlight w:val="none"/>
        </w:rPr>
      </w:pPr>
      <w:r/>
      <w:bookmarkStart w:id="6" w:name="_Toc38985266"/>
      <w:r>
        <w:rPr>
          <w:rFonts w:hint="eastAsia" w:ascii="宋体" w:hAnsi="宋体" w:cs="宋体"/>
          <w:color w:val="auto"/>
          <w:highlight w:val="none"/>
        </w:rPr>
        <w:t xml:space="preserve">1.时间：自招标文件公告发布之日起5个工作日。5个工作日后仍可下载招标文件，但不作为供应商权益受到损害的证明材料和依据。</w:t>
      </w:r>
      <w:r/>
    </w:p>
    <w:p>
      <w:pPr>
        <w:ind w:firstLine="422"/>
        <w:spacing w:line="360" w:lineRule="auto"/>
        <w:rPr>
          <w:rFonts w:ascii="宋体" w:hAnsi="宋体"/>
          <w:b/>
          <w:bCs/>
          <w:color w:val="auto"/>
          <w:sz w:val="24"/>
          <w:szCs w:val="24"/>
          <w:highlight w:val="none"/>
        </w:rPr>
      </w:pPr>
      <w:r>
        <w:rPr>
          <w:rFonts w:hint="eastAsia" w:ascii="宋体" w:hAnsi="宋体" w:cs="宋体"/>
          <w:b/>
          <w:bCs/>
          <w:color w:val="auto"/>
          <w:highlight w:val="none"/>
        </w:rPr>
        <w:t xml:space="preserve">2.获取方式：</w:t>
      </w:r>
      <w:r>
        <w:rPr>
          <w:rFonts w:hint="eastAsia" w:ascii="宋体" w:hAnsi="宋体"/>
          <w:b/>
          <w:bCs/>
          <w:color w:val="auto"/>
          <w:szCs w:val="21"/>
          <w:highlight w:val="none"/>
        </w:rPr>
        <w:t xml:space="preserve">本项目采用网上注册登记方式。</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3.潜在投标人访问</w:t>
      </w:r>
      <w:r>
        <w:rPr>
          <w:rFonts w:hint="eastAsia" w:ascii="宋体" w:hAnsi="宋体"/>
          <w:b/>
          <w:bCs/>
          <w:color w:val="auto"/>
          <w:szCs w:val="21"/>
          <w:highlight w:val="none"/>
        </w:rPr>
        <w:t xml:space="preserve">政府采购管理交易系统（苏采云）</w:t>
      </w:r>
      <w:r>
        <w:rPr>
          <w:rFonts w:hint="eastAsia" w:ascii="宋体" w:hAnsi="宋体" w:cs="宋体"/>
          <w:b/>
          <w:bCs/>
          <w:color w:val="auto"/>
          <w:highlight w:val="none"/>
        </w:rPr>
        <w:t xml:space="preserve">的网络地址和方法：</w:t>
      </w:r>
      <w:r/>
    </w:p>
    <w:p>
      <w:pPr>
        <w:ind w:firstLine="422"/>
        <w:spacing w:line="360" w:lineRule="auto"/>
        <w:tabs>
          <w:tab w:val="left" w:pos="266" w:leader="none"/>
        </w:tabs>
        <w:rPr>
          <w:rFonts w:ascii="宋体" w:hAnsi="宋体"/>
          <w:b/>
          <w:bCs/>
          <w:color w:val="auto"/>
          <w:szCs w:val="21"/>
          <w:highlight w:val="none"/>
        </w:rPr>
      </w:pPr>
      <w:r>
        <w:rPr>
          <w:rFonts w:hint="eastAsia" w:ascii="宋体" w:hAnsi="宋体"/>
          <w:b/>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tabs>
          <w:tab w:val="left" w:pos="266" w:leader="none"/>
        </w:tabs>
        <w:rPr>
          <w:rFonts w:ascii="宋体" w:hAnsi="宋体"/>
          <w:b/>
          <w:bCs/>
          <w:color w:val="auto"/>
          <w:szCs w:val="21"/>
          <w:highlight w:val="none"/>
        </w:rPr>
      </w:pPr>
      <w:r>
        <w:rPr>
          <w:rFonts w:hint="eastAsia" w:ascii="宋体" w:hAnsi="宋体"/>
          <w:b/>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2"/>
        <w:spacing w:line="360" w:lineRule="auto"/>
        <w:tabs>
          <w:tab w:val="left" w:pos="266" w:leader="none"/>
        </w:tabs>
        <w:rPr>
          <w:rFonts w:ascii="宋体" w:hAnsi="宋体"/>
          <w:b/>
          <w:bCs/>
          <w:color w:val="auto"/>
          <w:szCs w:val="21"/>
          <w:highlight w:val="none"/>
        </w:rPr>
      </w:pPr>
      <w:r>
        <w:rPr>
          <w:rFonts w:hint="eastAsia" w:ascii="宋体" w:hAnsi="宋体"/>
          <w:b/>
          <w:bCs/>
          <w:color w:val="auto"/>
          <w:szCs w:val="21"/>
          <w:highlight w:val="none"/>
        </w:rPr>
        <w:t xml:space="preserve">（3）“CA数字证书”的办理材料以及供应商操作手册详见：</w:t>
      </w:r>
      <w:r/>
    </w:p>
    <w:p>
      <w:pPr>
        <w:ind w:firstLine="422"/>
        <w:jc w:val="left"/>
        <w:spacing w:line="360" w:lineRule="auto"/>
        <w:tabs>
          <w:tab w:val="left" w:pos="266" w:leader="none"/>
        </w:tabs>
        <w:rPr>
          <w:rFonts w:ascii="宋体" w:hAnsi="宋体"/>
          <w:b/>
          <w:bCs/>
          <w:color w:val="auto"/>
          <w:szCs w:val="21"/>
          <w:highlight w:val="none"/>
        </w:rPr>
      </w:pPr>
      <w:r>
        <w:rPr>
          <w:rFonts w:hint="eastAsia" w:ascii="宋体" w:hAnsi="宋体"/>
          <w:b/>
          <w:bCs/>
          <w:color w:val="auto"/>
          <w:szCs w:val="21"/>
          <w:highlight w:val="none"/>
        </w:rPr>
        <w:t xml:space="preserve">http：//zfcg.yangzhou.gov.cn/zfcg/xzzx/202309/4d7de1f7865f4a2894fc22bc452f94d8.shtml。</w:t>
      </w:r>
      <w:r/>
    </w:p>
    <w:p>
      <w:pPr>
        <w:ind w:firstLine="422"/>
        <w:jc w:val="left"/>
        <w:spacing w:line="360" w:lineRule="auto"/>
        <w:tabs>
          <w:tab w:val="left" w:pos="266" w:leader="none"/>
        </w:tabs>
        <w:rPr>
          <w:rFonts w:ascii="宋体" w:hAnsi="宋体"/>
          <w:b/>
          <w:bCs/>
          <w:color w:val="auto"/>
          <w:szCs w:val="21"/>
          <w:highlight w:val="none"/>
        </w:rPr>
      </w:pPr>
      <w:r>
        <w:rPr>
          <w:rFonts w:hint="eastAsia" w:ascii="宋体" w:hAnsi="宋体"/>
          <w:b/>
          <w:bCs/>
          <w:color w:val="auto"/>
          <w:szCs w:val="21"/>
          <w:highlight w:val="none"/>
        </w:rPr>
        <w:t xml:space="preserve">（4）潜在供应商访问“苏采云”系统的网络地址和方法：“苏采云”系统的网址：http：//jszfcg.jsczt.cn/。</w:t>
      </w:r>
      <w:r/>
    </w:p>
    <w:p>
      <w:pPr>
        <w:ind w:firstLine="422"/>
        <w:spacing w:line="360" w:lineRule="auto"/>
        <w:tabs>
          <w:tab w:val="left" w:pos="266" w:leader="none"/>
        </w:tabs>
        <w:rPr>
          <w:rFonts w:ascii="宋体" w:hAnsi="宋体"/>
          <w:b/>
          <w:bCs/>
          <w:color w:val="auto"/>
          <w:szCs w:val="21"/>
          <w:highlight w:val="none"/>
        </w:rPr>
      </w:pPr>
      <w:r>
        <w:rPr>
          <w:rFonts w:hint="eastAsia" w:ascii="宋体" w:hAnsi="宋体"/>
          <w:b/>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422"/>
        <w:spacing w:line="360" w:lineRule="auto"/>
        <w:tabs>
          <w:tab w:val="left" w:pos="266" w:leader="none"/>
        </w:tabs>
        <w:rPr>
          <w:rFonts w:ascii="宋体" w:hAnsi="宋体"/>
          <w:b/>
          <w:bCs/>
          <w:color w:val="auto"/>
          <w:szCs w:val="21"/>
          <w:highlight w:val="none"/>
        </w:rPr>
      </w:pPr>
      <w:r>
        <w:rPr>
          <w:rFonts w:hint="eastAsia" w:ascii="宋体" w:hAnsi="宋体"/>
          <w:b/>
          <w:bCs/>
          <w:color w:val="auto"/>
          <w:szCs w:val="21"/>
          <w:highlight w:val="none"/>
        </w:rPr>
        <w:t xml:space="preserve">（6）招标代理机构（采购代理机构）将数据电文形式的采购文件加载至“苏采云”系统，供潜在供应商下载或者查阅。     </w:t>
      </w:r>
      <w:r/>
    </w:p>
    <w:p>
      <w:pPr>
        <w:ind w:firstLine="422"/>
        <w:spacing w:line="360" w:lineRule="auto"/>
        <w:tabs>
          <w:tab w:val="left" w:pos="266" w:leader="none"/>
        </w:tabs>
        <w:rPr>
          <w:rFonts w:ascii="宋体" w:hAnsi="宋体"/>
          <w:b/>
          <w:bCs/>
          <w:color w:val="auto"/>
          <w:szCs w:val="21"/>
          <w:highlight w:val="none"/>
        </w:rPr>
      </w:pPr>
      <w:r>
        <w:rPr>
          <w:rFonts w:hint="eastAsia" w:ascii="宋体" w:hAnsi="宋体"/>
          <w:b/>
          <w:bCs/>
          <w:color w:val="auto"/>
          <w:szCs w:val="21"/>
          <w:highlight w:val="none"/>
        </w:rPr>
        <w:t xml:space="preserve">（7）苏采云系统使用谷歌浏览器参与不见面开标。</w:t>
      </w:r>
      <w:r/>
    </w:p>
    <w:p>
      <w:pPr>
        <w:ind w:firstLine="422"/>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四、提交投标文件截止时间、开标时间和地点</w:t>
      </w:r>
      <w:bookmarkEnd w:id="6"/>
      <w:r/>
      <w:r/>
    </w:p>
    <w:p>
      <w:pPr>
        <w:ind w:firstLine="420"/>
        <w:spacing w:line="360" w:lineRule="auto"/>
        <w:rPr>
          <w:rFonts w:ascii="宋体" w:hAnsi="宋体" w:cs="宋体"/>
          <w:bCs/>
          <w:color w:val="auto"/>
          <w:szCs w:val="21"/>
          <w:highlight w:val="none"/>
          <w:u w:val="single"/>
        </w:rPr>
      </w:pPr>
      <w:r>
        <w:rPr>
          <w:rFonts w:hint="eastAsia" w:ascii="宋体" w:hAnsi="宋体" w:cs="宋体"/>
          <w:color w:val="auto"/>
          <w:highlight w:val="none"/>
        </w:rPr>
        <w:t xml:space="preserve">1.时间：</w:t>
      </w:r>
      <w:r>
        <w:rPr>
          <w:rFonts w:hint="eastAsia" w:ascii="宋体" w:hAnsi="宋体" w:cs="宋体"/>
          <w:color w:val="auto"/>
          <w:szCs w:val="21"/>
          <w:highlight w:val="none"/>
          <w:u w:val="single"/>
        </w:rPr>
        <w:t xml:space="preserve">2025</w:t>
      </w:r>
      <w:r>
        <w:rPr>
          <w:rFonts w:hint="eastAsia" w:ascii="宋体" w:hAnsi="宋体" w:cs="宋体"/>
          <w:bCs/>
          <w:color w:val="auto"/>
          <w:szCs w:val="21"/>
          <w:highlight w:val="none"/>
          <w:u w:val="single"/>
        </w:rPr>
        <w:t xml:space="preserve">年</w:t>
      </w:r>
      <w:r>
        <w:rPr>
          <w:rFonts w:hint="eastAsia" w:ascii="宋体" w:hAnsi="宋体" w:cs="宋体"/>
          <w:bCs/>
          <w:color w:val="auto"/>
          <w:szCs w:val="21"/>
          <w:highlight w:val="none"/>
          <w:u w:val="single"/>
          <w:lang w:val="en-US" w:eastAsia="zh-CN"/>
        </w:rPr>
        <w:t xml:space="preserve">3</w:t>
      </w:r>
      <w:r>
        <w:rPr>
          <w:rFonts w:hint="eastAsia" w:ascii="宋体" w:hAnsi="宋体" w:cs="宋体"/>
          <w:bCs/>
          <w:color w:val="auto"/>
          <w:szCs w:val="21"/>
          <w:highlight w:val="none"/>
          <w:u w:val="single"/>
        </w:rPr>
        <w:t xml:space="preserve">月</w:t>
      </w:r>
      <w:r>
        <w:rPr>
          <w:rFonts w:hint="eastAsia" w:ascii="宋体" w:hAnsi="宋体" w:cs="宋体"/>
          <w:bCs/>
          <w:color w:val="auto"/>
          <w:szCs w:val="21"/>
          <w:highlight w:val="none"/>
          <w:u w:val="single"/>
          <w:lang w:val="en-US" w:eastAsia="zh-CN"/>
        </w:rPr>
        <w:t xml:space="preserve">19</w:t>
      </w:r>
      <w:r>
        <w:rPr>
          <w:rFonts w:hint="eastAsia" w:ascii="宋体" w:hAnsi="宋体" w:cs="宋体"/>
          <w:bCs/>
          <w:color w:val="auto"/>
          <w:szCs w:val="21"/>
          <w:highlight w:val="none"/>
          <w:u w:val="single"/>
        </w:rPr>
        <w:t xml:space="preserve">日14点30分</w:t>
      </w:r>
      <w:r>
        <w:rPr>
          <w:rFonts w:hint="eastAsia" w:ascii="宋体" w:hAnsi="宋体" w:cs="宋体"/>
          <w:bCs/>
          <w:color w:val="auto"/>
          <w:highlight w:val="none"/>
        </w:rPr>
        <w:t xml:space="preserve">（北京时间）</w:t>
      </w:r>
      <w:r/>
    </w:p>
    <w:p>
      <w:pPr>
        <w:ind w:firstLine="420"/>
        <w:spacing w:line="360" w:lineRule="auto"/>
        <w:rPr>
          <w:rFonts w:ascii="宋体" w:hAnsi="宋体" w:cs="宋体"/>
          <w:bCs/>
          <w:color w:val="auto"/>
          <w:highlight w:val="none"/>
          <w:u w:val="single"/>
        </w:rPr>
      </w:pPr>
      <w:r>
        <w:rPr>
          <w:rFonts w:hint="eastAsia" w:ascii="宋体" w:hAnsi="宋体" w:cs="宋体"/>
          <w:color w:val="auto"/>
          <w:highlight w:val="none"/>
        </w:rPr>
        <w:t xml:space="preserve">2.开标地点：</w:t>
      </w:r>
      <w:r>
        <w:rPr>
          <w:rFonts w:hint="eastAsia" w:ascii="宋体" w:hAnsi="宋体"/>
          <w:bCs/>
          <w:color w:val="auto"/>
          <w:szCs w:val="21"/>
          <w:highlight w:val="none"/>
        </w:rPr>
        <w:t xml:space="preserve">“苏采云”系统（网址：http：//jszfcg.jsczt.cn/）“开标大厅”</w:t>
      </w:r>
      <w:r/>
    </w:p>
    <w:p>
      <w:pPr>
        <w:ind w:firstLine="422"/>
        <w:spacing w:line="360" w:lineRule="auto"/>
        <w:tabs>
          <w:tab w:val="left" w:pos="266" w:leader="none"/>
        </w:tabs>
        <w:rPr>
          <w:rFonts w:ascii="宋体" w:hAnsi="宋体" w:cs="宋体"/>
          <w:b/>
          <w:bCs/>
          <w:color w:val="auto"/>
          <w:highlight w:val="none"/>
        </w:rPr>
      </w:pPr>
      <w:r/>
      <w:bookmarkStart w:id="7" w:name="_Toc38985267"/>
      <w:r>
        <w:rPr>
          <w:rFonts w:hint="eastAsia" w:ascii="宋体" w:hAnsi="宋体" w:cs="宋体"/>
          <w:b/>
          <w:bCs/>
          <w:color w:val="auto"/>
          <w:highlight w:val="none"/>
        </w:rPr>
        <w:t xml:space="preserve">五、公告期限</w:t>
      </w:r>
      <w:bookmarkEnd w:id="7"/>
      <w:r/>
      <w:r/>
    </w:p>
    <w:p>
      <w:pPr>
        <w:ind w:firstLine="420"/>
        <w:spacing w:line="360" w:lineRule="auto"/>
        <w:rPr>
          <w:rFonts w:ascii="宋体" w:hAnsi="宋体" w:cs="宋体"/>
          <w:color w:val="auto"/>
          <w:highlight w:val="none"/>
        </w:rPr>
      </w:pPr>
      <w:r/>
      <w:bookmarkStart w:id="8" w:name="_Toc38985268"/>
      <w:r>
        <w:rPr>
          <w:rFonts w:hint="eastAsia" w:ascii="宋体" w:hAnsi="宋体" w:cs="宋体"/>
          <w:color w:val="auto"/>
          <w:highlight w:val="none"/>
        </w:rPr>
        <w:t xml:space="preserve">招标公告及招标文件公告期限为自本公告发布之日起5个工作日。</w:t>
      </w:r>
      <w:bookmarkEnd w:id="8"/>
      <w:r/>
      <w:r/>
    </w:p>
    <w:p>
      <w:pPr>
        <w:ind w:firstLine="422"/>
        <w:spacing w:line="360" w:lineRule="auto"/>
        <w:tabs>
          <w:tab w:val="left" w:pos="266" w:leader="none"/>
        </w:tabs>
        <w:rPr>
          <w:rFonts w:ascii="宋体" w:hAnsi="宋体" w:cs="宋体"/>
          <w:b/>
          <w:bCs/>
          <w:color w:val="auto"/>
          <w:highlight w:val="none"/>
        </w:rPr>
      </w:pPr>
      <w:r/>
      <w:bookmarkStart w:id="9" w:name="_Toc28359010"/>
      <w:r/>
      <w:bookmarkStart w:id="10" w:name="_Toc28359087"/>
      <w:r>
        <w:rPr>
          <w:rFonts w:hint="eastAsia" w:ascii="宋体" w:hAnsi="宋体" w:cs="宋体"/>
          <w:b/>
          <w:bCs/>
          <w:color w:val="auto"/>
          <w:highlight w:val="none"/>
        </w:rPr>
        <w:t xml:space="preserve">六、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22"/>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中标供应商可凭政府采购合同办理融资贷款，详见江苏政府采购网“政采贷”专栏。</w:t>
      </w:r>
      <w:bookmarkEnd w:id="9"/>
      <w:r/>
      <w:bookmarkEnd w:id="10"/>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七、其他</w:t>
      </w:r>
      <w:r/>
    </w:p>
    <w:p>
      <w:pPr>
        <w:ind w:firstLine="422"/>
        <w:spacing w:line="360" w:lineRule="auto"/>
        <w:rPr>
          <w:rFonts w:ascii="宋体" w:hAnsi="宋体" w:cs="宋体"/>
          <w:b/>
          <w:bCs/>
          <w:color w:val="auto"/>
          <w:szCs w:val="21"/>
          <w:highlight w:val="none"/>
        </w:rPr>
      </w:pPr>
      <w:r/>
      <w:bookmarkStart w:id="11" w:name="_Toc38985269"/>
      <w:r>
        <w:rPr>
          <w:rFonts w:hint="eastAsia" w:ascii="宋体" w:hAnsi="宋体" w:cs="宋体"/>
          <w:b/>
          <w:bCs/>
          <w:color w:val="auto"/>
          <w:szCs w:val="21"/>
          <w:highlight w:val="none"/>
        </w:rPr>
        <w:t xml:space="preserve">1.本次采购采用“政府采购管理交易系统（苏采云）”，招标、投标、评标和成交结果发布全程电子化，开标方式为不见面开标。供应商应当按照《政府采购管理交易系统（苏采云）供应商操作手册》参加投标活动。如供应商未按要求操作，由此所产生的风险由供应商自行承担。</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2"/>
        <w:jc w:val="left"/>
        <w:spacing w:line="360" w:lineRule="auto"/>
        <w:widowControl/>
        <w:rPr>
          <w:rFonts w:ascii="宋体" w:hAnsi="宋体" w:cs="宋体"/>
          <w:b/>
          <w:color w:val="auto"/>
          <w:szCs w:val="21"/>
          <w:highlight w:val="none"/>
        </w:rPr>
      </w:pPr>
      <w:r>
        <w:rPr>
          <w:rFonts w:ascii="宋体" w:hAnsi="宋体" w:cs="宋体"/>
          <w:b/>
          <w:color w:val="auto"/>
          <w:szCs w:val="21"/>
          <w:highlight w:val="none"/>
        </w:rPr>
        <w:t xml:space="preserve">3</w:t>
      </w:r>
      <w:r>
        <w:rPr>
          <w:rFonts w:hint="eastAsia" w:ascii="宋体" w:hAnsi="宋体" w:cs="宋体"/>
          <w:b/>
          <w:color w:val="auto"/>
          <w:szCs w:val="21"/>
          <w:highlight w:val="none"/>
        </w:rPr>
        <w:t xml:space="preserve">.严格执行政府采购关于支持节能</w:t>
      </w:r>
      <w:r>
        <w:rPr>
          <w:rFonts w:hint="eastAsia" w:ascii="宋体" w:hAnsi="宋体" w:cs="宋体"/>
          <w:b/>
          <w:color w:val="auto"/>
          <w:szCs w:val="21"/>
          <w:highlight w:val="none"/>
        </w:rPr>
        <w:t xml:space="preserve">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  </w:t>
      </w:r>
      <w:r/>
    </w:p>
    <w:p>
      <w:pPr>
        <w:ind w:firstLine="422"/>
        <w:jc w:val="left"/>
        <w:spacing w:line="360" w:lineRule="auto"/>
        <w:widowControl/>
        <w:rPr>
          <w:color w:val="auto"/>
          <w:highlight w:val="none"/>
        </w:rPr>
      </w:pPr>
      <w:r>
        <w:rPr>
          <w:rFonts w:ascii="宋体" w:hAnsi="宋体" w:cs="宋体"/>
          <w:b/>
          <w:color w:val="auto"/>
          <w:szCs w:val="21"/>
          <w:highlight w:val="none"/>
        </w:rPr>
        <w:t xml:space="preserve">4</w:t>
      </w:r>
      <w:r>
        <w:rPr>
          <w:rFonts w:hint="eastAsia" w:ascii="宋体" w:hAnsi="宋体" w:cs="宋体"/>
          <w:b/>
          <w:color w:val="auto"/>
          <w:szCs w:val="21"/>
          <w:highlight w:val="none"/>
        </w:rPr>
        <w:t xml:space="preserve">.供应商对于投标产品的包装应按照“财办库[2020]123号《关于印发《商品包装政府采购需求标准（试行）》、《快递包装政府采购需求标准（试行）的通知》”执行。</w:t>
      </w:r>
      <w:r/>
    </w:p>
    <w:p>
      <w:pPr>
        <w:ind w:firstLine="422"/>
        <w:jc w:val="left"/>
        <w:spacing w:line="360" w:lineRule="auto"/>
        <w:widowControl/>
        <w:rPr>
          <w:rFonts w:ascii="宋体" w:hAnsi="宋体" w:cs="宋体"/>
          <w:b/>
          <w:color w:val="auto"/>
          <w:szCs w:val="21"/>
          <w:highlight w:val="none"/>
        </w:rPr>
      </w:pPr>
      <w:r>
        <w:rPr>
          <w:rFonts w:ascii="宋体" w:hAnsi="宋体" w:cs="宋体"/>
          <w:b/>
          <w:color w:val="auto"/>
          <w:szCs w:val="21"/>
          <w:highlight w:val="none"/>
        </w:rPr>
        <w:t xml:space="preserve">5</w:t>
      </w:r>
      <w:r>
        <w:rPr>
          <w:rFonts w:hint="eastAsia" w:ascii="宋体" w:hAnsi="宋体" w:cs="宋体"/>
          <w:b/>
          <w:color w:val="auto"/>
          <w:szCs w:val="21"/>
          <w:highlight w:val="none"/>
        </w:rPr>
        <w:t xml:space="preserve">.潜在供应商对采购文件项目需求部分的询问、质疑请向采购人提出，由采购人负责答复。</w:t>
      </w:r>
      <w:r/>
    </w:p>
    <w:p>
      <w:pPr>
        <w:ind w:firstLine="420"/>
        <w:spacing w:line="360" w:lineRule="auto"/>
        <w:rPr>
          <w:rFonts w:ascii="宋体" w:hAnsi="宋体" w:cs="宋体"/>
          <w:bCs/>
          <w:color w:val="auto"/>
          <w:highlight w:val="none"/>
        </w:rPr>
      </w:pPr>
      <w:r>
        <w:rPr>
          <w:rFonts w:ascii="宋体" w:hAnsi="宋体" w:cs="宋体"/>
          <w:bCs/>
          <w:color w:val="auto"/>
          <w:szCs w:val="21"/>
          <w:highlight w:val="none"/>
        </w:rPr>
        <w:t xml:space="preserve">6</w:t>
      </w:r>
      <w:r>
        <w:rPr>
          <w:rFonts w:hint="eastAsia" w:ascii="宋体" w:hAnsi="宋体" w:cs="宋体"/>
          <w:bCs/>
          <w:color w:val="auto"/>
          <w:szCs w:val="21"/>
          <w:highlight w:val="none"/>
        </w:rPr>
        <w:t xml:space="preserve">.</w:t>
      </w:r>
      <w:r>
        <w:rPr>
          <w:rFonts w:hint="eastAsia" w:ascii="宋体" w:hAnsi="宋体"/>
          <w:color w:val="auto"/>
          <w:highlight w:val="none"/>
        </w:rPr>
        <w:t xml:space="preserve">本次招标不收取投标保证金。</w:t>
      </w:r>
      <w:r/>
    </w:p>
    <w:p>
      <w:pPr>
        <w:ind w:firstLine="420"/>
        <w:spacing w:line="360" w:lineRule="auto"/>
        <w:rPr>
          <w:rFonts w:ascii="宋体" w:hAnsi="宋体" w:cs="宋体"/>
          <w:bCs/>
          <w:color w:val="auto"/>
          <w:szCs w:val="21"/>
          <w:highlight w:val="none"/>
        </w:rPr>
      </w:pPr>
      <w:r>
        <w:rPr>
          <w:rFonts w:ascii="宋体" w:hAnsi="宋体" w:cs="宋体"/>
          <w:bCs/>
          <w:color w:val="auto"/>
          <w:szCs w:val="21"/>
          <w:highlight w:val="none"/>
        </w:rPr>
        <w:t xml:space="preserve">7</w:t>
      </w:r>
      <w:r>
        <w:rPr>
          <w:rFonts w:hint="eastAsia" w:ascii="宋体" w:hAnsi="宋体" w:cs="宋体"/>
          <w:bCs/>
          <w:color w:val="auto"/>
          <w:szCs w:val="21"/>
          <w:highlight w:val="none"/>
        </w:rPr>
        <w:t xml:space="preserve">.有关本次招标的事项若存在变动或修改，敬请及时关注“扬州市政府采购网”、“江苏省政府采购网”、“中国政府采购网”发布的信息。</w:t>
      </w:r>
      <w:r/>
    </w:p>
    <w:p>
      <w:pPr>
        <w:ind w:firstLine="422"/>
        <w:jc w:val="left"/>
        <w:spacing w:line="360" w:lineRule="auto"/>
        <w:rPr>
          <w:rFonts w:ascii="宋体" w:hAnsi="宋体" w:cs="宋体"/>
          <w:b/>
          <w:bCs/>
          <w:i/>
          <w:color w:val="auto"/>
          <w:szCs w:val="21"/>
          <w:highlight w:val="none"/>
          <w:u w:val="single"/>
        </w:rPr>
      </w:pPr>
      <w:r>
        <w:rPr>
          <w:rFonts w:ascii="宋体" w:hAnsi="宋体" w:cs="宋体"/>
          <w:b/>
          <w:bCs/>
          <w:i/>
          <w:color w:val="auto"/>
          <w:szCs w:val="21"/>
          <w:highlight w:val="none"/>
          <w:u w:val="single"/>
        </w:rPr>
        <w:t xml:space="preserve">8</w:t>
      </w:r>
      <w:r>
        <w:rPr>
          <w:rFonts w:hint="eastAsia" w:ascii="宋体" w:hAnsi="宋体" w:cs="宋体"/>
          <w:b/>
          <w:bCs/>
          <w:i/>
          <w:color w:val="auto"/>
          <w:szCs w:val="21"/>
          <w:highlight w:val="none"/>
          <w:u w:val="single"/>
        </w:rPr>
        <w:t xml:space="preserve">.本项目招标文件中所有斜体下划线部分为实质性条款，如不满足，则为无效投标</w:t>
      </w:r>
      <w:r/>
    </w:p>
    <w:p>
      <w:pPr>
        <w:ind w:firstLine="420"/>
        <w:jc w:val="left"/>
        <w:spacing w:line="360" w:lineRule="auto"/>
        <w:rPr>
          <w:rFonts w:ascii="宋体" w:hAnsi="宋体" w:cs="宋体"/>
          <w:bCs/>
          <w:color w:val="auto"/>
          <w:szCs w:val="21"/>
          <w:highlight w:val="none"/>
        </w:rPr>
      </w:pPr>
      <w:r>
        <w:rPr>
          <w:rFonts w:ascii="宋体" w:hAnsi="宋体" w:cs="宋体"/>
          <w:bCs/>
          <w:color w:val="auto"/>
          <w:szCs w:val="21"/>
          <w:highlight w:val="none"/>
        </w:rPr>
        <w:t xml:space="preserve">9</w:t>
      </w:r>
      <w:r>
        <w:rPr>
          <w:rFonts w:hint="eastAsia" w:ascii="宋体" w:hAnsi="宋体" w:cs="宋体"/>
          <w:bCs/>
          <w:color w:val="auto"/>
          <w:szCs w:val="21"/>
          <w:highlight w:val="none"/>
        </w:rPr>
        <w:t xml:space="preserve">.如在开标时间发生系统崩溃等不可预见的情况，造成开评标活动无法正常进行的，将延迟开评标，具体开评标时间另行通知。</w:t>
      </w:r>
      <w:r/>
    </w:p>
    <w:p>
      <w:pPr>
        <w:ind w:firstLine="422"/>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八、本次招标联系方式</w:t>
      </w:r>
      <w:bookmarkEnd w:id="11"/>
      <w:r/>
      <w:r/>
    </w:p>
    <w:p>
      <w:pPr>
        <w:ind w:firstLine="420"/>
        <w:jc w:val="left"/>
        <w:spacing w:line="360" w:lineRule="auto"/>
        <w:widowControl/>
        <w:rPr>
          <w:color w:val="auto"/>
          <w:highlight w:val="none"/>
        </w:rPr>
      </w:pPr>
      <w:r>
        <w:rPr>
          <w:rFonts w:hint="eastAsia" w:ascii="宋体" w:hAnsi="宋体" w:cs="宋体"/>
          <w:color w:val="auto"/>
          <w:highlight w:val="none"/>
        </w:rPr>
        <w:t xml:space="preserve">1.采购人信息</w:t>
      </w:r>
      <w:r/>
    </w:p>
    <w:p>
      <w:pPr>
        <w:pStyle w:val="1077"/>
        <w:ind w:firstLine="420"/>
        <w:jc w:val="left"/>
        <w:spacing w:line="360" w:lineRule="auto"/>
        <w:rPr>
          <w:rFonts w:ascii="宋体" w:hAnsi="宋体" w:cs="宋体"/>
          <w:color w:val="auto"/>
          <w:szCs w:val="21"/>
          <w:highlight w:val="none"/>
        </w:rPr>
      </w:pPr>
      <w:r/>
      <w:bookmarkStart w:id="12" w:name="_Toc28359086"/>
      <w:r/>
      <w:bookmarkStart w:id="13" w:name="_Toc28359009"/>
      <w:r>
        <w:rPr>
          <w:rFonts w:hint="eastAsia" w:ascii="宋体" w:hAnsi="宋体" w:cs="宋体"/>
          <w:color w:val="auto"/>
          <w:szCs w:val="21"/>
          <w:highlight w:val="none"/>
        </w:rPr>
        <w:t xml:space="preserve">名    称：扬州市农业综合行政执法监督局</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    址：扬州市开发区江海路19号</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 系 人：顾凤书</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联系方式：0514-80988215</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2.代理机构信息</w:t>
      </w:r>
      <w:bookmarkEnd w:id="12"/>
      <w:r/>
      <w:bookmarkEnd w:id="13"/>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名    称：江苏唯诚建设咨询有限公司</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地　  址：扬州市维扬路106-1#扬州商城国际大厦19F</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联 系 人：林祖超</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联系方式：18652401357</w:t>
      </w:r>
      <w:r/>
    </w:p>
    <w:p>
      <w:pPr>
        <w:pStyle w:val="1073"/>
        <w:rPr>
          <w:color w:val="auto"/>
          <w:highlight w:val="none"/>
        </w:rPr>
      </w:pPr>
      <w:r>
        <w:rPr>
          <w:color w:val="auto"/>
          <w:highlight w:val="none"/>
        </w:rPr>
      </w:r>
      <w:r/>
    </w:p>
    <w:p>
      <w:pPr>
        <w:pStyle w:val="834"/>
        <w:jc w:val="center"/>
        <w:spacing w:line="240" w:lineRule="auto"/>
        <w:rPr>
          <w:rFonts w:ascii="宋体" w:hAnsi="宋体" w:cs="宋体"/>
          <w:color w:val="auto"/>
          <w:sz w:val="36"/>
          <w:highlight w:val="none"/>
        </w:rPr>
      </w:pPr>
      <w:r>
        <w:rPr>
          <w:rFonts w:hint="eastAsia" w:ascii="宋体" w:hAnsi="宋体" w:cs="宋体"/>
          <w:color w:val="auto"/>
          <w:sz w:val="36"/>
          <w:highlight w:val="none"/>
        </w:rPr>
        <w:br w:type="page" w:clear="all"/>
      </w:r>
      <w:r>
        <w:rPr>
          <w:rFonts w:hint="eastAsia" w:ascii="宋体" w:hAnsi="宋体" w:cs="宋体"/>
          <w:color w:val="auto"/>
          <w:sz w:val="36"/>
          <w:highlight w:val="none"/>
        </w:rPr>
        <w:t xml:space="preserve">第二章 投标人须知</w:t>
      </w:r>
      <w:bookmarkEnd w:id="3"/>
      <w:r/>
      <w:r/>
    </w:p>
    <w:p>
      <w:pPr>
        <w:ind w:firstLine="422"/>
        <w:spacing w:line="360" w:lineRule="auto"/>
        <w:rPr>
          <w:rFonts w:ascii="宋体" w:hAnsi="宋体"/>
          <w:b/>
          <w:color w:val="auto"/>
          <w:szCs w:val="21"/>
          <w:highlight w:val="none"/>
        </w:rPr>
      </w:pPr>
      <w:r/>
      <w:bookmarkStart w:id="14" w:name="_Toc497133092"/>
      <w:r>
        <w:rPr>
          <w:rFonts w:hint="eastAsia" w:ascii="宋体" w:hAnsi="宋体"/>
          <w:b/>
          <w:color w:val="auto"/>
          <w:szCs w:val="21"/>
          <w:highlight w:val="none"/>
        </w:rPr>
        <w:t xml:space="preserve">1、招标方式</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1.1 本次招标采取公开招标方式，本招标文件仅适用于JSZC-321000-JSWC-G2025-</w:t>
      </w:r>
      <w:r>
        <w:rPr>
          <w:rFonts w:hint="eastAsia" w:ascii="宋体" w:hAnsi="宋体"/>
          <w:bCs/>
          <w:color w:val="auto"/>
          <w:szCs w:val="21"/>
          <w:highlight w:val="none"/>
          <w:lang w:eastAsia="zh-CN"/>
        </w:rPr>
        <w:t xml:space="preserve">0006</w:t>
      </w:r>
      <w:r>
        <w:rPr>
          <w:rFonts w:hint="eastAsia" w:ascii="宋体" w:hAnsi="宋体"/>
          <w:bCs/>
          <w:color w:val="auto"/>
          <w:szCs w:val="21"/>
          <w:highlight w:val="none"/>
        </w:rPr>
        <w:t xml:space="preserve">号项目。</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2、投标人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2.1 本招标文件中“供应商”，即“投标人”，是指参加投标竞争，并符合招标文件规定资格条件的法人、其他组织或者自然人。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2.2合格的投标人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2.2.1 满足招标公告中供应商的资格条件要求的规定。</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2.2.2 满足本文件实质性条款的规定。</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3、适用法律</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3.1 本次招标及由此产生的合同受中华人民共和国有关的法律法规制约和保护。</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4、投标费用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4.1 投标人应自行承担所有与参加投标有关的费用，无论投标过程中的做法和结果如 何，代理机构在任何情况下均无义务和责任承担这些费用。 </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4.2本次采购由中标人在领取中标通知书前按《招标代理服务收费管理暂行办法》(计价格【2002】1980 号文)货物类一次性支付给代理机构代理服务费(不满叁仟元按叁仟元计取）。 </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（1）代理服务费以人民币支付； </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（2）代理服务费一次性以电汇、转账等非现金形式支付； </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（3）招标代理服务费不在投标报价中单列，包含在投标总价中，由中标单位支付给代理机构。 </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代理服务费开户银行：江苏银行扬州广陵支行</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开户名称：江苏唯诚建设咨询有限公司</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开户帐号：05</w:t>
      </w:r>
      <w:r>
        <w:rPr>
          <w:rFonts w:hint="eastAsia" w:ascii="宋体" w:hAnsi="宋体" w:cs="宋体"/>
          <w:color w:val="auto"/>
          <w:highlight w:val="none"/>
          <w:lang w:eastAsia="zh-CN"/>
        </w:rPr>
        <w:t xml:space="preserve">0006</w:t>
      </w:r>
      <w:r>
        <w:rPr>
          <w:rFonts w:hint="eastAsia" w:ascii="宋体" w:hAnsi="宋体" w:cs="宋体"/>
          <w:color w:val="auto"/>
          <w:highlight w:val="none"/>
        </w:rPr>
        <w:t xml:space="preserve">40900000685</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5、招标文件的约束力</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5.1 投标人一旦参加本项目采购活动，即被认为接受了本招标文件的规定和约束。</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6、招标文件构成</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6.1 招标文件有以下部分组成：</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（1）招标公告</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（2）投标人须知</w:t>
      </w:r>
      <w:r>
        <w:rPr>
          <w:rFonts w:hint="eastAsia" w:ascii="宋体" w:hAnsi="宋体"/>
          <w:bCs/>
          <w:color w:val="auto"/>
          <w:szCs w:val="21"/>
          <w:highlight w:val="none"/>
        </w:rPr>
        <w:tab/>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（3）合同条款及格式</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（4）项目需求</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（5）评标方法与评标标准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（6）投标文件格式</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请仔细检查招标文件是否齐全，如有缺漏请立即与代理机构联系解决。</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6.3 招标文件如果要求供应商提交备选投标方案的，供应商可以提交备选方案；否则，备选方案将被拒绝。</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7、招标文件的澄清</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7.1 任何要求对招标文件进行澄清的投标人，应在投标截止日期的十日前按招标公告中的通讯地址，以书面形式通知代理机构。</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8、招标文件的修改</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8.1 在投标截止时间前，代理机构可以对招标文件进行修改。</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8.2代理机构在招标文件要求提交投标文件截止时间前，有权按照法定要求推迟投标截止时间和开标时间。</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8.3招标文件的修改将在“扬州市政府采购网”、“江苏省政府采购网”、“中国政府采购网”公布，补充文件将作为招标文件的组成部分，并对投标人具有约束力。</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9、投标文件的语言、度量衡单位、货币</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9.1投标人提交的投标文件以及投标人与代理机构就有关投标的所有来往通知、函件和文件均应使用简体中文。</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9.2 除技术性能另有规定外，投标文件所使用的度量衡单位，均须采用国家法定计量单位。</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9.3投标人应使用人民币报价。</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10、投标文件构成</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10.1投标文件由以下部分组成</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（1）资格审查响应对照表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（2）符合性审查响应对照表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（3）非实质性响应对照表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（4）开标一览表 </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（5）分项报价表 </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（6）技术参数响应及偏离表 </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（7）商务条款响应及偏离表 </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（8）其他 （投标人认为有必要提供的声明和文件，如有自拟并自行添加）</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11、证明投标人资格及符合招标文件规定的文件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11.1投标人应按要求提交资格证明文件及符合招标文件规定的文件。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11.2投标人应提交证明其有资格参加投标和中标后有能力独立履行合同的文件。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11.3投标人除必须具有履行合同所需提供的产品或服务的能力外，还必须具备相应的财务、技术方面的能力。</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11.4投标人应提交根据合同要求提供的证明服务质量合格以及符合招标文件规定的证明文件。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11.5证明投标人所提供服务与招标文件的要求相一致的文件可以是手册、图纸、文字资料和数据。</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12、分项报价表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12.1 投标人应按照招标文件规定格式填报分项报价表，每项服务只允许有一个报价，任何有选择的报价将不予接受。</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12.2 标的物</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采购人需求的服务供应、安装，调试及有关技术服务等。</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12.3其它费用处理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招标文件未列明，而投标人认为必需的费用也需列入报价。</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12.4投标货币</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投标文件中的服务单价和总价无特殊规定的采用人民币报价，以元为单位标注。招标文件中另有规定的按规定执行。</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13、技术参数响应及偏离表、商务条款响应及偏离表及投标服务说明</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13.1 对招标文件中的技术与商务条款要求逐项作出响应或偏离，并说明原因；</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13.2 提供参加本项目类似案例简介；</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13.3 详细阐述所投服务的主要组成部分、功能设计、实现思路及关键技术；</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13.4 投标人认为需要的其他技术文件或说明。</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14、服务承诺及售后服务机构、人员的情况介绍</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14.1投标人的服务承诺应按不低于招标文件中商务要求的标准。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15、投标函和开标一览表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15.1 投标人应按照招标文件中提供的格式完整、正确填写投标函、开标一览表。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16、投标有效期</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16.1 投标有效期为开标之日起六十（60）天。投标有效期比规定短的将被视为非响应性投标而予以拒绝。</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ascii="宋体" w:hAnsi="宋体"/>
          <w:b/>
          <w:color w:val="auto"/>
          <w:szCs w:val="21"/>
          <w:highlight w:val="none"/>
        </w:rPr>
      </w:pPr>
      <w:r/>
      <w:bookmarkStart w:id="15" w:name="_Toc462564084"/>
      <w:r/>
      <w:bookmarkStart w:id="16" w:name="_Toc513029225"/>
      <w:r/>
      <w:bookmarkStart w:id="17" w:name="_Toc16938541"/>
      <w:r/>
      <w:bookmarkStart w:id="18" w:name="_Toc20823297"/>
      <w:r>
        <w:rPr>
          <w:rFonts w:hint="eastAsia" w:ascii="宋体" w:hAnsi="宋体"/>
          <w:b/>
          <w:color w:val="auto"/>
          <w:szCs w:val="21"/>
          <w:highlight w:val="none"/>
        </w:rPr>
        <w:t xml:space="preserve">17、投标文件</w:t>
      </w:r>
      <w:bookmarkEnd w:id="15"/>
      <w:r/>
      <w:bookmarkEnd w:id="16"/>
      <w:r/>
      <w:bookmarkEnd w:id="17"/>
      <w:r/>
      <w:bookmarkEnd w:id="18"/>
      <w:r>
        <w:rPr>
          <w:rFonts w:hint="eastAsia" w:ascii="宋体" w:hAnsi="宋体"/>
          <w:b/>
          <w:color w:val="auto"/>
          <w:szCs w:val="21"/>
          <w:highlight w:val="none"/>
        </w:rPr>
        <w:t xml:space="preserve">的递交</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17.1 电子投标文件的递交投标人应当按照《操作手册》规定，在投标截止时间前制作并上传电子投标文件。</w:t>
      </w:r>
      <w:bookmarkStart w:id="19" w:name="_Toc16938542"/>
      <w:r/>
      <w:bookmarkStart w:id="20" w:name="_Toc513029226"/>
      <w:r/>
      <w:bookmarkStart w:id="21" w:name="_Toc20823298"/>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17.2</w:t>
      </w:r>
      <w:r>
        <w:rPr>
          <w:rFonts w:hint="eastAsia" w:ascii="宋体" w:hAnsi="宋体"/>
          <w:b/>
          <w:bCs/>
          <w:color w:val="auto"/>
          <w:szCs w:val="21"/>
          <w:highlight w:val="none"/>
        </w:rPr>
        <w:t xml:space="preserve">政府采购管理交易系统（苏采云）</w:t>
      </w:r>
      <w:r>
        <w:rPr>
          <w:rFonts w:hint="eastAsia" w:ascii="宋体" w:hAnsi="宋体"/>
          <w:b/>
          <w:color w:val="auto"/>
          <w:szCs w:val="21"/>
          <w:highlight w:val="none"/>
        </w:rPr>
        <w:t xml:space="preserve">相关要求是本招标文件的组成部分。</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17.3投标人应对 CA 证书妥善保管，如被他人盗用投标，因此带来的结果均由投标人自行承担。</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17.4投标人应当对招标文件提出的要求和条件作出实质性响应，并在电子投标系统逐条应答。</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17.5投标人应对要求提供的资格证明文件（如资质证书、资格证书）、技术资料（如白皮书、彩页、手册、检测报告等）扫描上传至投标系统。</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2"/>
        <w:spacing w:line="360" w:lineRule="auto"/>
        <w:rPr>
          <w:color w:val="auto"/>
          <w:highlight w:val="none"/>
        </w:rPr>
      </w:pPr>
      <w:r>
        <w:rPr>
          <w:rFonts w:hint="eastAsia" w:ascii="宋体" w:hAnsi="宋体"/>
          <w:b/>
          <w:color w:val="auto"/>
          <w:szCs w:val="21"/>
          <w:highlight w:val="none"/>
        </w:rPr>
        <w:t xml:space="preserve">17.7各投标人应在规定时间内凭CA证书进行网上解密。</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18、投标截止日期</w:t>
      </w:r>
      <w:bookmarkEnd w:id="19"/>
      <w:r/>
      <w:bookmarkEnd w:id="20"/>
      <w:r/>
      <w:bookmarkEnd w:id="21"/>
      <w:r/>
      <w:r/>
    </w:p>
    <w:p>
      <w:pPr>
        <w:ind w:firstLine="420"/>
        <w:spacing w:line="360" w:lineRule="auto"/>
        <w:rPr>
          <w:rFonts w:ascii="宋体" w:hAnsi="宋体"/>
          <w:bCs/>
          <w:i/>
          <w:iCs/>
          <w:color w:val="auto"/>
          <w:szCs w:val="21"/>
          <w:highlight w:val="none"/>
          <w:u w:val="single"/>
        </w:rPr>
      </w:pPr>
      <w:r>
        <w:rPr>
          <w:rFonts w:hint="eastAsia" w:ascii="宋体" w:hAnsi="宋体"/>
          <w:bCs/>
          <w:i/>
          <w:iCs/>
          <w:color w:val="auto"/>
          <w:szCs w:val="21"/>
          <w:highlight w:val="none"/>
          <w:u w:val="single"/>
        </w:rPr>
        <w:t xml:space="preserve">18.1 投标人上传电子投标文件的时间不得迟于招标公告中规定的投标截止时间。</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ascii="宋体" w:hAnsi="宋体"/>
          <w:b/>
          <w:color w:val="auto"/>
          <w:szCs w:val="21"/>
          <w:highlight w:val="none"/>
        </w:rPr>
      </w:pPr>
      <w:r/>
      <w:bookmarkStart w:id="22" w:name="_Toc20823299"/>
      <w:r/>
      <w:bookmarkStart w:id="23" w:name="_Toc16938543"/>
      <w:r/>
      <w:bookmarkStart w:id="24" w:name="_Toc513029227"/>
      <w:r>
        <w:rPr>
          <w:rFonts w:hint="eastAsia" w:ascii="宋体" w:hAnsi="宋体"/>
          <w:b/>
          <w:color w:val="auto"/>
          <w:szCs w:val="21"/>
          <w:highlight w:val="none"/>
        </w:rPr>
        <w:t xml:space="preserve">19、投标文件</w:t>
      </w:r>
      <w:bookmarkEnd w:id="22"/>
      <w:r/>
      <w:bookmarkEnd w:id="23"/>
      <w:r/>
      <w:bookmarkEnd w:id="24"/>
      <w:r>
        <w:rPr>
          <w:rFonts w:hint="eastAsia" w:ascii="宋体" w:hAnsi="宋体"/>
          <w:b/>
          <w:color w:val="auto"/>
          <w:szCs w:val="21"/>
          <w:highlight w:val="none"/>
        </w:rPr>
        <w:t xml:space="preserve">的拒收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19.1代理机构拒绝接收在其规定的投标截止时间后上传的任何投标文件。</w:t>
      </w:r>
      <w:r/>
    </w:p>
    <w:p>
      <w:pPr>
        <w:ind w:firstLine="422"/>
        <w:spacing w:line="360" w:lineRule="auto"/>
        <w:rPr>
          <w:rFonts w:ascii="宋体" w:hAnsi="宋体"/>
          <w:b/>
          <w:color w:val="auto"/>
          <w:szCs w:val="21"/>
          <w:highlight w:val="none"/>
        </w:rPr>
      </w:pPr>
      <w:r/>
      <w:bookmarkStart w:id="25" w:name="_Toc16938544"/>
      <w:r/>
      <w:bookmarkStart w:id="26" w:name="_Toc513029228"/>
      <w:r/>
      <w:bookmarkStart w:id="27" w:name="_Toc20823300"/>
      <w:r>
        <w:rPr>
          <w:rFonts w:hint="eastAsia" w:ascii="宋体" w:hAnsi="宋体"/>
          <w:b/>
          <w:color w:val="auto"/>
          <w:szCs w:val="21"/>
          <w:highlight w:val="none"/>
        </w:rPr>
        <w:t xml:space="preserve">20、投标文件的撤回和修改</w:t>
      </w:r>
      <w:bookmarkEnd w:id="25"/>
      <w:r/>
      <w:bookmarkEnd w:id="26"/>
      <w:r/>
      <w:bookmarkEnd w:id="27"/>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20.1 投标文件的撤回</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20.1.1 电子投标文件的撤回</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投标人可在投标截止时间前，撤回其电子投标文件，具体操作方法见《操作手册》。</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20.1.2 投标人撤回电子投标文件，则认为其不再参与本项目投标活动。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20.2 投标文件的修改</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投标人可在投标截止时间前，对其电子投标文件进行修改，具体操作方法见《操作手册》。</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20.3 在投标截止时间之后，投标人不得对其电子投标文件作任何修改。</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20.4 在投标截止时间至招标文件中规定的投标有效期满之间的这段时间内，投标人不得撤回其投标。</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21、开标</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21.2投标人不足3家的，不得开标。</w:t>
      </w:r>
      <w:r/>
    </w:p>
    <w:p>
      <w:pPr>
        <w:ind w:firstLine="422"/>
        <w:spacing w:line="360" w:lineRule="auto"/>
        <w:rPr>
          <w:rFonts w:ascii="宋体" w:hAnsi="宋体"/>
          <w:bCs/>
          <w:color w:val="auto"/>
          <w:szCs w:val="21"/>
          <w:highlight w:val="none"/>
        </w:rPr>
      </w:pPr>
      <w:r>
        <w:rPr>
          <w:rFonts w:hint="eastAsia" w:ascii="宋体" w:hAnsi="宋体"/>
          <w:b/>
          <w:color w:val="auto"/>
          <w:szCs w:val="21"/>
          <w:highlight w:val="none"/>
        </w:rPr>
        <w:t xml:space="preserve">21.3开标仪式由代理机构主持。“政府采购管理交易系统（苏采云）”将自动对项目进行开标，并宣读各投标人的《开标一览表》。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21.4投标人在开标过程中涉及到的投标文件解密、开标结果确认等工作，应按照《操作手册》规定执行。</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22、评标委员会</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22.1 开标后，代理机构将立即组织评标委员会（以下简称评委会）进行评标。</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22.2 评委会由采购人代表和有关技术、经济等方面的专家组成，且人员构成符合政府采购有关规定。</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22.3评委会独立工作，负责评审所有投标文件并确定中标候选人。</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23、评标过程的保密与公正</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23.2在评标过程中，投标人不得以任何行为影响评标过程，否则其投标文件将被作为无效投标文件。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23.3 在评标期间，代理机构将设专门工作人员与投标人联系。</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23.4 代理机构和评委会不向未中标的投标人解释未中标原因，也不公布评标过程中的相关细节。</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24、投标的澄清</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24.3 接到评委会澄清要求的投标人如未按规定做出澄清，其风险由投标人自行承担。</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25、对投标文件的初审</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25.1投标文件初审分为资格审查和符合性审查。</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25.1.1资格审查：依据法律法规和招标文件的规定，对投标文件中的资格证明文件进行审查。并将审查结论以书面形式向评委会反馈。</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25.4评委会将对确定为实质性响应的投标进行进一步审核，看其是否有计算上或累加上的算术错误，修正错误的原则如下：</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（1）投标文件中开标一览表内容与投标文件中相应内容不一致的，以开标一览表为准。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（2）大写金额与小写金额不一致的，以大写金额为准。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（3）单价金额小数点或者百分比有明显错位的，以开标一览表的总价为准，并修改单价。</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（4）总价金额与按单价汇总金额不一致的，以单价金额计算结果为准。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同时出现两种以上错误的，按照前款规定的顺序修正。</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25.7 投标人在开、评标全过程中应保持通讯畅通，并安排专人与代理机构及评委会联系。</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26、无效投标、废标及投标人不足三家的处理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26.1无效投标条款</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26.1.1 投标人未成功解密电子投标文件的。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26.1.2 投标人未按照招标文件要求上传电子投标文件的。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26.1.3投标人在报价时采用选择性报价的。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26.1.4投标人不具备招标文件中规定资格要求的。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26.1.5投标人的报价超过了采购预算或最高限价的。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26.1.6未通过符合性审查的。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26.1.7不符合招标文件中规定的其他实质性要求和条件的（</w:t>
      </w:r>
      <w:r>
        <w:rPr>
          <w:rFonts w:hint="eastAsia" w:ascii="宋体" w:hAnsi="宋体"/>
          <w:bCs/>
          <w:i/>
          <w:iCs/>
          <w:color w:val="auto"/>
          <w:szCs w:val="21"/>
          <w:highlight w:val="none"/>
          <w:u w:val="single"/>
        </w:rPr>
        <w:t xml:space="preserve">本招标文件中斜体且有下划线部分为实质性要求和条件</w:t>
      </w:r>
      <w:r>
        <w:rPr>
          <w:rFonts w:hint="eastAsia" w:ascii="宋体" w:hAnsi="宋体"/>
          <w:bCs/>
          <w:color w:val="auto"/>
          <w:szCs w:val="21"/>
          <w:highlight w:val="none"/>
        </w:rPr>
        <w:t xml:space="preserve">）。</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26.1.9  投标文件含有采购人不能接受的附加条件的。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26.1.11 本项目采购产品被财政部、国家发改委、生态环境部等列入“节能产品品目清单”、“环境标志产品品目清单”强制采购范围，而投标人所投标产品不在强制采购范围内的。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26.1.12 投标文件未按照招标文件要求加盖电子签章。</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26.1.13其他法律、法规及本招标文件规定的属无效投标的情形。</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26.2废标条款：</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26.2.1符合专业条件的供应商或者对招标文件作实质响应的供应商不足三家的。26.2.2出现影响采购公正的违法、违规行为的。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26.2.3因重大变故，采购任务取消的。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26.2.4评委会认定招标文件存在歧义、重大缺陷导致评审工作无法进行。</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26.3 投标截止时间结束后参加投标的供应商不足三家的处理：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27、确定中标单位</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27.1评委会根据本招标文件规定评标方法与评标标准向采购人推荐出中标候选人。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27.2 采购人应根据评委会推荐的中标候选人确定中标人。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27.3代理机构将在“扬州市政府采购网”、“江苏省政府采购网”、“中国政府采购网”发布中标公告，公告期限为1个工作日。</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27.4若有充分证据证明，中标人出现下列情况之一的，一经查实，将被取消中标资格：</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27.4.1提供虚假材料谋取中标的；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27.4.2向采购人、代理机构行贿或者提供其他不正当利益的；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27.4.3恶意竞争，投标总报价明显低于其自身合理成本且又无法提供证明的；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27.4.4属于本文件规定的无效条件，但在评标过程中又未被评委会发现的；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27.4.5与采购人或者其他投标人恶意串通的；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27.4.6采取不正当手段诋毁、排挤其他供应商的；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27.4.7不符合法律、法规的规定的。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27.5. 有下列情形之一的，视为投标人串通投标，投标无效：</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27.5.1不同投标人的投标文件由同一单位或者个人编制。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27.5.2不同投标人委托同一单位或者个人办理投标事宜。</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27.5.3 不同投标人的投标文件载明的项目管理成员或者联系人员为同一人。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27.5.4不同投标人的投标文件异常一致或者投标报价呈规律性差异。</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27.5.5不同投标人的投标文件相互混装。</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28、质疑处理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对项目需求部分的质疑，潜在供应商应向采购人提出，由采购人负责答复。</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28.2.1对采购文件提出质疑的，应当在获取采购文件之日或者采购文件公告期限届满之日起7个工作日内提出。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28.2.2对采购过程提出质疑的，为各采购程序环节结束之日起7个工作日内提出。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28.2.3对中标结果提出质疑的，为中标结果公告期限届满之日起7个工作日内提出。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28.5 代理机构及采购人只接收以纸质原件形式送达的质疑。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采购人质疑接收人及联系方式见招标文件第一章。</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28.7质疑人应当在法定质疑期限内进行补正并重新提交质疑函。</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 以下情形的质疑不予受理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28.8.1 内容不符合《政府采购质疑和投诉办法》第十二条规定的质疑。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28.8.2 超出政府采购法定期限的质疑。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28.8.3 以传真、电子邮件等方式递交的非原件形式的质疑。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28.8.4 未参加投标活动的供应商或在投标活动中自身权益未受到损害的供应商所提出的质疑。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28.8.5供应商组成联合体参加投标，联合体中任何一方或多方未按要求签字、盖章、加盖公章的质疑。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29、中标通知书</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29.l 中标结果确定后，代理机构将向中标人发出中标通知书。</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29.2 中标人可在“政府采购管理交易系统（苏采云）”中标通知书下载模块中自行下载中标通知书。</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30、 签订合同</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30.l中标人应在中标通知书发出之日起三十日内，按照招标文件确定的事项与采购人签订政府采购合同。</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30.2 招标文件、中标人的投标文件及招标过程中有关澄清、承诺文件均应作为合同附件。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30.3 合同在“政府采购管理交易系统（苏采云）”中签订，签订合同后，</w:t>
      </w:r>
      <w:r>
        <w:rPr>
          <w:rFonts w:hint="eastAsia" w:ascii="宋体" w:hAnsi="宋体"/>
          <w:bCs/>
          <w:i/>
          <w:iCs/>
          <w:color w:val="auto"/>
          <w:szCs w:val="21"/>
          <w:highlight w:val="none"/>
          <w:u w:val="single"/>
        </w:rPr>
        <w:t xml:space="preserve">中标人不得将货物或服务及其他服务进行转包</w:t>
      </w:r>
      <w:r>
        <w:rPr>
          <w:rFonts w:hint="eastAsia" w:ascii="宋体" w:hAnsi="宋体"/>
          <w:bCs/>
          <w:color w:val="auto"/>
          <w:szCs w:val="21"/>
          <w:highlight w:val="none"/>
        </w:rPr>
        <w:t xml:space="preserve">。未经采购人同意，中标人也不得采用分包的形式履行合同，否则采购人有权终止合同。转包或分包造成采购人损失的，中标人应承担赔偿责任。</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pStyle w:val="834"/>
        <w:jc w:val="center"/>
        <w:spacing w:line="360" w:lineRule="auto"/>
        <w:rPr>
          <w:rFonts w:ascii="宋体" w:hAnsi="宋体" w:cs="宋体"/>
          <w:color w:val="auto"/>
          <w:sz w:val="36"/>
          <w:highlight w:val="none"/>
        </w:rPr>
      </w:pPr>
      <w:r>
        <w:rPr>
          <w:rFonts w:hint="eastAsia" w:ascii="宋体" w:hAnsi="宋体" w:cs="宋体"/>
          <w:color w:val="auto"/>
          <w:sz w:val="36"/>
          <w:highlight w:val="none"/>
        </w:rPr>
        <w:br w:type="page" w:clear="all"/>
      </w:r>
      <w:r>
        <w:rPr>
          <w:rFonts w:hint="eastAsia" w:ascii="宋体" w:hAnsi="宋体" w:cs="宋体"/>
          <w:color w:val="auto"/>
          <w:sz w:val="36"/>
          <w:highlight w:val="none"/>
        </w:rPr>
        <w:t xml:space="preserve">第三章 合同条款及格式</w:t>
      </w:r>
      <w:bookmarkEnd w:id="14"/>
      <w:r/>
      <w:r/>
    </w:p>
    <w:p>
      <w:pPr>
        <w:pStyle w:val="857"/>
        <w:ind w:firstLine="420"/>
        <w:spacing w:line="360" w:lineRule="auto"/>
        <w:rPr>
          <w:rFonts w:hAnsi="宋体" w:cs="宋体"/>
          <w:color w:val="auto"/>
          <w:sz w:val="21"/>
          <w:highlight w:val="none"/>
        </w:rPr>
      </w:pPr>
      <w:r/>
      <w:bookmarkStart w:id="28" w:name="_Hlt16619369"/>
      <w:r/>
      <w:bookmarkEnd w:id="28"/>
      <w:r>
        <w:rPr>
          <w:rFonts w:hint="eastAsia" w:hAnsi="宋体" w:cs="宋体"/>
          <w:color w:val="auto"/>
          <w:sz w:val="21"/>
          <w:highlight w:val="none"/>
        </w:rPr>
        <w:t xml:space="preserve">以下为中标后签定本项目合同的通用条款，中标供应商不得提出实质性的修改。关于专用条款将由采购人与中标供应商结合本项目具体情况协商后补充，但补充内容对招标文件和投标文件以及通用条款，不得作实质性修改。</w:t>
      </w:r>
      <w:r/>
    </w:p>
    <w:p>
      <w:pPr>
        <w:pStyle w:val="857"/>
        <w:rPr>
          <w:rFonts w:hAnsi="宋体" w:cs="宋体"/>
          <w:color w:val="auto"/>
          <w:highlight w:val="none"/>
        </w:rPr>
      </w:pPr>
      <w:r>
        <w:rPr>
          <w:rFonts w:hAnsi="宋体" w:cs="宋体"/>
          <w:color w:val="auto"/>
          <w:highlight w:val="none"/>
        </w:rPr>
      </w:r>
      <w:r/>
    </w:p>
    <w:p>
      <w:pPr>
        <w:pStyle w:val="857"/>
        <w:ind w:firstLine="422"/>
        <w:jc w:val="center"/>
        <w:spacing w:before="120" w:after="120" w:line="360" w:lineRule="auto"/>
        <w:rPr>
          <w:rFonts w:hAnsi="宋体"/>
          <w:b/>
          <w:bCs/>
          <w:color w:val="auto"/>
          <w:sz w:val="21"/>
          <w:highlight w:val="none"/>
        </w:rPr>
      </w:pPr>
      <w:r>
        <w:rPr>
          <w:rFonts w:hint="eastAsia" w:hAnsi="宋体"/>
          <w:b/>
          <w:bCs/>
          <w:color w:val="auto"/>
          <w:sz w:val="21"/>
          <w:highlight w:val="none"/>
        </w:rPr>
        <w:t xml:space="preserve">政府采购合同</w:t>
      </w:r>
      <w:r>
        <w:rPr>
          <w:rFonts w:hAnsi="宋体"/>
          <w:b/>
          <w:bCs/>
          <w:color w:val="auto"/>
          <w:sz w:val="21"/>
          <w:highlight w:val="none"/>
        </w:rPr>
        <w:t xml:space="preserve"> </w:t>
      </w:r>
      <w:r/>
    </w:p>
    <w:p>
      <w:pPr>
        <w:pStyle w:val="857"/>
        <w:spacing w:before="120" w:after="120" w:line="360" w:lineRule="auto"/>
        <w:rPr>
          <w:rFonts w:hAnsi="宋体" w:cs="宋体"/>
          <w:color w:val="auto"/>
          <w:sz w:val="21"/>
          <w:highlight w:val="none"/>
        </w:rPr>
      </w:pPr>
      <w:r>
        <w:rPr>
          <w:rFonts w:hint="eastAsia" w:hAnsi="宋体" w:cs="宋体"/>
          <w:color w:val="auto"/>
          <w:sz w:val="21"/>
          <w:highlight w:val="none"/>
        </w:rPr>
        <w:t xml:space="preserve">项目名称：扬州市农业综合行政执法信息化平台及视频监控网络升级维护项目                       </w:t>
      </w:r>
      <w:r/>
    </w:p>
    <w:p>
      <w:pPr>
        <w:pStyle w:val="857"/>
        <w:spacing w:before="120" w:after="120" w:line="360" w:lineRule="auto"/>
        <w:rPr>
          <w:rFonts w:hAnsi="宋体" w:cs="宋体"/>
          <w:color w:val="auto"/>
          <w:sz w:val="21"/>
          <w:highlight w:val="none"/>
        </w:rPr>
      </w:pPr>
      <w:r>
        <w:rPr>
          <w:rFonts w:hint="eastAsia" w:hAnsi="宋体" w:cs="宋体"/>
          <w:color w:val="auto"/>
          <w:sz w:val="21"/>
          <w:highlight w:val="none"/>
        </w:rPr>
        <w:t xml:space="preserve">编号：</w:t>
      </w:r>
      <w:r>
        <w:rPr>
          <w:rFonts w:hint="eastAsia" w:hAnsi="宋体" w:cs="宋体"/>
          <w:color w:val="auto"/>
          <w:highlight w:val="none"/>
        </w:rPr>
        <w:t xml:space="preserve">JSZC-321000-JSWC-G2025-</w:t>
      </w:r>
      <w:r>
        <w:rPr>
          <w:rFonts w:hint="eastAsia" w:hAnsi="宋体" w:cs="宋体"/>
          <w:color w:val="auto"/>
          <w:highlight w:val="none"/>
          <w:lang w:eastAsia="zh-CN"/>
        </w:rPr>
        <w:t xml:space="preserve">0006</w:t>
      </w:r>
      <w:r>
        <w:rPr>
          <w:rFonts w:hint="eastAsia" w:hAnsi="宋体" w:cs="宋体"/>
          <w:color w:val="auto"/>
          <w:sz w:val="21"/>
          <w:highlight w:val="none"/>
        </w:rPr>
        <w:t xml:space="preserve">号</w:t>
      </w:r>
      <w:r/>
    </w:p>
    <w:p>
      <w:pPr>
        <w:pStyle w:val="857"/>
        <w:spacing w:before="120" w:after="120" w:line="360" w:lineRule="auto"/>
        <w:rPr>
          <w:rFonts w:hAnsi="宋体" w:cs="宋体"/>
          <w:color w:val="auto"/>
          <w:sz w:val="21"/>
          <w:highlight w:val="none"/>
        </w:rPr>
      </w:pPr>
      <w:r>
        <w:rPr>
          <w:rFonts w:hint="eastAsia" w:hAnsi="宋体" w:cs="宋体"/>
          <w:color w:val="auto"/>
          <w:sz w:val="21"/>
          <w:highlight w:val="none"/>
        </w:rPr>
        <w:t xml:space="preserve">甲方（采购人/买方）：扬州市农业综合行政执法监督局       </w:t>
      </w:r>
      <w:r/>
    </w:p>
    <w:p>
      <w:pPr>
        <w:pStyle w:val="857"/>
        <w:spacing w:before="120" w:after="120" w:line="360" w:lineRule="auto"/>
        <w:rPr>
          <w:rFonts w:hAnsi="宋体" w:cs="宋体"/>
          <w:color w:val="auto"/>
          <w:sz w:val="21"/>
          <w:highlight w:val="none"/>
        </w:rPr>
      </w:pPr>
      <w:r>
        <w:rPr>
          <w:rFonts w:hint="eastAsia" w:hAnsi="宋体" w:cs="宋体"/>
          <w:color w:val="auto"/>
          <w:sz w:val="21"/>
          <w:highlight w:val="none"/>
        </w:rPr>
        <w:t xml:space="preserve">乙方（供应商/卖方）：</w:t>
      </w:r>
      <w:r>
        <w:rPr>
          <w:rFonts w:hint="eastAsia" w:hAnsi="宋体" w:cs="宋体"/>
          <w:color w:val="auto"/>
          <w:sz w:val="21"/>
          <w:highlight w:val="none"/>
          <w:u w:val="single"/>
        </w:rPr>
        <w:t xml:space="preserve">                </w:t>
      </w:r>
      <w:r/>
    </w:p>
    <w:p>
      <w:pPr>
        <w:pStyle w:val="857"/>
        <w:spacing w:before="120" w:after="120" w:line="360" w:lineRule="auto"/>
        <w:rPr>
          <w:rFonts w:hAnsi="宋体" w:cs="宋体"/>
          <w:color w:val="auto"/>
          <w:sz w:val="21"/>
          <w:highlight w:val="none"/>
        </w:rPr>
      </w:pPr>
      <w:r>
        <w:rPr>
          <w:rFonts w:hint="eastAsia" w:hAnsi="宋体" w:cs="宋体"/>
          <w:color w:val="auto"/>
          <w:sz w:val="21"/>
          <w:highlight w:val="none"/>
        </w:rPr>
        <w:t xml:space="preserve">见证方：江苏唯诚建设咨询有限公司</w:t>
      </w:r>
      <w:r/>
    </w:p>
    <w:p>
      <w:pPr>
        <w:pStyle w:val="857"/>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根据《中华人民共和国政府采购法》、《中华人民共和国民法典》等法律法规的规定，甲乙双方按照江苏唯诚建设咨询有限公司关于本项目招标结果签订本合同。</w:t>
      </w:r>
      <w:r/>
    </w:p>
    <w:p>
      <w:pPr>
        <w:pStyle w:val="857"/>
        <w:ind w:firstLine="422"/>
        <w:spacing w:before="120" w:after="120" w:line="360" w:lineRule="auto"/>
        <w:rPr>
          <w:rFonts w:hAnsi="宋体" w:cs="宋体"/>
          <w:b/>
          <w:bCs/>
          <w:color w:val="auto"/>
          <w:sz w:val="21"/>
          <w:highlight w:val="none"/>
        </w:rPr>
      </w:pPr>
      <w:r>
        <w:rPr>
          <w:rFonts w:hint="eastAsia" w:hAnsi="宋体" w:cs="宋体"/>
          <w:b/>
          <w:bCs/>
          <w:color w:val="auto"/>
          <w:sz w:val="21"/>
          <w:highlight w:val="none"/>
        </w:rPr>
        <w:t xml:space="preserve">1、合同标的</w:t>
      </w:r>
      <w:r/>
    </w:p>
    <w:p>
      <w:pPr>
        <w:pStyle w:val="857"/>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乙方根据甲方需求，提供下列货物：</w:t>
      </w:r>
      <w:r>
        <w:rPr>
          <w:rFonts w:hint="eastAsia" w:hAnsi="宋体" w:cs="宋体"/>
          <w:color w:val="auto"/>
          <w:sz w:val="21"/>
          <w:highlight w:val="none"/>
          <w:u w:val="single"/>
        </w:rPr>
        <w:t xml:space="preserve">                      </w:t>
      </w:r>
      <w:r>
        <w:rPr>
          <w:rFonts w:hint="eastAsia" w:hAnsi="宋体" w:cs="宋体"/>
          <w:color w:val="auto"/>
          <w:sz w:val="21"/>
          <w:highlight w:val="none"/>
        </w:rPr>
        <w:t xml:space="preserve">。</w:t>
      </w:r>
      <w:r/>
    </w:p>
    <w:p>
      <w:pPr>
        <w:pStyle w:val="857"/>
        <w:ind w:firstLine="420"/>
        <w:spacing w:before="120" w:after="120" w:line="360" w:lineRule="auto"/>
        <w:rPr>
          <w:rFonts w:hAnsi="宋体" w:cs="宋体"/>
          <w:b/>
          <w:color w:val="auto"/>
          <w:sz w:val="21"/>
          <w:highlight w:val="none"/>
        </w:rPr>
      </w:pPr>
      <w:r>
        <w:rPr>
          <w:rFonts w:hint="eastAsia" w:hAnsi="宋体" w:cs="宋体"/>
          <w:color w:val="auto"/>
          <w:sz w:val="21"/>
          <w:highlight w:val="none"/>
        </w:rPr>
        <w:t xml:space="preserve">货物名称、规格及数量等要求详见招投标文件。</w:t>
      </w:r>
      <w:r/>
    </w:p>
    <w:p>
      <w:pPr>
        <w:pStyle w:val="857"/>
        <w:ind w:firstLine="422"/>
        <w:spacing w:before="120" w:after="120" w:line="360" w:lineRule="auto"/>
        <w:rPr>
          <w:rFonts w:hAnsi="宋体" w:cs="宋体"/>
          <w:b/>
          <w:bCs/>
          <w:color w:val="auto"/>
          <w:sz w:val="21"/>
          <w:highlight w:val="none"/>
        </w:rPr>
      </w:pPr>
      <w:r>
        <w:rPr>
          <w:rFonts w:hint="eastAsia" w:hAnsi="宋体" w:cs="宋体"/>
          <w:b/>
          <w:bCs/>
          <w:color w:val="auto"/>
          <w:sz w:val="21"/>
          <w:highlight w:val="none"/>
        </w:rPr>
        <w:t xml:space="preserve">2、合同总金额</w:t>
      </w:r>
      <w:r/>
    </w:p>
    <w:p>
      <w:pPr>
        <w:pStyle w:val="857"/>
        <w:ind w:left="315" w:firstLine="105"/>
        <w:spacing w:before="120" w:after="120" w:line="360" w:lineRule="auto"/>
        <w:rPr>
          <w:rFonts w:hAnsi="宋体" w:cs="宋体"/>
          <w:color w:val="auto"/>
          <w:sz w:val="21"/>
          <w:highlight w:val="none"/>
        </w:rPr>
      </w:pPr>
      <w:r>
        <w:rPr>
          <w:rFonts w:hint="eastAsia" w:hAnsi="宋体" w:cs="宋体"/>
          <w:color w:val="auto"/>
          <w:sz w:val="21"/>
          <w:highlight w:val="none"/>
        </w:rPr>
        <w:t xml:space="preserve">2.1 本合同金额为（大写）：__________________________元人民币（¥_____元）。</w:t>
      </w:r>
      <w:r/>
    </w:p>
    <w:p>
      <w:pPr>
        <w:pStyle w:val="857"/>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2.2 本合同总金额包括所乙方提供货物的产品费用、安装费、验收费、维护费用、税金及其他有关的为完成本项目发生的所有费用，招标文件中另有规定的除外。</w:t>
      </w:r>
      <w:r/>
    </w:p>
    <w:p>
      <w:pPr>
        <w:pStyle w:val="857"/>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2.3 在招标文件未列明，而乙方认为履行本合同必需的费用也包含在合同总金额中。</w:t>
      </w:r>
      <w:r/>
    </w:p>
    <w:p>
      <w:pPr>
        <w:pStyle w:val="857"/>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2.4 本合同总金额还包含乙方提供的伴随服务/售后服务费用。</w:t>
      </w:r>
      <w:r/>
    </w:p>
    <w:p>
      <w:pPr>
        <w:pStyle w:val="857"/>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2.5 本合同签订后：甲方需追加与合同标的相同的货物和服务的，在不改变合同其他条款的前提下，可以与乙方协商签订补充合同，但所有补充合同的增加的金额不超过原合同金额的10%；甲方若由于各种客观原因，必须对采购项目所牵涉的货物和服务进行适当的减少时，在与乙方协商一致后，可以按照招标采购时的价格水平做相应的调减，并据此签订补充合同；除上述情况外，本合同执行期间合同总金额不变。</w:t>
      </w:r>
      <w:r/>
    </w:p>
    <w:p>
      <w:pPr>
        <w:pStyle w:val="857"/>
        <w:ind w:firstLine="422"/>
        <w:spacing w:before="120" w:after="120" w:line="360" w:lineRule="auto"/>
        <w:rPr>
          <w:rFonts w:hAnsi="宋体" w:cs="宋体"/>
          <w:b/>
          <w:bCs/>
          <w:color w:val="auto"/>
          <w:sz w:val="21"/>
          <w:highlight w:val="none"/>
        </w:rPr>
      </w:pPr>
      <w:r>
        <w:rPr>
          <w:rFonts w:hint="eastAsia" w:hAnsi="宋体" w:cs="宋体"/>
          <w:b/>
          <w:bCs/>
          <w:color w:val="auto"/>
          <w:sz w:val="21"/>
          <w:highlight w:val="none"/>
        </w:rPr>
        <w:t xml:space="preserve">3、组成本合同的有关文件</w:t>
      </w:r>
      <w:r/>
    </w:p>
    <w:p>
      <w:pPr>
        <w:pStyle w:val="857"/>
        <w:ind w:left="315" w:firstLine="105"/>
        <w:spacing w:before="120" w:after="120" w:line="360" w:lineRule="auto"/>
        <w:rPr>
          <w:rFonts w:hAnsi="宋体" w:cs="宋体"/>
          <w:color w:val="auto"/>
          <w:sz w:val="21"/>
          <w:highlight w:val="none"/>
        </w:rPr>
      </w:pPr>
      <w:r>
        <w:rPr>
          <w:rFonts w:hint="eastAsia" w:hAnsi="宋体" w:cs="宋体"/>
          <w:color w:val="auto"/>
          <w:sz w:val="21"/>
          <w:highlight w:val="none"/>
        </w:rPr>
        <w:t xml:space="preserve">3.1乙方应按招标文件规定的时间向甲方提供使用货物的有关技术资料。</w:t>
      </w:r>
      <w:r/>
    </w:p>
    <w:p>
      <w:pPr>
        <w:pStyle w:val="857"/>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3.2 没有甲方事先书面同意，乙方不得将由甲方提供的有关合同或任何合同条文、规格、计划、图纸、样品或资料提供给任何其他人。即使向履行本合同有关的人员提供，也应注意保密并限于履行合同的必需范围。</w:t>
      </w:r>
      <w:r/>
    </w:p>
    <w:p>
      <w:pPr>
        <w:pStyle w:val="857"/>
        <w:ind w:left="315" w:firstLine="105"/>
        <w:spacing w:before="120" w:after="120" w:line="360" w:lineRule="auto"/>
        <w:rPr>
          <w:rFonts w:hAnsi="宋体" w:cs="宋体"/>
          <w:color w:val="auto"/>
          <w:sz w:val="21"/>
          <w:highlight w:val="none"/>
        </w:rPr>
      </w:pPr>
      <w:r>
        <w:rPr>
          <w:rFonts w:hint="eastAsia" w:hAnsi="宋体" w:cs="宋体"/>
          <w:color w:val="auto"/>
          <w:sz w:val="21"/>
          <w:highlight w:val="none"/>
        </w:rPr>
        <w:t xml:space="preserve">3.3 关于本项目政府采购的招投标文件或与本次采购活动方式相适应的文件及有关附件是本合同不可分割的组成部分，这些文件包括但不限于：</w:t>
      </w:r>
      <w:r/>
    </w:p>
    <w:p>
      <w:pPr>
        <w:pStyle w:val="857"/>
        <w:ind w:left="359" w:hanging="359"/>
        <w:spacing w:before="120" w:after="120" w:line="360" w:lineRule="auto"/>
        <w:rPr>
          <w:rFonts w:hAnsi="宋体" w:cs="宋体"/>
          <w:color w:val="auto"/>
          <w:sz w:val="21"/>
          <w:highlight w:val="none"/>
        </w:rPr>
      </w:pPr>
      <w:r>
        <w:rPr>
          <w:rFonts w:hint="eastAsia" w:hAnsi="宋体" w:cs="宋体"/>
          <w:color w:val="auto"/>
          <w:sz w:val="21"/>
          <w:highlight w:val="none"/>
        </w:rPr>
        <w:t xml:space="preserve">   （1）投标响应文件；               （2）投标产品配置与报价文件；</w:t>
      </w:r>
      <w:r/>
    </w:p>
    <w:p>
      <w:pPr>
        <w:pStyle w:val="857"/>
        <w:ind w:left="359" w:hanging="359"/>
        <w:spacing w:before="120" w:after="120" w:line="360" w:lineRule="auto"/>
        <w:rPr>
          <w:rFonts w:hAnsi="宋体" w:cs="宋体"/>
          <w:color w:val="auto"/>
          <w:sz w:val="21"/>
          <w:highlight w:val="none"/>
        </w:rPr>
      </w:pPr>
      <w:r>
        <w:rPr>
          <w:rFonts w:hint="eastAsia" w:hAnsi="宋体" w:cs="宋体"/>
          <w:color w:val="auto"/>
          <w:sz w:val="21"/>
          <w:highlight w:val="none"/>
        </w:rPr>
        <w:t xml:space="preserve">   （3）供货一览表；                 （4）技术参数响应表；</w:t>
      </w:r>
      <w:r/>
    </w:p>
    <w:p>
      <w:pPr>
        <w:pStyle w:val="857"/>
        <w:ind w:left="359" w:hanging="359"/>
        <w:spacing w:before="120" w:after="120" w:line="360" w:lineRule="auto"/>
        <w:rPr>
          <w:rFonts w:hAnsi="宋体" w:cs="宋体"/>
          <w:color w:val="auto"/>
          <w:sz w:val="21"/>
          <w:highlight w:val="none"/>
        </w:rPr>
      </w:pPr>
      <w:r>
        <w:rPr>
          <w:rFonts w:hint="eastAsia" w:hAnsi="宋体" w:cs="宋体"/>
          <w:color w:val="auto"/>
          <w:sz w:val="21"/>
          <w:highlight w:val="none"/>
        </w:rPr>
        <w:t xml:space="preserve">   （5）服务承诺；                   （6）中标通知书；</w:t>
      </w:r>
      <w:r/>
    </w:p>
    <w:p>
      <w:pPr>
        <w:pStyle w:val="857"/>
        <w:ind w:left="359" w:hanging="359"/>
        <w:spacing w:before="120" w:after="120" w:line="360" w:lineRule="auto"/>
        <w:rPr>
          <w:rFonts w:hAnsi="宋体" w:cs="宋体"/>
          <w:color w:val="auto"/>
          <w:sz w:val="21"/>
          <w:highlight w:val="none"/>
        </w:rPr>
      </w:pPr>
      <w:r>
        <w:rPr>
          <w:rFonts w:hint="eastAsia" w:hAnsi="宋体" w:cs="宋体"/>
          <w:color w:val="auto"/>
          <w:sz w:val="21"/>
          <w:highlight w:val="none"/>
        </w:rPr>
        <w:t xml:space="preserve">   （7）甲乙双方补充协议；           （8）乙方投标时提供的响应文件。</w:t>
      </w:r>
      <w:r/>
    </w:p>
    <w:p>
      <w:pPr>
        <w:pStyle w:val="857"/>
        <w:ind w:left="315" w:firstLine="105"/>
        <w:spacing w:before="120" w:after="120" w:line="360" w:lineRule="auto"/>
        <w:rPr>
          <w:rFonts w:hAnsi="宋体" w:cs="宋体"/>
          <w:b/>
          <w:bCs/>
          <w:color w:val="auto"/>
          <w:sz w:val="21"/>
          <w:highlight w:val="none"/>
        </w:rPr>
      </w:pPr>
      <w:r>
        <w:rPr>
          <w:rFonts w:hint="eastAsia" w:hAnsi="宋体" w:cs="宋体"/>
          <w:b/>
          <w:bCs/>
          <w:color w:val="auto"/>
          <w:sz w:val="21"/>
          <w:highlight w:val="none"/>
        </w:rPr>
        <w:t xml:space="preserve">4、知识产权保证</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乙方保证甲方在使用、接受本合同货物和服务或其任何一部分时，不受第三方提出侵犯其专利权、版权、商标权和工业设计权等知识产权的起诉。一旦出现侵权，由乙方负全部责任。</w:t>
      </w:r>
      <w:r/>
    </w:p>
    <w:p>
      <w:pPr>
        <w:pStyle w:val="857"/>
        <w:ind w:firstLine="422"/>
        <w:spacing w:before="120" w:after="120" w:line="360" w:lineRule="auto"/>
        <w:rPr>
          <w:rFonts w:hAnsi="宋体" w:cs="宋体"/>
          <w:b/>
          <w:bCs/>
          <w:color w:val="auto"/>
          <w:sz w:val="21"/>
          <w:highlight w:val="none"/>
        </w:rPr>
      </w:pPr>
      <w:r>
        <w:rPr>
          <w:rFonts w:hint="eastAsia" w:hAnsi="宋体" w:cs="宋体"/>
          <w:b/>
          <w:bCs/>
          <w:color w:val="auto"/>
          <w:sz w:val="21"/>
          <w:highlight w:val="none"/>
        </w:rPr>
        <w:t xml:space="preserve">5、产权保证</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乙方保证所交付的货物的所有权无任何抵押、查封等权利瑕疵。</w:t>
      </w:r>
      <w:r/>
    </w:p>
    <w:p>
      <w:pPr>
        <w:pStyle w:val="857"/>
        <w:ind w:left="315" w:firstLine="105"/>
        <w:spacing w:before="120" w:after="120" w:line="360" w:lineRule="auto"/>
        <w:rPr>
          <w:rFonts w:hAnsi="宋体" w:cs="宋体"/>
          <w:b/>
          <w:bCs/>
          <w:color w:val="auto"/>
          <w:sz w:val="21"/>
          <w:highlight w:val="none"/>
        </w:rPr>
      </w:pPr>
      <w:r>
        <w:rPr>
          <w:rFonts w:hint="eastAsia" w:hAnsi="宋体" w:cs="宋体"/>
          <w:b/>
          <w:bCs/>
          <w:color w:val="auto"/>
          <w:sz w:val="21"/>
          <w:highlight w:val="none"/>
        </w:rPr>
        <w:t xml:space="preserve">6、履约保证金</w:t>
      </w:r>
      <w:r/>
    </w:p>
    <w:p>
      <w:pPr>
        <w:pStyle w:val="857"/>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本项目不收取履约保证金。</w:t>
      </w:r>
      <w:r/>
    </w:p>
    <w:p>
      <w:pPr>
        <w:pStyle w:val="857"/>
        <w:ind w:left="315" w:firstLine="105"/>
        <w:spacing w:before="120" w:after="120" w:line="360" w:lineRule="auto"/>
        <w:rPr>
          <w:rFonts w:hAnsi="宋体" w:cs="宋体"/>
          <w:b/>
          <w:bCs/>
          <w:color w:val="auto"/>
          <w:sz w:val="21"/>
          <w:highlight w:val="none"/>
        </w:rPr>
      </w:pPr>
      <w:r>
        <w:rPr>
          <w:rFonts w:hint="eastAsia" w:hAnsi="宋体" w:cs="宋体"/>
          <w:b/>
          <w:bCs/>
          <w:color w:val="auto"/>
          <w:sz w:val="21"/>
          <w:highlight w:val="none"/>
        </w:rPr>
        <w:t xml:space="preserve">7、转包或分包</w:t>
      </w:r>
      <w:r/>
    </w:p>
    <w:p>
      <w:pPr>
        <w:pStyle w:val="857"/>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7.1 本合同禁止转包，本合同范围的货物，应由乙方直接供应的，不得转让他人供应。</w:t>
      </w:r>
      <w:r/>
    </w:p>
    <w:p>
      <w:pPr>
        <w:pStyle w:val="857"/>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7.2 经甲方同意，乙方可以依法采取分包方式履行合同，但是分包方式履行的，乙方应就采购项目向甲方负全责。</w:t>
      </w:r>
      <w:r>
        <w:rPr>
          <w:rFonts w:hint="eastAsia" w:hAnsi="宋体" w:cs="宋体"/>
          <w:color w:val="auto"/>
          <w:sz w:val="21"/>
          <w:highlight w:val="none"/>
        </w:rPr>
        <w:tab/>
      </w:r>
      <w:r/>
    </w:p>
    <w:p>
      <w:pPr>
        <w:pStyle w:val="857"/>
        <w:ind w:left="315" w:firstLine="105"/>
        <w:spacing w:before="120" w:after="120" w:line="360" w:lineRule="auto"/>
        <w:rPr>
          <w:rFonts w:hAnsi="宋体" w:cs="宋体"/>
          <w:b/>
          <w:bCs/>
          <w:color w:val="auto"/>
          <w:sz w:val="21"/>
          <w:highlight w:val="none"/>
        </w:rPr>
      </w:pPr>
      <w:r>
        <w:rPr>
          <w:rFonts w:hint="eastAsia" w:hAnsi="宋体" w:cs="宋体"/>
          <w:b/>
          <w:bCs/>
          <w:color w:val="auto"/>
          <w:sz w:val="21"/>
          <w:highlight w:val="none"/>
        </w:rPr>
        <w:t xml:space="preserve">8、质保期</w:t>
      </w:r>
      <w:r/>
    </w:p>
    <w:p>
      <w:pPr>
        <w:pStyle w:val="857"/>
        <w:ind w:firstLine="420"/>
        <w:spacing w:before="120" w:after="120" w:line="360" w:lineRule="auto"/>
        <w:tabs>
          <w:tab w:val="left" w:pos="2100" w:leader="none"/>
        </w:tabs>
        <w:rPr>
          <w:rFonts w:hAnsi="宋体" w:cs="宋体"/>
          <w:bCs/>
          <w:color w:val="auto"/>
          <w:sz w:val="21"/>
          <w:highlight w:val="none"/>
        </w:rPr>
      </w:pPr>
      <w:r>
        <w:rPr>
          <w:rFonts w:hint="eastAsia" w:hAnsi="宋体" w:cs="宋体"/>
          <w:bCs/>
          <w:color w:val="auto"/>
          <w:sz w:val="21"/>
          <w:highlight w:val="none"/>
        </w:rPr>
        <w:t xml:space="preserve">系统免费质保期：经采购人验收合格之日起三年。</w:t>
      </w:r>
      <w:r/>
    </w:p>
    <w:p>
      <w:pPr>
        <w:pStyle w:val="857"/>
        <w:ind w:firstLine="420"/>
        <w:spacing w:before="120" w:after="120" w:line="360" w:lineRule="auto"/>
        <w:rPr>
          <w:rFonts w:hAnsi="宋体" w:cs="宋体"/>
          <w:b/>
          <w:color w:val="auto"/>
          <w:sz w:val="21"/>
          <w:highlight w:val="none"/>
        </w:rPr>
      </w:pPr>
      <w:r>
        <w:rPr>
          <w:rFonts w:hint="eastAsia" w:hAnsi="宋体" w:cs="宋体"/>
          <w:b/>
          <w:color w:val="auto"/>
          <w:sz w:val="21"/>
          <w:highlight w:val="none"/>
        </w:rPr>
        <w:t xml:space="preserve">9、交货期、交货方式及交货地点</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9.1 交货期：在签订合同后4个月内完成系统设计、开发、对接及联调测试，并上线运行。</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9.2 交货方式：甲方指定方式</w:t>
      </w:r>
      <w:r/>
    </w:p>
    <w:p>
      <w:pPr>
        <w:pStyle w:val="857"/>
        <w:ind w:firstLine="420"/>
        <w:spacing w:before="120" w:after="120" w:line="360" w:lineRule="auto"/>
        <w:rPr>
          <w:rFonts w:hAnsi="宋体" w:cs="宋体"/>
          <w:bCs/>
          <w:color w:val="auto"/>
          <w:sz w:val="21"/>
          <w:highlight w:val="none"/>
        </w:rPr>
      </w:pPr>
      <w:r>
        <w:rPr>
          <w:rFonts w:hint="eastAsia" w:hAnsi="宋体" w:cs="宋体"/>
          <w:bCs/>
          <w:color w:val="auto"/>
          <w:sz w:val="21"/>
          <w:highlight w:val="none"/>
        </w:rPr>
        <w:t xml:space="preserve">9.3 交货地点：甲方指定地点</w:t>
      </w:r>
      <w:r/>
    </w:p>
    <w:p>
      <w:pPr>
        <w:pStyle w:val="857"/>
        <w:ind w:firstLine="420"/>
        <w:spacing w:before="120" w:after="120" w:line="360" w:lineRule="auto"/>
        <w:rPr>
          <w:rFonts w:hAnsi="宋体" w:cs="宋体"/>
          <w:b/>
          <w:color w:val="auto"/>
          <w:sz w:val="21"/>
          <w:highlight w:val="none"/>
        </w:rPr>
      </w:pPr>
      <w:r>
        <w:rPr>
          <w:rFonts w:hint="eastAsia" w:hAnsi="宋体" w:cs="宋体"/>
          <w:b/>
          <w:color w:val="auto"/>
          <w:sz w:val="21"/>
          <w:highlight w:val="none"/>
        </w:rPr>
        <w:t xml:space="preserve">10、货款支付</w:t>
      </w:r>
      <w:r/>
    </w:p>
    <w:p>
      <w:pPr>
        <w:pStyle w:val="857"/>
        <w:ind w:firstLine="420"/>
        <w:spacing w:before="120" w:after="120" w:line="360" w:lineRule="auto"/>
        <w:rPr>
          <w:rFonts w:hAnsi="宋体" w:cs="宋体"/>
          <w:bCs/>
          <w:color w:val="auto"/>
          <w:sz w:val="21"/>
          <w:highlight w:val="none"/>
        </w:rPr>
      </w:pPr>
      <w:r>
        <w:rPr>
          <w:rFonts w:hint="eastAsia" w:hAnsi="宋体" w:cs="宋体"/>
          <w:bCs/>
          <w:color w:val="auto"/>
          <w:sz w:val="21"/>
          <w:highlight w:val="none"/>
        </w:rPr>
        <w:t xml:space="preserve">10.1 本合同项下所有款项均以人民币支付。 </w:t>
      </w:r>
      <w:r/>
    </w:p>
    <w:p>
      <w:pPr>
        <w:pStyle w:val="857"/>
        <w:ind w:firstLine="420"/>
        <w:spacing w:before="120" w:after="120" w:line="360" w:lineRule="auto"/>
        <w:rPr>
          <w:rFonts w:hAnsi="宋体" w:cs="宋体"/>
          <w:bCs/>
          <w:color w:val="auto"/>
          <w:sz w:val="21"/>
          <w:highlight w:val="none"/>
        </w:rPr>
      </w:pPr>
      <w:r>
        <w:rPr>
          <w:rFonts w:hint="eastAsia" w:hAnsi="宋体" w:cs="宋体"/>
          <w:bCs/>
          <w:color w:val="auto"/>
          <w:sz w:val="21"/>
          <w:highlight w:val="none"/>
        </w:rPr>
        <w:t xml:space="preserve">10.2 本合同项下的采购资金由甲方支付，付款前乙方向甲方开具发票。</w:t>
      </w:r>
      <w:r/>
    </w:p>
    <w:p>
      <w:pPr>
        <w:pStyle w:val="857"/>
        <w:ind w:firstLine="420"/>
        <w:spacing w:before="120" w:after="120" w:line="360" w:lineRule="auto"/>
        <w:rPr>
          <w:rFonts w:hAnsi="宋体" w:cs="宋体"/>
          <w:bCs/>
          <w:color w:val="auto"/>
          <w:sz w:val="21"/>
          <w:highlight w:val="none"/>
          <w:u w:val="single"/>
        </w:rPr>
      </w:pPr>
      <w:r>
        <w:rPr>
          <w:rFonts w:hint="eastAsia" w:hAnsi="宋体" w:cs="宋体"/>
          <w:bCs/>
          <w:color w:val="auto"/>
          <w:sz w:val="21"/>
          <w:highlight w:val="none"/>
        </w:rPr>
        <w:t xml:space="preserve">10.3 付款方式：</w:t>
      </w:r>
      <w:r/>
    </w:p>
    <w:p>
      <w:pPr>
        <w:pStyle w:val="857"/>
        <w:ind w:firstLine="420"/>
        <w:spacing w:before="120" w:after="120" w:line="360" w:lineRule="auto"/>
        <w:rPr>
          <w:rFonts w:hAnsi="宋体" w:cs="宋体"/>
          <w:bCs/>
          <w:strike/>
          <w:color w:val="auto"/>
          <w:sz w:val="21"/>
          <w:highlight w:val="none"/>
        </w:rPr>
      </w:pPr>
      <w:r>
        <w:rPr>
          <w:rFonts w:hint="eastAsia" w:hAnsi="宋体" w:cs="宋体"/>
          <w:bCs/>
          <w:color w:val="auto"/>
          <w:sz w:val="21"/>
          <w:highlight w:val="none"/>
        </w:rPr>
        <w:t xml:space="preserve">合同签订后，甲方在收到乙方开具的正式发票后</w:t>
      </w:r>
      <w:r>
        <w:rPr>
          <w:rFonts w:hint="eastAsia" w:hAnsi="宋体" w:cs="宋体"/>
          <w:bCs/>
          <w:color w:val="auto"/>
          <w:sz w:val="21"/>
          <w:highlight w:val="none"/>
          <w:lang w:val="en-US" w:eastAsia="zh-CN"/>
        </w:rPr>
        <w:t xml:space="preserve">2</w:t>
      </w:r>
      <w:r>
        <w:rPr>
          <w:rFonts w:hint="eastAsia" w:hAnsi="宋体" w:cs="宋体"/>
          <w:bCs/>
          <w:color w:val="auto"/>
          <w:sz w:val="21"/>
          <w:highlight w:val="none"/>
        </w:rPr>
        <w:t xml:space="preserve">0个工作日内，向乙方支付签约合同价的30%；乙方完成供货，甲方验收后，甲方在收到乙方开具的正式发票后</w:t>
      </w:r>
      <w:r>
        <w:rPr>
          <w:rFonts w:hint="eastAsia" w:hAnsi="宋体" w:cs="宋体"/>
          <w:bCs/>
          <w:color w:val="auto"/>
          <w:sz w:val="21"/>
          <w:highlight w:val="none"/>
          <w:lang w:val="en-US" w:eastAsia="zh-CN"/>
        </w:rPr>
        <w:t xml:space="preserve">2</w:t>
      </w:r>
      <w:r>
        <w:rPr>
          <w:rFonts w:hint="eastAsia" w:hAnsi="宋体" w:cs="宋体"/>
          <w:bCs/>
          <w:color w:val="auto"/>
          <w:sz w:val="21"/>
          <w:highlight w:val="none"/>
        </w:rPr>
        <w:t xml:space="preserve">0个工作日内支付合同总额的70%。</w:t>
      </w:r>
      <w:r/>
    </w:p>
    <w:p>
      <w:pPr>
        <w:pStyle w:val="857"/>
        <w:ind w:left="315" w:firstLine="105"/>
        <w:spacing w:before="120" w:after="120" w:line="360" w:lineRule="auto"/>
        <w:rPr>
          <w:rFonts w:hAnsi="宋体" w:cs="宋体"/>
          <w:b/>
          <w:bCs/>
          <w:color w:val="auto"/>
          <w:sz w:val="21"/>
          <w:highlight w:val="none"/>
        </w:rPr>
      </w:pPr>
      <w:r>
        <w:rPr>
          <w:rFonts w:hint="eastAsia" w:hAnsi="宋体" w:cs="宋体"/>
          <w:b/>
          <w:bCs/>
          <w:color w:val="auto"/>
          <w:sz w:val="21"/>
          <w:highlight w:val="none"/>
        </w:rPr>
        <w:t xml:space="preserve">11、税费</w:t>
      </w:r>
      <w:r/>
    </w:p>
    <w:p>
      <w:pPr>
        <w:pStyle w:val="857"/>
        <w:ind w:firstLine="420"/>
        <w:spacing w:before="120" w:after="120" w:line="360" w:lineRule="auto"/>
        <w:rPr>
          <w:rFonts w:hAnsi="宋体" w:cs="宋体"/>
          <w:b/>
          <w:bCs/>
          <w:color w:val="auto"/>
          <w:sz w:val="21"/>
          <w:highlight w:val="none"/>
        </w:rPr>
      </w:pPr>
      <w:r>
        <w:rPr>
          <w:rFonts w:hint="eastAsia" w:hAnsi="宋体" w:cs="宋体"/>
          <w:color w:val="auto"/>
          <w:sz w:val="21"/>
          <w:highlight w:val="none"/>
        </w:rPr>
        <w:t xml:space="preserve">本合同执行中相关的一切税费均由乙方负担。</w:t>
      </w:r>
      <w:r/>
    </w:p>
    <w:p>
      <w:pPr>
        <w:pStyle w:val="857"/>
        <w:ind w:left="315" w:firstLine="105"/>
        <w:spacing w:before="120" w:after="120" w:line="360" w:lineRule="auto"/>
        <w:rPr>
          <w:rFonts w:hAnsi="宋体" w:cs="宋体"/>
          <w:b/>
          <w:bCs/>
          <w:color w:val="auto"/>
          <w:sz w:val="21"/>
          <w:highlight w:val="none"/>
        </w:rPr>
      </w:pPr>
      <w:r>
        <w:rPr>
          <w:rFonts w:hint="eastAsia" w:hAnsi="宋体" w:cs="宋体"/>
          <w:b/>
          <w:bCs/>
          <w:color w:val="auto"/>
          <w:sz w:val="21"/>
          <w:highlight w:val="none"/>
        </w:rPr>
        <w:t xml:space="preserve">12、质量保证及售后服务</w:t>
      </w:r>
      <w:r/>
    </w:p>
    <w:p>
      <w:pPr>
        <w:ind w:firstLine="420"/>
        <w:spacing w:before="156" w:after="156" w:line="360" w:lineRule="auto"/>
        <w:rPr>
          <w:rFonts w:ascii="宋体" w:hAnsi="宋体" w:cs="宋体"/>
          <w:color w:val="auto"/>
          <w:szCs w:val="21"/>
          <w:highlight w:val="none"/>
        </w:rPr>
      </w:pPr>
      <w:r>
        <w:rPr>
          <w:rFonts w:hint="eastAsia" w:ascii="宋体" w:hAnsi="宋体" w:cs="宋体"/>
          <w:color w:val="auto"/>
          <w:szCs w:val="21"/>
          <w:highlight w:val="none"/>
        </w:rPr>
        <w:t xml:space="preserve">12.1 乙方应按招标文件规定及响应文件承诺的货物性能、技术要求、质量标准向甲方提供未经使用的全新产品；若技术性能无特殊说明，则按国家有关部门最新颁布的标准及规范为准。</w:t>
      </w:r>
      <w:r/>
    </w:p>
    <w:p>
      <w:pPr>
        <w:pStyle w:val="857"/>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12.2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pStyle w:val="857"/>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12.3 乙方提供的货物在质保期内因货物本身的质量问题发生故障，乙方应负责免费更换。对达不到技术要求者，根据实际情况，经双方协商，可按以下办法处理：</w:t>
      </w:r>
      <w:r/>
    </w:p>
    <w:p>
      <w:pPr>
        <w:pStyle w:val="857"/>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⑴更换：由乙方承担所发生的全部费用。</w:t>
      </w:r>
      <w:r/>
    </w:p>
    <w:p>
      <w:pPr>
        <w:pStyle w:val="857"/>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⑵贬值处理：由甲乙双方合议定价。</w:t>
      </w:r>
      <w:r/>
    </w:p>
    <w:p>
      <w:pPr>
        <w:pStyle w:val="857"/>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⑶退货处理：乙方应退还甲方支付的合同款，同时应承担该货物的直接费用（运输、保险、检验、货款利息及银行手续费等）。</w:t>
      </w:r>
      <w:r/>
    </w:p>
    <w:p>
      <w:pPr>
        <w:pStyle w:val="857"/>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12.4 如在使用过程中发生质量问题，乙方在接到甲方通知后在24小时内到达甲方现场，48小时内完成维修。</w:t>
      </w:r>
      <w:r/>
    </w:p>
    <w:p>
      <w:pPr>
        <w:pStyle w:val="857"/>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12.5 在质保期内，乙方应对货物出现的质量及安全问题负责处理解决并承担一切费用。</w:t>
      </w:r>
      <w:r/>
    </w:p>
    <w:p>
      <w:pPr>
        <w:pStyle w:val="857"/>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12.6上述的货物免费保修期为</w:t>
      </w:r>
      <w:r>
        <w:rPr>
          <w:rFonts w:hint="eastAsia" w:hAnsi="宋体" w:cs="宋体"/>
          <w:color w:val="auto"/>
          <w:sz w:val="21"/>
          <w:highlight w:val="none"/>
          <w:u w:val="single"/>
        </w:rPr>
        <w:t xml:space="preserve">    </w:t>
      </w:r>
      <w:r>
        <w:rPr>
          <w:rFonts w:hint="eastAsia" w:hAnsi="宋体" w:cs="宋体"/>
          <w:color w:val="auto"/>
          <w:sz w:val="21"/>
          <w:highlight w:val="none"/>
        </w:rPr>
        <w:t xml:space="preserve">年，因人为因素出现的故障不在免费保修范围内。超过保修期的机器设备，终生维修，维修时只收部件成本费。</w:t>
      </w:r>
      <w:r/>
    </w:p>
    <w:p>
      <w:pPr>
        <w:pStyle w:val="857"/>
        <w:ind w:left="315" w:firstLine="105"/>
        <w:spacing w:before="120" w:after="120" w:line="360" w:lineRule="auto"/>
        <w:rPr>
          <w:rFonts w:hAnsi="宋体" w:cs="宋体"/>
          <w:b/>
          <w:bCs/>
          <w:color w:val="auto"/>
          <w:sz w:val="21"/>
          <w:highlight w:val="none"/>
        </w:rPr>
      </w:pPr>
      <w:r>
        <w:rPr>
          <w:rFonts w:hint="eastAsia" w:hAnsi="宋体" w:cs="宋体"/>
          <w:b/>
          <w:bCs/>
          <w:color w:val="auto"/>
          <w:sz w:val="21"/>
          <w:highlight w:val="none"/>
        </w:rPr>
        <w:t xml:space="preserve">13、交货、调试和验收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13.1乙方应当在合同生效后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天内将货物交付甲方，地点由甲方指定，招标文件有约定的，从其约定。在发货前，乙方应对产品作出全面检查和对验收文件进行整理，并列出清单，作为甲方初步验收的技术条件依据。甲方对乙方提交的货物依据招标文件上的技术规格要求和国家有关质量标准进行现场初步验收，外观、说明书、包装需符合招标文件技术要求。检验的结果应随货物交甲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13.2 货到甲方后，甲、乙双方须在</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工作日内初验收，</w:t>
      </w:r>
      <w:r>
        <w:rPr>
          <w:rFonts w:hint="eastAsia" w:ascii="宋体" w:hAnsi="宋体" w:cs="宋体"/>
          <w:color w:val="auto"/>
          <w:highlight w:val="none"/>
        </w:rPr>
        <w:t xml:space="preserve">乙方按照招标文件要求负责</w:t>
      </w:r>
      <w:r>
        <w:rPr>
          <w:rFonts w:hint="eastAsia" w:ascii="宋体" w:hAnsi="宋体" w:cs="宋体"/>
          <w:bCs/>
          <w:color w:val="auto"/>
          <w:highlight w:val="none"/>
        </w:rPr>
        <w:t xml:space="preserve">系统集成、联通完毕</w:t>
      </w:r>
      <w:r>
        <w:rPr>
          <w:rFonts w:hint="eastAsia" w:ascii="宋体" w:hAnsi="宋体" w:cs="宋体"/>
          <w:color w:val="auto"/>
          <w:highlight w:val="none"/>
        </w:rPr>
        <w:t xml:space="preserve">并培训甲方的使用操作人员，乙方在甲方使用前进行调试，调试直到符合技术要求的甲方才做最终验收</w:t>
      </w:r>
      <w:r>
        <w:rPr>
          <w:rFonts w:hint="eastAsia" w:ascii="宋体" w:hAnsi="宋体" w:cs="宋体"/>
          <w:color w:val="auto"/>
          <w:szCs w:val="21"/>
          <w:highlight w:val="none"/>
        </w:rPr>
        <w:t xml:space="preserve">，初步验收不合格的不予签收。</w:t>
      </w:r>
      <w:r/>
    </w:p>
    <w:p>
      <w:pPr>
        <w:pStyle w:val="857"/>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13.3对技术复杂的货物，甲方可请国家认可的专业检测机构参与初步验收及最终验收，并由其出具质量检测报告。验收时乙方必须在现场，验收完毕后作出验收结果报告；若聘请第三方中立机构验收，验收费用由甲乙双方协商解决。</w:t>
      </w:r>
      <w:r/>
    </w:p>
    <w:p>
      <w:pPr>
        <w:ind w:firstLine="420"/>
        <w:spacing w:line="360" w:lineRule="auto"/>
        <w:rPr>
          <w:rFonts w:ascii="宋体" w:hAnsi="宋体" w:cs="宋体"/>
          <w:color w:val="auto"/>
          <w:sz w:val="18"/>
          <w:szCs w:val="18"/>
          <w:highlight w:val="none"/>
        </w:rPr>
      </w:pPr>
      <w:r>
        <w:rPr>
          <w:rFonts w:hint="eastAsia" w:ascii="宋体" w:hAnsi="宋体" w:cs="宋体"/>
          <w:color w:val="auto"/>
          <w:szCs w:val="21"/>
          <w:highlight w:val="none"/>
        </w:rPr>
        <w:t xml:space="preserve">13.4 甲乙双方关于调试和验收的其他约定：</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857"/>
        <w:ind w:left="315" w:firstLine="105"/>
        <w:spacing w:before="120" w:after="120" w:line="360" w:lineRule="auto"/>
        <w:rPr>
          <w:rFonts w:hAnsi="宋体" w:cs="宋体"/>
          <w:b/>
          <w:bCs/>
          <w:color w:val="auto"/>
          <w:sz w:val="21"/>
          <w:highlight w:val="none"/>
        </w:rPr>
      </w:pPr>
      <w:r>
        <w:rPr>
          <w:rFonts w:hint="eastAsia" w:hAnsi="宋体" w:cs="宋体"/>
          <w:b/>
          <w:bCs/>
          <w:color w:val="auto"/>
          <w:sz w:val="21"/>
          <w:highlight w:val="none"/>
        </w:rPr>
        <w:t xml:space="preserve">14、货物包装、发运及运输</w:t>
      </w:r>
      <w:r/>
    </w:p>
    <w:p>
      <w:pPr>
        <w:pStyle w:val="857"/>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14.1 乙方应在货物发运前对其进行满足运输距离、防潮、防震、防锈和防破损装卸等要求包装，以保证货物安全运达甲方指定地点。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14.2 乙方发货时，产品使用说明书、检验证明书、随配附件和工具以及清单一并附于货物内。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14.3 乙方在货物发运手续办理完毕后24小时内或货到甲方48小时前通知甲方，以准备甲方接货。根据甲方通知的时间和指定的地点，乙方负责安排送货、装卸、清点、堆放，设备初验收合格前的保管工作由乙方负责，费用乙方承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14.4 货物在交付甲方前发生的风险均由乙方负责。</w:t>
      </w:r>
      <w:r/>
    </w:p>
    <w:p>
      <w:pPr>
        <w:pStyle w:val="857"/>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14.5 货物在规定的交付期限内由乙方送达甲方指定的地点，经初步验收即视为货物交付。</w:t>
      </w:r>
      <w:r/>
    </w:p>
    <w:p>
      <w:pPr>
        <w:pStyle w:val="857"/>
        <w:ind w:left="315" w:firstLine="105"/>
        <w:spacing w:before="120" w:after="120" w:line="360" w:lineRule="auto"/>
        <w:rPr>
          <w:rFonts w:hAnsi="宋体" w:cs="宋体"/>
          <w:b/>
          <w:bCs/>
          <w:color w:val="auto"/>
          <w:sz w:val="21"/>
          <w:highlight w:val="none"/>
        </w:rPr>
      </w:pPr>
      <w:r>
        <w:rPr>
          <w:rFonts w:hint="eastAsia" w:hAnsi="宋体" w:cs="宋体"/>
          <w:b/>
          <w:bCs/>
          <w:color w:val="auto"/>
          <w:sz w:val="21"/>
          <w:highlight w:val="none"/>
        </w:rPr>
        <w:t xml:space="preserve">15、违约责任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15.1 甲方无正当理由拒绝初验收和终验收货物的，甲方应按未付货款金额每日万分之五向乙方支付违约金。</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15.2 甲方无故逾期验收和无故逾期办理货款支付手续的,甲方应按逾期付款金额每日万分之五向乙方支付违约金。</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15.3乙方违约，在消除违约情形前，应按货款总额每日万分之五向甲方支付违约金，甲方可以从待付货款中扣除。</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15.4乙方因逾期交货或因其他违约行为，导致甲方解除合同的，乙方应向甲方支付合同总值5%的违约金，如造成甲方损失超过违约金的，超出部分由乙方继续承担赔偿责任。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15.5 乙方所交的货物全部或部分品种、型号、规格、技术参数、质量不符合合同规定及招标文件规定标准的，乙方更换货物但逾期交货的（甲方拒绝接受的除外），按乙方逾期交货处理；乙方拒绝更换货物的，甲方可选择解除本合同或本合同的一部分，并可追究乙方的其他违约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15.6合同生效后，发现乙方投标属虚假承诺，或经权威部门监测提供的货物不能满足招标文件要求，造成合同无法继续履行的，乙方履约保证金不予退还外，还应向甲方支付不少于合同总价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赔偿金。</w:t>
      </w:r>
      <w:r/>
    </w:p>
    <w:p>
      <w:pPr>
        <w:pStyle w:val="857"/>
        <w:ind w:left="315" w:firstLine="105"/>
        <w:spacing w:before="120" w:after="120" w:line="360" w:lineRule="auto"/>
        <w:rPr>
          <w:rFonts w:hAnsi="宋体" w:cs="宋体"/>
          <w:b/>
          <w:bCs/>
          <w:color w:val="auto"/>
          <w:sz w:val="21"/>
          <w:highlight w:val="none"/>
        </w:rPr>
      </w:pPr>
      <w:r>
        <w:rPr>
          <w:rFonts w:hint="eastAsia" w:hAnsi="宋体" w:cs="宋体"/>
          <w:b/>
          <w:bCs/>
          <w:color w:val="auto"/>
          <w:sz w:val="21"/>
          <w:highlight w:val="none"/>
        </w:rPr>
        <w:t xml:space="preserve">16、不可抗力事件处理</w:t>
      </w:r>
      <w:r/>
    </w:p>
    <w:p>
      <w:pPr>
        <w:pStyle w:val="857"/>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16.1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pStyle w:val="857"/>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16.2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p>
    <w:p>
      <w:pPr>
        <w:pStyle w:val="857"/>
        <w:ind w:left="315" w:firstLine="105"/>
        <w:spacing w:before="120" w:after="120" w:line="360" w:lineRule="auto"/>
        <w:rPr>
          <w:rFonts w:hAnsi="宋体" w:cs="宋体"/>
          <w:b/>
          <w:bCs/>
          <w:color w:val="auto"/>
          <w:sz w:val="21"/>
          <w:highlight w:val="none"/>
        </w:rPr>
      </w:pPr>
      <w:r>
        <w:rPr>
          <w:rFonts w:hint="eastAsia" w:hAnsi="宋体" w:cs="宋体"/>
          <w:b/>
          <w:bCs/>
          <w:color w:val="auto"/>
          <w:sz w:val="21"/>
          <w:highlight w:val="none"/>
        </w:rPr>
        <w:t xml:space="preserve">17、争议解决</w:t>
      </w:r>
      <w:r/>
    </w:p>
    <w:p>
      <w:pPr>
        <w:pStyle w:val="857"/>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17.1 因货物的质量问题发生争议的，可在国家认可的质量检测机构对货物质量进行鉴定。货物符合标准的，鉴定费由甲方承担；货物不符合质量标准的，鉴定费由乙方承担。</w:t>
      </w:r>
      <w:r/>
    </w:p>
    <w:p>
      <w:pPr>
        <w:pStyle w:val="857"/>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17.2 因履行本合同引起的或与本合同有关的争议，甲、乙双方应首先通过友好协商解决；如果协商不能解决争议，甲乙双方同意采取下列两种方式的第</w:t>
      </w:r>
      <w:r>
        <w:rPr>
          <w:rFonts w:hint="eastAsia" w:hAnsi="宋体" w:cs="宋体"/>
          <w:color w:val="auto"/>
          <w:sz w:val="21"/>
          <w:highlight w:val="none"/>
          <w:u w:val="single"/>
        </w:rPr>
        <w:t xml:space="preserve">（1）</w:t>
      </w:r>
      <w:r>
        <w:rPr>
          <w:rFonts w:hint="eastAsia" w:hAnsi="宋体" w:cs="宋体"/>
          <w:color w:val="auto"/>
          <w:sz w:val="21"/>
          <w:highlight w:val="none"/>
        </w:rPr>
        <w:t xml:space="preserve">种方式解决争议：</w:t>
      </w:r>
      <w:r/>
    </w:p>
    <w:p>
      <w:pPr>
        <w:pStyle w:val="857"/>
        <w:ind w:firstLine="315"/>
        <w:spacing w:before="120" w:after="120" w:line="360" w:lineRule="auto"/>
        <w:rPr>
          <w:rFonts w:hAnsi="宋体" w:cs="宋体"/>
          <w:color w:val="auto"/>
          <w:sz w:val="21"/>
          <w:highlight w:val="none"/>
        </w:rPr>
      </w:pPr>
      <w:r>
        <w:rPr>
          <w:rFonts w:hint="eastAsia" w:hAnsi="宋体" w:cs="宋体"/>
          <w:color w:val="auto"/>
          <w:sz w:val="21"/>
          <w:highlight w:val="none"/>
        </w:rPr>
        <w:t xml:space="preserve">（1）向甲方所在地有管辖权的人民法院提起诉讼，适用中华人民共和国法律；</w:t>
      </w:r>
      <w:r/>
    </w:p>
    <w:p>
      <w:pPr>
        <w:pStyle w:val="857"/>
        <w:ind w:left="420" w:hanging="105"/>
        <w:spacing w:before="120" w:after="120" w:line="360" w:lineRule="auto"/>
        <w:rPr>
          <w:rFonts w:hAnsi="宋体" w:cs="宋体"/>
          <w:color w:val="auto"/>
          <w:sz w:val="21"/>
          <w:highlight w:val="none"/>
        </w:rPr>
      </w:pPr>
      <w:r>
        <w:rPr>
          <w:rFonts w:hint="eastAsia" w:hAnsi="宋体" w:cs="宋体"/>
          <w:color w:val="auto"/>
          <w:sz w:val="21"/>
          <w:highlight w:val="none"/>
        </w:rPr>
        <w:t xml:space="preserve">（2）向扬州仲裁委员会按其仲裁规则申请仲裁。</w:t>
      </w:r>
      <w:r/>
    </w:p>
    <w:p>
      <w:pPr>
        <w:pStyle w:val="857"/>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17.3 若甲乙双方任何一方都没有选择解除合同的，为避免扩大损失，在诉讼或仲裁期间，双方应继续履行。</w:t>
      </w:r>
      <w:r/>
    </w:p>
    <w:p>
      <w:pPr>
        <w:pStyle w:val="857"/>
        <w:ind w:left="315" w:firstLine="105"/>
        <w:spacing w:before="120" w:after="120" w:line="360" w:lineRule="auto"/>
        <w:rPr>
          <w:rFonts w:hAnsi="宋体" w:cs="宋体"/>
          <w:b/>
          <w:bCs/>
          <w:color w:val="auto"/>
          <w:sz w:val="21"/>
          <w:highlight w:val="none"/>
        </w:rPr>
      </w:pPr>
      <w:r>
        <w:rPr>
          <w:rFonts w:hint="eastAsia" w:hAnsi="宋体" w:cs="宋体"/>
          <w:b/>
          <w:bCs/>
          <w:color w:val="auto"/>
          <w:sz w:val="21"/>
          <w:highlight w:val="none"/>
        </w:rPr>
        <w:t xml:space="preserve">18、合同其它</w:t>
      </w:r>
      <w:r/>
    </w:p>
    <w:p>
      <w:pPr>
        <w:pStyle w:val="857"/>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18.1 乙方应诚实信用，严格按照招标文件要求和投标承诺履行合同，不向甲方进行商业贿赂或者提供不正当利益。</w:t>
      </w:r>
      <w:r/>
    </w:p>
    <w:p>
      <w:pPr>
        <w:pStyle w:val="857"/>
        <w:ind w:firstLine="420"/>
        <w:spacing w:before="120" w:after="120" w:line="360" w:lineRule="auto"/>
        <w:rPr>
          <w:rFonts w:hAnsi="宋体" w:cs="宋体"/>
          <w:color w:val="auto"/>
          <w:sz w:val="21"/>
          <w:highlight w:val="none"/>
          <w:u w:val="single"/>
        </w:rPr>
      </w:pPr>
      <w:r>
        <w:rPr>
          <w:rFonts w:hint="eastAsia" w:hAnsi="宋体" w:cs="宋体"/>
          <w:color w:val="auto"/>
          <w:sz w:val="21"/>
          <w:highlight w:val="none"/>
        </w:rPr>
        <w:t xml:space="preserve">18.2 合同经双方法定代表人或授权代表签字并加盖单位公章，并经江苏唯诚建设咨询有限公司见证盖章后生效。</w:t>
      </w:r>
      <w:r/>
    </w:p>
    <w:p>
      <w:pPr>
        <w:pStyle w:val="857"/>
        <w:ind w:firstLine="420"/>
        <w:spacing w:before="120" w:after="120" w:line="360" w:lineRule="auto"/>
        <w:rPr>
          <w:rFonts w:hAnsi="宋体" w:cs="宋体"/>
          <w:color w:val="auto"/>
          <w:sz w:val="21"/>
          <w:highlight w:val="none"/>
          <w:u w:val="single"/>
        </w:rPr>
      </w:pPr>
      <w:r>
        <w:rPr>
          <w:rFonts w:hint="eastAsia" w:hAnsi="宋体" w:cs="宋体"/>
          <w:color w:val="auto"/>
          <w:sz w:val="21"/>
          <w:highlight w:val="none"/>
        </w:rPr>
        <w:t xml:space="preserve">18.2本合同未尽事宜，遵照《中华人民共和国民法典》有关条文执行。</w:t>
      </w:r>
      <w:r/>
    </w:p>
    <w:p>
      <w:pPr>
        <w:pStyle w:val="857"/>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18.3 </w:t>
      </w:r>
      <w:r>
        <w:rPr>
          <w:rFonts w:hint="eastAsia" w:hAnsi="宋体" w:cs="宋体"/>
          <w:color w:val="auto"/>
          <w:sz w:val="21"/>
          <w:highlight w:val="none"/>
          <w:lang w:val="zh-CN"/>
        </w:rPr>
        <w:t xml:space="preserve">本合同正本一式</w:t>
      </w:r>
      <w:r>
        <w:rPr>
          <w:rFonts w:hint="eastAsia" w:hAnsi="宋体" w:cs="宋体"/>
          <w:color w:val="auto"/>
          <w:sz w:val="21"/>
          <w:highlight w:val="none"/>
        </w:rPr>
        <w:t xml:space="preserve">肆</w:t>
      </w:r>
      <w:r>
        <w:rPr>
          <w:rFonts w:hint="eastAsia" w:hAnsi="宋体" w:cs="宋体"/>
          <w:color w:val="auto"/>
          <w:sz w:val="21"/>
          <w:highlight w:val="none"/>
          <w:lang w:val="zh-CN"/>
        </w:rPr>
        <w:t xml:space="preserve">份，具有同等法律效力，甲方</w:t>
      </w:r>
      <w:r>
        <w:rPr>
          <w:rFonts w:hint="eastAsia" w:hAnsi="宋体" w:cs="宋体"/>
          <w:color w:val="auto"/>
          <w:sz w:val="21"/>
          <w:highlight w:val="none"/>
        </w:rPr>
        <w:t xml:space="preserve">贰</w:t>
      </w:r>
      <w:r>
        <w:rPr>
          <w:rFonts w:hint="eastAsia" w:hAnsi="宋体" w:cs="宋体"/>
          <w:color w:val="auto"/>
          <w:sz w:val="21"/>
          <w:highlight w:val="none"/>
          <w:lang w:val="zh-CN"/>
        </w:rPr>
        <w:t xml:space="preserve">份，乙方壹份，见证方壹份。</w:t>
      </w:r>
      <w:r/>
    </w:p>
    <w:p>
      <w:pPr>
        <w:pStyle w:val="857"/>
        <w:ind w:left="420" w:hanging="420"/>
        <w:spacing w:before="120" w:after="120" w:line="360" w:lineRule="auto"/>
        <w:rPr>
          <w:rFonts w:hAnsi="宋体" w:cs="宋体"/>
          <w:color w:val="auto"/>
          <w:sz w:val="21"/>
          <w:highlight w:val="none"/>
        </w:rPr>
      </w:pPr>
      <w:r>
        <w:rPr>
          <w:rFonts w:hint="eastAsia" w:hAnsi="宋体" w:cs="宋体"/>
          <w:color w:val="auto"/>
          <w:sz w:val="21"/>
          <w:highlight w:val="none"/>
        </w:rPr>
        <w:t xml:space="preserve">  </w:t>
      </w:r>
      <w:r/>
    </w:p>
    <w:p>
      <w:pPr>
        <w:pStyle w:val="857"/>
        <w:ind w:left="420" w:hanging="210"/>
        <w:spacing w:before="120" w:after="120" w:line="360" w:lineRule="auto"/>
        <w:rPr>
          <w:rFonts w:hAnsi="宋体" w:cs="宋体"/>
          <w:color w:val="auto"/>
          <w:sz w:val="21"/>
          <w:highlight w:val="none"/>
        </w:rPr>
      </w:pPr>
      <w:r>
        <w:rPr>
          <w:rFonts w:hint="eastAsia" w:hAnsi="宋体" w:cs="宋体"/>
          <w:color w:val="auto"/>
          <w:sz w:val="21"/>
          <w:highlight w:val="none"/>
        </w:rPr>
        <w:t xml:space="preserve">甲方：扬州市农业综合行政执法监督局       乙方： </w:t>
      </w:r>
      <w:r/>
    </w:p>
    <w:p>
      <w:pPr>
        <w:pStyle w:val="857"/>
        <w:spacing w:before="120" w:after="120" w:line="360" w:lineRule="auto"/>
        <w:rPr>
          <w:rFonts w:hAnsi="宋体" w:cs="宋体"/>
          <w:color w:val="auto"/>
          <w:sz w:val="21"/>
          <w:highlight w:val="none"/>
        </w:rPr>
      </w:pPr>
      <w:r>
        <w:rPr>
          <w:rFonts w:hint="eastAsia" w:hAnsi="宋体" w:cs="宋体"/>
          <w:color w:val="auto"/>
          <w:sz w:val="21"/>
          <w:highlight w:val="none"/>
        </w:rPr>
        <w:t xml:space="preserve">  地址：</w:t>
      </w:r>
      <w:r>
        <w:rPr>
          <w:rFonts w:hint="eastAsia" w:hAnsi="宋体" w:cs="宋体"/>
          <w:color w:val="auto"/>
          <w:sz w:val="21"/>
          <w:highlight w:val="none"/>
        </w:rPr>
        <w:tab/>
      </w:r>
      <w:r>
        <w:rPr>
          <w:rFonts w:hint="eastAsia" w:hAnsi="宋体" w:cs="宋体"/>
          <w:color w:val="auto"/>
          <w:sz w:val="21"/>
          <w:highlight w:val="none"/>
        </w:rPr>
        <w:tab/>
      </w:r>
      <w:r>
        <w:rPr>
          <w:rFonts w:hint="eastAsia" w:hAnsi="宋体" w:cs="宋体"/>
          <w:color w:val="auto"/>
          <w:sz w:val="21"/>
          <w:highlight w:val="none"/>
        </w:rPr>
        <w:tab/>
      </w:r>
      <w:r>
        <w:rPr>
          <w:rFonts w:hint="eastAsia" w:hAnsi="宋体" w:cs="宋体"/>
          <w:color w:val="auto"/>
          <w:sz w:val="21"/>
          <w:highlight w:val="none"/>
        </w:rPr>
        <w:tab/>
      </w:r>
      <w:r>
        <w:rPr>
          <w:rFonts w:hint="eastAsia" w:hAnsi="宋体" w:cs="宋体"/>
          <w:color w:val="auto"/>
          <w:sz w:val="21"/>
          <w:highlight w:val="none"/>
        </w:rPr>
        <w:t xml:space="preserve">                   地址： </w:t>
      </w:r>
      <w:r/>
    </w:p>
    <w:p>
      <w:pPr>
        <w:pStyle w:val="857"/>
        <w:ind w:left="420" w:hanging="210"/>
        <w:spacing w:before="120" w:after="120" w:line="360" w:lineRule="auto"/>
        <w:rPr>
          <w:rFonts w:hAnsi="宋体" w:cs="宋体"/>
          <w:color w:val="auto"/>
          <w:sz w:val="21"/>
          <w:highlight w:val="none"/>
        </w:rPr>
      </w:pPr>
      <w:r>
        <w:rPr>
          <w:rFonts w:hint="eastAsia" w:hAnsi="宋体" w:cs="宋体"/>
          <w:color w:val="auto"/>
          <w:sz w:val="21"/>
          <w:highlight w:val="none"/>
        </w:rPr>
        <w:t xml:space="preserve">法定代表人或授权代表：                   法定代表人或授权代表：</w:t>
      </w:r>
      <w:r/>
    </w:p>
    <w:p>
      <w:pPr>
        <w:pStyle w:val="857"/>
        <w:ind w:left="420" w:hanging="210"/>
        <w:spacing w:before="120" w:after="120" w:line="360" w:lineRule="auto"/>
        <w:rPr>
          <w:rFonts w:hAnsi="宋体" w:cs="宋体"/>
          <w:color w:val="auto"/>
          <w:sz w:val="21"/>
          <w:highlight w:val="none"/>
        </w:rPr>
      </w:pPr>
      <w:r>
        <w:rPr>
          <w:rFonts w:hint="eastAsia" w:hAnsi="宋体" w:cs="宋体"/>
          <w:color w:val="auto"/>
          <w:sz w:val="21"/>
          <w:highlight w:val="none"/>
        </w:rPr>
        <w:t xml:space="preserve">联系电话：                               联系电话：</w:t>
      </w:r>
      <w:r/>
    </w:p>
    <w:p>
      <w:pPr>
        <w:pStyle w:val="857"/>
        <w:ind w:left="420" w:hanging="210"/>
        <w:spacing w:before="120" w:after="120" w:line="360" w:lineRule="auto"/>
        <w:rPr>
          <w:rFonts w:hAnsi="宋体" w:cs="宋体"/>
          <w:color w:val="auto"/>
          <w:sz w:val="21"/>
          <w:highlight w:val="none"/>
        </w:rPr>
      </w:pPr>
      <w:r>
        <w:rPr>
          <w:rFonts w:hint="eastAsia" w:hAnsi="宋体" w:cs="宋体"/>
          <w:color w:val="auto"/>
          <w:sz w:val="21"/>
          <w:highlight w:val="none"/>
        </w:rPr>
        <w:t xml:space="preserve">  </w:t>
      </w:r>
      <w:r/>
    </w:p>
    <w:p>
      <w:pPr>
        <w:pStyle w:val="857"/>
        <w:ind w:left="420" w:hanging="210"/>
        <w:spacing w:before="120" w:after="120" w:line="360" w:lineRule="auto"/>
        <w:rPr>
          <w:rFonts w:hAnsi="宋体" w:cs="宋体"/>
          <w:color w:val="auto"/>
          <w:sz w:val="21"/>
          <w:highlight w:val="none"/>
        </w:rPr>
      </w:pPr>
      <w:r>
        <w:rPr>
          <w:rFonts w:hint="eastAsia" w:hAnsi="宋体" w:cs="宋体"/>
          <w:color w:val="auto"/>
          <w:sz w:val="21"/>
          <w:highlight w:val="none"/>
        </w:rPr>
        <w:t xml:space="preserve">见证方：江苏唯诚建设咨询有限公司</w:t>
      </w:r>
      <w:r/>
    </w:p>
    <w:p>
      <w:pPr>
        <w:pStyle w:val="857"/>
        <w:ind w:left="420" w:hanging="210"/>
        <w:spacing w:before="120" w:after="120" w:line="360" w:lineRule="auto"/>
        <w:rPr>
          <w:rFonts w:hAnsi="宋体" w:cs="宋体"/>
          <w:color w:val="auto"/>
          <w:sz w:val="21"/>
          <w:highlight w:val="none"/>
        </w:rPr>
      </w:pPr>
      <w:r>
        <w:rPr>
          <w:rFonts w:hint="eastAsia" w:hAnsi="宋体" w:cs="宋体"/>
          <w:color w:val="auto"/>
          <w:sz w:val="21"/>
          <w:highlight w:val="none"/>
        </w:rPr>
        <w:t xml:space="preserve">项目经办人：</w:t>
      </w:r>
      <w:r/>
    </w:p>
    <w:p>
      <w:pPr>
        <w:pStyle w:val="857"/>
        <w:ind w:left="420" w:hanging="210"/>
        <w:spacing w:before="120" w:after="120" w:line="360" w:lineRule="auto"/>
        <w:rPr>
          <w:rFonts w:hAnsi="宋体" w:cs="宋体"/>
          <w:color w:val="auto"/>
          <w:sz w:val="21"/>
          <w:highlight w:val="none"/>
        </w:rPr>
      </w:pPr>
      <w:r>
        <w:rPr>
          <w:rFonts w:hint="eastAsia" w:hAnsi="宋体" w:cs="宋体"/>
          <w:color w:val="auto"/>
          <w:sz w:val="21"/>
          <w:highlight w:val="none"/>
        </w:rPr>
        <w:t xml:space="preserve">日期：     年   月   日</w:t>
      </w:r>
      <w:r/>
    </w:p>
    <w:p>
      <w:pPr>
        <w:pStyle w:val="857"/>
        <w:ind w:left="420" w:hanging="210"/>
        <w:spacing w:before="120" w:after="120" w:line="360" w:lineRule="auto"/>
        <w:rPr>
          <w:rFonts w:hAnsi="宋体" w:cs="宋体"/>
          <w:color w:val="auto"/>
          <w:sz w:val="21"/>
          <w:highlight w:val="none"/>
        </w:rPr>
        <w:sectPr>
          <w:headerReference w:type="default" r:id="rId10"/>
          <w:footerReference w:type="default" r:id="rId13"/>
          <w:footnotePr/>
          <w:endnotePr/>
          <w:type w:val="nextPage"/>
          <w:pgSz w:w="11906" w:h="16838" w:orient="portrait"/>
          <w:pgMar w:top="1440" w:right="1800" w:bottom="1440" w:left="1800" w:header="851" w:footer="992" w:gutter="0"/>
          <w:cols w:num="1" w:sep="0" w:space="720" w:equalWidth="1"/>
          <w:docGrid w:linePitch="360"/>
        </w:sectPr>
      </w:pPr>
      <w:r>
        <w:rPr>
          <w:rFonts w:hAnsi="宋体" w:cs="宋体"/>
          <w:color w:val="auto"/>
          <w:sz w:val="21"/>
          <w:highlight w:val="none"/>
        </w:rPr>
      </w:r>
      <w:r/>
    </w:p>
    <w:p>
      <w:pPr>
        <w:pStyle w:val="834"/>
        <w:jc w:val="center"/>
        <w:spacing w:line="360" w:lineRule="auto"/>
        <w:rPr>
          <w:rFonts w:ascii="宋体" w:hAnsi="宋体"/>
          <w:color w:val="auto"/>
          <w:sz w:val="36"/>
          <w:highlight w:val="none"/>
        </w:rPr>
      </w:pPr>
      <w:r>
        <w:rPr>
          <w:rFonts w:hint="eastAsia" w:ascii="宋体" w:hAnsi="宋体"/>
          <w:color w:val="auto"/>
          <w:sz w:val="36"/>
          <w:highlight w:val="none"/>
        </w:rPr>
        <w:t xml:space="preserve">第四章 项目需求</w:t>
      </w:r>
      <w:r/>
    </w:p>
    <w:p>
      <w:pPr>
        <w:numPr>
          <w:ilvl w:val="0"/>
          <w:numId w:val="8"/>
        </w:numPr>
        <w:ind w:left="0" w:firstLine="422"/>
        <w:spacing w:line="360" w:lineRule="auto"/>
        <w:rPr>
          <w:rFonts w:ascii="宋体" w:hAnsi="宋体" w:cs="宋体"/>
          <w:b/>
          <w:bCs/>
          <w:color w:val="auto"/>
          <w:szCs w:val="21"/>
          <w:highlight w:val="none"/>
        </w:rPr>
      </w:pPr>
      <w:r/>
      <w:bookmarkStart w:id="29" w:name="_Toc497133122"/>
      <w:r>
        <w:rPr>
          <w:rFonts w:hint="eastAsia" w:ascii="宋体" w:hAnsi="宋体" w:cs="宋体"/>
          <w:b/>
          <w:bCs/>
          <w:color w:val="auto"/>
          <w:szCs w:val="21"/>
          <w:highlight w:val="none"/>
        </w:rPr>
        <w:t xml:space="preserve">项目建设背景</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扬州市农业综合行政执法监督局借执法改革和编办“三定”要求内设“指挥中心”的契机，践行农业农村领域“大数据+指挥平台+现场执法APP”新模式，在2022年底建成农业综合执法指挥中心及其执法信息采集系统（一期），在全省率先实现可视化指挥、留痕化管理、协同化调度、智慧化研判的“最强大脑”，也</w:t>
      </w:r>
      <w:r>
        <w:rPr>
          <w:rFonts w:hint="eastAsia" w:ascii="宋体" w:hAnsi="宋体" w:cs="宋体"/>
          <w:color w:val="auto"/>
          <w:sz w:val="21"/>
          <w:szCs w:val="21"/>
          <w:highlight w:val="none"/>
          <w:lang w:val="en-US"/>
        </w:rPr>
        <w:t xml:space="preserve">为实现农业综合执法的“数智”监管奠定了基础。随着系统平台的使用及执法案件的增多，执法人员操作水平及数据精准性问题逐步显现，为进一步提升执法水平，利用“大数据+AI”的技术手段，于2024年开展实施农业行政执法多功能受案监督管理系统（二期），打造集智能值守、人工受理、工单转换、智能取证、智能分析研判、智能监督管理的一体化管理平台，让农业执法办案更加智能、规范、精准、高效。农业行政执法多功能受案监督管理系统由视频监控模块、识别预警模块、受案处理模块、案件处置模块、分析决策模块、执法终端模块、现场执法模块等组成。</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在执法人员实际执法过程中，我们也发现了如下问题：</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1）执法检查过程需要标准化和规范化。目前执法检查过程中的执法检查内容和执法检查发现问题均由执法检查人员自行填写，未按照十六个检查行业对检查内容和发现问题进行细分，容易出现同一检查内容和检查问题不同填法、写法的问题，导致执法过程不够规范化，需要对检查内容和发现问题标准化和规范化，让执法人员直接选择，不用填写。</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2）执法检查记录需要电子化和智能化。目前执法检查完成后，执法检查过程记录一方面没有当事人和执法人员的双方签名，另一方面系统没有自动生成当时执法检查记录的电子化文档和电子签名，导致执法检查过程缺失有权威性和不可否认性。需要系统支持执法检查记录自动生成pdf电子文档，并附加当事人和执法人员的电子签名。</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3）农资执法抽样和农产品质量安全监督抽样需要电子化和智能化。目前抽样完成后，除农药外，兽药、饲料和各类农产品抽样普遍人工填写抽样单，事后还要补录到信息平台当中，增加执法人员不少的工作量，补录还容易造成抽样数据重复录入。农药抽样数据的导入也需要花费时间调整数据字段及格式，非常不便。需要系统支持抽样工作自动生成pdf电子文档，并附加当事人和执法人员的电子签名。</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4）农资打假执法需要查询农资产品信息。农药、肥料、种子、兽药以及饲料等农资产品，往往需要通过查询登记证号、批准文号等识别码方能了解到产品的基本信息，从而帮助执法人员识假辨假。现有手机端app没有这项功能，一定程度上造成其现场使用率不高，需要系统支持农资产品信息查询。</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5）长江禁捕简易程序案件需要电子化和智能化。我市长江禁捕简易程序案件数量较多，常年保持在500-800件范围。该类案件通常格式、内容、罚没款高度相似，目前主要也是人工制作当场处罚文书，事后补录入到信息平台当中，给执法人员增加了很多重复劳动，补录者往往不在违法现场，补录时容易丢失违法案件经纬度，导致违法热力图不准。需要系统支持自动生成当场处罚文书的pdf电子文档，并附加当事人和执法人员的电子签名。</w:t>
      </w:r>
      <w:r/>
    </w:p>
    <w:p>
      <w:pPr>
        <w:numPr>
          <w:ilvl w:val="0"/>
          <w:numId w:val="8"/>
        </w:numPr>
        <w:ind w:left="0"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项目建设需求</w:t>
      </w:r>
      <w:r/>
    </w:p>
    <w:p>
      <w:pPr>
        <w:numPr>
          <w:ilvl w:val="0"/>
          <w:numId w:val="9"/>
        </w:numPr>
        <w:ind w:left="0"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升级执法检查模块，新增执法检查内容明细和发现问题明细</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对扬州市农业行政执法多功能受案监督管理系统的执法检查模块进行升级，在现有执法检查功能基础之上新增执法检查内容明细和发现问题明细，按照农药、种子、肥料、兽药、种植业农产品、饲料及饲料添加剂、诊疗、畜牧、屠宰、防疫、渔政、畜牧业农产品、水产业农产品、宅基地、农机、植物检疫等十六个检查行业进行细分，保障对检查内容和发现问题标准化和规范化。</w:t>
      </w:r>
      <w:r/>
    </w:p>
    <w:p>
      <w:pPr>
        <w:numPr>
          <w:ilvl w:val="0"/>
          <w:numId w:val="9"/>
        </w:numPr>
        <w:ind w:left="0"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升级执法检查模块，自动生成执法检查记录PDF并打印</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对扬州市农业行政执法多功能受案监督管理系统的执法检查模块进行升级，执法人员现场执法检查时录入检查记录信息后，执法检查记录可以现场自动生成检查记录pdf文档，可以通过连接蓝牙打印机现场打印检查记录，减少执法人员事后补录的工作量。</w:t>
      </w:r>
      <w:r/>
    </w:p>
    <w:p>
      <w:pPr>
        <w:numPr>
          <w:ilvl w:val="0"/>
          <w:numId w:val="9"/>
        </w:numPr>
        <w:ind w:left="0"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新增农资查询模块</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现场执法APP新增农资查询模块，通过与国家部委权威的农资产品信息平台对接，支持通过批准文号等识别码就能查询到种子、农药、肥料、兽药、饲料等农资产品的基本信息，帮助执法人员在执法检查过程中识假辨假。</w:t>
      </w:r>
      <w:r/>
    </w:p>
    <w:p>
      <w:pPr>
        <w:numPr>
          <w:ilvl w:val="0"/>
          <w:numId w:val="9"/>
        </w:numPr>
        <w:ind w:left="0"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新增农资监督抽检和农产品执法抽样电子化模块</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扬州市农业行政执法多功能受案监督管理系统新增农资监督抽检和农产品执法抽样电子化模块。执法人员在抽样完成后，可在执法系统现场填写农资监督抽样和农产品抽样单，系统根据填报内容和抽样单模板自动生成抽样单电子文档并可打印，减少了执法人员事后补录的工作量，避免补录还容易造成抽样数据重复录入的问题。</w:t>
      </w:r>
      <w:r/>
    </w:p>
    <w:p>
      <w:pPr>
        <w:numPr>
          <w:ilvl w:val="0"/>
          <w:numId w:val="9"/>
        </w:numPr>
        <w:ind w:left="0"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新增长江禁捕简易程序案件打印执法文书模块</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扬州市农业行政执法多功能受案监督管理系统新增长江禁捕简易程序案件打印执法文书模块。针对长江禁捕简易程序执法案件，系统可根据执法案件立案/结案等环节内容及执法文书模板自动生成现场检查笔录、证据提取单、行政处罚决定书及卷宗等文书电子文档，减少执法人员事后补录、人工制作文书的工作量，提高执法人员工作效率。</w:t>
      </w:r>
      <w:r/>
    </w:p>
    <w:p>
      <w:pPr>
        <w:numPr>
          <w:ilvl w:val="0"/>
          <w:numId w:val="9"/>
        </w:numPr>
        <w:ind w:left="0"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GPU视频分析服务</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建设农机安全行政执法视频监控智能识别预警GPU算法模型平台，覆盖全市50路自建农机执法视频监控点位，包括对GPU设备进行针对拖拉机、联合收割机和植保无人飞行器等农业机械进行智能识别算法的调试和训练；</w:t>
      </w:r>
      <w:r/>
    </w:p>
    <w:p>
      <w:pPr>
        <w:numPr>
          <w:ilvl w:val="0"/>
          <w:numId w:val="9"/>
        </w:numPr>
        <w:ind w:left="0"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视频监控补盲</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在整合市域社会治理现代化指挥中心视频监控的基础上，市经济技术开发区、生态科技新城补充建设10路的视频监控，形成覆盖面较广的农机（同时用于宅基地、农资包装废弃物）视频监控网络，为智能识别提供来源。为进一步强化社会面视频监控联网应用，本项目新建的视频监控先接入市域社会治理指挥中心雪亮工程后再接入本项目执法受案管理系统。</w:t>
      </w:r>
      <w:r/>
    </w:p>
    <w:p>
      <w:pPr>
        <w:numPr>
          <w:ilvl w:val="0"/>
          <w:numId w:val="8"/>
        </w:numPr>
        <w:ind w:left="0"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具体功能需求</w:t>
      </w:r>
      <w:r/>
    </w:p>
    <w:p>
      <w:pPr>
        <w:numPr>
          <w:ilvl w:val="0"/>
          <w:numId w:val="10"/>
        </w:numPr>
        <w:ind w:left="0" w:firstLine="422"/>
        <w:spacing w:line="360" w:lineRule="auto"/>
        <w:rPr>
          <w:rFonts w:ascii="宋体" w:hAnsi="宋体" w:cs="宋体"/>
          <w:b/>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新增行业执法检查内容明细和发现问题明细管理功能</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1.1新增检查内容和发现问题明细管理功能</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系统新增检查内容和发现问题明细管理功能，对十六个检查内容明细和发现问题明细进行配置管理。管理人员可以通过此功能对明细进行增减配置。</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1.2执法检查记录新增检查明细和问题明细</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对现有的执法检查功能进行调整，针对执法检查记录，根据检查行业系统自动调取拟检查内容明细和拟发现问题明细，由执法人员根据检查情况进行选择。检查内容明细和发现问题明细能够输出到执法检查记录表中。执法人员可以通过快速检索关键字，快速选择拟检查内容明细和拟发现问题明细。本次调整包括执法检查管理端和现场检查APP端。</w:t>
      </w:r>
      <w:r/>
    </w:p>
    <w:p>
      <w:pPr>
        <w:numPr>
          <w:ilvl w:val="0"/>
          <w:numId w:val="10"/>
        </w:numPr>
        <w:ind w:left="0" w:firstLine="422"/>
        <w:spacing w:line="360" w:lineRule="auto"/>
        <w:rPr>
          <w:rFonts w:ascii="宋体" w:hAnsi="宋体" w:cs="宋体"/>
          <w:b/>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新增执法检查记录表单生成功能</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系统新增执法检查记录表单pdf生成功能。执法检查完成后，执法人员填写执法检查记录信息，点击生成pdf，系统能够按照检查记录表模板生成执法检查记录pdf,并将本次检查对象和检查人员的电子签名输出在pdf对应的签名位置。系统可以通过连接蓝牙打印机打印检查记录。</w:t>
      </w:r>
      <w:r/>
    </w:p>
    <w:p>
      <w:pPr>
        <w:numPr>
          <w:ilvl w:val="0"/>
          <w:numId w:val="10"/>
        </w:numPr>
        <w:ind w:left="0" w:firstLine="422"/>
        <w:spacing w:line="360" w:lineRule="auto"/>
        <w:rPr>
          <w:rFonts w:ascii="宋体" w:hAnsi="宋体" w:cs="宋体"/>
          <w:b/>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新增农资查询功能</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在手机端现场执法APP中新增农资产品查询功能，种子、农药、肥料、兽药、饲料及饲料添加剂等5个版块，进入后输入有关登记证号、批准文号或许可证号，查询有关农资的基础信息。系统通过与中国种业大数据平台、中国农药信息网、农业农村部数据平台、国家兽药基础数据库、畜牧业综合信息平台系统对接，调用数据平台提供的数据接口，在现场执法APP中实现种子、农药、肥料、兽药、饲料等农资产品基本信息的查询，从而帮助执法人员识假辨假。</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3.1种子品种审定编号查询</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现场执法APP中新增种子查询功能，通过与中国种业大数据平台对接，输入品种名称或者审定编号等查询条件，查询种子品种基本信息。</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3.2农药登记证号查询</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现场执法APP中新增农药查询功能，通过与中国农药信息网对接，输入农药名称或者登记证号等查询条件，查询农药基本信息。</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3.3肥料登记证号查询</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现场执法APP中新增肥料查询功能，通过与农业农村部数据平台对接，输入登记证号等查询条件，查询肥料基本信息。</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3.4兽药批准文号查询</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现场执法APP中新增兽药查询功能，通过与国家兽药基础数据库对接，输入名称或者批准文号等查询条件，查询兽药基本信息。</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3.5饲料及饲料添加剂生产许可证、批准文号查询</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现场执法APP中新增饲料查询功能，通过与畜牧业综合信息平台对接，输入名称或者批准文号等查询条件，查询饲料基本信息。</w:t>
      </w:r>
      <w:r/>
    </w:p>
    <w:p>
      <w:pPr>
        <w:numPr>
          <w:ilvl w:val="0"/>
          <w:numId w:val="10"/>
        </w:numPr>
        <w:ind w:left="0" w:firstLine="422"/>
        <w:spacing w:line="360" w:lineRule="auto"/>
        <w:rPr>
          <w:rFonts w:ascii="宋体" w:hAnsi="宋体" w:cs="宋体"/>
          <w:b/>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新增农资监督抽检和农产品执法抽样</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新增农资监督抽样和农产品执法抽样模块。新增检查记录时，“执法检查依据”增加2个选项：农资产品执法抽样，农产品质量安全监督抽样，“检查依据编号/文号”改为“检查（抽样）依据编号/文号”。在选择农资产品执法抽样或者农产品质量安全监督抽样以及对应的检查行业后，检查记录表单增加对应的抽样表单内容供执法人员填报。填报结束后，可以按照对应的模板生成抽样单电子表单并可打印。</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4.1农药抽样</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选择“（执法检查依据）农资产品执法抽样”+“（检查行业）农药”后，显示以下表单内容（均为非必填，非抽样任务时隐藏）：</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抽样编号、产品名称、注册商标、批准文号（登记、许可证号）、生产批号、生产日期、产品执行标准、生产企业、保质期、规格、产品等级、产品包装、抽样数量、样本基数、抽样方式、抽样情况补充说明（100个半角字符以内）、邮编。</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新增按键：打印《农资产品抽样单》，保存PDF文件并可下载。</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4.2肥料抽样</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选择“（执法检查依据）农资产品执法抽样”+“（检查行业）肥料”后，显示以下表单内容（均为非必填，非抽样任务时隐藏）：</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抽样编号、产品名称、注册商标、批准文号（登记、许可证号）、生产批号、生产日期、产品执行标准、生产企业、保质期、规格、产品等级、产品包装、抽样数量、样本基数、抽样方式、抽样情况补充说明（100个半角字符以内）、邮编。</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新增按键：打印《农资产品抽样单》。</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4.3兽药抽样</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选择“（执法检查依据）农资产品执法抽样”+“（检查行业）兽药”后，显示以下表单内容（均为非必填，非抽样任务时隐藏）：</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抽样单编号、通用名称、商品名称、产品批准文号、含量规格、生产批号、包装规格、生产日期、有效期至、标称生产企业名称、兽药追溯二维码（是否表示：□有，□无；是否追溯：□能，□不能。）、样品标示贮藏条件、样品存放现场是否与标示一致（□是，□否）、生产/购进数量、抽样基数、抽样数量、抽样环节（①生产环节(□成品库，□原料库)；②经营企业(□门市，□库房，□互联网经营的线下库房，□其他)；③使用环节(□养殖场(户)的药方，□动物诊疗机构的药方，□其他)。）、联系人、邮政编码。</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新增按键：打印《兽药产品执法抽检工作单》。</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4.4水产兽药抽样</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选择“（执法检查依据）农资产品执法抽样”+“（检查行业）水产兽药”后，显示以下表单内容（均为非必填，非抽样任务时隐藏）：</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抽样单编号、通用名称、商品名称、产品批准文号、含量规格、生产批号、包装规格、生产日期、有效期至、标称生产企业名称、兽药追溯二维码（是否表示：□有，□无；是否追溯：□能，□不能。）、样品标示贮藏条件、样品存放现场是否与标示一致（□是，□否）、生产/购进数量、抽样基数、抽样数量、抽样环节（①生产环节(□成品库，□原料库)；②经营企业(□门市，□库房，□互联网经营的线下库房，□其他)；③使用环节(□养殖场(户)的药方，□动物诊疗机构的药方，□其他)。）、联系人、邮政编码。</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新增按键：打印《兽药产品执法抽检工作单》。</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4.5饲料及饲料添加剂抽样</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选择“（执法检查依据）农资产品执法抽样”+“（检查行业）饲料及饲料添加剂”后，显示以下表单内容（均为非必填，非抽样任务时隐藏）：</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抽样编号、检验编号、产品名称、产品执行标准、生产企业、通讯地址、邮政编码、电话、传真、生产日期或批号、保质期、样品保存条件和状态、抽样地点（自动读取“地址”，可修改）、抽样数量、抽样基数。以上字段再重复2遍，1张表最多抽3批次样品。</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新增抽样方式、联系人、电话、传真、邮编等待填报。</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新增按键：打印《饲料产品执法抽检工作单》。</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4.6农产品质量安全监督抽样</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选择“（执法检查依据）农资产品执法抽样”+“（检查行业）农产品（种植业农产品、畜牧业农产品、渔业农产品任意1类）”后，显示以下表单内容（均为非必填，非抽样任务时隐藏）：</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联系人、电话、抽样单编号、抽样场所（田块□养殖场□鱼塘□库房□屠宰场□水产运输车□奶站□其他（））、样品名称、样品编号、抽样数量、抽样基数、收获日期、产品是否已上市（是□否□）（带下划线的要再重复1遍，1张表最多抽2批次样品）、同批次已上市产品销售量和销售金额（aa/bb公斤，cc/dd万元）、产品认证登记情况（绿色食品□有机农产品□地理标志产品□合格证□无认证□其他认证（）□）、产品认证登记证书编号、获证日期。</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新增按键：打印《扬州市农产品质量安全监督抽查抽样单》。</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4.7关于抽样不合格的预警</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在执法检查模块的“立案”环节中，在原有“抽检不合格”录入批次数的基础上，新增“不合格产品名称”“不合格产品销售单位”“不合格产品生产单位”数据项待填报。</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农业执法智慧大屏增加“抽样不合格预警”板块显示。执法案件结案后，在指挥大屏的种植业版块、动监版块、农产品版块滚动显示。</w:t>
      </w:r>
      <w:r/>
    </w:p>
    <w:p>
      <w:pPr>
        <w:numPr>
          <w:ilvl w:val="0"/>
          <w:numId w:val="10"/>
        </w:numPr>
        <w:ind w:left="0" w:firstLine="422"/>
        <w:spacing w:line="360" w:lineRule="auto"/>
        <w:rPr>
          <w:rFonts w:ascii="宋体" w:hAnsi="宋体" w:cs="宋体"/>
          <w:b/>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新增长江禁捕简易程序案件打印执法文书功能</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新增长江禁捕简易程序案件打印执法文书模块。在执法立案环节“涉嫌违法行业”选择“渔政”，且结案环节“程序类型”选择“简易程序”时，结案后会显示以下表单内容进行填报（平时隐藏）：</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现场检查开始时间，现场检查结束时间，记录人，当事人性别，当事人民族，出生日期（自动从身份证号读取），工作单位和职务政治面貌（默认“个人/群众”，可修改），钓具名称，处罚地点，签收时间。</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新增按键：打印《禁捕简易程序执法文书》。</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禁捕简易程序执法文书包含：《现场检查笔录》、《证据提取单（证照）》、《证据提取单（检查照片）》、《当场行政处罚决定书》、《行政处罚案件卷宗》、《卷宗目录》、《卷宗备考表》。</w:t>
      </w:r>
      <w:r/>
    </w:p>
    <w:p>
      <w:pPr>
        <w:numPr>
          <w:ilvl w:val="0"/>
          <w:numId w:val="10"/>
        </w:numPr>
        <w:ind w:left="0" w:firstLine="422"/>
        <w:spacing w:line="360" w:lineRule="auto"/>
        <w:rPr>
          <w:rFonts w:ascii="宋体" w:hAnsi="宋体" w:cs="宋体"/>
          <w:b/>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GPU算法分析</w:t>
      </w:r>
      <w:r/>
    </w:p>
    <w:p>
      <w:pPr>
        <w:pStyle w:val="1231"/>
        <w:ind w:firstLine="422"/>
        <w:rPr>
          <w:rFonts w:ascii="宋体" w:hAnsi="宋体" w:cs="宋体"/>
          <w:b/>
          <w:bCs/>
          <w:color w:val="auto"/>
          <w:sz w:val="21"/>
          <w:szCs w:val="21"/>
          <w:highlight w:val="none"/>
          <w:lang w:val="en-US"/>
        </w:rPr>
      </w:pPr>
      <w:r>
        <w:rPr>
          <w:rFonts w:hint="eastAsia" w:ascii="宋体" w:hAnsi="宋体" w:cs="宋体"/>
          <w:b/>
          <w:bCs/>
          <w:color w:val="auto"/>
          <w:sz w:val="21"/>
          <w:szCs w:val="21"/>
          <w:highlight w:val="none"/>
          <w:lang w:val="en-US"/>
        </w:rPr>
        <w:t xml:space="preserve">边缘计算主机</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1、内置不少于1颗高性能GPU，单颗GPU算力不低于22TOPS（INT8）；</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2、支持人脸检测、人脸识别、视频结构化（人、车、非机动车）、通用行为分析、车牌比对、绊线人数统计、区域人数统计、排队人数异常报警、人像检测、吸烟、打电话等前智能分析功能；</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3、支持人脸检测、人脸识别、视频结构化（人、车、非机动车）、通用行为分析等后智能分析功能；</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4、支持不少于48路H.264/H.265混合接入，网络带宽不少于256Mbps接入、256Mbps存储、256Mbps转发；</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5、支持不少于1个SATA接口，单盘容量不少于16T；</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6、支持不少于200个人脸库，库容不少于100万张人脸图片，支持导入人脸库和路人库，样本库总容量为不少于100万张人脸图片，路人库（动态库）总容量为不少于100万张人脸图片，支持导入单张图片大小≤8MB；支持人脸库瘦身，自动优化人脸库存储空间，当空间存储超过一定阈值（阈值可设置30%～100%），通过自动化整理人脸库信息；</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7、★支持变化事件检测，可联动录像、抓图、蜂鸣报警、邮件、本地报警输出、前端报警输出、门禁、音频以及日志记录；支持物品出现、物品消失、物品状态3种规则；支持自定义和自适应两种检测模式，可通过配置底图和状态库，进行物品和状态的变化检测；支持配置不少于8条规则；支持按照规则名称进行检索，可以对检索结果进行回放；</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8、★支持接入非智</w:t>
      </w:r>
      <w:r>
        <w:rPr>
          <w:rFonts w:hint="eastAsia" w:ascii="宋体" w:hAnsi="宋体" w:cs="宋体"/>
          <w:color w:val="auto"/>
          <w:szCs w:val="21"/>
          <w:highlight w:val="none"/>
        </w:rPr>
        <w:t xml:space="preserve">能IPC进行物品监控检测，设备可识别监视画面中的非机动车、箱包的拿取和遗留，并在监视画面中显示识别结果；触发报警后支持联动录像、抓图、蜂鸣报警、发送邮件、本地报警输出、IPC外部输出、音频，支持预览面板实时显示报警信息；智能面板支持显示非机动车、箱包的检测数据、抓拍图片，智能面板支持滚动显示；可设置最短持续时间、检测灵敏度、AI识别过滤；支持按照通道、时间检索报警事件，可按物品遗留和物品拿取过滤搜索，显示物品遗留和物品拿取相关的检测数据、抓拍图片和录像；支持抓拍库存储不少于5000万条物品监控抓拍历史记录；</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9、★支持选择1个算法包导入或多个算法包批量导入、更新、删除，导入的算法与智能引擎可动态绑定，可开启对应算法；当智能引擎发生异常，可动态切换绑定智能引擎恢复算法执行；支持展示已添加算法版本、有效期、已添加的算法包数量和算法包总数；单个智能引擎可虚拟化成不少于8个虚拟引擎，每个虚拟引擎可独立加载模型进行分析；</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10、★内置通用分析模型，集成人、车、行为、事件等4大类多种算法于一体；支持检测、分类、检测+分类、视频行为分析、语义分割、实例分割、图像比对、算法编排、OCR等AI模型加载运行；支持OCR文字、数字、字母识别，支持结构化OCR识别；检测算法支持分析图片中目标的位置和数量；分类算法支持分类目标、识别图像的属性；单颗GPU支持AI开放智能与专业智能混合开启；</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11、支持以图搜图，支持同时批量上传50张人脸图片，并同时对10张目标人脸进行相似图片搜索，支持智能关联可信度高的人脸图片进行二次检索，将关联的人脸和人体的以图搜图结果同时显示；</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12、支持联动录像，抓图，日志，蜂鸣，邮件，预置点，本地报警输出，IPC报警输出，门禁，语音播报，声光报警联动；</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13、支持不少于2个HDMI接口、1个VGA接口、2个RJ45网络接口、2个USB2.0接口、2个USB3.0接口、1个RS232接口、1个RS485接口；</w:t>
      </w:r>
      <w:r/>
    </w:p>
    <w:p>
      <w:pPr>
        <w:ind w:firstLine="420"/>
        <w:spacing w:line="360" w:lineRule="auto"/>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14、支持不少于1路音频输入接口、1路音频输出接口，4个报警输入接口、2个报警输出接口；</w:t>
      </w:r>
      <w:r>
        <w:rPr>
          <w:rFonts w:hint="eastAsia" w:ascii="宋体" w:hAnsi="宋体" w:cs="宋体"/>
          <w:b/>
          <w:bCs/>
          <w:color w:val="auto"/>
          <w:szCs w:val="21"/>
          <w:highlight w:val="none"/>
        </w:rPr>
        <w:t xml:space="preserve">（所有加★项均需提供第三方机构检测报告并加盖投标人公章）</w:t>
      </w:r>
      <w:r/>
    </w:p>
    <w:p>
      <w:pPr>
        <w:pStyle w:val="1231"/>
        <w:ind w:firstLine="422"/>
        <w:rPr>
          <w:rFonts w:ascii="宋体" w:hAnsi="宋体" w:cs="宋体"/>
          <w:b/>
          <w:bCs/>
          <w:color w:val="auto"/>
          <w:sz w:val="21"/>
          <w:szCs w:val="21"/>
          <w:highlight w:val="none"/>
          <w:lang w:val="en-US"/>
        </w:rPr>
      </w:pPr>
      <w:r>
        <w:rPr>
          <w:rFonts w:ascii="宋体" w:hAnsi="宋体" w:cs="宋体"/>
          <w:b/>
          <w:bCs/>
          <w:color w:val="auto"/>
          <w:sz w:val="21"/>
          <w:szCs w:val="21"/>
          <w:highlight w:val="none"/>
          <w:lang w:val="en-US"/>
        </w:rPr>
      </w:r>
      <w:r/>
    </w:p>
    <w:p>
      <w:pPr>
        <w:pStyle w:val="1231"/>
        <w:ind w:firstLine="422"/>
        <w:rPr>
          <w:rFonts w:ascii="宋体" w:hAnsi="宋体" w:cs="宋体"/>
          <w:b/>
          <w:bCs/>
          <w:color w:val="auto"/>
          <w:sz w:val="21"/>
          <w:szCs w:val="21"/>
          <w:highlight w:val="none"/>
          <w:lang w:val="en-US"/>
        </w:rPr>
      </w:pPr>
      <w:r>
        <w:rPr>
          <w:rFonts w:hint="eastAsia" w:ascii="宋体" w:hAnsi="宋体" w:cs="宋体"/>
          <w:b/>
          <w:bCs/>
          <w:color w:val="auto"/>
          <w:sz w:val="21"/>
          <w:szCs w:val="21"/>
          <w:highlight w:val="none"/>
          <w:lang w:val="en-US"/>
        </w:rPr>
        <w:t xml:space="preserve">图片网关服务器</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1、安装方式：标准19英寸机架式安装；</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2、重量：裸机9.5KG,带包装14.8KG；</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3、工作海拔：海拔5000米以下；</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4、工作环境湿度：工作湿度：8%RH～90%RH非凝结，存储湿度：5%RH～95%RH非凝结；</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5、工作环境温度：工作温度：5°C～45°C（41°F～113°F），存储温度：-40°C～+65°C（-40°F～149°F）；</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6、操作系统：支持64位主流Linux版本（Centos7.x和Centos6.9,Debian9.4）支持Windows2012R2，Windows10；</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7、电源：1个550W CRPS电源，支持220VAC输入；</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8、存储：前置4盘位,可支持4个3.5英寸SATA硬盘，默认配置1块1TB-3.5英寸-SATA接口标准盘；</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9、PCIe扩展：2*PCIEx8；</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10、IO接口：1个DB-15VGA接口，4个千兆网口，1个BMC管理网口，后置2个USB3.0接口，前置2个USB3.0接口；</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1</w:t>
      </w:r>
      <w:r>
        <w:rPr>
          <w:rFonts w:ascii="宋体" w:hAnsi="宋体" w:cs="宋体"/>
          <w:color w:val="auto"/>
          <w:sz w:val="21"/>
          <w:szCs w:val="21"/>
          <w:highlight w:val="none"/>
          <w:lang w:val="en-US"/>
        </w:rPr>
        <w:t xml:space="preserve">1</w:t>
      </w:r>
      <w:r>
        <w:rPr>
          <w:rFonts w:hint="eastAsia" w:ascii="宋体" w:hAnsi="宋体" w:cs="宋体"/>
          <w:color w:val="auto"/>
          <w:sz w:val="21"/>
          <w:szCs w:val="21"/>
          <w:highlight w:val="none"/>
          <w:lang w:val="en-US"/>
        </w:rPr>
        <w:t xml:space="preserve">、内存：不少于2条8GB DDR4/带ECC速率2400MHz UDIMM内存；</w:t>
      </w:r>
      <w:r/>
    </w:p>
    <w:p>
      <w:pPr>
        <w:pStyle w:val="1231"/>
        <w:ind w:firstLine="420"/>
        <w:rPr>
          <w:rFonts w:ascii="宋体" w:hAnsi="宋体" w:cs="宋体"/>
          <w:color w:val="auto"/>
          <w:sz w:val="21"/>
          <w:szCs w:val="21"/>
          <w:highlight w:val="none"/>
          <w:lang w:val="en-US"/>
        </w:rPr>
      </w:pPr>
      <w:r>
        <w:rPr>
          <w:rFonts w:ascii="宋体" w:hAnsi="宋体" w:cs="宋体"/>
          <w:color w:val="auto"/>
          <w:sz w:val="21"/>
          <w:szCs w:val="21"/>
          <w:highlight w:val="none"/>
          <w:lang w:val="en-US"/>
        </w:rPr>
        <w:t xml:space="preserve">12</w:t>
      </w:r>
      <w:r>
        <w:rPr>
          <w:rFonts w:hint="eastAsia" w:ascii="宋体" w:hAnsi="宋体" w:cs="宋体"/>
          <w:color w:val="auto"/>
          <w:sz w:val="21"/>
          <w:szCs w:val="21"/>
          <w:highlight w:val="none"/>
          <w:lang w:val="en-US"/>
        </w:rPr>
        <w:t xml:space="preserve">、处理器：</w:t>
      </w:r>
      <w:r>
        <w:rPr>
          <w:rFonts w:hint="eastAsia" w:ascii="宋体" w:hAnsi="宋体" w:cs="宋体"/>
          <w:color w:val="auto"/>
          <w:sz w:val="21"/>
          <w:szCs w:val="21"/>
          <w:highlight w:val="none"/>
          <w:lang w:val="en-US" w:eastAsia="zh-CN"/>
        </w:rPr>
        <w:t xml:space="preserve">国产处理器，</w:t>
      </w:r>
      <w:r>
        <w:rPr>
          <w:rFonts w:hint="eastAsia" w:ascii="宋体" w:hAnsi="宋体" w:cs="宋体"/>
          <w:color w:val="auto"/>
          <w:sz w:val="21"/>
          <w:szCs w:val="21"/>
          <w:highlight w:val="none"/>
          <w:lang w:val="en-US"/>
        </w:rPr>
        <w:t xml:space="preserve">内核不低于4核，主频不低于3.30 GHz</w:t>
      </w:r>
      <w:r/>
    </w:p>
    <w:p>
      <w:pPr>
        <w:pStyle w:val="1231"/>
        <w:ind w:firstLine="420"/>
        <w:rPr>
          <w:rFonts w:ascii="宋体" w:hAnsi="宋体" w:cs="宋体"/>
          <w:color w:val="auto"/>
          <w:sz w:val="21"/>
          <w:szCs w:val="21"/>
          <w:highlight w:val="none"/>
          <w:lang w:val="en-US"/>
        </w:rPr>
      </w:pPr>
      <w:r>
        <w:rPr>
          <w:rFonts w:ascii="宋体" w:hAnsi="宋体" w:cs="宋体"/>
          <w:color w:val="auto"/>
          <w:sz w:val="21"/>
          <w:szCs w:val="21"/>
          <w:highlight w:val="none"/>
          <w:lang w:val="en-US"/>
        </w:rPr>
      </w:r>
      <w:r/>
    </w:p>
    <w:p>
      <w:pPr>
        <w:pStyle w:val="1231"/>
        <w:ind w:firstLine="422"/>
        <w:rPr>
          <w:rFonts w:ascii="宋体" w:hAnsi="宋体" w:cs="宋体"/>
          <w:b/>
          <w:bCs/>
          <w:color w:val="auto"/>
          <w:sz w:val="21"/>
          <w:szCs w:val="21"/>
          <w:highlight w:val="none"/>
          <w:lang w:val="en-US"/>
        </w:rPr>
      </w:pPr>
      <w:r>
        <w:rPr>
          <w:rFonts w:hint="eastAsia" w:ascii="宋体" w:hAnsi="宋体" w:cs="宋体"/>
          <w:b/>
          <w:bCs/>
          <w:color w:val="auto"/>
          <w:sz w:val="21"/>
          <w:szCs w:val="21"/>
          <w:highlight w:val="none"/>
          <w:lang w:val="en-US"/>
        </w:rPr>
        <w:t xml:space="preserve">GPU中心算法服务器</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1、内置不少于4颗高性能GPU，单颗GPU算力不低于22TOPS（INT8）；</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2、支持人脸检测、人脸识别、视频结构化（人、车、非机动车）、通用行为分析、车牌比对、绊线人数统计、区域人数统计、排队人数异常报警、吸烟、打电话、人像检测、SMD等前智能分析功能；</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3、支持后智能人脸检测、人脸识别、人员频次报警、视频结构化（人、车、非机动车）、后智能结构化属性合规报警、通用行为分析、车牌比对等后智能分析功能；</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4、支持不少于256路H.264/H.265混合接入，网络带宽不少于768Mbps接入、768Mbps存储、768Mbps转发；</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5、支持不少于16个SATA接口，单盘容量不少于20T；</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6、支持不少于200个人脸库，库容不少于100万张人脸图片，支持导入人脸库和路人库，样本库总容量不少于100万张人脸图片，路人库（动态库）总容量不少于100万张人脸图片，支持导入单张图片大小≤8MB；支持人脸库瘦身，自动优化人脸库存储空间，当空间存储超过一定阈值（阈值可设置30%～100%），通过自动化整理人脸库信息；</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7、★支持变化事件检测，可联动录像、抓图、蜂鸣报警、邮件、本地报警输出、前端报警输出、门禁、音频以及日志记录；支持物品出现、物品消失、物品状态3种规则；支持自定义和自适应两种检测模式，可通过配置底图和状态库，进行物品和状态的变化检测；支持配置不少于8条规则；支持按照规则名称进行检索，可以对检索结果进行回放；</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8、★支持选择1个算法包导入或多个算法包批量导入、更新、删除，导入的算法与智能引擎可动态绑定，可开启对应算法；当智能引擎发生异常，可动态切换绑定智能引擎恢复算法执行；支持展示已添加算法版本、有效期、已添加的算法包数量和算法包总数；单个智能引擎可虚拟化成不少于8个虚拟引擎，每个虚拟引擎可独立加载模型进行分析；</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9、★内置通用分析模型，集成人、车、行为、事件等4大类多种算法于一体；支持检测、分类、检测+分类、视频行为分析、语义分割、实例分割、图像比对、算法编排、OCR等AI模型加载运行；支持OCR文字、数字、字母识别，支持结构化OCR识别；检测算法支持分析图片中目标的位置和数量；分类算法支持分类目标、识别图像的属性；单颗GPU支持AI开放智能与专业智能混合开启；</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10、★支持接入非智能IPC进行工程车检测，支持绊线入侵、区域入侵、停车检测；可识别监视画面中的工程车和其他车辆，并在监视画面中显示识别结果，识别结果支持联动录像、抓图、蜂鸣报警、预置点、邮件、本地报警输出、IPC报警输出、语音提示；支持智能面板显示报警类型（工程车检测）、图片抓拍信息，智能面板支持动态滚动展示；支持按通道、时间检索报警事件，支持按绊线入侵、区域入侵、停车检测过滤搜索，展示检测数据、抓拍图和录像；</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11、支持联动录像，抓图，日志，蜂鸣，邮件，预置点，本地报警输出，IPC报警输出，门禁，语音播报，声光报警联动；</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12、支持按人脸属性；人体属性；机动车；非机动车属性进行智能数据检索；</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13、支持不少于4个HDMI接口、1个VGA接口、4个RJ45网络接口、2个USB2.0接口、2个USB3.0接口、1个RS232接口、1个RS485接口，1个eSATA接口；</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14、支持不少于1路音频输入接口、1路音频输出接口，16个报警输入接口、8个报警输出接口；</w:t>
      </w:r>
      <w:r/>
    </w:p>
    <w:p>
      <w:pPr>
        <w:pStyle w:val="1231"/>
        <w:ind w:firstLine="422"/>
        <w:rPr>
          <w:rFonts w:ascii="宋体" w:hAnsi="宋体" w:cs="宋体"/>
          <w:b/>
          <w:bCs/>
          <w:color w:val="auto"/>
          <w:sz w:val="21"/>
          <w:szCs w:val="21"/>
          <w:highlight w:val="none"/>
          <w:lang w:val="en-US"/>
        </w:rPr>
      </w:pPr>
      <w:r>
        <w:rPr>
          <w:rFonts w:hint="eastAsia" w:ascii="宋体" w:hAnsi="宋体" w:cs="宋体"/>
          <w:b/>
          <w:bCs/>
          <w:color w:val="auto"/>
          <w:sz w:val="21"/>
          <w:szCs w:val="21"/>
          <w:highlight w:val="none"/>
          <w:lang w:val="en-US"/>
        </w:rPr>
        <w:t xml:space="preserve">（所有加★项均需提供第三方机构检测报告并加盖投标人公章）</w:t>
      </w:r>
      <w:r/>
    </w:p>
    <w:p>
      <w:pPr>
        <w:pStyle w:val="1231"/>
        <w:ind w:firstLine="420"/>
        <w:rPr>
          <w:rFonts w:ascii="宋体" w:hAnsi="宋体" w:cs="宋体"/>
          <w:color w:val="auto"/>
          <w:sz w:val="21"/>
          <w:szCs w:val="21"/>
          <w:highlight w:val="none"/>
          <w:lang w:val="en-US"/>
        </w:rPr>
      </w:pPr>
      <w:r>
        <w:rPr>
          <w:rFonts w:ascii="宋体" w:hAnsi="宋体" w:cs="宋体"/>
          <w:color w:val="auto"/>
          <w:sz w:val="21"/>
          <w:szCs w:val="21"/>
          <w:highlight w:val="none"/>
          <w:lang w:val="en-US"/>
        </w:rPr>
      </w:r>
      <w:r/>
    </w:p>
    <w:p>
      <w:pPr>
        <w:pStyle w:val="1231"/>
        <w:ind w:firstLine="422"/>
        <w:rPr>
          <w:rFonts w:ascii="宋体" w:hAnsi="宋体" w:cs="宋体"/>
          <w:b/>
          <w:bCs/>
          <w:color w:val="auto"/>
          <w:sz w:val="21"/>
          <w:szCs w:val="21"/>
          <w:highlight w:val="none"/>
          <w:lang w:val="en-US"/>
        </w:rPr>
      </w:pPr>
      <w:r>
        <w:rPr>
          <w:rFonts w:hint="eastAsia" w:ascii="宋体" w:hAnsi="宋体" w:cs="宋体"/>
          <w:b/>
          <w:bCs/>
          <w:color w:val="auto"/>
          <w:sz w:val="21"/>
          <w:szCs w:val="21"/>
          <w:highlight w:val="none"/>
          <w:lang w:val="en-US"/>
        </w:rPr>
        <w:t xml:space="preserve">数据对接网关_平台数据对接基础服务</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一、软件参数</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1、支持感知类数据（如卡口过车、人脸分析、RFID、人脸告警等）同网接入汇聚或共享分发</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2、支持感知类数据（如卡口过车、人脸分析、RFID、人脸告警等）HTTP方式跨网或FTP跨网</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3、以任务方式进行数据处理过程管理，包括任务的创建、修改、删除及运行状态的可查看等能力</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4、支持多种任务运行方式切换，任务运行频率可动态调整</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5、任务处理数据速率可调配，实现限流</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6、支持配置化方式实现对接入汇聚和共享推送数据范围的管理</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7、支持差异化协议适配及默认值补充</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8、支持任务处理过程各数据状态的记录及统计</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9、支持协议双方字段值的不停服模式下配置化方式实现匹配转换</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10、支持通过特性化参数值控制任务执行过程的多样化处理能力</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11、支持视图结构化数据和图片Base64流接入与传输</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12、支持调用PaaS域存储服务存储图片，并重新组合视图结构化数据推送平台消息服务平台</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13、支持对图片相对路径二次拼接固定图片网关代理地址功能，并重新组合视图结构化数据推送平台消息服务平台</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14、支持统一运维的部署、安装和升级</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15、支持横向不停服扩容，各节点互为备份</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16、支持复制任务方式同服务器不停服扩容，各任运行依据数据源头特性，自动平衡</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17、任务运行过程可根据上级平台能力，实现数据处理推送动态平衡</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18、支持跨双网及跨三网能力</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19、运行环境不依赖任何平台</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20、支持接入和推送的数据源，主要有4大类：DB类（MySQL、Oracle、PostgreSQL、高斯等）、中间件类（RabbitMQ、RocketMQ、kafka、华为kafka、ActiveMQ、Redis等）、文本类（xls、TXT、BCP、CSV、ZIP、Json、xlsx等）、API接口（HTTP、https、webservice、Datahub等）</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21、支持在线上传功能包，调整功能</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22、支持定制方式支持各类个性化能力</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23、支持不大于5M的音视频文件传输</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24、支持以任务形式进行数据传输过程的统计</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二、性能规格</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或60条/s（一大图（500K）+一小图（50K））</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或250条/s（一小图（50K））</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或1000条/s（无图（5K））</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三、系统兼容性</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1、国产化操作系统</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2、国产化服务器</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3、产品可跨操作系统部署使用</w:t>
      </w:r>
      <w:r/>
    </w:p>
    <w:p>
      <w:pPr>
        <w:pStyle w:val="1231"/>
        <w:ind w:firstLine="420"/>
        <w:rPr>
          <w:rFonts w:ascii="宋体" w:hAnsi="宋体" w:cs="宋体"/>
          <w:color w:val="auto"/>
          <w:sz w:val="21"/>
          <w:szCs w:val="21"/>
          <w:highlight w:val="none"/>
          <w:lang w:val="en-US"/>
        </w:rPr>
      </w:pPr>
      <w:r>
        <w:rPr>
          <w:rFonts w:ascii="宋体" w:hAnsi="宋体" w:cs="宋体"/>
          <w:color w:val="auto"/>
          <w:sz w:val="21"/>
          <w:szCs w:val="21"/>
          <w:highlight w:val="none"/>
          <w:lang w:val="en-US"/>
        </w:rPr>
      </w:r>
      <w:r/>
    </w:p>
    <w:p>
      <w:pPr>
        <w:pStyle w:val="1231"/>
        <w:ind w:firstLine="422"/>
        <w:rPr>
          <w:rFonts w:ascii="宋体" w:hAnsi="宋体" w:cs="宋体"/>
          <w:b/>
          <w:bCs/>
          <w:color w:val="auto"/>
          <w:sz w:val="21"/>
          <w:szCs w:val="21"/>
          <w:highlight w:val="none"/>
          <w:lang w:val="en-US"/>
        </w:rPr>
      </w:pPr>
      <w:r>
        <w:rPr>
          <w:rFonts w:hint="eastAsia" w:ascii="宋体" w:hAnsi="宋体" w:cs="宋体"/>
          <w:b/>
          <w:bCs/>
          <w:color w:val="auto"/>
          <w:sz w:val="21"/>
          <w:szCs w:val="21"/>
          <w:highlight w:val="none"/>
          <w:lang w:val="en-US"/>
        </w:rPr>
        <w:t xml:space="preserve">农用车检测算法训练</w:t>
      </w:r>
      <w:r/>
    </w:p>
    <w:p>
      <w:pPr>
        <w:pStyle w:val="1232"/>
        <w:ind w:firstLine="420"/>
        <w:jc w:val="both"/>
        <w:rPr>
          <w:color w:val="auto"/>
          <w:sz w:val="21"/>
          <w:szCs w:val="21"/>
          <w:highlight w:val="none"/>
        </w:rPr>
      </w:pPr>
      <w:r>
        <w:rPr>
          <w:rFonts w:hint="eastAsia"/>
          <w:color w:val="auto"/>
          <w:sz w:val="21"/>
          <w:szCs w:val="21"/>
          <w:highlight w:val="none"/>
        </w:rPr>
        <w:t xml:space="preserve">农业机械分类检测，规则：农机绊线、农机驶入、农用车停留；</w:t>
      </w:r>
      <w:r/>
    </w:p>
    <w:p>
      <w:pPr>
        <w:pStyle w:val="1232"/>
        <w:ind w:firstLine="420"/>
        <w:jc w:val="both"/>
        <w:rPr>
          <w:color w:val="auto"/>
          <w:sz w:val="21"/>
          <w:szCs w:val="21"/>
          <w:highlight w:val="none"/>
        </w:rPr>
      </w:pPr>
      <w:r>
        <w:rPr>
          <w:rFonts w:hint="eastAsia"/>
          <w:color w:val="auto"/>
          <w:sz w:val="21"/>
          <w:szCs w:val="21"/>
          <w:highlight w:val="none"/>
        </w:rPr>
        <w:t xml:space="preserve">这里的农业机械指轮式拖拉机、联合收割机、无人植保航空器。</w:t>
      </w:r>
      <w:r/>
    </w:p>
    <w:p>
      <w:pPr>
        <w:pStyle w:val="1231"/>
        <w:ind w:firstLine="420"/>
        <w:rPr>
          <w:rFonts w:ascii="宋体" w:hAnsi="宋体" w:cs="宋体"/>
          <w:color w:val="auto"/>
          <w:sz w:val="21"/>
          <w:szCs w:val="21"/>
          <w:highlight w:val="none"/>
          <w:lang w:val="en-US"/>
        </w:rPr>
      </w:pPr>
      <w:r>
        <w:rPr>
          <w:rFonts w:ascii="宋体" w:hAnsi="宋体" w:cs="宋体"/>
          <w:color w:val="auto"/>
          <w:sz w:val="21"/>
          <w:szCs w:val="21"/>
          <w:highlight w:val="none"/>
          <w:lang w:val="en-US"/>
        </w:rPr>
      </w:r>
      <w:r/>
    </w:p>
    <w:p>
      <w:pPr>
        <w:pStyle w:val="1231"/>
        <w:ind w:firstLine="422"/>
        <w:rPr>
          <w:rFonts w:ascii="宋体" w:hAnsi="宋体" w:cs="宋体"/>
          <w:b/>
          <w:bCs/>
          <w:color w:val="auto"/>
          <w:sz w:val="21"/>
          <w:szCs w:val="21"/>
          <w:highlight w:val="none"/>
          <w:lang w:val="en-US"/>
        </w:rPr>
      </w:pPr>
      <w:r>
        <w:rPr>
          <w:rFonts w:hint="eastAsia" w:ascii="宋体" w:hAnsi="宋体" w:cs="宋体"/>
          <w:b/>
          <w:bCs/>
          <w:color w:val="auto"/>
          <w:sz w:val="21"/>
          <w:szCs w:val="21"/>
          <w:highlight w:val="none"/>
          <w:lang w:val="en-US"/>
        </w:rPr>
        <w:t xml:space="preserve">软件平台智能识别告警数据获取与展示能力</w:t>
      </w:r>
      <w:r/>
    </w:p>
    <w:p>
      <w:pPr>
        <w:pStyle w:val="1232"/>
        <w:ind w:firstLine="420"/>
        <w:jc w:val="both"/>
        <w:rPr>
          <w:color w:val="auto"/>
          <w:sz w:val="21"/>
          <w:szCs w:val="21"/>
          <w:highlight w:val="none"/>
        </w:rPr>
      </w:pPr>
      <w:r>
        <w:rPr>
          <w:rFonts w:hint="eastAsia"/>
          <w:color w:val="auto"/>
          <w:sz w:val="21"/>
          <w:szCs w:val="21"/>
          <w:highlight w:val="none"/>
        </w:rPr>
        <w:t xml:space="preserve">可视化展示：通过数据仪表板、图表等方式，将告警信息和数据分析结果可视化，使运维人员能够直观了解系统状态和问题。</w:t>
      </w:r>
      <w:r/>
    </w:p>
    <w:p>
      <w:pPr>
        <w:pStyle w:val="1232"/>
        <w:ind w:firstLine="420"/>
        <w:jc w:val="both"/>
        <w:rPr>
          <w:color w:val="auto"/>
          <w:sz w:val="21"/>
          <w:szCs w:val="21"/>
          <w:highlight w:val="none"/>
        </w:rPr>
      </w:pPr>
      <w:r>
        <w:rPr>
          <w:rFonts w:hint="eastAsia"/>
          <w:color w:val="auto"/>
          <w:sz w:val="21"/>
          <w:szCs w:val="21"/>
          <w:highlight w:val="none"/>
        </w:rPr>
        <w:t xml:space="preserve">告警分类与优先级：根据告警的严重程度、影响范围等因素，自动将告警分类并标记优先级，以帮助用户集中精力处理高优先级的告警。</w:t>
      </w:r>
      <w:r/>
    </w:p>
    <w:p>
      <w:pPr>
        <w:pStyle w:val="1232"/>
        <w:ind w:firstLine="420"/>
        <w:jc w:val="both"/>
        <w:rPr>
          <w:color w:val="auto"/>
          <w:sz w:val="21"/>
          <w:szCs w:val="21"/>
          <w:highlight w:val="none"/>
        </w:rPr>
      </w:pPr>
      <w:r>
        <w:rPr>
          <w:rFonts w:hint="eastAsia"/>
          <w:color w:val="auto"/>
          <w:sz w:val="21"/>
          <w:szCs w:val="21"/>
          <w:highlight w:val="none"/>
        </w:rPr>
        <w:t xml:space="preserve">与现有监控系统集成：可以与现有的监控、日志管理、事件管理工具等进行集成，充分利用已有的技术栈。</w:t>
      </w:r>
      <w:r/>
    </w:p>
    <w:p>
      <w:pPr>
        <w:pStyle w:val="1232"/>
        <w:ind w:firstLine="420"/>
        <w:jc w:val="both"/>
        <w:rPr>
          <w:color w:val="auto"/>
          <w:sz w:val="21"/>
          <w:szCs w:val="21"/>
          <w:highlight w:val="none"/>
        </w:rPr>
      </w:pPr>
      <w:r>
        <w:rPr>
          <w:rFonts w:hint="eastAsia"/>
          <w:color w:val="auto"/>
          <w:sz w:val="21"/>
          <w:szCs w:val="21"/>
          <w:highlight w:val="none"/>
        </w:rPr>
        <w:t xml:space="preserve">API接口与扩展：提供开放的API接口，支持与其他系统的集成与数据交换，满足不同的定制需求。</w:t>
      </w:r>
      <w:r/>
    </w:p>
    <w:p>
      <w:pPr>
        <w:numPr>
          <w:ilvl w:val="0"/>
          <w:numId w:val="10"/>
        </w:numPr>
        <w:ind w:left="0" w:firstLine="422"/>
        <w:spacing w:line="360" w:lineRule="auto"/>
        <w:rPr>
          <w:rFonts w:ascii="宋体" w:hAnsi="宋体" w:cs="宋体"/>
          <w:b/>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视频监控补盲</w:t>
      </w:r>
      <w:r/>
    </w:p>
    <w:p>
      <w:pPr>
        <w:pStyle w:val="1231"/>
        <w:ind w:firstLine="422"/>
        <w:rPr>
          <w:rFonts w:ascii="宋体" w:hAnsi="宋体" w:cs="宋体"/>
          <w:b/>
          <w:bCs/>
          <w:color w:val="auto"/>
          <w:sz w:val="21"/>
          <w:szCs w:val="21"/>
          <w:highlight w:val="none"/>
          <w:lang w:val="en-US"/>
        </w:rPr>
      </w:pPr>
      <w:r>
        <w:rPr>
          <w:rFonts w:hint="eastAsia" w:ascii="宋体" w:hAnsi="宋体" w:cs="宋体"/>
          <w:b/>
          <w:bCs/>
          <w:color w:val="auto"/>
          <w:sz w:val="21"/>
          <w:szCs w:val="21"/>
          <w:highlight w:val="none"/>
          <w:lang w:val="en-US"/>
        </w:rPr>
        <w:t xml:space="preserve">400万智能红外球机</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1.采用400万像素1/1.8英寸CMOS传感器</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2.内置GPU芯片，支持深度学习算法，有效提升检测准确率</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3.支持40倍光学变倍，16倍数字变倍</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4.内置250米红外灯补光，采用倍率与红外灯功率匹配算法，补光效果更均匀</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5.★支持快速智能切换，当更换当前智能模式时设备不需重启，新智能使能后即可生效。（提供有资质的第三方检测机构或公安部出具的有效检测报告原件扫描上传）</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6.★多场景分配不同智能后，可进行多场景智能巡航，进行不同智能功能的分时复用，切换码流可继续支持原来的智能，支持跟踪抓拍（提供有资质的第三方检测机构或公安部出具的有效检测报告原件扫描上传）</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7.★支持全局视频结构化功能，可对监控范围内出现的行人、机动车、非机动车进行检测和抓拍，并在IE浏览器上显示行人、机动车、非机动车属性，手动点击或框选预览画面中的被测目标时，设备能通过PTZ转动将被测目标置于画面中心，并对人脸进行抓拍和属性提取（提供有资质的第三方检测机构或公安部出具的有效检测报告原件扫描上传）</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8.支持越界入侵、区域入侵、穿越围栏、徘徊、物品遗留、物品搬移、快速移动、停车、人员聚集检测；支持行为分析触发后联动聚焦、联动目标跟踪、报警上传、上传FTP、发送邮件、联动录像、辅助输出等多种报警触发方式</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9.支持1路音频输入和1路音频输出</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10.内置2路报警输入和1路报警输出，支持报警联动功能</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11.支持IP67防护等级，6000V防雷、防浪涌和防突波保护</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12.支持DC24V±30%宽电压输入</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13.支持国密算法SM1、SM2、SM3、SM4，支持GB35114A级</w:t>
      </w:r>
      <w:r/>
    </w:p>
    <w:p>
      <w:pPr>
        <w:pStyle w:val="1231"/>
        <w:ind w:firstLine="420"/>
        <w:rPr>
          <w:rFonts w:ascii="宋体" w:hAnsi="宋体" w:cs="宋体"/>
          <w:color w:val="auto"/>
          <w:sz w:val="21"/>
          <w:szCs w:val="21"/>
          <w:highlight w:val="none"/>
          <w:lang w:val="en-US"/>
        </w:rPr>
      </w:pPr>
      <w:r>
        <w:rPr>
          <w:rFonts w:ascii="宋体" w:hAnsi="宋体" w:cs="宋体"/>
          <w:color w:val="auto"/>
          <w:sz w:val="21"/>
          <w:szCs w:val="21"/>
          <w:highlight w:val="none"/>
          <w:lang w:val="en-US"/>
        </w:rPr>
      </w:r>
      <w:r/>
    </w:p>
    <w:p>
      <w:pPr>
        <w:numPr>
          <w:ilvl w:val="0"/>
          <w:numId w:val="8"/>
        </w:numPr>
        <w:ind w:left="0"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非功能性需求</w:t>
      </w:r>
      <w:r/>
    </w:p>
    <w:p>
      <w:pPr>
        <w:pStyle w:val="1231"/>
        <w:numPr>
          <w:ilvl w:val="0"/>
          <w:numId w:val="11"/>
        </w:numPr>
        <w:ind w:left="0"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系统性能要求</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支持在线人数：500人，平均并发数50；</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平均响应时间：普通业务操作5秒以内，复杂业务操作9秒以内。</w:t>
      </w:r>
      <w:r/>
    </w:p>
    <w:p>
      <w:pPr>
        <w:pStyle w:val="1231"/>
        <w:numPr>
          <w:ilvl w:val="0"/>
          <w:numId w:val="11"/>
        </w:numPr>
        <w:ind w:left="0"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安全可靠要求</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为响应国家国产化产业的要求，当前扬州农业执法多功能受案监督管理系统，对安全可靠提出了明确的需求，因此针对技术路线方面要求执法系统能够适配目前主流的技术路线，操作系统方面能够适配麒麟，统信等主流的操作系统，数据库方面能够适配人大金仓，达梦、瀚高等主流数据库，中间件方面能够适配东方通、宝兰德、中创等主流中间件，以保证系统达到安全可靠的要求。</w:t>
      </w:r>
      <w:r/>
    </w:p>
    <w:p>
      <w:pPr>
        <w:pStyle w:val="1231"/>
        <w:numPr>
          <w:ilvl w:val="0"/>
          <w:numId w:val="11"/>
        </w:numPr>
        <w:ind w:left="0"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安全防护要求</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本项目建设要求满足《信息安全等级保护管理办法》第三级安全保护等级相关要求。</w:t>
      </w:r>
      <w:r/>
    </w:p>
    <w:p>
      <w:pPr>
        <w:pStyle w:val="1231"/>
        <w:numPr>
          <w:ilvl w:val="0"/>
          <w:numId w:val="11"/>
        </w:numPr>
        <w:ind w:left="0"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数据安全要求</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针对农业执法多功能受案监督管理系统的重要敏感数据，需要采用国产密码算法进行存储加密、签名验签、完整性保护等，保障数据不被非法外泄。</w:t>
      </w:r>
      <w:r/>
    </w:p>
    <w:p>
      <w:pPr>
        <w:numPr>
          <w:ilvl w:val="0"/>
          <w:numId w:val="8"/>
        </w:numPr>
        <w:ind w:left="0"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实施要求</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1、要有明晰的组织机构，项目实施人员齐全，岗位职责明确，能高标准的实施项目管理。在项目实施期间，并积极配合采购人完成与其他项目的应用对接，提供相关工作内容的技术支持。</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2、在项目实施过程中，中标方要对项目人员及项目建设工作严格管理，项目实施负责人必须参加由采购人、应用系统开发商召开项目推进会，每周向采购方汇报工作进度、问题及下阶段工作计划，确保按时完成项目工作。项目实施期间，中标方项目负责人及技术人员不得更换，如因特殊原因确实要变更的必须经采购方同意；在项目软件开发前，中标方需在充分调研分析需求基础上设计科学、可行的项目建设方案。</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3、系统调试期间，中标方要对系统运行情况进行监测，并向采购方提供所有软件架构、开发、安装、性能调整、维护的所有文档。系统运行期间，当系统出现故障时，工程师要迅速进行诊断，解决软、硬件问题。</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4、执行有关项目建设的国家法律、法规、规范、标准和制度，履行合同规定的义务和职责；遵守国家的法律和政府的有关条例、规定和办法等。</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5、在系统开发、调试、运行使用过程中，中标方必须严守保密规定，未经同意，不得将采购人信息数据向任何无关单位和个人提供和泄露，必须有严格的数据保密措施，如因操作不当导致数据泄密应追究相应法律责任。</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6、坚持科学的态度和实事求是的原则，确保信息数据的安全性，维护采购方合法权益。</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7、施工组织人员要求</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7.1中标单位需要加入项目组，服从项目组的总体项目管理，主动配合项目组开展项目建设工作。</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7.2在本项目的执行过程中，项目经理要专职于本项目，核心技术人员要百分之百地投入到本项目中，并且整个项目团队的人员要稳定。</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7.3按照项目实施的要求，必须配置相应的项目管理、系统设计、开发、测试、集成、培训等人员，在项目组织中应明确各岗位的职责，确保工程顺利实施。</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7.4对上述安排，供应商应列出详细实施计划，包括人员姓名、经验、学历和在本项目中的职责分工。</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7.5供应商在成交后，应允许采购方单位的工作人员及运维机构人员自实施工作开始即参与本项目的需求分析、详细设计、测试、安装部署等工作，并在实施方案中提出协同工作计划。</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8、施工进度要求</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本项目要求中标人在签订合同后4个月内完成系统设计、开发、对接及联调测试，并上线运行。</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9、施工质量要求</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项目实施将按ISO9001质量管理体系，对项目建设各阶段进行严格的质量监督与控制。</w:t>
      </w:r>
      <w:r/>
    </w:p>
    <w:p>
      <w:pPr>
        <w:numPr>
          <w:ilvl w:val="0"/>
          <w:numId w:val="8"/>
        </w:numPr>
        <w:ind w:left="0"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服务要求</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1、中标人应提供材料包括工作说明书、用户使用手册、维护手册等在内的完备准确的项目技术资料。</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2、在安装和系统调测期间，采购人有权派出技术人员参加，中标人有义务提供技术咨询。</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3、在系统运行期，如发生系统软件扩展升级等情况，中标人应负责现场升级和向采购人提供必要的技术资料。</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4、系统运行期间，中标人应向采购人提供系统维护和管理文档。</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5、中标人应提供运行期间的系统安装、调试、使用、维护、升级和新技术推荐等方面的咨询服务。</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6、中标人对本项目实施的合理化建议以及其它有价值的建设内容与服务承诺。</w:t>
      </w:r>
      <w:r/>
    </w:p>
    <w:p>
      <w:pPr>
        <w:numPr>
          <w:ilvl w:val="0"/>
          <w:numId w:val="8"/>
        </w:numPr>
        <w:ind w:left="0"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验收要求</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系统在达到了全部规定要求，供应商在提交全部相关文档、报告、源代码等交付物的前提下，可以向采购方提出系统竣工验收的申请。采购人按照验收标准组织验收。验收内容和标准包括：</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1、系统业务功能验收</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验收依据包括，《需求规格说明书》（以双方签字为准）、双方签订的合同、建设过程中双方签订的工作备忘记录。确认系统实现的业务功能完备、正确、满足用户的需求。</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2、系统性能验收</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以供需双方确认的《非功能需求规格说明书》所定义的性能要求为依据。</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确认系统的性能满足《非功能需求规格说明书》的要求。</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3、软件过程文档验收标准</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文档内容验收标准：文档内容全面、真实、丰富，能清楚阐述实施内容；</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文档格式验收标准：文档格式与项目实施要求文档规范相符，文档具有详细的修改记录，版权、作者、时间等信息，包括完整的页眉、页脚等信息；</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文档一致性验收：需求文档、设计文档、源程序与目标代码及其他可交付物保持一致。</w:t>
      </w:r>
      <w:r/>
    </w:p>
    <w:p>
      <w:pPr>
        <w:numPr>
          <w:ilvl w:val="0"/>
          <w:numId w:val="8"/>
        </w:numPr>
        <w:ind w:left="0"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系统培训要求</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（1）中标人须为采购人系统使用人员提供免费培训。</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（2）培训内容：涵盖本项目各类用户业务、系统操作。</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（3）中标人须提供培训用文字资料和讲义等相关用品。所有的资料必须是中文书写。</w:t>
      </w:r>
      <w:r/>
    </w:p>
    <w:p>
      <w:pPr>
        <w:numPr>
          <w:ilvl w:val="0"/>
          <w:numId w:val="8"/>
        </w:numPr>
        <w:ind w:left="0"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售后服务要求</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1、系统免费质保期：经采购人验收合格之日起三年。</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2、系统升级服务：在系统质保期内，对系统的自身故障、因外部原因（操作系统故障或系统配置故障或对应用软件某些错误操作等）导致软件系统出现故障的解决以及对软件系统的合理修改等一切维护费用均由中标人承担，并提供免费软件升级、软件故障排除、补丁安装、软件重装等技术支持及维护服务。</w:t>
      </w:r>
      <w:r/>
    </w:p>
    <w:p>
      <w:pPr>
        <w:pStyle w:val="1231"/>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3、系统服务时间承诺：中标人应根据不同情况设定不同的故障级别，并就不同故障级别提出对应的故障响应方案。在维护期内要求中标人提供7×24小时不间断的技术支持响应，在采购人提出服务要求后，中标人需在1小时内响应，2小时内到达现场并提出解决方案，6小时内处理完毕。</w:t>
      </w:r>
      <w:r/>
    </w:p>
    <w:p>
      <w:pPr>
        <w:jc w:val="left"/>
        <w:widowControl/>
        <w:rPr>
          <w:rFonts w:ascii="宋体" w:hAnsi="宋体" w:cs="宋体"/>
          <w:color w:val="auto"/>
          <w:szCs w:val="21"/>
          <w:highlight w:val="none"/>
        </w:rPr>
      </w:pPr>
      <w:r>
        <w:rPr>
          <w:rFonts w:ascii="宋体" w:hAnsi="宋体" w:cs="宋体"/>
          <w:color w:val="auto"/>
          <w:szCs w:val="21"/>
          <w:highlight w:val="none"/>
        </w:rPr>
      </w:r>
      <w:r/>
    </w:p>
    <w:p>
      <w:pPr>
        <w:numPr>
          <w:ilvl w:val="0"/>
          <w:numId w:val="8"/>
        </w:numPr>
        <w:ind w:left="0" w:firstLine="422"/>
        <w:spacing w:line="360" w:lineRule="auto"/>
        <w:rPr>
          <w:rFonts w:ascii="宋体" w:hAnsi="宋体" w:cs="宋体"/>
          <w:b/>
          <w:bCs/>
          <w:color w:val="auto"/>
          <w:szCs w:val="21"/>
          <w:highlight w:val="none"/>
        </w:rPr>
        <w:outlineLvl w:val="0"/>
      </w:pPr>
      <w:r>
        <w:rPr>
          <w:rFonts w:hint="eastAsia" w:ascii="宋体" w:hAnsi="宋体" w:cs="宋体"/>
          <w:b/>
          <w:bCs/>
          <w:color w:val="auto"/>
          <w:szCs w:val="21"/>
          <w:highlight w:val="none"/>
        </w:rPr>
        <w:t xml:space="preserve">招标需求清单</w:t>
      </w:r>
      <w:r/>
    </w:p>
    <w:p>
      <w:pPr>
        <w:pStyle w:val="905"/>
        <w:numPr>
          <w:ilvl w:val="0"/>
          <w:numId w:val="12"/>
        </w:numPr>
        <w:ind w:left="0"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软件升级部分</w:t>
      </w:r>
      <w:r/>
    </w:p>
    <w:tbl>
      <w:tblPr>
        <w:tblStyle w:val="844"/>
        <w:tblW w:w="8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2"/>
        <w:gridCol w:w="2703"/>
        <w:gridCol w:w="5100"/>
      </w:tblGrid>
      <w:tr>
        <w:trPr>
          <w:trHeight w:val="540"/>
        </w:trPr>
        <w:tc>
          <w:tcPr>
            <w:shd w:val="clear" w:color="000000" w:fill="e7e6e6"/>
            <w:tcW w:w="682"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序号</w:t>
            </w:r>
            <w:r/>
          </w:p>
        </w:tc>
        <w:tc>
          <w:tcPr>
            <w:shd w:val="clear" w:color="000000" w:fill="e7e6e6"/>
            <w:tcW w:w="2703"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功能模块</w:t>
            </w:r>
            <w:r/>
          </w:p>
        </w:tc>
        <w:tc>
          <w:tcPr>
            <w:shd w:val="clear" w:color="000000" w:fill="e7e6e6"/>
            <w:tcW w:w="5100"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子模块</w:t>
            </w:r>
            <w:r/>
          </w:p>
        </w:tc>
      </w:tr>
      <w:tr>
        <w:trPr>
          <w:trHeight w:val="540"/>
        </w:trPr>
        <w:tc>
          <w:tcPr>
            <w:shd w:val="clear" w:color="auto" w:fill="auto"/>
            <w:tcW w:w="6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W w:w="2703"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增行业执法检查内容明细和发现问题明细管理</w:t>
            </w:r>
            <w:r/>
          </w:p>
        </w:tc>
        <w:tc>
          <w:tcPr>
            <w:shd w:val="clear" w:color="auto" w:fill="auto"/>
            <w:tcW w:w="510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16个行业检查内和发现问题明细管理</w:t>
            </w:r>
            <w:r/>
          </w:p>
        </w:tc>
      </w:tr>
      <w:tr>
        <w:trPr>
          <w:trHeight w:val="540"/>
        </w:trPr>
        <w:tc>
          <w:tcPr>
            <w:shd w:val="clear" w:color="auto" w:fill="auto"/>
            <w:tcW w:w="6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2703" w:type="dxa"/>
            <w:vAlign w:val="center"/>
            <w:vMerge w:val="continue"/>
            <w:textDirection w:val="lrTb"/>
            <w:noWrap w:val="false"/>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shd w:val="clear" w:color="auto" w:fill="auto"/>
            <w:tcW w:w="510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16个行业执法检查记录新增检查明细和问题明细</w:t>
            </w:r>
            <w:r/>
          </w:p>
        </w:tc>
      </w:tr>
      <w:tr>
        <w:trPr>
          <w:trHeight w:val="540"/>
        </w:trPr>
        <w:tc>
          <w:tcPr>
            <w:shd w:val="clear" w:color="auto" w:fill="auto"/>
            <w:tcW w:w="6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3</w:t>
            </w:r>
            <w:r/>
          </w:p>
        </w:tc>
        <w:tc>
          <w:tcPr>
            <w:shd w:val="clear" w:color="auto" w:fill="auto"/>
            <w:tcW w:w="270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执法检查记录表单</w:t>
            </w:r>
            <w:r/>
          </w:p>
        </w:tc>
        <w:tc>
          <w:tcPr>
            <w:shd w:val="clear" w:color="auto" w:fill="auto"/>
            <w:tcW w:w="510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执法检查记录表单pdf生成及打印</w:t>
            </w:r>
            <w:r/>
          </w:p>
        </w:tc>
      </w:tr>
      <w:tr>
        <w:trPr>
          <w:trHeight w:val="540"/>
        </w:trPr>
        <w:tc>
          <w:tcPr>
            <w:shd w:val="clear" w:color="auto" w:fill="auto"/>
            <w:tcW w:w="6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w:t>
            </w:r>
            <w:r/>
          </w:p>
        </w:tc>
        <w:tc>
          <w:tcPr>
            <w:shd w:val="clear" w:color="auto" w:fill="auto"/>
            <w:tcW w:w="2703"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农资查询模块</w:t>
            </w:r>
            <w:r/>
          </w:p>
        </w:tc>
        <w:tc>
          <w:tcPr>
            <w:shd w:val="clear" w:color="auto" w:fill="auto"/>
            <w:tcW w:w="510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种子品种审定编号查询</w:t>
            </w:r>
            <w:r/>
          </w:p>
        </w:tc>
      </w:tr>
      <w:tr>
        <w:trPr>
          <w:trHeight w:val="540"/>
        </w:trPr>
        <w:tc>
          <w:tcPr>
            <w:shd w:val="clear" w:color="auto" w:fill="auto"/>
            <w:tcW w:w="6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2703" w:type="dxa"/>
            <w:vAlign w:val="center"/>
            <w:vMerge w:val="continue"/>
            <w:textDirection w:val="lrTb"/>
            <w:noWrap w:val="false"/>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shd w:val="clear" w:color="auto" w:fill="auto"/>
            <w:tcW w:w="510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农药登记证号查询</w:t>
            </w:r>
            <w:r/>
          </w:p>
        </w:tc>
      </w:tr>
      <w:tr>
        <w:trPr>
          <w:trHeight w:val="540"/>
        </w:trPr>
        <w:tc>
          <w:tcPr>
            <w:shd w:val="clear" w:color="auto" w:fill="auto"/>
            <w:tcW w:w="6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2703" w:type="dxa"/>
            <w:vAlign w:val="center"/>
            <w:vMerge w:val="continue"/>
            <w:textDirection w:val="lrTb"/>
            <w:noWrap w:val="false"/>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shd w:val="clear" w:color="auto" w:fill="auto"/>
            <w:tcW w:w="510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肥料登记证号查询</w:t>
            </w:r>
            <w:r/>
          </w:p>
        </w:tc>
      </w:tr>
      <w:tr>
        <w:trPr>
          <w:trHeight w:val="540"/>
        </w:trPr>
        <w:tc>
          <w:tcPr>
            <w:shd w:val="clear" w:color="auto" w:fill="auto"/>
            <w:tcW w:w="6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7</w:t>
            </w:r>
            <w:r/>
          </w:p>
        </w:tc>
        <w:tc>
          <w:tcPr>
            <w:tcW w:w="2703" w:type="dxa"/>
            <w:vAlign w:val="center"/>
            <w:vMerge w:val="continue"/>
            <w:textDirection w:val="lrTb"/>
            <w:noWrap w:val="false"/>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shd w:val="clear" w:color="auto" w:fill="auto"/>
            <w:tcW w:w="510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兽药批准文号查询</w:t>
            </w:r>
            <w:r/>
          </w:p>
        </w:tc>
      </w:tr>
      <w:tr>
        <w:trPr>
          <w:trHeight w:val="540"/>
        </w:trPr>
        <w:tc>
          <w:tcPr>
            <w:shd w:val="clear" w:color="auto" w:fill="auto"/>
            <w:tcW w:w="6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8</w:t>
            </w:r>
            <w:r/>
          </w:p>
        </w:tc>
        <w:tc>
          <w:tcPr>
            <w:tcW w:w="2703" w:type="dxa"/>
            <w:vAlign w:val="center"/>
            <w:vMerge w:val="continue"/>
            <w:textDirection w:val="lrTb"/>
            <w:noWrap w:val="false"/>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shd w:val="clear" w:color="auto" w:fill="auto"/>
            <w:tcW w:w="510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饲料及饲料添加剂生产许可证、批准文号查询</w:t>
            </w:r>
            <w:r/>
          </w:p>
        </w:tc>
      </w:tr>
      <w:tr>
        <w:trPr>
          <w:trHeight w:val="540"/>
        </w:trPr>
        <w:tc>
          <w:tcPr>
            <w:shd w:val="clear" w:color="auto" w:fill="auto"/>
            <w:tcW w:w="6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9</w:t>
            </w:r>
            <w:r/>
          </w:p>
        </w:tc>
        <w:tc>
          <w:tcPr>
            <w:shd w:val="clear" w:color="auto" w:fill="auto"/>
            <w:tcW w:w="2703"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农资监督抽检和农产品执法抽样模块</w:t>
            </w:r>
            <w:r/>
          </w:p>
        </w:tc>
        <w:tc>
          <w:tcPr>
            <w:shd w:val="clear" w:color="auto" w:fill="auto"/>
            <w:tcW w:w="510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农药抽样及表单生成打印</w:t>
            </w:r>
            <w:r/>
          </w:p>
        </w:tc>
      </w:tr>
      <w:tr>
        <w:trPr>
          <w:trHeight w:val="540"/>
        </w:trPr>
        <w:tc>
          <w:tcPr>
            <w:shd w:val="clear" w:color="auto" w:fill="auto"/>
            <w:tcW w:w="6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2703" w:type="dxa"/>
            <w:vAlign w:val="center"/>
            <w:vMerge w:val="continue"/>
            <w:textDirection w:val="lrTb"/>
            <w:noWrap w:val="false"/>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shd w:val="clear" w:color="auto" w:fill="auto"/>
            <w:tcW w:w="510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肥料抽样及表单生成打印</w:t>
            </w:r>
            <w:r/>
          </w:p>
        </w:tc>
      </w:tr>
      <w:tr>
        <w:trPr>
          <w:trHeight w:val="540"/>
        </w:trPr>
        <w:tc>
          <w:tcPr>
            <w:shd w:val="clear" w:color="auto" w:fill="auto"/>
            <w:tcW w:w="6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11</w:t>
            </w:r>
            <w:r/>
          </w:p>
        </w:tc>
        <w:tc>
          <w:tcPr>
            <w:tcW w:w="2703" w:type="dxa"/>
            <w:vAlign w:val="center"/>
            <w:vMerge w:val="continue"/>
            <w:textDirection w:val="lrTb"/>
            <w:noWrap w:val="false"/>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shd w:val="clear" w:color="auto" w:fill="auto"/>
            <w:tcW w:w="510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兽药抽样及表单生成打印</w:t>
            </w:r>
            <w:r/>
          </w:p>
        </w:tc>
      </w:tr>
      <w:tr>
        <w:trPr>
          <w:trHeight w:val="540"/>
        </w:trPr>
        <w:tc>
          <w:tcPr>
            <w:shd w:val="clear" w:color="auto" w:fill="auto"/>
            <w:tcW w:w="6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12</w:t>
            </w:r>
            <w:r/>
          </w:p>
        </w:tc>
        <w:tc>
          <w:tcPr>
            <w:tcW w:w="2703" w:type="dxa"/>
            <w:vAlign w:val="center"/>
            <w:vMerge w:val="continue"/>
            <w:textDirection w:val="lrTb"/>
            <w:noWrap w:val="false"/>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shd w:val="clear" w:color="auto" w:fill="auto"/>
            <w:tcW w:w="510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水产兽药抽样及表单生成打印</w:t>
            </w:r>
            <w:r/>
          </w:p>
        </w:tc>
      </w:tr>
      <w:tr>
        <w:trPr>
          <w:trHeight w:val="540"/>
        </w:trPr>
        <w:tc>
          <w:tcPr>
            <w:shd w:val="clear" w:color="auto" w:fill="auto"/>
            <w:tcW w:w="6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13</w:t>
            </w:r>
            <w:r/>
          </w:p>
        </w:tc>
        <w:tc>
          <w:tcPr>
            <w:tcW w:w="2703" w:type="dxa"/>
            <w:vAlign w:val="center"/>
            <w:vMerge w:val="continue"/>
            <w:textDirection w:val="lrTb"/>
            <w:noWrap w:val="false"/>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shd w:val="clear" w:color="auto" w:fill="auto"/>
            <w:tcW w:w="510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饲料及饲料添加剂抽样及表单生成打印</w:t>
            </w:r>
            <w:r/>
          </w:p>
        </w:tc>
      </w:tr>
      <w:tr>
        <w:trPr>
          <w:trHeight w:val="540"/>
        </w:trPr>
        <w:tc>
          <w:tcPr>
            <w:shd w:val="clear" w:color="auto" w:fill="auto"/>
            <w:tcW w:w="6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14</w:t>
            </w:r>
            <w:r/>
          </w:p>
        </w:tc>
        <w:tc>
          <w:tcPr>
            <w:tcW w:w="2703" w:type="dxa"/>
            <w:vAlign w:val="center"/>
            <w:vMerge w:val="continue"/>
            <w:textDirection w:val="lrTb"/>
            <w:noWrap w:val="false"/>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shd w:val="clear" w:color="auto" w:fill="auto"/>
            <w:tcW w:w="510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农产品质量安全监督抽样及表单生成打印</w:t>
            </w:r>
            <w:r/>
          </w:p>
        </w:tc>
      </w:tr>
      <w:tr>
        <w:trPr>
          <w:trHeight w:val="540"/>
        </w:trPr>
        <w:tc>
          <w:tcPr>
            <w:shd w:val="clear" w:color="auto" w:fill="auto"/>
            <w:tcW w:w="6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15</w:t>
            </w:r>
            <w:r/>
          </w:p>
        </w:tc>
        <w:tc>
          <w:tcPr>
            <w:tcW w:w="2703" w:type="dxa"/>
            <w:vAlign w:val="center"/>
            <w:vMerge w:val="continue"/>
            <w:textDirection w:val="lrTb"/>
            <w:noWrap w:val="false"/>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shd w:val="clear" w:color="auto" w:fill="auto"/>
            <w:tcW w:w="510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关于抽样不合格的预警</w:t>
            </w:r>
            <w:r/>
          </w:p>
        </w:tc>
      </w:tr>
      <w:tr>
        <w:trPr>
          <w:trHeight w:val="540"/>
        </w:trPr>
        <w:tc>
          <w:tcPr>
            <w:shd w:val="clear" w:color="auto" w:fill="auto"/>
            <w:tcW w:w="6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16</w:t>
            </w:r>
            <w:r/>
          </w:p>
        </w:tc>
        <w:tc>
          <w:tcPr>
            <w:shd w:val="clear" w:color="auto" w:fill="auto"/>
            <w:tcW w:w="2703"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长江禁捕简易程序案件打印执法文书模块</w:t>
            </w:r>
            <w:r/>
          </w:p>
        </w:tc>
        <w:tc>
          <w:tcPr>
            <w:shd w:val="clear" w:color="auto" w:fill="auto"/>
            <w:tcW w:w="510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现场检查笔录文书生成及打印</w:t>
            </w:r>
            <w:r/>
          </w:p>
        </w:tc>
      </w:tr>
      <w:tr>
        <w:trPr>
          <w:trHeight w:val="540"/>
        </w:trPr>
        <w:tc>
          <w:tcPr>
            <w:shd w:val="clear" w:color="auto" w:fill="auto"/>
            <w:tcW w:w="6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17</w:t>
            </w:r>
            <w:r/>
          </w:p>
        </w:tc>
        <w:tc>
          <w:tcPr>
            <w:tcW w:w="2703" w:type="dxa"/>
            <w:vAlign w:val="center"/>
            <w:vMerge w:val="continue"/>
            <w:textDirection w:val="lrTb"/>
            <w:noWrap w:val="false"/>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shd w:val="clear" w:color="auto" w:fill="auto"/>
            <w:tcW w:w="510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证据提取单（证照）文书生成及打印</w:t>
            </w:r>
            <w:r/>
          </w:p>
        </w:tc>
      </w:tr>
      <w:tr>
        <w:trPr>
          <w:trHeight w:val="540"/>
        </w:trPr>
        <w:tc>
          <w:tcPr>
            <w:shd w:val="clear" w:color="auto" w:fill="auto"/>
            <w:tcW w:w="6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18</w:t>
            </w:r>
            <w:r/>
          </w:p>
        </w:tc>
        <w:tc>
          <w:tcPr>
            <w:tcW w:w="2703" w:type="dxa"/>
            <w:vAlign w:val="center"/>
            <w:vMerge w:val="continue"/>
            <w:textDirection w:val="lrTb"/>
            <w:noWrap w:val="false"/>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shd w:val="clear" w:color="auto" w:fill="auto"/>
            <w:tcW w:w="510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证据提取单（检查照片）文书生成及打印</w:t>
            </w:r>
            <w:r/>
          </w:p>
        </w:tc>
      </w:tr>
      <w:tr>
        <w:trPr>
          <w:trHeight w:val="540"/>
        </w:trPr>
        <w:tc>
          <w:tcPr>
            <w:shd w:val="clear" w:color="auto" w:fill="auto"/>
            <w:tcW w:w="6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19</w:t>
            </w:r>
            <w:r/>
          </w:p>
        </w:tc>
        <w:tc>
          <w:tcPr>
            <w:tcW w:w="2703" w:type="dxa"/>
            <w:vAlign w:val="center"/>
            <w:vMerge w:val="continue"/>
            <w:textDirection w:val="lrTb"/>
            <w:noWrap w:val="false"/>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shd w:val="clear" w:color="auto" w:fill="auto"/>
            <w:tcW w:w="510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当场行政处罚决定书文书生成及打印</w:t>
            </w:r>
            <w:r/>
          </w:p>
        </w:tc>
      </w:tr>
      <w:tr>
        <w:trPr>
          <w:trHeight w:val="540"/>
        </w:trPr>
        <w:tc>
          <w:tcPr>
            <w:shd w:val="clear" w:color="auto" w:fill="auto"/>
            <w:tcW w:w="6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20</w:t>
            </w:r>
            <w:r/>
          </w:p>
        </w:tc>
        <w:tc>
          <w:tcPr>
            <w:tcW w:w="2703" w:type="dxa"/>
            <w:vAlign w:val="center"/>
            <w:vMerge w:val="continue"/>
            <w:textDirection w:val="lrTb"/>
            <w:noWrap w:val="false"/>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shd w:val="clear" w:color="auto" w:fill="auto"/>
            <w:tcW w:w="510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行政处罚案件卷宗文书生成及打印</w:t>
            </w:r>
            <w:r/>
          </w:p>
        </w:tc>
      </w:tr>
      <w:tr>
        <w:trPr>
          <w:trHeight w:val="540"/>
        </w:trPr>
        <w:tc>
          <w:tcPr>
            <w:shd w:val="clear" w:color="auto" w:fill="auto"/>
            <w:tcW w:w="6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21</w:t>
            </w:r>
            <w:r/>
          </w:p>
        </w:tc>
        <w:tc>
          <w:tcPr>
            <w:tcW w:w="2703" w:type="dxa"/>
            <w:vAlign w:val="center"/>
            <w:vMerge w:val="continue"/>
            <w:textDirection w:val="lrTb"/>
            <w:noWrap w:val="false"/>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shd w:val="clear" w:color="auto" w:fill="auto"/>
            <w:tcW w:w="510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卷宗目录文书生成及打印</w:t>
            </w:r>
            <w:r/>
          </w:p>
        </w:tc>
      </w:tr>
      <w:tr>
        <w:trPr>
          <w:trHeight w:val="540"/>
        </w:trPr>
        <w:tc>
          <w:tcPr>
            <w:shd w:val="clear" w:color="auto" w:fill="auto"/>
            <w:tcW w:w="6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22</w:t>
            </w:r>
            <w:r/>
          </w:p>
        </w:tc>
        <w:tc>
          <w:tcPr>
            <w:tcW w:w="2703" w:type="dxa"/>
            <w:vAlign w:val="center"/>
            <w:vMerge w:val="continue"/>
            <w:textDirection w:val="lrTb"/>
            <w:noWrap w:val="false"/>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shd w:val="clear" w:color="auto" w:fill="auto"/>
            <w:tcW w:w="510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卷宗备考表文书生成及打印</w:t>
            </w:r>
            <w:r/>
          </w:p>
        </w:tc>
      </w:tr>
    </w:tbl>
    <w:p>
      <w:pPr>
        <w:pStyle w:val="905"/>
        <w:jc w:val="left"/>
        <w:widowControl/>
        <w:rPr>
          <w:rFonts w:ascii="宋体" w:hAnsi="宋体" w:cs="宋体"/>
          <w:color w:val="auto"/>
          <w:szCs w:val="21"/>
          <w:highlight w:val="none"/>
        </w:rPr>
      </w:pPr>
      <w:r>
        <w:rPr>
          <w:rFonts w:ascii="宋体" w:hAnsi="宋体" w:cs="宋体"/>
          <w:color w:val="auto"/>
          <w:szCs w:val="21"/>
          <w:highlight w:val="none"/>
        </w:rPr>
      </w:r>
      <w:r/>
    </w:p>
    <w:p>
      <w:pPr>
        <w:jc w:val="left"/>
        <w:widowControl/>
        <w:rPr>
          <w:rFonts w:ascii="宋体" w:hAnsi="宋体" w:cs="宋体"/>
          <w:color w:val="auto"/>
          <w:szCs w:val="21"/>
          <w:highlight w:val="none"/>
        </w:rPr>
      </w:pPr>
      <w:r>
        <w:rPr>
          <w:rFonts w:ascii="宋体" w:hAnsi="宋体" w:cs="宋体"/>
          <w:color w:val="auto"/>
          <w:szCs w:val="21"/>
          <w:highlight w:val="none"/>
        </w:rPr>
      </w:r>
      <w:r/>
    </w:p>
    <w:p>
      <w:pPr>
        <w:pStyle w:val="905"/>
        <w:numPr>
          <w:ilvl w:val="0"/>
          <w:numId w:val="12"/>
        </w:numPr>
        <w:ind w:left="0"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硬件部分</w:t>
      </w:r>
      <w:r/>
    </w:p>
    <w:tbl>
      <w:tblPr>
        <w:tblStyle w:val="844"/>
        <w:tblW w:w="85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0"/>
        <w:gridCol w:w="4020"/>
        <w:gridCol w:w="2120"/>
        <w:gridCol w:w="680"/>
        <w:gridCol w:w="1000"/>
      </w:tblGrid>
      <w:tr>
        <w:trPr>
          <w:trHeight w:val="400"/>
        </w:trPr>
        <w:tc>
          <w:tcPr>
            <w:shd w:val="clear" w:color="auto" w:fill="auto"/>
            <w:tcW w:w="680" w:type="dxa"/>
            <w:vAlign w:val="center"/>
            <w:textDirection w:val="lrTb"/>
            <w:noWrap/>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序号</w:t>
            </w:r>
            <w:r/>
          </w:p>
        </w:tc>
        <w:tc>
          <w:tcPr>
            <w:shd w:val="clear" w:color="auto" w:fill="auto"/>
            <w:tcW w:w="4020" w:type="dxa"/>
            <w:vAlign w:val="center"/>
            <w:textDirection w:val="lrTb"/>
            <w:noWrap/>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名称</w:t>
            </w:r>
            <w:r/>
          </w:p>
        </w:tc>
        <w:tc>
          <w:tcPr>
            <w:shd w:val="clear" w:color="auto" w:fill="auto"/>
            <w:tcW w:w="2120"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规格</w:t>
            </w:r>
            <w:r/>
          </w:p>
        </w:tc>
        <w:tc>
          <w:tcPr>
            <w:shd w:val="clear" w:color="auto" w:fill="auto"/>
            <w:tcW w:w="680" w:type="dxa"/>
            <w:vAlign w:val="center"/>
            <w:textDirection w:val="lrTb"/>
            <w:noWrap/>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单位</w:t>
            </w:r>
            <w:r/>
          </w:p>
        </w:tc>
        <w:tc>
          <w:tcPr>
            <w:shd w:val="clear" w:color="auto" w:fill="auto"/>
            <w:tcW w:w="1000" w:type="dxa"/>
            <w:vAlign w:val="center"/>
            <w:textDirection w:val="lrTb"/>
            <w:noWrap/>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数量</w:t>
            </w:r>
            <w:r/>
          </w:p>
        </w:tc>
      </w:tr>
      <w:tr>
        <w:trPr>
          <w:trHeight w:val="400"/>
        </w:trPr>
        <w:tc>
          <w:tcPr>
            <w:shd w:val="clear" w:color="auto" w:fill="auto"/>
            <w:tcW w:w="6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W w:w="4020" w:type="dxa"/>
            <w:vAlign w:val="center"/>
            <w:textDirection w:val="lrTb"/>
            <w:noWrap/>
          </w:tcPr>
          <w:p>
            <w:pPr>
              <w:jc w:val="left"/>
              <w:widowControl/>
              <w:rPr>
                <w:rFonts w:ascii="宋体" w:hAnsi="宋体" w:cs="宋体"/>
                <w:b/>
                <w:bCs/>
                <w:color w:val="auto"/>
                <w:szCs w:val="21"/>
                <w:highlight w:val="none"/>
              </w:rPr>
            </w:pPr>
            <w:r>
              <w:rPr>
                <w:rFonts w:hint="eastAsia" w:ascii="宋体" w:hAnsi="宋体" w:cs="宋体"/>
                <w:b/>
                <w:bCs/>
                <w:color w:val="auto"/>
                <w:szCs w:val="21"/>
                <w:highlight w:val="none"/>
              </w:rPr>
              <w:t xml:space="preserve">GPU算法部分</w:t>
            </w:r>
            <w:r/>
          </w:p>
        </w:tc>
        <w:tc>
          <w:tcPr>
            <w:shd w:val="clear" w:color="auto" w:fill="auto"/>
            <w:tcW w:w="212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W w:w="6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W w:w="100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trHeight w:val="400"/>
        </w:trPr>
        <w:tc>
          <w:tcPr>
            <w:shd w:val="clear" w:color="auto" w:fill="auto"/>
            <w:tcW w:w="6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W w:w="4020"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图片网关服务器</w:t>
            </w:r>
            <w:r/>
          </w:p>
        </w:tc>
        <w:tc>
          <w:tcPr>
            <w:shd w:val="clear" w:color="auto" w:fill="auto"/>
            <w:tcW w:w="2120"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详见招标文件技术参数要求</w:t>
            </w:r>
            <w:r/>
          </w:p>
        </w:tc>
        <w:tc>
          <w:tcPr>
            <w:shd w:val="clear" w:color="auto" w:fill="auto"/>
            <w:tcW w:w="6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套</w:t>
            </w:r>
            <w:r/>
          </w:p>
        </w:tc>
        <w:tc>
          <w:tcPr>
            <w:shd w:val="clear" w:color="auto" w:fill="auto"/>
            <w:tcW w:w="100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400"/>
        </w:trPr>
        <w:tc>
          <w:tcPr>
            <w:shd w:val="clear" w:color="auto" w:fill="auto"/>
            <w:tcW w:w="6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shd w:val="clear" w:color="auto" w:fill="auto"/>
            <w:tcW w:w="4020"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数据对接网关_平台数据对接基础服务</w:t>
            </w:r>
            <w:r/>
          </w:p>
        </w:tc>
        <w:tc>
          <w:tcPr>
            <w:shd w:val="clear" w:color="auto" w:fill="auto"/>
            <w:tcW w:w="2120"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详见招标文件技术参数要求</w:t>
            </w:r>
            <w:r/>
          </w:p>
        </w:tc>
        <w:tc>
          <w:tcPr>
            <w:shd w:val="clear" w:color="auto" w:fill="auto"/>
            <w:tcW w:w="6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套</w:t>
            </w:r>
            <w:r/>
          </w:p>
        </w:tc>
        <w:tc>
          <w:tcPr>
            <w:shd w:val="clear" w:color="auto" w:fill="auto"/>
            <w:tcW w:w="100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400"/>
        </w:trPr>
        <w:tc>
          <w:tcPr>
            <w:shd w:val="clear" w:color="auto" w:fill="auto"/>
            <w:tcW w:w="6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3</w:t>
            </w:r>
            <w:r/>
          </w:p>
        </w:tc>
        <w:tc>
          <w:tcPr>
            <w:shd w:val="clear" w:color="auto" w:fill="auto"/>
            <w:tcW w:w="4020"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GPU中心算法服务器</w:t>
            </w:r>
            <w:r/>
          </w:p>
        </w:tc>
        <w:tc>
          <w:tcPr>
            <w:shd w:val="clear" w:color="auto" w:fill="auto"/>
            <w:tcW w:w="2120"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详见招标文件技术参数要求</w:t>
            </w:r>
            <w:r/>
          </w:p>
        </w:tc>
        <w:tc>
          <w:tcPr>
            <w:shd w:val="clear" w:color="auto" w:fill="auto"/>
            <w:tcW w:w="6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个</w:t>
            </w:r>
            <w:r/>
          </w:p>
        </w:tc>
        <w:tc>
          <w:tcPr>
            <w:shd w:val="clear" w:color="auto" w:fill="auto"/>
            <w:tcW w:w="100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400"/>
        </w:trPr>
        <w:tc>
          <w:tcPr>
            <w:shd w:val="clear" w:color="auto" w:fill="auto"/>
            <w:tcW w:w="6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w:t>
            </w:r>
            <w:r/>
          </w:p>
        </w:tc>
        <w:tc>
          <w:tcPr>
            <w:shd w:val="clear" w:color="auto" w:fill="auto"/>
            <w:tcW w:w="4020"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农用车检测算法训练</w:t>
            </w:r>
            <w:r/>
          </w:p>
        </w:tc>
        <w:tc>
          <w:tcPr>
            <w:shd w:val="clear" w:color="auto" w:fill="auto"/>
            <w:tcW w:w="2120"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详见招标文件技术参数要求</w:t>
            </w:r>
            <w:r/>
          </w:p>
        </w:tc>
        <w:tc>
          <w:tcPr>
            <w:shd w:val="clear" w:color="auto" w:fill="auto"/>
            <w:tcW w:w="6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套</w:t>
            </w:r>
            <w:r/>
          </w:p>
        </w:tc>
        <w:tc>
          <w:tcPr>
            <w:shd w:val="clear" w:color="auto" w:fill="auto"/>
            <w:tcW w:w="100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400"/>
        </w:trPr>
        <w:tc>
          <w:tcPr>
            <w:shd w:val="clear" w:color="auto" w:fill="auto"/>
            <w:tcW w:w="6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5</w:t>
            </w:r>
            <w:r/>
          </w:p>
        </w:tc>
        <w:tc>
          <w:tcPr>
            <w:shd w:val="clear" w:color="auto" w:fill="auto"/>
            <w:tcW w:w="4020"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软件平台智能识别告警数据获取与展示能力</w:t>
            </w:r>
            <w:r/>
          </w:p>
        </w:tc>
        <w:tc>
          <w:tcPr>
            <w:shd w:val="clear" w:color="auto" w:fill="auto"/>
            <w:tcW w:w="2120"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详见招标文件技术参数要求</w:t>
            </w:r>
            <w:r/>
          </w:p>
        </w:tc>
        <w:tc>
          <w:tcPr>
            <w:shd w:val="clear" w:color="auto" w:fill="auto"/>
            <w:tcW w:w="6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项</w:t>
            </w:r>
            <w:r/>
          </w:p>
        </w:tc>
        <w:tc>
          <w:tcPr>
            <w:shd w:val="clear" w:color="auto" w:fill="auto"/>
            <w:tcW w:w="100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400"/>
        </w:trPr>
        <w:tc>
          <w:tcPr>
            <w:shd w:val="clear" w:color="auto" w:fill="auto"/>
            <w:tcW w:w="6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W w:w="4020" w:type="dxa"/>
            <w:vAlign w:val="center"/>
            <w:textDirection w:val="lrTb"/>
            <w:noWrap/>
          </w:tcPr>
          <w:p>
            <w:pPr>
              <w:jc w:val="left"/>
              <w:widowControl/>
              <w:rPr>
                <w:rFonts w:ascii="宋体" w:hAnsi="宋体" w:cs="宋体"/>
                <w:b/>
                <w:bCs/>
                <w:color w:val="auto"/>
                <w:szCs w:val="21"/>
                <w:highlight w:val="none"/>
              </w:rPr>
            </w:pPr>
            <w:r>
              <w:rPr>
                <w:rFonts w:hint="eastAsia" w:ascii="宋体" w:hAnsi="宋体" w:cs="宋体"/>
                <w:b/>
                <w:bCs/>
                <w:color w:val="auto"/>
                <w:szCs w:val="21"/>
                <w:highlight w:val="none"/>
              </w:rPr>
              <w:t xml:space="preserve">监控补盲部分</w:t>
            </w:r>
            <w:r/>
          </w:p>
        </w:tc>
        <w:tc>
          <w:tcPr>
            <w:shd w:val="clear" w:color="auto" w:fill="auto"/>
            <w:tcW w:w="212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W w:w="68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W w:w="100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trHeight w:val="400"/>
        </w:trPr>
        <w:tc>
          <w:tcPr>
            <w:shd w:val="clear" w:color="auto" w:fill="auto"/>
            <w:tcW w:w="6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W w:w="4020"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400万智能红外网络球机</w:t>
            </w:r>
            <w:r/>
          </w:p>
        </w:tc>
        <w:tc>
          <w:tcPr>
            <w:shd w:val="clear" w:color="auto" w:fill="auto"/>
            <w:tcW w:w="2120"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详见招标文件技术参数要求</w:t>
            </w:r>
            <w:r/>
          </w:p>
        </w:tc>
        <w:tc>
          <w:tcPr>
            <w:shd w:val="clear" w:color="auto" w:fill="auto"/>
            <w:tcW w:w="6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W w:w="100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10</w:t>
            </w:r>
            <w:r/>
          </w:p>
        </w:tc>
      </w:tr>
      <w:tr>
        <w:trPr>
          <w:trHeight w:val="400"/>
        </w:trPr>
        <w:tc>
          <w:tcPr>
            <w:shd w:val="clear" w:color="auto" w:fill="auto"/>
            <w:tcW w:w="6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shd w:val="clear" w:color="auto" w:fill="auto"/>
            <w:tcW w:w="4020"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壁装支架</w:t>
            </w:r>
            <w:r/>
          </w:p>
        </w:tc>
        <w:tc>
          <w:tcPr>
            <w:shd w:val="clear" w:color="auto" w:fill="auto"/>
            <w:tcW w:w="2120"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定制，50cm</w:t>
            </w:r>
            <w:r/>
          </w:p>
        </w:tc>
        <w:tc>
          <w:tcPr>
            <w:shd w:val="clear" w:color="auto" w:fill="auto"/>
            <w:tcW w:w="6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套</w:t>
            </w:r>
            <w:r/>
          </w:p>
        </w:tc>
        <w:tc>
          <w:tcPr>
            <w:shd w:val="clear" w:color="auto" w:fill="auto"/>
            <w:tcW w:w="100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10</w:t>
            </w:r>
            <w:r/>
          </w:p>
        </w:tc>
      </w:tr>
      <w:tr>
        <w:trPr>
          <w:trHeight w:val="400"/>
        </w:trPr>
        <w:tc>
          <w:tcPr>
            <w:shd w:val="clear" w:color="auto" w:fill="auto"/>
            <w:tcW w:w="6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3</w:t>
            </w:r>
            <w:r/>
          </w:p>
        </w:tc>
        <w:tc>
          <w:tcPr>
            <w:shd w:val="clear" w:color="auto" w:fill="auto"/>
            <w:tcW w:w="4020"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球机电源</w:t>
            </w:r>
            <w:r/>
          </w:p>
        </w:tc>
        <w:tc>
          <w:tcPr>
            <w:shd w:val="clear" w:color="auto" w:fill="auto"/>
            <w:tcW w:w="2120"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DC24V</w:t>
            </w:r>
            <w:r/>
          </w:p>
        </w:tc>
        <w:tc>
          <w:tcPr>
            <w:shd w:val="clear" w:color="auto" w:fill="auto"/>
            <w:tcW w:w="6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个</w:t>
            </w:r>
            <w:r/>
          </w:p>
        </w:tc>
        <w:tc>
          <w:tcPr>
            <w:shd w:val="clear" w:color="auto" w:fill="auto"/>
            <w:tcW w:w="100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10</w:t>
            </w:r>
            <w:r/>
          </w:p>
        </w:tc>
      </w:tr>
      <w:tr>
        <w:trPr>
          <w:trHeight w:val="400"/>
        </w:trPr>
        <w:tc>
          <w:tcPr>
            <w:shd w:val="clear" w:color="auto" w:fill="auto"/>
            <w:tcW w:w="6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w:t>
            </w:r>
            <w:r/>
          </w:p>
        </w:tc>
        <w:tc>
          <w:tcPr>
            <w:shd w:val="clear" w:color="auto" w:fill="auto"/>
            <w:tcW w:w="4020"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室外防水箱</w:t>
            </w:r>
            <w:r/>
          </w:p>
        </w:tc>
        <w:tc>
          <w:tcPr>
            <w:shd w:val="clear" w:color="auto" w:fill="auto"/>
            <w:tcW w:w="2120"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含插线板、空开、漏保、防雷等</w:t>
            </w:r>
            <w:r/>
          </w:p>
        </w:tc>
        <w:tc>
          <w:tcPr>
            <w:shd w:val="clear" w:color="auto" w:fill="auto"/>
            <w:tcW w:w="6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套</w:t>
            </w:r>
            <w:r/>
          </w:p>
        </w:tc>
        <w:tc>
          <w:tcPr>
            <w:shd w:val="clear" w:color="auto" w:fill="auto"/>
            <w:tcW w:w="100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10</w:t>
            </w:r>
            <w:r/>
          </w:p>
        </w:tc>
      </w:tr>
      <w:tr>
        <w:trPr>
          <w:trHeight w:val="400"/>
        </w:trPr>
        <w:tc>
          <w:tcPr>
            <w:shd w:val="clear" w:color="auto" w:fill="auto"/>
            <w:tcW w:w="6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5</w:t>
            </w:r>
            <w:r/>
          </w:p>
        </w:tc>
        <w:tc>
          <w:tcPr>
            <w:shd w:val="clear" w:color="auto" w:fill="auto"/>
            <w:tcW w:w="4020"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电源线</w:t>
            </w:r>
            <w:r/>
          </w:p>
        </w:tc>
        <w:tc>
          <w:tcPr>
            <w:shd w:val="clear" w:color="auto" w:fill="auto"/>
            <w:tcW w:w="2120"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RVV2*1.5</w:t>
            </w:r>
            <w:r/>
          </w:p>
        </w:tc>
        <w:tc>
          <w:tcPr>
            <w:shd w:val="clear" w:color="auto" w:fill="auto"/>
            <w:tcW w:w="6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米</w:t>
            </w:r>
            <w:r/>
          </w:p>
        </w:tc>
        <w:tc>
          <w:tcPr>
            <w:shd w:val="clear" w:color="auto" w:fill="auto"/>
            <w:tcW w:w="100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200</w:t>
            </w:r>
            <w:r/>
          </w:p>
        </w:tc>
      </w:tr>
      <w:tr>
        <w:trPr>
          <w:trHeight w:val="400"/>
        </w:trPr>
        <w:tc>
          <w:tcPr>
            <w:shd w:val="clear" w:color="auto" w:fill="auto"/>
            <w:tcW w:w="6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6</w:t>
            </w:r>
            <w:r/>
          </w:p>
        </w:tc>
        <w:tc>
          <w:tcPr>
            <w:shd w:val="clear" w:color="auto" w:fill="auto"/>
            <w:tcW w:w="4020"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管材、线槽</w:t>
            </w:r>
            <w:r/>
          </w:p>
        </w:tc>
        <w:tc>
          <w:tcPr>
            <w:shd w:val="clear" w:color="auto" w:fill="auto"/>
            <w:tcW w:w="2120"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20MM-25MM、配件</w:t>
            </w:r>
            <w:r/>
          </w:p>
        </w:tc>
        <w:tc>
          <w:tcPr>
            <w:shd w:val="clear" w:color="auto" w:fill="auto"/>
            <w:tcW w:w="6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米</w:t>
            </w:r>
            <w:r/>
          </w:p>
        </w:tc>
        <w:tc>
          <w:tcPr>
            <w:shd w:val="clear" w:color="auto" w:fill="auto"/>
            <w:tcW w:w="100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200</w:t>
            </w:r>
            <w:r/>
          </w:p>
        </w:tc>
      </w:tr>
      <w:tr>
        <w:trPr>
          <w:trHeight w:val="400"/>
        </w:trPr>
        <w:tc>
          <w:tcPr>
            <w:shd w:val="clear" w:color="auto" w:fill="auto"/>
            <w:tcW w:w="6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7</w:t>
            </w:r>
            <w:r/>
          </w:p>
        </w:tc>
        <w:tc>
          <w:tcPr>
            <w:shd w:val="clear" w:color="auto" w:fill="auto"/>
            <w:tcW w:w="4020"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监控高杆或杆塔</w:t>
            </w:r>
            <w:r/>
          </w:p>
        </w:tc>
        <w:tc>
          <w:tcPr>
            <w:shd w:val="clear" w:color="auto" w:fill="auto"/>
            <w:tcW w:w="2120"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协调电力或社会面监控杆件附挂</w:t>
            </w:r>
            <w:r/>
          </w:p>
        </w:tc>
        <w:tc>
          <w:tcPr>
            <w:shd w:val="clear" w:color="auto" w:fill="auto"/>
            <w:tcW w:w="6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个</w:t>
            </w:r>
            <w:r/>
          </w:p>
        </w:tc>
        <w:tc>
          <w:tcPr>
            <w:shd w:val="clear" w:color="auto" w:fill="auto"/>
            <w:tcW w:w="100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10</w:t>
            </w:r>
            <w:r/>
          </w:p>
        </w:tc>
      </w:tr>
      <w:tr>
        <w:trPr>
          <w:trHeight w:val="400"/>
        </w:trPr>
        <w:tc>
          <w:tcPr>
            <w:shd w:val="clear" w:color="auto" w:fill="auto"/>
            <w:tcW w:w="6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10</w:t>
            </w:r>
            <w:r/>
          </w:p>
        </w:tc>
        <w:tc>
          <w:tcPr>
            <w:shd w:val="clear" w:color="auto" w:fill="auto"/>
            <w:tcW w:w="4020"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数据专线</w:t>
            </w:r>
            <w:r/>
          </w:p>
        </w:tc>
        <w:tc>
          <w:tcPr>
            <w:shd w:val="clear" w:color="auto" w:fill="auto"/>
            <w:tcW w:w="2120"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20M/1年</w:t>
            </w:r>
            <w:r/>
          </w:p>
        </w:tc>
        <w:tc>
          <w:tcPr>
            <w:shd w:val="clear" w:color="auto" w:fill="auto"/>
            <w:tcW w:w="6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条</w:t>
            </w:r>
            <w:r/>
          </w:p>
        </w:tc>
        <w:tc>
          <w:tcPr>
            <w:shd w:val="clear" w:color="auto" w:fill="auto"/>
            <w:tcW w:w="100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10</w:t>
            </w:r>
            <w:r/>
          </w:p>
        </w:tc>
      </w:tr>
      <w:tr>
        <w:trPr>
          <w:trHeight w:val="400"/>
        </w:trPr>
        <w:tc>
          <w:tcPr>
            <w:shd w:val="clear" w:color="auto" w:fill="auto"/>
            <w:tcW w:w="6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11</w:t>
            </w:r>
            <w:r/>
          </w:p>
        </w:tc>
        <w:tc>
          <w:tcPr>
            <w:shd w:val="clear" w:color="auto" w:fill="auto"/>
            <w:tcW w:w="4020"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辅材</w:t>
            </w:r>
            <w:r/>
          </w:p>
        </w:tc>
        <w:tc>
          <w:tcPr>
            <w:shd w:val="clear" w:color="auto" w:fill="auto"/>
            <w:tcW w:w="2120"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膨胀螺丝、胶布、连接件、标签色带等</w:t>
            </w:r>
            <w:r/>
          </w:p>
        </w:tc>
        <w:tc>
          <w:tcPr>
            <w:shd w:val="clear" w:color="auto" w:fill="auto"/>
            <w:tcW w:w="6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批</w:t>
            </w:r>
            <w:r/>
          </w:p>
        </w:tc>
        <w:tc>
          <w:tcPr>
            <w:shd w:val="clear" w:color="auto" w:fill="auto"/>
            <w:tcW w:w="100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10</w:t>
            </w:r>
            <w:r/>
          </w:p>
        </w:tc>
      </w:tr>
      <w:tr>
        <w:trPr>
          <w:trHeight w:val="400"/>
        </w:trPr>
        <w:tc>
          <w:tcPr>
            <w:shd w:val="clear" w:color="auto" w:fill="auto"/>
            <w:tcW w:w="6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12</w:t>
            </w:r>
            <w:r/>
          </w:p>
        </w:tc>
        <w:tc>
          <w:tcPr>
            <w:shd w:val="clear" w:color="auto" w:fill="auto"/>
            <w:tcW w:w="4020"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安装调试费</w:t>
            </w:r>
            <w:r/>
          </w:p>
        </w:tc>
        <w:tc>
          <w:tcPr>
            <w:shd w:val="clear" w:color="auto" w:fill="auto"/>
            <w:tcW w:w="2120"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安装、调试</w:t>
            </w:r>
            <w:r/>
          </w:p>
        </w:tc>
        <w:tc>
          <w:tcPr>
            <w:shd w:val="clear" w:color="auto" w:fill="auto"/>
            <w:tcW w:w="6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点</w:t>
            </w:r>
            <w:r/>
          </w:p>
        </w:tc>
        <w:tc>
          <w:tcPr>
            <w:shd w:val="clear" w:color="auto" w:fill="auto"/>
            <w:tcW w:w="100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10</w:t>
            </w:r>
            <w:r/>
          </w:p>
        </w:tc>
      </w:tr>
      <w:tr>
        <w:trPr>
          <w:trHeight w:val="400"/>
        </w:trPr>
        <w:tc>
          <w:tcPr>
            <w:shd w:val="clear" w:color="auto" w:fill="auto"/>
            <w:tcW w:w="6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13</w:t>
            </w:r>
            <w:r/>
          </w:p>
        </w:tc>
        <w:tc>
          <w:tcPr>
            <w:shd w:val="clear" w:color="auto" w:fill="auto"/>
            <w:tcW w:w="4020"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维护费</w:t>
            </w:r>
            <w:r/>
          </w:p>
        </w:tc>
        <w:tc>
          <w:tcPr>
            <w:shd w:val="clear" w:color="auto" w:fill="auto"/>
            <w:tcW w:w="2120"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故障维护、检修、每年4次巡检</w:t>
            </w:r>
            <w:r/>
          </w:p>
        </w:tc>
        <w:tc>
          <w:tcPr>
            <w:shd w:val="clear" w:color="auto" w:fill="auto"/>
            <w:tcW w:w="6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年</w:t>
            </w:r>
            <w:r/>
          </w:p>
        </w:tc>
        <w:tc>
          <w:tcPr>
            <w:shd w:val="clear" w:color="auto" w:fill="auto"/>
            <w:tcW w:w="100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r>
    </w:tbl>
    <w:p>
      <w:pPr>
        <w:ind w:firstLine="422"/>
        <w:spacing w:line="360" w:lineRule="auto"/>
        <w:rPr>
          <w:rFonts w:ascii="宋体" w:hAnsi="宋体" w:cs="宋体"/>
          <w:i w:val="0"/>
          <w:iCs w:val="0"/>
          <w:color w:val="auto"/>
          <w:szCs w:val="21"/>
          <w:highlight w:val="none"/>
          <w:u w:val="none"/>
        </w:rPr>
      </w:pPr>
      <w:r>
        <w:rPr>
          <w:rFonts w:ascii="宋体" w:hAnsi="宋体" w:cs="宋体"/>
          <w:i w:val="0"/>
          <w:iCs w:val="0"/>
          <w:color w:val="auto"/>
          <w:szCs w:val="21"/>
          <w:highlight w:val="none"/>
          <w:u w:val="none"/>
        </w:rPr>
      </w:r>
      <w:r/>
    </w:p>
    <w:p>
      <w:pPr>
        <w:pStyle w:val="1154"/>
        <w:numPr>
          <w:ilvl w:val="0"/>
          <w:numId w:val="12"/>
        </w:numPr>
        <w:ind w:left="0" w:firstLine="420"/>
        <w:jc w:val="left"/>
        <w:spacing w:line="360" w:lineRule="auto"/>
        <w:rPr>
          <w:rFonts w:ascii="宋体" w:hAnsi="宋体"/>
          <w:i w:val="0"/>
          <w:iCs w:val="0"/>
          <w:color w:val="auto"/>
          <w:highlight w:val="none"/>
          <w:u w:val="none"/>
        </w:rPr>
        <w:outlineLvl w:val="0"/>
      </w:pPr>
      <w:r>
        <w:rPr>
          <w:rFonts w:hint="eastAsia" w:ascii="宋体" w:hAnsi="宋体" w:cs="宋体"/>
          <w:i w:val="0"/>
          <w:iCs w:val="0"/>
          <w:color w:val="auto"/>
          <w:szCs w:val="20"/>
          <w:highlight w:val="none"/>
          <w:u w:val="none"/>
          <w:lang w:eastAsia="zh-CN"/>
        </w:rPr>
        <w:t xml:space="preserve">服务部分</w:t>
      </w:r>
      <w:r/>
    </w:p>
    <w:tbl>
      <w:tblPr>
        <w:tblStyle w:val="844"/>
        <w:tblW w:w="85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0"/>
        <w:gridCol w:w="4020"/>
        <w:gridCol w:w="2120"/>
        <w:gridCol w:w="680"/>
        <w:gridCol w:w="1000"/>
      </w:tblGrid>
      <w:tr>
        <w:trPr>
          <w:trHeight w:val="400"/>
        </w:trPr>
        <w:tc>
          <w:tcPr>
            <w:shd w:val="clear" w:color="auto" w:fill="auto"/>
            <w:tcW w:w="680" w:type="dxa"/>
            <w:vAlign w:val="center"/>
            <w:textDirection w:val="lrTb"/>
            <w:noWrap/>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序号</w:t>
            </w:r>
            <w:r/>
          </w:p>
        </w:tc>
        <w:tc>
          <w:tcPr>
            <w:shd w:val="clear" w:color="auto" w:fill="auto"/>
            <w:tcW w:w="4020" w:type="dxa"/>
            <w:vAlign w:val="center"/>
            <w:textDirection w:val="lrTb"/>
            <w:noWrap/>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名称</w:t>
            </w:r>
            <w:r/>
          </w:p>
        </w:tc>
        <w:tc>
          <w:tcPr>
            <w:shd w:val="clear" w:color="auto" w:fill="auto"/>
            <w:tcW w:w="2120"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规格</w:t>
            </w:r>
            <w:r/>
          </w:p>
        </w:tc>
        <w:tc>
          <w:tcPr>
            <w:shd w:val="clear" w:color="auto" w:fill="auto"/>
            <w:tcW w:w="680" w:type="dxa"/>
            <w:vAlign w:val="center"/>
            <w:textDirection w:val="lrTb"/>
            <w:noWrap/>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单位</w:t>
            </w:r>
            <w:r/>
          </w:p>
        </w:tc>
        <w:tc>
          <w:tcPr>
            <w:shd w:val="clear" w:color="auto" w:fill="auto"/>
            <w:tcW w:w="1000" w:type="dxa"/>
            <w:vAlign w:val="center"/>
            <w:textDirection w:val="lrTb"/>
            <w:noWrap/>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数量</w:t>
            </w:r>
            <w:r/>
          </w:p>
        </w:tc>
      </w:tr>
      <w:tr>
        <w:trPr>
          <w:trHeight w:val="400"/>
        </w:trPr>
        <w:tc>
          <w:tcPr>
            <w:shd w:val="clear" w:color="auto" w:fill="auto"/>
            <w:tcW w:w="6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　</w:t>
            </w:r>
            <w:r/>
          </w:p>
        </w:tc>
        <w:tc>
          <w:tcPr>
            <w:shd w:val="clear" w:color="auto" w:fill="auto"/>
            <w:tcW w:w="4020" w:type="dxa"/>
            <w:vAlign w:val="center"/>
            <w:textDirection w:val="lrTb"/>
            <w:noWrap/>
          </w:tcPr>
          <w:p>
            <w:pPr>
              <w:jc w:val="both"/>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执法记录仪、车（船）载移动监控物联网信息服务</w:t>
            </w:r>
            <w:r/>
          </w:p>
        </w:tc>
        <w:tc>
          <w:tcPr>
            <w:shd w:val="clear" w:color="auto" w:fill="auto"/>
            <w:tcW w:w="2120" w:type="dxa"/>
            <w:vAlign w:val="center"/>
            <w:textDirection w:val="lrTb"/>
            <w:noWrap w:val="false"/>
          </w:tcPr>
          <w:p>
            <w:pPr>
              <w:jc w:val="both"/>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5台执法记录仪，2套车船移动监控</w:t>
            </w:r>
            <w:r/>
          </w:p>
        </w:tc>
        <w:tc>
          <w:tcPr>
            <w:shd w:val="clear" w:color="auto" w:fill="auto"/>
            <w:tcW w:w="6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eastAsia="zh-CN"/>
              </w:rPr>
              <w:t xml:space="preserve">年</w:t>
            </w:r>
            <w:r>
              <w:rPr>
                <w:rFonts w:hint="eastAsia" w:ascii="宋体" w:hAnsi="宋体" w:cs="宋体"/>
                <w:color w:val="auto"/>
                <w:szCs w:val="21"/>
                <w:highlight w:val="none"/>
              </w:rPr>
              <w:t xml:space="preserve">　</w:t>
            </w:r>
            <w:r/>
          </w:p>
        </w:tc>
        <w:tc>
          <w:tcPr>
            <w:shd w:val="clear" w:color="auto" w:fill="auto"/>
            <w:tcW w:w="100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　</w:t>
            </w:r>
            <w:r/>
          </w:p>
        </w:tc>
      </w:tr>
      <w:tr>
        <w:trPr>
          <w:trHeight w:val="400"/>
        </w:trPr>
        <w:tc>
          <w:tcPr>
            <w:shd w:val="clear" w:color="auto" w:fill="auto"/>
            <w:tcW w:w="680" w:type="dxa"/>
            <w:vAlign w:val="center"/>
            <w:textDirection w:val="lrTb"/>
            <w:noWrap/>
          </w:tcPr>
          <w:p>
            <w:pPr>
              <w:jc w:val="center"/>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2</w:t>
            </w:r>
            <w:r/>
          </w:p>
        </w:tc>
        <w:tc>
          <w:tcPr>
            <w:shd w:val="clear" w:color="auto" w:fill="auto"/>
            <w:tcW w:w="4020" w:type="dxa"/>
            <w:vAlign w:val="center"/>
            <w:textDirection w:val="lrTb"/>
            <w:noWrap/>
          </w:tcPr>
          <w:p>
            <w:pPr>
              <w:jc w:val="left"/>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指挥中心机房至运营商机房专线费</w:t>
            </w:r>
            <w:r/>
          </w:p>
        </w:tc>
        <w:tc>
          <w:tcPr>
            <w:shd w:val="clear" w:color="auto" w:fill="auto"/>
            <w:tcW w:w="2120" w:type="dxa"/>
            <w:vAlign w:val="center"/>
            <w:textDirection w:val="lrTb"/>
            <w:noWrap w:val="false"/>
          </w:tcPr>
          <w:p>
            <w:pPr>
              <w:jc w:val="left"/>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1条</w:t>
            </w:r>
            <w:r/>
          </w:p>
        </w:tc>
        <w:tc>
          <w:tcPr>
            <w:shd w:val="clear" w:color="auto" w:fill="auto"/>
            <w:tcW w:w="680" w:type="dxa"/>
            <w:vAlign w:val="center"/>
            <w:textDirection w:val="lrTb"/>
            <w:noWrap/>
          </w:tcPr>
          <w:p>
            <w:pPr>
              <w:jc w:val="center"/>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年</w:t>
            </w:r>
            <w:r/>
          </w:p>
        </w:tc>
        <w:tc>
          <w:tcPr>
            <w:shd w:val="clear" w:color="auto" w:fill="auto"/>
            <w:tcW w:w="100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400"/>
        </w:trPr>
        <w:tc>
          <w:tcPr>
            <w:shd w:val="clear" w:color="auto" w:fill="auto"/>
            <w:tcW w:w="680" w:type="dxa"/>
            <w:vAlign w:val="center"/>
            <w:textDirection w:val="lrTb"/>
            <w:noWrap/>
          </w:tcPr>
          <w:p>
            <w:pPr>
              <w:jc w:val="center"/>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w:t>
            </w:r>
            <w:r/>
          </w:p>
        </w:tc>
        <w:tc>
          <w:tcPr>
            <w:shd w:val="clear" w:color="auto" w:fill="auto"/>
            <w:tcW w:w="4020" w:type="dxa"/>
            <w:vAlign w:val="center"/>
            <w:textDirection w:val="lrTb"/>
            <w:noWrap/>
          </w:tcPr>
          <w:p>
            <w:pPr>
              <w:jc w:val="left"/>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指挥中心机房和大厅维护、重要活动技术保障</w:t>
            </w:r>
            <w:r/>
          </w:p>
        </w:tc>
        <w:tc>
          <w:tcPr>
            <w:shd w:val="clear" w:color="auto" w:fill="auto"/>
            <w:tcW w:w="2120" w:type="dxa"/>
            <w:vAlign w:val="center"/>
            <w:textDirection w:val="lrTb"/>
            <w:noWrap w:val="false"/>
          </w:tcPr>
          <w:p>
            <w:pPr>
              <w:jc w:val="left"/>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eastAsia="zh-CN"/>
              </w:rPr>
              <w:t xml:space="preserve">不少于</w:t>
            </w:r>
            <w:r>
              <w:rPr>
                <w:rFonts w:hint="eastAsia" w:ascii="宋体" w:hAnsi="宋体" w:cs="宋体"/>
                <w:color w:val="auto"/>
                <w:szCs w:val="21"/>
                <w:highlight w:val="none"/>
                <w:lang w:val="en-US" w:eastAsia="zh-CN"/>
              </w:rPr>
              <w:t xml:space="preserve">6次</w:t>
            </w:r>
            <w:r/>
          </w:p>
        </w:tc>
        <w:tc>
          <w:tcPr>
            <w:shd w:val="clear" w:color="auto" w:fill="auto"/>
            <w:tcW w:w="680" w:type="dxa"/>
            <w:vAlign w:val="center"/>
            <w:textDirection w:val="lrTb"/>
            <w:noWrap/>
          </w:tcPr>
          <w:p>
            <w:pPr>
              <w:jc w:val="center"/>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年</w:t>
            </w:r>
            <w:r/>
          </w:p>
        </w:tc>
        <w:tc>
          <w:tcPr>
            <w:shd w:val="clear" w:color="auto" w:fill="auto"/>
            <w:tcW w:w="100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r>
    </w:tbl>
    <w:p>
      <w:pPr>
        <w:pStyle w:val="1154"/>
        <w:numPr>
          <w:ilvl w:val="0"/>
          <w:numId w:val="0"/>
        </w:numPr>
        <w:jc w:val="center"/>
        <w:spacing w:line="360" w:lineRule="auto"/>
        <w:rPr>
          <w:rFonts w:ascii="宋体" w:hAnsi="宋体"/>
          <w:color w:val="auto"/>
          <w:highlight w:val="none"/>
        </w:rPr>
        <w:outlineLvl w:val="0"/>
      </w:pPr>
      <w:r>
        <w:rPr>
          <w:rFonts w:hint="eastAsia" w:ascii="宋体" w:hAnsi="宋体" w:cs="宋体"/>
          <w:i/>
          <w:iCs/>
          <w:color w:val="auto"/>
          <w:szCs w:val="20"/>
          <w:highlight w:val="none"/>
          <w:u w:val="single"/>
        </w:rPr>
        <w:br w:type="page" w:clear="all"/>
      </w:r>
      <w:bookmarkEnd w:id="29"/>
      <w:r/>
      <w:bookmarkStart w:id="30" w:name="_Toc497133123"/>
      <w:r>
        <w:rPr>
          <w:rFonts w:hint="eastAsia" w:ascii="宋体" w:hAnsi="宋体"/>
          <w:b/>
          <w:bCs/>
          <w:color w:val="auto"/>
          <w:sz w:val="36"/>
          <w:highlight w:val="none"/>
        </w:rPr>
        <w:t xml:space="preserve">第五章 评标方法及评标标准</w:t>
      </w:r>
      <w:r/>
    </w:p>
    <w:p>
      <w:pPr>
        <w:pStyle w:val="1155"/>
        <w:ind w:firstLine="422"/>
        <w:jc w:val="both"/>
        <w:spacing w:before="0" w:after="0"/>
        <w:rPr>
          <w:rFonts w:ascii="宋体" w:hAnsi="宋体" w:cs="宋体"/>
          <w:b/>
          <w:color w:val="auto"/>
          <w:sz w:val="21"/>
          <w:szCs w:val="21"/>
          <w:highlight w:val="none"/>
        </w:rPr>
      </w:pPr>
      <w:r>
        <w:rPr>
          <w:rFonts w:hint="eastAsia" w:ascii="宋体" w:hAnsi="宋体" w:cs="宋体"/>
          <w:b/>
          <w:color w:val="auto"/>
          <w:sz w:val="21"/>
          <w:szCs w:val="21"/>
          <w:highlight w:val="none"/>
        </w:rPr>
        <w:t xml:space="preserve">一、评标方法</w:t>
      </w:r>
      <w:r/>
    </w:p>
    <w:p>
      <w:pPr>
        <w:pStyle w:val="1155"/>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ascii="宋体" w:hAnsi="宋体"/>
          <w:b/>
          <w:color w:val="auto"/>
          <w:szCs w:val="21"/>
          <w:highlight w:val="none"/>
        </w:rPr>
      </w:pPr>
      <w:r/>
      <w:bookmarkStart w:id="31" w:name="_Toc449017024"/>
      <w:r/>
      <w:bookmarkStart w:id="32" w:name="_Toc449016388"/>
      <w:r>
        <w:rPr>
          <w:rFonts w:hint="eastAsia" w:ascii="宋体" w:hAnsi="宋体"/>
          <w:b/>
          <w:color w:val="auto"/>
          <w:szCs w:val="21"/>
          <w:highlight w:val="none"/>
        </w:rPr>
        <w:t xml:space="preserve">二、政府采购政策功能落实</w:t>
      </w:r>
      <w:bookmarkEnd w:id="31"/>
      <w:r/>
      <w:bookmarkEnd w:id="32"/>
      <w:r/>
      <w:r/>
    </w:p>
    <w:p>
      <w:pPr>
        <w:pStyle w:val="1155"/>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155"/>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1、小微型企业价格扣除</w:t>
      </w:r>
      <w:r/>
    </w:p>
    <w:p>
      <w:pPr>
        <w:pStyle w:val="1155"/>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（1）本项目对小型和微型企业产品给予20%的扣除价格，用扣除后的价格参与评审。</w:t>
      </w:r>
      <w:r/>
    </w:p>
    <w:p>
      <w:pPr>
        <w:pStyle w:val="1155"/>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（2）供应商需按照采购文件的要求提供相应的《企业声明函》。</w:t>
      </w:r>
      <w:r/>
    </w:p>
    <w:p>
      <w:pPr>
        <w:pStyle w:val="1155"/>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2、残疾人福利单位价格扣除</w:t>
      </w:r>
      <w:r/>
    </w:p>
    <w:p>
      <w:pPr>
        <w:pStyle w:val="1155"/>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（1）本项目对残疾人福利性单位视同小型、微型企业，给予20%的价格扣除，用扣除后的价格参与评审。</w:t>
      </w:r>
      <w:r/>
    </w:p>
    <w:p>
      <w:pPr>
        <w:pStyle w:val="1155"/>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（2）残疾人福利单位需按照采购文件的要求提供《残疾人福利性单位声明函》。</w:t>
      </w:r>
      <w:r/>
    </w:p>
    <w:p>
      <w:pPr>
        <w:pStyle w:val="1155"/>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（3）残疾人福利单位标准请参照《关于促进残疾人就业政府采购政策的通知》（财库〔2017〕141号）。</w:t>
      </w:r>
      <w:r/>
    </w:p>
    <w:p>
      <w:pPr>
        <w:pStyle w:val="1155"/>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3、监狱和戒毒企业价格扣除</w:t>
      </w:r>
      <w:r/>
    </w:p>
    <w:p>
      <w:pPr>
        <w:pStyle w:val="1155"/>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（1）本项目对监狱和戒毒企业（简称监狱企业）视同小型、微型企业，给予20%的价格扣除，用扣除后的价格参与评审。</w:t>
      </w:r>
      <w:r/>
    </w:p>
    <w:p>
      <w:pPr>
        <w:pStyle w:val="1155"/>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155"/>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（3）监狱企业标准请参照《关于政府采购支持监狱企业发展有关问题的通知》（财库[2014]68号）。</w:t>
      </w:r>
      <w:r/>
    </w:p>
    <w:p>
      <w:pPr>
        <w:pStyle w:val="1155"/>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4、残疾人福利单位、监狱企业属于小型、微型企业的，不重复享受政策。</w:t>
      </w:r>
      <w:r/>
    </w:p>
    <w:p>
      <w:pPr>
        <w:pStyle w:val="1155"/>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 </w:t>
      </w:r>
      <w:r/>
    </w:p>
    <w:p>
      <w:pPr>
        <w:pStyle w:val="1155"/>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6、联合体各方均为小型、微型企业（残疾人福利单位、监狱企业）的，联合体享受20%价格扣除，用扣除后的价格参与评审。</w:t>
      </w:r>
      <w:r/>
    </w:p>
    <w:p>
      <w:pPr>
        <w:pStyle w:val="1155"/>
        <w:ind w:firstLine="422"/>
        <w:spacing w:before="0" w:after="0"/>
        <w:rPr>
          <w:rFonts w:ascii="宋体" w:hAnsi="宋体" w:cs="宋体"/>
          <w:b/>
          <w:color w:val="auto"/>
          <w:sz w:val="21"/>
          <w:szCs w:val="21"/>
          <w:highlight w:val="none"/>
        </w:rPr>
      </w:pPr>
      <w:r>
        <w:rPr>
          <w:rFonts w:hint="eastAsia" w:ascii="宋体" w:hAnsi="宋体" w:cs="宋体"/>
          <w:b/>
          <w:color w:val="auto"/>
          <w:sz w:val="21"/>
          <w:szCs w:val="21"/>
          <w:highlight w:val="none"/>
        </w:rPr>
        <w:t xml:space="preserve">三、评标标准</w:t>
      </w:r>
      <w:bookmarkEnd w:id="30"/>
      <w:r/>
      <w:r/>
    </w:p>
    <w:tbl>
      <w:tblPr>
        <w:tblStyle w:val="84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62"/>
        <w:gridCol w:w="6957"/>
      </w:tblGrid>
      <w:tr>
        <w:trPr>
          <w:jc w:val="center"/>
          <w:trHeight w:val="567"/>
        </w:trPr>
        <w:tc>
          <w:tcPr>
            <w:tcW w:w="917" w:type="pct"/>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w:t>
            </w:r>
            <w:r/>
          </w:p>
        </w:tc>
        <w:tc>
          <w:tcPr>
            <w:tcW w:w="4082" w:type="pct"/>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评分标准</w:t>
            </w:r>
            <w:r/>
          </w:p>
        </w:tc>
      </w:tr>
      <w:tr>
        <w:trPr>
          <w:jc w:val="center"/>
          <w:trHeight w:val="567"/>
        </w:trPr>
        <w:tc>
          <w:tcPr>
            <w:tcW w:w="917" w:type="pct"/>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价格</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（30分）</w:t>
            </w:r>
            <w:r/>
          </w:p>
        </w:tc>
        <w:tc>
          <w:tcPr>
            <w:tcW w:w="4082" w:type="pct"/>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以满足招标文件要求的最低投标报价为评标基准价，得满分30分，其他投标报价得分＝（评标基准价/其他投标报价）×30×100％。</w:t>
            </w:r>
            <w:r/>
          </w:p>
        </w:tc>
      </w:tr>
      <w:tr>
        <w:trPr>
          <w:jc w:val="center"/>
          <w:trHeight w:val="567"/>
        </w:trPr>
        <w:tc>
          <w:tcPr>
            <w:tcW w:w="917" w:type="pct"/>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技术要求</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（20分）</w:t>
            </w:r>
            <w:r/>
          </w:p>
        </w:tc>
        <w:tc>
          <w:tcPr>
            <w:tcW w:w="4082" w:type="pct"/>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投标人所投产品技术参数完全满足招标文件的相关要求的得20分；加“★”项为重点参数，每有一项负偏离扣1分，扣完为止；</w:t>
            </w:r>
            <w:r>
              <w:rPr>
                <w:rFonts w:hint="eastAsia" w:ascii="宋体" w:hAnsi="宋体" w:cs="宋体"/>
                <w:color w:val="auto"/>
                <w:szCs w:val="21"/>
                <w:highlight w:val="none"/>
              </w:rPr>
              <w:t xml:space="preserve">其余</w:t>
            </w:r>
            <w:r>
              <w:rPr>
                <w:rFonts w:hint="eastAsia" w:ascii="宋体" w:hAnsi="宋体" w:cs="宋体"/>
                <w:color w:val="auto"/>
                <w:szCs w:val="21"/>
                <w:highlight w:val="none"/>
              </w:rPr>
              <w:t xml:space="preserve">每项</w:t>
            </w:r>
            <w:r>
              <w:rPr>
                <w:rFonts w:hint="eastAsia" w:ascii="宋体" w:hAnsi="宋体" w:cs="宋体"/>
                <w:color w:val="auto"/>
                <w:szCs w:val="21"/>
                <w:highlight w:val="none"/>
              </w:rPr>
              <w:t xml:space="preserve">负偏离</w:t>
            </w:r>
            <w:r>
              <w:rPr>
                <w:rFonts w:hint="eastAsia" w:ascii="宋体" w:hAnsi="宋体" w:cs="宋体"/>
                <w:color w:val="auto"/>
                <w:szCs w:val="21"/>
                <w:highlight w:val="none"/>
              </w:rPr>
              <w:t xml:space="preserve">扣0.5</w:t>
            </w:r>
            <w:r>
              <w:rPr>
                <w:rFonts w:hint="eastAsia" w:ascii="宋体" w:hAnsi="宋体" w:cs="宋体"/>
                <w:color w:val="auto"/>
                <w:szCs w:val="21"/>
                <w:highlight w:val="none"/>
              </w:rPr>
              <w:t xml:space="preserve">分，</w:t>
            </w:r>
            <w:r>
              <w:rPr>
                <w:rFonts w:hint="eastAsia" w:ascii="宋体" w:hAnsi="宋体" w:cs="宋体"/>
                <w:color w:val="auto"/>
                <w:szCs w:val="21"/>
                <w:highlight w:val="none"/>
              </w:rPr>
              <w:t xml:space="preserve">扣完为止</w:t>
            </w:r>
            <w:r/>
            <w:r>
              <w:rPr>
                <w:rFonts w:hint="eastAsia" w:ascii="宋体" w:hAnsi="宋体" w:cs="宋体"/>
                <w:color w:val="auto"/>
                <w:szCs w:val="21"/>
                <w:highlight w:val="none"/>
              </w:rPr>
              <w:t xml:space="preserve">。</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注：加“★”项各投标人按参数要求提供材料。如未做具体要求的，各投标人需提供相关证明材料</w:t>
            </w:r>
            <w:r>
              <w:rPr>
                <w:rFonts w:hint="eastAsia" w:ascii="宋体" w:hAnsi="宋体" w:cs="宋体"/>
                <w:b/>
                <w:bCs/>
                <w:color w:val="auto"/>
                <w:szCs w:val="21"/>
                <w:highlight w:val="none"/>
              </w:rPr>
              <w:t xml:space="preserve">（</w:t>
            </w:r>
            <w:r>
              <w:rPr>
                <w:rFonts w:hint="eastAsia" w:ascii="宋体" w:hAnsi="宋体" w:cs="宋体"/>
                <w:b/>
                <w:color w:val="auto"/>
                <w:szCs w:val="21"/>
                <w:highlight w:val="none"/>
              </w:rPr>
              <w:t xml:space="preserve">如白皮书或彩页或手册或检测报告等其他相关证明材料）</w:t>
            </w:r>
            <w:r>
              <w:rPr>
                <w:rFonts w:hint="eastAsia" w:ascii="宋体" w:hAnsi="宋体" w:cs="宋体"/>
                <w:color w:val="auto"/>
                <w:szCs w:val="21"/>
                <w:highlight w:val="none"/>
              </w:rPr>
              <w:t xml:space="preserve">并对照参数要求列出并对比。</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若发现提供虚假的证明材料或虚假应答技术偏离表的，视为无效投标，并追究相关责任。</w:t>
            </w:r>
            <w:r/>
          </w:p>
        </w:tc>
      </w:tr>
      <w:tr>
        <w:trPr>
          <w:jc w:val="center"/>
          <w:trHeight w:val="567"/>
        </w:trPr>
        <w:tc>
          <w:tcPr>
            <w:tcW w:w="917" w:type="pct"/>
            <w:vAlign w:val="center"/>
            <w:vMerge w:val="restart"/>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项目方案</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（19分）</w:t>
            </w:r>
            <w:r/>
          </w:p>
        </w:tc>
        <w:tc>
          <w:tcPr>
            <w:tcW w:w="4082" w:type="pct"/>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投标人提供的整体系统设计方案（包括但不限于功能设计方案、系统架构设计方案、数据设计方案等）。方案科学、合理得、有针对性打7分，方案较科学、较合理、得4分，方案不科学、不合理得1分，其余不得分。</w:t>
            </w:r>
            <w:r/>
          </w:p>
        </w:tc>
      </w:tr>
      <w:tr>
        <w:trPr>
          <w:jc w:val="center"/>
          <w:trHeight w:val="567"/>
        </w:trPr>
        <w:tc>
          <w:tcPr>
            <w:tcW w:w="917" w:type="pct"/>
            <w:vAlign w:val="center"/>
            <w:vMerge w:val="continue"/>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4082" w:type="pct"/>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2、提供项目实施方案（包括项目实施计划、工期安排、验收方案、培训方案等）；方案科学、合理得、有针对性打7分，方案较科学、较合理、得4分，方案不科学、不合理得1分，其余不得分。</w:t>
            </w:r>
            <w:r/>
          </w:p>
        </w:tc>
      </w:tr>
      <w:tr>
        <w:trPr>
          <w:jc w:val="center"/>
          <w:trHeight w:val="567"/>
        </w:trPr>
        <w:tc>
          <w:tcPr>
            <w:tcW w:w="917" w:type="pct"/>
            <w:vAlign w:val="center"/>
            <w:vMerge w:val="continue"/>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4082" w:type="pct"/>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3、为了保证与现有农业综合行政执法指挥调度展示平台系统无缝对接，投标人需承诺与现有农业综合行政执法指挥调度展示平台系统无缝对接，并承担对接所产生的所有费用。提供承诺函得5分，不提供不得分</w:t>
            </w:r>
            <w:r>
              <w:rPr>
                <w:rFonts w:hint="eastAsia" w:ascii="宋体" w:hAnsi="宋体" w:cs="宋体"/>
                <w:b/>
                <w:color w:val="auto"/>
                <w:szCs w:val="21"/>
                <w:highlight w:val="none"/>
              </w:rPr>
              <w:t xml:space="preserve">（提供承诺函原件扫描上传）</w:t>
            </w:r>
            <w:r/>
          </w:p>
        </w:tc>
      </w:tr>
      <w:tr>
        <w:trPr>
          <w:jc w:val="center"/>
          <w:trHeight w:val="567"/>
        </w:trPr>
        <w:tc>
          <w:tcPr>
            <w:tcW w:w="917" w:type="pct"/>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投标演示</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（10分）</w:t>
            </w:r>
            <w:r/>
          </w:p>
        </w:tc>
        <w:tc>
          <w:tcPr>
            <w:tcW w:w="4082" w:type="pct"/>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投标人使用真实系统或者DEMO进行功能演示，上传演示视频。演示时间不得超过15分钟。</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1.演示渔政监控整合能力，能够接入渔政监控探头、查看渔政监控设备列表、查看渔政监控实时画面。完全满足以上能力得5分，满足2项得3分，满足1项得1分，不满足不得分。</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2.演示执法检查立案管理功能，包括新增检查、移交、立案、整改、结案等环节。每满足1个环节得1分，最多得5分，不满足不得分。</w:t>
            </w:r>
            <w:r/>
          </w:p>
        </w:tc>
      </w:tr>
      <w:tr>
        <w:trPr>
          <w:jc w:val="center"/>
          <w:trHeight w:val="567"/>
        </w:trPr>
        <w:tc>
          <w:tcPr>
            <w:tcW w:w="917" w:type="pct"/>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综合实力</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（4分）</w:t>
            </w:r>
            <w:r/>
          </w:p>
        </w:tc>
        <w:tc>
          <w:tcPr>
            <w:tcW w:w="4082" w:type="pct"/>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1、投标人具有ISO27001(信息安全管理体系证书)证书、ISO22301（业务连续性管理体系认证）证书，有一个得1分，满分2分，不提供不得分。</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2、投标人具有信息技术服务标准（ITSS)运维能力成熟度</w:t>
            </w:r>
            <w:r>
              <w:rPr>
                <w:rFonts w:hint="eastAsia" w:ascii="宋体" w:hAnsi="宋体" w:cs="宋体"/>
                <w:color w:val="auto"/>
                <w:szCs w:val="21"/>
                <w:highlight w:val="none"/>
                <w:lang w:eastAsia="zh-CN"/>
              </w:rPr>
              <w:t xml:space="preserve">一</w:t>
            </w:r>
            <w:r>
              <w:rPr>
                <w:rFonts w:hint="eastAsia" w:ascii="宋体" w:hAnsi="宋体" w:cs="宋体"/>
                <w:color w:val="auto"/>
                <w:szCs w:val="21"/>
                <w:highlight w:val="none"/>
              </w:rPr>
              <w:t xml:space="preserve">级证书</w:t>
            </w:r>
            <w:r>
              <w:rPr>
                <w:rFonts w:hint="eastAsia" w:ascii="宋体" w:hAnsi="宋体" w:cs="宋体"/>
                <w:color w:val="auto"/>
                <w:szCs w:val="21"/>
                <w:highlight w:val="none"/>
              </w:rPr>
              <w:t xml:space="preserve">及以上,得1分，不提供不得分。</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3、投标人具有信息安全服务资质认证证书（CCRC）安全集成服务</w:t>
            </w:r>
            <w:r>
              <w:rPr>
                <w:rFonts w:hint="eastAsia" w:ascii="宋体" w:hAnsi="宋体" w:cs="宋体"/>
                <w:color w:val="auto"/>
                <w:szCs w:val="21"/>
                <w:highlight w:val="none"/>
                <w:lang w:eastAsia="zh-CN"/>
              </w:rPr>
              <w:t xml:space="preserve">三</w:t>
            </w:r>
            <w:r>
              <w:rPr>
                <w:rFonts w:hint="eastAsia" w:ascii="宋体" w:hAnsi="宋体" w:cs="宋体"/>
                <w:color w:val="auto"/>
                <w:szCs w:val="21"/>
                <w:highlight w:val="none"/>
              </w:rPr>
              <w:t xml:space="preserve">级证书及以上</w:t>
            </w:r>
            <w:r>
              <w:rPr>
                <w:rFonts w:hint="eastAsia" w:ascii="宋体" w:hAnsi="宋体" w:cs="宋体"/>
                <w:color w:val="auto"/>
                <w:szCs w:val="21"/>
                <w:highlight w:val="none"/>
              </w:rPr>
              <w:t xml:space="preserve">,得1分，不提供不得分。</w:t>
            </w:r>
            <w:r/>
          </w:p>
          <w:p>
            <w:pPr>
              <w:spacing w:line="360" w:lineRule="auto"/>
              <w:rPr>
                <w:rFonts w:ascii="宋体" w:hAnsi="宋体" w:cs="宋体"/>
                <w:bCs/>
                <w:color w:val="auto"/>
                <w:szCs w:val="21"/>
                <w:highlight w:val="none"/>
              </w:rPr>
            </w:pPr>
            <w:r>
              <w:rPr>
                <w:rFonts w:hint="eastAsia" w:ascii="宋体" w:hAnsi="宋体" w:cs="宋体"/>
                <w:b/>
                <w:bCs/>
                <w:color w:val="auto"/>
                <w:szCs w:val="21"/>
                <w:highlight w:val="none"/>
              </w:rPr>
              <w:t xml:space="preserve">（以上均须将有效期内证书原件上传）</w:t>
            </w:r>
            <w:r/>
          </w:p>
        </w:tc>
      </w:tr>
      <w:tr>
        <w:trPr>
          <w:jc w:val="center"/>
          <w:trHeight w:val="567"/>
        </w:trPr>
        <w:tc>
          <w:tcPr>
            <w:tcW w:w="917" w:type="pct"/>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项目团队</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（7分）</w:t>
            </w:r>
            <w:r/>
          </w:p>
        </w:tc>
        <w:tc>
          <w:tcPr>
            <w:tcW w:w="4082" w:type="pct"/>
            <w:vAlign w:val="center"/>
            <w:textDirection w:val="lrTb"/>
            <w:noWrap w:val="false"/>
          </w:tcPr>
          <w:p>
            <w:pPr>
              <w:spacing w:line="360" w:lineRule="auto"/>
              <w:rPr>
                <w:rFonts w:ascii="宋体" w:hAnsi="宋体" w:cs="宋体"/>
                <w:b/>
                <w:bCs/>
                <w:color w:val="auto"/>
                <w:szCs w:val="21"/>
                <w:highlight w:val="none"/>
              </w:rPr>
            </w:pPr>
            <w:r>
              <w:rPr>
                <w:rFonts w:hint="eastAsia" w:ascii="宋体" w:hAnsi="宋体" w:cs="宋体"/>
                <w:color w:val="auto"/>
                <w:szCs w:val="21"/>
                <w:highlight w:val="none"/>
              </w:rPr>
              <w:t xml:space="preserve">1、投标人拟派的项目经理具备：信息系统项目管理师、网络工程师、系统分析师，有1个得1分，满分3分，不提供不得分。</w:t>
            </w:r>
            <w:r>
              <w:rPr>
                <w:rFonts w:hint="eastAsia" w:ascii="宋体" w:hAnsi="宋体" w:cs="宋体"/>
                <w:b/>
                <w:bCs/>
                <w:color w:val="auto"/>
                <w:szCs w:val="21"/>
                <w:highlight w:val="none"/>
              </w:rPr>
              <w:t xml:space="preserve">（须提供有效期内证书和投标人近三个月任意一个月为其缴纳社保的证明材料扫描件上传）</w:t>
            </w:r>
            <w:r/>
          </w:p>
          <w:p>
            <w:pPr>
              <w:spacing w:line="360" w:lineRule="auto"/>
              <w:rPr>
                <w:rFonts w:ascii="宋体" w:hAnsi="宋体" w:cs="宋体"/>
                <w:bCs/>
                <w:color w:val="auto"/>
                <w:szCs w:val="21"/>
                <w:highlight w:val="none"/>
              </w:rPr>
            </w:pPr>
            <w:r>
              <w:rPr>
                <w:rFonts w:hint="eastAsia" w:ascii="宋体" w:hAnsi="宋体" w:cs="宋体"/>
                <w:color w:val="auto"/>
                <w:szCs w:val="21"/>
                <w:highlight w:val="none"/>
              </w:rPr>
              <w:t xml:space="preserve">2、投标人拟派的项目团队成员具备：信息系统项目管理师、系统集成项目管理工程师、网络工程师中级及以上、中级工程师及以上证书，有1项得1分，满分4分，不提供不得分。</w:t>
            </w:r>
            <w:r>
              <w:rPr>
                <w:rFonts w:hint="eastAsia" w:ascii="宋体" w:hAnsi="宋体" w:cs="宋体"/>
                <w:b/>
                <w:bCs/>
                <w:color w:val="auto"/>
                <w:szCs w:val="21"/>
                <w:highlight w:val="none"/>
              </w:rPr>
              <w:t xml:space="preserve">（须提供有效期内证书和投标人近三个月任意一个月为其缴纳社保的证明材料扫描件上传）</w:t>
            </w:r>
            <w:r/>
          </w:p>
        </w:tc>
      </w:tr>
      <w:tr>
        <w:trPr>
          <w:jc w:val="center"/>
          <w:trHeight w:val="567"/>
        </w:trPr>
        <w:tc>
          <w:tcPr>
            <w:tcW w:w="917" w:type="pct"/>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类似业绩</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（4分）</w:t>
            </w:r>
            <w:r/>
          </w:p>
        </w:tc>
        <w:tc>
          <w:tcPr>
            <w:tcW w:w="4082" w:type="pct"/>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投标人提供2020年1月1日以来的类似业绩合同，每提供1份得2分，满分4分。</w:t>
            </w:r>
            <w:r>
              <w:rPr>
                <w:rFonts w:hint="eastAsia" w:ascii="宋体" w:hAnsi="宋体" w:cs="宋体"/>
                <w:b/>
                <w:color w:val="auto"/>
                <w:szCs w:val="21"/>
                <w:highlight w:val="none"/>
              </w:rPr>
              <w:t xml:space="preserve">（提供合同原件扫描上传）</w:t>
            </w:r>
            <w:r/>
          </w:p>
        </w:tc>
      </w:tr>
      <w:tr>
        <w:trPr>
          <w:jc w:val="center"/>
          <w:trHeight w:val="567"/>
        </w:trPr>
        <w:tc>
          <w:tcPr>
            <w:tcW w:w="917" w:type="pct"/>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售后服务</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（6分）</w:t>
            </w:r>
            <w:r/>
          </w:p>
        </w:tc>
        <w:tc>
          <w:tcPr>
            <w:tcW w:w="4082" w:type="pct"/>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1、根据供应商的服务体系、服务内容、故障解决方案、专业技术人员保障等综合评分：方案详细合理，针对性强得3分；方案较详细合理，针对性较强得2分；方案一般，针对性一般的得1分；不提供的不得分。</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2、根据供应商提供的培训方案进行评分：方案科学合理，描述细致全面，针对性强的得3分；方案较合理，描述较完整，针对性较强得2分；方案描述一般，针对性一般得1分；不提供的不得分。</w:t>
            </w:r>
            <w:r/>
          </w:p>
        </w:tc>
      </w:tr>
      <w:tr>
        <w:trPr>
          <w:jc w:val="center"/>
          <w:trHeight w:val="567"/>
        </w:trPr>
        <w:tc>
          <w:tcPr>
            <w:tcW w:w="917" w:type="pct"/>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总分</w:t>
            </w:r>
            <w:r/>
          </w:p>
        </w:tc>
        <w:tc>
          <w:tcPr>
            <w:tcW w:w="4082" w:type="pct"/>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100分</w:t>
            </w:r>
            <w:r/>
          </w:p>
        </w:tc>
      </w:tr>
    </w:tbl>
    <w:p>
      <w:pPr>
        <w:rPr>
          <w:rFonts w:ascii="宋体" w:hAnsi="宋体"/>
          <w:color w:val="auto"/>
          <w:highlight w:val="none"/>
        </w:rPr>
      </w:pPr>
      <w:r>
        <w:rPr>
          <w:rFonts w:hint="eastAsia" w:ascii="宋体" w:hAnsi="宋体"/>
          <w:color w:val="auto"/>
          <w:highlight w:val="none"/>
        </w:rPr>
        <w:br w:type="page" w:clear="all"/>
      </w:r>
      <w:r/>
    </w:p>
    <w:p>
      <w:pPr>
        <w:pStyle w:val="834"/>
        <w:jc w:val="center"/>
        <w:rPr>
          <w:rFonts w:ascii="宋体" w:hAnsi="宋体"/>
          <w:color w:val="auto"/>
          <w:highlight w:val="none"/>
        </w:rPr>
      </w:pPr>
      <w:r>
        <w:rPr>
          <w:rFonts w:hint="eastAsia" w:ascii="宋体" w:hAnsi="宋体"/>
          <w:color w:val="auto"/>
          <w:highlight w:val="none"/>
        </w:rPr>
        <w:t xml:space="preserve">第六章 投标文件格式 </w:t>
      </w:r>
      <w:r/>
    </w:p>
    <w:p>
      <w:pPr>
        <w:rPr>
          <w:rFonts w:ascii="黑体" w:eastAsia="黑体"/>
          <w:bCs/>
          <w:color w:val="auto"/>
          <w:sz w:val="44"/>
          <w:highlight w:val="none"/>
        </w:rPr>
      </w:pPr>
      <w:r>
        <w:rPr>
          <w:rFonts w:ascii="黑体" w:eastAsia="黑体"/>
          <w:bCs/>
          <w:color w:val="auto"/>
          <w:sz w:val="44"/>
          <w:highlight w:val="none"/>
        </w:rPr>
      </w:r>
      <w:r/>
    </w:p>
    <w:p>
      <w:pPr>
        <w:jc w:val="center"/>
        <w:rPr>
          <w:rFonts w:ascii="宋体" w:hAnsi="宋体"/>
          <w:b/>
          <w:color w:val="auto"/>
          <w:sz w:val="72"/>
          <w:highlight w:val="none"/>
        </w:rPr>
      </w:pPr>
      <w:r>
        <w:rPr>
          <w:rFonts w:hint="eastAsia" w:ascii="宋体" w:hAnsi="宋体"/>
          <w:b/>
          <w:color w:val="auto"/>
          <w:sz w:val="72"/>
          <w:highlight w:val="none"/>
        </w:rPr>
        <w:t xml:space="preserve">投  标  文  件</w:t>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招 标 编 号：</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rPr>
      </w:pPr>
      <w:r>
        <w:rPr>
          <w:rFonts w:hint="eastAsia" w:ascii="宋体" w:hAnsi="宋体"/>
          <w:b/>
          <w:color w:val="auto"/>
          <w:sz w:val="36"/>
          <w:highlight w:val="none"/>
        </w:rPr>
        <w:t xml:space="preserve">投  标  人：</w:t>
      </w:r>
      <w:r>
        <w:rPr>
          <w:rFonts w:hint="eastAsia" w:ascii="宋体" w:hAnsi="宋体"/>
          <w:b/>
          <w:color w:val="auto"/>
          <w:sz w:val="36"/>
          <w:highlight w:val="none"/>
          <w:u w:val="single"/>
        </w:rPr>
        <w:t xml:space="preserve">         </w:t>
      </w:r>
      <w:r>
        <w:rPr>
          <w:rFonts w:hint="eastAsia" w:ascii="宋体" w:hAnsi="宋体"/>
          <w:b/>
          <w:color w:val="auto"/>
          <w:sz w:val="36"/>
          <w:highlight w:val="none"/>
        </w:rPr>
        <w:t xml:space="preserve">（电子签章）</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hint="eastAsia" w:ascii="宋体" w:hAnsi="宋体"/>
          <w:b/>
          <w:bCs/>
          <w:color w:val="auto"/>
          <w:sz w:val="32"/>
          <w:szCs w:val="32"/>
          <w:highlight w:val="none"/>
        </w:rPr>
        <w:br w:type="page" w:clear="all"/>
      </w:r>
      <w:r>
        <w:rPr>
          <w:rFonts w:hint="eastAsia" w:ascii="宋体" w:hAnsi="宋体"/>
          <w:b/>
          <w:bCs/>
          <w:color w:val="auto"/>
          <w:sz w:val="32"/>
          <w:szCs w:val="32"/>
          <w:highlight w:val="none"/>
        </w:rPr>
        <w:t xml:space="preserve">投标主要文件目录</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一、资格审查响应对照表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二、符合性审查响应对照表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三、非实质性响应对照表</w:t>
      </w:r>
      <w:r/>
    </w:p>
    <w:p>
      <w:pPr>
        <w:ind w:firstLine="480"/>
        <w:spacing w:line="360" w:lineRule="auto"/>
        <w:rPr>
          <w:rFonts w:ascii="宋体" w:hAnsi="宋体"/>
          <w:b/>
          <w:bCs/>
          <w:color w:val="auto"/>
          <w:sz w:val="24"/>
          <w:highlight w:val="none"/>
        </w:rPr>
      </w:pPr>
      <w:r>
        <w:rPr>
          <w:rFonts w:hint="eastAsia" w:ascii="宋体" w:hAnsi="宋体"/>
          <w:color w:val="auto"/>
          <w:sz w:val="24"/>
          <w:highlight w:val="none"/>
        </w:rPr>
        <w:t xml:space="preserve">四、</w:t>
      </w:r>
      <w:r>
        <w:rPr>
          <w:rFonts w:hint="eastAsia" w:ascii="宋体" w:hAnsi="宋体"/>
          <w:i/>
          <w:color w:val="auto"/>
          <w:sz w:val="24"/>
          <w:highlight w:val="none"/>
          <w:u w:val="single"/>
        </w:rPr>
        <w:t xml:space="preserve">开标一览表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五、分项报价表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六</w:t>
      </w:r>
      <w:r>
        <w:rPr>
          <w:rFonts w:hint="eastAsia" w:ascii="宋体" w:hAnsi="宋体" w:cs="Courier New"/>
          <w:color w:val="auto"/>
          <w:sz w:val="24"/>
          <w:szCs w:val="24"/>
          <w:highlight w:val="none"/>
        </w:rPr>
        <w:t xml:space="preserve">、</w:t>
      </w:r>
      <w:r>
        <w:rPr>
          <w:rFonts w:hint="eastAsia" w:ascii="宋体" w:hAnsi="宋体"/>
          <w:color w:val="auto"/>
          <w:sz w:val="24"/>
          <w:szCs w:val="24"/>
          <w:highlight w:val="none"/>
        </w:rPr>
        <w:t xml:space="preserve">技术参数响应及偏离表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七、商务条款响应及偏离表</w:t>
      </w:r>
      <w:r/>
    </w:p>
    <w:p>
      <w:pPr>
        <w:ind w:firstLine="480"/>
        <w:spacing w:line="360" w:lineRule="auto"/>
        <w:rPr>
          <w:color w:val="auto"/>
          <w:sz w:val="36"/>
          <w:szCs w:val="36"/>
          <w:highlight w:val="none"/>
        </w:rPr>
      </w:pPr>
      <w:r>
        <w:rPr>
          <w:rFonts w:hint="eastAsia" w:ascii="宋体" w:hAnsi="宋体"/>
          <w:color w:val="auto"/>
          <w:sz w:val="24"/>
          <w:highlight w:val="none"/>
        </w:rPr>
        <w:t xml:space="preserve">八、其他（投标人认为有必要提供的声明和文件，如有自拟并自行添加）</w:t>
      </w:r>
      <w:r/>
    </w:p>
    <w:p>
      <w:pPr>
        <w:contextualSpacing/>
        <w:jc w:val="center"/>
        <w:rPr>
          <w:rFonts w:ascii="宋体" w:hAnsi="宋体"/>
          <w:b/>
          <w:color w:val="auto"/>
          <w:sz w:val="72"/>
          <w:highlight w:val="none"/>
        </w:rPr>
      </w:pPr>
      <w:r>
        <w:rPr>
          <w:rFonts w:ascii="宋体" w:hAnsi="宋体"/>
          <w:b/>
          <w:color w:val="auto"/>
          <w:sz w:val="72"/>
          <w:highlight w:val="none"/>
        </w:rPr>
      </w:r>
      <w:r/>
    </w:p>
    <w:p>
      <w:pPr>
        <w:contextualSpacing/>
        <w:jc w:val="center"/>
        <w:spacing w:line="600" w:lineRule="exact"/>
        <w:rPr>
          <w:rFonts w:ascii="宋体" w:hAnsi="宋体"/>
          <w:b/>
          <w:color w:val="auto"/>
          <w:sz w:val="72"/>
          <w:highlight w:val="none"/>
        </w:rPr>
      </w:pPr>
      <w:r>
        <w:rPr>
          <w:rFonts w:ascii="宋体" w:hAnsi="宋体"/>
          <w:b/>
          <w:color w:val="auto"/>
          <w:sz w:val="72"/>
          <w:highlight w:val="none"/>
        </w:rPr>
      </w:r>
      <w:r/>
    </w:p>
    <w:p>
      <w:pPr>
        <w:contextualSpacing/>
        <w:jc w:val="center"/>
        <w:spacing w:line="600" w:lineRule="exact"/>
        <w:rPr>
          <w:rFonts w:ascii="宋体" w:hAnsi="宋体"/>
          <w:b/>
          <w:color w:val="auto"/>
          <w:sz w:val="72"/>
          <w:highlight w:val="none"/>
        </w:rPr>
      </w:pPr>
      <w:r>
        <w:rPr>
          <w:rFonts w:ascii="宋体" w:hAnsi="宋体"/>
          <w:b/>
          <w:color w:val="auto"/>
          <w:sz w:val="72"/>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pStyle w:val="835"/>
        <w:numPr>
          <w:ilvl w:val="0"/>
          <w:numId w:val="0"/>
        </w:numPr>
        <w:jc w:val="center"/>
        <w:rPr>
          <w:rFonts w:ascii="宋体" w:hAnsi="宋体"/>
          <w:b w:val="0"/>
          <w:color w:val="auto"/>
          <w:sz w:val="32"/>
          <w:szCs w:val="32"/>
          <w:highlight w:val="none"/>
        </w:rPr>
      </w:pPr>
      <w:r>
        <w:rPr>
          <w:rFonts w:hint="eastAsia" w:ascii="宋体" w:hAnsi="宋体"/>
          <w:color w:val="auto"/>
          <w:sz w:val="32"/>
          <w:szCs w:val="32"/>
          <w:highlight w:val="none"/>
        </w:rPr>
        <w:br w:type="page" w:clear="all"/>
      </w:r>
      <w:r>
        <w:rPr>
          <w:rFonts w:hint="eastAsia" w:ascii="宋体" w:hAnsi="宋体"/>
          <w:bCs w:val="0"/>
          <w:color w:val="auto"/>
          <w:sz w:val="32"/>
          <w:szCs w:val="32"/>
          <w:highlight w:val="none"/>
        </w:rPr>
        <w:t xml:space="preserve">一、资格审查响应对照表</w:t>
      </w:r>
      <w:r/>
    </w:p>
    <w:tbl>
      <w:tblPr>
        <w:tblStyle w:val="844"/>
        <w:tblW w:w="82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资格审查响应内容</w:t>
            </w:r>
            <w:r/>
          </w:p>
        </w:tc>
        <w:tc>
          <w:tcPr>
            <w:tcW w:w="2158"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（填是或者否）</w:t>
            </w:r>
            <w:r/>
          </w:p>
        </w:tc>
      </w:tr>
      <w:tr>
        <w:trPr>
          <w:trHeight w:val="335"/>
        </w:trPr>
        <w:tc>
          <w:tcPr>
            <w:gridSpan w:val="3"/>
            <w:tcW w:w="8251" w:type="dxa"/>
            <w:vAlign w:val="center"/>
            <w:textDirection w:val="lrTb"/>
            <w:noWrap w:val="false"/>
          </w:tcPr>
          <w:p>
            <w:pPr>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通用资格条件</w:t>
            </w:r>
            <w:r/>
          </w:p>
        </w:tc>
      </w:tr>
      <w:tr>
        <w:trPr>
          <w:trHeight w:val="761"/>
        </w:trPr>
        <w:tc>
          <w:tcPr>
            <w:tcW w:w="646" w:type="dxa"/>
            <w:vAlign w:val="center"/>
            <w:textDirection w:val="lrTb"/>
            <w:noWrap w:val="false"/>
          </w:tcPr>
          <w:p>
            <w:pPr>
              <w:jc w:val="center"/>
              <w:rPr>
                <w:rFonts w:ascii="宋体" w:hAnsi="宋体" w:cs="宋体"/>
                <w:b/>
                <w:color w:val="auto"/>
                <w:szCs w:val="21"/>
                <w:highlight w:val="none"/>
              </w:rPr>
            </w:pPr>
            <w:r>
              <w:rPr>
                <w:rFonts w:hint="eastAsia" w:ascii="宋体" w:hAnsi="宋体" w:cs="宋体"/>
                <w:color w:val="auto"/>
                <w:szCs w:val="21"/>
                <w:highlight w:val="none"/>
              </w:rPr>
              <w:t xml:space="preserve">1</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color w:val="auto"/>
                <w:szCs w:val="21"/>
                <w:highlight w:val="none"/>
              </w:rPr>
              <w:t xml:space="preserve">法人或者其他组织的营业执照等证明文件，自然人的身份证明</w:t>
            </w:r>
            <w:r>
              <w:rPr>
                <w:rFonts w:hint="eastAsia" w:ascii="宋体" w:hAnsi="宋体"/>
                <w:color w:val="auto"/>
                <w:szCs w:val="21"/>
                <w:highlight w:val="none"/>
              </w:rPr>
              <w:t xml:space="preserve">（身份证为正、反面）</w:t>
            </w:r>
            <w:r/>
          </w:p>
        </w:tc>
        <w:tc>
          <w:tcPr>
            <w:tcW w:w="215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color w:val="auto"/>
                <w:szCs w:val="21"/>
                <w:highlight w:val="none"/>
              </w:rPr>
              <w:t xml:space="preserve">依法缴纳职工社会保障资金的证明材料</w:t>
            </w:r>
            <w:r>
              <w:rPr>
                <w:rFonts w:hint="eastAsia" w:ascii="宋体" w:hAnsi="宋体" w:cs="宋体"/>
                <w:b/>
                <w:bCs/>
                <w:color w:val="auto"/>
                <w:szCs w:val="21"/>
                <w:highlight w:val="none"/>
              </w:rPr>
              <w:t xml:space="preserve">(税务、银行或社会保险基金管理部门出具的近三个月内任意一个月缴纳职工社会保障资金的缴款凭证或缴款证明)</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585"/>
        </w:trPr>
        <w:tc>
          <w:tcPr>
            <w:tcW w:w="64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color w:val="auto"/>
                <w:szCs w:val="21"/>
                <w:highlight w:val="none"/>
              </w:rPr>
              <w:t xml:space="preserve">投标人近三个月内任意一份依法纳税的缴款凭证</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17"/>
        </w:trPr>
        <w:tc>
          <w:tcPr>
            <w:tcW w:w="64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color w:val="auto"/>
                <w:szCs w:val="21"/>
                <w:highlight w:val="none"/>
              </w:rPr>
              <w:t xml:space="preserve">上一年度的财务状况情况</w:t>
            </w:r>
            <w:r>
              <w:rPr>
                <w:rFonts w:hint="eastAsia" w:ascii="宋体" w:hAnsi="宋体" w:cs="宋体"/>
                <w:b/>
                <w:bCs/>
                <w:color w:val="auto"/>
                <w:szCs w:val="21"/>
                <w:highlight w:val="none"/>
              </w:rPr>
              <w:t xml:space="preserve">（成立不满一年不需提供）</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color w:val="auto"/>
                <w:szCs w:val="21"/>
                <w:highlight w:val="none"/>
              </w:rPr>
              <w:t xml:space="preserve">具备履行合同所必需的设备和专业技术能力的证明材料</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color w:val="auto"/>
                <w:szCs w:val="21"/>
                <w:highlight w:val="none"/>
              </w:rPr>
              <w:t xml:space="preserve"> 参加本次政府采购活动前3年内在经营活动中没有重大违法记录的书面声明</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7</w:t>
            </w:r>
            <w:r/>
          </w:p>
        </w:tc>
        <w:tc>
          <w:tcPr>
            <w:tcW w:w="5447"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未被“信用中国”网站（www.creditchina.gov.cn）、“中国政府采购网"(www.ccgp.gov.cn)列入失信被执行人、重大税收违法案.件当事人名单、政府采购严重违法失信行为记录名单</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8</w:t>
            </w:r>
            <w:r/>
          </w:p>
        </w:tc>
        <w:tc>
          <w:tcPr>
            <w:tcW w:w="5447"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供应商信用承诺函</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90"/>
        </w:trPr>
        <w:tc>
          <w:tcPr>
            <w:gridSpan w:val="3"/>
            <w:tcW w:w="8251" w:type="dxa"/>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trHeight w:val="400"/>
        </w:trPr>
        <w:tc>
          <w:tcPr>
            <w:tcW w:w="64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w:t>
            </w:r>
            <w:r/>
          </w:p>
        </w:tc>
        <w:tc>
          <w:tcPr>
            <w:tcW w:w="5447"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项目非预留份额的采购项目或采购包，执行价格扣除优惠政策，给予小微型企业、监狱企业或残疾人福利性单位报价20%的扣除，用扣除后的价格参加评审。价格扣除比例对小型企业和微型企业同等对待，不作区分。监狱企业、残疾人福利单位属于小型、微型企业的，不重复享受政策。</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383"/>
        </w:trPr>
        <w:tc>
          <w:tcPr>
            <w:gridSpan w:val="3"/>
            <w:tcW w:w="8251" w:type="dxa"/>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特定资格条件</w:t>
            </w:r>
            <w:r/>
          </w:p>
        </w:tc>
      </w:tr>
      <w:tr>
        <w:trPr>
          <w:trHeight w:val="389"/>
        </w:trPr>
        <w:tc>
          <w:tcPr>
            <w:tcW w:w="64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5447"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无</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00"/>
        </w:trPr>
        <w:tc>
          <w:tcPr>
            <w:gridSpan w:val="3"/>
            <w:tcW w:w="8251" w:type="dxa"/>
            <w:vAlign w:val="center"/>
            <w:textDirection w:val="lrTb"/>
            <w:noWrap w:val="false"/>
          </w:tcPr>
          <w:p>
            <w:pPr>
              <w:jc w:val="left"/>
              <w:rPr>
                <w:rFonts w:ascii="宋体" w:hAnsi="宋体" w:cs="宋体"/>
                <w:color w:val="auto"/>
                <w:szCs w:val="21"/>
                <w:highlight w:val="none"/>
              </w:rPr>
            </w:pPr>
            <w:r>
              <w:rPr>
                <w:rFonts w:hint="eastAsia" w:ascii="宋体" w:hAnsi="宋体" w:cs="宋体"/>
                <w:b/>
                <w:color w:val="auto"/>
                <w:szCs w:val="21"/>
                <w:highlight w:val="none"/>
              </w:rPr>
              <w:t xml:space="preserve">其他</w:t>
            </w:r>
            <w:r/>
          </w:p>
        </w:tc>
      </w:tr>
      <w:tr>
        <w:trPr>
          <w:trHeight w:val="400"/>
        </w:trPr>
        <w:tc>
          <w:tcPr>
            <w:tcW w:w="64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11</w:t>
            </w:r>
            <w:r/>
          </w:p>
        </w:tc>
        <w:tc>
          <w:tcPr>
            <w:tcW w:w="5447" w:type="dxa"/>
            <w:vAlign w:val="center"/>
            <w:textDirection w:val="lrTb"/>
            <w:noWrap w:val="false"/>
          </w:tcPr>
          <w:p>
            <w:pPr>
              <w:jc w:val="left"/>
              <w:spacing w:line="0" w:lineRule="atLeast"/>
              <w:rPr>
                <w:rFonts w:ascii="宋体" w:hAnsi="宋体"/>
                <w:iCs/>
                <w:color w:val="auto"/>
                <w:szCs w:val="21"/>
                <w:highlight w:val="none"/>
              </w:rPr>
            </w:pPr>
            <w:r>
              <w:rPr>
                <w:rFonts w:hint="eastAsia" w:ascii="宋体" w:hAnsi="宋体"/>
                <w:iCs/>
                <w:color w:val="auto"/>
                <w:szCs w:val="21"/>
                <w:highlight w:val="none"/>
              </w:rPr>
              <w:t xml:space="preserve">投标函</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00"/>
        </w:trPr>
        <w:tc>
          <w:tcPr>
            <w:tcW w:w="64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12</w:t>
            </w:r>
            <w:r/>
          </w:p>
        </w:tc>
        <w:tc>
          <w:tcPr>
            <w:tcW w:w="5447" w:type="dxa"/>
            <w:vAlign w:val="center"/>
            <w:textDirection w:val="lrTb"/>
            <w:noWrap w:val="false"/>
          </w:tcPr>
          <w:p>
            <w:pPr>
              <w:jc w:val="left"/>
              <w:spacing w:line="0" w:lineRule="atLeast"/>
              <w:rPr>
                <w:rFonts w:ascii="宋体" w:hAnsi="宋体"/>
                <w:iCs/>
                <w:color w:val="auto"/>
                <w:szCs w:val="21"/>
                <w:highlight w:val="none"/>
              </w:rPr>
            </w:pPr>
            <w:r>
              <w:rPr>
                <w:rFonts w:hint="eastAsia" w:ascii="宋体" w:hAnsi="宋体"/>
                <w:iCs/>
                <w:color w:val="auto"/>
                <w:szCs w:val="21"/>
                <w:highlight w:val="none"/>
              </w:rPr>
              <w:t xml:space="preserve">法人授权书</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ind w:firstLine="1476"/>
        <w:spacing w:before="156" w:after="156" w:line="360" w:lineRule="auto"/>
        <w:rPr>
          <w:rFonts w:ascii="宋体" w:hAnsi="宋体"/>
          <w:b/>
          <w:bCs/>
          <w:color w:val="auto"/>
          <w:highlight w:val="none"/>
        </w:rPr>
      </w:pPr>
      <w:r>
        <w:rPr>
          <w:rFonts w:hint="eastAsia" w:ascii="宋体" w:hAnsi="宋体"/>
          <w:b/>
          <w:bCs/>
          <w:color w:val="auto"/>
          <w:highlight w:val="none"/>
        </w:rPr>
        <w:br w:type="page" w:clear="all"/>
      </w:r>
      <w:r>
        <w:rPr>
          <w:rFonts w:hint="eastAsia" w:ascii="宋体" w:hAnsi="宋体"/>
          <w:b/>
          <w:bCs/>
          <w:color w:val="auto"/>
          <w:highlight w:val="none"/>
        </w:rPr>
        <w:t xml:space="preserve">具备履行合同所必需的设备和专业技术能力的书面声明</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主要设备有：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主要专业技术能力有：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br w:type="page" w:clear="all"/>
      </w:r>
      <w:r/>
    </w:p>
    <w:p>
      <w:pPr>
        <w:jc w:val="center"/>
        <w:spacing w:line="360" w:lineRule="auto"/>
        <w:rPr>
          <w:rFonts w:ascii="宋体" w:hAnsi="宋体"/>
          <w:b/>
          <w:bCs/>
          <w:color w:val="auto"/>
          <w:highlight w:val="none"/>
        </w:rPr>
      </w:pPr>
      <w:r>
        <w:rPr>
          <w:rFonts w:hint="eastAsia" w:ascii="宋体" w:hAnsi="宋体"/>
          <w:b/>
          <w:bCs/>
          <w:color w:val="auto"/>
          <w:highlight w:val="none"/>
        </w:rPr>
        <w:t xml:space="preserve">参加本次政府采购活动前 3 年内在经营活动中没有重大违法记录的书面声明</w:t>
      </w:r>
      <w:r/>
    </w:p>
    <w:p>
      <w:pPr>
        <w:spacing w:line="360" w:lineRule="auto"/>
        <w:rPr>
          <w:rFonts w:ascii="宋体" w:hAnsi="宋体"/>
          <w:color w:val="auto"/>
          <w:highlight w:val="none"/>
        </w:rPr>
      </w:pPr>
      <w:r>
        <w:rPr>
          <w:rFonts w:ascii="宋体" w:hAnsi="宋体"/>
          <w:color w:val="auto"/>
          <w:highlight w:val="none"/>
        </w:rPr>
      </w:r>
      <w:r/>
    </w:p>
    <w:p>
      <w:pPr>
        <w:jc w:val="center"/>
        <w:spacing w:after="312" w:line="360" w:lineRule="auto"/>
        <w:rPr>
          <w:rFonts w:ascii="宋体" w:hAnsi="宋体"/>
          <w:b/>
          <w:bCs/>
          <w:color w:val="auto"/>
          <w:highlight w:val="none"/>
        </w:rPr>
      </w:pPr>
      <w:r>
        <w:rPr>
          <w:rFonts w:hint="eastAsia" w:ascii="宋体" w:hAnsi="宋体"/>
          <w:b/>
          <w:bCs/>
          <w:color w:val="auto"/>
          <w:highlight w:val="none"/>
        </w:rPr>
        <w:t xml:space="preserve">声  明</w:t>
      </w:r>
      <w:r/>
    </w:p>
    <w:p>
      <w:pPr>
        <w:spacing w:line="360" w:lineRule="auto"/>
        <w:rPr>
          <w:rFonts w:ascii="宋体" w:hAnsi="宋体"/>
          <w:bCs/>
          <w:color w:val="auto"/>
          <w:highlight w:val="none"/>
        </w:rPr>
      </w:pPr>
      <w:r>
        <w:rPr>
          <w:rFonts w:hint="eastAsia" w:ascii="宋体" w:hAnsi="宋体"/>
          <w:b/>
          <w:bCs/>
          <w:color w:val="auto"/>
          <w:highlight w:val="none"/>
        </w:rPr>
        <w:t xml:space="preserve">    </w:t>
      </w:r>
      <w:r>
        <w:rPr>
          <w:rFonts w:hint="eastAsia" w:ascii="宋体" w:hAnsi="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color w:val="auto"/>
          <w:highlight w:val="none"/>
        </w:rPr>
      </w:pPr>
      <w:r>
        <w:rPr>
          <w:rFonts w:hint="eastAsia" w:ascii="宋体" w:hAnsi="宋体"/>
          <w:bCs/>
          <w:color w:val="auto"/>
          <w:highlight w:val="none"/>
        </w:rPr>
        <w:t xml:space="preserve">                               供应商名称（公章）：</w:t>
      </w:r>
      <w:r/>
    </w:p>
    <w:p>
      <w:pPr>
        <w:spacing w:line="360" w:lineRule="auto"/>
        <w:rPr>
          <w:rFonts w:ascii="宋体" w:hAnsi="宋体"/>
          <w:bCs/>
          <w:color w:val="auto"/>
          <w:highlight w:val="none"/>
        </w:rPr>
      </w:pPr>
      <w:r>
        <w:rPr>
          <w:rFonts w:hint="eastAsia" w:ascii="宋体" w:hAnsi="宋体"/>
          <w:bCs/>
          <w:color w:val="auto"/>
          <w:highlight w:val="none"/>
        </w:rPr>
        <w:t xml:space="preserve">                               法定代表人签章：_______________________</w:t>
      </w:r>
      <w:r/>
    </w:p>
    <w:p>
      <w:pPr>
        <w:spacing w:line="360" w:lineRule="auto"/>
        <w:rPr>
          <w:rFonts w:ascii="宋体" w:hAnsi="宋体"/>
          <w:bCs/>
          <w:color w:val="auto"/>
          <w:highlight w:val="none"/>
        </w:rPr>
      </w:pPr>
      <w:r>
        <w:rPr>
          <w:rFonts w:hint="eastAsia" w:ascii="宋体" w:hAnsi="宋体"/>
          <w:bCs/>
          <w:color w:val="auto"/>
          <w:highlight w:val="none"/>
        </w:rPr>
        <w:t xml:space="preserve">                               日期：______年    月    日</w:t>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500" w:lineRule="exact"/>
        <w:rPr>
          <w:rFonts w:ascii="宋体" w:hAnsi="宋体"/>
          <w:b/>
          <w:color w:val="auto"/>
          <w:szCs w:val="21"/>
          <w:highlight w:val="none"/>
        </w:rPr>
      </w:pPr>
      <w:r>
        <w:rPr>
          <w:rFonts w:hint="eastAsia" w:ascii="宋体" w:hAnsi="宋体"/>
          <w:b/>
          <w:bCs/>
          <w:color w:val="auto"/>
          <w:highlight w:val="none"/>
        </w:rPr>
        <w:br w:type="page" w:clear="all"/>
      </w:r>
      <w:r>
        <w:rPr>
          <w:rFonts w:hint="eastAsia" w:ascii="宋体" w:hAnsi="宋体"/>
          <w:b/>
          <w:color w:val="auto"/>
          <w:szCs w:val="21"/>
          <w:highlight w:val="none"/>
        </w:rPr>
        <w:t xml:space="preserve">供应商信用承诺书</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承诺主体名称：</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统一社会信用代码：</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四、自觉接受行政管理部门、行业组织、社会公众、新闻舆论的监督；</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七、严格遵守信用信息公示相关规定，向社会公示信用信息；</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八、在“信用中国”和“中国政府采购网”网站中无违法违规、较重或严重失信记录；</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十、本承诺书自签订之日起生效。</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 （注：法定代表人或负责人、主体名称发生变更的应当重新做出承诺。）</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承诺单位（签章）：           </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法定代表人（负责人）：</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年    月    日</w:t>
      </w:r>
      <w:r/>
    </w:p>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p>
      <w:pPr>
        <w:spacing w:line="560" w:lineRule="exact"/>
        <w:rPr>
          <w:rFonts w:ascii="宋体" w:hAnsi="宋体" w:cs="宋体"/>
          <w:color w:val="auto"/>
          <w:szCs w:val="21"/>
          <w:highlight w:val="none"/>
        </w:rPr>
      </w:pPr>
      <w:r>
        <w:rPr>
          <w:rFonts w:ascii="宋体" w:hAnsi="宋体" w:cs="宋体"/>
          <w:color w:val="auto"/>
          <w:szCs w:val="21"/>
          <w:highlight w:val="none"/>
        </w:rPr>
      </w:r>
      <w:r/>
    </w:p>
    <w:p>
      <w:pPr>
        <w:spacing w:line="560" w:lineRule="exact"/>
        <w:rPr>
          <w:rFonts w:ascii="宋体" w:hAnsi="宋体" w:cs="宋体"/>
          <w:color w:val="auto"/>
          <w:szCs w:val="21"/>
          <w:highlight w:val="none"/>
        </w:rPr>
      </w:pPr>
      <w:r>
        <w:rPr>
          <w:rFonts w:ascii="宋体" w:hAnsi="宋体" w:cs="宋体"/>
          <w:color w:val="auto"/>
          <w:szCs w:val="21"/>
          <w:highlight w:val="none"/>
        </w:rPr>
      </w:r>
      <w:r/>
    </w:p>
    <w:p>
      <w:pPr>
        <w:jc w:val="center"/>
        <w:spacing w:line="360" w:lineRule="auto"/>
        <w:rPr>
          <w:rFonts w:ascii="宋体" w:hAnsi="宋体"/>
          <w:b/>
          <w:bCs/>
          <w:color w:val="auto"/>
          <w:highlight w:val="none"/>
        </w:rPr>
      </w:pPr>
      <w:r>
        <w:rPr>
          <w:rFonts w:hint="eastAsia" w:ascii="宋体" w:hAnsi="宋体"/>
          <w:b/>
          <w:bCs/>
          <w:color w:val="auto"/>
          <w:highlight w:val="none"/>
        </w:rPr>
        <w:br w:type="page" w:clear="all"/>
      </w:r>
      <w:r>
        <w:rPr>
          <w:rFonts w:hint="eastAsia" w:ascii="宋体" w:hAnsi="宋体"/>
          <w:b/>
          <w:bCs/>
          <w:color w:val="auto"/>
          <w:highlight w:val="none"/>
        </w:rPr>
        <w:t xml:space="preserve">投标函格式</w:t>
      </w:r>
      <w:r/>
    </w:p>
    <w:p>
      <w:pPr>
        <w:pStyle w:val="1155"/>
        <w:ind w:firstLine="0"/>
        <w:spacing w:before="0" w:after="0"/>
        <w:rPr>
          <w:rFonts w:ascii="宋体" w:hAnsi="宋体"/>
          <w:color w:val="auto"/>
          <w:sz w:val="21"/>
          <w:szCs w:val="21"/>
          <w:highlight w:val="none"/>
        </w:rPr>
      </w:pPr>
      <w:r>
        <w:rPr>
          <w:rFonts w:hint="eastAsia" w:ascii="宋体" w:hAnsi="宋体"/>
          <w:color w:val="auto"/>
          <w:sz w:val="21"/>
          <w:szCs w:val="21"/>
          <w:highlight w:val="none"/>
        </w:rPr>
        <w:t xml:space="preserve">致：江苏唯诚建设咨询有限公司</w:t>
      </w:r>
      <w:r/>
    </w:p>
    <w:p>
      <w:pPr>
        <w:pStyle w:val="1155"/>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根据贵方的JSZC-321000-JSWC-G2025-</w:t>
      </w:r>
      <w:r>
        <w:rPr>
          <w:rFonts w:hint="eastAsia" w:ascii="宋体" w:hAnsi="宋体"/>
          <w:color w:val="auto"/>
          <w:sz w:val="21"/>
          <w:szCs w:val="21"/>
          <w:highlight w:val="none"/>
          <w:lang w:eastAsia="zh-CN"/>
        </w:rPr>
        <w:t xml:space="preserve">0006</w:t>
      </w:r>
      <w:r>
        <w:rPr>
          <w:rFonts w:hint="eastAsia" w:ascii="宋体" w:hAnsi="宋体"/>
          <w:color w:val="auto"/>
          <w:sz w:val="21"/>
          <w:szCs w:val="21"/>
          <w:highlight w:val="none"/>
        </w:rPr>
        <w:t xml:space="preserve">号招标文件，正式授权下述签字人_________________(姓名)代表我方______________（投标人的名称），全权处理本次项目投标的有关事宜。</w:t>
      </w:r>
      <w:r/>
    </w:p>
    <w:p>
      <w:pPr>
        <w:pStyle w:val="1155"/>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据此函，__________签字人（姓名）兹宣布同意如下：</w:t>
      </w:r>
      <w:r/>
    </w:p>
    <w:p>
      <w:pPr>
        <w:pStyle w:val="1155"/>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1.按招标文件规定的各项要求，向买方提供所需货物与服务。</w:t>
      </w:r>
      <w:r/>
    </w:p>
    <w:p>
      <w:pPr>
        <w:pStyle w:val="1155"/>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2.我们完全理解贵方不一定将合同授予最低报价的投标人。</w:t>
      </w:r>
      <w:r/>
    </w:p>
    <w:p>
      <w:pPr>
        <w:pStyle w:val="1155"/>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3.我们已详细审核全部招标文件及其有效补充文件，我们知道必须放弃提出含糊不清或误解问题的权利。</w:t>
      </w:r>
      <w:r/>
    </w:p>
    <w:p>
      <w:pPr>
        <w:pStyle w:val="1155"/>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4.我们同意从规定的开标日期起遵循本投标文件，并在规定的投标有效期期满之前均具有约束力。</w:t>
      </w:r>
      <w:r/>
    </w:p>
    <w:p>
      <w:pPr>
        <w:pStyle w:val="1155"/>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1155"/>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1155"/>
        <w:ind w:left="425" w:firstLine="105"/>
        <w:spacing w:before="0" w:after="0"/>
        <w:rPr>
          <w:rFonts w:ascii="宋体" w:hAnsi="宋体"/>
          <w:color w:val="auto"/>
          <w:sz w:val="21"/>
          <w:szCs w:val="21"/>
          <w:highlight w:val="none"/>
        </w:rPr>
      </w:pPr>
      <w:r>
        <w:rPr>
          <w:rFonts w:hint="eastAsia" w:ascii="宋体" w:hAnsi="宋体"/>
          <w:color w:val="auto"/>
          <w:sz w:val="21"/>
          <w:szCs w:val="21"/>
          <w:highlight w:val="none"/>
        </w:rPr>
        <w:t xml:space="preserve">7.与本投标有关的正式通讯地址为：</w:t>
      </w:r>
      <w:r/>
    </w:p>
    <w:p>
      <w:pPr>
        <w:pStyle w:val="1155"/>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地 址：</w:t>
      </w:r>
      <w:r/>
    </w:p>
    <w:p>
      <w:pPr>
        <w:pStyle w:val="1155"/>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邮 编：</w:t>
      </w:r>
      <w:r/>
    </w:p>
    <w:p>
      <w:pPr>
        <w:pStyle w:val="1155"/>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电 话： </w:t>
      </w:r>
      <w:r/>
    </w:p>
    <w:p>
      <w:pPr>
        <w:pStyle w:val="1155"/>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传 真： </w:t>
      </w:r>
      <w:r/>
    </w:p>
    <w:p>
      <w:pPr>
        <w:pStyle w:val="1155"/>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投标人开户行：</w:t>
      </w:r>
      <w:r/>
    </w:p>
    <w:p>
      <w:pPr>
        <w:pStyle w:val="1155"/>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账 户： </w:t>
      </w:r>
      <w:r/>
    </w:p>
    <w:p>
      <w:pPr>
        <w:pStyle w:val="1155"/>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行 号：</w:t>
      </w:r>
      <w:r/>
    </w:p>
    <w:p>
      <w:pPr>
        <w:pStyle w:val="1155"/>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日 期：________年____月____日</w:t>
      </w:r>
      <w:r/>
    </w:p>
    <w:p>
      <w:pPr>
        <w:contextualSpacing/>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rPr>
          <w:rFonts w:ascii="宋体" w:hAnsi="宋体"/>
          <w:b/>
          <w:color w:val="auto"/>
          <w:szCs w:val="21"/>
          <w:highlight w:val="none"/>
        </w:rPr>
      </w:pPr>
      <w:r>
        <w:rPr>
          <w:rFonts w:hint="eastAsia" w:ascii="宋体" w:hAnsi="宋体"/>
          <w:b/>
          <w:color w:val="auto"/>
          <w:sz w:val="32"/>
          <w:szCs w:val="32"/>
          <w:highlight w:val="none"/>
        </w:rPr>
        <w:br w:type="page" w:clear="all"/>
      </w:r>
      <w:r>
        <w:rPr>
          <w:rFonts w:hint="eastAsia" w:ascii="宋体" w:hAnsi="宋体"/>
          <w:b/>
          <w:color w:val="auto"/>
          <w:szCs w:val="21"/>
          <w:highlight w:val="none"/>
        </w:rPr>
        <w:t xml:space="preserve">法人授权书</w:t>
      </w:r>
      <w:r/>
    </w:p>
    <w:p>
      <w:pPr>
        <w:pStyle w:val="1162"/>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本授权书声明：</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（投标人名称）授权</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（被授权人的姓名）为我方就（项目编号）号（项目名称）项目采购活动的合法代理人，以本公司名义全权处理一切与该项目采购有关的事务。</w:t>
      </w:r>
      <w:r/>
    </w:p>
    <w:p>
      <w:pPr>
        <w:pStyle w:val="1162"/>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本授权书于</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年</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月</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日起生效，特此声明。</w:t>
      </w:r>
      <w:r/>
    </w:p>
    <w:p>
      <w:pPr>
        <w:pStyle w:val="1162"/>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p>
    <w:p>
      <w:pPr>
        <w:pStyle w:val="1162"/>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被授权人姓名：</w:t>
      </w:r>
      <w:r>
        <w:rPr>
          <w:rFonts w:ascii="宋体" w:hAnsi="宋体"/>
          <w:color w:val="auto"/>
          <w:sz w:val="21"/>
          <w:szCs w:val="21"/>
          <w:highlight w:val="none"/>
        </w:rPr>
        <w:t xml:space="preserve">_______________________</w:t>
      </w:r>
      <w:r>
        <w:rPr>
          <w:rFonts w:hint="eastAsia" w:ascii="宋体" w:hAnsi="宋体"/>
          <w:color w:val="auto"/>
          <w:sz w:val="21"/>
          <w:szCs w:val="21"/>
          <w:highlight w:val="none"/>
        </w:rPr>
        <w:t xml:space="preserve">     </w:t>
      </w:r>
      <w:r/>
    </w:p>
    <w:p>
      <w:pPr>
        <w:pStyle w:val="1162"/>
        <w:ind w:firstLine="42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联系电话（手机）：</w:t>
      </w:r>
      <w:r>
        <w:rPr>
          <w:rFonts w:hint="eastAsia" w:ascii="宋体" w:hAnsi="宋体"/>
          <w:color w:val="auto"/>
          <w:sz w:val="21"/>
          <w:szCs w:val="21"/>
          <w:highlight w:val="none"/>
          <w:u w:val="single"/>
        </w:rPr>
        <w:t xml:space="preserve">                   </w:t>
      </w:r>
      <w:r/>
    </w:p>
    <w:p>
      <w:pPr>
        <w:pStyle w:val="1162"/>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单位名称：</w:t>
      </w:r>
      <w:r>
        <w:rPr>
          <w:rFonts w:ascii="宋体" w:hAnsi="宋体"/>
          <w:color w:val="auto"/>
          <w:sz w:val="21"/>
          <w:szCs w:val="21"/>
          <w:highlight w:val="none"/>
        </w:rPr>
        <w:t xml:space="preserve">___________________________</w:t>
      </w:r>
      <w:r/>
    </w:p>
    <w:p>
      <w:pPr>
        <w:pStyle w:val="1162"/>
        <w:ind w:firstLine="420"/>
        <w:spacing w:line="360" w:lineRule="auto"/>
        <w:rPr>
          <w:color w:val="auto"/>
          <w:sz w:val="21"/>
          <w:szCs w:val="21"/>
          <w:highlight w:val="none"/>
          <w:u w:val="single"/>
        </w:rPr>
      </w:pPr>
      <w:r>
        <w:rPr>
          <w:rFonts w:hint="eastAsia"/>
          <w:color w:val="auto"/>
          <w:sz w:val="21"/>
          <w:szCs w:val="21"/>
          <w:highlight w:val="none"/>
        </w:rPr>
        <w:t xml:space="preserve">单位地址：</w:t>
      </w:r>
      <w:r>
        <w:rPr>
          <w:color w:val="auto"/>
          <w:sz w:val="21"/>
          <w:szCs w:val="21"/>
          <w:highlight w:val="none"/>
          <w:u w:val="single"/>
        </w:rPr>
        <w:t xml:space="preserve">                           </w:t>
      </w:r>
      <w:r/>
    </w:p>
    <w:p>
      <w:pPr>
        <w:pStyle w:val="1162"/>
        <w:ind w:firstLine="420"/>
        <w:spacing w:line="360" w:lineRule="auto"/>
        <w:rPr>
          <w:color w:val="auto"/>
          <w:sz w:val="21"/>
          <w:szCs w:val="21"/>
          <w:highlight w:val="none"/>
        </w:rPr>
      </w:pPr>
      <w:r>
        <w:rPr>
          <w:rFonts w:hint="eastAsia"/>
          <w:color w:val="auto"/>
          <w:sz w:val="21"/>
          <w:szCs w:val="21"/>
          <w:highlight w:val="none"/>
        </w:rPr>
        <w:t xml:space="preserve">日期：</w:t>
      </w:r>
      <w:r>
        <w:rPr>
          <w:color w:val="auto"/>
          <w:sz w:val="21"/>
          <w:szCs w:val="21"/>
          <w:highlight w:val="none"/>
          <w:u w:val="single"/>
        </w:rPr>
        <w:t xml:space="preserve">                               </w:t>
      </w:r>
      <w:r>
        <w:rPr>
          <w:color w:val="auto"/>
          <w:sz w:val="21"/>
          <w:szCs w:val="21"/>
          <w:highlight w:val="none"/>
        </w:rPr>
        <w:t xml:space="preserve"> </w:t>
      </w:r>
      <w:r/>
    </w:p>
    <w:p>
      <w:pPr>
        <w:spacing w:line="460" w:lineRule="exact"/>
        <w:rPr>
          <w:rFonts w:ascii="宋体" w:hAnsi="宋体"/>
          <w:bCs/>
          <w:color w:val="auto"/>
          <w:highlight w:val="none"/>
        </w:rPr>
      </w:pPr>
      <w:r>
        <w:rPr>
          <w:rFonts w:ascii="宋体" w:hAnsi="宋体"/>
          <w:bCs/>
          <w:color w:val="auto"/>
          <w:highlight w:val="none"/>
        </w:rPr>
      </w:r>
      <w:r/>
    </w:p>
    <w:p>
      <w:pPr>
        <w:spacing w:line="460" w:lineRule="exact"/>
        <w:rPr>
          <w:rFonts w:ascii="宋体" w:hAnsi="宋体"/>
          <w:bCs/>
          <w:color w:val="auto"/>
          <w:sz w:val="24"/>
          <w:highlight w:val="none"/>
        </w:rPr>
      </w:pPr>
      <w:r>
        <w:rPr>
          <w:rFonts w:ascii="宋体" w:hAnsi="宋体"/>
          <w:bCs/>
          <w:color w:val="auto"/>
          <w:sz w:val="24"/>
          <w:highlight w:val="none"/>
        </w:rPr>
      </w:r>
      <w:r/>
    </w:p>
    <w:p>
      <w:pPr>
        <w:ind w:firstLine="420"/>
        <w:spacing w:line="460" w:lineRule="exact"/>
        <w:rPr>
          <w:rFonts w:ascii="宋体" w:hAnsi="宋体"/>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color w:val="auto"/>
          <w:highlight w:val="none"/>
        </w:rPr>
        <w:t xml:space="preserve">被授权人身份证复印</w:t>
      </w:r>
      <w:r/>
    </w:p>
    <w:p>
      <w:pPr>
        <w:pStyle w:val="835"/>
        <w:numPr>
          <w:ilvl w:val="0"/>
          <w:numId w:val="0"/>
        </w:numPr>
        <w:jc w:val="center"/>
        <w:spacing w:before="260" w:after="260" w:line="416" w:lineRule="auto"/>
        <w:rPr>
          <w:rFonts w:ascii="宋体" w:hAnsi="宋体"/>
          <w:bCs w:val="0"/>
          <w:color w:val="auto"/>
          <w:sz w:val="32"/>
          <w:szCs w:val="32"/>
          <w:highlight w:val="none"/>
        </w:rPr>
      </w:pPr>
      <w:r>
        <w:rPr>
          <w:rFonts w:hint="eastAsia" w:ascii="宋体" w:hAnsi="宋体"/>
          <w:bCs w:val="0"/>
          <w:color w:val="auto"/>
          <w:sz w:val="32"/>
          <w:szCs w:val="32"/>
          <w:highlight w:val="none"/>
        </w:rPr>
        <w:t xml:space="preserve">二、符合性审查响应对照表</w:t>
      </w:r>
      <w:r/>
    </w:p>
    <w:p>
      <w:pPr>
        <w:rPr>
          <w:rFonts w:ascii="宋体" w:hAnsi="宋体"/>
          <w:b/>
          <w:color w:val="auto"/>
          <w:sz w:val="32"/>
          <w:szCs w:val="32"/>
          <w:highlight w:val="none"/>
        </w:rPr>
      </w:pPr>
      <w:r>
        <w:rPr>
          <w:rFonts w:ascii="宋体" w:hAnsi="宋体"/>
          <w:b/>
          <w:color w:val="auto"/>
          <w:sz w:val="32"/>
          <w:szCs w:val="32"/>
          <w:highlight w:val="none"/>
        </w:rPr>
      </w:r>
      <w:r/>
    </w:p>
    <w:tbl>
      <w:tblPr>
        <w:tblStyle w:val="844"/>
        <w:tblW w:w="8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82"/>
        </w:trPr>
        <w:tc>
          <w:tcPr>
            <w:tcW w:w="605"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111"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符合性审查响应内容</w:t>
            </w:r>
            <w:r/>
          </w:p>
        </w:tc>
        <w:tc>
          <w:tcPr>
            <w:tcW w:w="1575"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228"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响应情况</w:t>
            </w:r>
            <w:r/>
          </w:p>
        </w:tc>
      </w:tr>
      <w:tr>
        <w:trPr>
          <w:trHeight w:val="582"/>
        </w:trPr>
        <w:tc>
          <w:tcPr>
            <w:tcW w:w="605" w:type="dxa"/>
            <w:vAlign w:val="center"/>
            <w:textDirection w:val="lrTb"/>
            <w:noWrap w:val="false"/>
          </w:tcPr>
          <w:p>
            <w:pPr>
              <w:jc w:val="center"/>
              <w:rPr>
                <w:rFonts w:ascii="宋体" w:hAnsi="宋体"/>
                <w:b/>
                <w:color w:val="auto"/>
                <w:szCs w:val="21"/>
                <w:highlight w:val="none"/>
              </w:rPr>
            </w:pPr>
            <w:r>
              <w:rPr>
                <w:rFonts w:hint="eastAsia" w:ascii="宋体" w:hAnsi="宋体"/>
                <w:b/>
                <w:color w:val="auto"/>
                <w:szCs w:val="21"/>
                <w:highlight w:val="none"/>
              </w:rPr>
              <w:t xml:space="preserve">1</w:t>
            </w:r>
            <w:r/>
          </w:p>
        </w:tc>
        <w:tc>
          <w:tcPr>
            <w:tcW w:w="5111" w:type="dxa"/>
            <w:vAlign w:val="center"/>
            <w:textDirection w:val="lrTb"/>
            <w:noWrap w:val="false"/>
          </w:tcPr>
          <w:p>
            <w:pPr>
              <w:spacing w:line="0" w:lineRule="atLeast"/>
              <w:rPr>
                <w:rFonts w:ascii="宋体" w:hAnsi="宋体"/>
                <w:iCs/>
                <w:color w:val="auto"/>
                <w:szCs w:val="21"/>
                <w:highlight w:val="none"/>
              </w:rPr>
            </w:pPr>
            <w:r>
              <w:rPr>
                <w:rFonts w:hint="eastAsia" w:ascii="宋体" w:hAnsi="宋体"/>
                <w:iCs/>
                <w:color w:val="auto"/>
                <w:szCs w:val="21"/>
                <w:highlight w:val="none"/>
              </w:rPr>
              <w:t xml:space="preserve">采购需求中必须满足的实质性要求（即加斜体下划线内容，每条详细列出）</w:t>
            </w:r>
            <w:r/>
          </w:p>
        </w:tc>
        <w:tc>
          <w:tcPr>
            <w:tcW w:w="1575"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W w:w="122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582"/>
        </w:trPr>
        <w:tc>
          <w:tcPr>
            <w:tcW w:w="60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5111"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57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2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582"/>
        </w:trPr>
        <w:tc>
          <w:tcPr>
            <w:tcW w:w="60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5111"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57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2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582"/>
        </w:trPr>
        <w:tc>
          <w:tcPr>
            <w:tcW w:w="60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c>
          <w:tcPr>
            <w:tcW w:w="5111"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57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2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582"/>
        </w:trPr>
        <w:tc>
          <w:tcPr>
            <w:tcW w:w="60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5</w:t>
            </w:r>
            <w:r/>
          </w:p>
        </w:tc>
        <w:tc>
          <w:tcPr>
            <w:tcW w:w="5111"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t xml:space="preserve">……</w:t>
            </w:r>
            <w:r/>
          </w:p>
        </w:tc>
        <w:tc>
          <w:tcPr>
            <w:tcW w:w="157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2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pStyle w:val="835"/>
        <w:numPr>
          <w:ilvl w:val="0"/>
          <w:numId w:val="0"/>
        </w:numPr>
        <w:jc w:val="center"/>
        <w:spacing w:before="260" w:after="260" w:line="416" w:lineRule="auto"/>
        <w:rPr>
          <w:rFonts w:ascii="宋体" w:hAnsi="宋体"/>
          <w:bCs w:val="0"/>
          <w:color w:val="auto"/>
          <w:sz w:val="32"/>
          <w:szCs w:val="32"/>
          <w:highlight w:val="none"/>
        </w:rPr>
      </w:pPr>
      <w:r>
        <w:rPr>
          <w:rFonts w:hint="eastAsia" w:ascii="宋体" w:hAnsi="宋体"/>
          <w:bCs w:val="0"/>
          <w:color w:val="auto"/>
          <w:sz w:val="32"/>
          <w:szCs w:val="32"/>
          <w:highlight w:val="none"/>
        </w:rPr>
        <w:t xml:space="preserve">三、非实质性响应对照表</w:t>
      </w:r>
      <w:r/>
    </w:p>
    <w:p>
      <w:pPr>
        <w:rPr>
          <w:rFonts w:ascii="宋体" w:hAnsi="宋体"/>
          <w:b/>
          <w:color w:val="auto"/>
          <w:sz w:val="32"/>
          <w:szCs w:val="32"/>
          <w:highlight w:val="none"/>
        </w:rPr>
      </w:pPr>
      <w:r>
        <w:rPr>
          <w:rFonts w:ascii="宋体" w:hAnsi="宋体"/>
          <w:b/>
          <w:color w:val="auto"/>
          <w:sz w:val="32"/>
          <w:szCs w:val="32"/>
          <w:highlight w:val="none"/>
        </w:rPr>
      </w:r>
      <w:r/>
    </w:p>
    <w:tbl>
      <w:tblPr>
        <w:tblStyle w:val="844"/>
        <w:tblW w:w="8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82"/>
        </w:trPr>
        <w:tc>
          <w:tcPr>
            <w:tcW w:w="605"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111"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非实质性响应内容</w:t>
            </w:r>
            <w:r/>
          </w:p>
        </w:tc>
        <w:tc>
          <w:tcPr>
            <w:tcW w:w="1575"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228"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05" w:type="dxa"/>
            <w:vAlign w:val="center"/>
            <w:textDirection w:val="lrTb"/>
            <w:noWrap w:val="false"/>
          </w:tcPr>
          <w:p>
            <w:pPr>
              <w:jc w:val="center"/>
              <w:rPr>
                <w:rFonts w:ascii="宋体" w:hAnsi="宋体"/>
                <w:b/>
                <w:color w:val="auto"/>
                <w:szCs w:val="21"/>
                <w:highlight w:val="none"/>
              </w:rPr>
            </w:pPr>
            <w:r>
              <w:rPr>
                <w:rFonts w:hint="eastAsia" w:ascii="宋体" w:hAnsi="宋体"/>
                <w:b/>
                <w:color w:val="auto"/>
                <w:szCs w:val="21"/>
                <w:highlight w:val="none"/>
              </w:rPr>
              <w:t xml:space="preserve">1</w:t>
            </w:r>
            <w:r/>
          </w:p>
        </w:tc>
        <w:tc>
          <w:tcPr>
            <w:tcW w:w="5111" w:type="dxa"/>
            <w:vAlign w:val="center"/>
            <w:textDirection w:val="lrTb"/>
            <w:noWrap w:val="false"/>
          </w:tcPr>
          <w:p>
            <w:pPr>
              <w:spacing w:line="0" w:lineRule="atLeast"/>
              <w:rPr>
                <w:rFonts w:ascii="宋体" w:hAnsi="宋体"/>
                <w:iCs/>
                <w:color w:val="auto"/>
                <w:szCs w:val="21"/>
                <w:highlight w:val="none"/>
              </w:rPr>
            </w:pPr>
            <w:r>
              <w:rPr>
                <w:rFonts w:hint="eastAsia" w:ascii="宋体" w:hAnsi="宋体"/>
                <w:color w:val="auto"/>
                <w:szCs w:val="21"/>
                <w:highlight w:val="none"/>
              </w:rPr>
              <w:t xml:space="preserve">《企业声明函》</w:t>
            </w:r>
            <w:r/>
          </w:p>
        </w:tc>
        <w:tc>
          <w:tcPr>
            <w:tcW w:w="1575"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W w:w="122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585"/>
        </w:trPr>
        <w:tc>
          <w:tcPr>
            <w:tcW w:w="60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5111" w:type="dxa"/>
            <w:vAlign w:val="center"/>
            <w:textDirection w:val="lrTb"/>
            <w:noWrap w:val="false"/>
          </w:tcPr>
          <w:p>
            <w:pPr>
              <w:spacing w:line="0" w:lineRule="atLeast"/>
              <w:rPr>
                <w:rFonts w:ascii="宋体" w:hAnsi="宋体"/>
                <w:iCs/>
                <w:color w:val="auto"/>
                <w:szCs w:val="21"/>
                <w:highlight w:val="none"/>
              </w:rPr>
            </w:pPr>
            <w:r>
              <w:rPr>
                <w:rFonts w:hint="eastAsia" w:ascii="宋体" w:hAnsi="宋体"/>
                <w:color w:val="auto"/>
                <w:szCs w:val="21"/>
                <w:highlight w:val="none"/>
              </w:rPr>
              <w:t xml:space="preserve">《残疾人福利性单位声明函》</w:t>
            </w:r>
            <w:r/>
          </w:p>
        </w:tc>
        <w:tc>
          <w:tcPr>
            <w:tcW w:w="157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2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0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5111"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t xml:space="preserve">……</w:t>
            </w:r>
            <w:r/>
          </w:p>
        </w:tc>
        <w:tc>
          <w:tcPr>
            <w:tcW w:w="157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2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rPr>
          <w:color w:val="auto"/>
          <w:highlight w:val="none"/>
        </w:rPr>
      </w:pPr>
      <w:r>
        <w:rPr>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center"/>
        <w:spacing w:before="312" w:after="312" w:line="360" w:lineRule="auto"/>
        <w:rPr>
          <w:b/>
          <w:bCs/>
          <w:color w:val="auto"/>
          <w:highlight w:val="none"/>
        </w:rPr>
      </w:pPr>
      <w:r>
        <w:rPr>
          <w:b/>
          <w:bCs/>
          <w:color w:val="auto"/>
          <w:highlight w:val="none"/>
        </w:rPr>
      </w:r>
      <w:r/>
    </w:p>
    <w:p>
      <w:pPr>
        <w:jc w:val="center"/>
        <w:spacing w:before="312" w:after="312"/>
        <w:rPr>
          <w:rFonts w:ascii="宋体" w:hAnsi="宋体" w:cs="宋体"/>
          <w:b/>
          <w:bCs/>
          <w:color w:val="auto"/>
          <w:highlight w:val="none"/>
        </w:rPr>
      </w:pPr>
      <w:r>
        <w:rPr>
          <w:rFonts w:hint="eastAsia"/>
          <w:b/>
          <w:bCs/>
          <w:color w:val="auto"/>
          <w:highlight w:val="none"/>
        </w:rPr>
        <w:br w:type="page" w:clear="all"/>
      </w:r>
      <w:r>
        <w:rPr>
          <w:rFonts w:hint="eastAsia" w:ascii="宋体" w:hAnsi="宋体" w:cs="宋体"/>
          <w:b/>
          <w:bCs/>
          <w:color w:val="auto"/>
          <w:highlight w:val="none"/>
        </w:rPr>
        <w:t xml:space="preserve">中小企业声明函（货物）</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本公司（联合体）郑重声明，根据《政府采购促进中小企业发展管理办法》（财库﹝2020﹞46 号）的规定，本公司（联合体）参加</w:t>
      </w:r>
      <w:r>
        <w:rPr>
          <w:rFonts w:hint="eastAsia" w:ascii="宋体" w:hAnsi="宋体" w:cs="宋体"/>
          <w:color w:val="auto"/>
          <w:highlight w:val="none"/>
          <w:u w:val="single"/>
        </w:rPr>
        <w:t xml:space="preserve">（单位名称）</w:t>
      </w:r>
      <w:r>
        <w:rPr>
          <w:rFonts w:hint="eastAsia" w:ascii="宋体" w:hAnsi="宋体" w:cs="宋体"/>
          <w:color w:val="auto"/>
          <w:highlight w:val="none"/>
        </w:rPr>
        <w:t xml:space="preserve">的</w:t>
      </w:r>
      <w:r>
        <w:rPr>
          <w:rFonts w:hint="eastAsia" w:ascii="宋体" w:hAnsi="宋体" w:cs="宋体"/>
          <w:color w:val="auto"/>
          <w:highlight w:val="none"/>
          <w:u w:val="single"/>
        </w:rPr>
        <w:t xml:space="preserve">（项目名称）</w:t>
      </w:r>
      <w:r>
        <w:rPr>
          <w:rFonts w:hint="eastAsia" w:ascii="宋体" w:hAnsi="宋体" w:cs="宋体"/>
          <w:color w:val="auto"/>
          <w:highlight w:val="none"/>
        </w:rPr>
        <w:t xml:space="preserve">采购活动，提供的货物全部由符合政策要求的中小企业制造。相关企业（含联合体中的中小企业、签订分包意向协议的中小企业）的具体情况如下：</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 </w:t>
      </w:r>
      <w:r>
        <w:rPr>
          <w:rFonts w:hint="eastAsia" w:ascii="宋体" w:hAnsi="宋体" w:cs="宋体"/>
          <w:color w:val="auto"/>
          <w:highlight w:val="none"/>
          <w:u w:val="single"/>
        </w:rPr>
        <w:t xml:space="preserve">（标的名称） </w:t>
      </w:r>
      <w:r>
        <w:rPr>
          <w:rFonts w:hint="eastAsia" w:ascii="宋体" w:hAnsi="宋体" w:cs="宋体"/>
          <w:color w:val="auto"/>
          <w:highlight w:val="none"/>
        </w:rPr>
        <w:t xml:space="preserve">，属于</w:t>
      </w:r>
      <w:r>
        <w:rPr>
          <w:rFonts w:hint="eastAsia" w:ascii="宋体" w:hAnsi="宋体" w:cs="宋体"/>
          <w:b/>
          <w:color w:val="auto"/>
          <w:highlight w:val="none"/>
          <w:u w:val="single"/>
        </w:rPr>
        <w:t xml:space="preserve">工业</w:t>
      </w:r>
      <w:r>
        <w:rPr>
          <w:rFonts w:hint="eastAsia" w:ascii="宋体" w:hAnsi="宋体" w:cs="宋体"/>
          <w:color w:val="auto"/>
          <w:highlight w:val="none"/>
          <w:u w:val="single"/>
        </w:rPr>
        <w:t xml:space="preserve">行业</w:t>
      </w:r>
      <w:r>
        <w:rPr>
          <w:rFonts w:hint="eastAsia" w:ascii="宋体" w:hAnsi="宋体" w:cs="宋体"/>
          <w:color w:val="auto"/>
          <w:highlight w:val="none"/>
        </w:rPr>
        <w:t xml:space="preserve">；制造商为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人，营业收入为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hint="eastAsia" w:ascii="宋体" w:hAnsi="宋体" w:cs="宋体"/>
          <w:color w:val="auto"/>
          <w:spacing w:val="-1"/>
          <w:highlight w:val="none"/>
          <w:vertAlign w:val="superscript"/>
        </w:rPr>
        <w:t xml:space="preserve">1</w:t>
      </w:r>
      <w:r>
        <w:rPr>
          <w:rFonts w:hint="eastAsia" w:ascii="宋体" w:hAnsi="宋体" w:cs="宋体"/>
          <w:color w:val="auto"/>
          <w:spacing w:val="-1"/>
          <w:highlight w:val="none"/>
          <w:vertAlign w:val="superscript"/>
        </w:rPr>
        <w:fldChar w:fldCharType="end"/>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（中型企业、小型企业、微型企业）；</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rPr>
        <w:t xml:space="preserve">2. </w:t>
      </w:r>
      <w:r>
        <w:rPr>
          <w:rFonts w:hint="eastAsia" w:ascii="宋体" w:hAnsi="宋体" w:cs="宋体"/>
          <w:color w:val="auto"/>
          <w:highlight w:val="none"/>
          <w:u w:val="single"/>
        </w:rPr>
        <w:t xml:space="preserve">（标的名称） </w:t>
      </w:r>
      <w:r>
        <w:rPr>
          <w:rFonts w:hint="eastAsia" w:ascii="宋体" w:hAnsi="宋体" w:cs="宋体"/>
          <w:color w:val="auto"/>
          <w:highlight w:val="none"/>
        </w:rPr>
        <w:t xml:space="preserve">，属于</w:t>
      </w:r>
      <w:r>
        <w:rPr>
          <w:rFonts w:hint="eastAsia" w:ascii="宋体" w:hAnsi="宋体" w:cs="宋体"/>
          <w:b/>
          <w:color w:val="auto"/>
          <w:highlight w:val="none"/>
          <w:u w:val="single"/>
        </w:rPr>
        <w:t xml:space="preserve">  </w:t>
      </w:r>
      <w:r>
        <w:rPr>
          <w:rFonts w:hint="eastAsia" w:ascii="宋体" w:hAnsi="宋体" w:cs="宋体"/>
          <w:color w:val="auto"/>
          <w:highlight w:val="none"/>
          <w:u w:val="single"/>
        </w:rPr>
        <w:t xml:space="preserve">行业</w:t>
      </w:r>
      <w:r>
        <w:rPr>
          <w:rFonts w:hint="eastAsia" w:ascii="宋体" w:hAnsi="宋体" w:cs="宋体"/>
          <w:color w:val="auto"/>
          <w:highlight w:val="none"/>
        </w:rPr>
        <w:t xml:space="preserve">；制造商为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人，营业收入为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万元，属于</w:t>
      </w:r>
      <w:r>
        <w:rPr>
          <w:rFonts w:hint="eastAsia" w:ascii="宋体" w:hAnsi="宋体" w:cs="宋体"/>
          <w:color w:val="auto"/>
          <w:highlight w:val="none"/>
          <w:u w:val="single"/>
        </w:rPr>
        <w:t xml:space="preserve">（中型企业、小型企业、微型企业）；</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本企业对上述声明内容的真实性负责。如有虚假，将依法承担相应责任。</w:t>
      </w:r>
      <w:r/>
    </w:p>
    <w:p>
      <w:pPr>
        <w:ind w:firstLine="420"/>
        <w:jc w:val="left"/>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hint="eastAsia" w:ascii="宋体" w:hAnsi="宋体" w:cs="宋体"/>
          <w:color w:val="auto"/>
          <w:highlight w:val="none"/>
        </w:rPr>
        <w:t xml:space="preserve">注：1、供应商如不提供此声明函，价格将不做相应扣除。</w:t>
      </w:r>
      <w:r/>
    </w:p>
    <w:p>
      <w:pPr>
        <w:spacing w:line="360" w:lineRule="auto"/>
        <w:rPr>
          <w:rFonts w:ascii="宋体" w:hAnsi="宋体" w:cs="宋体"/>
          <w:color w:val="auto"/>
          <w:highlight w:val="none"/>
        </w:rPr>
      </w:pPr>
      <w:r>
        <w:rPr>
          <w:rFonts w:hint="eastAsia" w:ascii="宋体" w:hAnsi="宋体" w:cs="宋体"/>
          <w:color w:val="auto"/>
          <w:highlight w:val="none"/>
        </w:rPr>
        <w:t xml:space="preserve">    2、企业声明函请完整填写，中标后将公示。</w:t>
      </w:r>
      <w:r/>
    </w:p>
    <w:p>
      <w:pPr>
        <w:ind w:firstLine="420"/>
        <w:jc w:val="left"/>
        <w:spacing w:line="360" w:lineRule="auto"/>
        <w:rPr>
          <w:rFonts w:ascii="宋体" w:hAnsi="宋体" w:cs="宋体"/>
          <w:color w:val="auto"/>
          <w:highlight w:val="none"/>
        </w:rPr>
      </w:pPr>
      <w:r>
        <w:rPr>
          <w:rFonts w:ascii="宋体" w:hAnsi="宋体" w:cs="宋体"/>
          <w:color w:val="auto"/>
          <w:highlight w:val="none"/>
        </w:rPr>
      </w:r>
      <w:r/>
    </w:p>
    <w:p>
      <w:pPr>
        <w:ind w:firstLine="420"/>
        <w:jc w:val="left"/>
        <w:spacing w:line="360" w:lineRule="auto"/>
        <w:rPr>
          <w:rFonts w:ascii="宋体" w:hAnsi="宋体" w:cs="宋体"/>
          <w:color w:val="auto"/>
          <w:highlight w:val="none"/>
        </w:rPr>
      </w:pPr>
      <w:r>
        <w:rPr>
          <w:rFonts w:ascii="宋体" w:hAnsi="宋体" w:cs="宋体"/>
          <w:color w:val="auto"/>
          <w:highlight w:val="none"/>
        </w:rPr>
      </w:r>
      <w:r/>
    </w:p>
    <w:p>
      <w:pPr>
        <w:jc w:val="left"/>
        <w:spacing w:line="360" w:lineRule="auto"/>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cs="宋体"/>
          <w:color w:val="auto"/>
          <w:highlight w:val="none"/>
        </w:rPr>
      </w:pPr>
      <w:r>
        <w:rPr>
          <w:rFonts w:hint="eastAsia" w:ascii="宋体" w:hAnsi="宋体" w:cs="宋体"/>
          <w:color w:val="auto"/>
          <w:highlight w:val="none"/>
        </w:rPr>
        <w:t xml:space="preserve">                                       企业名称（盖章）：</w:t>
      </w:r>
      <w:r/>
    </w:p>
    <w:p>
      <w:pPr>
        <w:jc w:val="center"/>
        <w:spacing w:line="360" w:lineRule="auto"/>
        <w:rPr>
          <w:rFonts w:ascii="宋体" w:hAnsi="宋体" w:cs="宋体"/>
          <w:color w:val="auto"/>
          <w:highlight w:val="none"/>
        </w:rPr>
      </w:pPr>
      <w:r>
        <w:rPr>
          <w:rFonts w:hint="eastAsia" w:ascii="宋体" w:hAnsi="宋体" w:cs="宋体"/>
          <w:color w:val="auto"/>
          <w:highlight w:val="none"/>
        </w:rPr>
        <w:t xml:space="preserve">                             日 期：</w:t>
      </w:r>
      <w:r/>
    </w:p>
    <w:p>
      <w:pPr>
        <w:jc w:val="left"/>
        <w:rPr>
          <w:rFonts w:ascii="宋体" w:hAnsi="宋体" w:cs="宋体"/>
          <w:color w:val="auto"/>
          <w:highlight w:val="none"/>
        </w:rPr>
      </w:pPr>
      <w:r>
        <w:rPr>
          <w:rFonts w:ascii="宋体" w:hAnsi="宋体" w:cs="宋体"/>
          <w:color w:val="auto"/>
          <w:highlight w:val="none"/>
        </w:rPr>
      </w:r>
      <w:r/>
    </w:p>
    <w:p>
      <w:pPr>
        <w:jc w:val="left"/>
        <w:rPr>
          <w:rFonts w:ascii="宋体" w:hAnsi="宋体" w:cs="宋体"/>
          <w:color w:val="auto"/>
          <w:highlight w:val="none"/>
        </w:rPr>
      </w:pPr>
      <w:r>
        <w:rPr>
          <w:rFonts w:ascii="宋体" w:hAnsi="宋体" w:cs="宋体"/>
          <w:color w:val="auto"/>
          <w:highlight w:val="none"/>
        </w:rPr>
      </w:r>
      <w:r/>
    </w:p>
    <w:p>
      <w:pPr>
        <w:jc w:val="left"/>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hint="eastAsia" w:ascii="宋体" w:hAnsi="宋体" w:cs="宋体"/>
          <w:color w:val="auto"/>
          <w:highlight w:val="none"/>
        </w:rPr>
        <w:t xml:space="preserve">1从业人员、营业收入、资产总额填报上一年度数据，无上一年度数据的新成立企业可不填报。</w:t>
      </w:r>
      <w:r/>
    </w:p>
    <w:p>
      <w:pPr>
        <w:jc w:val="left"/>
        <w:rPr>
          <w:rFonts w:ascii="宋体" w:hAnsi="宋体" w:cs="宋体"/>
          <w:color w:val="auto"/>
          <w:highlight w:val="none"/>
        </w:rPr>
      </w:pPr>
      <w:r>
        <w:rPr>
          <w:rFonts w:ascii="宋体" w:hAnsi="宋体" w:cs="宋体"/>
          <w:color w:val="auto"/>
          <w:highlight w:val="none"/>
        </w:rPr>
      </w:r>
      <w:r/>
    </w:p>
    <w:p>
      <w:pPr>
        <w:jc w:val="left"/>
        <w:rPr>
          <w:rFonts w:ascii="宋体" w:hAnsi="宋体" w:cs="宋体"/>
          <w:color w:val="auto"/>
          <w:highlight w:val="none"/>
        </w:rPr>
      </w:pPr>
      <w:r>
        <w:rPr>
          <w:rFonts w:ascii="宋体" w:hAnsi="宋体" w:cs="宋体"/>
          <w:color w:val="auto"/>
          <w:highlight w:val="none"/>
        </w:rPr>
      </w:r>
      <w:r/>
    </w:p>
    <w:p>
      <w:pPr>
        <w:jc w:val="center"/>
        <w:spacing w:before="312" w:after="312" w:line="360" w:lineRule="auto"/>
        <w:rPr>
          <w:color w:val="auto"/>
          <w:highlight w:val="none"/>
        </w:rPr>
      </w:pPr>
      <w:r>
        <w:rPr>
          <w:color w:val="auto"/>
          <w:highlight w:val="none"/>
        </w:rPr>
        <w:t xml:space="preserve"> </w:t>
      </w:r>
      <w:r/>
    </w:p>
    <w:p>
      <w:pPr>
        <w:rPr>
          <w:rFonts w:ascii="宋体" w:hAnsi="宋体"/>
          <w:b/>
          <w:bCs/>
          <w:color w:val="auto"/>
          <w:highlight w:val="none"/>
        </w:rPr>
      </w:pPr>
      <w:r>
        <w:rPr>
          <w:rFonts w:hint="eastAsia" w:ascii="宋体" w:hAnsi="宋体"/>
          <w:b/>
          <w:bCs/>
          <w:color w:val="auto"/>
          <w:highlight w:val="none"/>
        </w:rPr>
        <w:br w:type="page" w:clear="all"/>
      </w:r>
      <w:r/>
    </w:p>
    <w:p>
      <w:pPr>
        <w:jc w:val="center"/>
        <w:rPr>
          <w:color w:val="auto"/>
          <w:highlight w:val="none"/>
        </w:rPr>
      </w:pPr>
      <w:r>
        <w:rPr>
          <w:rFonts w:hint="eastAsia" w:ascii="宋体" w:hAnsi="宋体"/>
          <w:b/>
          <w:bCs/>
          <w:color w:val="auto"/>
          <w:highlight w:val="none"/>
        </w:rPr>
        <w:t xml:space="preserve">残疾人福利性单位声明函</w:t>
      </w:r>
      <w:r/>
    </w:p>
    <w:p>
      <w:pPr>
        <w:ind w:firstLine="624"/>
        <w:spacing w:line="588"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本单位在本次政府采购活动中提供的残疾人福利单位产品报价合计为人民币（大写）</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圆整（￥：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588" w:lineRule="exact"/>
        <w:rPr>
          <w:rFonts w:ascii="宋体" w:hAnsi="宋体"/>
          <w:color w:val="auto"/>
          <w:szCs w:val="21"/>
          <w:highlight w:val="none"/>
        </w:rPr>
      </w:pPr>
      <w:r>
        <w:rPr>
          <w:rFonts w:ascii="宋体" w:hAnsi="宋体"/>
          <w:color w:val="auto"/>
          <w:szCs w:val="21"/>
          <w:highlight w:val="none"/>
        </w:rPr>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ascii="仿宋_GB2312" w:eastAsia="仿宋_GB2312"/>
          <w:color w:val="auto"/>
          <w:spacing w:val="6"/>
          <w:szCs w:val="21"/>
          <w:highlight w:val="none"/>
        </w:rPr>
      </w:pPr>
      <w:r>
        <w:rPr>
          <w:rFonts w:ascii="仿宋_GB2312" w:eastAsia="仿宋_GB2312"/>
          <w:color w:val="auto"/>
          <w:spacing w:val="6"/>
          <w:szCs w:val="21"/>
          <w:highlight w:val="none"/>
        </w:rPr>
      </w:r>
      <w:r/>
    </w:p>
    <w:p>
      <w:pPr>
        <w:ind w:right="1560" w:firstLine="444"/>
        <w:jc w:val="center"/>
        <w:spacing w:line="588" w:lineRule="exact"/>
        <w:tabs>
          <w:tab w:val="left" w:pos="4860" w:leader="none"/>
        </w:tabs>
        <w:rPr>
          <w:rFonts w:ascii="宋体" w:hAnsi="宋体"/>
          <w:color w:val="auto"/>
          <w:szCs w:val="21"/>
          <w:highlight w:val="none"/>
        </w:rPr>
      </w:pPr>
      <w:r>
        <w:rPr>
          <w:rFonts w:hint="eastAsia" w:ascii="仿宋_GB2312" w:eastAsia="仿宋_GB2312"/>
          <w:color w:val="auto"/>
          <w:spacing w:val="6"/>
          <w:szCs w:val="21"/>
          <w:highlight w:val="none"/>
        </w:rPr>
        <w:t xml:space="preserve">             </w:t>
      </w:r>
      <w:r>
        <w:rPr>
          <w:rFonts w:hint="eastAsia" w:ascii="宋体" w:hAnsi="宋体"/>
          <w:color w:val="auto"/>
          <w:szCs w:val="21"/>
          <w:highlight w:val="none"/>
        </w:rPr>
        <w:t xml:space="preserve">               供应商全称（盖章）：</w:t>
      </w:r>
      <w:r/>
    </w:p>
    <w:p>
      <w:pPr>
        <w:ind w:right="1560" w:firstLine="420"/>
        <w:jc w:val="center"/>
        <w:spacing w:line="588" w:lineRule="exact"/>
        <w:tabs>
          <w:tab w:val="left" w:pos="4860" w:leader="none"/>
        </w:tabs>
        <w:rPr>
          <w:rFonts w:ascii="宋体" w:hAnsi="宋体"/>
          <w:color w:val="auto"/>
          <w:szCs w:val="21"/>
          <w:highlight w:val="none"/>
        </w:rPr>
      </w:pPr>
      <w:r>
        <w:rPr>
          <w:rFonts w:hint="eastAsia" w:ascii="宋体" w:hAnsi="宋体"/>
          <w:color w:val="auto"/>
          <w:szCs w:val="21"/>
          <w:highlight w:val="none"/>
        </w:rPr>
        <w:t xml:space="preserve">                              日  期：</w:t>
      </w:r>
      <w:r/>
    </w:p>
    <w:p>
      <w:pPr>
        <w:pStyle w:val="835"/>
        <w:numPr>
          <w:ilvl w:val="0"/>
          <w:numId w:val="0"/>
        </w:numPr>
        <w:jc w:val="center"/>
        <w:spacing w:line="360" w:lineRule="auto"/>
        <w:widowControl/>
        <w:rPr>
          <w:rFonts w:ascii="宋体" w:hAnsi="宋体" w:cs="微软雅黑"/>
          <w:bCs w:val="0"/>
          <w:color w:val="auto"/>
          <w:sz w:val="21"/>
          <w:szCs w:val="21"/>
          <w:highlight w:val="none"/>
        </w:rPr>
        <w:sectPr>
          <w:headerReference w:type="default" r:id="rId11"/>
          <w:footerReference w:type="default" r:id="rId14"/>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微软雅黑"/>
          <w:bCs w:val="0"/>
          <w:color w:val="auto"/>
          <w:sz w:val="21"/>
          <w:szCs w:val="21"/>
          <w:highlight w:val="none"/>
        </w:rPr>
      </w:r>
      <w:r/>
    </w:p>
    <w:p>
      <w:pPr>
        <w:pStyle w:val="835"/>
        <w:numPr>
          <w:ilvl w:val="0"/>
          <w:numId w:val="0"/>
        </w:numPr>
        <w:jc w:val="center"/>
        <w:spacing w:line="360" w:lineRule="auto"/>
        <w:widowControl/>
        <w:rPr>
          <w:rFonts w:ascii="宋体" w:hAnsi="宋体"/>
          <w:color w:val="auto"/>
          <w:sz w:val="21"/>
          <w:szCs w:val="21"/>
          <w:highlight w:val="none"/>
        </w:rPr>
      </w:pPr>
      <w:r>
        <w:rPr>
          <w:rFonts w:hint="eastAsia" w:ascii="宋体" w:hAnsi="宋体" w:cs="微软雅黑"/>
          <w:bCs w:val="0"/>
          <w:color w:val="auto"/>
          <w:sz w:val="21"/>
          <w:szCs w:val="21"/>
          <w:highlight w:val="none"/>
        </w:rPr>
        <w:t xml:space="preserve">中小微企业划型标准</w:t>
      </w:r>
      <w:r/>
    </w:p>
    <w:p>
      <w:pPr>
        <w:pStyle w:val="875"/>
        <w:ind w:firstLine="420"/>
        <w:spacing w:before="300" w:after="452"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中小微企业划型标准如下：</w:t>
      </w:r>
      <w:r/>
    </w:p>
    <w:tbl>
      <w:tblPr>
        <w:tblStyle w:val="844"/>
        <w:tblW w:w="9130" w:type="dxa"/>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58"/>
        <w:gridCol w:w="2146"/>
        <w:gridCol w:w="791"/>
        <w:gridCol w:w="1936"/>
        <w:gridCol w:w="1718"/>
        <w:gridCol w:w="1081"/>
      </w:tblGrid>
      <w:tr>
        <w:trPr>
          <w:jc w:val="cente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13"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116"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761"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906"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88"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036"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微型</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116"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1"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6"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8"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6"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116"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1"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6"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8"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6"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widowControl/>
              <w:rPr>
                <w:rFonts w:ascii="宋体" w:hAnsi="宋体"/>
                <w:b/>
                <w:bCs/>
                <w:color w:val="auto"/>
                <w:szCs w:val="21"/>
                <w:highlight w:val="none"/>
              </w:rPr>
            </w:pPr>
            <w:r>
              <w:rPr>
                <w:rFonts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116"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1"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6"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8"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6"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116"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1"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6"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8"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6"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widowControl/>
              <w:rPr>
                <w:rFonts w:ascii="宋体" w:hAnsi="宋体"/>
                <w:b/>
                <w:bCs/>
                <w:color w:val="auto"/>
                <w:szCs w:val="21"/>
                <w:highlight w:val="none"/>
              </w:rPr>
            </w:pPr>
            <w:r>
              <w:rPr>
                <w:rFonts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116"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1"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6"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8"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6"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Z＜300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116"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1"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6"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8"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6"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X＜5</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widowControl/>
              <w:rPr>
                <w:rFonts w:ascii="宋体" w:hAnsi="宋体"/>
                <w:b/>
                <w:bCs/>
                <w:color w:val="auto"/>
                <w:szCs w:val="21"/>
                <w:highlight w:val="none"/>
              </w:rPr>
            </w:pPr>
            <w:r>
              <w:rPr>
                <w:rFonts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116"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1"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6"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8"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6"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Y＜1000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116"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1"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6"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8"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6"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widowControl/>
              <w:rPr>
                <w:rFonts w:ascii="宋体" w:hAnsi="宋体"/>
                <w:b/>
                <w:bCs/>
                <w:color w:val="auto"/>
                <w:szCs w:val="21"/>
                <w:highlight w:val="none"/>
              </w:rPr>
            </w:pPr>
            <w:r>
              <w:rPr>
                <w:rFonts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116"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1"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6"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8"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6"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116"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1"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6"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8"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6"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widowControl/>
              <w:rPr>
                <w:rFonts w:ascii="宋体" w:hAnsi="宋体"/>
                <w:b/>
                <w:bCs/>
                <w:color w:val="auto"/>
                <w:szCs w:val="21"/>
                <w:highlight w:val="none"/>
              </w:rPr>
            </w:pPr>
            <w:r>
              <w:rPr>
                <w:rFonts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116"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1"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6"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8"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6"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Y＜200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116"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1"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6"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8"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6"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widowControl/>
              <w:rPr>
                <w:rFonts w:ascii="宋体" w:hAnsi="宋体"/>
                <w:b/>
                <w:bCs/>
                <w:color w:val="auto"/>
                <w:szCs w:val="21"/>
                <w:highlight w:val="none"/>
              </w:rPr>
            </w:pPr>
            <w:r>
              <w:rPr>
                <w:rFonts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116"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1"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6"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8"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6"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116"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1"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6"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8"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6"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widowControl/>
              <w:rPr>
                <w:rFonts w:ascii="宋体" w:hAnsi="宋体"/>
                <w:b/>
                <w:bCs/>
                <w:color w:val="auto"/>
                <w:szCs w:val="21"/>
                <w:highlight w:val="none"/>
              </w:rPr>
            </w:pPr>
            <w:r>
              <w:rPr>
                <w:rFonts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116"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1"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6"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8"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6"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116"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1"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6"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8"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6"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widowControl/>
              <w:rPr>
                <w:rFonts w:ascii="宋体" w:hAnsi="宋体"/>
                <w:b/>
                <w:bCs/>
                <w:color w:val="auto"/>
                <w:szCs w:val="21"/>
                <w:highlight w:val="none"/>
              </w:rPr>
            </w:pPr>
            <w:r>
              <w:rPr>
                <w:rFonts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116"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1"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6"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8"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6"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116"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1"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6"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8"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6"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widowControl/>
              <w:rPr>
                <w:rFonts w:ascii="宋体" w:hAnsi="宋体"/>
                <w:b/>
                <w:bCs/>
                <w:color w:val="auto"/>
                <w:szCs w:val="21"/>
                <w:highlight w:val="none"/>
              </w:rPr>
            </w:pPr>
            <w:r>
              <w:rPr>
                <w:rFonts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116"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1"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6"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8"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6"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116"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1"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6"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8"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6"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widowControl/>
              <w:rPr>
                <w:rFonts w:ascii="宋体" w:hAnsi="宋体"/>
                <w:b/>
                <w:bCs/>
                <w:color w:val="auto"/>
                <w:szCs w:val="21"/>
                <w:highlight w:val="none"/>
              </w:rPr>
            </w:pPr>
            <w:r>
              <w:rPr>
                <w:rFonts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116"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1"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6"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8"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6"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116"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1"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6"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8"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6"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widowControl/>
              <w:rPr>
                <w:rFonts w:ascii="宋体" w:hAnsi="宋体"/>
                <w:b/>
                <w:bCs/>
                <w:color w:val="auto"/>
                <w:szCs w:val="21"/>
                <w:highlight w:val="none"/>
              </w:rPr>
            </w:pPr>
            <w:r>
              <w:rPr>
                <w:rFonts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116"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1"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6"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8"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6"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116"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1"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6"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8"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6"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widowControl/>
              <w:rPr>
                <w:rFonts w:ascii="宋体" w:hAnsi="宋体"/>
                <w:b/>
                <w:bCs/>
                <w:color w:val="auto"/>
                <w:szCs w:val="21"/>
                <w:highlight w:val="none"/>
              </w:rPr>
            </w:pPr>
            <w:r>
              <w:rPr>
                <w:rFonts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116"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1"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6"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8"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6"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Y＜2000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116"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1"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6"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8"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6"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widowControl/>
              <w:rPr>
                <w:rFonts w:ascii="宋体" w:hAnsi="宋体"/>
                <w:b/>
                <w:bCs/>
                <w:color w:val="auto"/>
                <w:szCs w:val="21"/>
                <w:highlight w:val="none"/>
              </w:rPr>
            </w:pPr>
            <w:r>
              <w:rPr>
                <w:rFonts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116"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1"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6"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8"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6"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Y＜500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116"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1"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6"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8"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6"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widowControl/>
              <w:rPr>
                <w:rFonts w:ascii="宋体" w:hAnsi="宋体"/>
                <w:b/>
                <w:bCs/>
                <w:color w:val="auto"/>
                <w:szCs w:val="21"/>
                <w:highlight w:val="none"/>
              </w:rPr>
            </w:pPr>
            <w:r>
              <w:rPr>
                <w:rFonts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116"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1"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6"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8"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6"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116"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1"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6"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8"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6" w:type="dxa"/>
            <w:vAlign w:val="center"/>
            <w:textDirection w:val="lrTb"/>
            <w:noWrap w:val="false"/>
          </w:tcPr>
          <w:p>
            <w:pPr>
              <w:pStyle w:val="875"/>
              <w:jc w:val="center"/>
              <w:spacing w:line="360" w:lineRule="auto"/>
              <w:widowControl/>
              <w:rPr>
                <w:rFonts w:ascii="宋体" w:hAnsi="宋体"/>
                <w:b/>
                <w:bCs/>
                <w:color w:val="auto"/>
                <w:sz w:val="21"/>
                <w:szCs w:val="21"/>
                <w:highlight w:val="none"/>
              </w:rPr>
            </w:pPr>
            <w:r>
              <w:rPr>
                <w:rStyle w:val="881"/>
                <w:rFonts w:hint="eastAsia" w:ascii="宋体" w:hAnsi="宋体" w:cs="仿宋"/>
                <w:color w:val="auto"/>
                <w:sz w:val="21"/>
                <w:szCs w:val="21"/>
                <w:highlight w:val="none"/>
              </w:rPr>
              <w:t xml:space="preserve">X＜10</w:t>
            </w:r>
            <w:r/>
          </w:p>
        </w:tc>
      </w:tr>
    </w:tbl>
    <w:p>
      <w:pPr>
        <w:pStyle w:val="875"/>
        <w:ind w:firstLine="462"/>
        <w:spacing w:before="300" w:after="452" w:line="360" w:lineRule="auto"/>
        <w:widowControl/>
        <w:rPr>
          <w:rStyle w:val="881"/>
          <w:rFonts w:ascii="宋体" w:hAnsi="宋体" w:cs="仿宋"/>
          <w:color w:val="auto"/>
          <w:sz w:val="21"/>
          <w:szCs w:val="21"/>
          <w:highlight w:val="none"/>
        </w:rPr>
      </w:pPr>
      <w:r>
        <w:rPr>
          <w:rStyle w:val="881"/>
          <w:rFonts w:hint="eastAsia" w:ascii="宋体" w:hAnsi="宋体"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pStyle w:val="836"/>
        <w:numPr>
          <w:ilvl w:val="0"/>
          <w:numId w:val="0"/>
        </w:numPr>
        <w:jc w:val="center"/>
        <w:rPr>
          <w:rFonts w:ascii="宋体" w:hAnsi="宋体"/>
          <w:b w:val="0"/>
          <w:color w:val="auto"/>
          <w:sz w:val="32"/>
          <w:highlight w:val="none"/>
        </w:rPr>
      </w:pPr>
      <w:r>
        <w:rPr>
          <w:rStyle w:val="881"/>
          <w:rFonts w:cs="仿宋"/>
          <w:b w:val="0"/>
          <w:bCs w:val="0"/>
          <w:color w:val="auto"/>
          <w:sz w:val="21"/>
          <w:szCs w:val="21"/>
          <w:highlight w:val="none"/>
        </w:rPr>
        <w:br w:type="page" w:clear="all"/>
      </w:r>
      <w:r>
        <w:rPr>
          <w:rFonts w:hint="eastAsia" w:ascii="宋体" w:hAnsi="宋体" w:eastAsia="宋体" w:cs="Arial"/>
          <w:color w:val="auto"/>
          <w:sz w:val="32"/>
          <w:szCs w:val="44"/>
          <w:highlight w:val="none"/>
        </w:rPr>
        <w:t xml:space="preserve">四、开标一览表</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项目名称：</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项目编号：</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                   </w:t>
      </w:r>
      <w:r/>
    </w:p>
    <w:tbl>
      <w:tblPr>
        <w:tblStyle w:val="844"/>
        <w:tblW w:w="86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27"/>
        <w:gridCol w:w="6272"/>
      </w:tblGrid>
      <w:tr>
        <w:trPr>
          <w:cantSplit/>
          <w:trHeight w:val="1460"/>
        </w:trPr>
        <w:tc>
          <w:tcPr>
            <w:tcW w:w="2427" w:type="dxa"/>
            <w:vAlign w:val="center"/>
            <w:textDirection w:val="lrTb"/>
            <w:noWrap w:val="false"/>
          </w:tcPr>
          <w:p>
            <w:pPr>
              <w:pStyle w:val="851"/>
              <w:spacing w:line="30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投标服务或产品名称</w:t>
            </w:r>
            <w:r/>
          </w:p>
        </w:tc>
        <w:tc>
          <w:tcPr>
            <w:tcW w:w="6272" w:type="dxa"/>
            <w:vAlign w:val="center"/>
            <w:textDirection w:val="lrTb"/>
            <w:noWrap w:val="false"/>
          </w:tcPr>
          <w:p>
            <w:pPr>
              <w:rPr>
                <w:rFonts w:ascii="宋体" w:hAnsi="宋体"/>
                <w:color w:val="auto"/>
                <w:szCs w:val="21"/>
                <w:highlight w:val="none"/>
              </w:rPr>
            </w:pPr>
            <w:r>
              <w:rPr>
                <w:rFonts w:hint="eastAsia" w:ascii="宋体" w:hAnsi="宋体" w:cs="宋体"/>
                <w:color w:val="auto"/>
                <w:szCs w:val="21"/>
                <w:highlight w:val="none"/>
              </w:rPr>
              <w:t xml:space="preserve">                      </w:t>
            </w:r>
            <w:r>
              <w:rPr>
                <w:rFonts w:hint="eastAsia" w:ascii="宋体" w:hAnsi="宋体"/>
                <w:color w:val="auto"/>
                <w:szCs w:val="21"/>
                <w:highlight w:val="none"/>
              </w:rPr>
              <w:t xml:space="preserve">投标总报价</w:t>
            </w:r>
            <w:r/>
          </w:p>
        </w:tc>
      </w:tr>
      <w:tr>
        <w:trPr>
          <w:cantSplit/>
          <w:trHeight w:val="2264"/>
        </w:trPr>
        <w:tc>
          <w:tcPr>
            <w:tcW w:w="2427" w:type="dxa"/>
            <w:vAlign w:val="center"/>
            <w:textDirection w:val="lrTb"/>
            <w:noWrap w:val="false"/>
          </w:tcPr>
          <w:p>
            <w:pPr>
              <w:pStyle w:val="851"/>
              <w:spacing w:line="30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272" w:type="dxa"/>
            <w:vAlign w:val="center"/>
            <w:textDirection w:val="lrTb"/>
            <w:noWrap w:val="false"/>
          </w:tcPr>
          <w:p>
            <w:pPr>
              <w:pStyle w:val="1155"/>
              <w:ind w:firstLine="420"/>
              <w:spacing w:before="0" w:after="0" w:line="5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大写：                       </w:t>
            </w:r>
            <w:r/>
          </w:p>
          <w:p>
            <w:pPr>
              <w:pStyle w:val="1155"/>
              <w:ind w:firstLine="420"/>
              <w:spacing w:before="0" w:after="0" w:line="5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小写：                            （人民币：元   ）</w:t>
            </w:r>
            <w:r/>
          </w:p>
        </w:tc>
      </w:tr>
    </w:tbl>
    <w:p>
      <w:pPr>
        <w:rPr>
          <w:rFonts w:ascii="宋体" w:hAnsi="宋体"/>
          <w:color w:val="auto"/>
          <w:szCs w:val="21"/>
          <w:highlight w:val="none"/>
        </w:rPr>
      </w:pPr>
      <w:r>
        <w:rPr>
          <w:rFonts w:ascii="宋体" w:hAnsi="宋体"/>
          <w:color w:val="auto"/>
          <w:szCs w:val="21"/>
          <w:highlight w:val="none"/>
        </w:rPr>
      </w:r>
      <w:r/>
    </w:p>
    <w:p>
      <w:pPr>
        <w:ind w:firstLine="480"/>
        <w:rPr>
          <w:rFonts w:ascii="宋体" w:hAnsi="宋体"/>
          <w:color w:val="auto"/>
          <w:szCs w:val="21"/>
          <w:highlight w:val="none"/>
        </w:rPr>
      </w:pPr>
      <w:r>
        <w:rPr>
          <w:rFonts w:hint="eastAsia" w:ascii="宋体" w:hAnsi="宋体"/>
          <w:color w:val="auto"/>
          <w:szCs w:val="21"/>
          <w:highlight w:val="none"/>
        </w:rPr>
        <w:t xml:space="preserve">                                              日期：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pStyle w:val="835"/>
        <w:numPr>
          <w:ilvl w:val="0"/>
          <w:numId w:val="0"/>
        </w:numPr>
        <w:ind w:left="2100"/>
        <w:jc w:val="both"/>
        <w:rPr>
          <w:rFonts w:ascii="宋体" w:hAnsi="宋体"/>
          <w:bCs w:val="0"/>
          <w:color w:val="auto"/>
          <w:sz w:val="32"/>
          <w:szCs w:val="32"/>
          <w:highlight w:val="none"/>
        </w:rPr>
      </w:pPr>
      <w:r>
        <w:rPr>
          <w:rFonts w:ascii="宋体" w:hAnsi="宋体"/>
          <w:bCs w:val="0"/>
          <w:color w:val="auto"/>
          <w:sz w:val="32"/>
          <w:szCs w:val="32"/>
          <w:highlight w:val="none"/>
        </w:rPr>
      </w:r>
      <w:r/>
    </w:p>
    <w:p>
      <w:pPr>
        <w:pStyle w:val="845"/>
        <w:ind w:firstLine="640"/>
        <w:rPr>
          <w:rFonts w:ascii="宋体" w:hAnsi="宋体"/>
          <w:color w:val="auto"/>
          <w:sz w:val="32"/>
          <w:szCs w:val="32"/>
          <w:highlight w:val="none"/>
        </w:rPr>
      </w:pPr>
      <w:r>
        <w:rPr>
          <w:rFonts w:ascii="宋体" w:hAnsi="宋体"/>
          <w:color w:val="auto"/>
          <w:sz w:val="32"/>
          <w:szCs w:val="32"/>
          <w:highlight w:val="none"/>
        </w:rPr>
      </w:r>
      <w:r/>
    </w:p>
    <w:p>
      <w:pPr>
        <w:jc w:val="center"/>
        <w:spacing w:line="360" w:lineRule="auto"/>
        <w:rPr>
          <w:rFonts w:ascii="宋体" w:hAnsi="宋体"/>
          <w:color w:val="auto"/>
          <w:sz w:val="32"/>
          <w:highlight w:val="none"/>
        </w:rPr>
      </w:pPr>
      <w:r>
        <w:rPr>
          <w:rFonts w:hint="eastAsia" w:ascii="宋体" w:hAnsi="宋体"/>
          <w:color w:val="auto"/>
          <w:sz w:val="32"/>
          <w:szCs w:val="32"/>
          <w:highlight w:val="none"/>
        </w:rPr>
        <w:br w:type="page" w:clear="all"/>
      </w:r>
      <w:r>
        <w:rPr>
          <w:rFonts w:hint="eastAsia" w:ascii="宋体" w:hAnsi="宋体" w:cs="Arial"/>
          <w:b/>
          <w:bCs/>
          <w:color w:val="auto"/>
          <w:sz w:val="32"/>
          <w:szCs w:val="44"/>
          <w:highlight w:val="none"/>
        </w:rPr>
        <w:t xml:space="preserve">五、投标产品配置及分项报价表</w:t>
      </w:r>
      <w:r/>
    </w:p>
    <w:tbl>
      <w:tblPr>
        <w:tblStyle w:val="844"/>
        <w:tblW w:w="887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70"/>
        <w:gridCol w:w="1383"/>
        <w:gridCol w:w="810"/>
        <w:gridCol w:w="1335"/>
        <w:gridCol w:w="956"/>
        <w:gridCol w:w="1620"/>
      </w:tblGrid>
      <w:tr>
        <w:trPr>
          <w:cantSplit/>
          <w:trHeight w:val="753"/>
        </w:trPr>
        <w:tc>
          <w:tcPr>
            <w:tcW w:w="277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1</w:t>
            </w:r>
            <w:r/>
          </w:p>
        </w:tc>
        <w:tc>
          <w:tcPr>
            <w:tcW w:w="1383"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81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W w:w="1335"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4</w:t>
            </w:r>
            <w:r/>
          </w:p>
        </w:tc>
        <w:tc>
          <w:tcPr>
            <w:tcW w:w="95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5</w:t>
            </w:r>
            <w:r/>
          </w:p>
        </w:tc>
        <w:tc>
          <w:tcPr>
            <w:tcW w:w="162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6</w:t>
            </w:r>
            <w:r/>
          </w:p>
        </w:tc>
      </w:tr>
      <w:tr>
        <w:trPr>
          <w:cantSplit/>
          <w:trHeight w:val="753"/>
        </w:trPr>
        <w:tc>
          <w:tcPr>
            <w:tcW w:w="277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产品名称及规格、型号</w:t>
            </w:r>
            <w:r/>
          </w:p>
        </w:tc>
        <w:tc>
          <w:tcPr>
            <w:tcW w:w="1383"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数量</w:t>
            </w:r>
            <w:r/>
          </w:p>
        </w:tc>
        <w:tc>
          <w:tcPr>
            <w:tcW w:w="81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产地</w:t>
            </w:r>
            <w:r/>
          </w:p>
        </w:tc>
        <w:tc>
          <w:tcPr>
            <w:tcW w:w="1335"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交付期</w:t>
            </w:r>
            <w:r/>
          </w:p>
        </w:tc>
        <w:tc>
          <w:tcPr>
            <w:tcW w:w="95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单价</w:t>
            </w:r>
            <w:r/>
          </w:p>
        </w:tc>
        <w:tc>
          <w:tcPr>
            <w:tcW w:w="162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总价</w:t>
            </w:r>
            <w:r/>
          </w:p>
        </w:tc>
      </w:tr>
      <w:tr>
        <w:trPr>
          <w:cantSplit/>
          <w:trHeight w:val="753"/>
        </w:trPr>
        <w:tc>
          <w:tcPr>
            <w:tcW w:w="277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81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3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956"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62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753"/>
        </w:trPr>
        <w:tc>
          <w:tcPr>
            <w:tcW w:w="277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81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3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956"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62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753"/>
        </w:trPr>
        <w:tc>
          <w:tcPr>
            <w:tcW w:w="277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81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3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956"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62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753"/>
        </w:trPr>
        <w:tc>
          <w:tcPr>
            <w:tcW w:w="277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81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3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956"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62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753"/>
        </w:trPr>
        <w:tc>
          <w:tcPr>
            <w:tcW w:w="277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合计</w:t>
            </w:r>
            <w:r/>
          </w:p>
        </w:tc>
        <w:tc>
          <w:tcPr>
            <w:gridSpan w:val="5"/>
            <w:tcW w:w="6104" w:type="dxa"/>
            <w:textDirection w:val="lrTb"/>
            <w:noWrap w:val="false"/>
          </w:tcPr>
          <w:p>
            <w:pPr>
              <w:spacing w:line="360" w:lineRule="auto"/>
              <w:rPr>
                <w:rFonts w:ascii="宋体" w:hAnsi="宋体"/>
                <w:color w:val="auto"/>
                <w:szCs w:val="21"/>
                <w:highlight w:val="none"/>
              </w:rPr>
            </w:pPr>
            <w:r>
              <w:rPr>
                <w:rFonts w:hint="eastAsia" w:ascii="宋体" w:hAnsi="宋体"/>
                <w:color w:val="auto"/>
                <w:szCs w:val="21"/>
                <w:highlight w:val="none"/>
              </w:rPr>
              <w:t xml:space="preserve"> </w:t>
            </w:r>
            <w:r/>
          </w:p>
        </w:tc>
      </w:tr>
    </w:tbl>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rPr>
          <w:rFonts w:ascii="宋体" w:hAnsi="宋体"/>
          <w:color w:val="auto"/>
          <w:sz w:val="32"/>
          <w:szCs w:val="32"/>
          <w:highlight w:val="none"/>
        </w:rPr>
      </w:pPr>
      <w:r>
        <w:rPr>
          <w:rFonts w:hint="eastAsia" w:ascii="宋体" w:hAnsi="宋体"/>
          <w:color w:val="auto"/>
          <w:sz w:val="32"/>
          <w:szCs w:val="32"/>
          <w:highlight w:val="none"/>
        </w:rPr>
        <w:br w:type="page" w:clear="all"/>
      </w:r>
      <w:r/>
    </w:p>
    <w:p>
      <w:pPr>
        <w:pStyle w:val="835"/>
        <w:numPr>
          <w:ilvl w:val="0"/>
          <w:numId w:val="0"/>
        </w:numPr>
        <w:jc w:val="center"/>
        <w:spacing w:before="260" w:after="260" w:line="416" w:lineRule="auto"/>
        <w:rPr>
          <w:rFonts w:ascii="宋体" w:hAnsi="宋体"/>
          <w:bCs w:val="0"/>
          <w:color w:val="auto"/>
          <w:sz w:val="32"/>
          <w:szCs w:val="32"/>
          <w:highlight w:val="none"/>
        </w:rPr>
      </w:pPr>
      <w:r>
        <w:rPr>
          <w:rFonts w:hint="eastAsia" w:ascii="宋体" w:hAnsi="宋体"/>
          <w:bCs w:val="0"/>
          <w:color w:val="auto"/>
          <w:sz w:val="32"/>
          <w:szCs w:val="32"/>
          <w:highlight w:val="none"/>
        </w:rPr>
        <w:t xml:space="preserve">六、技术参数响应及偏离表</w:t>
      </w:r>
      <w:r/>
    </w:p>
    <w:tbl>
      <w:tblPr>
        <w:tblStyle w:val="844"/>
        <w:tblW w:w="8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4"/>
        <w:gridCol w:w="2650"/>
        <w:gridCol w:w="2650"/>
        <w:gridCol w:w="1215"/>
        <w:gridCol w:w="1090"/>
      </w:tblGrid>
      <w:tr>
        <w:trPr>
          <w:cantSplit/>
          <w:trHeight w:val="656"/>
        </w:trPr>
        <w:tc>
          <w:tcPr>
            <w:tcW w:w="914"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序号</w:t>
            </w:r>
            <w:r/>
          </w:p>
        </w:tc>
        <w:tc>
          <w:tcPr>
            <w:tcW w:w="265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招标要求</w:t>
            </w:r>
            <w:r/>
          </w:p>
        </w:tc>
        <w:tc>
          <w:tcPr>
            <w:tcW w:w="265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投标响应</w:t>
            </w:r>
            <w:r/>
          </w:p>
        </w:tc>
        <w:tc>
          <w:tcPr>
            <w:tcW w:w="121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超出、符合或偏离</w:t>
            </w:r>
            <w:r/>
          </w:p>
        </w:tc>
        <w:tc>
          <w:tcPr>
            <w:tcW w:w="109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证明材料</w:t>
            </w:r>
            <w:r/>
          </w:p>
        </w:tc>
      </w:tr>
      <w:tr>
        <w:trPr>
          <w:cantSplit/>
          <w:trHeight w:val="640"/>
        </w:trPr>
        <w:tc>
          <w:tcPr>
            <w:tcW w:w="91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1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1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1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1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1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1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1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bl>
    <w:p>
      <w:pPr>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注：1、按照基本技术要求详细填列。</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2、行数不够，可自行添加。</w:t>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rPr>
          <w:rFonts w:ascii="黑体" w:hAnsi="Arial" w:eastAsia="黑体"/>
          <w:color w:val="auto"/>
          <w:sz w:val="32"/>
          <w:highlight w:val="none"/>
        </w:rPr>
      </w:pPr>
      <w:r>
        <w:rPr>
          <w:rFonts w:ascii="黑体" w:hAnsi="Arial" w:eastAsia="黑体"/>
          <w:color w:val="auto"/>
          <w:sz w:val="32"/>
          <w:highlight w:val="none"/>
        </w:rPr>
      </w:r>
      <w:r/>
    </w:p>
    <w:p>
      <w:pPr>
        <w:rPr>
          <w:rFonts w:ascii="黑体" w:hAnsi="Arial" w:eastAsia="黑体"/>
          <w:color w:val="auto"/>
          <w:sz w:val="32"/>
          <w:highlight w:val="none"/>
        </w:rPr>
      </w:pPr>
      <w:r>
        <w:rPr>
          <w:rFonts w:ascii="黑体" w:hAnsi="Arial" w:eastAsia="黑体"/>
          <w:color w:val="auto"/>
          <w:sz w:val="32"/>
          <w:highlight w:val="none"/>
        </w:rPr>
      </w:r>
      <w:r/>
    </w:p>
    <w:p>
      <w:pPr>
        <w:jc w:val="center"/>
        <w:rPr>
          <w:rFonts w:ascii="宋体" w:hAnsi="宋体"/>
          <w:color w:val="auto"/>
          <w:sz w:val="32"/>
          <w:szCs w:val="32"/>
          <w:highlight w:val="none"/>
        </w:rPr>
        <w:outlineLvl w:val="1"/>
      </w:pPr>
      <w:r>
        <w:rPr>
          <w:rFonts w:hint="eastAsia" w:ascii="黑体" w:hAnsi="Arial" w:eastAsia="黑体"/>
          <w:color w:val="auto"/>
          <w:sz w:val="32"/>
          <w:highlight w:val="none"/>
        </w:rPr>
        <w:br w:type="page" w:clear="all"/>
      </w:r>
      <w:bookmarkStart w:id="33" w:name="_Hlt26955054"/>
      <w:r/>
      <w:bookmarkEnd w:id="33"/>
      <w:r/>
      <w:bookmarkStart w:id="34" w:name="_Toc113352363"/>
      <w:r>
        <w:rPr>
          <w:rFonts w:hint="eastAsia" w:ascii="宋体" w:hAnsi="宋体"/>
          <w:b/>
          <w:color w:val="auto"/>
          <w:sz w:val="32"/>
          <w:szCs w:val="32"/>
          <w:highlight w:val="none"/>
        </w:rPr>
        <w:t xml:space="preserve">七、商务条款响应及偏离表</w:t>
      </w:r>
      <w:bookmarkEnd w:id="34"/>
      <w:r/>
      <w:r/>
    </w:p>
    <w:tbl>
      <w:tblPr>
        <w:tblStyle w:val="844"/>
        <w:tblW w:w="8519"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557"/>
        <w:gridCol w:w="2379"/>
        <w:gridCol w:w="1747"/>
        <w:gridCol w:w="2836"/>
      </w:tblGrid>
      <w:tr>
        <w:trPr>
          <w:trHeight w:val="567"/>
        </w:trPr>
        <w:tc>
          <w:tcPr>
            <w:tcBorders>
              <w:top w:val="single" w:color="auto" w:sz="4" w:space="0"/>
              <w:left w:val="single" w:color="auto" w:sz="4" w:space="0"/>
              <w:bottom w:val="single" w:color="auto" w:sz="4" w:space="0"/>
              <w:right w:val="single" w:color="auto" w:sz="4" w:space="0"/>
            </w:tcBorders>
            <w:tcW w:w="1557" w:type="dxa"/>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379" w:type="dxa"/>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747" w:type="dxa"/>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836" w:type="dxa"/>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投标人的承诺或说明</w:t>
            </w:r>
            <w:r/>
          </w:p>
        </w:tc>
      </w:tr>
      <w:tr>
        <w:trPr>
          <w:trHeight w:val="567"/>
        </w:trPr>
        <w:tc>
          <w:tcPr>
            <w:tcBorders>
              <w:top w:val="single" w:color="auto" w:sz="4" w:space="0"/>
              <w:left w:val="single" w:color="auto" w:sz="4" w:space="0"/>
              <w:bottom w:val="single" w:color="auto" w:sz="4" w:space="0"/>
              <w:right w:val="single" w:color="auto" w:sz="4" w:space="0"/>
            </w:tcBorders>
            <w:tcW w:w="1557" w:type="dxa"/>
            <w:textDirection w:val="lrTb"/>
            <w:noWrap w:val="false"/>
          </w:tcPr>
          <w:p>
            <w:pPr>
              <w:jc w:val="center"/>
              <w:spacing w:before="156"/>
              <w:rPr>
                <w:rFonts w:ascii="仿宋_GB2312" w:hAnsi="宋体" w:eastAsia="仿宋_GB2312"/>
                <w:color w:val="auto"/>
                <w:szCs w:val="21"/>
                <w:highlight w:val="none"/>
              </w:rPr>
            </w:pPr>
            <w:r>
              <w:rPr>
                <w:rFonts w:hint="eastAsia" w:ascii="仿宋_GB2312"/>
                <w:color w:val="auto"/>
                <w:szCs w:val="21"/>
                <w:highlight w:val="none"/>
              </w:rPr>
              <w:t xml:space="preserve">交付时间</w:t>
            </w:r>
            <w:r/>
          </w:p>
        </w:tc>
        <w:tc>
          <w:tcPr>
            <w:tcBorders>
              <w:top w:val="single" w:color="auto" w:sz="4" w:space="0"/>
              <w:left w:val="single" w:color="auto" w:sz="4" w:space="0"/>
              <w:bottom w:val="single" w:color="auto" w:sz="4" w:space="0"/>
              <w:right w:val="single" w:color="auto" w:sz="4" w:space="0"/>
            </w:tcBorders>
            <w:tcW w:w="2379"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747" w:type="dxa"/>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557" w:type="dxa"/>
            <w:textDirection w:val="lrTb"/>
            <w:noWrap w:val="false"/>
          </w:tcPr>
          <w:p>
            <w:pPr>
              <w:jc w:val="center"/>
              <w:spacing w:before="156"/>
              <w:rPr>
                <w:rFonts w:ascii="仿宋_GB2312"/>
                <w:color w:val="auto"/>
                <w:szCs w:val="21"/>
                <w:highlight w:val="none"/>
              </w:rPr>
            </w:pPr>
            <w:r>
              <w:rPr>
                <w:rFonts w:hint="eastAsia" w:ascii="仿宋_GB2312"/>
                <w:color w:val="auto"/>
                <w:szCs w:val="21"/>
                <w:highlight w:val="none"/>
              </w:rPr>
              <w:t xml:space="preserve">交货方式</w:t>
            </w:r>
            <w:r/>
          </w:p>
        </w:tc>
        <w:tc>
          <w:tcPr>
            <w:tcBorders>
              <w:top w:val="single" w:color="auto" w:sz="4" w:space="0"/>
              <w:left w:val="single" w:color="auto" w:sz="4" w:space="0"/>
              <w:bottom w:val="single" w:color="auto" w:sz="4" w:space="0"/>
              <w:right w:val="single" w:color="auto" w:sz="4" w:space="0"/>
            </w:tcBorders>
            <w:tcW w:w="2379" w:type="dxa"/>
            <w:textDirection w:val="lrTb"/>
            <w:noWrap w:val="false"/>
          </w:tcPr>
          <w:p>
            <w:pPr>
              <w:spacing w:before="156"/>
              <w:rPr>
                <w:rFonts w:ascii="仿宋_GB2312" w:hAnsi="宋体"/>
                <w:color w:val="auto"/>
                <w:szCs w:val="21"/>
                <w:highlight w:val="none"/>
              </w:rPr>
            </w:pPr>
            <w:r>
              <w:rPr>
                <w:rFonts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7" w:type="dxa"/>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557" w:type="dxa"/>
            <w:textDirection w:val="lrTb"/>
            <w:noWrap w:val="false"/>
          </w:tcPr>
          <w:p>
            <w:pPr>
              <w:jc w:val="center"/>
              <w:spacing w:before="156"/>
              <w:rPr>
                <w:rFonts w:ascii="仿宋_GB2312"/>
                <w:color w:val="auto"/>
                <w:szCs w:val="21"/>
                <w:highlight w:val="none"/>
              </w:rPr>
            </w:pPr>
            <w:r>
              <w:rPr>
                <w:rFonts w:hint="eastAsia" w:ascii="仿宋_GB2312"/>
                <w:color w:val="auto"/>
                <w:szCs w:val="21"/>
                <w:highlight w:val="none"/>
              </w:rPr>
              <w:t xml:space="preserve">交货地点</w:t>
            </w:r>
            <w:r/>
          </w:p>
        </w:tc>
        <w:tc>
          <w:tcPr>
            <w:tcBorders>
              <w:top w:val="single" w:color="auto" w:sz="4" w:space="0"/>
              <w:left w:val="single" w:color="auto" w:sz="4" w:space="0"/>
              <w:bottom w:val="single" w:color="auto" w:sz="4" w:space="0"/>
              <w:right w:val="single" w:color="auto" w:sz="4" w:space="0"/>
            </w:tcBorders>
            <w:tcW w:w="2379" w:type="dxa"/>
            <w:textDirection w:val="lrTb"/>
            <w:noWrap w:val="false"/>
          </w:tcPr>
          <w:p>
            <w:pPr>
              <w:spacing w:before="156"/>
              <w:rPr>
                <w:rFonts w:ascii="仿宋_GB2312" w:hAnsi="宋体"/>
                <w:color w:val="auto"/>
                <w:szCs w:val="21"/>
                <w:highlight w:val="none"/>
              </w:rPr>
            </w:pPr>
            <w:r>
              <w:rPr>
                <w:rFonts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7" w:type="dxa"/>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557" w:type="dxa"/>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379" w:type="dxa"/>
            <w:textDirection w:val="lrTb"/>
            <w:noWrap w:val="false"/>
          </w:tcPr>
          <w:p>
            <w:pP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747"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557" w:type="dxa"/>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2379"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747"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bl>
    <w:p>
      <w:pPr>
        <w:spacing w:line="480" w:lineRule="auto"/>
        <w:rPr>
          <w:rFonts w:ascii="仿宋_GB2312" w:hAnsi="Arial"/>
          <w:color w:val="auto"/>
          <w:sz w:val="30"/>
          <w:highlight w:val="none"/>
        </w:rPr>
      </w:pPr>
      <w:r>
        <w:rPr>
          <w:rFonts w:ascii="仿宋_GB2312" w:hAnsi="Arial"/>
          <w:color w:val="auto"/>
          <w:sz w:val="30"/>
          <w:highlight w:val="none"/>
        </w:rPr>
      </w:r>
      <w:r/>
    </w:p>
    <w:p>
      <w:pPr>
        <w:pStyle w:val="845"/>
        <w:ind w:firstLine="480"/>
        <w:rPr>
          <w:rFonts w:ascii="宋体" w:hAnsi="宋体"/>
          <w:color w:val="auto"/>
          <w:sz w:val="24"/>
          <w:highlight w:val="none"/>
        </w:rPr>
      </w:pPr>
      <w:r/>
      <w:bookmarkStart w:id="35" w:name="_Hlt26609389"/>
      <w:r/>
      <w:bookmarkEnd w:id="35"/>
      <w:r/>
      <w:bookmarkStart w:id="36" w:name="_Hlt26955066"/>
      <w:r/>
      <w:bookmarkEnd w:id="36"/>
      <w:r/>
      <w:bookmarkStart w:id="37" w:name="_Hlt26671374"/>
      <w:r/>
      <w:bookmarkEnd w:id="37"/>
      <w:r/>
      <w:bookmarkStart w:id="38" w:name="_Toc462564146"/>
      <w:r/>
      <w:r/>
    </w:p>
    <w:p>
      <w:pPr>
        <w:pStyle w:val="845"/>
        <w:ind w:firstLine="480"/>
        <w:rPr>
          <w:rFonts w:ascii="宋体" w:hAnsi="宋体"/>
          <w:color w:val="auto"/>
          <w:sz w:val="24"/>
          <w:highlight w:val="none"/>
        </w:rPr>
      </w:pPr>
      <w:r>
        <w:rPr>
          <w:rFonts w:ascii="宋体" w:hAnsi="宋体"/>
          <w:color w:val="auto"/>
          <w:sz w:val="24"/>
          <w:highlight w:val="none"/>
        </w:rPr>
      </w:r>
      <w:r/>
    </w:p>
    <w:p>
      <w:pPr>
        <w:pStyle w:val="845"/>
        <w:ind w:firstLine="480"/>
        <w:rPr>
          <w:rFonts w:ascii="宋体" w:hAnsi="宋体"/>
          <w:color w:val="auto"/>
          <w:sz w:val="24"/>
          <w:highlight w:val="none"/>
        </w:rPr>
      </w:pPr>
      <w:r>
        <w:rPr>
          <w:rFonts w:ascii="宋体" w:hAnsi="宋体"/>
          <w:color w:val="auto"/>
          <w:sz w:val="24"/>
          <w:highlight w:val="none"/>
        </w:rPr>
      </w:r>
      <w:r/>
    </w:p>
    <w:p>
      <w:pPr>
        <w:pStyle w:val="845"/>
        <w:ind w:firstLine="480"/>
        <w:rPr>
          <w:rFonts w:ascii="宋体" w:hAnsi="宋体"/>
          <w:color w:val="auto"/>
          <w:sz w:val="24"/>
          <w:highlight w:val="none"/>
        </w:rPr>
      </w:pPr>
      <w:r>
        <w:rPr>
          <w:rFonts w:ascii="宋体" w:hAnsi="宋体"/>
          <w:color w:val="auto"/>
          <w:sz w:val="24"/>
          <w:highlight w:val="none"/>
        </w:rPr>
      </w:r>
      <w:r/>
    </w:p>
    <w:p>
      <w:pPr>
        <w:pStyle w:val="845"/>
        <w:ind w:firstLine="480"/>
        <w:rPr>
          <w:rFonts w:ascii="宋体" w:hAnsi="宋体"/>
          <w:color w:val="auto"/>
          <w:sz w:val="24"/>
          <w:highlight w:val="none"/>
        </w:rPr>
      </w:pPr>
      <w:r>
        <w:rPr>
          <w:rFonts w:hint="eastAsia" w:ascii="宋体" w:hAnsi="宋体"/>
          <w:color w:val="auto"/>
          <w:sz w:val="24"/>
          <w:highlight w:val="none"/>
        </w:rPr>
        <w:t xml:space="preserve">.</w:t>
      </w:r>
      <w:r/>
    </w:p>
    <w:p>
      <w:pPr>
        <w:pStyle w:val="845"/>
        <w:ind w:firstLine="480"/>
        <w:rPr>
          <w:rFonts w:ascii="宋体" w:hAnsi="宋体"/>
          <w:color w:val="auto"/>
          <w:sz w:val="24"/>
          <w:highlight w:val="none"/>
        </w:rPr>
      </w:pPr>
      <w:r>
        <w:rPr>
          <w:rFonts w:ascii="宋体" w:hAnsi="宋体"/>
          <w:color w:val="auto"/>
          <w:sz w:val="24"/>
          <w:highlight w:val="none"/>
        </w:rPr>
      </w:r>
      <w:r/>
    </w:p>
    <w:p>
      <w:pPr>
        <w:pStyle w:val="845"/>
        <w:ind w:firstLine="643"/>
        <w:rPr>
          <w:rFonts w:ascii="宋体" w:hAnsi="宋体"/>
          <w:b/>
          <w:color w:val="auto"/>
          <w:sz w:val="32"/>
          <w:szCs w:val="32"/>
          <w:highlight w:val="none"/>
        </w:rPr>
      </w:pPr>
      <w:r>
        <w:rPr>
          <w:rFonts w:ascii="宋体" w:hAnsi="宋体"/>
          <w:b/>
          <w:color w:val="auto"/>
          <w:sz w:val="32"/>
          <w:szCs w:val="32"/>
          <w:highlight w:val="none"/>
        </w:rPr>
      </w:r>
      <w:r/>
    </w:p>
    <w:p>
      <w:pPr>
        <w:pStyle w:val="845"/>
        <w:ind w:firstLine="480"/>
        <w:rPr>
          <w:rFonts w:ascii="宋体" w:hAnsi="宋体"/>
          <w:color w:val="auto"/>
          <w:sz w:val="24"/>
          <w:highlight w:val="none"/>
        </w:rPr>
      </w:pPr>
      <w:r>
        <w:rPr>
          <w:rFonts w:hint="eastAsia" w:ascii="宋体" w:hAnsi="宋体"/>
          <w:b/>
          <w:color w:val="auto"/>
          <w:sz w:val="32"/>
          <w:szCs w:val="32"/>
          <w:highlight w:val="none"/>
        </w:rPr>
        <w:br w:type="page" w:clear="all"/>
      </w:r>
      <w:bookmarkEnd w:id="38"/>
      <w:r/>
      <w:r/>
    </w:p>
    <w:p>
      <w:pPr>
        <w:pStyle w:val="845"/>
        <w:ind w:firstLine="480"/>
        <w:rPr>
          <w:rFonts w:ascii="宋体" w:hAnsi="宋体"/>
          <w:color w:val="auto"/>
          <w:sz w:val="24"/>
          <w:highlight w:val="none"/>
        </w:rPr>
      </w:pPr>
      <w:r>
        <w:rPr>
          <w:rFonts w:ascii="宋体" w:hAnsi="宋体"/>
          <w:color w:val="auto"/>
          <w:sz w:val="24"/>
          <w:highlight w:val="none"/>
        </w:rPr>
      </w:r>
      <w:r/>
    </w:p>
    <w:p>
      <w:pPr>
        <w:jc w:val="center"/>
        <w:widowControl/>
        <w:rPr>
          <w:rFonts w:ascii="宋体" w:hAnsi="宋体"/>
          <w:b/>
          <w:color w:val="auto"/>
          <w:highlight w:val="none"/>
        </w:rPr>
      </w:pPr>
      <w:r/>
      <w:bookmarkStart w:id="39" w:name="_格式2__法定代表人授权书"/>
      <w:r/>
      <w:bookmarkEnd w:id="39"/>
      <w:r>
        <w:rPr>
          <w:rFonts w:hint="eastAsia" w:ascii="宋体" w:hAnsi="宋体"/>
          <w:b/>
          <w:color w:val="auto"/>
          <w:highlight w:val="none"/>
        </w:rPr>
        <w:t xml:space="preserve">主要标的信息（中标后将公示）</w:t>
      </w:r>
      <w:r/>
    </w:p>
    <w:p>
      <w:pPr>
        <w:spacing w:after="312" w:line="360" w:lineRule="auto"/>
        <w:rPr>
          <w:rFonts w:ascii="宋体" w:hAnsi="宋体"/>
          <w:b/>
          <w:color w:val="auto"/>
          <w:highlight w:val="none"/>
        </w:rPr>
      </w:pPr>
      <w:r>
        <w:rPr>
          <w:rFonts w:hint="eastAsia" w:ascii="宋体" w:hAnsi="宋体"/>
          <w:color w:val="auto"/>
          <w:highlight w:val="none"/>
        </w:rPr>
        <w:t xml:space="preserve">投标人全称：</w:t>
      </w:r>
      <w:r/>
    </w:p>
    <w:tbl>
      <w:tblPr>
        <w:tblStyle w:val="844"/>
        <w:tblW w:w="85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327"/>
        <w:gridCol w:w="4193"/>
      </w:tblGrid>
      <w:tr>
        <w:trPr>
          <w:trHeight w:val="567"/>
        </w:trPr>
        <w:tc>
          <w:tcPr>
            <w:tcW w:w="4327"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货物类</w:t>
            </w:r>
            <w:r/>
          </w:p>
        </w:tc>
        <w:tc>
          <w:tcPr>
            <w:tcW w:w="4193"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服务类</w:t>
            </w:r>
            <w:r/>
          </w:p>
        </w:tc>
      </w:tr>
      <w:tr>
        <w:trPr>
          <w:trHeight w:val="567"/>
        </w:trPr>
        <w:tc>
          <w:tcPr>
            <w:tcW w:w="4327"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品牌（如有）：</w:t>
            </w:r>
            <w:r/>
          </w:p>
          <w:p>
            <w:pPr>
              <w:spacing w:line="360" w:lineRule="auto"/>
              <w:rPr>
                <w:rFonts w:ascii="宋体" w:hAnsi="宋体" w:cs="宋体"/>
                <w:color w:val="auto"/>
                <w:highlight w:val="none"/>
              </w:rPr>
            </w:pPr>
            <w:r>
              <w:rPr>
                <w:rFonts w:hint="eastAsia" w:ascii="宋体" w:hAnsi="宋体" w:cs="宋体"/>
                <w:color w:val="auto"/>
                <w:highlight w:val="none"/>
              </w:rPr>
              <w:t xml:space="preserve">规格型号：</w:t>
            </w:r>
            <w:r/>
          </w:p>
          <w:p>
            <w:pPr>
              <w:spacing w:line="360" w:lineRule="auto"/>
              <w:rPr>
                <w:rFonts w:ascii="宋体" w:hAnsi="宋体" w:cs="宋体"/>
                <w:color w:val="auto"/>
                <w:highlight w:val="none"/>
              </w:rPr>
            </w:pPr>
            <w:r>
              <w:rPr>
                <w:rFonts w:hint="eastAsia" w:ascii="宋体" w:hAnsi="宋体" w:cs="宋体"/>
                <w:color w:val="auto"/>
                <w:highlight w:val="none"/>
              </w:rPr>
              <w:t xml:space="preserve">数量：</w:t>
            </w:r>
            <w:r/>
          </w:p>
          <w:p>
            <w:pPr>
              <w:spacing w:line="360" w:lineRule="auto"/>
              <w:rPr>
                <w:rFonts w:ascii="宋体" w:hAnsi="宋体" w:cs="宋体"/>
                <w:color w:val="auto"/>
                <w:highlight w:val="none"/>
              </w:rPr>
            </w:pPr>
            <w:r>
              <w:rPr>
                <w:rFonts w:hint="eastAsia" w:ascii="宋体" w:hAnsi="宋体" w:cs="宋体"/>
                <w:color w:val="auto"/>
                <w:highlight w:val="none"/>
              </w:rPr>
              <w:t xml:space="preserve">单价：</w:t>
            </w:r>
            <w:r/>
          </w:p>
        </w:tc>
        <w:tc>
          <w:tcPr>
            <w:tcW w:w="4193"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服务范围：</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服务要求：</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服务时间：</w:t>
            </w:r>
            <w:r/>
          </w:p>
          <w:p>
            <w:pPr>
              <w:spacing w:line="360" w:lineRule="auto"/>
              <w:rPr>
                <w:rFonts w:ascii="宋体" w:hAnsi="宋体" w:cs="宋体"/>
                <w:color w:val="auto"/>
                <w:highlight w:val="none"/>
              </w:rPr>
            </w:pPr>
            <w:r>
              <w:rPr>
                <w:rFonts w:hint="eastAsia" w:ascii="宋体" w:hAnsi="宋体" w:cs="宋体"/>
                <w:color w:val="auto"/>
                <w:highlight w:val="none"/>
              </w:rPr>
              <w:t xml:space="preserve">服务标准：</w:t>
            </w:r>
            <w:r/>
          </w:p>
        </w:tc>
      </w:tr>
    </w:tbl>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Arial Unicode MS">
    <w:panose1 w:val="020B0604020202020204"/>
  </w:font>
  <w:font w:name="Symbol">
    <w:panose1 w:val="05050102010706020507"/>
  </w:font>
  <w:font w:name="等线">
    <w:panose1 w:val="02010600030101010101"/>
  </w:font>
  <w:font w:name="仿宋">
    <w:panose1 w:val="02010609060101010101"/>
  </w:font>
  <w:font w:name="等线 Light">
    <w:panose1 w:val="02010600030101010101"/>
  </w:font>
  <w:font w:name="Tahoma">
    <w:panose1 w:val="020B0604030504040204"/>
  </w:font>
  <w:font w:name="Courier New">
    <w:panose1 w:val="02070309020205020404"/>
  </w:font>
  <w:font w:name="楷体_GB2312">
    <w:panose1 w:val="02010609060101010101"/>
  </w:font>
  <w:font w:name="Consolas">
    <w:panose1 w:val="020B0609020204030204"/>
  </w:font>
  <w:font w:name="Cambria">
    <w:panose1 w:val="02040503050406030204"/>
  </w:font>
  <w:font w:name="Calibri">
    <w:panose1 w:val="020F0502020204030204"/>
  </w:font>
  <w:font w:name="微软雅黑">
    <w:panose1 w:val="020B0503020204020204"/>
  </w:font>
  <w:font w:name="宋体_GB2312">
    <w:panose1 w:val="02010600030101010101"/>
  </w:font>
  <w:font w:name="Verdana">
    <w:panose1 w:val="020B0604030504040204"/>
  </w:font>
  <w:font w:name="仿宋_GB2312">
    <w:panose1 w:val="02010609060101010101"/>
  </w:font>
  <w:font w:name="幼圆">
    <w:panose1 w:val="02010509060101010101"/>
  </w:font>
  <w:font w:name="黑体">
    <w:panose1 w:val="02010609060101010101"/>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jc w:val="center"/>
      <w:rPr>
        <w:rFonts w:ascii="宋体_GB2312" w:eastAsia="宋体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04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3"/>
                            <w:jc w:val="center"/>
                          </w:pPr>
                          <w:r>
                            <w:rPr>
                              <w:rFonts w:ascii="宋体_GB2312" w:eastAsia="宋体_GB2312"/>
                            </w:rPr>
                            <w:fldChar w:fldCharType="begin"/>
                          </w:r>
                          <w:r>
                            <w:rPr>
                              <w:rFonts w:ascii="宋体_GB2312" w:eastAsia="宋体_GB2312"/>
                            </w:rPr>
                            <w:instrText xml:space="preserve"> Page \* MERGEFORMAT </w:instrText>
                          </w:r>
                          <w:r>
                            <w:rPr>
                              <w:rFonts w:ascii="宋体_GB2312" w:eastAsia="宋体_GB2312"/>
                            </w:rPr>
                            <w:fldChar w:fldCharType="separate"/>
                          </w:r>
                          <w:r>
                            <w:rPr>
                              <w:rFonts w:ascii="宋体_GB2312" w:eastAsia="宋体_GB2312"/>
                            </w:rPr>
                            <w:t xml:space="preserve">- 2 -</w:t>
                          </w:r>
                          <w:r>
                            <w:rPr>
                              <w:rFonts w:ascii="宋体_GB2312" w:eastAsia="宋体_GB2312"/>
                            </w:rP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3"/>
                      <w:jc w:val="center"/>
                    </w:pPr>
                    <w:r>
                      <w:rPr>
                        <w:rFonts w:ascii="宋体_GB2312" w:eastAsia="宋体_GB2312"/>
                      </w:rPr>
                      <w:fldChar w:fldCharType="begin"/>
                    </w:r>
                    <w:r>
                      <w:rPr>
                        <w:rFonts w:ascii="宋体_GB2312" w:eastAsia="宋体_GB2312"/>
                      </w:rPr>
                      <w:instrText xml:space="preserve"> Page \* MERGEFORMAT </w:instrText>
                    </w:r>
                    <w:r>
                      <w:rPr>
                        <w:rFonts w:ascii="宋体_GB2312" w:eastAsia="宋体_GB2312"/>
                      </w:rPr>
                      <w:fldChar w:fldCharType="separate"/>
                    </w:r>
                    <w:r>
                      <w:rPr>
                        <w:rFonts w:ascii="宋体_GB2312" w:eastAsia="宋体_GB2312"/>
                      </w:rPr>
                      <w:t xml:space="preserve">- 2 -</w:t>
                    </w:r>
                    <w:r>
                      <w:rPr>
                        <w:rFonts w:ascii="宋体_GB2312" w:eastAsia="宋体_GB2312"/>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3"/>
                            <w:jc w:val="center"/>
                          </w:pPr>
                          <w:r>
                            <w:fldChar w:fldCharType="begin"/>
                          </w:r>
                          <w:r>
                            <w:instrText xml:space="preserve">PAGE   \* MERGEFORMAT</w:instrText>
                          </w:r>
                          <w:r>
                            <w:fldChar w:fldCharType="separate"/>
                          </w:r>
                          <w:r>
                            <w:rPr>
                              <w:lang w:val="zh-CN"/>
                            </w:rPr>
                            <w:t xml:space="preserve">-</w:t>
                          </w:r>
                          <w:r>
                            <w:t xml:space="preserve"> 39 -</w:t>
                          </w:r>
                          <w:r>
                            <w:rPr>
                              <w:lang w:val="zh-CN"/>
                            </w:rP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3"/>
                      <w:jc w:val="center"/>
                    </w:pPr>
                    <w:r>
                      <w:fldChar w:fldCharType="begin"/>
                    </w:r>
                    <w:r>
                      <w:instrText xml:space="preserve">PAGE   \* MERGEFORMAT</w:instrText>
                    </w:r>
                    <w:r>
                      <w:fldChar w:fldCharType="separate"/>
                    </w:r>
                    <w:r>
                      <w:rPr>
                        <w:lang w:val="zh-CN"/>
                      </w:rPr>
                      <w:t xml:space="preserve">-</w:t>
                    </w:r>
                    <w:r>
                      <w:t xml:space="preserve"> 39 -</w:t>
                    </w:r>
                    <w:r>
                      <w:rPr>
                        <w:lang w:val="zh-CN"/>
                      </w:rPr>
                      <w:fldChar w:fldCharType="end"/>
                    </w:r>
                    <w:r/>
                  </w:p>
                </w:txbxContent>
              </v:textbox>
            </v:shape>
          </w:pict>
        </mc:Fallback>
      </mc:AlternateContent>
    </w:r>
    <w:r/>
  </w:p>
  <w:p>
    <w:pPr>
      <w:pStyle w:val="86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仿宋_GB2312" w:eastAsia="仿宋_GB2312"/>
        <w:b/>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05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center"/>
                            <w:rPr>
                              <w:bCs/>
                              <w:sz w:val="18"/>
                              <w:szCs w:val="18"/>
                            </w:rPr>
                          </w:pPr>
                          <w:r>
                            <w:rPr>
                              <w:rFonts w:ascii="仿宋_GB2312" w:eastAsia="仿宋_GB2312"/>
                              <w:bCs/>
                              <w:sz w:val="18"/>
                              <w:szCs w:val="18"/>
                            </w:rPr>
                            <w:fldChar w:fldCharType="begin"/>
                          </w:r>
                          <w:r>
                            <w:rPr>
                              <w:rFonts w:ascii="仿宋_GB2312" w:eastAsia="仿宋_GB2312"/>
                              <w:bCs/>
                              <w:sz w:val="18"/>
                              <w:szCs w:val="18"/>
                            </w:rPr>
                            <w:instrText xml:space="preserve">PAGE  </w:instrText>
                          </w:r>
                          <w:r>
                            <w:rPr>
                              <w:rFonts w:ascii="仿宋_GB2312" w:eastAsia="仿宋_GB2312"/>
                              <w:bCs/>
                              <w:sz w:val="18"/>
                              <w:szCs w:val="18"/>
                            </w:rPr>
                            <w:fldChar w:fldCharType="separate"/>
                          </w:r>
                          <w:r>
                            <w:rPr>
                              <w:rFonts w:ascii="仿宋_GB2312" w:eastAsia="仿宋_GB2312"/>
                              <w:bCs/>
                              <w:sz w:val="18"/>
                              <w:szCs w:val="18"/>
                            </w:rPr>
                            <w:t xml:space="preserve">- 75 -</w:t>
                          </w:r>
                          <w:r>
                            <w:rPr>
                              <w:rFonts w:ascii="仿宋_GB2312" w:eastAsia="仿宋_GB2312"/>
                              <w:bCs/>
                              <w:sz w:val="18"/>
                              <w:szCs w:val="18"/>
                            </w:rPr>
                            <w:fldChar w:fldCharType="end"/>
                          </w:r>
                          <w:r/>
                        </w:p>
                      </w:txbxContent>
                    </wps:txbx>
                    <wps:bodyPr wrap="none" lIns="0" tIns="0" rIns="0" bIns="0">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center"/>
                      <w:rPr>
                        <w:bCs/>
                        <w:sz w:val="18"/>
                        <w:szCs w:val="18"/>
                      </w:rPr>
                    </w:pPr>
                    <w:r>
                      <w:rPr>
                        <w:rFonts w:ascii="仿宋_GB2312" w:eastAsia="仿宋_GB2312"/>
                        <w:bCs/>
                        <w:sz w:val="18"/>
                        <w:szCs w:val="18"/>
                      </w:rPr>
                      <w:fldChar w:fldCharType="begin"/>
                    </w:r>
                    <w:r>
                      <w:rPr>
                        <w:rFonts w:ascii="仿宋_GB2312" w:eastAsia="仿宋_GB2312"/>
                        <w:bCs/>
                        <w:sz w:val="18"/>
                        <w:szCs w:val="18"/>
                      </w:rPr>
                      <w:instrText xml:space="preserve">PAGE  </w:instrText>
                    </w:r>
                    <w:r>
                      <w:rPr>
                        <w:rFonts w:ascii="仿宋_GB2312" w:eastAsia="仿宋_GB2312"/>
                        <w:bCs/>
                        <w:sz w:val="18"/>
                        <w:szCs w:val="18"/>
                      </w:rPr>
                      <w:fldChar w:fldCharType="separate"/>
                    </w:r>
                    <w:r>
                      <w:rPr>
                        <w:rFonts w:ascii="仿宋_GB2312" w:eastAsia="仿宋_GB2312"/>
                        <w:bCs/>
                        <w:sz w:val="18"/>
                        <w:szCs w:val="18"/>
                      </w:rPr>
                      <w:t xml:space="preserve">- 75 -</w:t>
                    </w:r>
                    <w:r>
                      <w:rPr>
                        <w:rFonts w:ascii="仿宋_GB2312" w:eastAsia="仿宋_GB2312"/>
                        <w:bCs/>
                        <w:sz w:val="18"/>
                        <w:szCs w:val="18"/>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pPr>
    <w:r>
      <w:rPr>
        <w:rFonts w:hint="eastAsia" w:ascii="宋体" w:hAnsi="宋体" w:cs="宋体"/>
      </w:rPr>
      <w:t xml:space="preserve">JSZC-321000-JSWC-G2025-</w:t>
    </w:r>
    <w:r>
      <w:rPr>
        <w:rFonts w:hint="eastAsia" w:ascii="宋体" w:hAnsi="宋体" w:cs="宋体"/>
        <w:lang w:eastAsia="zh-CN"/>
      </w:rPr>
      <w:t xml:space="preserve">0006</w:t>
    </w:r>
    <w:r>
      <w:rPr>
        <w:rFonts w:hint="eastAsia" w:ascii="宋体" w:hAnsi="宋体" w:cs="宋体"/>
      </w:rPr>
      <w:t xml:space="preserve">号</w:t>
    </w:r>
    <w:r>
      <w:rPr>
        <w:rFonts w:hint="eastAsia"/>
      </w:rPr>
      <w:t xml:space="preserve">                                   江苏唯诚建设咨询有限公司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pPr>
    <w:r>
      <w:rPr>
        <w:rFonts w:hint="eastAsia" w:ascii="宋体" w:hAnsi="宋体" w:cs="宋体"/>
      </w:rPr>
      <w:t xml:space="preserve">JSZC-321000-JSWC-G2025-</w:t>
    </w:r>
    <w:r>
      <w:rPr>
        <w:rFonts w:hint="eastAsia" w:ascii="宋体" w:hAnsi="宋体" w:cs="宋体"/>
        <w:lang w:eastAsia="zh-CN"/>
      </w:rPr>
      <w:t xml:space="preserve">0006</w:t>
    </w:r>
    <w:r>
      <w:rPr>
        <w:rFonts w:hint="eastAsia" w:ascii="宋体" w:hAnsi="宋体" w:cs="宋体"/>
      </w:rPr>
      <w:t xml:space="preserve">号</w:t>
    </w:r>
    <w:r>
      <w:rPr>
        <w:rFonts w:hint="eastAsia"/>
      </w:rPr>
      <w:t xml:space="preserve">                                江苏唯诚建设咨询有限公司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pBdr>
        <w:bottom w:val="single" w:color="auto" w:sz="4" w:space="1"/>
      </w:pBdr>
    </w:pPr>
    <w:r>
      <w:rPr>
        <w:rFonts w:hint="eastAsia"/>
      </w:rPr>
      <w:t xml:space="preserve">JSZC-321000-JSWC-G2025-</w:t>
    </w:r>
    <w:r>
      <w:rPr>
        <w:rFonts w:hint="eastAsia"/>
        <w:lang w:eastAsia="zh-CN"/>
      </w:rPr>
      <w:t xml:space="preserve">0006</w:t>
    </w:r>
    <w:r>
      <w:rPr>
        <w:rFonts w:hint="eastAsia"/>
      </w:rPr>
      <w:t xml:space="preserve">号                                      江苏唯诚建设咨询有限公司</w:t>
    </w:r>
    <w:r/>
  </w:p>
  <w:p>
    <w:pPr>
      <w:pStyle w:val="864"/>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720" w:hanging="360"/>
      </w:pPr>
    </w:lvl>
    <w:lvl w:ilvl="1">
      <w:start w:val="1"/>
      <w:numFmt w:val="lowerLetter"/>
      <w:isLgl w:val="false"/>
      <w:suff w:val="tab"/>
      <w:lvlText w:val="%2)"/>
      <w:lvlJc w:val="left"/>
      <w:pPr>
        <w:ind w:left="1240" w:hanging="440"/>
      </w:pPr>
    </w:lvl>
    <w:lvl w:ilvl="2">
      <w:start w:val="1"/>
      <w:numFmt w:val="decimal"/>
      <w:isLgl w:val="false"/>
      <w:suff w:val="tab"/>
      <w:lvlText w:val="%3."/>
      <w:lvlJc w:val="right"/>
      <w:pPr>
        <w:ind w:left="1680" w:hanging="440"/>
      </w:pPr>
    </w:lvl>
    <w:lvl w:ilvl="3">
      <w:start w:val="1"/>
      <w:numFmt w:val="decimal"/>
      <w:isLgl w:val="false"/>
      <w:suff w:val="tab"/>
      <w:lvlText w:val="%4."/>
      <w:lvlJc w:val="left"/>
      <w:pPr>
        <w:ind w:left="2120" w:hanging="440"/>
      </w:pPr>
    </w:lvl>
    <w:lvl w:ilvl="4">
      <w:start w:val="1"/>
      <w:numFmt w:val="lowerLetter"/>
      <w:isLgl w:val="false"/>
      <w:suff w:val="tab"/>
      <w:lvlText w:val="%5)"/>
      <w:lvlJc w:val="left"/>
      <w:pPr>
        <w:ind w:left="2560" w:hanging="440"/>
      </w:pPr>
    </w:lvl>
    <w:lvl w:ilvl="5">
      <w:start w:val="1"/>
      <w:numFmt w:val="decimal"/>
      <w:isLgl w:val="false"/>
      <w:suff w:val="tab"/>
      <w:lvlText w:val="%6."/>
      <w:lvlJc w:val="right"/>
      <w:pPr>
        <w:ind w:left="3000" w:hanging="440"/>
      </w:pPr>
    </w:lvl>
    <w:lvl w:ilvl="6">
      <w:start w:val="1"/>
      <w:numFmt w:val="decimal"/>
      <w:isLgl w:val="false"/>
      <w:suff w:val="tab"/>
      <w:lvlText w:val="%7."/>
      <w:lvlJc w:val="left"/>
      <w:pPr>
        <w:ind w:left="3440" w:hanging="440"/>
      </w:pPr>
    </w:lvl>
    <w:lvl w:ilvl="7">
      <w:start w:val="1"/>
      <w:numFmt w:val="lowerLetter"/>
      <w:isLgl w:val="false"/>
      <w:suff w:val="tab"/>
      <w:lvlText w:val="%8)"/>
      <w:lvlJc w:val="left"/>
      <w:pPr>
        <w:ind w:left="3880" w:hanging="440"/>
      </w:pPr>
    </w:lvl>
    <w:lvl w:ilvl="8">
      <w:start w:val="1"/>
      <w:numFmt w:val="decimal"/>
      <w:isLgl w:val="false"/>
      <w:suff w:val="tab"/>
      <w:lvlText w:val="%9."/>
      <w:lvlJc w:val="right"/>
      <w:pPr>
        <w:ind w:left="4320" w:hanging="440"/>
      </w:pPr>
    </w:lvl>
  </w:abstractNum>
  <w:abstractNum w:abstractNumId="1">
    <w:multiLevelType w:val="hybridMultilevel"/>
    <w:lvl w:ilvl="0">
      <w:start w:val="1"/>
      <w:numFmt w:val="japaneseCounting"/>
      <w:isLgl w:val="false"/>
      <w:suff w:val="tab"/>
      <w:lvlText w:val="第%1章"/>
      <w:lvlJc w:val="left"/>
      <w:pPr>
        <w:ind w:left="300" w:hanging="420"/>
      </w:pPr>
      <w:rPr>
        <w:rFonts w:hint="eastAsia" w:ascii="黑体" w:eastAsia="黑体"/>
        <w:b w:val="0"/>
        <w:sz w:val="36"/>
        <w:lang w:val="en-US"/>
      </w:rPr>
    </w:lvl>
    <w:lvl w:ilvl="1">
      <w:start w:val="1"/>
      <w:numFmt w:val="decimal"/>
      <w:pStyle w:val="1156"/>
      <w:isLgl/>
      <w:suff w:val="tab"/>
      <w:lvlText w:val="%1.%2"/>
      <w:lvlJc w:val="left"/>
      <w:pPr>
        <w:ind w:left="0" w:firstLine="0"/>
        <w:tabs>
          <w:tab w:val="left" w:pos="851" w:leader="none"/>
        </w:tabs>
      </w:pPr>
    </w:lvl>
    <w:lvl w:ilvl="2">
      <w:start w:val="1"/>
      <w:numFmt w:val="decimal"/>
      <w:pStyle w:val="1140"/>
      <w:isLgl/>
      <w:suff w:val="tab"/>
      <w:lvlText w:val="%1.%2.%3"/>
      <w:lvlJc w:val="left"/>
      <w:pPr>
        <w:ind w:left="0" w:firstLine="0"/>
        <w:tabs>
          <w:tab w:val="left" w:pos="851" w:leader="none"/>
        </w:tabs>
      </w:pPr>
      <w:rPr>
        <w:color w:val="000000"/>
      </w:rPr>
    </w:lvl>
    <w:lvl w:ilvl="3">
      <w:start w:val="1"/>
      <w:numFmt w:val="decimal"/>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2">
    <w:multiLevelType w:val="hybridMultilevel"/>
    <w:lvl w:ilvl="0">
      <w:start w:val="1"/>
      <w:numFmt w:val="bullet"/>
      <w:pStyle w:val="1136"/>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3">
    <w:multiLevelType w:val="hybridMultilevel"/>
    <w:lvl w:ilvl="0">
      <w:start w:val="1"/>
      <w:numFmt w:val="bullet"/>
      <w:pStyle w:val="896"/>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tab"/>
      <w:lvlText w:val="%1、"/>
      <w:lvlJc w:val="left"/>
      <w:pPr>
        <w:ind w:left="431" w:hanging="431"/>
      </w:pPr>
      <w:rPr>
        <w:rFonts w:hint="default" w:cs="Times New Roman"/>
        <w:b/>
        <w:i w:val="0"/>
        <w:iCs w:val="0"/>
        <w:caps w:val="0"/>
        <w:strike w:val="0"/>
        <w:spacing w:val="0"/>
        <w:position w:val="0"/>
        <w:sz w:val="21"/>
        <w:szCs w:val="32"/>
        <w:u w:val="none"/>
        <w:vertAlign w:val="baseline"/>
      </w:rPr>
    </w:lvl>
    <w:lvl w:ilvl="1">
      <w:start w:val="1"/>
      <w:numFmt w:val="decimal"/>
      <w:pStyle w:val="835"/>
      <w:isLgl w:val="false"/>
      <w:suff w:val="space"/>
      <w:lvlText w:val="%1.%2"/>
      <w:lvlJc w:val="left"/>
      <w:pPr>
        <w:ind w:left="851" w:hanging="567"/>
      </w:pPr>
      <w:rPr>
        <w:rFonts w:hint="default" w:ascii="Arial" w:hAnsi="Arial" w:eastAsia="黑体"/>
        <w:b/>
        <w:i w:val="0"/>
        <w:sz w:val="28"/>
        <w:szCs w:val="28"/>
      </w:rPr>
    </w:lvl>
    <w:lvl w:ilvl="2">
      <w:start w:val="1"/>
      <w:numFmt w:val="decimal"/>
      <w:pStyle w:val="836"/>
      <w:isLgl w:val="false"/>
      <w:suff w:val="space"/>
      <w:lvlText w:val="%1.%2.%3"/>
      <w:lvlJc w:val="left"/>
      <w:pPr>
        <w:ind w:left="720" w:hanging="720"/>
      </w:pPr>
      <w:rPr>
        <w:rFonts w:hint="default" w:ascii="Arial" w:hAnsi="Arial" w:eastAsia="黑体"/>
        <w:b/>
        <w:i w:val="0"/>
        <w:sz w:val="28"/>
        <w:szCs w:val="28"/>
      </w:rPr>
    </w:lvl>
    <w:lvl w:ilvl="3">
      <w:start w:val="1"/>
      <w:numFmt w:val="decimal"/>
      <w:isLgl w:val="false"/>
      <w:suff w:val="space"/>
      <w:lvlText w:val="%1.%2.%3.%4"/>
      <w:lvlJc w:val="left"/>
      <w:pPr>
        <w:ind w:left="864" w:hanging="864"/>
      </w:pPr>
      <w:rPr>
        <w:rFonts w:hint="default" w:ascii="Arial" w:hAnsi="Arial" w:eastAsia="黑体"/>
        <w:b/>
        <w:i w:val="0"/>
        <w:sz w:val="30"/>
        <w:szCs w:val="30"/>
      </w:rPr>
    </w:lvl>
    <w:lvl w:ilvl="4">
      <w:start w:val="1"/>
      <w:numFmt w:val="decimal"/>
      <w:isLgl w:val="false"/>
      <w:suff w:val="space"/>
      <w:lvlText w:val="%1.%2.%3.%4.%5"/>
      <w:lvlJc w:val="left"/>
      <w:pPr>
        <w:ind w:left="1008" w:hanging="1008"/>
      </w:pPr>
      <w:rPr>
        <w:rFonts w:hint="default" w:ascii="Arial" w:hAnsi="Arial" w:eastAsia="黑体"/>
        <w:b/>
        <w:i w:val="0"/>
        <w:sz w:val="28"/>
        <w:szCs w:val="28"/>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5">
    <w:multiLevelType w:val="hybridMultilevel"/>
    <w:lvl w:ilvl="0">
      <w:start w:val="1"/>
      <w:numFmt w:val="japaneseCounting"/>
      <w:pStyle w:val="1146"/>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decimal"/>
      <w:isLgl w:val="false"/>
      <w:suff w:val="nothing"/>
      <w:lvlText w:val="%1."/>
      <w:lvlJc w:val="left"/>
      <w:pPr>
        <w:ind w:left="720" w:hanging="360"/>
      </w:pPr>
    </w:lvl>
    <w:lvl w:ilvl="1">
      <w:start w:val="1"/>
      <w:numFmt w:val="lowerLetter"/>
      <w:isLgl w:val="false"/>
      <w:suff w:val="tab"/>
      <w:lvlText w:val="%2)"/>
      <w:lvlJc w:val="left"/>
      <w:pPr>
        <w:ind w:left="1240" w:hanging="440"/>
      </w:pPr>
    </w:lvl>
    <w:lvl w:ilvl="2">
      <w:start w:val="1"/>
      <w:numFmt w:val="decimal"/>
      <w:isLgl w:val="false"/>
      <w:suff w:val="tab"/>
      <w:lvlText w:val="%3."/>
      <w:lvlJc w:val="right"/>
      <w:pPr>
        <w:ind w:left="1680" w:hanging="440"/>
      </w:pPr>
    </w:lvl>
    <w:lvl w:ilvl="3">
      <w:start w:val="1"/>
      <w:numFmt w:val="decimal"/>
      <w:isLgl w:val="false"/>
      <w:suff w:val="tab"/>
      <w:lvlText w:val="%4."/>
      <w:lvlJc w:val="left"/>
      <w:pPr>
        <w:ind w:left="2120" w:hanging="440"/>
      </w:pPr>
    </w:lvl>
    <w:lvl w:ilvl="4">
      <w:start w:val="1"/>
      <w:numFmt w:val="lowerLetter"/>
      <w:isLgl w:val="false"/>
      <w:suff w:val="tab"/>
      <w:lvlText w:val="%5)"/>
      <w:lvlJc w:val="left"/>
      <w:pPr>
        <w:ind w:left="2560" w:hanging="440"/>
      </w:pPr>
    </w:lvl>
    <w:lvl w:ilvl="5">
      <w:start w:val="1"/>
      <w:numFmt w:val="decimal"/>
      <w:isLgl w:val="false"/>
      <w:suff w:val="tab"/>
      <w:lvlText w:val="%6."/>
      <w:lvlJc w:val="right"/>
      <w:pPr>
        <w:ind w:left="3000" w:hanging="440"/>
      </w:pPr>
    </w:lvl>
    <w:lvl w:ilvl="6">
      <w:start w:val="1"/>
      <w:numFmt w:val="decimal"/>
      <w:isLgl w:val="false"/>
      <w:suff w:val="tab"/>
      <w:lvlText w:val="%7."/>
      <w:lvlJc w:val="left"/>
      <w:pPr>
        <w:ind w:left="3440" w:hanging="440"/>
      </w:pPr>
    </w:lvl>
    <w:lvl w:ilvl="7">
      <w:start w:val="1"/>
      <w:numFmt w:val="lowerLetter"/>
      <w:isLgl w:val="false"/>
      <w:suff w:val="tab"/>
      <w:lvlText w:val="%8)"/>
      <w:lvlJc w:val="left"/>
      <w:pPr>
        <w:ind w:left="3880" w:hanging="440"/>
      </w:pPr>
    </w:lvl>
    <w:lvl w:ilvl="8">
      <w:start w:val="1"/>
      <w:numFmt w:val="decimal"/>
      <w:isLgl w:val="false"/>
      <w:suff w:val="tab"/>
      <w:lvlText w:val="%9."/>
      <w:lvlJc w:val="right"/>
      <w:pPr>
        <w:ind w:left="4320" w:hanging="440"/>
      </w:pPr>
    </w:lvl>
  </w:abstractNum>
  <w:abstractNum w:abstractNumId="7">
    <w:multiLevelType w:val="hybridMultilevel"/>
    <w:lvl w:ilvl="0">
      <w:start w:val="1"/>
      <w:numFmt w:val="decimal"/>
      <w:isLgl w:val="false"/>
      <w:suff w:val="nothing"/>
      <w:lvlText w:val="%1."/>
      <w:lvlJc w:val="left"/>
      <w:pPr>
        <w:ind w:left="720" w:hanging="360"/>
      </w:pPr>
      <w:rPr>
        <w:rFonts w:hint="default"/>
      </w:rPr>
    </w:lvl>
    <w:lvl w:ilvl="1">
      <w:start w:val="1"/>
      <w:numFmt w:val="lowerLetter"/>
      <w:isLgl w:val="false"/>
      <w:suff w:val="tab"/>
      <w:lvlText w:val="%2)"/>
      <w:lvlJc w:val="left"/>
      <w:pPr>
        <w:ind w:left="1240" w:hanging="440"/>
      </w:pPr>
    </w:lvl>
    <w:lvl w:ilvl="2">
      <w:start w:val="1"/>
      <w:numFmt w:val="lowerRoman"/>
      <w:isLgl w:val="false"/>
      <w:suff w:val="tab"/>
      <w:lvlText w:val="%3."/>
      <w:lvlJc w:val="right"/>
      <w:pPr>
        <w:ind w:left="1680" w:hanging="440"/>
      </w:pPr>
    </w:lvl>
    <w:lvl w:ilvl="3">
      <w:start w:val="1"/>
      <w:numFmt w:val="decimal"/>
      <w:isLgl w:val="false"/>
      <w:suff w:val="tab"/>
      <w:lvlText w:val="%4."/>
      <w:lvlJc w:val="left"/>
      <w:pPr>
        <w:ind w:left="2120" w:hanging="440"/>
      </w:pPr>
    </w:lvl>
    <w:lvl w:ilvl="4">
      <w:start w:val="1"/>
      <w:numFmt w:val="lowerLetter"/>
      <w:isLgl w:val="false"/>
      <w:suff w:val="tab"/>
      <w:lvlText w:val="%5)"/>
      <w:lvlJc w:val="left"/>
      <w:pPr>
        <w:ind w:left="2560" w:hanging="440"/>
      </w:pPr>
    </w:lvl>
    <w:lvl w:ilvl="5">
      <w:start w:val="1"/>
      <w:numFmt w:val="lowerRoman"/>
      <w:isLgl w:val="false"/>
      <w:suff w:val="tab"/>
      <w:lvlText w:val="%6."/>
      <w:lvlJc w:val="right"/>
      <w:pPr>
        <w:ind w:left="3000" w:hanging="440"/>
      </w:pPr>
    </w:lvl>
    <w:lvl w:ilvl="6">
      <w:start w:val="1"/>
      <w:numFmt w:val="decimal"/>
      <w:isLgl w:val="false"/>
      <w:suff w:val="tab"/>
      <w:lvlText w:val="%7."/>
      <w:lvlJc w:val="left"/>
      <w:pPr>
        <w:ind w:left="3440" w:hanging="440"/>
      </w:pPr>
    </w:lvl>
    <w:lvl w:ilvl="7">
      <w:start w:val="1"/>
      <w:numFmt w:val="lowerLetter"/>
      <w:isLgl w:val="false"/>
      <w:suff w:val="tab"/>
      <w:lvlText w:val="%8)"/>
      <w:lvlJc w:val="left"/>
      <w:pPr>
        <w:ind w:left="3880" w:hanging="440"/>
      </w:pPr>
    </w:lvl>
    <w:lvl w:ilvl="8">
      <w:start w:val="1"/>
      <w:numFmt w:val="lowerRoman"/>
      <w:isLgl w:val="false"/>
      <w:suff w:val="tab"/>
      <w:lvlText w:val="%9."/>
      <w:lvlJc w:val="right"/>
      <w:pPr>
        <w:ind w:left="4320" w:hanging="440"/>
      </w:pPr>
    </w:lvl>
  </w:abstractNum>
  <w:abstractNum w:abstractNumId="8">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bullet"/>
      <w:pStyle w:val="893"/>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japaneseCounting"/>
      <w:isLgl w:val="false"/>
      <w:suff w:val="nothing"/>
      <w:lvlText w:val="%1、"/>
      <w:lvlJc w:val="left"/>
      <w:pPr>
        <w:ind w:left="420" w:hanging="420"/>
      </w:pPr>
      <w:rPr>
        <w:rFonts w:hint="eastAsia"/>
      </w:rPr>
    </w:lvl>
    <w:lvl w:ilvl="1">
      <w:start w:val="1"/>
      <w:numFmt w:val="lowerLetter"/>
      <w:isLgl w:val="false"/>
      <w:suff w:val="tab"/>
      <w:lvlText w:val="%2)"/>
      <w:lvlJc w:val="left"/>
      <w:pPr>
        <w:ind w:left="880" w:hanging="440"/>
      </w:pPr>
      <w:rPr>
        <w:rFonts w:hint="eastAsia"/>
      </w:rPr>
    </w:lvl>
    <w:lvl w:ilvl="2">
      <w:start w:val="1"/>
      <w:numFmt w:val="lowerRoman"/>
      <w:isLgl w:val="false"/>
      <w:suff w:val="tab"/>
      <w:lvlText w:val="%3."/>
      <w:lvlJc w:val="right"/>
      <w:pPr>
        <w:ind w:left="1320" w:hanging="440"/>
      </w:pPr>
      <w:rPr>
        <w:rFonts w:hint="eastAsia"/>
      </w:rPr>
    </w:lvl>
    <w:lvl w:ilvl="3">
      <w:start w:val="1"/>
      <w:numFmt w:val="decimal"/>
      <w:isLgl w:val="false"/>
      <w:suff w:val="tab"/>
      <w:lvlText w:val="%4."/>
      <w:lvlJc w:val="left"/>
      <w:pPr>
        <w:ind w:left="1760" w:hanging="440"/>
      </w:pPr>
      <w:rPr>
        <w:rFonts w:hint="eastAsia"/>
      </w:rPr>
    </w:lvl>
    <w:lvl w:ilvl="4">
      <w:start w:val="1"/>
      <w:numFmt w:val="lowerLetter"/>
      <w:isLgl w:val="false"/>
      <w:suff w:val="tab"/>
      <w:lvlText w:val="%5)"/>
      <w:lvlJc w:val="left"/>
      <w:pPr>
        <w:ind w:left="2200" w:hanging="440"/>
      </w:pPr>
      <w:rPr>
        <w:rFonts w:hint="eastAsia"/>
      </w:rPr>
    </w:lvl>
    <w:lvl w:ilvl="5">
      <w:start w:val="1"/>
      <w:numFmt w:val="lowerRoman"/>
      <w:isLgl w:val="false"/>
      <w:suff w:val="tab"/>
      <w:lvlText w:val="%6."/>
      <w:lvlJc w:val="right"/>
      <w:pPr>
        <w:ind w:left="2640" w:hanging="440"/>
      </w:pPr>
      <w:rPr>
        <w:rFonts w:hint="eastAsia"/>
      </w:rPr>
    </w:lvl>
    <w:lvl w:ilvl="6">
      <w:start w:val="1"/>
      <w:numFmt w:val="decimal"/>
      <w:isLgl w:val="false"/>
      <w:suff w:val="tab"/>
      <w:lvlText w:val="%7."/>
      <w:lvlJc w:val="left"/>
      <w:pPr>
        <w:ind w:left="3080" w:hanging="440"/>
      </w:pPr>
      <w:rPr>
        <w:rFonts w:hint="eastAsia"/>
      </w:rPr>
    </w:lvl>
    <w:lvl w:ilvl="7">
      <w:start w:val="1"/>
      <w:numFmt w:val="lowerLetter"/>
      <w:isLgl w:val="false"/>
      <w:suff w:val="tab"/>
      <w:lvlText w:val="%8)"/>
      <w:lvlJc w:val="left"/>
      <w:pPr>
        <w:ind w:left="3520" w:hanging="440"/>
      </w:pPr>
      <w:rPr>
        <w:rFonts w:hint="eastAsia"/>
      </w:rPr>
    </w:lvl>
    <w:lvl w:ilvl="8">
      <w:start w:val="1"/>
      <w:numFmt w:val="lowerRoman"/>
      <w:isLgl w:val="false"/>
      <w:suff w:val="tab"/>
      <w:lvlText w:val="%9."/>
      <w:lvlJc w:val="right"/>
      <w:pPr>
        <w:ind w:left="3960" w:hanging="440"/>
      </w:pPr>
      <w:rPr>
        <w:rFonts w:hint="eastAsia"/>
      </w:rPr>
    </w:lvl>
  </w:abstractNum>
  <w:num w:numId="1">
    <w:abstractNumId w:val="4"/>
  </w:num>
  <w:num w:numId="2">
    <w:abstractNumId w:val="10"/>
  </w:num>
  <w:num w:numId="3">
    <w:abstractNumId w:val="3"/>
  </w:num>
  <w:num w:numId="4">
    <w:abstractNumId w:val="2"/>
  </w:num>
  <w:num w:numId="5">
    <w:abstractNumId w:val="1"/>
  </w:num>
  <w:num w:numId="6">
    <w:abstractNumId w:val="5"/>
  </w:num>
  <w:num w:numId="7">
    <w:abstractNumId w:val="8"/>
  </w:num>
  <w:num w:numId="8">
    <w:abstractNumId w:val="11"/>
  </w:num>
  <w:num w:numId="9">
    <w:abstractNumId w:val="0"/>
  </w:num>
  <w:num w:numId="10">
    <w:abstractNumId w:val="6"/>
  </w:num>
  <w:num w:numId="11">
    <w:abstractNumId w:val="7"/>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7">
    <w:name w:val="Title Char"/>
    <w:basedOn w:val="843"/>
    <w:link w:val="876"/>
    <w:uiPriority w:val="10"/>
    <w:rPr>
      <w:sz w:val="48"/>
      <w:szCs w:val="48"/>
    </w:rPr>
  </w:style>
  <w:style w:type="character" w:styleId="808">
    <w:name w:val="Subtitle Char"/>
    <w:basedOn w:val="843"/>
    <w:link w:val="867"/>
    <w:uiPriority w:val="11"/>
    <w:rPr>
      <w:sz w:val="24"/>
      <w:szCs w:val="24"/>
    </w:rPr>
  </w:style>
  <w:style w:type="character" w:styleId="809">
    <w:name w:val="Quote Char"/>
    <w:link w:val="909"/>
    <w:uiPriority w:val="29"/>
    <w:rPr>
      <w:i/>
    </w:rPr>
  </w:style>
  <w:style w:type="character" w:styleId="810">
    <w:name w:val="Intense Quote Char"/>
    <w:link w:val="911"/>
    <w:uiPriority w:val="30"/>
    <w:rPr>
      <w:i/>
    </w:rPr>
  </w:style>
  <w:style w:type="table" w:styleId="811">
    <w:name w:val="Plain Table 1"/>
    <w:basedOn w:val="84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2">
    <w:name w:val="Plain Table 2"/>
    <w:basedOn w:val="84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3">
    <w:name w:val="Plain Table 3"/>
    <w:basedOn w:val="8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4">
    <w:name w:val="Plain Table 4"/>
    <w:basedOn w:val="8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5">
    <w:name w:val="Plain Table 5"/>
    <w:basedOn w:val="8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6">
    <w:name w:val="Grid Table 1 Light"/>
    <w:basedOn w:val="84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7">
    <w:name w:val="Grid Table 2"/>
    <w:basedOn w:val="8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8">
    <w:name w:val="Grid Table 3"/>
    <w:basedOn w:val="8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4"/>
    <w:basedOn w:val="84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0">
    <w:name w:val="Grid Table 5 Dark"/>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1">
    <w:name w:val="Grid Table 6 Colorful"/>
    <w:basedOn w:val="84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2">
    <w:name w:val="Grid Table 7 Colorful"/>
    <w:basedOn w:val="84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3">
    <w:name w:val="List Table 1 Light"/>
    <w:basedOn w:val="84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4">
    <w:name w:val="List Table 2"/>
    <w:basedOn w:val="84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5">
    <w:name w:val="List Table 3"/>
    <w:basedOn w:val="8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6">
    <w:name w:val="List Table 4"/>
    <w:basedOn w:val="8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7">
    <w:name w:val="List Table 5 Dark"/>
    <w:basedOn w:val="84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6 Colorful"/>
    <w:basedOn w:val="84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9">
    <w:name w:val="List Table 7 Colorful"/>
    <w:basedOn w:val="84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30">
    <w:name w:val="Footnote Text Char"/>
    <w:link w:val="869"/>
    <w:uiPriority w:val="99"/>
    <w:rPr>
      <w:sz w:val="18"/>
    </w:rPr>
  </w:style>
  <w:style w:type="character" w:styleId="831">
    <w:name w:val="Endnote Text Char"/>
    <w:link w:val="861"/>
    <w:uiPriority w:val="99"/>
    <w:rPr>
      <w:sz w:val="20"/>
    </w:rPr>
  </w:style>
  <w:style w:type="paragraph" w:styleId="832">
    <w:name w:val="TOC Heading"/>
    <w:uiPriority w:val="39"/>
    <w:unhideWhenUsed/>
  </w:style>
  <w:style w:type="paragraph" w:styleId="833"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834">
    <w:name w:val="Heading 1"/>
    <w:basedOn w:val="833"/>
    <w:next w:val="833"/>
    <w:link w:val="1051"/>
    <w:uiPriority w:val="9"/>
    <w:qFormat/>
    <w:pPr>
      <w:keepLines/>
      <w:keepNext/>
      <w:spacing w:before="340" w:after="330" w:line="578" w:lineRule="auto"/>
      <w:outlineLvl w:val="0"/>
    </w:pPr>
    <w:rPr>
      <w:b/>
      <w:bCs/>
      <w:sz w:val="44"/>
      <w:szCs w:val="44"/>
    </w:rPr>
  </w:style>
  <w:style w:type="paragraph" w:styleId="835">
    <w:name w:val="Heading 2"/>
    <w:basedOn w:val="833"/>
    <w:next w:val="845"/>
    <w:link w:val="1052"/>
    <w:uiPriority w:val="9"/>
    <w:qFormat/>
    <w:pPr>
      <w:numPr>
        <w:ilvl w:val="1"/>
        <w:numId w:val="1"/>
      </w:numPr>
      <w:jc w:val="left"/>
      <w:keepLines/>
      <w:keepNext/>
      <w:spacing w:before="312" w:after="312"/>
      <w:outlineLvl w:val="1"/>
    </w:pPr>
    <w:rPr>
      <w:rFonts w:ascii="Arial" w:hAnsi="Arial"/>
      <w:b/>
      <w:bCs/>
      <w:sz w:val="28"/>
      <w:szCs w:val="36"/>
    </w:rPr>
  </w:style>
  <w:style w:type="paragraph" w:styleId="836">
    <w:name w:val="Heading 3"/>
    <w:basedOn w:val="833"/>
    <w:next w:val="833"/>
    <w:link w:val="1054"/>
    <w:uiPriority w:val="0"/>
    <w:qFormat/>
    <w:pPr>
      <w:numPr>
        <w:ilvl w:val="2"/>
        <w:numId w:val="1"/>
      </w:numPr>
      <w:jc w:val="left"/>
      <w:keepLines/>
      <w:keepNext/>
      <w:spacing w:before="312" w:after="312"/>
      <w:outlineLvl w:val="2"/>
    </w:pPr>
    <w:rPr>
      <w:rFonts w:ascii="Arial" w:hAnsi="Arial" w:eastAsia="黑体"/>
      <w:b/>
      <w:bCs/>
      <w:sz w:val="30"/>
      <w:szCs w:val="32"/>
    </w:rPr>
  </w:style>
  <w:style w:type="paragraph" w:styleId="837">
    <w:name w:val="Heading 4"/>
    <w:basedOn w:val="833"/>
    <w:next w:val="845"/>
    <w:link w:val="1055"/>
    <w:uiPriority w:val="0"/>
    <w:qFormat/>
    <w:pPr>
      <w:spacing w:before="280" w:after="290" w:line="377" w:lineRule="auto"/>
      <w:outlineLvl w:val="3"/>
    </w:pPr>
    <w:rPr>
      <w:rFonts w:ascii="Arial" w:hAnsi="Arial" w:eastAsia="黑体"/>
      <w:b/>
      <w:bCs/>
      <w:sz w:val="28"/>
      <w:szCs w:val="28"/>
    </w:rPr>
  </w:style>
  <w:style w:type="paragraph" w:styleId="838">
    <w:name w:val="Heading 5"/>
    <w:basedOn w:val="833"/>
    <w:next w:val="833"/>
    <w:link w:val="1056"/>
    <w:uiPriority w:val="0"/>
    <w:qFormat/>
    <w:pPr>
      <w:keepLines/>
      <w:keepNext/>
      <w:spacing w:before="280" w:after="290" w:line="376" w:lineRule="auto"/>
      <w:outlineLvl w:val="4"/>
    </w:pPr>
    <w:rPr>
      <w:rFonts w:ascii="Calibri" w:hAnsi="Calibri"/>
      <w:b/>
      <w:bCs/>
      <w:sz w:val="28"/>
      <w:szCs w:val="28"/>
    </w:rPr>
  </w:style>
  <w:style w:type="paragraph" w:styleId="839">
    <w:name w:val="Heading 6"/>
    <w:basedOn w:val="833"/>
    <w:next w:val="833"/>
    <w:link w:val="1057"/>
    <w:uiPriority w:val="0"/>
    <w:qFormat/>
    <w:pPr>
      <w:ind w:left="1152" w:hanging="1152"/>
      <w:keepLines/>
      <w:keepNext/>
      <w:spacing w:before="240" w:after="64" w:line="320" w:lineRule="auto"/>
      <w:outlineLvl w:val="5"/>
    </w:pPr>
    <w:rPr>
      <w:rFonts w:ascii="Cambria" w:hAnsi="Cambria"/>
      <w:b/>
      <w:bCs/>
      <w:sz w:val="24"/>
      <w:szCs w:val="24"/>
    </w:rPr>
  </w:style>
  <w:style w:type="paragraph" w:styleId="840">
    <w:name w:val="Heading 7"/>
    <w:basedOn w:val="833"/>
    <w:next w:val="833"/>
    <w:link w:val="1058"/>
    <w:uiPriority w:val="0"/>
    <w:qFormat/>
    <w:pPr>
      <w:ind w:left="1296" w:hanging="1296"/>
      <w:keepLines/>
      <w:keepNext/>
      <w:spacing w:before="240" w:after="64" w:line="320" w:lineRule="auto"/>
      <w:outlineLvl w:val="6"/>
    </w:pPr>
    <w:rPr>
      <w:b/>
      <w:bCs/>
      <w:sz w:val="24"/>
      <w:szCs w:val="24"/>
    </w:rPr>
  </w:style>
  <w:style w:type="paragraph" w:styleId="841">
    <w:name w:val="Heading 8"/>
    <w:basedOn w:val="833"/>
    <w:next w:val="833"/>
    <w:link w:val="1059"/>
    <w:uiPriority w:val="0"/>
    <w:qFormat/>
    <w:pPr>
      <w:ind w:left="1440" w:hanging="1440"/>
      <w:keepLines/>
      <w:keepNext/>
      <w:spacing w:before="240" w:after="64" w:line="320" w:lineRule="auto"/>
      <w:outlineLvl w:val="7"/>
    </w:pPr>
    <w:rPr>
      <w:rFonts w:ascii="Cambria" w:hAnsi="Cambria"/>
      <w:sz w:val="24"/>
      <w:szCs w:val="24"/>
    </w:rPr>
  </w:style>
  <w:style w:type="paragraph" w:styleId="842">
    <w:name w:val="Heading 9"/>
    <w:basedOn w:val="833"/>
    <w:next w:val="833"/>
    <w:link w:val="1060"/>
    <w:uiPriority w:val="0"/>
    <w:qFormat/>
    <w:pPr>
      <w:ind w:left="1584" w:hanging="1584"/>
      <w:keepLines/>
      <w:keepNext/>
      <w:spacing w:before="240" w:after="64" w:line="320" w:lineRule="auto"/>
      <w:outlineLvl w:val="8"/>
    </w:pPr>
    <w:rPr>
      <w:rFonts w:ascii="Cambria" w:hAnsi="Cambria"/>
      <w:sz w:val="20"/>
      <w:szCs w:val="21"/>
    </w:rPr>
  </w:style>
  <w:style w:type="character" w:styleId="843" w:default="1">
    <w:name w:val="Default Paragraph Font"/>
    <w:uiPriority w:val="1"/>
    <w:semiHidden/>
    <w:unhideWhenUsed/>
    <w:qFormat/>
  </w:style>
  <w:style w:type="table" w:styleId="844" w:default="1">
    <w:name w:val="Normal Table"/>
    <w:uiPriority w:val="99"/>
    <w:semiHidden/>
    <w:unhideWhenUsed/>
    <w:qFormat/>
    <w:tblPr>
      <w:tblCellMar>
        <w:left w:w="108" w:type="dxa"/>
        <w:top w:w="0" w:type="dxa"/>
        <w:right w:w="108" w:type="dxa"/>
        <w:bottom w:w="0" w:type="dxa"/>
      </w:tblCellMar>
    </w:tblPr>
  </w:style>
  <w:style w:type="paragraph" w:styleId="845">
    <w:name w:val="Normal Indent"/>
    <w:basedOn w:val="833"/>
    <w:link w:val="1053"/>
    <w:uiPriority w:val="0"/>
    <w:unhideWhenUsed/>
    <w:qFormat/>
    <w:pPr>
      <w:ind w:firstLine="420"/>
    </w:pPr>
  </w:style>
  <w:style w:type="paragraph" w:styleId="846">
    <w:name w:val="toc 7"/>
    <w:basedOn w:val="833"/>
    <w:next w:val="833"/>
    <w:uiPriority w:val="39"/>
    <w:unhideWhenUsed/>
    <w:qFormat/>
    <w:pPr>
      <w:ind w:left="1701"/>
      <w:spacing w:after="57"/>
    </w:pPr>
  </w:style>
  <w:style w:type="paragraph" w:styleId="847">
    <w:name w:val="Caption"/>
    <w:basedOn w:val="833"/>
    <w:next w:val="833"/>
    <w:uiPriority w:val="0"/>
    <w:qFormat/>
    <w:rPr>
      <w:rFonts w:ascii="Arial" w:hAnsi="Arial" w:eastAsia="黑体"/>
      <w:sz w:val="20"/>
    </w:rPr>
  </w:style>
  <w:style w:type="paragraph" w:styleId="848">
    <w:name w:val="Document Map"/>
    <w:basedOn w:val="833"/>
    <w:link w:val="1061"/>
    <w:uiPriority w:val="0"/>
    <w:qFormat/>
    <w:rPr>
      <w:rFonts w:ascii="宋体"/>
      <w:sz w:val="18"/>
      <w:szCs w:val="18"/>
    </w:rPr>
  </w:style>
  <w:style w:type="paragraph" w:styleId="849">
    <w:name w:val="annotation text"/>
    <w:basedOn w:val="833"/>
    <w:link w:val="1062"/>
    <w:uiPriority w:val="99"/>
    <w:unhideWhenUsed/>
    <w:qFormat/>
    <w:pPr>
      <w:jc w:val="left"/>
    </w:pPr>
    <w:rPr>
      <w:sz w:val="20"/>
      <w:szCs w:val="24"/>
    </w:rPr>
  </w:style>
  <w:style w:type="paragraph" w:styleId="850">
    <w:name w:val="Body Text 3"/>
    <w:basedOn w:val="833"/>
    <w:link w:val="1063"/>
    <w:uiPriority w:val="0"/>
    <w:qFormat/>
    <w:rPr>
      <w:rFonts w:ascii="宋体"/>
      <w:sz w:val="24"/>
      <w:szCs w:val="20"/>
    </w:rPr>
  </w:style>
  <w:style w:type="paragraph" w:styleId="851">
    <w:name w:val="Body Text"/>
    <w:basedOn w:val="833"/>
    <w:link w:val="1064"/>
    <w:uiPriority w:val="0"/>
    <w:qFormat/>
    <w:rPr>
      <w:rFonts w:ascii="楷体_GB2312" w:hAnsi="Arial" w:eastAsia="楷体_GB2312"/>
      <w:sz w:val="28"/>
      <w:szCs w:val="28"/>
    </w:rPr>
  </w:style>
  <w:style w:type="paragraph" w:styleId="852">
    <w:name w:val="Body Text Indent"/>
    <w:basedOn w:val="833"/>
    <w:next w:val="853"/>
    <w:link w:val="1065"/>
    <w:uiPriority w:val="99"/>
    <w:qFormat/>
    <w:pPr>
      <w:ind w:left="420"/>
      <w:spacing w:after="120"/>
    </w:pPr>
    <w:rPr>
      <w:sz w:val="20"/>
      <w:szCs w:val="24"/>
    </w:rPr>
  </w:style>
  <w:style w:type="paragraph" w:styleId="853">
    <w:name w:val="envelope return"/>
    <w:basedOn w:val="833"/>
    <w:uiPriority w:val="0"/>
    <w:qFormat/>
    <w:rPr>
      <w:rFonts w:ascii="Arial" w:hAnsi="Arial"/>
    </w:rPr>
  </w:style>
  <w:style w:type="paragraph" w:styleId="854">
    <w:name w:val="List Bullet 2"/>
    <w:basedOn w:val="833"/>
    <w:uiPriority w:val="99"/>
    <w:unhideWhenUsed/>
    <w:qFormat/>
    <w:pPr>
      <w:ind w:left="780" w:hanging="360"/>
      <w:tabs>
        <w:tab w:val="left" w:pos="780" w:leader="none"/>
      </w:tabs>
    </w:pPr>
  </w:style>
  <w:style w:type="paragraph" w:styleId="855">
    <w:name w:val="toc 5"/>
    <w:basedOn w:val="833"/>
    <w:next w:val="833"/>
    <w:uiPriority w:val="39"/>
    <w:unhideWhenUsed/>
    <w:qFormat/>
    <w:pPr>
      <w:ind w:left="1134"/>
      <w:spacing w:after="57"/>
    </w:pPr>
  </w:style>
  <w:style w:type="paragraph" w:styleId="856">
    <w:name w:val="toc 3"/>
    <w:basedOn w:val="833"/>
    <w:next w:val="833"/>
    <w:uiPriority w:val="39"/>
    <w:unhideWhenUsed/>
    <w:qFormat/>
    <w:pPr>
      <w:ind w:left="840"/>
    </w:pPr>
    <w:rPr>
      <w:rFonts w:ascii="Calibri" w:hAnsi="Calibri"/>
    </w:rPr>
  </w:style>
  <w:style w:type="paragraph" w:styleId="857">
    <w:name w:val="Plain Text"/>
    <w:basedOn w:val="833"/>
    <w:link w:val="1066"/>
    <w:uiPriority w:val="0"/>
    <w:qFormat/>
    <w:rPr>
      <w:rFonts w:ascii="宋体" w:hAnsi="Courier New"/>
      <w:sz w:val="20"/>
      <w:szCs w:val="21"/>
    </w:rPr>
  </w:style>
  <w:style w:type="paragraph" w:styleId="858">
    <w:name w:val="toc 8"/>
    <w:basedOn w:val="833"/>
    <w:next w:val="833"/>
    <w:uiPriority w:val="39"/>
    <w:unhideWhenUsed/>
    <w:qFormat/>
    <w:pPr>
      <w:ind w:left="1984"/>
      <w:spacing w:after="57"/>
    </w:pPr>
  </w:style>
  <w:style w:type="paragraph" w:styleId="859">
    <w:name w:val="Date"/>
    <w:basedOn w:val="833"/>
    <w:next w:val="833"/>
    <w:uiPriority w:val="0"/>
    <w:semiHidden/>
    <w:qFormat/>
    <w:rPr>
      <w:szCs w:val="20"/>
    </w:rPr>
  </w:style>
  <w:style w:type="paragraph" w:styleId="860">
    <w:name w:val="Body Text Indent 2"/>
    <w:basedOn w:val="833"/>
    <w:link w:val="1067"/>
    <w:uiPriority w:val="0"/>
    <w:qFormat/>
    <w:pPr>
      <w:ind w:firstLine="562"/>
      <w:spacing w:line="480" w:lineRule="exact"/>
    </w:pPr>
    <w:rPr>
      <w:rFonts w:ascii="楷体_GB2312" w:eastAsia="楷体_GB2312"/>
      <w:b/>
      <w:bCs/>
      <w:sz w:val="28"/>
      <w:szCs w:val="24"/>
    </w:rPr>
  </w:style>
  <w:style w:type="paragraph" w:styleId="861">
    <w:name w:val="endnote text"/>
    <w:basedOn w:val="833"/>
    <w:link w:val="1042"/>
    <w:uiPriority w:val="99"/>
    <w:semiHidden/>
    <w:unhideWhenUsed/>
    <w:qFormat/>
    <w:rPr>
      <w:sz w:val="20"/>
    </w:rPr>
  </w:style>
  <w:style w:type="paragraph" w:styleId="862">
    <w:name w:val="Balloon Text"/>
    <w:basedOn w:val="833"/>
    <w:link w:val="1068"/>
    <w:uiPriority w:val="99"/>
    <w:unhideWhenUsed/>
    <w:qFormat/>
    <w:rPr>
      <w:sz w:val="18"/>
      <w:szCs w:val="18"/>
    </w:rPr>
  </w:style>
  <w:style w:type="paragraph" w:styleId="863">
    <w:name w:val="Footer"/>
    <w:basedOn w:val="833"/>
    <w:link w:val="1069"/>
    <w:uiPriority w:val="99"/>
    <w:unhideWhenUsed/>
    <w:qFormat/>
    <w:pPr>
      <w:jc w:val="left"/>
      <w:tabs>
        <w:tab w:val="center" w:pos="4153" w:leader="none"/>
        <w:tab w:val="right" w:pos="8306" w:leader="none"/>
      </w:tabs>
    </w:pPr>
    <w:rPr>
      <w:sz w:val="18"/>
      <w:szCs w:val="18"/>
    </w:rPr>
  </w:style>
  <w:style w:type="paragraph" w:styleId="864">
    <w:name w:val="Header"/>
    <w:basedOn w:val="833"/>
    <w:link w:val="1070"/>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65">
    <w:name w:val="toc 1"/>
    <w:basedOn w:val="833"/>
    <w:next w:val="833"/>
    <w:uiPriority w:val="39"/>
    <w:unhideWhenUsed/>
    <w:qFormat/>
    <w:rPr>
      <w:rFonts w:ascii="Calibri" w:hAnsi="Calibri"/>
    </w:rPr>
  </w:style>
  <w:style w:type="paragraph" w:styleId="866">
    <w:name w:val="toc 4"/>
    <w:basedOn w:val="833"/>
    <w:next w:val="833"/>
    <w:uiPriority w:val="39"/>
    <w:unhideWhenUsed/>
    <w:qFormat/>
    <w:pPr>
      <w:ind w:left="850"/>
      <w:spacing w:after="57"/>
    </w:pPr>
  </w:style>
  <w:style w:type="paragraph" w:styleId="867">
    <w:name w:val="Subtitle"/>
    <w:basedOn w:val="833"/>
    <w:next w:val="833"/>
    <w:link w:val="908"/>
    <w:uiPriority w:val="11"/>
    <w:qFormat/>
    <w:pPr>
      <w:spacing w:before="200" w:after="200"/>
    </w:pPr>
    <w:rPr>
      <w:sz w:val="24"/>
      <w:szCs w:val="24"/>
    </w:rPr>
  </w:style>
  <w:style w:type="paragraph" w:styleId="868">
    <w:name w:val="List"/>
    <w:basedOn w:val="833"/>
    <w:uiPriority w:val="99"/>
    <w:qFormat/>
    <w:pPr>
      <w:ind w:left="200" w:hanging="200"/>
    </w:pPr>
    <w:rPr>
      <w:szCs w:val="24"/>
    </w:rPr>
  </w:style>
  <w:style w:type="paragraph" w:styleId="869">
    <w:name w:val="footnote text"/>
    <w:basedOn w:val="833"/>
    <w:link w:val="1041"/>
    <w:uiPriority w:val="99"/>
    <w:semiHidden/>
    <w:unhideWhenUsed/>
    <w:qFormat/>
    <w:pPr>
      <w:spacing w:after="40"/>
    </w:pPr>
    <w:rPr>
      <w:sz w:val="18"/>
    </w:rPr>
  </w:style>
  <w:style w:type="paragraph" w:styleId="870">
    <w:name w:val="toc 6"/>
    <w:basedOn w:val="833"/>
    <w:next w:val="833"/>
    <w:uiPriority w:val="39"/>
    <w:unhideWhenUsed/>
    <w:qFormat/>
    <w:pPr>
      <w:ind w:left="1417"/>
      <w:spacing w:after="57"/>
    </w:pPr>
  </w:style>
  <w:style w:type="paragraph" w:styleId="871">
    <w:name w:val="table of figures"/>
    <w:basedOn w:val="833"/>
    <w:next w:val="833"/>
    <w:uiPriority w:val="0"/>
    <w:semiHidden/>
    <w:qFormat/>
    <w:pPr>
      <w:ind w:left="840" w:hanging="420"/>
      <w:spacing w:before="156" w:after="156"/>
    </w:pPr>
    <w:rPr>
      <w:sz w:val="24"/>
      <w:szCs w:val="24"/>
    </w:rPr>
  </w:style>
  <w:style w:type="paragraph" w:styleId="872">
    <w:name w:val="toc 2"/>
    <w:basedOn w:val="833"/>
    <w:next w:val="833"/>
    <w:uiPriority w:val="39"/>
    <w:unhideWhenUsed/>
    <w:qFormat/>
    <w:pPr>
      <w:ind w:left="420"/>
    </w:pPr>
    <w:rPr>
      <w:rFonts w:ascii="Calibri" w:hAnsi="Calibri"/>
    </w:rPr>
  </w:style>
  <w:style w:type="paragraph" w:styleId="873">
    <w:name w:val="toc 9"/>
    <w:basedOn w:val="833"/>
    <w:next w:val="833"/>
    <w:uiPriority w:val="0"/>
    <w:semiHidden/>
    <w:qFormat/>
    <w:pPr>
      <w:ind w:left="3360"/>
    </w:pPr>
  </w:style>
  <w:style w:type="paragraph" w:styleId="874">
    <w:name w:val="Body Text 2"/>
    <w:basedOn w:val="833"/>
    <w:uiPriority w:val="0"/>
    <w:qFormat/>
    <w:pPr>
      <w:spacing w:after="120" w:line="480" w:lineRule="auto"/>
    </w:pPr>
  </w:style>
  <w:style w:type="paragraph" w:styleId="875">
    <w:name w:val="Normal (Web)"/>
    <w:basedOn w:val="833"/>
    <w:uiPriority w:val="99"/>
    <w:unhideWhenUsed/>
    <w:qFormat/>
    <w:rPr>
      <w:sz w:val="24"/>
    </w:rPr>
  </w:style>
  <w:style w:type="paragraph" w:styleId="876">
    <w:name w:val="Title"/>
    <w:basedOn w:val="833"/>
    <w:next w:val="833"/>
    <w:link w:val="907"/>
    <w:uiPriority w:val="10"/>
    <w:qFormat/>
    <w:pPr>
      <w:contextualSpacing/>
      <w:spacing w:before="300" w:after="200"/>
    </w:pPr>
    <w:rPr>
      <w:sz w:val="48"/>
      <w:szCs w:val="48"/>
    </w:rPr>
  </w:style>
  <w:style w:type="paragraph" w:styleId="877">
    <w:name w:val="annotation subject"/>
    <w:basedOn w:val="849"/>
    <w:next w:val="849"/>
    <w:link w:val="1071"/>
    <w:uiPriority w:val="99"/>
    <w:unhideWhenUsed/>
    <w:qFormat/>
    <w:rPr>
      <w:b/>
      <w:bCs/>
      <w:szCs w:val="20"/>
    </w:rPr>
  </w:style>
  <w:style w:type="paragraph" w:styleId="878">
    <w:name w:val="Body Text First Indent"/>
    <w:basedOn w:val="851"/>
    <w:uiPriority w:val="0"/>
    <w:qFormat/>
    <w:pPr>
      <w:ind w:left="300" w:firstLine="420"/>
      <w:spacing w:after="120"/>
    </w:pPr>
    <w:rPr>
      <w:rFonts w:ascii="宋体" w:hAnsi="Verdana"/>
      <w:lang w:val="en-GB"/>
    </w:rPr>
  </w:style>
  <w:style w:type="paragraph" w:styleId="879">
    <w:name w:val="Body Text First Indent 2"/>
    <w:basedOn w:val="852"/>
    <w:link w:val="1072"/>
    <w:uiPriority w:val="99"/>
    <w:qFormat/>
    <w:pPr>
      <w:ind w:firstLine="420"/>
    </w:pPr>
  </w:style>
  <w:style w:type="table" w:styleId="880">
    <w:name w:val="Table Grid"/>
    <w:basedOn w:val="844"/>
    <w:uiPriority w:val="3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1">
    <w:name w:val="Strong"/>
    <w:uiPriority w:val="22"/>
    <w:qFormat/>
    <w:rPr>
      <w:rFonts w:ascii="Tahoma" w:hAnsi="Tahoma" w:eastAsia="宋体"/>
      <w:b/>
      <w:bCs/>
      <w:spacing w:val="10"/>
      <w:sz w:val="24"/>
      <w:lang w:val="en-US" w:eastAsia="zh-CN" w:bidi="ar-SA"/>
    </w:rPr>
  </w:style>
  <w:style w:type="character" w:styleId="882">
    <w:name w:val="endnote reference"/>
    <w:basedOn w:val="843"/>
    <w:uiPriority w:val="99"/>
    <w:semiHidden/>
    <w:unhideWhenUsed/>
    <w:qFormat/>
    <w:rPr>
      <w:vertAlign w:val="superscript"/>
    </w:rPr>
  </w:style>
  <w:style w:type="character" w:styleId="883">
    <w:name w:val="page number"/>
    <w:uiPriority w:val="0"/>
    <w:qFormat/>
  </w:style>
  <w:style w:type="character" w:styleId="884">
    <w:name w:val="FollowedHyperlink"/>
    <w:uiPriority w:val="99"/>
    <w:unhideWhenUsed/>
    <w:qFormat/>
    <w:rPr>
      <w:color w:val="333333"/>
      <w:u w:val="none"/>
    </w:rPr>
  </w:style>
  <w:style w:type="character" w:styleId="885">
    <w:name w:val="Emphasis"/>
    <w:uiPriority w:val="0"/>
    <w:qFormat/>
    <w:rPr>
      <w:rFonts w:ascii="Times New Roman" w:hAnsi="Times New Roman"/>
      <w:i/>
      <w:iCs/>
      <w:sz w:val="21"/>
      <w:szCs w:val="20"/>
    </w:rPr>
  </w:style>
  <w:style w:type="character" w:styleId="886">
    <w:name w:val="HTML Definition"/>
    <w:uiPriority w:val="99"/>
    <w:unhideWhenUsed/>
    <w:qFormat/>
    <w:rPr>
      <w:i/>
    </w:rPr>
  </w:style>
  <w:style w:type="character" w:styleId="887">
    <w:name w:val="Hyperlink"/>
    <w:uiPriority w:val="99"/>
    <w:unhideWhenUsed/>
    <w:qFormat/>
    <w:rPr>
      <w:color w:val="333333"/>
      <w:u w:val="none"/>
    </w:rPr>
  </w:style>
  <w:style w:type="character" w:styleId="888">
    <w:name w:val="HTML Code"/>
    <w:uiPriority w:val="99"/>
    <w:unhideWhenUsed/>
    <w:qFormat/>
    <w:rPr>
      <w:rFonts w:ascii="Consolas" w:hAnsi="Consolas" w:eastAsia="Consolas" w:cs="Consolas"/>
      <w:color w:val="c7254e"/>
      <w:sz w:val="21"/>
      <w:szCs w:val="21"/>
      <w:shd w:val="clear" w:color="auto" w:fill="f9f2f4"/>
    </w:rPr>
  </w:style>
  <w:style w:type="character" w:styleId="889">
    <w:name w:val="annotation reference"/>
    <w:uiPriority w:val="99"/>
    <w:unhideWhenUsed/>
    <w:qFormat/>
    <w:rPr>
      <w:sz w:val="21"/>
      <w:szCs w:val="21"/>
    </w:rPr>
  </w:style>
  <w:style w:type="character" w:styleId="890">
    <w:name w:val="footnote reference"/>
    <w:basedOn w:val="843"/>
    <w:uiPriority w:val="99"/>
    <w:unhideWhenUsed/>
    <w:qFormat/>
    <w:rPr>
      <w:vertAlign w:val="superscript"/>
    </w:rPr>
  </w:style>
  <w:style w:type="character" w:styleId="891">
    <w:name w:val="HTML Keyboard"/>
    <w:uiPriority w:val="99"/>
    <w:unhideWhenUsed/>
    <w:qFormat/>
    <w:rPr>
      <w:rFonts w:hint="default" w:ascii="Consolas" w:hAnsi="Consolas" w:eastAsia="Consolas" w:cs="Consolas"/>
      <w:color w:val="ffffff"/>
      <w:sz w:val="21"/>
      <w:szCs w:val="21"/>
      <w:shd w:val="clear" w:color="auto" w:fill="333333"/>
    </w:rPr>
  </w:style>
  <w:style w:type="character" w:styleId="892">
    <w:name w:val="HTML Sample"/>
    <w:uiPriority w:val="99"/>
    <w:unhideWhenUsed/>
    <w:qFormat/>
    <w:rPr>
      <w:rFonts w:hint="default" w:ascii="Consolas" w:hAnsi="Consolas" w:eastAsia="Consolas" w:cs="Consolas"/>
      <w:sz w:val="21"/>
      <w:szCs w:val="21"/>
    </w:rPr>
  </w:style>
  <w:style w:type="paragraph" w:styleId="893" w:customStyle="1">
    <w:name w:val="ListBullet2"/>
    <w:basedOn w:val="833"/>
    <w:uiPriority w:val="0"/>
    <w:qFormat/>
    <w:pPr>
      <w:numPr>
        <w:ilvl w:val="0"/>
        <w:numId w:val="2"/>
      </w:numPr>
    </w:pPr>
  </w:style>
  <w:style w:type="paragraph" w:styleId="894" w:customStyle="1">
    <w:name w:val="首行缩进"/>
    <w:basedOn w:val="833"/>
    <w:uiPriority w:val="0"/>
    <w:qFormat/>
    <w:pPr>
      <w:ind w:firstLine="420"/>
      <w:spacing w:line="360" w:lineRule="auto"/>
    </w:pPr>
  </w:style>
  <w:style w:type="paragraph" w:styleId="895" w:customStyle="1">
    <w:name w:val="正文文本11"/>
    <w:basedOn w:val="833"/>
    <w:next w:val="833"/>
    <w:uiPriority w:val="0"/>
    <w:qFormat/>
    <w:rPr>
      <w:rFonts w:ascii="楷体_GB2312" w:hAnsi="Arial" w:eastAsia="楷体_GB2312"/>
      <w:sz w:val="28"/>
      <w:szCs w:val="28"/>
    </w:rPr>
  </w:style>
  <w:style w:type="paragraph" w:styleId="896" w:customStyle="1">
    <w:name w:val="ListBullet21"/>
    <w:basedOn w:val="833"/>
    <w:uiPriority w:val="0"/>
    <w:qFormat/>
    <w:pPr>
      <w:numPr>
        <w:ilvl w:val="0"/>
        <w:numId w:val="3"/>
      </w:numPr>
    </w:pPr>
  </w:style>
  <w:style w:type="character" w:styleId="897" w:customStyle="1">
    <w:name w:val="Heading 1 Char"/>
    <w:basedOn w:val="843"/>
    <w:uiPriority w:val="9"/>
    <w:qFormat/>
    <w:rPr>
      <w:rFonts w:ascii="Arial" w:hAnsi="Arial" w:eastAsia="Arial" w:cs="Arial"/>
      <w:sz w:val="40"/>
      <w:szCs w:val="40"/>
    </w:rPr>
  </w:style>
  <w:style w:type="character" w:styleId="898" w:customStyle="1">
    <w:name w:val="Heading 2 Char"/>
    <w:basedOn w:val="843"/>
    <w:uiPriority w:val="9"/>
    <w:qFormat/>
    <w:rPr>
      <w:rFonts w:ascii="Arial" w:hAnsi="Arial" w:eastAsia="Arial" w:cs="Arial"/>
      <w:sz w:val="34"/>
    </w:rPr>
  </w:style>
  <w:style w:type="character" w:styleId="899" w:customStyle="1">
    <w:name w:val="Heading 3 Char"/>
    <w:basedOn w:val="843"/>
    <w:uiPriority w:val="9"/>
    <w:qFormat/>
    <w:rPr>
      <w:rFonts w:ascii="Arial" w:hAnsi="Arial" w:eastAsia="Arial" w:cs="Arial"/>
      <w:sz w:val="30"/>
      <w:szCs w:val="30"/>
    </w:rPr>
  </w:style>
  <w:style w:type="character" w:styleId="900" w:customStyle="1">
    <w:name w:val="Heading 4 Char"/>
    <w:basedOn w:val="843"/>
    <w:uiPriority w:val="9"/>
    <w:qFormat/>
    <w:rPr>
      <w:rFonts w:ascii="Arial" w:hAnsi="Arial" w:eastAsia="Arial" w:cs="Arial"/>
      <w:b/>
      <w:bCs/>
      <w:sz w:val="26"/>
      <w:szCs w:val="26"/>
    </w:rPr>
  </w:style>
  <w:style w:type="character" w:styleId="901" w:customStyle="1">
    <w:name w:val="Heading 5 Char"/>
    <w:basedOn w:val="843"/>
    <w:uiPriority w:val="9"/>
    <w:qFormat/>
    <w:rPr>
      <w:rFonts w:ascii="Arial" w:hAnsi="Arial" w:eastAsia="Arial" w:cs="Arial"/>
      <w:b/>
      <w:bCs/>
      <w:sz w:val="24"/>
      <w:szCs w:val="24"/>
    </w:rPr>
  </w:style>
  <w:style w:type="character" w:styleId="902" w:customStyle="1">
    <w:name w:val="Heading 6 Char"/>
    <w:basedOn w:val="843"/>
    <w:uiPriority w:val="9"/>
    <w:qFormat/>
    <w:rPr>
      <w:rFonts w:ascii="Arial" w:hAnsi="Arial" w:eastAsia="Arial" w:cs="Arial"/>
      <w:b/>
      <w:bCs/>
      <w:sz w:val="22"/>
      <w:szCs w:val="22"/>
    </w:rPr>
  </w:style>
  <w:style w:type="character" w:styleId="903" w:customStyle="1">
    <w:name w:val="Heading 8 Char"/>
    <w:basedOn w:val="843"/>
    <w:uiPriority w:val="9"/>
    <w:qFormat/>
    <w:rPr>
      <w:rFonts w:ascii="Arial" w:hAnsi="Arial" w:eastAsia="Arial" w:cs="Arial"/>
      <w:i/>
      <w:iCs/>
      <w:sz w:val="22"/>
      <w:szCs w:val="22"/>
    </w:rPr>
  </w:style>
  <w:style w:type="character" w:styleId="904" w:customStyle="1">
    <w:name w:val="Heading 9 Char"/>
    <w:basedOn w:val="843"/>
    <w:uiPriority w:val="9"/>
    <w:qFormat/>
    <w:rPr>
      <w:rFonts w:ascii="Arial" w:hAnsi="Arial" w:eastAsia="Arial" w:cs="Arial"/>
      <w:i/>
      <w:iCs/>
      <w:sz w:val="21"/>
      <w:szCs w:val="21"/>
    </w:rPr>
  </w:style>
  <w:style w:type="paragraph" w:styleId="905">
    <w:name w:val="List Paragraph"/>
    <w:basedOn w:val="833"/>
    <w:uiPriority w:val="34"/>
    <w:qFormat/>
    <w:pPr>
      <w:contextualSpacing/>
      <w:ind w:left="720"/>
    </w:pPr>
  </w:style>
  <w:style w:type="paragraph" w:styleId="906">
    <w:name w:val="No Spacing"/>
    <w:uiPriority w:val="1"/>
    <w:qFormat/>
    <w:rPr>
      <w:rFonts w:ascii="Times New Roman" w:hAnsi="Times New Roman" w:eastAsia="宋体" w:cs="Times New Roman"/>
      <w:lang w:val="en-US" w:eastAsia="zh-CN" w:bidi="ar-SA"/>
    </w:rPr>
  </w:style>
  <w:style w:type="character" w:styleId="907" w:customStyle="1">
    <w:name w:val="标题 字符"/>
    <w:basedOn w:val="843"/>
    <w:link w:val="876"/>
    <w:uiPriority w:val="10"/>
    <w:qFormat/>
    <w:rPr>
      <w:sz w:val="48"/>
      <w:szCs w:val="48"/>
    </w:rPr>
  </w:style>
  <w:style w:type="character" w:styleId="908" w:customStyle="1">
    <w:name w:val="副标题 字符"/>
    <w:basedOn w:val="843"/>
    <w:link w:val="867"/>
    <w:uiPriority w:val="11"/>
    <w:qFormat/>
    <w:rPr>
      <w:sz w:val="24"/>
      <w:szCs w:val="24"/>
    </w:rPr>
  </w:style>
  <w:style w:type="paragraph" w:styleId="909">
    <w:name w:val="Quote"/>
    <w:basedOn w:val="833"/>
    <w:next w:val="833"/>
    <w:link w:val="910"/>
    <w:uiPriority w:val="29"/>
    <w:qFormat/>
    <w:pPr>
      <w:ind w:left="720" w:right="720"/>
    </w:pPr>
    <w:rPr>
      <w:i/>
    </w:rPr>
  </w:style>
  <w:style w:type="character" w:styleId="910" w:customStyle="1">
    <w:name w:val="引用 字符"/>
    <w:link w:val="909"/>
    <w:uiPriority w:val="29"/>
    <w:qFormat/>
    <w:rPr>
      <w:i/>
    </w:rPr>
  </w:style>
  <w:style w:type="paragraph" w:styleId="911">
    <w:name w:val="Intense Quote"/>
    <w:basedOn w:val="833"/>
    <w:next w:val="833"/>
    <w:link w:val="91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2" w:customStyle="1">
    <w:name w:val="明显引用 字符"/>
    <w:link w:val="911"/>
    <w:uiPriority w:val="30"/>
    <w:qFormat/>
    <w:rPr>
      <w:i/>
    </w:rPr>
  </w:style>
  <w:style w:type="character" w:styleId="913" w:customStyle="1">
    <w:name w:val="Header Char"/>
    <w:basedOn w:val="843"/>
    <w:uiPriority w:val="99"/>
    <w:qFormat/>
  </w:style>
  <w:style w:type="character" w:styleId="914" w:customStyle="1">
    <w:name w:val="Footer Char"/>
    <w:basedOn w:val="843"/>
    <w:uiPriority w:val="99"/>
    <w:qFormat/>
  </w:style>
  <w:style w:type="character" w:styleId="915" w:customStyle="1">
    <w:name w:val="Caption Char"/>
    <w:uiPriority w:val="99"/>
    <w:qFormat/>
  </w:style>
  <w:style w:type="table" w:styleId="916" w:customStyle="1">
    <w:name w:val="Table Grid Light"/>
    <w:basedOn w:val="84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17" w:customStyle="1">
    <w:name w:val="无格式表格 11"/>
    <w:basedOn w:val="84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8" w:customStyle="1">
    <w:name w:val="无格式表格 21"/>
    <w:basedOn w:val="84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9" w:customStyle="1">
    <w:name w:val="无格式表格 31"/>
    <w:basedOn w:val="84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0" w:customStyle="1">
    <w:name w:val="无格式表格 41"/>
    <w:basedOn w:val="84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1" w:customStyle="1">
    <w:name w:val="无格式表格 51"/>
    <w:basedOn w:val="84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2" w:customStyle="1">
    <w:name w:val="网格表 1 浅色1"/>
    <w:basedOn w:val="84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3" w:customStyle="1">
    <w:name w:val="Grid Table 1 Light - Accent 1"/>
    <w:basedOn w:val="844"/>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4" w:customStyle="1">
    <w:name w:val="Grid Table 1 Light - Accent 2"/>
    <w:basedOn w:val="844"/>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5" w:customStyle="1">
    <w:name w:val="Grid Table 1 Light - Accent 3"/>
    <w:basedOn w:val="84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26" w:customStyle="1">
    <w:name w:val="Grid Table 1 Light - Accent 4"/>
    <w:basedOn w:val="84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27" w:customStyle="1">
    <w:name w:val="Grid Table 1 Light - Accent 5"/>
    <w:basedOn w:val="844"/>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28" w:customStyle="1">
    <w:name w:val="Grid Table 1 Light - Accent 6"/>
    <w:basedOn w:val="84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29" w:customStyle="1">
    <w:name w:val="网格表 21"/>
    <w:basedOn w:val="84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0" w:customStyle="1">
    <w:name w:val="Grid Table 2 - Accent 1"/>
    <w:basedOn w:val="844"/>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1" w:customStyle="1">
    <w:name w:val="Grid Table 2 - Accent 2"/>
    <w:basedOn w:val="844"/>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2" w:customStyle="1">
    <w:name w:val="Grid Table 2 - Accent 3"/>
    <w:basedOn w:val="844"/>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3" w:customStyle="1">
    <w:name w:val="Grid Table 2 - Accent 4"/>
    <w:basedOn w:val="84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4" w:customStyle="1">
    <w:name w:val="Grid Table 2 - Accent 5"/>
    <w:basedOn w:val="844"/>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5" w:customStyle="1">
    <w:name w:val="Grid Table 2 - Accent 6"/>
    <w:basedOn w:val="844"/>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6" w:customStyle="1">
    <w:name w:val="网格表 31"/>
    <w:basedOn w:val="84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Grid Table 3 - Accent 1"/>
    <w:basedOn w:val="844"/>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8" w:customStyle="1">
    <w:name w:val="Grid Table 3 - Accent 2"/>
    <w:basedOn w:val="844"/>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3 - Accent 3"/>
    <w:basedOn w:val="844"/>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3 - Accent 4"/>
    <w:basedOn w:val="84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5"/>
    <w:basedOn w:val="844"/>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6"/>
    <w:basedOn w:val="844"/>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网格表 41"/>
    <w:basedOn w:val="84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4" w:customStyle="1">
    <w:name w:val="Grid Table 4 - Accent 1"/>
    <w:basedOn w:val="844"/>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45" w:customStyle="1">
    <w:name w:val="Grid Table 4 - Accent 2"/>
    <w:basedOn w:val="844"/>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46" w:customStyle="1">
    <w:name w:val="Grid Table 4 - Accent 3"/>
    <w:basedOn w:val="844"/>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47" w:customStyle="1">
    <w:name w:val="Grid Table 4 - Accent 4"/>
    <w:basedOn w:val="84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48" w:customStyle="1">
    <w:name w:val="Grid Table 4 - Accent 5"/>
    <w:basedOn w:val="844"/>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49" w:customStyle="1">
    <w:name w:val="Grid Table 4 - Accent 6"/>
    <w:basedOn w:val="844"/>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0" w:customStyle="1">
    <w:name w:val="网格表 5 深色1"/>
    <w:basedOn w:val="84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1" w:customStyle="1">
    <w:name w:val="Grid Table 5 Dark- Accent 1"/>
    <w:basedOn w:val="84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2" w:customStyle="1">
    <w:name w:val="Grid Table 5 Dark - Accent 2"/>
    <w:basedOn w:val="84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3" w:customStyle="1">
    <w:name w:val="Grid Table 5 Dark - Accent 3"/>
    <w:basedOn w:val="84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4" w:customStyle="1">
    <w:name w:val="Grid Table 5 Dark- Accent 4"/>
    <w:basedOn w:val="84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5" w:customStyle="1">
    <w:name w:val="Grid Table 5 Dark - Accent 5"/>
    <w:basedOn w:val="84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6" w:customStyle="1">
    <w:name w:val="Grid Table 5 Dark - Accent 6"/>
    <w:basedOn w:val="84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7" w:customStyle="1">
    <w:name w:val="网格表 6 彩色1"/>
    <w:basedOn w:val="84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8" w:customStyle="1">
    <w:name w:val="Grid Table 6 Colorful - Accent 1"/>
    <w:basedOn w:val="844"/>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59" w:customStyle="1">
    <w:name w:val="Grid Table 6 Colorful - Accent 2"/>
    <w:basedOn w:val="844"/>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60" w:customStyle="1">
    <w:name w:val="Grid Table 6 Colorful - Accent 3"/>
    <w:basedOn w:val="844"/>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61" w:customStyle="1">
    <w:name w:val="Grid Table 6 Colorful - Accent 4"/>
    <w:basedOn w:val="84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62" w:customStyle="1">
    <w:name w:val="Grid Table 6 Colorful - Accent 5"/>
    <w:basedOn w:val="844"/>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3" w:customStyle="1">
    <w:name w:val="Grid Table 6 Colorful - Accent 6"/>
    <w:basedOn w:val="844"/>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4" w:customStyle="1">
    <w:name w:val="网格表 7 彩色1"/>
    <w:basedOn w:val="84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5" w:customStyle="1">
    <w:name w:val="Grid Table 7 Colorful - Accent 1"/>
    <w:basedOn w:val="844"/>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6" w:customStyle="1">
    <w:name w:val="Grid Table 7 Colorful - Accent 2"/>
    <w:basedOn w:val="844"/>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7" w:customStyle="1">
    <w:name w:val="Grid Table 7 Colorful - Accent 3"/>
    <w:basedOn w:val="844"/>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68" w:customStyle="1">
    <w:name w:val="Grid Table 7 Colorful - Accent 4"/>
    <w:basedOn w:val="84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9" w:customStyle="1">
    <w:name w:val="Grid Table 7 Colorful - Accent 5"/>
    <w:basedOn w:val="844"/>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0" w:customStyle="1">
    <w:name w:val="Grid Table 7 Colorful - Accent 6"/>
    <w:basedOn w:val="844"/>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1" w:customStyle="1">
    <w:name w:val="清单表 1 浅色1"/>
    <w:basedOn w:val="84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2" w:customStyle="1">
    <w:name w:val="List Table 1 Light - Accent 1"/>
    <w:basedOn w:val="844"/>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3" w:customStyle="1">
    <w:name w:val="List Table 1 Light - Accent 2"/>
    <w:basedOn w:val="844"/>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4" w:customStyle="1">
    <w:name w:val="List Table 1 Light - Accent 3"/>
    <w:basedOn w:val="844"/>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5" w:customStyle="1">
    <w:name w:val="List Table 1 Light - Accent 4"/>
    <w:basedOn w:val="844"/>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6" w:customStyle="1">
    <w:name w:val="List Table 1 Light - Accent 5"/>
    <w:basedOn w:val="844"/>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7" w:customStyle="1">
    <w:name w:val="List Table 1 Light - Accent 6"/>
    <w:basedOn w:val="844"/>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78" w:customStyle="1">
    <w:name w:val="清单表 21"/>
    <w:basedOn w:val="84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9" w:customStyle="1">
    <w:name w:val="List Table 2 - Accent 1"/>
    <w:basedOn w:val="844"/>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80" w:customStyle="1">
    <w:name w:val="List Table 2 - Accent 2"/>
    <w:basedOn w:val="844"/>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81" w:customStyle="1">
    <w:name w:val="List Table 2 - Accent 3"/>
    <w:basedOn w:val="844"/>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82" w:customStyle="1">
    <w:name w:val="List Table 2 - Accent 4"/>
    <w:basedOn w:val="84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83" w:customStyle="1">
    <w:name w:val="List Table 2 - Accent 5"/>
    <w:basedOn w:val="844"/>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84" w:customStyle="1">
    <w:name w:val="List Table 2 - Accent 6"/>
    <w:basedOn w:val="844"/>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85" w:customStyle="1">
    <w:name w:val="清单表 31"/>
    <w:basedOn w:val="84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6" w:customStyle="1">
    <w:name w:val="List Table 3 - Accent 1"/>
    <w:basedOn w:val="844"/>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7" w:customStyle="1">
    <w:name w:val="List Table 3 - Accent 2"/>
    <w:basedOn w:val="844"/>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88" w:customStyle="1">
    <w:name w:val="List Table 3 - Accent 3"/>
    <w:basedOn w:val="844"/>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89" w:customStyle="1">
    <w:name w:val="List Table 3 - Accent 4"/>
    <w:basedOn w:val="84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0" w:customStyle="1">
    <w:name w:val="List Table 3 - Accent 5"/>
    <w:basedOn w:val="844"/>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91" w:customStyle="1">
    <w:name w:val="List Table 3 - Accent 6"/>
    <w:basedOn w:val="844"/>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92" w:customStyle="1">
    <w:name w:val="清单表 41"/>
    <w:basedOn w:val="84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3" w:customStyle="1">
    <w:name w:val="List Table 4 - Accent 1"/>
    <w:basedOn w:val="844"/>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4" w:customStyle="1">
    <w:name w:val="List Table 4 - Accent 2"/>
    <w:basedOn w:val="844"/>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95" w:customStyle="1">
    <w:name w:val="List Table 4 - Accent 3"/>
    <w:basedOn w:val="844"/>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96" w:customStyle="1">
    <w:name w:val="List Table 4 - Accent 4"/>
    <w:basedOn w:val="84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97" w:customStyle="1">
    <w:name w:val="List Table 4 - Accent 5"/>
    <w:basedOn w:val="844"/>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98" w:customStyle="1">
    <w:name w:val="List Table 4 - Accent 6"/>
    <w:basedOn w:val="844"/>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99" w:customStyle="1">
    <w:name w:val="清单表 5 深色1"/>
    <w:basedOn w:val="84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0" w:customStyle="1">
    <w:name w:val="List Table 5 Dark - Accent 1"/>
    <w:basedOn w:val="844"/>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1" w:customStyle="1">
    <w:name w:val="List Table 5 Dark - Accent 2"/>
    <w:basedOn w:val="844"/>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2" w:customStyle="1">
    <w:name w:val="List Table 5 Dark - Accent 3"/>
    <w:basedOn w:val="844"/>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3" w:customStyle="1">
    <w:name w:val="List Table 5 Dark - Accent 4"/>
    <w:basedOn w:val="84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4" w:customStyle="1">
    <w:name w:val="List Table 5 Dark - Accent 5"/>
    <w:basedOn w:val="844"/>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5" w:customStyle="1">
    <w:name w:val="List Table 5 Dark - Accent 6"/>
    <w:basedOn w:val="844"/>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6" w:customStyle="1">
    <w:name w:val="清单表 6 彩色1"/>
    <w:basedOn w:val="84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7" w:customStyle="1">
    <w:name w:val="List Table 6 Colorful - Accent 1"/>
    <w:basedOn w:val="844"/>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08" w:customStyle="1">
    <w:name w:val="List Table 6 Colorful - Accent 2"/>
    <w:basedOn w:val="844"/>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09" w:customStyle="1">
    <w:name w:val="List Table 6 Colorful - Accent 3"/>
    <w:basedOn w:val="844"/>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10" w:customStyle="1">
    <w:name w:val="List Table 6 Colorful - Accent 4"/>
    <w:basedOn w:val="844"/>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11" w:customStyle="1">
    <w:name w:val="List Table 6 Colorful - Accent 5"/>
    <w:basedOn w:val="844"/>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12" w:customStyle="1">
    <w:name w:val="List Table 6 Colorful - Accent 6"/>
    <w:basedOn w:val="844"/>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13" w:customStyle="1">
    <w:name w:val="清单表 7 彩色1"/>
    <w:basedOn w:val="84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4" w:customStyle="1">
    <w:name w:val="List Table 7 Colorful - Accent 1"/>
    <w:basedOn w:val="844"/>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15" w:customStyle="1">
    <w:name w:val="List Table 7 Colorful - Accent 2"/>
    <w:basedOn w:val="844"/>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6" w:customStyle="1">
    <w:name w:val="List Table 7 Colorful - Accent 3"/>
    <w:basedOn w:val="844"/>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17" w:customStyle="1">
    <w:name w:val="List Table 7 Colorful - Accent 4"/>
    <w:basedOn w:val="844"/>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8" w:customStyle="1">
    <w:name w:val="List Table 7 Colorful - Accent 5"/>
    <w:basedOn w:val="844"/>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19" w:customStyle="1">
    <w:name w:val="List Table 7 Colorful - Accent 6"/>
    <w:basedOn w:val="844"/>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0" w:customStyle="1">
    <w:name w:val="Lined - Accent"/>
    <w:basedOn w:val="84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1" w:customStyle="1">
    <w:name w:val="Lined - Accent 1"/>
    <w:basedOn w:val="84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2" w:customStyle="1">
    <w:name w:val="Lined - Accent 2"/>
    <w:basedOn w:val="84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3" w:customStyle="1">
    <w:name w:val="Lined - Accent 3"/>
    <w:basedOn w:val="84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4" w:customStyle="1">
    <w:name w:val="Lined - Accent 4"/>
    <w:basedOn w:val="84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5" w:customStyle="1">
    <w:name w:val="Lined - Accent 5"/>
    <w:basedOn w:val="84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6" w:customStyle="1">
    <w:name w:val="Lined - Accent 6"/>
    <w:basedOn w:val="84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7" w:customStyle="1">
    <w:name w:val="Bordered &amp; Lined - Accent"/>
    <w:basedOn w:val="84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8" w:customStyle="1">
    <w:name w:val="Bordered &amp; Lined - Accent 1"/>
    <w:basedOn w:val="844"/>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9" w:customStyle="1">
    <w:name w:val="Bordered &amp; Lined - Accent 2"/>
    <w:basedOn w:val="844"/>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0" w:customStyle="1">
    <w:name w:val="Bordered &amp; Lined - Accent 3"/>
    <w:basedOn w:val="844"/>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1" w:customStyle="1">
    <w:name w:val="Bordered &amp; Lined - Accent 4"/>
    <w:basedOn w:val="84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2" w:customStyle="1">
    <w:name w:val="Bordered &amp; Lined - Accent 5"/>
    <w:basedOn w:val="844"/>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3" w:customStyle="1">
    <w:name w:val="Bordered &amp; Lined - Accent 6"/>
    <w:basedOn w:val="844"/>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4" w:customStyle="1">
    <w:name w:val="Bordered"/>
    <w:basedOn w:val="84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5" w:customStyle="1">
    <w:name w:val="Bordered - Accent 1"/>
    <w:basedOn w:val="844"/>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36" w:customStyle="1">
    <w:name w:val="Bordered - Accent 2"/>
    <w:basedOn w:val="844"/>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37" w:customStyle="1">
    <w:name w:val="Bordered - Accent 3"/>
    <w:basedOn w:val="84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38" w:customStyle="1">
    <w:name w:val="Bordered - Accent 4"/>
    <w:basedOn w:val="84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39" w:customStyle="1">
    <w:name w:val="Bordered - Accent 5"/>
    <w:basedOn w:val="844"/>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0" w:customStyle="1">
    <w:name w:val="Bordered - Accent 6"/>
    <w:basedOn w:val="84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41" w:customStyle="1">
    <w:name w:val="脚注文本 字符"/>
    <w:link w:val="869"/>
    <w:uiPriority w:val="99"/>
    <w:qFormat/>
    <w:rPr>
      <w:sz w:val="18"/>
    </w:rPr>
  </w:style>
  <w:style w:type="character" w:styleId="1042" w:customStyle="1">
    <w:name w:val="尾注文本 字符"/>
    <w:link w:val="861"/>
    <w:uiPriority w:val="99"/>
    <w:qFormat/>
    <w:rPr>
      <w:sz w:val="20"/>
    </w:rPr>
  </w:style>
  <w:style w:type="paragraph" w:styleId="1043" w:customStyle="1">
    <w:name w:val="TOC 标题1"/>
    <w:uiPriority w:val="39"/>
    <w:unhideWhenUsed/>
    <w:qFormat/>
    <w:rPr>
      <w:rFonts w:ascii="Times New Roman" w:hAnsi="Times New Roman" w:eastAsia="宋体" w:cs="Times New Roman"/>
      <w:lang w:val="en-US" w:eastAsia="zh-CN" w:bidi="ar-SA"/>
    </w:rPr>
  </w:style>
  <w:style w:type="paragraph" w:styleId="1044" w:customStyle="1">
    <w:name w:val="正文（缩进）"/>
    <w:basedOn w:val="833"/>
    <w:next w:val="1045"/>
    <w:uiPriority w:val="0"/>
    <w:qFormat/>
    <w:pPr>
      <w:ind w:firstLine="480"/>
    </w:pPr>
  </w:style>
  <w:style w:type="paragraph" w:styleId="1045" w:customStyle="1">
    <w:name w:val="Char Char Char Char Char Char Char Char Char"/>
    <w:basedOn w:val="833"/>
    <w:next w:val="1046"/>
    <w:uiPriority w:val="99"/>
    <w:qFormat/>
    <w:pPr>
      <w:ind w:left="360" w:firstLine="5784"/>
    </w:pPr>
  </w:style>
  <w:style w:type="paragraph" w:styleId="1046" w:customStyle="1">
    <w:name w:val="正文文本 21"/>
    <w:basedOn w:val="833"/>
    <w:next w:val="1047"/>
    <w:uiPriority w:val="99"/>
    <w:qFormat/>
    <w:pPr>
      <w:ind w:left="720" w:firstLine="5680"/>
      <w:widowControl/>
    </w:pPr>
  </w:style>
  <w:style w:type="paragraph" w:styleId="1047" w:customStyle="1">
    <w:name w:val="默认段落字体 Para Char Char Char Char Char Char Char"/>
    <w:basedOn w:val="833"/>
    <w:next w:val="1048"/>
    <w:uiPriority w:val="99"/>
    <w:qFormat/>
    <w:pPr>
      <w:ind w:firstLine="200"/>
    </w:pPr>
    <w:rPr>
      <w:rFonts w:cs="Arial"/>
    </w:rPr>
  </w:style>
  <w:style w:type="paragraph" w:styleId="1048" w:customStyle="1">
    <w:name w:val="样式 首行缩进:  2 字符"/>
    <w:basedOn w:val="833"/>
    <w:next w:val="1049"/>
    <w:uiPriority w:val="99"/>
    <w:qFormat/>
    <w:pPr>
      <w:ind w:left="480" w:firstLine="5856"/>
      <w:spacing w:line="360" w:lineRule="auto"/>
    </w:pPr>
  </w:style>
  <w:style w:type="paragraph" w:styleId="1049" w:customStyle="1">
    <w:name w:val="样式 段后: 0.25 行"/>
    <w:basedOn w:val="833"/>
    <w:next w:val="1050"/>
    <w:uiPriority w:val="99"/>
    <w:qFormat/>
    <w:pPr>
      <w:ind w:left="420" w:firstLine="5796"/>
      <w:spacing w:line="300" w:lineRule="auto"/>
      <w:widowControl/>
    </w:pPr>
  </w:style>
  <w:style w:type="paragraph" w:styleId="1050" w:customStyle="1">
    <w:name w:val="正文 New New New New New New New New New New New New New New"/>
    <w:next w:val="873"/>
    <w:uiPriority w:val="99"/>
    <w:qFormat/>
    <w:pPr>
      <w:ind w:firstLine="2048"/>
      <w:jc w:val="both"/>
      <w:widowControl w:val="off"/>
    </w:pPr>
    <w:rPr>
      <w:rFonts w:ascii="Calibri" w:hAnsi="Calibri" w:eastAsia="宋体" w:cs="Times New Roman"/>
      <w:lang w:val="en-US" w:eastAsia="zh-CN" w:bidi="ar-SA"/>
    </w:rPr>
  </w:style>
  <w:style w:type="character" w:styleId="1051" w:customStyle="1">
    <w:name w:val="标题 1 字符"/>
    <w:link w:val="834"/>
    <w:uiPriority w:val="9"/>
    <w:qFormat/>
    <w:rPr>
      <w:b/>
      <w:bCs/>
      <w:sz w:val="44"/>
      <w:szCs w:val="44"/>
    </w:rPr>
  </w:style>
  <w:style w:type="character" w:styleId="1052" w:customStyle="1">
    <w:name w:val="标题 2 字符"/>
    <w:link w:val="835"/>
    <w:uiPriority w:val="9"/>
    <w:qFormat/>
    <w:rPr>
      <w:rFonts w:ascii="Arial" w:hAnsi="Arial" w:eastAsia="宋体" w:cs="Times New Roman"/>
      <w:b/>
      <w:bCs/>
      <w:sz w:val="28"/>
      <w:szCs w:val="36"/>
    </w:rPr>
  </w:style>
  <w:style w:type="character" w:styleId="1053" w:customStyle="1">
    <w:name w:val="正文缩进 字符"/>
    <w:link w:val="845"/>
    <w:uiPriority w:val="0"/>
    <w:qFormat/>
  </w:style>
  <w:style w:type="character" w:styleId="1054" w:customStyle="1">
    <w:name w:val="标题 3 字符"/>
    <w:link w:val="836"/>
    <w:uiPriority w:val="0"/>
    <w:qFormat/>
    <w:rPr>
      <w:rFonts w:ascii="Arial" w:hAnsi="Arial" w:eastAsia="黑体" w:cs="Times New Roman"/>
      <w:b/>
      <w:bCs/>
      <w:sz w:val="30"/>
      <w:szCs w:val="32"/>
    </w:rPr>
  </w:style>
  <w:style w:type="character" w:styleId="1055" w:customStyle="1">
    <w:name w:val="标题 4 字符"/>
    <w:link w:val="837"/>
    <w:uiPriority w:val="0"/>
    <w:qFormat/>
    <w:rPr>
      <w:rFonts w:ascii="Arial" w:hAnsi="Arial" w:eastAsia="黑体" w:cs="Arial"/>
      <w:b/>
      <w:bCs/>
      <w:sz w:val="28"/>
      <w:szCs w:val="28"/>
    </w:rPr>
  </w:style>
  <w:style w:type="character" w:styleId="1056" w:customStyle="1">
    <w:name w:val="标题 5 字符1"/>
    <w:link w:val="838"/>
    <w:uiPriority w:val="0"/>
    <w:qFormat/>
    <w:rPr>
      <w:rFonts w:ascii="Calibri" w:hAnsi="Calibri" w:eastAsia="宋体" w:cs="Times New Roman"/>
      <w:b/>
      <w:bCs/>
      <w:sz w:val="28"/>
      <w:szCs w:val="28"/>
    </w:rPr>
  </w:style>
  <w:style w:type="character" w:styleId="1057" w:customStyle="1">
    <w:name w:val="标题 6 字符"/>
    <w:link w:val="839"/>
    <w:uiPriority w:val="0"/>
    <w:qFormat/>
    <w:rPr>
      <w:rFonts w:ascii="Cambria" w:hAnsi="Cambria" w:eastAsia="宋体" w:cs="Times New Roman"/>
      <w:b/>
      <w:bCs/>
      <w:sz w:val="24"/>
      <w:szCs w:val="24"/>
    </w:rPr>
  </w:style>
  <w:style w:type="character" w:styleId="1058" w:customStyle="1">
    <w:name w:val="标题 7 字符"/>
    <w:link w:val="840"/>
    <w:uiPriority w:val="0"/>
    <w:qFormat/>
    <w:rPr>
      <w:rFonts w:ascii="Times New Roman" w:hAnsi="Times New Roman" w:eastAsia="宋体" w:cs="Times New Roman"/>
      <w:b/>
      <w:bCs/>
      <w:sz w:val="24"/>
      <w:szCs w:val="24"/>
    </w:rPr>
  </w:style>
  <w:style w:type="character" w:styleId="1059" w:customStyle="1">
    <w:name w:val="标题 8 字符"/>
    <w:link w:val="841"/>
    <w:uiPriority w:val="0"/>
    <w:qFormat/>
    <w:rPr>
      <w:rFonts w:ascii="Cambria" w:hAnsi="Cambria" w:eastAsia="宋体" w:cs="Times New Roman"/>
      <w:sz w:val="24"/>
      <w:szCs w:val="24"/>
    </w:rPr>
  </w:style>
  <w:style w:type="character" w:styleId="1060" w:customStyle="1">
    <w:name w:val="标题 9 字符"/>
    <w:link w:val="842"/>
    <w:uiPriority w:val="0"/>
    <w:qFormat/>
    <w:rPr>
      <w:rFonts w:ascii="Cambria" w:hAnsi="Cambria" w:eastAsia="宋体" w:cs="Times New Roman"/>
      <w:sz w:val="20"/>
      <w:szCs w:val="21"/>
    </w:rPr>
  </w:style>
  <w:style w:type="character" w:styleId="1061" w:customStyle="1">
    <w:name w:val="文档结构图 字符"/>
    <w:link w:val="848"/>
    <w:uiPriority w:val="0"/>
    <w:qFormat/>
    <w:rPr>
      <w:rFonts w:ascii="宋体" w:hAnsi="Times New Roman"/>
      <w:sz w:val="18"/>
      <w:szCs w:val="18"/>
    </w:rPr>
  </w:style>
  <w:style w:type="character" w:styleId="1062" w:customStyle="1">
    <w:name w:val="批注文字 字符"/>
    <w:link w:val="849"/>
    <w:uiPriority w:val="99"/>
    <w:qFormat/>
    <w:rPr>
      <w:rFonts w:ascii="Times New Roman" w:hAnsi="Times New Roman" w:eastAsia="宋体" w:cs="Times New Roman"/>
      <w:szCs w:val="24"/>
    </w:rPr>
  </w:style>
  <w:style w:type="character" w:styleId="1063" w:customStyle="1">
    <w:name w:val="正文文本 3 字符"/>
    <w:link w:val="850"/>
    <w:uiPriority w:val="0"/>
    <w:qFormat/>
    <w:rPr>
      <w:rFonts w:ascii="宋体" w:hAnsi="Times New Roman"/>
      <w:sz w:val="24"/>
    </w:rPr>
  </w:style>
  <w:style w:type="character" w:styleId="1064" w:customStyle="1">
    <w:name w:val="正文文本 字符"/>
    <w:link w:val="851"/>
    <w:uiPriority w:val="0"/>
    <w:qFormat/>
    <w:rPr>
      <w:rFonts w:ascii="楷体_GB2312" w:hAnsi="Arial" w:eastAsia="楷体_GB2312" w:cs="Times New Roman"/>
      <w:sz w:val="28"/>
      <w:szCs w:val="28"/>
    </w:rPr>
  </w:style>
  <w:style w:type="character" w:styleId="1065" w:customStyle="1">
    <w:name w:val="正文文本缩进 字符"/>
    <w:link w:val="852"/>
    <w:uiPriority w:val="99"/>
    <w:qFormat/>
    <w:rPr>
      <w:rFonts w:ascii="Times New Roman" w:hAnsi="Times New Roman"/>
      <w:szCs w:val="24"/>
    </w:rPr>
  </w:style>
  <w:style w:type="character" w:styleId="1066" w:customStyle="1">
    <w:name w:val="纯文本 字符"/>
    <w:link w:val="857"/>
    <w:uiPriority w:val="0"/>
    <w:qFormat/>
    <w:rPr>
      <w:rFonts w:ascii="宋体" w:hAnsi="Courier New" w:eastAsia="宋体" w:cs="Times New Roman"/>
      <w:szCs w:val="21"/>
    </w:rPr>
  </w:style>
  <w:style w:type="character" w:styleId="1067" w:customStyle="1">
    <w:name w:val="正文文本缩进 2 字符"/>
    <w:link w:val="860"/>
    <w:uiPriority w:val="0"/>
    <w:qFormat/>
    <w:rPr>
      <w:rFonts w:ascii="楷体_GB2312" w:hAnsi="Times New Roman" w:eastAsia="楷体_GB2312"/>
      <w:b/>
      <w:bCs/>
      <w:sz w:val="28"/>
      <w:szCs w:val="24"/>
    </w:rPr>
  </w:style>
  <w:style w:type="character" w:styleId="1068" w:customStyle="1">
    <w:name w:val="批注框文本 字符"/>
    <w:link w:val="862"/>
    <w:uiPriority w:val="99"/>
    <w:qFormat/>
    <w:rPr>
      <w:sz w:val="18"/>
      <w:szCs w:val="18"/>
    </w:rPr>
  </w:style>
  <w:style w:type="character" w:styleId="1069" w:customStyle="1">
    <w:name w:val="页脚 字符"/>
    <w:link w:val="863"/>
    <w:uiPriority w:val="99"/>
    <w:qFormat/>
    <w:rPr>
      <w:rFonts w:ascii="Times New Roman" w:hAnsi="Times New Roman" w:eastAsia="宋体" w:cs="Times New Roman"/>
      <w:sz w:val="18"/>
      <w:szCs w:val="18"/>
    </w:rPr>
  </w:style>
  <w:style w:type="character" w:styleId="1070" w:customStyle="1">
    <w:name w:val="页眉 字符"/>
    <w:link w:val="864"/>
    <w:uiPriority w:val="99"/>
    <w:qFormat/>
    <w:rPr>
      <w:rFonts w:ascii="Times New Roman" w:hAnsi="Times New Roman" w:eastAsia="宋体" w:cs="Times New Roman"/>
      <w:sz w:val="18"/>
      <w:szCs w:val="18"/>
    </w:rPr>
  </w:style>
  <w:style w:type="character" w:styleId="1071" w:customStyle="1">
    <w:name w:val="批注主题 字符"/>
    <w:link w:val="877"/>
    <w:uiPriority w:val="99"/>
    <w:qFormat/>
    <w:rPr>
      <w:b/>
      <w:bCs/>
    </w:rPr>
  </w:style>
  <w:style w:type="character" w:styleId="1072" w:customStyle="1">
    <w:name w:val="正文文本首行缩进 2 字符"/>
    <w:link w:val="879"/>
    <w:uiPriority w:val="99"/>
    <w:qFormat/>
    <w:rPr>
      <w:szCs w:val="24"/>
    </w:rPr>
  </w:style>
  <w:style w:type="paragraph" w:styleId="1073" w:customStyle="1">
    <w:name w:val="正文1"/>
    <w:basedOn w:val="833"/>
    <w:next w:val="1074"/>
    <w:link w:val="1079"/>
    <w:uiPriority w:val="99"/>
    <w:qFormat/>
    <w:pPr>
      <w:ind w:firstLine="480"/>
      <w:spacing w:line="440" w:lineRule="exact"/>
    </w:pPr>
    <w:rPr>
      <w:rFonts w:ascii="微软雅黑" w:hAnsi="微软雅黑" w:eastAsia="微软雅黑"/>
      <w:sz w:val="24"/>
      <w:szCs w:val="20"/>
    </w:rPr>
  </w:style>
  <w:style w:type="paragraph" w:styleId="1074" w:customStyle="1">
    <w:name w:val="正文文本1"/>
    <w:basedOn w:val="1073"/>
    <w:next w:val="1075"/>
    <w:uiPriority w:val="0"/>
    <w:qFormat/>
    <w:pPr>
      <w:spacing w:after="120"/>
    </w:pPr>
    <w:rPr>
      <w:lang w:eastAsia="en-US"/>
    </w:rPr>
  </w:style>
  <w:style w:type="paragraph" w:styleId="1075" w:customStyle="1">
    <w:name w:val="一级条标题"/>
    <w:basedOn w:val="1076"/>
    <w:next w:val="107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76" w:customStyle="1">
    <w:name w:val="章标题"/>
    <w:next w:val="1077"/>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077" w:customStyle="1">
    <w:name w:val="正文11"/>
    <w:next w:val="1073"/>
    <w:uiPriority w:val="0"/>
    <w:qFormat/>
    <w:pPr>
      <w:jc w:val="both"/>
      <w:widowControl w:val="off"/>
    </w:pPr>
    <w:rPr>
      <w:rFonts w:ascii="Times New Roman" w:hAnsi="Times New Roman" w:eastAsia="宋体" w:cs="Times New Roman"/>
      <w:sz w:val="21"/>
      <w:szCs w:val="22"/>
      <w:lang w:val="en-US" w:eastAsia="zh-CN" w:bidi="ar-SA"/>
    </w:rPr>
  </w:style>
  <w:style w:type="paragraph" w:styleId="1078" w:customStyle="1">
    <w:name w:val="段"/>
    <w:next w:val="1077"/>
    <w:uiPriority w:val="0"/>
    <w:qFormat/>
    <w:pPr>
      <w:ind w:firstLine="420"/>
      <w:jc w:val="both"/>
      <w:tabs>
        <w:tab w:val="center" w:pos="4201" w:leader="none"/>
        <w:tab w:val="right" w:pos="9298" w:leader="dot"/>
      </w:tabs>
    </w:pPr>
    <w:rPr>
      <w:rFonts w:ascii="宋体" w:hAnsi="Times New Roman" w:eastAsia="宋体" w:cs="Times New Roman"/>
      <w:lang w:val="en-US" w:eastAsia="zh-CN" w:bidi="ar-SA"/>
    </w:rPr>
  </w:style>
  <w:style w:type="character" w:styleId="1079" w:customStyle="1">
    <w:name w:val="正文1 Char Char"/>
    <w:link w:val="1073"/>
    <w:uiPriority w:val="99"/>
    <w:qFormat/>
    <w:rPr>
      <w:rFonts w:ascii="微软雅黑" w:hAnsi="微软雅黑" w:eastAsia="微软雅黑"/>
      <w:sz w:val="24"/>
    </w:rPr>
  </w:style>
  <w:style w:type="character" w:styleId="1080" w:customStyle="1">
    <w:name w:val="ca-161"/>
    <w:uiPriority w:val="0"/>
    <w:qFormat/>
    <w:rPr>
      <w:rFonts w:hint="eastAsia" w:ascii="宋体" w:hAnsi="宋体" w:eastAsia="宋体"/>
      <w:spacing w:val="0"/>
      <w:sz w:val="21"/>
      <w:szCs w:val="21"/>
    </w:rPr>
  </w:style>
  <w:style w:type="character" w:styleId="1081" w:customStyle="1">
    <w:name w:val="列出段落 Char"/>
    <w:link w:val="1082"/>
    <w:uiPriority w:val="0"/>
    <w:qFormat/>
    <w:rPr>
      <w:rFonts w:ascii="Calibri" w:hAnsi="Calibri" w:eastAsia="宋体" w:cs="Times New Roman"/>
    </w:rPr>
  </w:style>
  <w:style w:type="paragraph" w:styleId="1082" w:customStyle="1">
    <w:name w:val="列出段落1"/>
    <w:basedOn w:val="833"/>
    <w:link w:val="1081"/>
    <w:uiPriority w:val="0"/>
    <w:qFormat/>
    <w:pPr>
      <w:ind w:firstLine="200"/>
    </w:pPr>
    <w:rPr>
      <w:rFonts w:ascii="Calibri" w:hAnsi="Calibri"/>
      <w:sz w:val="20"/>
      <w:szCs w:val="20"/>
    </w:rPr>
  </w:style>
  <w:style w:type="character" w:styleId="1083" w:customStyle="1">
    <w:name w:val="表格文字 Char"/>
    <w:link w:val="1084"/>
    <w:uiPriority w:val="0"/>
    <w:qFormat/>
    <w:rPr>
      <w:szCs w:val="21"/>
    </w:rPr>
  </w:style>
  <w:style w:type="paragraph" w:styleId="1084" w:customStyle="1">
    <w:name w:val="表格文字"/>
    <w:basedOn w:val="833"/>
    <w:link w:val="1083"/>
    <w:uiPriority w:val="0"/>
    <w:qFormat/>
    <w:pPr>
      <w:jc w:val="left"/>
    </w:pPr>
    <w:rPr>
      <w:sz w:val="20"/>
      <w:szCs w:val="21"/>
    </w:rPr>
  </w:style>
  <w:style w:type="character" w:styleId="1085" w:customStyle="1">
    <w:name w:val="标题 5 字符"/>
    <w:uiPriority w:val="0"/>
    <w:semiHidden/>
    <w:qFormat/>
    <w:rPr>
      <w:rFonts w:ascii="Calibri" w:hAnsi="Calibri"/>
      <w:b/>
      <w:bCs/>
      <w:sz w:val="28"/>
      <w:szCs w:val="28"/>
    </w:rPr>
  </w:style>
  <w:style w:type="character" w:styleId="1086" w:customStyle="1">
    <w:name w:val="文档结构图 Char1"/>
    <w:uiPriority w:val="99"/>
    <w:semiHidden/>
    <w:qFormat/>
    <w:rPr>
      <w:rFonts w:ascii="宋体"/>
      <w:sz w:val="18"/>
      <w:szCs w:val="18"/>
    </w:rPr>
  </w:style>
  <w:style w:type="character" w:styleId="1087" w:customStyle="1">
    <w:name w:val="font201"/>
    <w:uiPriority w:val="0"/>
    <w:qFormat/>
    <w:rPr>
      <w:rFonts w:hint="default" w:ascii="Times New Roman" w:hAnsi="Times New Roman" w:cs="Times New Roman"/>
      <w:color w:val="000000"/>
      <w:sz w:val="20"/>
      <w:szCs w:val="20"/>
      <w:u w:val="none"/>
    </w:rPr>
  </w:style>
  <w:style w:type="character" w:styleId="1088" w:customStyle="1">
    <w:name w:val="_Style 86"/>
    <w:uiPriority w:val="19"/>
    <w:qFormat/>
    <w:rPr>
      <w:rFonts w:ascii="Times New Roman" w:hAnsi="Times New Roman"/>
      <w:i/>
      <w:iCs/>
      <w:color w:val="808080"/>
      <w:sz w:val="21"/>
      <w:szCs w:val="20"/>
    </w:rPr>
  </w:style>
  <w:style w:type="character" w:styleId="1089" w:customStyle="1">
    <w:name w:val="H2 Char"/>
    <w:uiPriority w:val="0"/>
    <w:qFormat/>
    <w:rPr>
      <w:rFonts w:ascii="Arial" w:hAnsi="Arial" w:eastAsia="黑体" w:cs="Times New Roman"/>
      <w:b/>
      <w:bCs/>
      <w:sz w:val="32"/>
      <w:szCs w:val="32"/>
    </w:rPr>
  </w:style>
  <w:style w:type="character" w:styleId="1090" w:customStyle="1">
    <w:name w:val="font41"/>
    <w:uiPriority w:val="0"/>
    <w:qFormat/>
    <w:rPr>
      <w:rFonts w:hint="eastAsia" w:ascii="宋体" w:hAnsi="宋体" w:eastAsia="宋体"/>
      <w:color w:val="000000"/>
      <w:sz w:val="32"/>
      <w:szCs w:val="32"/>
      <w:u w:val="none"/>
    </w:rPr>
  </w:style>
  <w:style w:type="character" w:styleId="1091" w:customStyle="1">
    <w:name w:val="font191"/>
    <w:uiPriority w:val="0"/>
    <w:qFormat/>
    <w:rPr>
      <w:rFonts w:ascii="Wingdings 2" w:hAnsi="Wingdings 2" w:eastAsia="Wingdings 2" w:cs="Wingdings 2"/>
      <w:color w:val="000000"/>
      <w:sz w:val="20"/>
      <w:szCs w:val="20"/>
      <w:u w:val="none"/>
    </w:rPr>
  </w:style>
  <w:style w:type="character" w:styleId="1092" w:customStyle="1">
    <w:name w:val="font231"/>
    <w:uiPriority w:val="0"/>
    <w:qFormat/>
    <w:rPr>
      <w:rFonts w:hint="eastAsia" w:ascii="宋体" w:hAnsi="宋体" w:eastAsia="宋体" w:cs="宋体"/>
      <w:color w:val="000000"/>
      <w:sz w:val="20"/>
      <w:szCs w:val="20"/>
      <w:u w:val="none"/>
    </w:rPr>
  </w:style>
  <w:style w:type="character" w:styleId="1093" w:customStyle="1">
    <w:name w:val="font241"/>
    <w:uiPriority w:val="0"/>
    <w:qFormat/>
    <w:rPr>
      <w:rFonts w:hint="eastAsia" w:ascii="宋体" w:hAnsi="宋体" w:eastAsia="宋体" w:cs="宋体"/>
      <w:color w:val="000000"/>
      <w:sz w:val="20"/>
      <w:szCs w:val="20"/>
      <w:u w:val="none"/>
    </w:rPr>
  </w:style>
  <w:style w:type="character" w:styleId="1094" w:customStyle="1">
    <w:name w:val="Char Char9"/>
    <w:uiPriority w:val="0"/>
    <w:qFormat/>
    <w:rPr>
      <w:rFonts w:ascii="等线 Light" w:hAnsi="等线 Light" w:eastAsia="等线 Light" w:cs="Times New Roman"/>
      <w:b/>
      <w:bCs/>
      <w:sz w:val="28"/>
      <w:szCs w:val="28"/>
    </w:rPr>
  </w:style>
  <w:style w:type="character" w:styleId="1095" w:customStyle="1">
    <w:name w:val="Char Char10"/>
    <w:uiPriority w:val="0"/>
    <w:qFormat/>
    <w:rPr>
      <w:rFonts w:ascii="Arial" w:hAnsi="Arial" w:eastAsia="黑体" w:cs="Times New Roman"/>
      <w:b/>
      <w:bCs/>
      <w:sz w:val="30"/>
      <w:szCs w:val="32"/>
    </w:rPr>
  </w:style>
  <w:style w:type="character" w:styleId="1096" w:customStyle="1">
    <w:name w:val="表格样式居左 Char"/>
    <w:link w:val="1097"/>
    <w:uiPriority w:val="0"/>
    <w:qFormat/>
    <w:rPr>
      <w:rFonts w:eastAsia="仿宋_GB2312"/>
      <w:bCs/>
      <w:color w:val="000000"/>
      <w:sz w:val="21"/>
      <w:szCs w:val="44"/>
      <w:lang w:val="en-US" w:eastAsia="zh-CN" w:bidi="ar-SA"/>
    </w:rPr>
  </w:style>
  <w:style w:type="paragraph" w:styleId="1097" w:customStyle="1">
    <w:name w:val="表格样式居左"/>
    <w:link w:val="1096"/>
    <w:uiPriority w:val="0"/>
    <w:qFormat/>
    <w:pPr>
      <w:spacing w:line="360" w:lineRule="exact"/>
    </w:pPr>
    <w:rPr>
      <w:rFonts w:ascii="Times New Roman" w:hAnsi="Times New Roman" w:eastAsia="仿宋_GB2312" w:cs="Times New Roman"/>
      <w:bCs/>
      <w:color w:val="000000"/>
      <w:sz w:val="21"/>
      <w:szCs w:val="44"/>
      <w:lang w:val="en-US" w:eastAsia="zh-CN" w:bidi="ar-SA"/>
    </w:rPr>
  </w:style>
  <w:style w:type="character" w:styleId="1098" w:customStyle="1">
    <w:name w:val="font101"/>
    <w:uiPriority w:val="0"/>
    <w:qFormat/>
    <w:rPr>
      <w:rFonts w:hint="eastAsia" w:ascii="宋体" w:hAnsi="宋体" w:eastAsia="宋体" w:cs="宋体"/>
      <w:b/>
      <w:color w:val="000000"/>
      <w:sz w:val="18"/>
      <w:szCs w:val="18"/>
      <w:u w:val="none"/>
    </w:rPr>
  </w:style>
  <w:style w:type="character" w:styleId="1099" w:customStyle="1">
    <w:name w:val="段落 Char1"/>
    <w:link w:val="1100"/>
    <w:uiPriority w:val="0"/>
    <w:qFormat/>
    <w:rPr>
      <w:rFonts w:eastAsia="仿宋_GB2312"/>
      <w:sz w:val="32"/>
      <w:szCs w:val="32"/>
      <w:lang w:val="en-US" w:eastAsia="zh-CN" w:bidi="ar-SA"/>
    </w:rPr>
  </w:style>
  <w:style w:type="paragraph" w:styleId="1100" w:customStyle="1">
    <w:name w:val="段落"/>
    <w:link w:val="1099"/>
    <w:uiPriority w:val="0"/>
    <w:qFormat/>
    <w:pPr>
      <w:ind w:firstLine="640"/>
      <w:jc w:val="both"/>
      <w:spacing w:before="120" w:after="120" w:line="360" w:lineRule="auto"/>
    </w:pPr>
    <w:rPr>
      <w:rFonts w:ascii="Times New Roman" w:hAnsi="Times New Roman" w:eastAsia="仿宋_GB2312" w:cs="Times New Roman"/>
      <w:sz w:val="32"/>
      <w:szCs w:val="32"/>
      <w:lang w:val="en-US" w:eastAsia="zh-CN" w:bidi="ar-SA"/>
    </w:rPr>
  </w:style>
  <w:style w:type="character" w:styleId="1101" w:customStyle="1">
    <w:name w:val="font131"/>
    <w:uiPriority w:val="0"/>
    <w:qFormat/>
    <w:rPr>
      <w:rFonts w:ascii="Wingdings 2" w:hAnsi="Wingdings 2" w:eastAsia="Wingdings 2" w:cs="Wingdings 2"/>
      <w:color w:val="000000"/>
      <w:sz w:val="20"/>
      <w:szCs w:val="20"/>
      <w:u w:val="none"/>
    </w:rPr>
  </w:style>
  <w:style w:type="character" w:styleId="1102" w:customStyle="1">
    <w:name w:val="一级缩进 Char"/>
    <w:link w:val="1103"/>
    <w:uiPriority w:val="0"/>
    <w:qFormat/>
    <w:rPr>
      <w:rFonts w:eastAsia="仿宋_GB2312"/>
      <w:sz w:val="32"/>
      <w:szCs w:val="32"/>
      <w:lang w:val="en-US" w:eastAsia="zh-CN" w:bidi="ar-SA"/>
    </w:rPr>
  </w:style>
  <w:style w:type="paragraph" w:styleId="1103" w:customStyle="1">
    <w:name w:val="一级缩进"/>
    <w:link w:val="1102"/>
    <w:uiPriority w:val="0"/>
    <w:qFormat/>
    <w:pPr>
      <w:ind w:left="987"/>
      <w:jc w:val="both"/>
      <w:spacing w:before="120" w:after="120" w:line="360" w:lineRule="auto"/>
      <w:tabs>
        <w:tab w:val="left" w:pos="720" w:leader="none"/>
      </w:tabs>
    </w:pPr>
    <w:rPr>
      <w:rFonts w:ascii="Times New Roman" w:hAnsi="Times New Roman" w:eastAsia="仿宋_GB2312" w:cs="Times New Roman"/>
      <w:sz w:val="32"/>
      <w:szCs w:val="32"/>
      <w:lang w:val="en-US" w:eastAsia="zh-CN" w:bidi="ar-SA"/>
    </w:rPr>
  </w:style>
  <w:style w:type="character" w:styleId="1104" w:customStyle="1">
    <w:name w:val="正文文本 3 Char1"/>
    <w:uiPriority w:val="99"/>
    <w:semiHidden/>
    <w:qFormat/>
    <w:rPr>
      <w:sz w:val="16"/>
      <w:szCs w:val="16"/>
    </w:rPr>
  </w:style>
  <w:style w:type="character" w:styleId="1105" w:customStyle="1">
    <w:name w:val="apple-style-span"/>
    <w:uiPriority w:val="0"/>
    <w:qFormat/>
  </w:style>
  <w:style w:type="character" w:styleId="1106" w:customStyle="1">
    <w:name w:val="批注框文本 Char1"/>
    <w:uiPriority w:val="99"/>
    <w:semiHidden/>
    <w:qFormat/>
    <w:rPr>
      <w:rFonts w:ascii="Times New Roman" w:hAnsi="Times New Roman"/>
      <w:sz w:val="18"/>
      <w:szCs w:val="18"/>
    </w:rPr>
  </w:style>
  <w:style w:type="character" w:styleId="1107" w:customStyle="1">
    <w:name w:val="font221"/>
    <w:uiPriority w:val="0"/>
    <w:qFormat/>
    <w:rPr>
      <w:rFonts w:hint="eastAsia" w:ascii="宋体" w:hAnsi="宋体" w:eastAsia="宋体" w:cs="宋体"/>
      <w:b/>
      <w:color w:val="000000"/>
      <w:sz w:val="20"/>
      <w:szCs w:val="20"/>
      <w:u w:val="none"/>
    </w:rPr>
  </w:style>
  <w:style w:type="character" w:styleId="1108" w:customStyle="1">
    <w:name w:val="font61"/>
    <w:uiPriority w:val="0"/>
    <w:qFormat/>
    <w:rPr>
      <w:rFonts w:hint="eastAsia" w:ascii="宋体" w:hAnsi="宋体" w:eastAsia="宋体" w:cs="宋体"/>
      <w:color w:val="000000"/>
      <w:sz w:val="20"/>
      <w:szCs w:val="20"/>
      <w:u w:val="none"/>
    </w:rPr>
  </w:style>
  <w:style w:type="character" w:styleId="1109" w:customStyle="1">
    <w:name w:val="top_title1"/>
    <w:uiPriority w:val="0"/>
    <w:qFormat/>
    <w:rPr>
      <w:b/>
      <w:bCs/>
      <w:color w:val="333333"/>
      <w:sz w:val="24"/>
      <w:szCs w:val="24"/>
    </w:rPr>
  </w:style>
  <w:style w:type="character" w:styleId="1110" w:customStyle="1">
    <w:name w:val="font81"/>
    <w:uiPriority w:val="0"/>
    <w:qFormat/>
    <w:rPr>
      <w:rFonts w:ascii="Symbol" w:hAnsi="Symbol" w:cs="Symbol"/>
      <w:color w:val="000000"/>
      <w:sz w:val="20"/>
      <w:szCs w:val="20"/>
      <w:u w:val="none"/>
    </w:rPr>
  </w:style>
  <w:style w:type="character" w:styleId="1111" w:customStyle="1">
    <w:name w:val="font141"/>
    <w:uiPriority w:val="0"/>
    <w:qFormat/>
    <w:rPr>
      <w:rFonts w:hint="eastAsia" w:ascii="宋体" w:hAnsi="宋体" w:eastAsia="宋体" w:cs="宋体"/>
      <w:color w:val="ff0000"/>
      <w:sz w:val="20"/>
      <w:szCs w:val="20"/>
      <w:u w:val="none"/>
      <w:vertAlign w:val="superscript"/>
    </w:rPr>
  </w:style>
  <w:style w:type="character" w:styleId="1112" w:customStyle="1">
    <w:name w:val="正文文本缩进 Char1"/>
    <w:uiPriority w:val="99"/>
    <w:semiHidden/>
    <w:qFormat/>
  </w:style>
  <w:style w:type="character" w:styleId="1113" w:customStyle="1">
    <w:name w:val="正文缩进 Char1"/>
    <w:uiPriority w:val="0"/>
    <w:qFormat/>
    <w:rPr>
      <w:rFonts w:ascii="Times New Roman" w:hAnsi="Times New Roman" w:eastAsia="宋体" w:cs="Times New Roman"/>
      <w:szCs w:val="20"/>
    </w:rPr>
  </w:style>
  <w:style w:type="character" w:styleId="1114" w:customStyle="1">
    <w:name w:val="font11"/>
    <w:uiPriority w:val="0"/>
    <w:qFormat/>
    <w:rPr>
      <w:rFonts w:hint="eastAsia" w:ascii="宋体" w:hAnsi="宋体" w:eastAsia="宋体" w:cs="宋体"/>
      <w:color w:val="000000"/>
      <w:sz w:val="20"/>
      <w:szCs w:val="20"/>
      <w:u w:val="none"/>
    </w:rPr>
  </w:style>
  <w:style w:type="character" w:styleId="1115" w:customStyle="1">
    <w:name w:val="表格样式居中 Char"/>
    <w:link w:val="1116"/>
    <w:uiPriority w:val="0"/>
    <w:qFormat/>
    <w:rPr>
      <w:rFonts w:ascii="宋体" w:hAnsi="宋体"/>
      <w:bCs/>
      <w:sz w:val="21"/>
      <w:szCs w:val="21"/>
      <w:lang w:val="zh-CN" w:eastAsia="zh-CN" w:bidi="ar-SA"/>
    </w:rPr>
  </w:style>
  <w:style w:type="paragraph" w:styleId="1116" w:customStyle="1">
    <w:name w:val="表格样式居中"/>
    <w:link w:val="1115"/>
    <w:uiPriority w:val="0"/>
    <w:qFormat/>
    <w:pPr>
      <w:jc w:val="center"/>
      <w:spacing w:line="360" w:lineRule="auto"/>
    </w:pPr>
    <w:rPr>
      <w:rFonts w:ascii="宋体" w:hAnsi="宋体" w:eastAsia="宋体" w:cs="Times New Roman"/>
      <w:bCs/>
      <w:sz w:val="21"/>
      <w:szCs w:val="21"/>
      <w:lang w:val="zh-CN" w:eastAsia="zh-CN" w:bidi="ar-SA"/>
    </w:rPr>
  </w:style>
  <w:style w:type="character" w:styleId="1117" w:customStyle="1">
    <w:name w:val="正文文本缩进 2 Char1"/>
    <w:uiPriority w:val="99"/>
    <w:semiHidden/>
    <w:qFormat/>
  </w:style>
  <w:style w:type="character" w:styleId="1118" w:customStyle="1">
    <w:name w:val="font161"/>
    <w:uiPriority w:val="0"/>
    <w:qFormat/>
    <w:rPr>
      <w:rFonts w:hint="eastAsia" w:ascii="宋体" w:hAnsi="宋体" w:eastAsia="宋体" w:cs="宋体"/>
      <w:b/>
      <w:color w:val="ff0000"/>
      <w:sz w:val="20"/>
      <w:szCs w:val="20"/>
      <w:u w:val="none"/>
    </w:rPr>
  </w:style>
  <w:style w:type="character" w:styleId="1119" w:customStyle="1">
    <w:name w:val="批注主题 Char1"/>
    <w:uiPriority w:val="99"/>
    <w:semiHidden/>
    <w:qFormat/>
    <w:rPr>
      <w:rFonts w:ascii="Times New Roman" w:hAnsi="Times New Roman" w:eastAsia="宋体" w:cs="Times New Roman"/>
      <w:b/>
      <w:bCs/>
      <w:szCs w:val="24"/>
    </w:rPr>
  </w:style>
  <w:style w:type="character" w:styleId="1120" w:customStyle="1">
    <w:name w:val="font51"/>
    <w:uiPriority w:val="0"/>
    <w:qFormat/>
    <w:rPr>
      <w:rFonts w:hint="eastAsia" w:ascii="宋体" w:hAnsi="宋体" w:eastAsia="宋体" w:cs="宋体"/>
      <w:b/>
      <w:color w:val="000000"/>
      <w:sz w:val="20"/>
      <w:szCs w:val="20"/>
      <w:u w:val="none"/>
    </w:rPr>
  </w:style>
  <w:style w:type="character" w:styleId="1121" w:customStyle="1">
    <w:name w:val="font01"/>
    <w:basedOn w:val="843"/>
    <w:uiPriority w:val="0"/>
    <w:qFormat/>
    <w:rPr>
      <w:rFonts w:hint="eastAsia" w:ascii="宋体" w:hAnsi="宋体" w:eastAsia="宋体"/>
      <w:color w:val="000000"/>
      <w:sz w:val="24"/>
      <w:szCs w:val="24"/>
      <w:u w:val="none"/>
    </w:rPr>
  </w:style>
  <w:style w:type="character" w:styleId="1122" w:customStyle="1">
    <w:name w:val="批注文字 Char"/>
    <w:uiPriority w:val="99"/>
    <w:qFormat/>
    <w:rPr>
      <w:sz w:val="21"/>
      <w:szCs w:val="22"/>
    </w:rPr>
  </w:style>
  <w:style w:type="character" w:styleId="1123" w:customStyle="1">
    <w:name w:val="unnamed11"/>
    <w:uiPriority w:val="99"/>
    <w:qFormat/>
    <w:rPr>
      <w:rFonts w:hint="eastAsia" w:ascii="宋体" w:hAnsi="宋体" w:eastAsia="宋体"/>
      <w:sz w:val="21"/>
      <w:szCs w:val="21"/>
    </w:rPr>
  </w:style>
  <w:style w:type="character" w:styleId="1124" w:customStyle="1">
    <w:name w:val="font71"/>
    <w:uiPriority w:val="0"/>
    <w:qFormat/>
    <w:rPr>
      <w:rFonts w:hint="eastAsia" w:ascii="宋体" w:hAnsi="宋体" w:eastAsia="宋体" w:cs="宋体"/>
      <w:color w:val="000000"/>
      <w:sz w:val="20"/>
      <w:szCs w:val="20"/>
      <w:u w:val="none"/>
    </w:rPr>
  </w:style>
  <w:style w:type="character" w:styleId="1125" w:customStyle="1">
    <w:name w:val="Char Char8"/>
    <w:uiPriority w:val="0"/>
    <w:qFormat/>
    <w:rPr>
      <w:rFonts w:ascii="Calibri" w:hAnsi="Calibri" w:eastAsia="宋体" w:cs="Times New Roman"/>
      <w:b/>
      <w:bCs/>
      <w:sz w:val="28"/>
      <w:szCs w:val="28"/>
    </w:rPr>
  </w:style>
  <w:style w:type="character" w:styleId="1126" w:customStyle="1">
    <w:name w:val="Char Char11"/>
    <w:uiPriority w:val="0"/>
    <w:qFormat/>
    <w:rPr>
      <w:rFonts w:ascii="Arial" w:hAnsi="Arial" w:eastAsia="宋体" w:cs="Times New Roman"/>
      <w:b/>
      <w:bCs/>
      <w:sz w:val="28"/>
      <w:szCs w:val="36"/>
    </w:rPr>
  </w:style>
  <w:style w:type="character" w:styleId="1127" w:customStyle="1">
    <w:name w:val="Char Char12"/>
    <w:uiPriority w:val="0"/>
    <w:qFormat/>
    <w:rPr>
      <w:b/>
      <w:bCs/>
      <w:sz w:val="44"/>
      <w:szCs w:val="44"/>
    </w:rPr>
  </w:style>
  <w:style w:type="character" w:styleId="1128" w:customStyle="1">
    <w:name w:val="font111"/>
    <w:uiPriority w:val="0"/>
    <w:qFormat/>
    <w:rPr>
      <w:rFonts w:hint="eastAsia" w:ascii="宋体" w:hAnsi="宋体" w:eastAsia="宋体" w:cs="宋体"/>
      <w:color w:val="ff0000"/>
      <w:sz w:val="18"/>
      <w:szCs w:val="18"/>
      <w:u w:val="none"/>
    </w:rPr>
  </w:style>
  <w:style w:type="character" w:styleId="1129" w:customStyle="1">
    <w:name w:val="font21"/>
    <w:uiPriority w:val="0"/>
    <w:qFormat/>
    <w:rPr>
      <w:rFonts w:hint="eastAsia" w:ascii="仿宋_GB2312" w:hAnsi="Times New Roman" w:eastAsia="仿宋_GB2312" w:cs="仿宋_GB2312"/>
      <w:color w:val="000000"/>
      <w:sz w:val="22"/>
      <w:szCs w:val="22"/>
      <w:u w:val="none"/>
    </w:rPr>
  </w:style>
  <w:style w:type="character" w:styleId="1130" w:customStyle="1">
    <w:name w:val="无间隔 Char"/>
    <w:link w:val="1131"/>
    <w:uiPriority w:val="0"/>
    <w:qFormat/>
    <w:rPr>
      <w:sz w:val="21"/>
      <w:szCs w:val="22"/>
      <w:lang w:val="en-US" w:eastAsia="zh-CN" w:bidi="ar-SA"/>
    </w:rPr>
  </w:style>
  <w:style w:type="paragraph" w:styleId="1131" w:customStyle="1">
    <w:name w:val="msonospacing"/>
    <w:link w:val="1130"/>
    <w:uiPriority w:val="0"/>
    <w:qFormat/>
    <w:pPr>
      <w:jc w:val="both"/>
      <w:widowControl w:val="off"/>
    </w:pPr>
    <w:rPr>
      <w:rFonts w:ascii="Times New Roman" w:hAnsi="Times New Roman" w:eastAsia="宋体" w:cs="Times New Roman"/>
      <w:sz w:val="21"/>
      <w:szCs w:val="22"/>
      <w:lang w:val="en-US" w:eastAsia="zh-CN" w:bidi="ar-SA"/>
    </w:rPr>
  </w:style>
  <w:style w:type="character" w:styleId="1132" w:customStyle="1">
    <w:name w:val="font211"/>
    <w:uiPriority w:val="0"/>
    <w:qFormat/>
    <w:rPr>
      <w:rFonts w:hint="eastAsia" w:ascii="宋体" w:hAnsi="宋体" w:eastAsia="宋体" w:cs="宋体"/>
      <w:color w:val="ff0000"/>
      <w:sz w:val="20"/>
      <w:szCs w:val="20"/>
      <w:u w:val="none"/>
      <w:vertAlign w:val="superscript"/>
    </w:rPr>
  </w:style>
  <w:style w:type="character" w:styleId="1133" w:customStyle="1">
    <w:name w:val="NormalCharacter"/>
    <w:uiPriority w:val="0"/>
    <w:qFormat/>
    <w:rPr>
      <w:sz w:val="21"/>
      <w:szCs w:val="22"/>
      <w:lang w:val="en-US" w:eastAsia="zh-CN" w:bidi="ar-SA"/>
    </w:rPr>
  </w:style>
  <w:style w:type="character" w:styleId="1134" w:customStyle="1">
    <w:name w:val="font171"/>
    <w:uiPriority w:val="0"/>
    <w:qFormat/>
    <w:rPr>
      <w:rFonts w:hint="eastAsia" w:ascii="宋体" w:hAnsi="宋体" w:eastAsia="宋体" w:cs="宋体"/>
      <w:color w:val="000000"/>
      <w:sz w:val="20"/>
      <w:szCs w:val="20"/>
      <w:u w:val="none"/>
    </w:rPr>
  </w:style>
  <w:style w:type="character" w:styleId="1135" w:customStyle="1">
    <w:name w:val="项目排列 Char"/>
    <w:link w:val="1136"/>
    <w:uiPriority w:val="0"/>
    <w:qFormat/>
    <w:rPr>
      <w:sz w:val="24"/>
      <w:szCs w:val="24"/>
    </w:rPr>
  </w:style>
  <w:style w:type="paragraph" w:styleId="1136" w:customStyle="1">
    <w:name w:val="项目排列"/>
    <w:basedOn w:val="833"/>
    <w:link w:val="1135"/>
    <w:uiPriority w:val="0"/>
    <w:qFormat/>
    <w:pPr>
      <w:numPr>
        <w:ilvl w:val="0"/>
        <w:numId w:val="4"/>
      </w:numPr>
      <w:spacing w:before="156" w:after="156" w:line="300" w:lineRule="auto"/>
      <w:tabs>
        <w:tab w:val="left" w:pos="900" w:leader="none"/>
      </w:tabs>
    </w:pPr>
    <w:rPr>
      <w:sz w:val="24"/>
      <w:szCs w:val="24"/>
    </w:rPr>
  </w:style>
  <w:style w:type="character" w:styleId="1137" w:customStyle="1">
    <w:name w:val="hover4"/>
    <w:uiPriority w:val="0"/>
    <w:qFormat/>
    <w:rPr>
      <w:color w:val="999999"/>
    </w:rPr>
  </w:style>
  <w:style w:type="character" w:styleId="1138" w:customStyle="1">
    <w:name w:val="font91"/>
    <w:uiPriority w:val="0"/>
    <w:qFormat/>
    <w:rPr>
      <w:rFonts w:hint="eastAsia" w:ascii="宋体" w:hAnsi="宋体" w:eastAsia="宋体" w:cs="宋体"/>
      <w:color w:val="000000"/>
      <w:sz w:val="16"/>
      <w:szCs w:val="16"/>
      <w:u w:val="none"/>
    </w:rPr>
  </w:style>
  <w:style w:type="paragraph" w:styleId="1139" w:customStyle="1">
    <w:name w:val="Char"/>
    <w:basedOn w:val="833"/>
    <w:uiPriority w:val="0"/>
    <w:qFormat/>
    <w:pPr>
      <w:ind w:left="1350" w:hanging="1350"/>
      <w:tabs>
        <w:tab w:val="left" w:pos="1350" w:leader="none"/>
      </w:tabs>
    </w:pPr>
    <w:rPr>
      <w:sz w:val="24"/>
      <w:szCs w:val="24"/>
    </w:rPr>
  </w:style>
  <w:style w:type="paragraph" w:styleId="1140" w:customStyle="1">
    <w:name w:val="正文 1.1.1"/>
    <w:basedOn w:val="833"/>
    <w:next w:val="833"/>
    <w:uiPriority w:val="0"/>
    <w:qFormat/>
    <w:pPr>
      <w:numPr>
        <w:ilvl w:val="2"/>
        <w:numId w:val="5"/>
      </w:numPr>
      <w:outlineLvl w:val="2"/>
    </w:pPr>
    <w:rPr>
      <w:rFonts w:hAnsi="宋体"/>
      <w:color w:val="ff0000"/>
    </w:rPr>
  </w:style>
  <w:style w:type="paragraph" w:styleId="1141" w:customStyle="1">
    <w:name w:val="Default Paragraph Font Para Char"/>
    <w:basedOn w:val="833"/>
    <w:uiPriority w:val="0"/>
    <w:qFormat/>
    <w:pPr>
      <w:jc w:val="left"/>
      <w:spacing w:before="156" w:after="160" w:line="240" w:lineRule="exact"/>
      <w:widowControl/>
    </w:pPr>
    <w:rPr>
      <w:rFonts w:ascii="Verdana" w:hAnsi="Verdana"/>
      <w:sz w:val="20"/>
      <w:szCs w:val="20"/>
      <w:lang w:eastAsia="en-US"/>
    </w:rPr>
  </w:style>
  <w:style w:type="paragraph" w:styleId="1142" w:customStyle="1">
    <w:name w:val="unnamed1"/>
    <w:basedOn w:val="833"/>
    <w:uiPriority w:val="0"/>
    <w:qFormat/>
    <w:pPr>
      <w:jc w:val="left"/>
      <w:spacing w:before="100" w:beforeAutospacing="1" w:after="100" w:afterAutospacing="1" w:line="288" w:lineRule="auto"/>
      <w:widowControl/>
    </w:pPr>
    <w:rPr>
      <w:rFonts w:hint="eastAsia" w:ascii="宋体" w:hAnsi="宋体"/>
      <w:szCs w:val="21"/>
    </w:rPr>
  </w:style>
  <w:style w:type="paragraph" w:styleId="1143" w:customStyle="1">
    <w:name w:val="正文缩进1"/>
    <w:basedOn w:val="833"/>
    <w:uiPriority w:val="0"/>
    <w:qFormat/>
    <w:pPr>
      <w:ind w:firstLine="420"/>
      <w:jc w:val="left"/>
      <w:spacing w:line="360" w:lineRule="auto"/>
      <w:widowControl/>
    </w:pPr>
    <w:rPr>
      <w:rFonts w:ascii="宋体"/>
      <w:sz w:val="20"/>
      <w:szCs w:val="20"/>
    </w:rPr>
  </w:style>
  <w:style w:type="paragraph" w:styleId="1144" w:customStyle="1">
    <w:name w:val="Char1"/>
    <w:basedOn w:val="833"/>
    <w:uiPriority w:val="0"/>
    <w:qFormat/>
    <w:rPr>
      <w:rFonts w:ascii="仿宋_GB2312" w:eastAsia="仿宋_GB2312"/>
      <w:b/>
      <w:sz w:val="32"/>
      <w:szCs w:val="32"/>
    </w:rPr>
  </w:style>
  <w:style w:type="paragraph" w:styleId="1145" w:customStyle="1">
    <w:name w:val="文档正文"/>
    <w:basedOn w:val="833"/>
    <w:uiPriority w:val="0"/>
    <w:qFormat/>
    <w:pPr>
      <w:ind w:firstLine="567"/>
      <w:spacing w:line="480" w:lineRule="atLeast"/>
    </w:pPr>
    <w:rPr>
      <w:rFonts w:ascii="仿宋_GB2312" w:eastAsia="仿宋_GB2312"/>
      <w:sz w:val="28"/>
      <w:szCs w:val="24"/>
    </w:rPr>
  </w:style>
  <w:style w:type="paragraph" w:styleId="1146" w:customStyle="1">
    <w:name w:val="二级目录"/>
    <w:next w:val="833"/>
    <w:uiPriority w:val="0"/>
    <w:qFormat/>
    <w:pPr>
      <w:numPr>
        <w:ilvl w:val="0"/>
        <w:numId w:val="6"/>
      </w:numPr>
      <w:outlineLvl w:val="1"/>
    </w:pPr>
    <w:rPr>
      <w:rFonts w:ascii="Times New Roman" w:hAnsi="Times New Roman" w:eastAsia="宋体" w:cs="Times New Roman"/>
      <w:b/>
      <w:sz w:val="30"/>
      <w:szCs w:val="28"/>
      <w:lang w:val="en-US" w:eastAsia="zh-CN" w:bidi="ar-SA"/>
    </w:rPr>
  </w:style>
  <w:style w:type="paragraph" w:styleId="1147" w:customStyle="1">
    <w:name w:val="List Paragraph1"/>
    <w:basedOn w:val="833"/>
    <w:uiPriority w:val="0"/>
    <w:qFormat/>
    <w:pPr>
      <w:ind w:firstLine="420"/>
    </w:pPr>
    <w:rPr>
      <w:szCs w:val="20"/>
    </w:rPr>
  </w:style>
  <w:style w:type="paragraph" w:styleId="1148" w:customStyle="1">
    <w:name w:val="_Style 2"/>
    <w:basedOn w:val="833"/>
    <w:uiPriority w:val="34"/>
    <w:qFormat/>
    <w:pPr>
      <w:ind w:firstLine="420"/>
    </w:pPr>
    <w:rPr>
      <w:szCs w:val="24"/>
    </w:rPr>
  </w:style>
  <w:style w:type="paragraph" w:styleId="1149" w:customStyle="1">
    <w:name w:val="正文 A"/>
    <w:uiPriority w:val="0"/>
    <w:qFormat/>
    <w:pPr>
      <w:jc w:val="both"/>
      <w:widowControl w:val="off"/>
      <w:framePr w:wrap="around" w:vAnchor="margin" w:hAnchor="text" w:yAlign="top"/>
    </w:pPr>
    <w:rPr>
      <w:rFonts w:ascii="Times New Roman" w:hAnsi="Times New Roman" w:eastAsia="Arial Unicode MS" w:cs="Arial Unicode MS"/>
      <w:color w:val="000000"/>
      <w:sz w:val="21"/>
      <w:szCs w:val="21"/>
      <w:lang w:val="en-US" w:eastAsia="zh-CN" w:bidi="ar-SA"/>
    </w:rPr>
  </w:style>
  <w:style w:type="paragraph" w:styleId="1150" w:customStyle="1">
    <w:name w:val="文档标题"/>
    <w:basedOn w:val="833"/>
    <w:uiPriority w:val="0"/>
    <w:qFormat/>
    <w:pPr>
      <w:jc w:val="center"/>
      <w:spacing w:before="312" w:after="312" w:line="300" w:lineRule="auto"/>
    </w:pPr>
    <w:rPr>
      <w:rFonts w:ascii="Arial" w:hAnsi="Arial" w:eastAsia="黑体" w:cs="Arial"/>
      <w:b/>
      <w:sz w:val="48"/>
      <w:szCs w:val="32"/>
    </w:rPr>
  </w:style>
  <w:style w:type="paragraph" w:styleId="1151" w:customStyle="1">
    <w:name w:val="Char1 Char Char Char Char Char Char"/>
    <w:basedOn w:val="833"/>
    <w:uiPriority w:val="0"/>
    <w:qFormat/>
    <w:rPr>
      <w:szCs w:val="24"/>
    </w:rPr>
  </w:style>
  <w:style w:type="paragraph" w:styleId="1152" w:customStyle="1">
    <w:name w:val="Char Char Char Char Char Char Char"/>
    <w:basedOn w:val="848"/>
    <w:uiPriority w:val="0"/>
    <w:qFormat/>
    <w:pPr>
      <w:shd w:val="clear" w:color="auto" w:fill="000080"/>
    </w:pPr>
    <w:rPr>
      <w:rFonts w:ascii="Times New Roman"/>
      <w:sz w:val="21"/>
      <w:szCs w:val="20"/>
    </w:rPr>
  </w:style>
  <w:style w:type="paragraph" w:styleId="1153" w:customStyle="1">
    <w:name w:val="无间隔1"/>
    <w:uiPriority w:val="0"/>
    <w:qFormat/>
    <w:pPr>
      <w:jc w:val="both"/>
      <w:widowControl w:val="off"/>
    </w:pPr>
    <w:rPr>
      <w:rFonts w:ascii="Times New Roman" w:hAnsi="Times New Roman" w:eastAsia="宋体" w:cs="Times New Roman"/>
      <w:sz w:val="21"/>
      <w:szCs w:val="22"/>
      <w:lang w:val="en-US" w:eastAsia="zh-CN" w:bidi="ar-SA"/>
    </w:rPr>
  </w:style>
  <w:style w:type="paragraph" w:styleId="1154" w:customStyle="1">
    <w:name w:val="列表段落1"/>
    <w:basedOn w:val="833"/>
    <w:uiPriority w:val="34"/>
    <w:qFormat/>
    <w:pPr>
      <w:ind w:left="720"/>
    </w:pPr>
    <w:rPr>
      <w:szCs w:val="21"/>
    </w:rPr>
  </w:style>
  <w:style w:type="paragraph" w:styleId="1155" w:customStyle="1">
    <w:name w:val="普通正文"/>
    <w:basedOn w:val="1073"/>
    <w:uiPriority w:val="0"/>
    <w:qFormat/>
    <w:pPr>
      <w:jc w:val="left"/>
      <w:spacing w:before="120" w:after="120" w:line="360" w:lineRule="auto"/>
    </w:pPr>
    <w:rPr>
      <w:rFonts w:ascii="Arial" w:hAnsi="Arial" w:eastAsia="宋体"/>
      <w:szCs w:val="24"/>
    </w:rPr>
  </w:style>
  <w:style w:type="paragraph" w:styleId="1156" w:customStyle="1">
    <w:name w:val="正文 1.1"/>
    <w:basedOn w:val="833"/>
    <w:next w:val="1140"/>
    <w:uiPriority w:val="0"/>
    <w:qFormat/>
    <w:pPr>
      <w:numPr>
        <w:ilvl w:val="1"/>
        <w:numId w:val="5"/>
      </w:numPr>
      <w:ind w:firstLine="550"/>
      <w:outlineLvl w:val="1"/>
    </w:pPr>
    <w:rPr>
      <w:rFonts w:ascii="仿宋" w:hAnsi="仿宋"/>
      <w:b/>
    </w:rPr>
  </w:style>
  <w:style w:type="paragraph" w:styleId="1157" w:customStyle="1">
    <w:name w:val="Table Paragraph"/>
    <w:basedOn w:val="833"/>
    <w:uiPriority w:val="1"/>
    <w:qFormat/>
    <w:rPr>
      <w:rFonts w:ascii="Calibri" w:hAnsi="Calibri"/>
      <w:lang w:eastAsia="en-US"/>
    </w:rPr>
  </w:style>
  <w:style w:type="paragraph" w:styleId="1158" w:customStyle="1">
    <w:name w:val="正文 New New New New"/>
    <w:uiPriority w:val="0"/>
    <w:qFormat/>
    <w:pPr>
      <w:jc w:val="both"/>
      <w:widowControl w:val="off"/>
    </w:pPr>
    <w:rPr>
      <w:rFonts w:ascii="Times New Roman" w:hAnsi="Times New Roman" w:eastAsia="宋体" w:cs="Times New Roman"/>
      <w:szCs w:val="24"/>
      <w:lang w:val="en-US" w:eastAsia="zh-CN" w:bidi="ar-SA"/>
    </w:rPr>
  </w:style>
  <w:style w:type="paragraph" w:styleId="1159" w:customStyle="1">
    <w:name w:val="Normal_2"/>
    <w:uiPriority w:val="0"/>
    <w:qFormat/>
    <w:pPr>
      <w:jc w:val="both"/>
      <w:widowControl w:val="off"/>
    </w:pPr>
    <w:rPr>
      <w:rFonts w:ascii="Times New Roman" w:hAnsi="Times New Roman" w:eastAsia="宋体" w:cs="Times New Roman"/>
      <w:sz w:val="21"/>
      <w:szCs w:val="22"/>
      <w:lang w:val="en-US" w:eastAsia="zh-CN" w:bidi="ar-SA"/>
    </w:rPr>
  </w:style>
  <w:style w:type="paragraph" w:styleId="1160" w:customStyle="1">
    <w:name w:val="CD 正文"/>
    <w:basedOn w:val="833"/>
    <w:uiPriority w:val="0"/>
    <w:qFormat/>
    <w:pPr>
      <w:jc w:val="left"/>
    </w:pPr>
    <w:rPr>
      <w:rFonts w:ascii="Arial" w:hAnsi="Arial" w:eastAsia="微软雅黑" w:cs="Arial"/>
      <w:szCs w:val="21"/>
    </w:rPr>
  </w:style>
  <w:style w:type="paragraph" w:styleId="1161" w:customStyle="1">
    <w:name w:val="纯文本1"/>
    <w:uiPriority w:val="0"/>
    <w:qFormat/>
    <w:pPr>
      <w:spacing w:before="100" w:after="100"/>
      <w:framePr w:wrap="around" w:vAnchor="margin" w:hAnchor="text" w:yAlign="top"/>
    </w:pPr>
    <w:rPr>
      <w:rFonts w:ascii="宋体" w:hAnsi="宋体" w:eastAsia="宋体" w:cs="宋体"/>
      <w:color w:val="000000"/>
      <w:sz w:val="24"/>
      <w:szCs w:val="24"/>
      <w:lang w:val="en-US" w:eastAsia="zh-CN" w:bidi="ar-SA"/>
    </w:rPr>
  </w:style>
  <w:style w:type="paragraph" w:styleId="1162" w:customStyle="1">
    <w:name w:val="Char2"/>
    <w:basedOn w:val="833"/>
    <w:uiPriority w:val="0"/>
    <w:qFormat/>
    <w:pPr>
      <w:ind w:firstLine="200"/>
      <w:tabs>
        <w:tab w:val="left" w:pos="360" w:leader="none"/>
      </w:tabs>
    </w:pPr>
    <w:rPr>
      <w:sz w:val="28"/>
      <w:szCs w:val="30"/>
    </w:rPr>
  </w:style>
  <w:style w:type="paragraph" w:styleId="1163" w:customStyle="1">
    <w:name w:val="FUNO正文"/>
    <w:uiPriority w:val="0"/>
    <w:qFormat/>
    <w:pPr>
      <w:ind w:firstLine="480"/>
      <w:jc w:val="both"/>
      <w:spacing w:line="360" w:lineRule="auto"/>
    </w:pPr>
    <w:rPr>
      <w:rFonts w:ascii="宋体" w:hAnsi="宋体" w:eastAsia="宋体" w:cs="Times New Roman"/>
      <w:sz w:val="24"/>
      <w:szCs w:val="21"/>
      <w:lang w:val="en-US" w:eastAsia="zh-CN" w:bidi="ar-SA"/>
    </w:rPr>
  </w:style>
  <w:style w:type="paragraph" w:styleId="1164" w:customStyle="1">
    <w:name w:val="p0"/>
    <w:basedOn w:val="833"/>
    <w:uiPriority w:val="0"/>
    <w:qFormat/>
    <w:pPr>
      <w:widowControl/>
    </w:pPr>
    <w:rPr>
      <w:szCs w:val="21"/>
    </w:rPr>
  </w:style>
  <w:style w:type="paragraph" w:styleId="1165" w:customStyle="1">
    <w:name w:val="msonormal"/>
    <w:basedOn w:val="833"/>
    <w:uiPriority w:val="0"/>
    <w:qFormat/>
    <w:pPr>
      <w:jc w:val="left"/>
      <w:spacing w:before="100" w:beforeAutospacing="1" w:after="100" w:afterAutospacing="1"/>
      <w:widowControl/>
    </w:pPr>
    <w:rPr>
      <w:rFonts w:ascii="宋体" w:hAnsi="宋体" w:cs="宋体"/>
      <w:sz w:val="24"/>
      <w:szCs w:val="24"/>
    </w:rPr>
  </w:style>
  <w:style w:type="paragraph" w:styleId="1166" w:customStyle="1">
    <w:name w:val="font5"/>
    <w:basedOn w:val="833"/>
    <w:uiPriority w:val="0"/>
    <w:qFormat/>
    <w:pPr>
      <w:jc w:val="left"/>
      <w:spacing w:before="100" w:beforeAutospacing="1" w:after="100" w:afterAutospacing="1"/>
      <w:widowControl/>
    </w:pPr>
    <w:rPr>
      <w:rFonts w:ascii="宋体" w:hAnsi="宋体" w:cs="宋体"/>
      <w:sz w:val="18"/>
      <w:szCs w:val="18"/>
    </w:rPr>
  </w:style>
  <w:style w:type="paragraph" w:styleId="1167" w:customStyle="1">
    <w:name w:val="font6"/>
    <w:basedOn w:val="833"/>
    <w:uiPriority w:val="0"/>
    <w:qFormat/>
    <w:pPr>
      <w:jc w:val="left"/>
      <w:spacing w:before="100" w:beforeAutospacing="1" w:after="100" w:afterAutospacing="1"/>
      <w:widowControl/>
    </w:pPr>
    <w:rPr>
      <w:rFonts w:ascii="Calibri" w:hAnsi="Calibri" w:cs="Calibri"/>
      <w:sz w:val="18"/>
      <w:szCs w:val="18"/>
    </w:rPr>
  </w:style>
  <w:style w:type="paragraph" w:styleId="1168" w:customStyle="1">
    <w:name w:val="xl84"/>
    <w:basedOn w:val="833"/>
    <w:uiPriority w:val="0"/>
    <w:qFormat/>
    <w:pPr>
      <w:jc w:val="left"/>
      <w:spacing w:before="100" w:beforeAutospacing="1" w:after="100" w:afterAutospacing="1"/>
      <w:widowControl/>
    </w:pPr>
    <w:rPr>
      <w:rFonts w:ascii="宋体" w:hAnsi="宋体" w:cs="宋体"/>
      <w:color w:val="000000"/>
      <w:sz w:val="24"/>
      <w:szCs w:val="24"/>
    </w:rPr>
  </w:style>
  <w:style w:type="paragraph" w:styleId="1169" w:customStyle="1">
    <w:name w:val="xl85"/>
    <w:basedOn w:val="83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70" w:customStyle="1">
    <w:name w:val="xl86"/>
    <w:basedOn w:val="833"/>
    <w:uiPriority w:val="0"/>
    <w:qFormat/>
    <w:pPr>
      <w:jc w:val="left"/>
      <w:spacing w:before="100" w:beforeAutospacing="1" w:after="100" w:afterAutospacing="1"/>
      <w:widowControl/>
    </w:pPr>
    <w:rPr>
      <w:rFonts w:ascii="宋体" w:hAnsi="宋体" w:cs="宋体"/>
      <w:sz w:val="24"/>
      <w:szCs w:val="24"/>
    </w:rPr>
  </w:style>
  <w:style w:type="paragraph" w:styleId="1171" w:customStyle="1">
    <w:name w:val="xl87"/>
    <w:basedOn w:val="83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172" w:customStyle="1">
    <w:name w:val="xl88"/>
    <w:basedOn w:val="83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173" w:customStyle="1">
    <w:name w:val="xl89"/>
    <w:basedOn w:val="833"/>
    <w:uiPriority w:val="0"/>
    <w:qFormat/>
    <w:pPr>
      <w:jc w:val="left"/>
      <w:spacing w:before="100" w:beforeAutospacing="1" w:after="100" w:afterAutospacing="1"/>
      <w:widowControl/>
    </w:pPr>
    <w:rPr>
      <w:rFonts w:ascii="宋体" w:hAnsi="宋体" w:cs="宋体"/>
      <w:sz w:val="24"/>
      <w:szCs w:val="24"/>
    </w:rPr>
  </w:style>
  <w:style w:type="paragraph" w:styleId="1174" w:customStyle="1">
    <w:name w:val="xl90"/>
    <w:basedOn w:val="83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75" w:customStyle="1">
    <w:name w:val="xl91"/>
    <w:basedOn w:val="83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76" w:customStyle="1">
    <w:name w:val="xl92"/>
    <w:basedOn w:val="83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77" w:customStyle="1">
    <w:name w:val="xl93"/>
    <w:basedOn w:val="83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78" w:customStyle="1">
    <w:name w:val="xl94"/>
    <w:basedOn w:val="83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79" w:customStyle="1">
    <w:name w:val="xl95"/>
    <w:basedOn w:val="83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8"/>
      <w:szCs w:val="18"/>
    </w:rPr>
  </w:style>
  <w:style w:type="paragraph" w:styleId="1180" w:customStyle="1">
    <w:name w:val="xl96"/>
    <w:basedOn w:val="83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81" w:customStyle="1">
    <w:name w:val="xl97"/>
    <w:basedOn w:val="83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82" w:customStyle="1">
    <w:name w:val="xl98"/>
    <w:basedOn w:val="83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83" w:customStyle="1">
    <w:name w:val="xl99"/>
    <w:basedOn w:val="83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84" w:customStyle="1">
    <w:name w:val="xl100"/>
    <w:basedOn w:val="83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85" w:customStyle="1">
    <w:name w:val="xl101"/>
    <w:basedOn w:val="83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86" w:customStyle="1">
    <w:name w:val="xl102"/>
    <w:basedOn w:val="83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87" w:customStyle="1">
    <w:name w:val="xl103"/>
    <w:basedOn w:val="83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188" w:customStyle="1">
    <w:name w:val="xl104"/>
    <w:basedOn w:val="83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89" w:customStyle="1">
    <w:name w:val="xl105"/>
    <w:basedOn w:val="83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90" w:customStyle="1">
    <w:name w:val="xl106"/>
    <w:basedOn w:val="83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91" w:customStyle="1">
    <w:name w:val="xl107"/>
    <w:basedOn w:val="83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92" w:customStyle="1">
    <w:name w:val="xl108"/>
    <w:basedOn w:val="83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93" w:customStyle="1">
    <w:name w:val="xl109"/>
    <w:basedOn w:val="83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94" w:customStyle="1">
    <w:name w:val="xl110"/>
    <w:basedOn w:val="83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95" w:customStyle="1">
    <w:name w:val="xl111"/>
    <w:basedOn w:val="83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96" w:customStyle="1">
    <w:name w:val="xl112"/>
    <w:basedOn w:val="83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97" w:customStyle="1">
    <w:name w:val="xl113"/>
    <w:basedOn w:val="83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98" w:customStyle="1">
    <w:name w:val="xl115"/>
    <w:basedOn w:val="83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99" w:customStyle="1">
    <w:name w:val="xl116"/>
    <w:basedOn w:val="83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00" w:customStyle="1">
    <w:name w:val="xl117"/>
    <w:basedOn w:val="83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01" w:customStyle="1">
    <w:name w:val="xl118"/>
    <w:basedOn w:val="83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02" w:customStyle="1">
    <w:name w:val="xl119"/>
    <w:basedOn w:val="833"/>
    <w:uiPriority w:val="0"/>
    <w:qFormat/>
    <w:pPr>
      <w:jc w:val="center"/>
      <w:spacing w:before="100" w:beforeAutospacing="1" w:after="100" w:afterAutospacing="1"/>
      <w:widowControl/>
    </w:pPr>
    <w:rPr>
      <w:rFonts w:ascii="宋体" w:hAnsi="宋体" w:cs="宋体"/>
      <w:sz w:val="24"/>
      <w:szCs w:val="24"/>
    </w:rPr>
  </w:style>
  <w:style w:type="paragraph" w:styleId="1203" w:customStyle="1">
    <w:name w:val="xl120"/>
    <w:basedOn w:val="833"/>
    <w:uiPriority w:val="0"/>
    <w:qFormat/>
    <w:pPr>
      <w:jc w:val="center"/>
      <w:spacing w:before="100" w:beforeAutospacing="1" w:after="100" w:afterAutospacing="1"/>
      <w:widowControl/>
    </w:pPr>
    <w:rPr>
      <w:rFonts w:ascii="宋体" w:hAnsi="宋体" w:cs="宋体"/>
      <w:sz w:val="24"/>
      <w:szCs w:val="24"/>
    </w:rPr>
  </w:style>
  <w:style w:type="paragraph" w:styleId="1204" w:customStyle="1">
    <w:name w:val="xl121"/>
    <w:basedOn w:val="83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05" w:customStyle="1">
    <w:name w:val="xl122"/>
    <w:basedOn w:val="83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206" w:customStyle="1">
    <w:name w:val="xl123"/>
    <w:basedOn w:val="83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207" w:customStyle="1">
    <w:name w:val="xl124"/>
    <w:basedOn w:val="833"/>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208" w:customStyle="1">
    <w:name w:val="xl125"/>
    <w:basedOn w:val="833"/>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1209" w:customStyle="1">
    <w:name w:val="xl126"/>
    <w:basedOn w:val="833"/>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1210" w:customStyle="1">
    <w:name w:val="xl114"/>
    <w:basedOn w:val="83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11" w:customStyle="1">
    <w:name w:val="xl127"/>
    <w:basedOn w:val="833"/>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1212" w:customStyle="1">
    <w:name w:val="xl128"/>
    <w:basedOn w:val="833"/>
    <w:uiPriority w:val="0"/>
    <w:qFormat/>
    <w:pPr>
      <w:jc w:val="center"/>
      <w:spacing w:before="100" w:beforeAutospacing="1" w:after="100" w:afterAutospacing="1"/>
      <w:shd w:val="clear" w:color="000000" w:fill="d9e1f2"/>
      <w:widowControl/>
      <w:pBdr>
        <w:top w:val="single" w:color="auto" w:sz="4" w:space="0"/>
        <w:left w:val="single" w:color="auto" w:sz="4" w:space="0"/>
        <w:bottom w:val="single" w:color="auto" w:sz="4" w:space="0"/>
        <w:right w:val="single" w:color="auto" w:sz="4" w:space="0"/>
      </w:pBdr>
    </w:pPr>
    <w:rPr>
      <w:rFonts w:ascii="宋体" w:hAnsi="宋体" w:cs="宋体"/>
      <w:b/>
      <w:bCs/>
      <w:sz w:val="30"/>
      <w:szCs w:val="30"/>
    </w:rPr>
  </w:style>
  <w:style w:type="paragraph" w:styleId="1213" w:customStyle="1">
    <w:name w:val="xl129"/>
    <w:basedOn w:val="833"/>
    <w:uiPriority w:val="0"/>
    <w:qFormat/>
    <w:pPr>
      <w:jc w:val="center"/>
      <w:spacing w:before="100" w:beforeAutospacing="1" w:after="100" w:afterAutospacing="1"/>
      <w:shd w:val="clear" w:color="000000" w:fill="d9e1f2"/>
      <w:widowControl/>
      <w:pBdr>
        <w:top w:val="single" w:color="auto" w:sz="4" w:space="0"/>
        <w:left w:val="single" w:color="auto" w:sz="4" w:space="0"/>
        <w:bottom w:val="single" w:color="auto" w:sz="4" w:space="0"/>
      </w:pBdr>
    </w:pPr>
    <w:rPr>
      <w:rFonts w:ascii="宋体" w:hAnsi="宋体" w:cs="宋体"/>
      <w:sz w:val="24"/>
      <w:szCs w:val="24"/>
    </w:rPr>
  </w:style>
  <w:style w:type="paragraph" w:styleId="1214" w:customStyle="1">
    <w:name w:val="xl130"/>
    <w:basedOn w:val="833"/>
    <w:uiPriority w:val="0"/>
    <w:qFormat/>
    <w:pPr>
      <w:jc w:val="center"/>
      <w:spacing w:before="100" w:beforeAutospacing="1" w:after="100" w:afterAutospacing="1"/>
      <w:shd w:val="clear" w:color="000000" w:fill="d9e1f2"/>
      <w:widowControl/>
      <w:pBdr>
        <w:top w:val="single" w:color="auto" w:sz="4" w:space="0"/>
        <w:bottom w:val="single" w:color="auto" w:sz="4" w:space="0"/>
      </w:pBdr>
    </w:pPr>
    <w:rPr>
      <w:rFonts w:ascii="宋体" w:hAnsi="宋体" w:cs="宋体"/>
      <w:sz w:val="24"/>
      <w:szCs w:val="24"/>
    </w:rPr>
  </w:style>
  <w:style w:type="paragraph" w:styleId="1215" w:customStyle="1">
    <w:name w:val="xl131"/>
    <w:basedOn w:val="833"/>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216" w:customStyle="1">
    <w:name w:val="xl132"/>
    <w:basedOn w:val="833"/>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24"/>
      <w:szCs w:val="24"/>
    </w:rPr>
  </w:style>
  <w:style w:type="paragraph" w:styleId="1217" w:customStyle="1">
    <w:name w:val="xl133"/>
    <w:basedOn w:val="833"/>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4"/>
      <w:szCs w:val="24"/>
    </w:rPr>
  </w:style>
  <w:style w:type="paragraph" w:styleId="1218" w:customStyle="1">
    <w:name w:val="xl134"/>
    <w:basedOn w:val="833"/>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219" w:customStyle="1">
    <w:name w:val="xl135"/>
    <w:basedOn w:val="833"/>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1220" w:customStyle="1">
    <w:name w:val="xl136"/>
    <w:basedOn w:val="833"/>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1221" w:customStyle="1">
    <w:name w:val="xl137"/>
    <w:basedOn w:val="83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222" w:customStyle="1">
    <w:name w:val="_Style 227"/>
    <w:uiPriority w:val="99"/>
    <w:semiHidden/>
    <w:qFormat/>
    <w:rPr>
      <w:rFonts w:ascii="等线" w:hAnsi="等线" w:eastAsia="等线" w:cs="Times New Roman"/>
      <w:sz w:val="21"/>
      <w:szCs w:val="22"/>
      <w:lang w:val="en-US" w:eastAsia="zh-CN" w:bidi="ar-SA"/>
    </w:rPr>
  </w:style>
  <w:style w:type="paragraph" w:styleId="1223" w:customStyle="1">
    <w:name w:val="正文_0"/>
    <w:next w:val="833"/>
    <w:uiPriority w:val="3"/>
    <w:qFormat/>
    <w:pPr>
      <w:jc w:val="both"/>
      <w:widowControl w:val="off"/>
    </w:pPr>
    <w:rPr>
      <w:rFonts w:ascii="Calibri" w:hAnsi="Calibri" w:eastAsia="宋体" w:cs="Times New Roman"/>
      <w:sz w:val="21"/>
      <w:lang w:val="en-US" w:eastAsia="zh-CN" w:bidi="ar-SA"/>
    </w:rPr>
  </w:style>
  <w:style w:type="paragraph" w:styleId="1224" w:customStyle="1">
    <w:name w:val="Char Char Char Char Char Char Char1 Char"/>
    <w:basedOn w:val="833"/>
    <w:uiPriority w:val="0"/>
    <w:qFormat/>
    <w:rPr>
      <w:rFonts w:ascii="Tahoma" w:hAnsi="Tahoma"/>
      <w:sz w:val="24"/>
      <w:szCs w:val="24"/>
    </w:rPr>
  </w:style>
  <w:style w:type="paragraph" w:styleId="1225" w:customStyle="1">
    <w:name w:val="TOC 11"/>
    <w:basedOn w:val="833"/>
    <w:next w:val="833"/>
    <w:uiPriority w:val="0"/>
    <w:qFormat/>
  </w:style>
  <w:style w:type="paragraph" w:styleId="1226" w:customStyle="1">
    <w:name w:val="标题 71"/>
    <w:basedOn w:val="833"/>
    <w:next w:val="833"/>
    <w:link w:val="1227"/>
    <w:uiPriority w:val="9"/>
    <w:unhideWhenUsed/>
    <w:qFormat/>
    <w:pPr>
      <w:keepLines/>
      <w:keepNext/>
      <w:spacing w:before="320" w:after="200"/>
      <w:outlineLvl w:val="6"/>
    </w:pPr>
    <w:rPr>
      <w:rFonts w:ascii="Arial" w:hAnsi="Arial" w:eastAsia="Arial"/>
      <w:b/>
      <w:bCs/>
      <w:i/>
      <w:iCs/>
      <w:sz w:val="22"/>
    </w:rPr>
  </w:style>
  <w:style w:type="character" w:styleId="1227" w:customStyle="1">
    <w:name w:val="Heading 7 Char"/>
    <w:link w:val="1226"/>
    <w:uiPriority w:val="9"/>
    <w:qFormat/>
    <w:rPr>
      <w:rFonts w:ascii="Arial" w:hAnsi="Arial" w:eastAsia="Arial" w:cs="Arial"/>
      <w:b/>
      <w:bCs/>
      <w:i/>
      <w:iCs/>
      <w:sz w:val="22"/>
      <w:szCs w:val="22"/>
    </w:rPr>
  </w:style>
  <w:style w:type="paragraph" w:styleId="1228" w:customStyle="1">
    <w:name w:val="正文文本缩进1"/>
    <w:basedOn w:val="833"/>
    <w:next w:val="833"/>
    <w:uiPriority w:val="99"/>
    <w:unhideWhenUsed/>
    <w:qFormat/>
    <w:pPr>
      <w:ind w:firstLine="540"/>
      <w:spacing w:line="400" w:lineRule="exact"/>
    </w:pPr>
    <w:rPr>
      <w:sz w:val="24"/>
    </w:rPr>
  </w:style>
  <w:style w:type="character" w:styleId="1229" w:customStyle="1">
    <w:name w:val="font31"/>
    <w:basedOn w:val="843"/>
    <w:uiPriority w:val="0"/>
    <w:qFormat/>
    <w:rPr>
      <w:rFonts w:hint="eastAsia" w:ascii="宋体" w:hAnsi="宋体" w:eastAsia="宋体" w:cs="宋体"/>
      <w:color w:val="000000"/>
      <w:sz w:val="24"/>
      <w:szCs w:val="24"/>
      <w:u w:val="none"/>
      <w:vertAlign w:val="superscript"/>
    </w:rPr>
  </w:style>
  <w:style w:type="paragraph" w:styleId="1230" w:customStyle="1">
    <w:name w:val="样式 宋体 加粗 居中"/>
    <w:basedOn w:val="833"/>
    <w:uiPriority w:val="0"/>
    <w:qFormat/>
    <w:pPr>
      <w:jc w:val="center"/>
    </w:pPr>
    <w:rPr>
      <w:rFonts w:ascii="宋体" w:hAnsi="宋体" w:cs="宋体"/>
      <w:b/>
      <w:bCs/>
      <w:sz w:val="32"/>
      <w:szCs w:val="20"/>
    </w:rPr>
  </w:style>
  <w:style w:type="paragraph" w:styleId="1231" w:customStyle="1">
    <w:name w:val="_正文"/>
    <w:basedOn w:val="833"/>
    <w:uiPriority w:val="0"/>
    <w:qFormat/>
    <w:pPr>
      <w:ind w:firstLine="560"/>
      <w:spacing w:line="360" w:lineRule="auto"/>
    </w:pPr>
    <w:rPr>
      <w:sz w:val="28"/>
      <w:szCs w:val="28"/>
      <w:lang w:val="zh-CN"/>
    </w:rPr>
  </w:style>
  <w:style w:type="paragraph" w:styleId="1232" w:customStyle="1">
    <w:name w:val="A正文"/>
    <w:basedOn w:val="833"/>
    <w:uiPriority w:val="0"/>
    <w:qFormat/>
    <w:pPr>
      <w:ind w:firstLine="480"/>
      <w:jc w:val="left"/>
      <w:spacing w:line="360" w:lineRule="auto"/>
      <w:widowControl/>
    </w:pPr>
    <w:rPr>
      <w:rFonts w:ascii="宋体" w:hAnsi="宋体" w:cs="宋体"/>
      <w:sz w:val="24"/>
      <w:szCs w:val="24"/>
    </w:rPr>
  </w:style>
  <w:style w:type="numbering" w:styleId="12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林祖超</cp:lastModifiedBy>
  <cp:revision>6</cp:revision>
  <dcterms:created xsi:type="dcterms:W3CDTF">2025-02-11T06:44:00Z</dcterms:created>
  <dcterms:modified xsi:type="dcterms:W3CDTF">2025-02-24T08:42:05Z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7CFD2F23E0F0429D8D6BDE3F8DAC55C9_13</vt:lpwstr>
  </property>
  <property fmtid="{D5CDD505-2E9C-101B-9397-08002B2CF9AE}" pid="4" name="KSOTemplateDocerSaveRecord">
    <vt:lpwstr>eyJoZGlkIjoiNzYxYTUyNjBjYTI1ZTkzNmJjZDJmMzFkNTdmZjRhZjAiLCJ1c2VySWQiOiI0MTk2MzY1OTUifQ==</vt:lpwstr>
  </property>
</Properties>
</file>