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7"/>
        <w:jc w:val="both"/>
        <w:rPr>
          <w:rFonts w:ascii="宋体" w:hAnsi="宋体"/>
          <w:b/>
          <w:color w:val="000000" w:themeColor="text1"/>
          <w:spacing w:val="76"/>
          <w:sz w:val="84"/>
          <w:szCs w:val="84"/>
          <w:highlight w:val="none"/>
          <w14:textFill>
            <w14:solidFill>
              <w14:schemeClr w14:val="tx1"/>
            </w14:solidFill>
          </w14:textFill>
        </w:rPr>
      </w:pPr>
      <w:r>
        <w:rPr>
          <w:rFonts w:ascii="宋体" w:hAnsi="宋体"/>
          <w:b/>
          <w:color w:val="000000" w:themeColor="text1"/>
          <w:spacing w:val="76"/>
          <w:sz w:val="84"/>
          <w:szCs w:val="84"/>
          <w:highlight w:val="none"/>
          <w14:textFill>
            <w14:solidFill>
              <w14:schemeClr w14:val="tx1"/>
            </w14:solidFill>
          </w14:textFill>
        </w:rPr>
      </w:r>
      <w:r/>
    </w:p>
    <w:p>
      <w:pPr>
        <w:pStyle w:val="967"/>
        <w:jc w:val="center"/>
        <w:rPr>
          <w:rFonts w:ascii="宋体" w:hAnsi="宋体"/>
          <w:b/>
          <w:color w:val="000000" w:themeColor="text1"/>
          <w:spacing w:val="76"/>
          <w:sz w:val="84"/>
          <w:szCs w:val="84"/>
          <w:highlight w:val="none"/>
          <w14:textFill>
            <w14:solidFill>
              <w14:schemeClr w14:val="tx1"/>
            </w14:solidFill>
          </w14:textFill>
        </w:rPr>
      </w:pPr>
      <w:r>
        <w:rPr>
          <w:rFonts w:ascii="宋体" w:hAnsi="宋体"/>
          <w:b/>
          <w:color w:val="000000" w:themeColor="text1"/>
          <w:spacing w:val="76"/>
          <w:sz w:val="84"/>
          <w:szCs w:val="84"/>
          <w:highlight w:val="none"/>
          <w14:textFill>
            <w14:solidFill>
              <w14:schemeClr w14:val="tx1"/>
            </w14:solidFill>
          </w14:textFill>
        </w:rPr>
        <w:t xml:space="preserve">竞争性磋商文件</w:t>
      </w:r>
      <w:r/>
    </w:p>
    <w:p>
      <w:pPr>
        <w:pStyle w:val="967"/>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83"/>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             </w:t>
      </w:r>
      <w:r/>
    </w:p>
    <w:p>
      <w:pPr>
        <w:pStyle w:val="967"/>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7"/>
        <w:jc w:val="cente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8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67"/>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67"/>
        <w:ind w:firstLine="964"/>
        <w:rPr>
          <w:rFonts w:hint="eastAsia" w:ascii="宋体" w:hAnsi="宋体" w:eastAsia="宋体"/>
          <w:b/>
          <w:bCs/>
          <w:color w:val="000000" w:themeColor="text1"/>
          <w:sz w:val="24"/>
          <w:szCs w:val="24"/>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项目名称：</w:t>
      </w:r>
      <w:r>
        <w:rPr>
          <w:rFonts w:hint="eastAsia" w:ascii="宋体" w:hAnsi="宋体"/>
          <w:b/>
          <w:bCs/>
          <w:color w:val="000000" w:themeColor="text1"/>
          <w:sz w:val="24"/>
          <w:szCs w:val="24"/>
          <w:highlight w:val="none"/>
          <w:lang w:eastAsia="zh-CN"/>
          <w14:textFill>
            <w14:solidFill>
              <w14:schemeClr w14:val="tx1"/>
            </w14:solidFill>
          </w14:textFill>
        </w:rPr>
        <w:t xml:space="preserve">城市容颜更美丽工程（城区花坛修复、行道树补植等)</w:t>
      </w:r>
      <w:r/>
    </w:p>
    <w:p>
      <w:pPr>
        <w:pStyle w:val="98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83"/>
        <w:ind w:firstLine="964"/>
        <w:jc w:val="left"/>
        <w:rPr>
          <w:rFonts w:hint="eastAsia" w:ascii="宋体" w:hAnsi="宋体" w:eastAsia="宋体"/>
          <w:b/>
          <w:bCs/>
          <w:color w:val="000000" w:themeColor="text1"/>
          <w:sz w:val="32"/>
          <w:szCs w:val="32"/>
          <w:highlight w:val="none"/>
          <w:lang w:eastAsia="zh-CN"/>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项目编号：</w:t>
      </w:r>
      <w:r>
        <w:rPr>
          <w:rFonts w:hint="eastAsia" w:ascii="宋体" w:hAnsi="宋体"/>
          <w:b/>
          <w:bCs/>
          <w:color w:val="000000" w:themeColor="text1"/>
          <w:sz w:val="32"/>
          <w:szCs w:val="32"/>
          <w:highlight w:val="none"/>
          <w:lang w:eastAsia="zh-CN"/>
          <w14:textFill>
            <w14:solidFill>
              <w14:schemeClr w14:val="tx1"/>
            </w14:solidFill>
          </w14:textFill>
        </w:rPr>
        <w:t xml:space="preserve">JSZC-320322-JSYM-C2025-0009</w:t>
      </w:r>
      <w:r/>
    </w:p>
    <w:p>
      <w:pPr>
        <w:pStyle w:val="98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ind w:firstLine="964"/>
        <w:rPr>
          <w:rFonts w:ascii="宋体" w:hAnsi="宋体"/>
          <w:color w:val="000000" w:themeColor="text1"/>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采 购 人：沛县园林服务中心</w:t>
      </w:r>
      <w:r/>
    </w:p>
    <w:p>
      <w:pPr>
        <w:pStyle w:val="967"/>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67"/>
        <w:ind w:firstLine="964"/>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67"/>
        <w:ind w:firstLine="964"/>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67"/>
        <w:ind w:firstLine="964"/>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采购代理机构：</w:t>
      </w:r>
      <w:r>
        <w:rPr>
          <w:rFonts w:hint="eastAsia" w:ascii="宋体" w:hAnsi="宋体"/>
          <w:b/>
          <w:bCs/>
          <w:color w:val="000000" w:themeColor="text1"/>
          <w:sz w:val="32"/>
          <w:szCs w:val="32"/>
          <w:highlight w:val="none"/>
          <w:lang w:eastAsia="zh-CN"/>
          <w14:textFill>
            <w14:solidFill>
              <w14:schemeClr w14:val="tx1"/>
            </w14:solidFill>
          </w14:textFill>
        </w:rPr>
        <w:t xml:space="preserve">中诚运玛咨询股份有限公司</w:t>
      </w:r>
      <w:r/>
    </w:p>
    <w:p>
      <w:pPr>
        <w:pStyle w:val="96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8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jc w:val="cente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  二〇二</w:t>
      </w:r>
      <w:r>
        <w:rPr>
          <w:rFonts w:hint="eastAsia" w:ascii="宋体" w:hAnsi="宋体"/>
          <w:b/>
          <w:bCs/>
          <w:color w:val="000000" w:themeColor="text1"/>
          <w:sz w:val="32"/>
          <w:szCs w:val="32"/>
          <w:highlight w:val="none"/>
          <w:lang w:val="en-US" w:eastAsia="zh-CN"/>
          <w14:textFill>
            <w14:solidFill>
              <w14:schemeClr w14:val="tx1"/>
            </w14:solidFill>
          </w14:textFill>
        </w:rPr>
        <w:t xml:space="preserve">五</w:t>
      </w:r>
      <w:r>
        <w:rPr>
          <w:rFonts w:hint="eastAsia" w:ascii="宋体" w:hAnsi="宋体"/>
          <w:b/>
          <w:bCs/>
          <w:color w:val="000000" w:themeColor="text1"/>
          <w:sz w:val="32"/>
          <w:szCs w:val="32"/>
          <w:highlight w:val="none"/>
          <w14:textFill>
            <w14:solidFill>
              <w14:schemeClr w14:val="tx1"/>
            </w14:solidFill>
          </w14:textFill>
        </w:rPr>
        <w:t xml:space="preserve">年</w:t>
      </w:r>
      <w:r>
        <w:rPr>
          <w:rFonts w:hint="eastAsia" w:ascii="宋体" w:hAnsi="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b/>
          <w:bCs/>
          <w:color w:val="000000" w:themeColor="text1"/>
          <w:sz w:val="32"/>
          <w:szCs w:val="32"/>
          <w:highlight w:val="none"/>
          <w14:textFill>
            <w14:solidFill>
              <w14:schemeClr w14:val="tx1"/>
            </w14:solidFill>
          </w14:textFill>
        </w:rPr>
        <w:t xml:space="preserve">月</w:t>
      </w:r>
      <w:r/>
    </w:p>
    <w:p>
      <w:pPr>
        <w:rPr>
          <w:color w:val="000000" w:themeColor="text1"/>
          <w:sz w:val="21"/>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7"/>
        <w:jc w:val="cente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t xml:space="preserve">竞争性磋商文件</w:t>
      </w:r>
      <w:r/>
    </w:p>
    <w:p>
      <w:pPr>
        <w:pStyle w:val="967"/>
        <w:jc w:val="center"/>
        <w:spacing w:line="400" w:lineRule="exact"/>
        <w:tabs>
          <w:tab w:val="left" w:pos="3240" w:leader="none"/>
        </w:tabs>
        <w:rPr>
          <w:rFonts w:hint="default" w:ascii="宋体" w:hAnsi="宋体" w:eastAsia="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项目编号：</w:t>
      </w:r>
      <w:r>
        <w:rPr>
          <w:rFonts w:hint="eastAsia" w:ascii="宋体" w:hAnsi="宋体"/>
          <w:bCs/>
          <w:color w:val="000000" w:themeColor="text1"/>
          <w:sz w:val="24"/>
          <w:highlight w:val="none"/>
          <w:lang w:val="en-US" w:eastAsia="zh-CN"/>
          <w14:textFill>
            <w14:solidFill>
              <w14:schemeClr w14:val="tx1"/>
            </w14:solidFill>
          </w14:textFill>
        </w:rPr>
        <w:t xml:space="preserve">JSZC-320322-JSYM-C2025-0009</w:t>
      </w:r>
      <w:r/>
    </w:p>
    <w:p>
      <w:pPr>
        <w:pStyle w:val="967"/>
        <w:spacing w:line="400" w:lineRule="exact"/>
        <w:tabs>
          <w:tab w:val="left" w:pos="324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（供应商）：</w:t>
      </w:r>
      <w:r/>
    </w:p>
    <w:p>
      <w:pPr>
        <w:pStyle w:val="967"/>
        <w:ind w:firstLine="497"/>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受沛县园林服务中心委托，</w:t>
      </w:r>
      <w:r>
        <w:rPr>
          <w:rFonts w:hint="eastAsia" w:ascii="宋体" w:hAnsi="宋体"/>
          <w:color w:val="000000" w:themeColor="text1"/>
          <w:sz w:val="24"/>
          <w:highlight w:val="none"/>
          <w:lang w:eastAsia="zh-CN"/>
          <w14:textFill>
            <w14:solidFill>
              <w14:schemeClr w14:val="tx1"/>
            </w14:solidFill>
          </w14:textFill>
        </w:rPr>
        <w:t xml:space="preserve">中诚运玛咨询股份有限公司</w:t>
      </w:r>
      <w:r>
        <w:rPr>
          <w:rFonts w:ascii="宋体" w:hAnsi="宋体"/>
          <w:color w:val="000000" w:themeColor="text1"/>
          <w:sz w:val="24"/>
          <w:highlight w:val="none"/>
          <w14:textFill>
            <w14:solidFill>
              <w14:schemeClr w14:val="tx1"/>
            </w14:solidFill>
          </w14:textFill>
        </w:rPr>
        <w:t xml:space="preserve">对</w:t>
      </w:r>
      <w:r>
        <w:rPr>
          <w:rFonts w:hint="eastAsia" w:ascii="宋体" w:hAnsi="宋体"/>
          <w:color w:val="000000" w:themeColor="text1"/>
          <w:sz w:val="24"/>
          <w:highlight w:val="none"/>
          <w:u w:val="single"/>
          <w:lang w:eastAsia="zh-CN"/>
          <w14:textFill>
            <w14:solidFill>
              <w14:schemeClr w14:val="tx1"/>
            </w14:solidFill>
          </w14:textFill>
        </w:rPr>
        <w:t xml:space="preserve">城市容颜更美丽工程（城区花坛修复、行道树补植等)</w:t>
      </w:r>
      <w:r>
        <w:rPr>
          <w:rFonts w:ascii="宋体" w:hAnsi="宋体"/>
          <w:color w:val="000000" w:themeColor="text1"/>
          <w:sz w:val="24"/>
          <w:highlight w:val="none"/>
          <w14:textFill>
            <w14:solidFill>
              <w14:schemeClr w14:val="tx1"/>
            </w14:solidFill>
          </w14:textFill>
        </w:rPr>
        <w:t xml:space="preserve">采取竞争性磋商方式进行采购。竞争性磋商文件（以下简称《磋商文件》）内容如下：</w:t>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第一章 项目说明</w:t>
      </w:r>
      <w:r/>
    </w:p>
    <w:p>
      <w:pPr>
        <w:pStyle w:val="967"/>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一、采购人：沛县园林服务中心</w:t>
      </w:r>
      <w:r/>
    </w:p>
    <w:p>
      <w:pPr>
        <w:pStyle w:val="967"/>
        <w:ind w:firstLine="480"/>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二、项目名称：</w:t>
      </w:r>
      <w:r>
        <w:rPr>
          <w:rFonts w:hint="eastAsia" w:ascii="宋体" w:hAnsi="宋体"/>
          <w:color w:val="000000" w:themeColor="text1"/>
          <w:sz w:val="24"/>
          <w:highlight w:val="none"/>
          <w:lang w:eastAsia="zh-CN"/>
          <w14:textFill>
            <w14:solidFill>
              <w14:schemeClr w14:val="tx1"/>
            </w14:solidFill>
          </w14:textFill>
        </w:rPr>
        <w:t xml:space="preserve">城市容颜更美丽工程（城区花坛修复、行道树补植等)</w:t>
      </w:r>
      <w:r/>
    </w:p>
    <w:p>
      <w:pPr>
        <w:pStyle w:val="967"/>
        <w:ind w:firstLine="480"/>
        <w:spacing w:line="400" w:lineRule="exact"/>
        <w:rPr>
          <w:rFonts w:hint="default"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三、项目编号：</w:t>
      </w:r>
      <w:r>
        <w:rPr>
          <w:rFonts w:hint="eastAsia" w:ascii="宋体" w:hAnsi="宋体"/>
          <w:color w:val="000000" w:themeColor="text1"/>
          <w:sz w:val="24"/>
          <w:highlight w:val="none"/>
          <w:lang w:val="en-US" w:eastAsia="zh-CN"/>
          <w14:textFill>
            <w14:solidFill>
              <w14:schemeClr w14:val="tx1"/>
            </w14:solidFill>
          </w14:textFill>
        </w:rPr>
        <w:t xml:space="preserve">JSZC-320322-JSYM-C2025-0009</w:t>
      </w:r>
      <w:r/>
    </w:p>
    <w:p>
      <w:pPr>
        <w:pStyle w:val="967"/>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pStyle w:val="967"/>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五、采购方式：本项目采用竞争性磋商采购方式。</w:t>
      </w:r>
      <w:r/>
    </w:p>
    <w:p>
      <w:pPr>
        <w:pStyle w:val="967"/>
        <w:ind w:left="497"/>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六、供应商资格条件：</w:t>
      </w:r>
      <w:r/>
    </w:p>
    <w:p>
      <w:pPr>
        <w:pStyle w:val="967"/>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1、满足《中华人民共和国政府采购法》第二十二条规定。</w:t>
      </w:r>
      <w:r/>
    </w:p>
    <w:p>
      <w:pPr>
        <w:pStyle w:val="984"/>
        <w:ind w:firstLine="480"/>
        <w:spacing w:before="0" w:beforeAutospacing="0" w:after="0" w:afterAutospacing="0" w:line="4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2、落实政府采购政策需满足的资格要求：此项目属于专门面向中小微企业采购的项目，供应商应为中小微企业、监狱企业、残疾人福利性单位。 </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3、本项目的特定资格要求：无</w:t>
      </w:r>
      <w:r/>
    </w:p>
    <w:p>
      <w:pPr>
        <w:pStyle w:val="777"/>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说明：</w:t>
      </w:r>
      <w:r/>
    </w:p>
    <w:p>
      <w:pPr>
        <w:pStyle w:val="777"/>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1.本项目不接受联合体参与采购活动</w:t>
      </w:r>
      <w:r>
        <w:rPr>
          <w:rFonts w:ascii="宋体" w:hAnsi="宋体"/>
          <w:color w:val="000000" w:themeColor="text1"/>
          <w:highlight w:val="none"/>
          <w14:textFill>
            <w14:solidFill>
              <w14:schemeClr w14:val="tx1"/>
            </w14:solidFill>
          </w14:textFill>
        </w:rPr>
        <w:t xml:space="preserve">，成交后不得转包或分包。</w:t>
      </w:r>
      <w:r/>
    </w:p>
    <w:p>
      <w:pPr>
        <w:pStyle w:val="777"/>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967"/>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4.查询及使用供应商信用记录：</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⑴由采购人查询信用信息。</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⑵查询渠道包括：</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①“信用中国”网（www.creditchina.gov.cn）；</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②“中国政府采购”网（www.ccgp.gov.cn）；</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③“信用中国（江苏）”网（http://www.jscredit.gov.cn/）；</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④“信用中国（徐州）”网（http://www.xuzhoucredit.gov.cn）。</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⑶截止时点（查询环节）：评审结束前。</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⑷信用信息查询记录和证据留存的具体方式：</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网页截屏打印，与其他采购文件一并保存。</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⑸信用信息的使用规则：</w:t>
      </w:r>
      <w:r/>
    </w:p>
    <w:p>
      <w:pPr>
        <w:pStyle w:val="967"/>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九、合同草案条款：见《磋商文件》附件6.《</w:t>
      </w:r>
      <w:bookmarkStart w:id="0" w:name="OLE_LINK4"/>
      <w:r>
        <w:rPr>
          <w:rFonts w:hint="eastAsia" w:ascii="宋体" w:hAnsi="宋体" w:cs="宋体"/>
          <w:color w:val="000000" w:themeColor="text1"/>
          <w:sz w:val="24"/>
          <w:highlight w:val="none"/>
          <w14:textFill>
            <w14:solidFill>
              <w14:schemeClr w14:val="tx1"/>
            </w14:solidFill>
          </w14:textFill>
        </w:rPr>
        <w:t xml:space="preserve">合同草案条款</w:t>
      </w:r>
      <w:bookmarkEnd w:id="0"/>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十、报价要求</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1.供应商报价为要约，</w:t>
      </w:r>
      <w:r>
        <w:rPr>
          <w:rFonts w:hint="eastAsia" w:ascii="宋体" w:hAnsi="宋体" w:cs="宋体"/>
          <w:color w:val="000000" w:themeColor="text1"/>
          <w:sz w:val="24"/>
          <w:highlight w:val="none"/>
          <w:lang w:eastAsia="zh-CN"/>
          <w14:textFill>
            <w14:solidFill>
              <w14:schemeClr w14:val="tx1"/>
            </w14:solidFill>
          </w14:textFill>
        </w:rPr>
        <w:t xml:space="preserve">中诚运玛咨询股份有限公司</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无承诺表示时视为未成交，</w:t>
      </w:r>
      <w:r>
        <w:rPr>
          <w:rFonts w:hint="eastAsia" w:ascii="宋体" w:hAnsi="宋体" w:cs="宋体"/>
          <w:color w:val="000000" w:themeColor="text1"/>
          <w:sz w:val="24"/>
          <w:highlight w:val="none"/>
          <w:lang w:eastAsia="zh-CN"/>
          <w14:textFill>
            <w14:solidFill>
              <w14:schemeClr w14:val="tx1"/>
            </w14:solidFill>
          </w14:textFill>
        </w:rPr>
        <w:t xml:space="preserve">中诚运玛咨询股份有限公司</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2.按照《磋商报价表》要求填写首次报价。</w:t>
      </w:r>
      <w:r/>
    </w:p>
    <w:p>
      <w:pPr>
        <w:ind w:firstLine="480"/>
        <w:spacing w:line="400" w:lineRule="exact"/>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735"/>
        <w:numPr>
          <w:ilvl w:val="0"/>
          <w:numId w:val="2"/>
        </w:num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磋商保证金</w:t>
      </w:r>
      <w:r/>
    </w:p>
    <w:p>
      <w:pPr>
        <w:pStyle w:val="965"/>
        <w:ind w:firstLine="482"/>
        <w:spacing w:line="40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十一、供应商提交磋商保证金</w:t>
      </w:r>
      <w:r/>
    </w:p>
    <w:p>
      <w:pPr>
        <w:pStyle w:val="752"/>
        <w:ind w:left="0" w:right="1470" w:firstLine="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磋商保证金交纳数额和形式：不需交纳。</w:t>
      </w:r>
      <w:r/>
    </w:p>
    <w:p>
      <w:pPr>
        <w:pStyle w:val="735"/>
        <w:numPr>
          <w:ilvl w:val="0"/>
          <w:numId w:val="2"/>
        </w:num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响应文件</w:t>
      </w:r>
      <w:r/>
    </w:p>
    <w:p>
      <w:pPr>
        <w:pStyle w:val="965"/>
        <w:ind w:firstLine="482"/>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十二、提交响应文件要求</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“CA数字证书”的获取：</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苏采云”系统政务CA办理材料、操作手册及控件下载》，填写好申请表后将申请表提交至徐州市云龙区新安路5号政务服务中心2楼F02窗口。</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“苏采云”系统使用要求：</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1．使用谷歌浏览器参与不见面开标及磋商环节。</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电脑需提前准备好麦克风、音响，摄像头，提前检查保证能够正常使用。</w:t>
      </w:r>
      <w:r/>
    </w:p>
    <w:p>
      <w:pPr>
        <w:pStyle w:val="965"/>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3．操作系统至少win7以上，建议使</w:t>
      </w:r>
      <w:r>
        <w:rPr>
          <w:rFonts w:hint="eastAsia" w:ascii="宋体" w:hAnsi="宋体" w:cs="宋体"/>
          <w:color w:val="000000" w:themeColor="text1"/>
          <w:sz w:val="24"/>
          <w:szCs w:val="22"/>
          <w:highlight w:val="none"/>
          <w14:textFill>
            <w14:solidFill>
              <w14:schemeClr w14:val="tx1"/>
            </w14:solidFill>
          </w14:textFill>
        </w:rPr>
        <w:t xml:space="preserve">用win10操作系统。</w:t>
      </w:r>
      <w:r/>
    </w:p>
    <w:p>
      <w:pPr>
        <w:pStyle w:val="965"/>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（二）首次响应文件提交的截止时间：</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2"/>
          <w:highlight w:val="none"/>
          <w14:textFill>
            <w14:solidFill>
              <w14:schemeClr w14:val="tx1"/>
            </w14:solidFill>
          </w14:textFill>
        </w:rPr>
        <w:t xml:space="preserve">年</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 6 月 27 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color w:val="000000" w:themeColor="text1"/>
          <w:sz w:val="24"/>
          <w:szCs w:val="22"/>
          <w:highlight w:val="none"/>
          <w14:textFill>
            <w14:solidFill>
              <w14:schemeClr w14:val="tx1"/>
            </w14:solidFill>
          </w14:textFill>
        </w:rPr>
        <w:t xml:space="preserve">，在截止时间后提交的首次响应文件为无效文件，将被拒收。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（三）首次响应文件提交时间、地点：</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提交时间</w:t>
      </w:r>
      <w:r/>
    </w:p>
    <w:p>
      <w:pPr>
        <w:pStyle w:val="965"/>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2"/>
          <w:highlight w:val="none"/>
          <w14:textFill>
            <w14:solidFill>
              <w14:schemeClr w14:val="tx1"/>
            </w14:solidFill>
          </w14:textFill>
        </w:rPr>
        <w:t xml:space="preserve">年</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 6 月 27 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color w:val="000000" w:themeColor="text1"/>
          <w:sz w:val="24"/>
          <w:szCs w:val="22"/>
          <w:highlight w:val="none"/>
          <w14:textFill>
            <w14:solidFill>
              <w14:schemeClr w14:val="tx1"/>
            </w14:solidFill>
          </w14:textFill>
        </w:rPr>
        <w:t xml:space="preserve">前。</w:t>
      </w:r>
      <w:r/>
    </w:p>
    <w:p>
      <w:pPr>
        <w:pStyle w:val="965"/>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2.提交地点：</w:t>
      </w:r>
      <w:r/>
    </w:p>
    <w:p>
      <w:pPr>
        <w:pStyle w:val="965"/>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w:t>
      </w:r>
      <w:r>
        <w:rPr>
          <w:rFonts w:hint="eastAsia" w:ascii="宋体" w:hAnsi="宋体" w:cs="宋体"/>
          <w:color w:val="000000" w:themeColor="text1"/>
          <w:sz w:val="24"/>
          <w:szCs w:val="22"/>
          <w:highlight w:val="none"/>
          <w14:textFill>
            <w14:solidFill>
              <w14:schemeClr w14:val="tx1"/>
            </w14:solidFill>
          </w14:textFill>
        </w:rPr>
        <w:t xml:space="preserve">“开标大厅”。 </w:t>
      </w:r>
      <w:r/>
    </w:p>
    <w:p>
      <w:pPr>
        <w:pStyle w:val="965"/>
        <w:ind w:firstLine="482"/>
        <w:spacing w:line="400" w:lineRule="exact"/>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（四）</w:t>
      </w:r>
      <w:r>
        <w:rPr>
          <w:rFonts w:hint="eastAsia" w:ascii="宋体" w:hAnsi="宋体" w:cs="宋体"/>
          <w:b/>
          <w:bCs/>
          <w:color w:val="000000" w:themeColor="text1"/>
          <w:sz w:val="24"/>
          <w:szCs w:val="22"/>
          <w:highlight w:val="none"/>
          <w14:textFill>
            <w14:solidFill>
              <w14:schemeClr w14:val="tx1"/>
            </w14:solidFill>
          </w14:textFill>
        </w:rPr>
        <w:t xml:space="preserve">首次响应文件开启时间：202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2"/>
          <w:highlight w:val="none"/>
          <w14:textFill>
            <w14:solidFill>
              <w14:schemeClr w14:val="tx1"/>
            </w14:solidFill>
          </w14:textFill>
        </w:rPr>
        <w:t xml:space="preserve">年</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 6 月 27 日</w:t>
      </w:r>
      <w:r>
        <w:rPr>
          <w:rFonts w:hint="eastAsia" w:ascii="宋体" w:hAnsi="宋体" w:cs="宋体"/>
          <w:b/>
          <w:bCs/>
          <w:color w:val="000000" w:themeColor="text1"/>
          <w:sz w:val="24"/>
          <w:szCs w:val="22"/>
          <w:highlight w:val="none"/>
          <w14:textFill>
            <w14:solidFill>
              <w14:schemeClr w14:val="tx1"/>
            </w14:solidFill>
          </w14:textFill>
        </w:rPr>
        <w:t xml:space="preserve">09:30。</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（五）首次响应文件开启地点：</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highlight w:val="none"/>
          <w14:textFill>
            <w14:solidFill>
              <w14:schemeClr w14:val="tx1"/>
            </w14:solidFill>
          </w14:textFill>
        </w:rPr>
        <w:t xml:space="preserve">开启时间后30分钟内</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十三、响应文件编制要求</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请按照以下要求（包括但不限于以下要求）制作：</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（一）基本目录</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2.授权委托书及受托人身份证（提供原件的扫描件，格式见《磋商文件》附件）；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3.供应商认为需要提供的其他资料的扫描件（如有）。</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（二）资格条件（1～</w:t>
      </w:r>
      <w:r>
        <w:rPr>
          <w:rFonts w:ascii="宋体" w:hAnsi="宋体" w:cs="宋体"/>
          <w:b/>
          <w:bCs/>
          <w:color w:val="000000" w:themeColor="text1"/>
          <w:sz w:val="24"/>
          <w:highlight w:val="none"/>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项必须提供，否则响应无效）</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1.投标人合法有效的法人或者其他组织的营业执照等证明文件。以上证明文件提供原件的扫描件。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即提供投标人的本项目开标时间前6个月内（不含开标当月）任何时间的资产负债表、利润表各一份或提供投标人上年度财务报告或投标人的本项目开标时间前6个月内银行出具的资信证明扫描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4.具备履行合同所必需的设备和专业技术能力的证明材料。响应文件中提供《具备履行合同所必需的设备和专业技术能力的书面声明》（加盖电子签章，格式见《磋商文件》附件）。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5.供应商参加政府采购活动前3年内在经营活动中没有重大违法记录的书面声明(格式见《磋商文件》附件)。</w:t>
      </w:r>
      <w:r/>
    </w:p>
    <w:p>
      <w:pPr>
        <w:pStyle w:val="965"/>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6.供应商为中小企业（含中型、小型、微型企业，下同）的，提供《中小企业声明函》（</w:t>
      </w:r>
      <w:r>
        <w:rPr>
          <w:rFonts w:hint="eastAsia" w:ascii="宋体" w:hAnsi="宋体" w:cstheme="minorEastAsia"/>
          <w:b/>
          <w:bCs w:val="0"/>
          <w:color w:val="000000" w:themeColor="text1"/>
          <w:sz w:val="24"/>
          <w:highlight w:val="none"/>
          <w14:textFill>
            <w14:solidFill>
              <w14:schemeClr w14:val="tx1"/>
            </w14:solidFill>
          </w14:textFill>
        </w:rPr>
        <w:t xml:space="preserve">本项目属于专门面向中小微企业采购的项目（必须提供，否则响应无效）</w:t>
      </w:r>
      <w:r>
        <w:rPr>
          <w:rFonts w:hint="eastAsia" w:ascii="宋体" w:hAnsi="宋体" w:cstheme="minorEastAsia"/>
          <w:bCs/>
          <w:color w:val="000000" w:themeColor="text1"/>
          <w:sz w:val="24"/>
          <w:highlight w:val="none"/>
          <w14:textFill>
            <w14:solidFill>
              <w14:schemeClr w14:val="tx1"/>
            </w14:solidFill>
          </w14:textFill>
        </w:rPr>
        <w:t xml:space="preserve">），加盖电子签章，填写完整，格式见《磋商文件》附件。“中小企业声明函” 查询渠道用微信搜索“中小企业规模类型自测小程序”。</w:t>
      </w:r>
      <w:r/>
    </w:p>
    <w:p>
      <w:pPr>
        <w:pStyle w:val="965"/>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注：中小微企业，应当同时符合以下条件：</w:t>
      </w:r>
      <w:r/>
    </w:p>
    <w:p>
      <w:pPr>
        <w:pStyle w:val="965"/>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65"/>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965"/>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965"/>
        <w:ind w:firstLine="482"/>
        <w:spacing w:line="400" w:lineRule="exact"/>
        <w:rPr>
          <w:rFonts w:ascii="宋体" w:hAnsi="宋体" w:cstheme="minorEastAsia"/>
          <w:b/>
          <w:color w:val="000000" w:themeColor="text1"/>
          <w:sz w:val="24"/>
          <w:highlight w:val="none"/>
          <w14:textFill>
            <w14:solidFill>
              <w14:schemeClr w14:val="tx1"/>
            </w14:solidFill>
          </w14:textFill>
        </w:rPr>
      </w:pPr>
      <w:r>
        <w:rPr>
          <w:rFonts w:hint="eastAsia" w:ascii="宋体" w:hAnsi="宋体" w:cstheme="minorEastAsia"/>
          <w:b/>
          <w:color w:val="000000" w:themeColor="text1"/>
          <w:sz w:val="24"/>
          <w:highlight w:val="none"/>
          <w14:textFill>
            <w14:solidFill>
              <w14:schemeClr w14:val="tx1"/>
            </w14:solidFill>
          </w14:textFill>
        </w:rPr>
        <w:t xml:space="preserve">以上资格、资信证明文件资料如未提供或提供不全，视为未响应采购文件要求，不具备投标资格。</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（三）符合条件（必须提供，否则响应无效）</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1.《磋商报价表》（电子签章，格式见《磋商文件》附件）；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《偏离表》（电子签章，格式见《磋商文件》附件）；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.《分项价格表》（电子签章，格式见《磋商文件》附件）；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.《承诺书》（电子签章，格式见《磋商文件》附件）。</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（四）综合评审评分项</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1.商务部分</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（1）业绩（要求见《磋商文件》附件：1.《评分细则》）</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（2）项目主要管理人员（要求见《磋商文件》附件：1.《评分细则》））</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2.技术部分</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（1）施工组织设计（要求见《磋商文件》附件：1.《评分细则》）</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（2）养护期方案及措施（要求见《磋商文件》附件：1.《评分细则》）</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（五）价格折扣文件格式</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1.企业报价折扣证明：</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（1）供应商提供的货物全部由符合政策要求的中小企业制造的，提供《中小企业声明函》（加盖电子公章，格式见《磋商文件》附件）。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（2）供应商为监狱企业的，提供省级以上监狱管理局、戒毒管理局（含新疆生产建设兵团）出具的属于监狱企业的证明文件的扫描件。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注：具体以《财政部 司法部关于政府采购支持监狱企业发展有关问题的通知》（财库〔2014〕68号）的规定为准(非必须提供）。</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（3）供应商为享受政府采购支持政策的残疾人福利性单位的，提供《残疾人福利性单位声明函》（加盖电子签章，格式见《磋商文件》附件，非必须提供）。</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1）安置的残疾人占本单位在职职工人数的比例不低于25%（含25%），并且安置的残疾人人数不少于10人（含10人）；</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2）依法与安置的每位残疾人签订了一年以上（含一年）的劳动合同或服务协议；</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（六）提交的首次响应文件的密封、签署、盖章要求：</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1.密封（加密）要求：</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965"/>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965"/>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735"/>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十四、磋商相关说明</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themeColor="text1"/>
          <w:sz w:val="24"/>
          <w:highlight w:val="none"/>
          <w14:textFill>
            <w14:solidFill>
              <w14:schemeClr w14:val="tx1"/>
            </w14:solidFill>
          </w14:textFill>
        </w:rPr>
        <w:t xml:space="preserve">（所有邀请等待时间2分钟，2分钟内所邀请供应商无响应，视同放弃磋商的权利，由解密顺序下一家进行磋商，不再后补）。</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6.未在规定时间内在“苏采云”系统进行答疑澄清的，视同放弃澄清。</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7.未在规定时间内在“苏采云”系统进行报价的，视为响应无效。</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（二）评审程序</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顺序推荐成交候选供应商</w:t>
      </w:r>
      <w:r>
        <w:rPr>
          <w:rFonts w:hint="eastAsia" w:ascii="宋体" w:hAnsi="宋体" w:cs="宋体"/>
          <w:b/>
          <w:bCs/>
          <w:color w:val="000000" w:themeColor="text1"/>
          <w:sz w:val="24"/>
          <w:highlight w:val="none"/>
          <w14:textFill>
            <w14:solidFill>
              <w14:schemeClr w14:val="tx1"/>
            </w14:solidFill>
          </w14:textFill>
        </w:rPr>
        <w:t xml:space="preserve">。</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磋商小组认为供应商的报价明显低于其他供应商的报价，有可能影响服务质量或者不能诚信履约的，磋商小组通过</w:t>
      </w:r>
      <w:bookmarkStart w:id="1" w:name="OLE_LINK13"/>
      <w:r>
        <w:rPr>
          <w:rFonts w:hint="eastAsia" w:ascii="宋体" w:hAnsi="宋体" w:cs="宋体"/>
          <w:color w:val="000000" w:themeColor="text1"/>
          <w:sz w:val="24"/>
          <w:highlight w:val="none"/>
          <w14:textFill>
            <w14:solidFill>
              <w14:schemeClr w14:val="tx1"/>
            </w14:solidFill>
          </w14:textFill>
        </w:rPr>
        <w:t xml:space="preserve">“苏采云”系统中的视频会议</w:t>
      </w:r>
      <w:bookmarkEnd w:id="1"/>
      <w:r>
        <w:rPr>
          <w:rFonts w:hint="eastAsia" w:ascii="宋体" w:hAnsi="宋体" w:cs="宋体"/>
          <w:color w:val="000000" w:themeColor="text1"/>
          <w:sz w:val="24"/>
          <w:highlight w:val="none"/>
          <w14:textFill>
            <w14:solidFill>
              <w14:schemeClr w14:val="tx1"/>
            </w14:solidFill>
          </w14:textFill>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十五、评审方法和评审标准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十六、磋商过程中可能实质性变动的内容：在磋商过程中，磋商小组可以根据《磋商文件》和磋商情况实质性变动采购需求中的技术、服务要求以及合同草案条款。</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35"/>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 确定成交供应商及合同签订等</w:t>
      </w:r>
      <w:r/>
    </w:p>
    <w:p>
      <w:pPr>
        <w:pStyle w:val="964"/>
        <w:ind w:left="2" w:right="29" w:firstLine="480"/>
        <w:spacing w:line="400" w:lineRule="exact"/>
        <w:rPr>
          <w:rFonts w:ascii="宋体" w:hAnsi="宋体" w:cs="宋体"/>
          <w:color w:val="000000" w:themeColor="text1"/>
          <w:sz w:val="24"/>
          <w:highlight w:val="none"/>
          <w14:textFill>
            <w14:solidFill>
              <w14:schemeClr w14:val="tx1"/>
            </w14:solidFill>
          </w14:textFill>
        </w:rPr>
      </w:pPr>
      <w:r/>
      <w:bookmarkStart w:id="2" w:name="OLE_LINK1"/>
      <w:r>
        <w:rPr>
          <w:rFonts w:ascii="宋体" w:hAnsi="宋体" w:cs="宋体"/>
          <w:color w:val="000000" w:themeColor="text1"/>
          <w:sz w:val="24"/>
          <w:highlight w:val="none"/>
          <w14:textFill>
            <w14:solidFill>
              <w14:schemeClr w14:val="tx1"/>
            </w14:solidFill>
          </w14:textFill>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64"/>
        <w:ind w:left="2" w:right="29"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64"/>
        <w:ind w:firstLine="480"/>
        <w:spacing w:line="4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十九、采购人与成交供应商应当在成交通知书发出之日起</w:t>
      </w:r>
      <w:r>
        <w:rPr>
          <w:rFonts w:hint="eastAsia" w:ascii="宋体" w:hAnsi="宋体" w:cs="宋体"/>
          <w:color w:val="000000" w:themeColor="text1"/>
          <w:sz w:val="24"/>
          <w:highlight w:val="none"/>
          <w14:textFill>
            <w14:solidFill>
              <w14:schemeClr w14:val="tx1"/>
            </w14:solidFill>
          </w14:textFill>
        </w:rPr>
        <w:t xml:space="preserve">30</w:t>
      </w:r>
      <w:r>
        <w:rPr>
          <w:rFonts w:ascii="宋体" w:hAnsi="宋体" w:cs="宋体"/>
          <w:color w:val="000000" w:themeColor="text1"/>
          <w:sz w:val="24"/>
          <w:highlight w:val="none"/>
          <w14:textFill>
            <w14:solidFill>
              <w14:schemeClr w14:val="tx1"/>
            </w14:solidFill>
          </w14:textFill>
        </w:rPr>
        <w:t xml:space="preserve">日内，按照《磋商文件》确定的合同文本以及采购标的、规格型号、采购金额、采购数量、技术和服务要求等事项签订政府采购合同。</w:t>
      </w:r>
      <w:r/>
    </w:p>
    <w:p>
      <w:pPr>
        <w:pStyle w:val="964"/>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64"/>
        <w:ind w:firstLine="360"/>
        <w:spacing w:line="4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64"/>
        <w:ind w:firstLine="480"/>
        <w:spacing w:line="400" w:lineRule="exact"/>
        <w:rPr>
          <w:rFonts w:ascii="宋体" w:hAnsi="宋体" w:cs="宋体"/>
          <w:color w:val="000000" w:themeColor="text1"/>
          <w:sz w:val="24"/>
          <w:highlight w:val="none"/>
          <w14:textFill>
            <w14:solidFill>
              <w14:schemeClr w14:val="tx1"/>
            </w14:solidFill>
          </w14:textFill>
        </w:rPr>
      </w:pPr>
      <w:r/>
      <w:bookmarkStart w:id="3" w:name="OLE_LINK2"/>
      <w:r>
        <w:rPr>
          <w:rFonts w:ascii="宋体" w:hAnsi="宋体" w:cs="宋体"/>
          <w:color w:val="000000" w:themeColor="text1"/>
          <w:sz w:val="24"/>
          <w:highlight w:val="none"/>
          <w14:textFill>
            <w14:solidFill>
              <w14:schemeClr w14:val="tx1"/>
            </w14:solidFill>
          </w14:textFill>
        </w:rPr>
        <w:t xml:space="preserve">二十</w:t>
      </w:r>
      <w:bookmarkEnd w:id="3"/>
      <w:r>
        <w:rPr>
          <w:rFonts w:ascii="宋体" w:hAnsi="宋体" w:cs="宋体"/>
          <w:color w:val="000000" w:themeColor="text1"/>
          <w:sz w:val="24"/>
          <w:highlight w:val="none"/>
          <w14:textFill>
            <w14:solidFill>
              <w14:schemeClr w14:val="tx1"/>
            </w14:solidFill>
          </w14:textFill>
        </w:rPr>
        <w:t xml:space="preserve">、</w:t>
      </w:r>
      <w:r>
        <w:rPr>
          <w:rStyle w:val="996"/>
          <w:rFonts w:hint="eastAsia" w:ascii="宋体" w:hAnsi="宋体" w:cs="宋体"/>
          <w:color w:val="000000" w:themeColor="text1"/>
          <w:sz w:val="24"/>
          <w:highlight w:val="none"/>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签订合同前，成交供应商必须向采购人提交其响应文件中所有扫描件的原件，采购人核查无误后，签订合同。如成交供应商不能在采购人规定的时间内向采购人提供原件，将被采购人视为放弃中标资格</w:t>
      </w:r>
      <w:r>
        <w:rPr>
          <w:rFonts w:ascii="宋体" w:hAnsi="宋体" w:cs="宋体"/>
          <w:color w:val="000000" w:themeColor="text1"/>
          <w:sz w:val="24"/>
          <w:highlight w:val="none"/>
          <w14:textFill>
            <w14:solidFill>
              <w14:schemeClr w14:val="tx1"/>
            </w14:solidFill>
          </w14:textFill>
        </w:rPr>
        <w:t xml:space="preserve">。</w:t>
      </w:r>
      <w:bookmarkEnd w:id="2"/>
      <w:r/>
      <w:r/>
    </w:p>
    <w:p>
      <w:pPr>
        <w:pStyle w:val="735"/>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磋商文</w:t>
      </w:r>
      <w:bookmarkStart w:id="4" w:name="OLE_LINK3"/>
      <w:r>
        <w:rPr>
          <w:rFonts w:hint="eastAsia" w:ascii="宋体" w:hAnsi="宋体"/>
          <w:color w:val="000000" w:themeColor="text1"/>
          <w:highlight w:val="none"/>
          <w14:textFill>
            <w14:solidFill>
              <w14:schemeClr w14:val="tx1"/>
            </w14:solidFill>
          </w14:textFill>
        </w:rPr>
        <w:t xml:space="preserve">件的澄</w:t>
      </w:r>
      <w:bookmarkEnd w:id="4"/>
      <w:r>
        <w:rPr>
          <w:rFonts w:hint="eastAsia" w:ascii="宋体" w:hAnsi="宋体"/>
          <w:color w:val="000000" w:themeColor="text1"/>
          <w:highlight w:val="none"/>
          <w14:textFill>
            <w14:solidFill>
              <w14:schemeClr w14:val="tx1"/>
            </w14:solidFill>
          </w14:textFill>
        </w:rPr>
        <w:t xml:space="preserve">清或者修改</w:t>
      </w:r>
      <w:r/>
    </w:p>
    <w:p>
      <w:pPr>
        <w:pStyle w:val="967"/>
        <w:ind w:firstLine="600"/>
        <w:jc w:val="left"/>
        <w:spacing w:line="40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二十一</w:t>
      </w:r>
      <w:r>
        <w:rPr>
          <w:rStyle w:val="996"/>
          <w:rFonts w:hint="eastAsia" w:ascii="宋体" w:hAnsi="宋体" w:cs="宋体"/>
          <w:color w:val="000000" w:themeColor="text1"/>
          <w:sz w:val="24"/>
          <w:highlight w:val="none"/>
          <w14:textFill>
            <w14:solidFill>
              <w14:schemeClr w14:val="tx1"/>
            </w14:solidFill>
          </w14:textFill>
        </w:rPr>
        <w:t xml:space="preserve">、《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67"/>
        <w:ind w:firstLine="600"/>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第七章 询问和质疑</w:t>
      </w:r>
      <w:r/>
    </w:p>
    <w:p>
      <w:pPr>
        <w:pStyle w:val="967"/>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二十二、询问和质疑</w:t>
      </w:r>
      <w:r/>
    </w:p>
    <w:p>
      <w:pPr>
        <w:pStyle w:val="964"/>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64"/>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2.供应商在法定质疑期内一次性提出针对同一采购程序环节的质疑。</w:t>
      </w:r>
      <w:r/>
    </w:p>
    <w:p>
      <w:pPr>
        <w:pStyle w:val="964"/>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3.质疑函</w:t>
      </w:r>
      <w:r/>
    </w:p>
    <w:p>
      <w:pPr>
        <w:pStyle w:val="964"/>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接收质疑函的方式：供应商直接送交或供应商通过邮寄。</w:t>
      </w:r>
      <w:r/>
    </w:p>
    <w:p>
      <w:pPr>
        <w:pStyle w:val="967"/>
        <w:ind w:firstLine="480"/>
        <w:jc w:val="left"/>
        <w:spacing w:line="400" w:lineRule="exact"/>
        <w:rPr>
          <w:rFonts w:hint="default"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highlight w:val="none"/>
          <w14:textFill>
            <w14:solidFill>
              <w14:schemeClr w14:val="tx1"/>
            </w14:solidFill>
          </w14:textFill>
        </w:rPr>
        <w:t xml:space="preserve">质疑接收人：</w:t>
      </w:r>
      <w:r>
        <w:rPr>
          <w:rFonts w:hint="eastAsia" w:ascii="宋体" w:hAnsi="宋体"/>
          <w:bCs/>
          <w:color w:val="000000" w:themeColor="text1"/>
          <w:sz w:val="24"/>
          <w:highlight w:val="none"/>
          <w:lang w:val="en-US" w:eastAsia="zh-CN"/>
          <w14:textFill>
            <w14:solidFill>
              <w14:schemeClr w14:val="tx1"/>
            </w14:solidFill>
          </w14:textFill>
        </w:rPr>
        <w:t xml:space="preserve">郭工</w:t>
      </w:r>
      <w:r>
        <w:rPr>
          <w:rFonts w:hint="eastAsia" w:ascii="宋体" w:hAnsi="宋体"/>
          <w:bCs/>
          <w:color w:val="000000" w:themeColor="text1"/>
          <w:sz w:val="24"/>
          <w:highlight w:val="none"/>
          <w14:textFill>
            <w14:solidFill>
              <w14:schemeClr w14:val="tx1"/>
            </w14:solidFill>
          </w14:textFill>
        </w:rPr>
        <w:t xml:space="preserve">       联系电话：</w:t>
      </w:r>
      <w:r>
        <w:rPr>
          <w:rFonts w:hint="eastAsia" w:ascii="宋体" w:hAnsi="宋体"/>
          <w:bCs/>
          <w:color w:val="000000" w:themeColor="text1"/>
          <w:sz w:val="24"/>
          <w:highlight w:val="none"/>
          <w:lang w:val="en-US" w:eastAsia="zh-CN"/>
          <w14:textFill>
            <w14:solidFill>
              <w14:schemeClr w14:val="tx1"/>
            </w14:solidFill>
          </w14:textFill>
        </w:rPr>
        <w:t xml:space="preserve">17851160589</w:t>
      </w:r>
      <w:r/>
    </w:p>
    <w:p>
      <w:pPr>
        <w:pStyle w:val="967"/>
        <w:ind w:firstLine="480"/>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highlight w:val="none"/>
          <w14:textFill>
            <w14:solidFill>
              <w14:schemeClr w14:val="tx1"/>
            </w14:solidFill>
          </w14:textFill>
        </w:rPr>
        <w:t xml:space="preserve">地址：</w:t>
      </w:r>
      <w:r>
        <w:rPr>
          <w:rFonts w:hint="eastAsia" w:ascii="宋体" w:hAnsi="宋体"/>
          <w:bCs/>
          <w:color w:val="000000" w:themeColor="text1"/>
          <w:sz w:val="24"/>
          <w:highlight w:val="none"/>
          <w:lang w:eastAsia="zh-CN"/>
          <w14:textFill>
            <w14:solidFill>
              <w14:schemeClr w14:val="tx1"/>
            </w14:solidFill>
          </w14:textFill>
        </w:rPr>
        <w:t xml:space="preserve">徐州市沛县河口镇振河路 3-9号</w:t>
      </w:r>
      <w:r/>
    </w:p>
    <w:p>
      <w:pPr>
        <w:pStyle w:val="967"/>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967"/>
        <w:jc w:val="center"/>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t xml:space="preserve">第八章 联系方式</w:t>
      </w:r>
      <w:r/>
    </w:p>
    <w:p>
      <w:pPr>
        <w:pStyle w:val="967"/>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1、采购人：沛县园林服务中心</w:t>
      </w:r>
      <w:r/>
    </w:p>
    <w:p>
      <w:pPr>
        <w:pStyle w:val="967"/>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14:textFill>
            <w14:solidFill>
              <w14:schemeClr w14:val="tx1"/>
            </w14:solidFill>
          </w14:textFill>
        </w:rPr>
        <w:t xml:space="preserve">沛县沛公路1号政府西五楼</w:t>
      </w:r>
      <w:r/>
    </w:p>
    <w:p>
      <w:pPr>
        <w:pStyle w:val="967"/>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联系人：</w:t>
      </w:r>
      <w:r>
        <w:rPr>
          <w:rFonts w:hint="eastAsia" w:ascii="宋体" w:hAnsi="宋体"/>
          <w:color w:val="000000" w:themeColor="text1"/>
          <w:sz w:val="24"/>
          <w:highlight w:val="none"/>
          <w:lang w:eastAsia="zh-CN"/>
          <w14:textFill>
            <w14:solidFill>
              <w14:schemeClr w14:val="tx1"/>
            </w14:solidFill>
          </w14:textFill>
        </w:rPr>
        <w:t xml:space="preserve">蒋加轩</w:t>
      </w:r>
      <w:r/>
    </w:p>
    <w:p>
      <w:pPr>
        <w:pStyle w:val="967"/>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联系电话：</w:t>
      </w:r>
      <w:r>
        <w:rPr>
          <w:rFonts w:hint="eastAsia" w:ascii="宋体" w:hAnsi="宋体"/>
          <w:color w:val="000000" w:themeColor="text1"/>
          <w:sz w:val="24"/>
          <w:highlight w:val="none"/>
          <w14:textFill>
            <w14:solidFill>
              <w14:schemeClr w14:val="tx1"/>
            </w14:solidFill>
          </w14:textFill>
        </w:rPr>
        <w:t xml:space="preserve">18209203283</w:t>
      </w:r>
      <w:r/>
    </w:p>
    <w:p>
      <w:pPr>
        <w:pStyle w:val="967"/>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r>
      <w:r/>
    </w:p>
    <w:p>
      <w:pPr>
        <w:pStyle w:val="967"/>
        <w:ind w:firstLine="480"/>
        <w:jc w:val="left"/>
        <w:spacing w:line="400" w:lineRule="exact"/>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2、采购代理公司：</w:t>
      </w:r>
      <w:r>
        <w:rPr>
          <w:rFonts w:hint="eastAsia" w:ascii="宋体" w:hAnsi="宋体"/>
          <w:color w:val="000000" w:themeColor="text1"/>
          <w:sz w:val="24"/>
          <w:highlight w:val="none"/>
          <w:lang w:eastAsia="zh-CN"/>
          <w14:textFill>
            <w14:solidFill>
              <w14:schemeClr w14:val="tx1"/>
            </w14:solidFill>
          </w14:textFill>
        </w:rPr>
        <w:t xml:space="preserve">中诚运玛咨询股份有限公司</w:t>
      </w:r>
      <w:r/>
    </w:p>
    <w:p>
      <w:pPr>
        <w:pStyle w:val="967"/>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bCs/>
          <w:color w:val="000000" w:themeColor="text1"/>
          <w:sz w:val="24"/>
          <w:highlight w:val="none"/>
          <w:lang w:eastAsia="zh-CN"/>
          <w14:textFill>
            <w14:solidFill>
              <w14:schemeClr w14:val="tx1"/>
            </w14:solidFill>
          </w14:textFill>
        </w:rPr>
        <w:t xml:space="preserve">徐州市沛县河口镇振河路 3-9号</w:t>
      </w:r>
      <w:r>
        <w:rPr>
          <w:rFonts w:hint="eastAsia" w:ascii="宋体" w:hAnsi="宋体"/>
          <w:color w:val="000000" w:themeColor="text1"/>
          <w:sz w:val="24"/>
          <w:highlight w:val="none"/>
          <w14:textFill>
            <w14:solidFill>
              <w14:schemeClr w14:val="tx1"/>
            </w14:solidFill>
          </w14:textFill>
        </w:rPr>
        <w:t xml:space="preserve">  </w:t>
      </w:r>
      <w:r/>
    </w:p>
    <w:p>
      <w:pPr>
        <w:pStyle w:val="967"/>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采购项目联系人：</w:t>
      </w:r>
      <w:r>
        <w:rPr>
          <w:rFonts w:hint="eastAsia" w:ascii="宋体" w:hAnsi="宋体"/>
          <w:bCs/>
          <w:color w:val="000000" w:themeColor="text1"/>
          <w:sz w:val="24"/>
          <w:highlight w:val="none"/>
          <w:lang w:val="en-US" w:eastAsia="zh-CN"/>
          <w14:textFill>
            <w14:solidFill>
              <w14:schemeClr w14:val="tx1"/>
            </w14:solidFill>
          </w14:textFill>
        </w:rPr>
        <w:t xml:space="preserve">郭工</w:t>
      </w:r>
      <w:r>
        <w:rPr>
          <w:rFonts w:hint="eastAsia" w:ascii="宋体" w:hAnsi="宋体"/>
          <w:bCs/>
          <w:color w:val="000000" w:themeColor="text1"/>
          <w:sz w:val="24"/>
          <w:highlight w:val="none"/>
          <w14:textFill>
            <w14:solidFill>
              <w14:schemeClr w14:val="tx1"/>
            </w14:solidFill>
          </w14:textFill>
        </w:rPr>
        <w:t xml:space="preserve"> </w:t>
      </w:r>
      <w:r/>
    </w:p>
    <w:p>
      <w:pPr>
        <w:pStyle w:val="967"/>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联系方法：</w:t>
      </w:r>
      <w:r>
        <w:rPr>
          <w:rFonts w:hint="eastAsia" w:ascii="宋体" w:hAnsi="宋体"/>
          <w:bCs/>
          <w:color w:val="000000" w:themeColor="text1"/>
          <w:sz w:val="24"/>
          <w:highlight w:val="none"/>
          <w:lang w:val="en-US" w:eastAsia="zh-CN"/>
          <w14:textFill>
            <w14:solidFill>
              <w14:schemeClr w14:val="tx1"/>
            </w14:solidFill>
          </w14:textFill>
        </w:rPr>
        <w:t xml:space="preserve">17851160589</w:t>
      </w:r>
      <w:r/>
    </w:p>
    <w:p>
      <w:pPr>
        <w:pStyle w:val="967"/>
        <w:ind w:firstLine="492"/>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967"/>
        <w:ind w:firstLine="492"/>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t xml:space="preserve">第九章 附件</w:t>
      </w:r>
      <w:r/>
    </w:p>
    <w:p>
      <w:pPr>
        <w:pStyle w:val="967"/>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二十三、成交供应商在领取成交通知书前，向采购代理机构缴纳代理服务费，收取标准见附件。</w:t>
      </w:r>
      <w:r/>
    </w:p>
    <w:p>
      <w:pPr>
        <w:pStyle w:val="967"/>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二十四、本项目属于专门面向中小微企业采购的项目，供应商应为中小微企业、监狱企业、残疾人福利性单位。</w:t>
      </w:r>
      <w:r/>
    </w:p>
    <w:p>
      <w:pPr>
        <w:pStyle w:val="967"/>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二十五、采购人确定的采购项目属性：工程。</w:t>
      </w:r>
      <w:r/>
    </w:p>
    <w:p>
      <w:pPr>
        <w:pStyle w:val="967"/>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二十六、附件：附后。</w:t>
      </w:r>
      <w:r/>
    </w:p>
    <w:p>
      <w:pPr>
        <w:pStyle w:val="967"/>
        <w:ind w:firstLine="492"/>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附件：</w:t>
      </w:r>
      <w:r/>
    </w:p>
    <w:p>
      <w:pPr>
        <w:pStyle w:val="967"/>
        <w:ind w:firstLine="492"/>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1、《评分细则》</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2、《项目要求》（采购需求）</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3、《磋商报价表》</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4、《分项价格表》</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5、《偏离表》</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6、《合同草案条款》</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7、《承诺书》</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8、《法人授权委托书》</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9、《中小企业声明函》</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10、《残疾人福利性单位声明函》</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12、《预付款保函支付条款模板》</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13、《具备履行合同所必需的设备和专业技术能力的书面声明》</w:t>
      </w:r>
      <w:r/>
    </w:p>
    <w:p>
      <w:pPr>
        <w:pStyle w:val="967"/>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14、《代理服务收费标准》</w:t>
      </w:r>
      <w:r/>
    </w:p>
    <w:p>
      <w:pPr>
        <w:pStyle w:val="967"/>
        <w:jc w:val="center"/>
        <w:rPr>
          <w:rFonts w:ascii="宋体" w:hAnsi="宋体"/>
          <w:b/>
          <w:color w:val="000000" w:themeColor="text1"/>
          <w:sz w:val="30"/>
          <w:szCs w:val="30"/>
          <w:highlight w:val="none"/>
          <w14:textFill>
            <w14:solidFill>
              <w14:schemeClr w14:val="tx1"/>
            </w14:solidFill>
          </w14:textFill>
        </w:rPr>
      </w:pPr>
      <w:r/>
      <w:bookmarkStart w:id="5" w:name="_Toc523404699"/>
      <w:r/>
      <w:bookmarkStart w:id="6" w:name="_Toc522790134"/>
      <w:r/>
      <w:r/>
    </w:p>
    <w:p>
      <w:pPr>
        <w:pStyle w:val="967"/>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1、评分细则</w:t>
      </w:r>
      <w:r/>
    </w:p>
    <w:tbl>
      <w:tblPr>
        <w:tblStyle w:val="745"/>
        <w:tblW w:w="9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449"/>
        <w:gridCol w:w="6425"/>
      </w:tblGrid>
      <w:tr>
        <w:trPr>
          <w:jc w:val="center"/>
          <w:trHeight w:val="567"/>
        </w:trPr>
        <w:tc>
          <w:tcPr>
            <w:gridSpan w:val="2"/>
            <w:tcW w:w="2787" w:type="dxa"/>
            <w:vAlign w:val="center"/>
            <w:textDirection w:val="lrTb"/>
            <w:noWrap w:val="false"/>
          </w:tcPr>
          <w:p>
            <w:pPr>
              <w:pStyle w:val="777"/>
              <w:jc w:val="center"/>
              <w:spacing w:line="264"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项目</w:t>
            </w:r>
            <w:r/>
          </w:p>
        </w:tc>
        <w:tc>
          <w:tcPr>
            <w:tcW w:w="6425" w:type="dxa"/>
            <w:vAlign w:val="center"/>
            <w:textDirection w:val="lrTb"/>
            <w:noWrap w:val="false"/>
          </w:tcPr>
          <w:p>
            <w:pPr>
              <w:pStyle w:val="777"/>
              <w:jc w:val="center"/>
              <w:spacing w:line="264"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评分细则</w:t>
            </w:r>
            <w:r/>
          </w:p>
        </w:tc>
      </w:tr>
      <w:tr>
        <w:trPr>
          <w:jc w:val="center"/>
          <w:trHeight w:val="567"/>
        </w:trPr>
        <w:tc>
          <w:tcPr>
            <w:tcW w:w="1338" w:type="dxa"/>
            <w:vAlign w:val="center"/>
            <w:textDirection w:val="lrTb"/>
            <w:noWrap w:val="false"/>
          </w:tcPr>
          <w:p>
            <w:pPr>
              <w:pStyle w:val="777"/>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价格部分</w:t>
            </w:r>
            <w:r/>
          </w:p>
          <w:p>
            <w:pPr>
              <w:pStyle w:val="777"/>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ascii="宋体" w:hAnsi="宋体"/>
                <w:color w:val="000000" w:themeColor="text1"/>
                <w:szCs w:val="24"/>
                <w:highlight w:val="none"/>
                <w14:textFill>
                  <w14:solidFill>
                    <w14:schemeClr w14:val="tx1"/>
                  </w14:solidFill>
                </w14:textFill>
              </w:rPr>
              <w:t xml:space="preserve">0分)</w:t>
            </w:r>
            <w:r/>
          </w:p>
        </w:tc>
        <w:tc>
          <w:tcPr>
            <w:tcW w:w="1449" w:type="dxa"/>
            <w:vAlign w:val="center"/>
            <w:textDirection w:val="lrTb"/>
            <w:noWrap w:val="false"/>
          </w:tcPr>
          <w:p>
            <w:pPr>
              <w:pStyle w:val="777"/>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价格</w:t>
            </w:r>
            <w:r/>
          </w:p>
          <w:p>
            <w:pPr>
              <w:pStyle w:val="777"/>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ascii="宋体" w:hAnsi="宋体"/>
                <w:color w:val="000000" w:themeColor="text1"/>
                <w:szCs w:val="24"/>
                <w:highlight w:val="none"/>
                <w14:textFill>
                  <w14:solidFill>
                    <w14:schemeClr w14:val="tx1"/>
                  </w14:solidFill>
                </w14:textFill>
              </w:rPr>
              <w:t xml:space="preserve">0分)</w:t>
            </w:r>
            <w:r/>
          </w:p>
        </w:tc>
        <w:tc>
          <w:tcPr>
            <w:tcW w:w="6425" w:type="dxa"/>
            <w:vAlign w:val="center"/>
            <w:textDirection w:val="lrTb"/>
            <w:noWrap w:val="false"/>
          </w:tcPr>
          <w:p>
            <w:pPr>
              <w:pStyle w:val="96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pStyle w:val="96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磋商报价得分=（磋商基准价/最后磋商报价）×</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w:t>
            </w:r>
            <w:r/>
          </w:p>
        </w:tc>
      </w:tr>
      <w:tr>
        <w:trPr>
          <w:jc w:val="center"/>
          <w:trHeight w:val="1478"/>
        </w:trPr>
        <w:tc>
          <w:tcPr>
            <w:tcW w:w="1338" w:type="dxa"/>
            <w:vAlign w:val="center"/>
            <w:vMerge w:val="restart"/>
            <w:textDirection w:val="lrTb"/>
            <w:noWrap w:val="false"/>
          </w:tcPr>
          <w:p>
            <w:pPr>
              <w:pStyle w:val="777"/>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商务部分（</w:t>
            </w:r>
            <w:r>
              <w:rPr>
                <w:rFonts w:hint="eastAsia" w:ascii="宋体" w:hAnsi="宋体"/>
                <w:color w:val="000000" w:themeColor="text1"/>
                <w:szCs w:val="24"/>
                <w:highlight w:val="none"/>
                <w:lang w:val="en-US" w:eastAsia="zh-CN"/>
                <w14:textFill>
                  <w14:solidFill>
                    <w14:schemeClr w14:val="tx1"/>
                  </w14:solidFill>
                </w14:textFill>
              </w:rPr>
              <w:t xml:space="preserve">9</w:t>
            </w:r>
            <w:r>
              <w:rPr>
                <w:rFonts w:ascii="宋体" w:hAnsi="宋体"/>
                <w:color w:val="000000" w:themeColor="text1"/>
                <w:szCs w:val="24"/>
                <w:highlight w:val="none"/>
                <w14:textFill>
                  <w14:solidFill>
                    <w14:schemeClr w14:val="tx1"/>
                  </w14:solidFill>
                </w14:textFill>
              </w:rPr>
              <w:t xml:space="preserve">分）</w:t>
            </w:r>
            <w:r/>
          </w:p>
        </w:tc>
        <w:tc>
          <w:tcPr>
            <w:tcW w:w="1449" w:type="dxa"/>
            <w:vAlign w:val="center"/>
            <w:textDirection w:val="lrTb"/>
            <w:noWrap w:val="false"/>
          </w:tcPr>
          <w:p>
            <w:pPr>
              <w:pStyle w:val="777"/>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业绩</w:t>
            </w:r>
            <w:r/>
          </w:p>
          <w:p>
            <w:pPr>
              <w:pStyle w:val="777"/>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4</w:t>
            </w:r>
            <w:r>
              <w:rPr>
                <w:rFonts w:ascii="宋体" w:hAnsi="宋体"/>
                <w:color w:val="000000" w:themeColor="text1"/>
                <w:szCs w:val="24"/>
                <w:highlight w:val="none"/>
                <w14:textFill>
                  <w14:solidFill>
                    <w14:schemeClr w14:val="tx1"/>
                  </w14:solidFill>
                </w14:textFill>
              </w:rPr>
              <w:t xml:space="preserve">分）</w:t>
            </w:r>
            <w:r/>
          </w:p>
        </w:tc>
        <w:tc>
          <w:tcPr>
            <w:tcW w:w="6425" w:type="dxa"/>
            <w:vAlign w:val="center"/>
            <w:textDirection w:val="lrTb"/>
            <w:noWrap w:val="false"/>
          </w:tcPr>
          <w:p>
            <w:pPr>
              <w:pStyle w:val="96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供应商自20</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月1日（以竣工验收时间为准）以来承接过的</w:t>
            </w:r>
            <w:r>
              <w:rPr>
                <w:rFonts w:hint="eastAsia" w:ascii="宋体" w:hAnsi="宋体"/>
                <w:color w:val="000000" w:themeColor="text1"/>
                <w:sz w:val="24"/>
                <w:highlight w:val="none"/>
                <w:lang w:val="en-US" w:eastAsia="zh-CN"/>
                <w14:textFill>
                  <w14:solidFill>
                    <w14:schemeClr w14:val="tx1"/>
                  </w14:solidFill>
                </w14:textFill>
              </w:rPr>
              <w:t xml:space="preserve">类似</w:t>
            </w:r>
            <w:r>
              <w:rPr>
                <w:rFonts w:hint="eastAsia" w:ascii="宋体" w:hAnsi="宋体"/>
                <w:color w:val="000000" w:themeColor="text1"/>
                <w:sz w:val="24"/>
                <w:highlight w:val="none"/>
                <w14:textFill>
                  <w14:solidFill>
                    <w14:schemeClr w14:val="tx1"/>
                  </w14:solidFill>
                </w14:textFill>
              </w:rPr>
              <w:t xml:space="preserve">工程业绩</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合同内容中至少包含园林绿化</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，以网上中标公告截图、中标通知书、施工合同及竣工验收合格证明（直接发包项目以网上直接发包截图、施工合同及竣工验收合格证明）为准，必须同时具备。每提供一份得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分，本项最高得</w:t>
            </w: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w:t>
            </w:r>
            <w:r/>
          </w:p>
          <w:p>
            <w:pPr>
              <w:pStyle w:val="96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注：响应文件中提供扫描件，原件中标后核查。</w:t>
            </w:r>
            <w:r/>
          </w:p>
        </w:tc>
      </w:tr>
      <w:tr>
        <w:trPr>
          <w:jc w:val="center"/>
          <w:trHeight w:val="1198"/>
        </w:trPr>
        <w:tc>
          <w:tcPr>
            <w:tcW w:w="1338"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1449" w:type="dxa"/>
            <w:vAlign w:val="center"/>
            <w:textDirection w:val="lrTb"/>
            <w:noWrap w:val="false"/>
          </w:tcPr>
          <w:p>
            <w:pPr>
              <w:pStyle w:val="967"/>
              <w:jc w:val="center"/>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项目主要管理人员</w:t>
            </w:r>
            <w:r/>
          </w:p>
          <w:p>
            <w:pPr>
              <w:pStyle w:val="967"/>
              <w:jc w:val="center"/>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分）</w:t>
            </w:r>
            <w:r/>
          </w:p>
        </w:tc>
        <w:tc>
          <w:tcPr>
            <w:tcW w:w="6425" w:type="dxa"/>
            <w:vAlign w:val="center"/>
            <w:textDirection w:val="lrTb"/>
            <w:noWrap w:val="false"/>
          </w:tcPr>
          <w:p>
            <w:pPr>
              <w:pStyle w:val="967"/>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园林绿化类专业中级职称（如职称证书反映不出园林绿化专业则必须提供园林绿化专业毕业证书或职称评审表），并提供其在供应商本单位</w:t>
            </w:r>
            <w:r>
              <w:rPr>
                <w:rFonts w:hint="eastAsia" w:ascii="宋体" w:hAnsi="宋体"/>
                <w:color w:val="000000" w:themeColor="text1"/>
                <w:sz w:val="24"/>
                <w:highlight w:val="none"/>
                <w14:textFill>
                  <w14:solidFill>
                    <w14:schemeClr w14:val="tx1"/>
                  </w14:solidFill>
                </w14:textFill>
              </w:rPr>
              <w:t xml:space="preserve">近6个月(202</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月至2025年</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月)的任意一个月的社保</w:t>
            </w:r>
            <w:r>
              <w:rPr>
                <w:rFonts w:ascii="宋体" w:hAnsi="宋体"/>
                <w:color w:val="000000" w:themeColor="text1"/>
                <w:sz w:val="24"/>
                <w:highlight w:val="none"/>
                <w14:textFill>
                  <w14:solidFill>
                    <w14:schemeClr w14:val="tx1"/>
                  </w14:solidFill>
                </w14:textFill>
              </w:rPr>
              <w:t xml:space="preserve">。</w:t>
            </w:r>
            <w:r/>
          </w:p>
          <w:p>
            <w:pPr>
              <w:pStyle w:val="967"/>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注：响应文件中提供扫描件，原件中标后核查。</w:t>
            </w:r>
            <w:r/>
          </w:p>
        </w:tc>
      </w:tr>
      <w:tr>
        <w:trPr>
          <w:jc w:val="center"/>
          <w:trHeight w:val="737"/>
        </w:trPr>
        <w:tc>
          <w:tcPr>
            <w:tcW w:w="1338" w:type="dxa"/>
            <w:vAlign w:val="center"/>
            <w:vMerge w:val="restart"/>
            <w:textDirection w:val="lrTb"/>
            <w:noWrap w:val="false"/>
          </w:tcPr>
          <w:p>
            <w:pPr>
              <w:pStyle w:val="777"/>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技术</w:t>
            </w:r>
            <w:r/>
          </w:p>
          <w:p>
            <w:pPr>
              <w:pStyle w:val="777"/>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部分</w:t>
            </w:r>
            <w:r/>
          </w:p>
          <w:p>
            <w:pPr>
              <w:pStyle w:val="777"/>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(7</w:t>
            </w:r>
            <w:r>
              <w:rPr>
                <w:rFonts w:hint="eastAsia" w:ascii="宋体" w:hAnsi="宋体"/>
                <w:color w:val="000000" w:themeColor="text1"/>
                <w:szCs w:val="24"/>
                <w:highlight w:val="none"/>
                <w:lang w:val="en-US" w:eastAsia="zh-CN"/>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分)</w:t>
            </w:r>
            <w:r/>
          </w:p>
        </w:tc>
        <w:tc>
          <w:tcPr>
            <w:tcW w:w="1449" w:type="dxa"/>
            <w:vAlign w:val="center"/>
            <w:vMerge w:val="restart"/>
            <w:textDirection w:val="lrTb"/>
            <w:noWrap w:val="false"/>
          </w:tcPr>
          <w:p>
            <w:pPr>
              <w:pStyle w:val="777"/>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施工组织设计</w:t>
            </w:r>
            <w:r/>
          </w:p>
          <w:p>
            <w:pPr>
              <w:pStyle w:val="777"/>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57</w:t>
            </w:r>
            <w:r>
              <w:rPr>
                <w:rFonts w:ascii="宋体" w:hAnsi="宋体"/>
                <w:color w:val="000000" w:themeColor="text1"/>
                <w:szCs w:val="24"/>
                <w:highlight w:val="none"/>
                <w14:textFill>
                  <w14:solidFill>
                    <w14:schemeClr w14:val="tx1"/>
                  </w14:solidFill>
                </w14:textFill>
              </w:rPr>
              <w:t xml:space="preserve">分)</w:t>
            </w:r>
            <w:r/>
          </w:p>
        </w:tc>
        <w:tc>
          <w:tcPr>
            <w:tcW w:w="6425" w:type="dxa"/>
            <w:vAlign w:val="center"/>
            <w:textDirection w:val="lrTb"/>
            <w:noWrap w:val="false"/>
          </w:tcPr>
          <w:p>
            <w:pPr>
              <w:pStyle w:val="965"/>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总体概述:施工组织总体设想（</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 ：全面详实的得3分，基本具备的得2分，欠缺的得1分；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1220"/>
        </w:trPr>
        <w:tc>
          <w:tcPr>
            <w:tcW w:w="1338"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6425" w:type="dxa"/>
            <w:vAlign w:val="center"/>
            <w:textDirection w:val="lrTb"/>
            <w:noWrap w:val="false"/>
          </w:tcPr>
          <w:p>
            <w:pPr>
              <w:pStyle w:val="965"/>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施工现场临时设施、临时道路布置（</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 ：全面详实的得3分，基本具备的得2分，欠缺的得1分；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737"/>
        </w:trPr>
        <w:tc>
          <w:tcPr>
            <w:tcW w:w="1338"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965"/>
              <w:jc w:val="center"/>
              <w:rPr>
                <w:rFonts w:ascii="宋体" w:hAnsi="宋体"/>
                <w:sz w:val="24"/>
              </w:rPr>
            </w:pPr>
            <w:r>
              <w:rPr>
                <w:rFonts w:ascii="宋体" w:hAnsi="宋体"/>
                <w:sz w:val="24"/>
              </w:rPr>
            </w:r>
            <w:r/>
          </w:p>
        </w:tc>
        <w:tc>
          <w:tcPr>
            <w:tcW w:w="6425" w:type="dxa"/>
            <w:vAlign w:val="center"/>
            <w:textDirection w:val="lrTb"/>
            <w:noWrap w:val="false"/>
          </w:tcPr>
          <w:p>
            <w:pPr>
              <w:pStyle w:val="965"/>
              <w:rPr>
                <w:rFonts w:ascii="宋体" w:hAnsi="宋体"/>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施工进度计划及保证措施（</w:t>
            </w:r>
            <w:r>
              <w:rPr>
                <w:rFonts w:hint="eastAsia" w:ascii="宋体" w:hAnsi="宋体"/>
                <w:b/>
                <w:bCs/>
                <w:color w:val="000000" w:themeColor="text1"/>
                <w:sz w:val="24"/>
                <w:highlight w:val="none"/>
                <w:lang w:val="en-US" w:eastAsia="zh-CN"/>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 ：全面详实的得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分，基本具备的得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分，欠缺的得1分；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，针对性一般的得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6425" w:type="dxa"/>
            <w:vAlign w:val="center"/>
            <w:textDirection w:val="lrTb"/>
            <w:noWrap w:val="false"/>
          </w:tcPr>
          <w:p>
            <w:pPr>
              <w:pStyle w:val="965"/>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关键施工技术、施工工艺（</w:t>
            </w:r>
            <w:r>
              <w:rPr>
                <w:rFonts w:hint="eastAsia" w:ascii="宋体" w:hAnsi="宋体"/>
                <w:b/>
                <w:bCs/>
                <w:color w:val="000000" w:themeColor="text1"/>
                <w:sz w:val="24"/>
                <w:highlight w:val="none"/>
                <w:lang w:val="en-US" w:eastAsia="zh-CN"/>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 ：全面详实的得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分，基本具备的得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分，欠缺的得1分；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6425" w:type="dxa"/>
            <w:vAlign w:val="center"/>
            <w:textDirection w:val="lrTb"/>
            <w:noWrap w:val="false"/>
          </w:tcPr>
          <w:p>
            <w:pPr>
              <w:pStyle w:val="965"/>
              <w:rPr>
                <w:rFonts w:ascii="宋体" w:hAnsi="宋体"/>
                <w:b/>
                <w:bCs/>
                <w:color w:val="000000" w:themeColor="text1"/>
                <w:sz w:val="24"/>
                <w:highlight w:val="none"/>
                <w14:textFill>
                  <w14:solidFill>
                    <w14:schemeClr w14:val="tx1"/>
                  </w14:solidFill>
                </w14:textFill>
              </w:rPr>
            </w:pPr>
            <w:r/>
            <w:bookmarkStart w:id="815" w:name="_GoBack"/>
            <w:r/>
            <w:bookmarkEnd w:id="815"/>
            <w:r>
              <w:rPr>
                <w:rFonts w:ascii="宋体" w:hAnsi="宋体"/>
                <w:b/>
                <w:bCs/>
                <w:color w:val="000000" w:themeColor="text1"/>
                <w:sz w:val="24"/>
                <w:highlight w:val="none"/>
                <w14:textFill>
                  <w14:solidFill>
                    <w14:schemeClr w14:val="tx1"/>
                  </w14:solidFill>
                </w14:textFill>
              </w:rPr>
              <w:t xml:space="preserve">工程项目实施的重点、难点和解决方案（12分）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 ：全面详实的得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分，基本具备的得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分，欠缺的得1分；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分)：可行性强的得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分，可行性一般的得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：针对性强的得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分，针对性一般的得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ascii="宋体" w:hAnsi="宋体"/>
                <w:color w:val="000000" w:themeColor="text1"/>
                <w:sz w:val="24"/>
                <w:highlight w:val="none"/>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777"/>
              <w:jc w:val="center"/>
              <w:rPr>
                <w:rFonts w:ascii="宋体" w:hAnsi="宋体"/>
                <w:szCs w:val="24"/>
              </w:rPr>
            </w:pPr>
            <w:r>
              <w:rPr>
                <w:rFonts w:ascii="宋体" w:hAnsi="宋体"/>
                <w:szCs w:val="24"/>
              </w:rPr>
            </w:r>
            <w:r/>
          </w:p>
        </w:tc>
        <w:tc>
          <w:tcPr>
            <w:tcW w:w="6425" w:type="dxa"/>
            <w:vAlign w:val="center"/>
            <w:textDirection w:val="lrTb"/>
            <w:noWrap w:val="false"/>
          </w:tcPr>
          <w:p>
            <w:pPr>
              <w:pStyle w:val="965"/>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新技术、新产品、新工艺、新材料应用（</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 ：全面详实的得3分，基本具备的得2分，欠缺的得1分；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96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567"/>
        </w:trPr>
        <w:tc>
          <w:tcPr>
            <w:tcW w:w="1338" w:type="dxa"/>
            <w:vAlign w:val="center"/>
            <w:vMerge w:val="continue"/>
            <w:textDirection w:val="lrTb"/>
            <w:noWrap w:val="false"/>
          </w:tcPr>
          <w:p>
            <w:pPr>
              <w:pStyle w:val="967"/>
              <w:jc w:val="center"/>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r>
            <w:r/>
          </w:p>
        </w:tc>
        <w:tc>
          <w:tcPr>
            <w:tcW w:w="1449" w:type="dxa"/>
            <w:vAlign w:val="center"/>
            <w:textDirection w:val="lrTb"/>
            <w:noWrap w:val="false"/>
          </w:tcPr>
          <w:p>
            <w:pPr>
              <w:pStyle w:val="967"/>
              <w:jc w:val="center"/>
              <w:rPr>
                <w:rFonts w:ascii="宋体" w:hAnsi="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养护期方案及措施（</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4分）</w:t>
            </w:r>
            <w:r/>
          </w:p>
        </w:tc>
        <w:tc>
          <w:tcPr>
            <w:tcW w:w="6425" w:type="dxa"/>
            <w:vAlign w:val="center"/>
            <w:textDirection w:val="lrTb"/>
            <w:noWrap w:val="false"/>
          </w:tcPr>
          <w:p>
            <w:pPr>
              <w:pStyle w:val="777"/>
              <w:jc w:val="both"/>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14:textFill>
                  <w14:solidFill>
                    <w14:schemeClr w14:val="tx1"/>
                  </w14:solidFill>
                </w14:textFill>
              </w:rPr>
              <w:t xml:space="preserve">依</w:t>
            </w:r>
            <w:r>
              <w:rPr>
                <w:rFonts w:hint="eastAsia" w:ascii="宋体" w:hAnsi="宋体"/>
                <w:b/>
                <w:bCs/>
                <w:color w:val="000000" w:themeColor="text1"/>
                <w:szCs w:val="24"/>
                <w:highlight w:val="none"/>
                <w14:textFill>
                  <w14:solidFill>
                    <w14:schemeClr w14:val="tx1"/>
                  </w14:solidFill>
                </w14:textFill>
              </w:rPr>
              <w:t xml:space="preserve">据响应文件中的苗木的养护期方案及措施进行综合评分（1</w:t>
            </w:r>
            <w:r>
              <w:rPr>
                <w:rFonts w:ascii="宋体" w:hAnsi="宋体"/>
                <w:b/>
                <w:bCs/>
                <w:color w:val="000000" w:themeColor="text1"/>
                <w:szCs w:val="24"/>
                <w:highlight w:val="none"/>
                <w14:textFill>
                  <w14:solidFill>
                    <w14:schemeClr w14:val="tx1"/>
                  </w14:solidFill>
                </w14:textFill>
              </w:rPr>
              <w:t xml:space="preserve">4</w:t>
            </w:r>
            <w:r>
              <w:rPr>
                <w:rFonts w:hint="eastAsia" w:ascii="宋体" w:hAnsi="宋体"/>
                <w:b/>
                <w:bCs/>
                <w:color w:val="000000" w:themeColor="text1"/>
                <w:szCs w:val="24"/>
                <w:highlight w:val="none"/>
                <w14:textFill>
                  <w14:solidFill>
                    <w14:schemeClr w14:val="tx1"/>
                  </w14:solidFill>
                </w14:textFill>
              </w:rPr>
              <w:t xml:space="preserve">分）</w:t>
            </w:r>
            <w:r/>
          </w:p>
          <w:p>
            <w:pPr>
              <w:pStyle w:val="777"/>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全面性(</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 ：全面详实的得</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分，基本具备的得</w:t>
            </w:r>
            <w:r>
              <w:rPr>
                <w:rFonts w:ascii="宋体" w:hAnsi="宋体"/>
                <w:color w:val="000000" w:themeColor="text1"/>
                <w:szCs w:val="24"/>
                <w:highlight w:val="none"/>
                <w14:textFill>
                  <w14:solidFill>
                    <w14:schemeClr w14:val="tx1"/>
                  </w14:solidFill>
                </w14:textFill>
              </w:rPr>
              <w:t xml:space="preserve">2</w:t>
            </w:r>
            <w:r>
              <w:rPr>
                <w:rFonts w:hint="eastAsia" w:ascii="宋体" w:hAnsi="宋体"/>
                <w:color w:val="000000" w:themeColor="text1"/>
                <w:szCs w:val="24"/>
                <w:highlight w:val="none"/>
                <w14:textFill>
                  <w14:solidFill>
                    <w14:schemeClr w14:val="tx1"/>
                  </w14:solidFill>
                </w14:textFill>
              </w:rPr>
              <w:t xml:space="preserve">分，欠缺的得1分；</w:t>
            </w:r>
            <w:r/>
          </w:p>
          <w:p>
            <w:pPr>
              <w:pStyle w:val="777"/>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可行性(</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分)：可行性强的得</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分，可行性一般的得</w:t>
            </w:r>
            <w:r>
              <w:rPr>
                <w:rFonts w:ascii="宋体" w:hAnsi="宋体"/>
                <w:color w:val="000000" w:themeColor="text1"/>
                <w:szCs w:val="24"/>
                <w:highlight w:val="none"/>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分，可行性不强的得1分；</w:t>
            </w:r>
            <w:r/>
          </w:p>
          <w:p>
            <w:pPr>
              <w:pStyle w:val="777"/>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针对性(</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分)：针对性强的得</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分，针对性一般的得</w:t>
            </w:r>
            <w:r>
              <w:rPr>
                <w:rFonts w:ascii="宋体" w:hAnsi="宋体"/>
                <w:color w:val="000000" w:themeColor="text1"/>
                <w:szCs w:val="24"/>
                <w:highlight w:val="none"/>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分，针对性不强的得1分；</w:t>
            </w:r>
            <w:r/>
          </w:p>
          <w:p>
            <w:pPr>
              <w:pStyle w:val="777"/>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提供的得0分，本项最高得1</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分，最低得0分。</w:t>
            </w:r>
            <w:r/>
          </w:p>
        </w:tc>
      </w:tr>
    </w:tbl>
    <w:p>
      <w:pPr>
        <w:pStyle w:val="965"/>
        <w:spacing w:line="27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注：评分结果精确到小数点后二位。</w:t>
      </w:r>
      <w:r/>
    </w:p>
    <w:p>
      <w:pPr>
        <w:pStyle w:val="965"/>
        <w:ind w:firstLine="480"/>
        <w:spacing w:line="27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本项目采用综合评分法。</w:t>
      </w:r>
      <w:bookmarkEnd w:id="5"/>
      <w:r/>
      <w:bookmarkEnd w:id="6"/>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br w:type="page" w:clear="all"/>
      </w:r>
      <w:r>
        <w:rPr>
          <w:rFonts w:ascii="宋体" w:hAnsi="宋体"/>
          <w:color w:val="000000" w:themeColor="text1"/>
          <w:highlight w:val="none"/>
          <w14:textFill>
            <w14:solidFill>
              <w14:schemeClr w14:val="tx1"/>
            </w14:solidFill>
          </w14:textFill>
        </w:rPr>
        <w:t xml:space="preserve">2、项目要求（采购需求）</w:t>
      </w:r>
      <w:r/>
    </w:p>
    <w:p>
      <w:pPr>
        <w:pStyle w:val="967"/>
        <w:ind w:firstLine="56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一、项目名称 </w:t>
      </w:r>
      <w:r/>
    </w:p>
    <w:p>
      <w:pPr>
        <w:pStyle w:val="967"/>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城市容颜更美丽工程（城区花坛修复、行道树补植等)</w:t>
      </w:r>
      <w:r/>
    </w:p>
    <w:p>
      <w:pPr>
        <w:pStyle w:val="967"/>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二、项目报价</w:t>
      </w:r>
      <w:r/>
    </w:p>
    <w:p>
      <w:pPr>
        <w:pStyle w:val="967"/>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本项目</w:t>
      </w:r>
      <w:r>
        <w:rPr>
          <w:rFonts w:hint="eastAsia" w:ascii="宋体" w:hAnsi="宋体"/>
          <w:b/>
          <w:bCs/>
          <w:color w:val="000000" w:themeColor="text1"/>
          <w:sz w:val="24"/>
          <w:highlight w:val="none"/>
          <w:lang w:val="en-US" w:eastAsia="zh-CN"/>
          <w14:textFill>
            <w14:solidFill>
              <w14:schemeClr w14:val="tx1"/>
            </w14:solidFill>
          </w14:textFill>
        </w:rPr>
        <w:t xml:space="preserve">不接受超过260.6万元人民币</w:t>
      </w:r>
      <w:r>
        <w:rPr>
          <w:rFonts w:hint="eastAsia" w:ascii="宋体" w:hAnsi="宋体"/>
          <w:b w:val="0"/>
          <w:bCs w:val="0"/>
          <w:color w:val="000000" w:themeColor="text1"/>
          <w:sz w:val="24"/>
          <w:highlight w:val="none"/>
          <w:lang w:val="en-US" w:eastAsia="zh-CN"/>
          <w14:textFill>
            <w14:solidFill>
              <w14:schemeClr w14:val="tx1"/>
            </w14:solidFill>
          </w14:textFill>
        </w:rPr>
        <w:t xml:space="preserve">（采购项目预算金额）的磋商报价。</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三、项目概况</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1、项目名称：</w:t>
      </w:r>
      <w:r>
        <w:rPr>
          <w:rFonts w:hint="eastAsia" w:ascii="宋体" w:hAnsi="宋体"/>
          <w:b w:val="0"/>
          <w:bCs w:val="0"/>
          <w:color w:val="000000" w:themeColor="text1"/>
          <w:sz w:val="24"/>
          <w:highlight w:val="none"/>
          <w:lang w:val="en-US" w:eastAsia="zh-CN"/>
          <w14:textFill>
            <w14:solidFill>
              <w14:schemeClr w14:val="tx1"/>
            </w14:solidFill>
          </w14:textFill>
        </w:rPr>
        <w:t xml:space="preserve">城市容颜更美丽工程（城区花坛修复、行道树补植等)</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2、建设地点：沛县城区</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3、标段划分：本招标工程共分一个标段</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4、工程规模：</w:t>
      </w:r>
      <w:r>
        <w:rPr>
          <w:rFonts w:hint="eastAsia" w:ascii="宋体" w:hAnsi="宋体"/>
          <w:b w:val="0"/>
          <w:bCs w:val="0"/>
          <w:color w:val="000000" w:themeColor="text1"/>
          <w:sz w:val="24"/>
          <w:highlight w:val="none"/>
          <w:lang w:val="en-US" w:eastAsia="zh-CN"/>
          <w14:textFill>
            <w14:solidFill>
              <w14:schemeClr w14:val="tx1"/>
            </w14:solidFill>
          </w14:textFill>
        </w:rPr>
        <w:t xml:space="preserve">造价约260.6万元。</w:t>
      </w:r>
      <w:r/>
    </w:p>
    <w:p>
      <w:pPr>
        <w:pStyle w:val="967"/>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、工程内容：</w:t>
      </w:r>
      <w:r>
        <w:rPr>
          <w:rFonts w:hint="eastAsia" w:ascii="宋体" w:hAnsi="宋体"/>
          <w:b w:val="0"/>
          <w:bCs w:val="0"/>
          <w:color w:val="000000" w:themeColor="text1"/>
          <w:sz w:val="24"/>
          <w:highlight w:val="none"/>
          <w:lang w:val="en-US" w:eastAsia="zh-CN"/>
          <w14:textFill>
            <w14:solidFill>
              <w14:schemeClr w14:val="tx1"/>
            </w14:solidFill>
          </w14:textFill>
        </w:rPr>
        <w:t xml:space="preserve">项目拟对新老城区、县区主干道等范围行道树进行缺株补植，对主要广场游园进行补植及基础设施维修等，主要包括：绿化工程、安装工程等。</w:t>
      </w:r>
      <w:r/>
    </w:p>
    <w:p>
      <w:pPr>
        <w:pStyle w:val="967"/>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7、要求工期：</w:t>
      </w:r>
      <w:r>
        <w:rPr>
          <w:rFonts w:hint="eastAsia" w:ascii="宋体" w:hAnsi="宋体"/>
          <w:b w:val="0"/>
          <w:bCs w:val="0"/>
          <w:color w:val="000000" w:themeColor="text1"/>
          <w:sz w:val="24"/>
          <w:highlight w:val="none"/>
          <w:lang w:val="en-US" w:eastAsia="zh-CN"/>
          <w14:textFill>
            <w14:solidFill>
              <w14:schemeClr w14:val="tx1"/>
            </w14:solidFill>
          </w14:textFill>
        </w:rPr>
        <w:t xml:space="preserve">自项目开工之日起20日历天，苗木养护期二年三级养护。</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8、质量要求标准：合格，通过相关部门验收。</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9、承包方式：包工包料。</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10、采用的技术规范：</w:t>
      </w:r>
      <w:r>
        <w:rPr>
          <w:rFonts w:hint="eastAsia" w:ascii="宋体" w:hAnsi="宋体"/>
          <w:b w:val="0"/>
          <w:bCs w:val="0"/>
          <w:color w:val="000000" w:themeColor="text1"/>
          <w:sz w:val="24"/>
          <w:highlight w:val="none"/>
          <w:lang w:val="en-US" w:eastAsia="zh-CN"/>
          <w14:textFill>
            <w14:solidFill>
              <w14:schemeClr w14:val="tx1"/>
            </w14:solidFill>
          </w14:textFill>
        </w:rPr>
        <w:t xml:space="preserve">符合现行国家技术、施工及验收规范规程标准，对施工工艺的特殊要求按设计图纸及国家有关规定执行。</w:t>
      </w:r>
      <w:r/>
    </w:p>
    <w:p>
      <w:pPr>
        <w:pStyle w:val="967"/>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1</w:t>
      </w:r>
      <w:r>
        <w:rPr>
          <w:rFonts w:ascii="宋体" w:hAnsi="宋体"/>
          <w:b w:val="0"/>
          <w:bCs w:val="0"/>
          <w:color w:val="000000" w:themeColor="text1"/>
          <w:sz w:val="24"/>
          <w:highlight w:val="none"/>
          <w14:textFill>
            <w14:solidFill>
              <w14:schemeClr w14:val="tx1"/>
            </w14:solidFill>
          </w14:textFill>
        </w:rPr>
        <w:t xml:space="preserve">1、现场自然及施工条件：建议供应商对项目现场和周围环境进行实地踏勘，以</w:t>
      </w:r>
      <w:r>
        <w:rPr>
          <w:rFonts w:ascii="宋体" w:hAnsi="宋体"/>
          <w:b w:val="0"/>
          <w:bCs w:val="0"/>
          <w:color w:val="000000" w:themeColor="text1"/>
          <w:sz w:val="24"/>
          <w:highlight w:val="none"/>
          <w:lang w:val="zh-CN"/>
          <w14:textFill>
            <w14:solidFill>
              <w14:schemeClr w14:val="tx1"/>
            </w14:solidFill>
          </w14:textFill>
        </w:rPr>
        <w:t xml:space="preserve">了解现场的施工环境、施工范围、技术要求及相关服务，</w:t>
      </w:r>
      <w:r>
        <w:rPr>
          <w:rFonts w:ascii="宋体" w:hAnsi="宋体"/>
          <w:b w:val="0"/>
          <w:bCs w:val="0"/>
          <w:color w:val="000000" w:themeColor="text1"/>
          <w:sz w:val="24"/>
          <w:highlight w:val="none"/>
          <w14:textFill>
            <w14:solidFill>
              <w14:schemeClr w14:val="tx1"/>
            </w14:solidFill>
          </w14:textFill>
        </w:rPr>
        <w:t xml:space="preserve">供应商应承担现场踏勘的责任和风险，费用由供应商自己承担。成交</w:t>
      </w:r>
      <w:r>
        <w:rPr>
          <w:rFonts w:ascii="宋体" w:hAnsi="宋体"/>
          <w:b w:val="0"/>
          <w:bCs w:val="0"/>
          <w:color w:val="000000" w:themeColor="text1"/>
          <w:sz w:val="24"/>
          <w:highlight w:val="none"/>
          <w:lang w:val="zh-CN"/>
          <w14:textFill>
            <w14:solidFill>
              <w14:schemeClr w14:val="tx1"/>
            </w14:solidFill>
          </w14:textFill>
        </w:rPr>
        <w:t xml:space="preserve">后不得以未踏勘现场或不了解现场为由提出任何增加费用的要求。</w:t>
      </w:r>
      <w:r/>
    </w:p>
    <w:p>
      <w:pPr>
        <w:pStyle w:val="967"/>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四</w:t>
      </w:r>
      <w:r>
        <w:rPr>
          <w:rFonts w:ascii="宋体" w:hAnsi="宋体"/>
          <w:b/>
          <w:bCs/>
          <w:color w:val="000000" w:themeColor="text1"/>
          <w:sz w:val="24"/>
          <w:highlight w:val="none"/>
          <w14:textFill>
            <w14:solidFill>
              <w14:schemeClr w14:val="tx1"/>
            </w14:solidFill>
          </w14:textFill>
        </w:rPr>
        <w:t xml:space="preserve">、《已标价的工程量清单》要求</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（一）工程量清单：详见本项目磋商公告附件《工程量清单》</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（二）《已标价的工程量清单》报价要求</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响应报价应包括磋商文件所确定的招标范围内工程量清单中所含施工图项目的全部内容，以及为完成上述内容所需的全部费用，其根据为供应商提交的已标价的工程量清单及附表，并含现场清理垃圾及外运、平整场地、地基处理等全部内容，采购人不再额外支付任何费用。</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2、供应商应按采购人提供的工程量清单填报价格。填写的项目编码、项目名称、项目特征、计量单位、工程量必须与采购人提供的一致。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3、实行工程量清单招标的工程建设项目，量的风险由采购人承担，价的风险在约定风险范围内的，由投标人承担，风险范围以外的按合同约定。</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5、施工组织设计所描述的技术措施所发生的费用，视为已体现在供应商响应报价的非实体性消耗所发生的费用中。</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6、本工程采用固定单价合同（除另有规定外）。供应商应充分考虑施工期间各类建材及苗木的市场风险，并计入总报价，供应商在计算报价时应考虑一定的风险系数。</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供应商报价需考虑工程位置原有建筑、设施、邻近建筑物、工地情况、开挖的土质，通路、储存空间、起卸限制、及任何其它足以影响报价的情况，成交供应商须按接收工地日的现况，接收工地及自费清理任何遗留在工地上之废物，施工过程中因工地特殊情况而引起二次搬运、安全防护等，采购人不接受供应商关于此类费用的任何诉讼或索赔。</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9、由供应商负责办理相关建设、城管、市政、安全、环保等部门的手续，施工供应商在投标时应考虑这些因素，费用包含在响应报价中，采购人不接受供应商关于此类费用的任何诉讼或索赔。</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10、垃圾外运，运距及运输方式供应商自行考虑。</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11、本工程要求养护期为二年三级养护，因此产生的各项费用视为投标人已自行考虑在报价中。</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12、养护期内若出现死苗，成交供应商需补植，补植后的苗木养护期重新计算，补植的所有费用不再支付（采购人特别通知另行补植的苗木除外）。</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13、绿化苗木的综合单价应包括种植穴开挖、更换种植土、苗木种植、苗木购置、运输、装卸、施肥浇水、缠草绳、搭扶木、病虫害的防治、二年三级养护费、现场安全文明施工措施费、社会保障费、住房公积金、税金应缴的各项费用、政策性文件规定及施工进程中包含的所有风险、责任等各项应有费用。个别规格品种不全时，须经采购人同意后可选其他规格苗木替代，发生的费用增减等问题另行协商。</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（三）本工程对于工程价款调整约定如下：</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1、因设计变更、清单错误、现场签证引起新增工程量清单项目，其相应综合单价按本磋商文件规定的招标预算价计价编制办法计算，再乘以投标报价浮动比率结算。</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2、因设计变更、清单错误、现场签证引起的已有清单工程量增减，其相应综合单价执行投标报价的综合单价，但不得高于招标控制价的综合单价。</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3、投标报价浮动比率=【1-（中标价-专业工程暂估价-暂列金额）/（招标控制价-专业工程暂估价-暂列金额）】*100%。以上变更及工程量签证，必须由发、承包双方、现场监理工程师共同确认。</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清单项目中特征描述不全的工序，如图纸已明确或已指明引用的规范、图集等或是常规工艺必须的工序，应包括在报价中。采购人保留在施工过程中增加或取消工程内容及相应费用的权利，供应商须无条件配合。</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（四）报价编制依据及要求：</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本工程执行现行国家标准《建设工程工程量清单计价规范》（GB50500-2013</w:t>
      </w:r>
      <w:r>
        <w:rPr>
          <w:rFonts w:ascii="宋体" w:hAnsi="宋体"/>
          <w:b w:val="0"/>
          <w:bCs w:val="0"/>
          <w:color w:val="000000" w:themeColor="text1"/>
          <w:sz w:val="24"/>
          <w:highlight w:val="none"/>
          <w14:textFill>
            <w14:solidFill>
              <w14:schemeClr w14:val="tx1"/>
            </w14:solidFill>
          </w14:textFill>
        </w:rPr>
        <w:t xml:space="preserve">）、《江苏省建筑与装饰工程计价定额》（2014版）、《园林绿化工程工程量清单计价规范》（GB50858-2013）及《园林绿化工程工程量清单计价定额》（2007版）、《江苏省安装工程计价定额》（2014版）、《江苏省市政工程计价定额》（2014版）、《江苏省建设工程费用定额》（2014年）（营改增后调整内容）、《省住房城乡建设厅关于调整建设工程计价增值税税率的通知》（苏建函价〔2019〕178号文）有关文件规定及采购人提供的工程量清单。还包括采购人提供的施工图纸、招标文件、工程量清单及其补充通知和答疑纪要。</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不可竞争费用：执行《江苏省建设工程费用定额》（2014）（营改增后调整内容）的各项要求，该项费用按《江苏省建设工程费用定额》（2014）（营改增后调整内容）、《省住房城乡建设厅关于调整建设工程计价增值税税率的通知》（苏建函价〔2019〕178号文）文件规定计算。（不可竞争费包括：安全文明施工措施费、社会保险费、住房公积金、税金）。</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2、本工程的其他规定</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招标控制价编制价格参考沛县市场价及徐州2024 年</w:t>
      </w:r>
      <w:r>
        <w:rPr>
          <w:rFonts w:ascii="宋体" w:hAnsi="宋体"/>
          <w:b w:val="0"/>
          <w:bCs w:val="0"/>
          <w:color w:val="000000" w:themeColor="text1"/>
          <w:sz w:val="24"/>
          <w:highlight w:val="none"/>
          <w14:textFill>
            <w14:solidFill>
              <w14:schemeClr w14:val="tx1"/>
            </w14:solidFill>
          </w14:textFill>
        </w:rPr>
        <w:t xml:space="preserve">10</w:t>
      </w:r>
      <w:r>
        <w:rPr>
          <w:rFonts w:hint="eastAsia" w:ascii="宋体" w:hAnsi="宋体"/>
          <w:b w:val="0"/>
          <w:bCs w:val="0"/>
          <w:color w:val="000000" w:themeColor="text1"/>
          <w:sz w:val="24"/>
          <w:highlight w:val="none"/>
          <w14:textFill>
            <w14:solidFill>
              <w14:schemeClr w14:val="tx1"/>
            </w14:solidFill>
          </w14:textFill>
        </w:rPr>
        <w:t xml:space="preserve">月份信息指导价执行供应商的材料价格根据市场行情自主报价。</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招标控制价人工单价执行苏建函价(2024)</w:t>
      </w:r>
      <w:r>
        <w:rPr>
          <w:rFonts w:ascii="宋体" w:hAnsi="宋体"/>
          <w:b w:val="0"/>
          <w:bCs w:val="0"/>
          <w:color w:val="000000" w:themeColor="text1"/>
          <w:sz w:val="24"/>
          <w:highlight w:val="none"/>
          <w14:textFill>
            <w14:solidFill>
              <w14:schemeClr w14:val="tx1"/>
            </w14:solidFill>
          </w14:textFill>
        </w:rPr>
        <w:t xml:space="preserve">348</w:t>
      </w:r>
      <w:r>
        <w:rPr>
          <w:rFonts w:hint="eastAsia" w:ascii="宋体" w:hAnsi="宋体"/>
          <w:b w:val="0"/>
          <w:bCs w:val="0"/>
          <w:color w:val="000000" w:themeColor="text1"/>
          <w:sz w:val="24"/>
          <w:highlight w:val="none"/>
          <w14:textFill>
            <w14:solidFill>
              <w14:schemeClr w14:val="tx1"/>
            </w14:solidFill>
          </w14:textFill>
        </w:rPr>
        <w:t xml:space="preserve">号文件执行。暂估价材料的单价由采购人提供，材料单价组成中应包括场外运输与采购</w:t>
      </w:r>
      <w:r>
        <w:rPr>
          <w:rFonts w:ascii="宋体" w:hAnsi="宋体"/>
          <w:b w:val="0"/>
          <w:bCs w:val="0"/>
          <w:color w:val="000000" w:themeColor="text1"/>
          <w:sz w:val="24"/>
          <w:highlight w:val="none"/>
          <w14:textFill>
            <w14:solidFill>
              <w14:schemeClr w14:val="tx1"/>
            </w14:solidFill>
          </w14:textFill>
        </w:rPr>
        <w:t xml:space="preserve">保管费。投标人根据该单价计算相应分部分项工程和措施项目的综合单价，并在材料暂估价格表中列出暂估材料的数量、单价、合价和汇总价格，该汇总价格不计入其他项目工程费合计中。</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本工程暂估材料详见清单《材料暂估价格表》，本工程暂估材料为详见工程量清单 。</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3、建筑安装工程造价的组成：</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分部分项工程费：现行国家标准《建设工程工程量清单计价规范》（GB50500-2013）及《江苏省建筑与装饰工程计价定额》（2014版）、《江苏省安装工程计价定额》(2014版)、《江苏省建设工程费用定额》（2014年）（营改增后调整内容）、《省住房城乡建设厅关于调整建设工程计价增值税税率的通知》（苏建函价〔2019〕178号文）及有关文件规定。</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措施项目费</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（1）现场安全文明施工基本费（园林）：按(分部分项工程费+单价措施项目费-工程设备费)× 1 %计取；</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扬尘污染防治增加费（园林）：按(分部分项工程费+单价措施项目费-工程设备费)× 0.21 %计取；</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本项费用包干使用，中标人必须承担与此相关的责任及费用，结算时亦不再调整。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（2）夜间施工：按(分部分项工程费+单价措施项目费-工程设备费)× 0.05 %计取，投标人根据自身情况自主报价，结算不再调整。 </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（3）二次搬运：招标控制价不计，投标人根据自身情况自主报价 ，结算不再调整。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（4）冬雨季施工：招标控制价不计，投标人根据自身情况自主报价 ，结算不再调整。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（5）大型机械设备进出场及安拆：一台履带式挖掘机，投标人根据自身情况自主报价 ，结算不再调整。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（6）施工排水：招标控制价不计，投标人根据自身情况自主报价，结算不再调整。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（7）施工降水：招标控制价不计，投标人根据自身情况自主报价，结算不再调整。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（8）地上、地下设施，建筑物的临时保护设施：招标控制价不计，投标人根据自身情况自主报价，结算不再调整。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（9）已完工程及设备保护：招标控制价不计，投标人根据自身情况自主报价，结算不再调整。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（10）临时设施： 招标控制价按（分部分项工程费+单价措施项目费-除税工程设备费）*费率 0.55%计取，投标人根据实际情况自主报价，结算不再调整；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（11）赶工措施：按(分部分项工程费+单价措施项目费-工程设备费)× 1.3 %计取，投标人根据自身情况自主报价，结算不再调整。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（12）工程按质论价：招标控制价不计，投标人根据自身情况自主报价，结算不再调整。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（13）特殊条件下施工增加：招标控制价不计，投标人根据自身情况自主报价，结算不再调整。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14）供应商应认真勘察现场，充分了解其施工环境、工地现场场地情况、用水用电情况、道路、储存空间、装卸限制、高压线防护、临设搭建及任何其他影响造价及工期的情况，由供应商自行考虑风险并计入响应报价中，结算时不予调整。</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3、其他项目费</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暂列金额：以发包人给定的标准计取，不宜超过分部分项工程费的10%。</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本工程暂列金额为以下内容： 详见工程量清单 。</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施工招标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招标文件中明确。</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本工程暂估价项目的招标主体 / ，招标方式 / ，招标组织方式 / 。</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暂估价：本项包括材料暂估价和专业工程暂估价。</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材料暂估价：暂估价材料的单价由招标人提供，材料单价组成中应包括场外运输与采购保管费。投标人根据该单价计算相应分部分项工程和措施项目的综合单价，并在材料暂估价格表中列出暂估材料的数量、单价、合价和汇总价格，该汇总价格不计入其他项目工程费合计中。</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暂估价详见清单《暂估价格表》，暂估价为 详见工程量清单 。</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本工程专业工程及其暂估价为：详见工程量清单</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计日工：由发承包双方在合同中另行约定。</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总承包服务费：招标控制价不计。</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规费 （《江苏省建设工程费用定额》（2014）文件及苏建价【2016】154 号）</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 社会保障费：按（分部分项工程费+措施项目费+其它项目费-除税工程设备费）×费率3.3% 计取；</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 住房公积金：按（分部分项工程费+措施项目费+其它项目费-除税工程设备费）×费率0.55% 计取；</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税金：按（分部分项工程费+措施项目费+其它项目费+规费-（除税甲供材料费+除税甲供设备费）/1.01）×9%计取； </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不可竞争费费率不得改变，所有规费的缴纳由投标人办理，如发包人缴纳，结算时扣除。 </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（五）低于成本报价</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pStyle w:val="967"/>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967"/>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五、其他要求</w:t>
      </w:r>
      <w:r/>
    </w:p>
    <w:p>
      <w:pPr>
        <w:pStyle w:val="967"/>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见招标文件第五章《拟签订的合同文本》。</w:t>
      </w:r>
      <w:r/>
    </w:p>
    <w:p>
      <w:pPr>
        <w:pStyle w:val="967"/>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r>
      <w:r/>
    </w:p>
    <w:p>
      <w:pPr>
        <w:pStyle w:val="967"/>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967"/>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967"/>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967"/>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967"/>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967"/>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983"/>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3、磋商报价表</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本次为首次报价             </w:t>
      </w:r>
      <w:r/>
    </w:p>
    <w:p>
      <w:pPr>
        <w:pStyle w:val="967"/>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val="en-US" w:eastAsia="zh-CN"/>
          <w14:textFill>
            <w14:solidFill>
              <w14:schemeClr w14:val="tx1"/>
            </w14:solidFill>
          </w14:textFill>
        </w:rPr>
        <w:t xml:space="preserve">JSZC-320322-JSYM-C2025-0009</w:t>
      </w:r>
      <w:r>
        <w:rPr>
          <w:rFonts w:ascii="宋体" w:hAnsi="宋体"/>
          <w:color w:val="000000" w:themeColor="text1"/>
          <w:sz w:val="24"/>
          <w:highlight w:val="none"/>
          <w14:textFill>
            <w14:solidFill>
              <w14:schemeClr w14:val="tx1"/>
            </w14:solidFill>
          </w14:textFill>
        </w:rPr>
        <w:t xml:space="preserve">              货币单位：人民币元</w:t>
      </w:r>
      <w:r/>
    </w:p>
    <w:tbl>
      <w:tblPr>
        <w:tblStyle w:val="745"/>
        <w:tblW w:w="8781"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1594"/>
        <w:gridCol w:w="1608"/>
        <w:gridCol w:w="1843"/>
        <w:gridCol w:w="1559"/>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w:t>
            </w:r>
            <w:r/>
          </w:p>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工期</w:t>
            </w:r>
            <w:r/>
          </w:p>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967"/>
              <w:jc w:val="center"/>
              <w:widowControl/>
              <w:rPr>
                <w:rFonts w:hint="eastAsia" w:ascii="宋体" w:hAnsi="宋体" w:eastAsia="宋体"/>
                <w:color w:val="000000" w:themeColor="text1"/>
                <w:szCs w:val="21"/>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城市容颜更美丽工程（城区花坛修复、行道树补植等)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报价为《已标价的工程量清单》的总价。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045" w:type="dxa"/>
            <w:textDirection w:val="lrTb"/>
            <w:noWrap w:val="false"/>
          </w:tcPr>
          <w:p>
            <w:pPr>
              <w:pStyle w:val="967"/>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59" w:type="dxa"/>
            <w:vMerge w:val="continue"/>
            <w:textDirection w:val="lrTb"/>
            <w:noWrap w:val="false"/>
          </w:tcPr>
          <w:p>
            <w:pPr>
              <w:pStyle w:val="967"/>
              <w:jc w:val="center"/>
              <w:widowControl/>
              <w:rPr>
                <w:rFonts w:ascii="宋体" w:hAnsi="宋体"/>
                <w:sz w:val="24"/>
              </w:rPr>
            </w:pPr>
            <w:r>
              <w:rPr>
                <w:rFonts w:ascii="宋体" w:hAnsi="宋体"/>
                <w:sz w:val="24"/>
              </w:rPr>
            </w:r>
            <w:r/>
          </w:p>
        </w:tc>
      </w:tr>
    </w:tbl>
    <w:p>
      <w:pPr>
        <w:pStyle w:val="967"/>
        <w:ind w:right="-1052"/>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供应商承诺：本报价（总价）为供应商本企业提供的工程服务。</w:t>
      </w:r>
      <w:r/>
    </w:p>
    <w:p>
      <w:pPr>
        <w:pStyle w:val="967"/>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报价说明：</w:t>
      </w:r>
      <w:r/>
    </w:p>
    <w:p>
      <w:pPr>
        <w:pStyle w:val="967"/>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1、报价包括完成项目的所有费用。采购人不再支付报价以外的任何费用。</w:t>
      </w:r>
      <w:r/>
    </w:p>
    <w:p>
      <w:pPr>
        <w:pStyle w:val="967"/>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2、报价以总价为准，大小写不一致以大写为准；</w:t>
      </w:r>
      <w:r/>
    </w:p>
    <w:p>
      <w:pPr>
        <w:pStyle w:val="967"/>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3、偏离说明：详见《偏离表》；</w:t>
      </w:r>
      <w:r/>
    </w:p>
    <w:p>
      <w:pPr>
        <w:pStyle w:val="967"/>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4、如最后报价未列明单价，则最后所报各项单价计算方法为：（最后总价/最初</w:t>
      </w:r>
      <w:r/>
    </w:p>
    <w:p>
      <w:pPr>
        <w:pStyle w:val="967"/>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 各项最初报价的单价。</w:t>
      </w:r>
      <w:r/>
    </w:p>
    <w:p>
      <w:pPr>
        <w:pStyle w:val="967"/>
        <w:ind w:right="29" w:firstLine="396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right="29" w:firstLine="396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供应商（加盖电子签章）：</w:t>
      </w:r>
      <w:r/>
    </w:p>
    <w:p>
      <w:pPr>
        <w:pStyle w:val="967"/>
        <w:ind w:left="3950" w:right="29"/>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967"/>
        <w:ind w:left="3950" w:right="29"/>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w:t>
      </w:r>
      <w:r/>
    </w:p>
    <w:p>
      <w:pPr>
        <w:pStyle w:val="96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6"/>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4、分项价格表</w:t>
      </w:r>
      <w:r/>
    </w:p>
    <w:p>
      <w:pPr>
        <w:pStyle w:val="964"/>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（已标价的工程量清单）</w:t>
      </w:r>
      <w:r/>
    </w:p>
    <w:p>
      <w:pPr>
        <w:pStyle w:val="96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本次为首次报价</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城市容颜更美丽工程（城区花坛修复、行道树补植等)</w:t>
      </w:r>
      <w:r>
        <w:rPr>
          <w:rFonts w:ascii="宋体" w:hAnsi="宋体"/>
          <w:color w:val="000000" w:themeColor="text1"/>
          <w:sz w:val="24"/>
          <w:highlight w:val="none"/>
          <w14:textFill>
            <w14:solidFill>
              <w14:schemeClr w14:val="tx1"/>
            </w14:solidFill>
          </w14:textFill>
        </w:rPr>
        <w:t xml:space="preserve">   </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eastAsia="zh-CN"/>
          <w14:textFill>
            <w14:solidFill>
              <w14:schemeClr w14:val="tx1"/>
            </w14:solidFill>
          </w14:textFill>
        </w:rPr>
        <w:t xml:space="preserve">JSZC-320322-JSYM-C2025-0009</w:t>
      </w:r>
      <w:r>
        <w:rPr>
          <w:rFonts w:ascii="宋体" w:hAnsi="宋体"/>
          <w:color w:val="000000" w:themeColor="text1"/>
          <w:sz w:val="24"/>
          <w:highlight w:val="none"/>
          <w14:textFill>
            <w14:solidFill>
              <w14:schemeClr w14:val="tx1"/>
            </w14:solidFill>
          </w14:textFill>
        </w:rPr>
        <w:t xml:space="preserve">  </w:t>
      </w:r>
      <w:r/>
    </w:p>
    <w:p>
      <w:pPr>
        <w:pStyle w:val="964"/>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货币单位：人民币元</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根据竞争性磋商文件提供的工程量清单报价</w:t>
      </w:r>
      <w:r/>
    </w:p>
    <w:p>
      <w:pPr>
        <w:pStyle w:val="966"/>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966"/>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966"/>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66"/>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967"/>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967"/>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96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4"/>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注：1．如果按单价计算的结果与总价不一致，以总价为准。</w:t>
      </w:r>
      <w:r/>
    </w:p>
    <w:p>
      <w:pPr>
        <w:pStyle w:val="964"/>
        <w:ind w:firstLine="48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2．如果不提供详细分项报价将视为没有实质性响应。</w:t>
      </w:r>
      <w:r/>
    </w:p>
    <w:p>
      <w:pPr>
        <w:pStyle w:val="964"/>
        <w:ind w:firstLine="48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3. 供应商对以上数据的真实性负责。</w:t>
      </w:r>
      <w:r/>
    </w:p>
    <w:p>
      <w:pPr>
        <w:pStyle w:val="967"/>
        <w:ind w:firstLine="480"/>
        <w:spacing w:line="400" w:lineRule="exact"/>
        <w:rPr>
          <w:rFonts w:hint="eastAsia" w:ascii="宋体" w:hAnsi="宋体"/>
          <w:bCs/>
          <w:iCs/>
          <w:color w:val="000000" w:themeColor="text1"/>
          <w:sz w:val="24"/>
          <w:highlight w:val="none"/>
          <w14:textFill>
            <w14:solidFill>
              <w14:schemeClr w14:val="tx1"/>
            </w14:solidFill>
          </w14:textFill>
        </w:rPr>
      </w:pPr>
      <w:r>
        <w:rPr>
          <w:rFonts w:hint="eastAsia" w:ascii="宋体" w:hAnsi="宋体"/>
          <w:bCs/>
          <w:iCs/>
          <w:color w:val="000000" w:themeColor="text1"/>
          <w:sz w:val="24"/>
          <w:highlight w:val="none"/>
          <w:lang w:eastAsia="zh-CN"/>
          <w14:textFill>
            <w14:solidFill>
              <w14:schemeClr w14:val="tx1"/>
            </w14:solidFill>
          </w14:textFill>
        </w:rPr>
        <w:t xml:space="preserve">中诚运玛咨询股份有限公司</w:t>
      </w:r>
      <w:r/>
    </w:p>
    <w:p>
      <w:pPr>
        <w:pStyle w:val="967"/>
        <w:ind w:firstLine="480"/>
        <w:spacing w:line="400" w:lineRule="exact"/>
        <w:rPr>
          <w:rFonts w:ascii="宋体" w:hAnsi="宋体"/>
          <w:b/>
          <w:bCs/>
          <w:color w:val="000000" w:themeColor="text1"/>
          <w:sz w:val="36"/>
          <w:szCs w:val="36"/>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有权将以上内容进行公示。</w:t>
      </w:r>
      <w:r/>
    </w:p>
    <w:p>
      <w:pPr>
        <w:pStyle w:val="967"/>
        <w:spacing w:line="240" w:lineRule="atLeast"/>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967"/>
        <w:jc w:val="center"/>
        <w:spacing w:line="240" w:lineRule="atLeast"/>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971"/>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rPr>
          <w:rFonts w:ascii="宋体" w:hAnsi="宋体"/>
          <w:color w:val="000000" w:themeColor="text1"/>
          <w:highlight w:val="none"/>
          <w14:textFill>
            <w14:solidFill>
              <w14:schemeClr w14:val="tx1"/>
            </w14:solidFill>
          </w14:textFill>
        </w:rPr>
        <w:t xml:space="preserve">偏离表</w:t>
      </w:r>
      <w:r/>
    </w:p>
    <w:p>
      <w:pPr>
        <w:pStyle w:val="964"/>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4"/>
        <w:jc w:val="center"/>
        <w:rPr>
          <w:rFonts w:ascii="宋体" w:hAnsi="宋体"/>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（首次报价）</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城市容颜更美丽工程（城区花坛修复、行道树补植等)</w:t>
      </w:r>
      <w:r>
        <w:rPr>
          <w:rFonts w:ascii="宋体" w:hAnsi="宋体"/>
          <w:color w:val="000000" w:themeColor="text1"/>
          <w:sz w:val="24"/>
          <w:highlight w:val="none"/>
          <w14:textFill>
            <w14:solidFill>
              <w14:schemeClr w14:val="tx1"/>
            </w14:solidFill>
          </w14:textFill>
        </w:rPr>
        <w:t xml:space="preserve">   </w:t>
      </w:r>
      <w:r/>
    </w:p>
    <w:tbl>
      <w:tblPr>
        <w:tblStyle w:val="745"/>
        <w:tblW w:w="8475" w:type="dxa"/>
        <w:tblInd w:w="-4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1394"/>
        <w:gridCol w:w="1939"/>
        <w:gridCol w:w="1833"/>
        <w:gridCol w:w="1515"/>
        <w:gridCol w:w="1018"/>
      </w:tblGrid>
      <w:tr>
        <w:trPr>
          <w:trHeight w:val="41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偏离内容</w:t>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ascii="宋体" w:hAnsi="宋体"/>
                <w:cap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磋商文件（含澄清或者修改）的要求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供应商首次响应文件内容</w:t>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（正/负/无）偏离</w:t>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注：供应商递交的首次响应文件中的内容与《磋商文件》含《磋商文件修改（澄清）》（如有，下同）的要求有不同时，应逐条列在偏离表中，否则将认为供应商接受磋商文件的要求。</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967"/>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967"/>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967"/>
        <w:spacing w:line="240" w:lineRule="atLeas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967"/>
        <w:jc w:val="center"/>
        <w:widowControl/>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966"/>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6、合同草案条款</w:t>
      </w:r>
      <w:r/>
    </w:p>
    <w:p>
      <w:pPr>
        <w:pStyle w:val="966"/>
        <w:ind w:left="255" w:right="255" w:firstLine="1429"/>
        <w:jc w:val="center"/>
        <w:rPr>
          <w:rFonts w:ascii="宋体" w:hAnsi="宋体" w:eastAsia="宋体"/>
          <w:color w:val="000000" w:themeColor="text1"/>
          <w:sz w:val="36"/>
          <w:szCs w:val="36"/>
          <w:highlight w:val="none"/>
          <w14:textFill>
            <w14:solidFill>
              <w14:schemeClr w14:val="tx1"/>
            </w14:solidFill>
          </w14:textFill>
        </w:rPr>
      </w:pPr>
      <w:r>
        <w:rPr>
          <w:rFonts w:ascii="宋体" w:hAnsi="宋体" w:eastAsia="宋体"/>
          <w:color w:val="000000" w:themeColor="text1"/>
          <w:sz w:val="36"/>
          <w:szCs w:val="36"/>
          <w:highlight w:val="none"/>
          <w14:textFill>
            <w14:solidFill>
              <w14:schemeClr w14:val="tx1"/>
            </w14:solidFill>
          </w14:textFill>
        </w:rPr>
      </w:r>
      <w:r/>
    </w:p>
    <w:p>
      <w:pPr>
        <w:pStyle w:val="966"/>
        <w:ind w:right="255" w:firstLine="2199"/>
        <w:rPr>
          <w:rFonts w:ascii="宋体" w:hAnsi="宋体" w:eastAsia="宋体"/>
          <w:color w:val="000000" w:themeColor="text1"/>
          <w:sz w:val="72"/>
          <w:szCs w:val="72"/>
          <w:highlight w:val="none"/>
          <w14:textFill>
            <w14:solidFill>
              <w14:schemeClr w14:val="tx1"/>
            </w14:solidFill>
          </w14:textFill>
        </w:rPr>
      </w:pPr>
      <w:r>
        <w:rPr>
          <w:rFonts w:ascii="宋体" w:hAnsi="宋体" w:eastAsia="宋体"/>
          <w:color w:val="000000" w:themeColor="text1"/>
          <w:sz w:val="36"/>
          <w:szCs w:val="36"/>
          <w:highlight w:val="none"/>
          <w14:textFill>
            <w14:solidFill>
              <w14:schemeClr w14:val="tx1"/>
            </w14:solidFill>
          </w14:textFill>
        </w:rPr>
        <w:t xml:space="preserve">政 府 采 购 合 同    </w:t>
      </w:r>
      <w:r/>
    </w:p>
    <w:p>
      <w:pPr>
        <w:pStyle w:val="967"/>
        <w:jc w:val="center"/>
        <w:spacing w:line="360" w:lineRule="auto"/>
        <w:rPr>
          <w:rFonts w:ascii="宋体" w:hAnsi="宋体"/>
          <w:bCs/>
          <w:color w:val="000000" w:themeColor="text1"/>
          <w:sz w:val="30"/>
          <w:szCs w:val="30"/>
          <w:highlight w:val="none"/>
          <w14:textFill>
            <w14:solidFill>
              <w14:schemeClr w14:val="tx1"/>
            </w14:solidFill>
          </w14:textFill>
        </w:rPr>
      </w:pPr>
      <w:r>
        <w:rPr>
          <w:rFonts w:ascii="宋体" w:hAnsi="宋体"/>
          <w:bCs/>
          <w:color w:val="000000" w:themeColor="text1"/>
          <w:sz w:val="30"/>
          <w:szCs w:val="30"/>
          <w:highlight w:val="none"/>
          <w14:textFill>
            <w14:solidFill>
              <w14:schemeClr w14:val="tx1"/>
            </w14:solidFill>
          </w14:textFill>
        </w:rPr>
        <w:t xml:space="preserve">（GF—2020—2605）</w:t>
      </w:r>
      <w:r/>
    </w:p>
    <w:p>
      <w:pPr>
        <w:pStyle w:val="967"/>
        <w:ind w:firstLine="482"/>
        <w:jc w:val="cente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967"/>
        <w:spacing w:line="360" w:lineRule="auto"/>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967"/>
        <w:jc w:val="center"/>
        <w:spacing w:line="360" w:lineRule="auto"/>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t xml:space="preserve">园林绿化工程施工合同</w:t>
      </w:r>
      <w:r/>
    </w:p>
    <w:p>
      <w:pPr>
        <w:pStyle w:val="966"/>
        <w:ind w:left="255" w:right="255" w:firstLine="2858"/>
        <w:jc w:val="center"/>
        <w:rPr>
          <w:rFonts w:ascii="宋体" w:hAnsi="宋体" w:eastAsia="宋体"/>
          <w:color w:val="000000" w:themeColor="text1"/>
          <w:sz w:val="72"/>
          <w:szCs w:val="72"/>
          <w:highlight w:val="none"/>
          <w14:textFill>
            <w14:solidFill>
              <w14:schemeClr w14:val="tx1"/>
            </w14:solidFill>
          </w14:textFill>
        </w:rPr>
      </w:pPr>
      <w:r>
        <w:rPr>
          <w:rFonts w:ascii="宋体" w:hAnsi="宋体" w:eastAsia="宋体"/>
          <w:color w:val="000000" w:themeColor="text1"/>
          <w:sz w:val="72"/>
          <w:szCs w:val="72"/>
          <w:highlight w:val="none"/>
          <w14:textFill>
            <w14:solidFill>
              <w14:schemeClr w14:val="tx1"/>
            </w14:solidFill>
          </w14:textFill>
        </w:rPr>
        <w:t xml:space="preserve">   </w:t>
      </w:r>
      <w:r/>
    </w:p>
    <w:p>
      <w:pPr>
        <w:pStyle w:val="966"/>
        <w:ind w:left="0" w:firstLine="0"/>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966"/>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967"/>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67"/>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项目名称：</w:t>
      </w:r>
      <w:r>
        <w:rPr>
          <w:rFonts w:hint="eastAsia" w:ascii="宋体" w:hAnsi="宋体"/>
          <w:color w:val="000000" w:themeColor="text1"/>
          <w:sz w:val="28"/>
          <w:szCs w:val="28"/>
          <w:highlight w:val="none"/>
          <w:lang w:eastAsia="zh-CN"/>
          <w14:textFill>
            <w14:solidFill>
              <w14:schemeClr w14:val="tx1"/>
            </w14:solidFill>
          </w14:textFill>
        </w:rPr>
        <w:t xml:space="preserve">城市容颜更美丽工程（城区花坛修复、行道树补植等)</w:t>
      </w:r>
      <w:r>
        <w:rPr>
          <w:rFonts w:ascii="宋体" w:hAnsi="宋体"/>
          <w:color w:val="000000" w:themeColor="text1"/>
          <w:sz w:val="28"/>
          <w:szCs w:val="28"/>
          <w:highlight w:val="none"/>
          <w14:textFill>
            <w14:solidFill>
              <w14:schemeClr w14:val="tx1"/>
            </w14:solidFill>
          </w14:textFill>
        </w:rPr>
        <w:t xml:space="preserve"> </w:t>
      </w:r>
      <w:r/>
    </w:p>
    <w:p>
      <w:pPr>
        <w:pStyle w:val="967"/>
        <w:ind w:firstLine="840"/>
        <w:spacing w:line="360" w:lineRule="auto"/>
        <w:rPr>
          <w:rFonts w:hint="eastAsia" w:ascii="宋体" w:hAnsi="宋体" w:eastAsia="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项目编号：</w:t>
      </w:r>
      <w:r>
        <w:rPr>
          <w:rFonts w:hint="eastAsia" w:ascii="宋体" w:hAnsi="宋体"/>
          <w:color w:val="000000" w:themeColor="text1"/>
          <w:sz w:val="28"/>
          <w:szCs w:val="28"/>
          <w:highlight w:val="none"/>
          <w:lang w:eastAsia="zh-CN"/>
          <w14:textFill>
            <w14:solidFill>
              <w14:schemeClr w14:val="tx1"/>
            </w14:solidFill>
          </w14:textFill>
        </w:rPr>
        <w:t xml:space="preserve">JSZC-320322-JSYM-C2025-0009</w:t>
      </w:r>
      <w:r/>
    </w:p>
    <w:p>
      <w:pPr>
        <w:pStyle w:val="967"/>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采购单位：沛县园林服务中心</w:t>
      </w:r>
      <w:r/>
    </w:p>
    <w:p>
      <w:pPr>
        <w:pStyle w:val="967"/>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成交供应商：</w:t>
      </w:r>
      <w:r/>
    </w:p>
    <w:p>
      <w:pPr>
        <w:pStyle w:val="967"/>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签订日期：     年  月  日</w:t>
      </w:r>
      <w:r/>
    </w:p>
    <w:p>
      <w:pPr>
        <w:pStyle w:val="966"/>
        <w:rPr>
          <w:rFonts w:ascii="宋体" w:hAnsi="宋体" w:eastAsia="宋体"/>
          <w:color w:val="000000" w:themeColor="text1"/>
          <w:szCs w:val="28"/>
          <w:highlight w:val="none"/>
          <w14:textFill>
            <w14:solidFill>
              <w14:schemeClr w14:val="tx1"/>
            </w14:solidFill>
          </w14:textFill>
        </w:rPr>
      </w:pPr>
      <w:r>
        <w:rPr>
          <w:rFonts w:ascii="宋体" w:hAnsi="宋体" w:eastAsia="宋体"/>
          <w:color w:val="000000" w:themeColor="text1"/>
          <w:szCs w:val="28"/>
          <w:highlight w:val="none"/>
          <w14:textFill>
            <w14:solidFill>
              <w14:schemeClr w14:val="tx1"/>
            </w14:solidFill>
          </w14:textFill>
        </w:rPr>
      </w:r>
      <w:r/>
    </w:p>
    <w:p>
      <w:pPr>
        <w:pStyle w:val="966"/>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 xml:space="preserve">友情提醒</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ascii="宋体" w:hAnsi="宋体" w:eastAsia="宋体"/>
          <w:b/>
          <w:bCs/>
          <w:color w:val="000000" w:themeColor="text1"/>
          <w:sz w:val="24"/>
          <w:szCs w:val="24"/>
          <w:highlight w:val="none"/>
          <w14:textFill>
            <w14:solidFill>
              <w14:schemeClr w14:val="tx1"/>
            </w14:solidFill>
          </w14:textFill>
        </w:rPr>
        <w:t xml:space="preserve">采购人与中标、成交供应商应当在中标、成交通知书发出之日起三十日内，按照采购文件确定的事项签订政府采购合同。</w:t>
      </w:r>
      <w:r/>
    </w:p>
    <w:p>
      <w:pPr>
        <w:pStyle w:val="966"/>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Start w:id="7" w:name="_Toc509499434"/>
      <w:r/>
      <w:bookmarkStart w:id="8" w:name="_Toc2143857470"/>
      <w:r/>
      <w:bookmarkStart w:id="9" w:name="_Toc2128344692"/>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766"/>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87"/>
        <w:numPr>
          <w:ilvl w:val="0"/>
          <w:numId w:val="0"/>
        </w:numPr>
        <w:ind w:left="3402"/>
        <w:jc w:val="both"/>
        <w:spacing w:before="260" w:after="26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第一部分 合同协议书</w:t>
      </w:r>
      <w:bookmarkEnd w:id="7"/>
      <w:r/>
      <w:bookmarkEnd w:id="8"/>
      <w:r/>
      <w:bookmarkEnd w:id="9"/>
      <w:r/>
      <w:r/>
    </w:p>
    <w:p>
      <w:pPr>
        <w:pStyle w:val="967"/>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发包人（全称）：</w:t>
      </w:r>
      <w:r>
        <w:rPr>
          <w:rFonts w:ascii="宋体" w:hAnsi="宋体"/>
          <w:bCs/>
          <w:color w:val="000000" w:themeColor="text1"/>
          <w:sz w:val="24"/>
          <w:highlight w:val="none"/>
          <w:u w:val="single"/>
          <w14:textFill>
            <w14:solidFill>
              <w14:schemeClr w14:val="tx1"/>
            </w14:solidFill>
          </w14:textFill>
        </w:rPr>
        <w:t xml:space="preserve">     沛县园林服务中心      </w:t>
      </w:r>
      <w:r/>
    </w:p>
    <w:p>
      <w:pPr>
        <w:pStyle w:val="967"/>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承包人（全称）：</w:t>
      </w:r>
      <w:r>
        <w:rPr>
          <w:rFonts w:ascii="宋体" w:hAnsi="宋体"/>
          <w:bCs/>
          <w:color w:val="000000" w:themeColor="text1"/>
          <w:sz w:val="24"/>
          <w:highlight w:val="none"/>
          <w:u w:val="single"/>
          <w14:textFill>
            <w14:solidFill>
              <w14:schemeClr w14:val="tx1"/>
            </w14:solidFill>
          </w14:textFill>
        </w:rPr>
        <w:t xml:space="preserve">                          </w:t>
      </w:r>
      <w:r/>
    </w:p>
    <w:p>
      <w:pPr>
        <w:pStyle w:val="967"/>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根据《中华人民共和国民法典》《中华人民共和国建筑法》《中华人民共和国政府采购法》及有关法律规定，遵循平等、自愿、公平和诚实信用的原则，双方就</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工程施工及有关事项协商一致，共同达成如下协议：</w:t>
      </w:r>
      <w:r/>
    </w:p>
    <w:p>
      <w:pPr>
        <w:pStyle w:val="969"/>
        <w:numPr>
          <w:ilvl w:val="0"/>
          <w:numId w:val="0"/>
        </w:numPr>
        <w:ind w:left="704" w:hanging="420"/>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0" w:name="_Toc1433341455"/>
      <w:r/>
      <w:bookmarkStart w:id="11" w:name="_Toc445784615"/>
      <w:r>
        <w:rPr>
          <w:rFonts w:ascii="宋体" w:hAnsi="宋体" w:eastAsia="宋体"/>
          <w:b w:val="0"/>
          <w:color w:val="000000" w:themeColor="text1"/>
          <w:sz w:val="24"/>
          <w:szCs w:val="24"/>
          <w:highlight w:val="none"/>
          <w14:textFill>
            <w14:solidFill>
              <w14:schemeClr w14:val="tx1"/>
            </w14:solidFill>
          </w14:textFill>
        </w:rPr>
        <w:t xml:space="preserve">一、工程概况</w:t>
      </w:r>
      <w:bookmarkEnd w:id="10"/>
      <w:r/>
      <w:bookmarkEnd w:id="11"/>
      <w:r/>
      <w:r/>
    </w:p>
    <w:p>
      <w:pPr>
        <w:pStyle w:val="967"/>
        <w:ind w:firstLine="47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1.工程名称：</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967"/>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2.工程地点：</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967"/>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3.工程立项批准文号：</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967"/>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4.资金来源：</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967"/>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5.工程规模：</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967"/>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群体工程应附《承包人承揽工程项目一览表》（附件1）。</w:t>
      </w:r>
      <w:r/>
    </w:p>
    <w:p>
      <w:pPr>
        <w:pStyle w:val="967"/>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6.工程承包范围：</w:t>
      </w:r>
      <w:r>
        <w:rPr>
          <w:rFonts w:ascii="宋体" w:hAnsi="宋体"/>
          <w:bCs/>
          <w:color w:val="000000" w:themeColor="text1"/>
          <w:sz w:val="24"/>
          <w:highlight w:val="none"/>
          <w:u w:val="single"/>
          <w14:textFill>
            <w14:solidFill>
              <w14:schemeClr w14:val="tx1"/>
            </w14:solidFill>
          </w14:textFill>
        </w:rPr>
        <w:t xml:space="preserve">工程量清单及施工图内容</w:t>
      </w:r>
      <w:r>
        <w:rPr>
          <w:rFonts w:ascii="宋体" w:hAnsi="宋体"/>
          <w:bCs/>
          <w:color w:val="000000" w:themeColor="text1"/>
          <w:sz w:val="24"/>
          <w:highlight w:val="none"/>
          <w14:textFill>
            <w14:solidFill>
              <w14:schemeClr w14:val="tx1"/>
            </w14:solidFill>
          </w14:textFill>
        </w:rPr>
        <w:t xml:space="preserve">。</w:t>
      </w:r>
      <w:r/>
    </w:p>
    <w:p>
      <w:pPr>
        <w:pStyle w:val="969"/>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2" w:name="_Toc712002224"/>
      <w:r/>
      <w:bookmarkStart w:id="13" w:name="_Toc1515347488"/>
      <w:r>
        <w:rPr>
          <w:rFonts w:ascii="宋体" w:hAnsi="宋体" w:eastAsia="宋体"/>
          <w:b w:val="0"/>
          <w:color w:val="000000" w:themeColor="text1"/>
          <w:sz w:val="24"/>
          <w:szCs w:val="24"/>
          <w:highlight w:val="none"/>
          <w14:textFill>
            <w14:solidFill>
              <w14:schemeClr w14:val="tx1"/>
            </w14:solidFill>
          </w14:textFill>
        </w:rPr>
        <w:t xml:space="preserve">二、合同工期</w:t>
      </w:r>
      <w:bookmarkEnd w:id="12"/>
      <w:r/>
      <w:bookmarkEnd w:id="13"/>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计划开工日期：</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日。（具体开工日期以建设单位签发的开工令为准）</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计划竣工日期：</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工期总日历天数：</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天，阶段性工期：</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工期总日历天数与根据前述计划开竣工日期计算的工期天数不一致的，以工期总日历天数为准。</w:t>
      </w:r>
      <w:r/>
    </w:p>
    <w:p>
      <w:pPr>
        <w:pStyle w:val="969"/>
        <w:numPr>
          <w:ilvl w:val="0"/>
          <w:numId w:val="0"/>
        </w:numPr>
        <w:ind w:left="704" w:hanging="420"/>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4" w:name="_Toc385210886"/>
      <w:r/>
      <w:bookmarkStart w:id="15" w:name="_Toc1520902222"/>
      <w:r>
        <w:rPr>
          <w:rFonts w:ascii="宋体" w:hAnsi="宋体" w:eastAsia="宋体"/>
          <w:b w:val="0"/>
          <w:color w:val="000000" w:themeColor="text1"/>
          <w:sz w:val="24"/>
          <w:szCs w:val="24"/>
          <w:highlight w:val="none"/>
          <w14:textFill>
            <w14:solidFill>
              <w14:schemeClr w14:val="tx1"/>
            </w14:solidFill>
          </w14:textFill>
        </w:rPr>
        <w:t xml:space="preserve">三、质量标准</w:t>
      </w:r>
      <w:bookmarkEnd w:id="14"/>
      <w:r/>
      <w:bookmarkEnd w:id="15"/>
      <w:r/>
      <w:r/>
    </w:p>
    <w:p>
      <w:pPr>
        <w:pStyle w:val="967"/>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工程质量符合</w:t>
      </w:r>
      <w:r>
        <w:rPr>
          <w:rFonts w:ascii="宋体" w:hAnsi="宋体"/>
          <w:bCs/>
          <w:color w:val="000000" w:themeColor="text1"/>
          <w:sz w:val="24"/>
          <w:highlight w:val="none"/>
          <w:u w:val="single"/>
          <w14:textFill>
            <w14:solidFill>
              <w14:schemeClr w14:val="tx1"/>
            </w14:solidFill>
          </w14:textFill>
        </w:rPr>
        <w:t xml:space="preserve">    合格   </w:t>
      </w:r>
      <w:r>
        <w:rPr>
          <w:rFonts w:ascii="宋体" w:hAnsi="宋体"/>
          <w:bCs/>
          <w:color w:val="000000" w:themeColor="text1"/>
          <w:sz w:val="24"/>
          <w:highlight w:val="none"/>
          <w14:textFill>
            <w14:solidFill>
              <w14:schemeClr w14:val="tx1"/>
            </w14:solidFill>
          </w14:textFill>
        </w:rPr>
        <w:t xml:space="preserve">标准；</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园林绿化养护质量符合《园林绿化养护标准》（CJJ/T287）或（地方标准）中级标准。</w:t>
      </w:r>
      <w:r/>
    </w:p>
    <w:p>
      <w:pPr>
        <w:pStyle w:val="969"/>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6" w:name="_Toc204832942"/>
      <w:r/>
      <w:bookmarkStart w:id="17" w:name="_Toc1032760150"/>
      <w:r>
        <w:rPr>
          <w:rFonts w:ascii="宋体" w:hAnsi="宋体" w:eastAsia="宋体"/>
          <w:b w:val="0"/>
          <w:color w:val="000000" w:themeColor="text1"/>
          <w:sz w:val="24"/>
          <w:szCs w:val="24"/>
          <w:highlight w:val="none"/>
          <w14:textFill>
            <w14:solidFill>
              <w14:schemeClr w14:val="tx1"/>
            </w14:solidFill>
          </w14:textFill>
        </w:rPr>
        <w:t xml:space="preserve">四、签约合同价与合同价格形式</w:t>
      </w:r>
      <w:bookmarkEnd w:id="16"/>
      <w:r/>
      <w:bookmarkEnd w:id="17"/>
      <w:r>
        <w:rPr>
          <w:rFonts w:ascii="宋体" w:hAnsi="宋体" w:eastAsia="宋体"/>
          <w:b w:val="0"/>
          <w:color w:val="000000" w:themeColor="text1"/>
          <w:sz w:val="24"/>
          <w:szCs w:val="24"/>
          <w:highlight w:val="none"/>
          <w14:textFill>
            <w14:solidFill>
              <w14:schemeClr w14:val="tx1"/>
            </w14:solidFill>
          </w14:textFill>
        </w:rPr>
        <w:tab/>
      </w:r>
      <w:r/>
    </w:p>
    <w:p>
      <w:pPr>
        <w:pStyle w:val="967"/>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1.签约合同价（不含税）为：</w:t>
      </w:r>
      <w:r>
        <w:rPr>
          <w:rFonts w:ascii="宋体" w:hAnsi="宋体"/>
          <w:bCs/>
          <w:color w:val="000000" w:themeColor="text1"/>
          <w:sz w:val="24"/>
          <w:highlight w:val="none"/>
          <w:u w:val="single"/>
          <w14:textFill>
            <w14:solidFill>
              <w14:schemeClr w14:val="tx1"/>
            </w14:solidFill>
          </w14:textFill>
        </w:rPr>
        <w:t xml:space="preserve">   /  </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元)；税率：</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p>
    <w:p>
      <w:pPr>
        <w:pStyle w:val="967"/>
        <w:ind w:left="149" w:firstLine="36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含税金额：人民币（大写）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u w:val="single"/>
          <w14:textFill>
            <w14:solidFill>
              <w14:schemeClr w14:val="tx1"/>
            </w14:solidFill>
          </w14:textFill>
        </w:rPr>
        <w:t xml:space="preserve">      元</w:t>
      </w:r>
      <w:r>
        <w:rPr>
          <w:rFonts w:ascii="宋体" w:hAnsi="宋体"/>
          <w:bCs/>
          <w:color w:val="000000" w:themeColor="text1"/>
          <w:sz w:val="24"/>
          <w:highlight w:val="none"/>
          <w14:textFill>
            <w14:solidFill>
              <w14:schemeClr w14:val="tx1"/>
            </w14:solidFill>
          </w14:textFill>
        </w:rPr>
        <w:t xml:space="preserve">)。</w:t>
      </w:r>
      <w:r/>
    </w:p>
    <w:p>
      <w:pPr>
        <w:pStyle w:val="967"/>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其中：</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（1）安全文明施工费（含税）：￥：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（2）暂估价金额（含税）：￥：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（3）暂列金额（含税）：￥：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（4）农民工工伤保险（含税）：/</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人民币（大写）(/元)。</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2.合同价格形式：</w:t>
      </w:r>
      <w:r>
        <w:rPr>
          <w:rFonts w:ascii="宋体" w:hAnsi="宋体"/>
          <w:bCs/>
          <w:color w:val="000000" w:themeColor="text1"/>
          <w:sz w:val="24"/>
          <w:highlight w:val="none"/>
          <w:u w:val="single"/>
          <w14:textFill>
            <w14:solidFill>
              <w14:schemeClr w14:val="tx1"/>
            </w14:solidFill>
          </w14:textFill>
        </w:rPr>
        <w:t xml:space="preserve">固定单价</w:t>
      </w:r>
      <w:r>
        <w:rPr>
          <w:rFonts w:ascii="宋体" w:hAnsi="宋体"/>
          <w:bCs/>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bCs/>
          <w:color w:val="000000" w:themeColor="text1"/>
          <w:sz w:val="24"/>
          <w:highlight w:val="none"/>
          <w14:textFill>
            <w14:solidFill>
              <w14:schemeClr w14:val="tx1"/>
            </w14:solidFill>
          </w14:textFill>
        </w:rPr>
        <w:outlineLvl w:val="1"/>
      </w:pPr>
      <w:r/>
      <w:bookmarkStart w:id="18" w:name="_Toc578358000"/>
      <w:r/>
      <w:bookmarkStart w:id="19" w:name="_Toc1266145827"/>
      <w:r>
        <w:rPr>
          <w:rFonts w:ascii="宋体" w:hAnsi="宋体"/>
          <w:bCs/>
          <w:color w:val="000000" w:themeColor="text1"/>
          <w:sz w:val="24"/>
          <w:highlight w:val="none"/>
          <w14:textFill>
            <w14:solidFill>
              <w14:schemeClr w14:val="tx1"/>
            </w14:solidFill>
          </w14:textFill>
        </w:rPr>
        <w:t xml:space="preserve">五、承包人项目负责人</w:t>
      </w:r>
      <w:bookmarkEnd w:id="18"/>
      <w:r/>
      <w:bookmarkEnd w:id="19"/>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bookmarkStart w:id="20" w:name="_Toc565350378"/>
      <w:r/>
      <w:bookmarkStart w:id="21" w:name="_Toc1315372893"/>
      <w:r>
        <w:rPr>
          <w:rFonts w:ascii="宋体" w:hAnsi="宋体"/>
          <w:bCs/>
          <w:color w:val="000000" w:themeColor="text1"/>
          <w:sz w:val="24"/>
          <w:highlight w:val="none"/>
          <w14:textFill>
            <w14:solidFill>
              <w14:schemeClr w14:val="tx1"/>
            </w14:solidFill>
          </w14:textFill>
        </w:rPr>
        <w:t xml:space="preserve">姓名：     ；身份证号：     。</w:t>
      </w:r>
      <w:r/>
    </w:p>
    <w:p>
      <w:pPr>
        <w:pStyle w:val="967"/>
        <w:ind w:firstLine="480"/>
        <w:spacing w:line="360" w:lineRule="auto"/>
        <w:rPr>
          <w:rFonts w:ascii="宋体" w:hAnsi="宋体"/>
          <w:bCs/>
          <w:color w:val="000000" w:themeColor="text1"/>
          <w:sz w:val="24"/>
          <w:highlight w:val="none"/>
          <w14:textFill>
            <w14:solidFill>
              <w14:schemeClr w14:val="tx1"/>
            </w14:solidFill>
          </w14:textFill>
        </w:rPr>
        <w:outlineLvl w:val="1"/>
      </w:pPr>
      <w:r>
        <w:rPr>
          <w:rFonts w:ascii="宋体" w:hAnsi="宋体"/>
          <w:bCs/>
          <w:color w:val="000000" w:themeColor="text1"/>
          <w:sz w:val="24"/>
          <w:highlight w:val="none"/>
          <w14:textFill>
            <w14:solidFill>
              <w14:schemeClr w14:val="tx1"/>
            </w14:solidFill>
          </w14:textFill>
        </w:rPr>
        <w:t xml:space="preserve">六、预付款</w:t>
      </w:r>
      <w:bookmarkEnd w:id="20"/>
      <w:r/>
      <w:bookmarkEnd w:id="21"/>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预付款：发包人在合同签订后，</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个工作日内支付合同价的</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%作为工程预付款。</w:t>
      </w:r>
      <w:r/>
    </w:p>
    <w:p>
      <w:pPr>
        <w:pStyle w:val="967"/>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22" w:name="_Toc1430992058"/>
      <w:r/>
      <w:bookmarkStart w:id="23" w:name="_Toc1555190768"/>
      <w:r>
        <w:rPr>
          <w:rFonts w:ascii="宋体" w:hAnsi="宋体"/>
          <w:bCs/>
          <w:color w:val="000000" w:themeColor="text1"/>
          <w:sz w:val="24"/>
          <w:highlight w:val="none"/>
          <w14:textFill>
            <w14:solidFill>
              <w14:schemeClr w14:val="tx1"/>
            </w14:solidFill>
          </w14:textFill>
        </w:rPr>
        <w:t xml:space="preserve">七、绿化种植及养护要求</w:t>
      </w:r>
      <w:bookmarkEnd w:id="22"/>
      <w:r/>
      <w:bookmarkEnd w:id="23"/>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1.在施工过程及绿化养护期内植物死亡，须按原设计品种和规格更换，更换费用由承包人承担。</w:t>
      </w:r>
      <w:r/>
    </w:p>
    <w:p>
      <w:pPr>
        <w:pStyle w:val="967"/>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2.竣工验收时苗木成活率约定（乔木、灌木、地被、草坪等）：100%。</w:t>
      </w:r>
      <w:r/>
    </w:p>
    <w:p>
      <w:pPr>
        <w:pStyle w:val="967"/>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3.养护期满移交时苗木成活率约定（乔木、灌木、地被、草坪等）：100%。</w:t>
      </w:r>
      <w:r/>
    </w:p>
    <w:p>
      <w:pPr>
        <w:pStyle w:val="967"/>
        <w:ind w:firstLine="480"/>
        <w:jc w:val="left"/>
        <w:spacing w:line="360" w:lineRule="auto"/>
        <w:rPr>
          <w:rFonts w:ascii="宋体" w:hAnsi="宋体"/>
          <w:bCs/>
          <w:color w:val="000000" w:themeColor="text1"/>
          <w:sz w:val="24"/>
          <w:highlight w:val="none"/>
          <w:u w:val="single"/>
          <w14:textFill>
            <w14:solidFill>
              <w14:schemeClr w14:val="tx1"/>
            </w14:solidFill>
          </w14:textFill>
        </w:rPr>
        <w:outlineLvl w:val="1"/>
      </w:pPr>
      <w:r/>
      <w:bookmarkStart w:id="24" w:name="_Toc367134989"/>
      <w:r/>
      <w:bookmarkStart w:id="25" w:name="_Toc1430684837"/>
      <w:r>
        <w:rPr>
          <w:rFonts w:ascii="宋体" w:hAnsi="宋体"/>
          <w:bCs/>
          <w:color w:val="000000" w:themeColor="text1"/>
          <w:sz w:val="24"/>
          <w:highlight w:val="none"/>
          <w14:textFill>
            <w14:solidFill>
              <w14:schemeClr w14:val="tx1"/>
            </w14:solidFill>
          </w14:textFill>
        </w:rPr>
        <w:t xml:space="preserve">八、其他要求：</w:t>
      </w:r>
      <w:bookmarkEnd w:id="24"/>
      <w:r/>
      <w:bookmarkEnd w:id="25"/>
      <w:r>
        <w:rPr>
          <w:rFonts w:ascii="宋体" w:hAnsi="宋体"/>
          <w:bCs/>
          <w:color w:val="000000" w:themeColor="text1"/>
          <w:sz w:val="24"/>
          <w:highlight w:val="none"/>
          <w14:textFill>
            <w14:solidFill>
              <w14:schemeClr w14:val="tx1"/>
            </w14:solidFill>
          </w14:textFill>
        </w:rPr>
        <w:t xml:space="preserve">无</w:t>
      </w:r>
      <w:bookmarkStart w:id="26" w:name="_Toc1140298820"/>
      <w:r/>
      <w:bookmarkStart w:id="27" w:name="_Toc1394911462"/>
      <w:r>
        <w:rPr>
          <w:rFonts w:ascii="宋体" w:hAnsi="宋体"/>
          <w:bCs/>
          <w:color w:val="000000" w:themeColor="text1"/>
          <w:sz w:val="24"/>
          <w:highlight w:val="none"/>
          <w14:textFill>
            <w14:solidFill>
              <w14:schemeClr w14:val="tx1"/>
            </w14:solidFill>
          </w14:textFill>
        </w:rPr>
        <w:t xml:space="preserve">。</w:t>
      </w:r>
      <w:bookmarkEnd w:id="26"/>
      <w:r/>
      <w:bookmarkEnd w:id="27"/>
      <w:r/>
      <w:r/>
    </w:p>
    <w:p>
      <w:pPr>
        <w:pStyle w:val="967"/>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28" w:name="_Toc1318737122"/>
      <w:r/>
      <w:bookmarkStart w:id="29" w:name="_Toc184090255"/>
      <w:r>
        <w:rPr>
          <w:rFonts w:ascii="宋体" w:hAnsi="宋体"/>
          <w:bCs/>
          <w:color w:val="000000" w:themeColor="text1"/>
          <w:sz w:val="24"/>
          <w:highlight w:val="none"/>
          <w14:textFill>
            <w14:solidFill>
              <w14:schemeClr w14:val="tx1"/>
            </w14:solidFill>
          </w14:textFill>
        </w:rPr>
        <w:t xml:space="preserve">九、合同文件构成</w:t>
      </w:r>
      <w:bookmarkEnd w:id="28"/>
      <w:r/>
      <w:bookmarkEnd w:id="29"/>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本协议书与下列文件一起构成合同文件：</w:t>
      </w:r>
      <w:r/>
    </w:p>
    <w:p>
      <w:pPr>
        <w:pStyle w:val="967"/>
        <w:ind w:firstLine="480"/>
        <w:jc w:val="left"/>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（1）中标通知书（如果有）；（2）投标函及其附录（如果有）；（3）专用合同条款及其附件；（4）通用合同条款；（5）技术标准和要求；（6）图纸；（7）已标价工程量清单或预算书；（8）其他合同文件。</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在合同订立及履行过程中形成的与合同有关的文件均构成合同文件组成部分。</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967"/>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30" w:name="_Toc1718441829"/>
      <w:r/>
      <w:bookmarkStart w:id="31" w:name="_Toc410640064"/>
      <w:r>
        <w:rPr>
          <w:rFonts w:ascii="宋体" w:hAnsi="宋体"/>
          <w:bCs/>
          <w:color w:val="000000" w:themeColor="text1"/>
          <w:sz w:val="24"/>
          <w:highlight w:val="none"/>
          <w14:textFill>
            <w14:solidFill>
              <w14:schemeClr w14:val="tx1"/>
            </w14:solidFill>
          </w14:textFill>
        </w:rPr>
        <w:t xml:space="preserve">十、承诺</w:t>
      </w:r>
      <w:bookmarkEnd w:id="30"/>
      <w:r/>
      <w:bookmarkEnd w:id="31"/>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pStyle w:val="969"/>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2" w:name="_Toc1094819545"/>
      <w:r/>
      <w:bookmarkStart w:id="33" w:name="_Toc1209713496"/>
      <w:r>
        <w:rPr>
          <w:rFonts w:ascii="宋体" w:hAnsi="宋体" w:eastAsia="宋体"/>
          <w:b w:val="0"/>
          <w:color w:val="000000" w:themeColor="text1"/>
          <w:sz w:val="24"/>
          <w:szCs w:val="24"/>
          <w:highlight w:val="none"/>
          <w14:textFill>
            <w14:solidFill>
              <w14:schemeClr w14:val="tx1"/>
            </w14:solidFill>
          </w14:textFill>
        </w:rPr>
        <w:t xml:space="preserve">十一、词语含义</w:t>
      </w:r>
      <w:bookmarkEnd w:id="32"/>
      <w:r/>
      <w:bookmarkEnd w:id="33"/>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本协议书中词语含义与通用合同条款、专用合同条款中赋予的含义相同。</w:t>
      </w:r>
      <w:r/>
    </w:p>
    <w:p>
      <w:pPr>
        <w:pStyle w:val="969"/>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4" w:name="_Toc1843922025"/>
      <w:r/>
      <w:bookmarkStart w:id="35" w:name="_Toc1302915076"/>
      <w:r>
        <w:rPr>
          <w:rFonts w:ascii="宋体" w:hAnsi="宋体" w:eastAsia="宋体"/>
          <w:b w:val="0"/>
          <w:color w:val="000000" w:themeColor="text1"/>
          <w:sz w:val="24"/>
          <w:szCs w:val="24"/>
          <w:highlight w:val="none"/>
          <w14:textFill>
            <w14:solidFill>
              <w14:schemeClr w14:val="tx1"/>
            </w14:solidFill>
          </w14:textFill>
        </w:rPr>
        <w:t xml:space="preserve">十二、签订时间</w:t>
      </w:r>
      <w:bookmarkEnd w:id="34"/>
      <w:r/>
      <w:bookmarkEnd w:id="35"/>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日签订。</w:t>
      </w:r>
      <w:bookmarkStart w:id="36" w:name="_Toc251726425"/>
      <w:r/>
      <w:bookmarkStart w:id="37" w:name="_Toc441671965"/>
      <w:r/>
      <w:r/>
    </w:p>
    <w:p>
      <w:pPr>
        <w:pStyle w:val="969"/>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十三、签订地点</w:t>
      </w:r>
      <w:bookmarkEnd w:id="36"/>
      <w:r/>
      <w:bookmarkEnd w:id="37"/>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本合同在</w:t>
      </w:r>
      <w:r>
        <w:rPr>
          <w:rFonts w:ascii="宋体" w:hAnsi="宋体"/>
          <w:bCs/>
          <w:color w:val="000000" w:themeColor="text1"/>
          <w:sz w:val="24"/>
          <w:highlight w:val="none"/>
          <w:u w:val="single"/>
          <w14:textFill>
            <w14:solidFill>
              <w14:schemeClr w14:val="tx1"/>
            </w14:solidFill>
          </w14:textFill>
        </w:rPr>
        <w:t xml:space="preserve">   沛县   </w:t>
      </w:r>
      <w:r>
        <w:rPr>
          <w:rFonts w:ascii="宋体" w:hAnsi="宋体"/>
          <w:bCs/>
          <w:color w:val="000000" w:themeColor="text1"/>
          <w:sz w:val="24"/>
          <w:highlight w:val="none"/>
          <w14:textFill>
            <w14:solidFill>
              <w14:schemeClr w14:val="tx1"/>
            </w14:solidFill>
          </w14:textFill>
        </w:rPr>
        <w:t xml:space="preserve">签订。</w:t>
      </w:r>
      <w:r/>
    </w:p>
    <w:p>
      <w:pPr>
        <w:pStyle w:val="969"/>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8" w:name="_Toc1858176615"/>
      <w:r/>
      <w:bookmarkStart w:id="39" w:name="_Toc1799890158"/>
      <w:r>
        <w:rPr>
          <w:rFonts w:ascii="宋体" w:hAnsi="宋体" w:eastAsia="宋体"/>
          <w:b w:val="0"/>
          <w:color w:val="000000" w:themeColor="text1"/>
          <w:sz w:val="24"/>
          <w:szCs w:val="24"/>
          <w:highlight w:val="none"/>
          <w14:textFill>
            <w14:solidFill>
              <w14:schemeClr w14:val="tx1"/>
            </w14:solidFill>
          </w14:textFill>
        </w:rPr>
        <w:t xml:space="preserve">十四、补充协议</w:t>
      </w:r>
      <w:bookmarkEnd w:id="38"/>
      <w:r/>
      <w:bookmarkEnd w:id="39"/>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合同未尽事宜，合同当事人另行签订补充协议，补充协议是合同的组成部分。补充协议内容不得实质性背离本合同，约定的款项超过中标价10%以上，需经沛县人民政府批准。</w:t>
      </w:r>
      <w:r/>
    </w:p>
    <w:p>
      <w:pPr>
        <w:pStyle w:val="969"/>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40" w:name="_Toc111240637"/>
      <w:r/>
      <w:bookmarkStart w:id="41" w:name="_Toc1600665821"/>
      <w:r>
        <w:rPr>
          <w:rFonts w:ascii="宋体" w:hAnsi="宋体" w:eastAsia="宋体"/>
          <w:b w:val="0"/>
          <w:color w:val="000000" w:themeColor="text1"/>
          <w:sz w:val="24"/>
          <w:szCs w:val="24"/>
          <w:highlight w:val="none"/>
          <w14:textFill>
            <w14:solidFill>
              <w14:schemeClr w14:val="tx1"/>
            </w14:solidFill>
          </w14:textFill>
        </w:rPr>
        <w:t xml:space="preserve">十五、合同生效</w:t>
      </w:r>
      <w:bookmarkEnd w:id="40"/>
      <w:r/>
      <w:bookmarkEnd w:id="41"/>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本合同自</w:t>
      </w:r>
      <w:r>
        <w:rPr>
          <w:rFonts w:ascii="宋体" w:hAnsi="宋体"/>
          <w:bCs/>
          <w:color w:val="000000" w:themeColor="text1"/>
          <w:sz w:val="24"/>
          <w:highlight w:val="none"/>
          <w:u w:val="single"/>
          <w14:textFill>
            <w14:solidFill>
              <w14:schemeClr w14:val="tx1"/>
            </w14:solidFill>
          </w14:textFill>
        </w:rPr>
        <w:t xml:space="preserve">双方签字盖章</w:t>
      </w:r>
      <w:r>
        <w:rPr>
          <w:rFonts w:ascii="宋体" w:hAnsi="宋体"/>
          <w:bCs/>
          <w:color w:val="000000" w:themeColor="text1"/>
          <w:sz w:val="24"/>
          <w:highlight w:val="none"/>
          <w14:textFill>
            <w14:solidFill>
              <w14:schemeClr w14:val="tx1"/>
            </w14:solidFill>
          </w14:textFill>
        </w:rPr>
        <w:t xml:space="preserve">后生效。</w:t>
      </w:r>
      <w:r/>
    </w:p>
    <w:p>
      <w:pPr>
        <w:pStyle w:val="969"/>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十六、双方通讯及联络方式</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沛县园林服务中心，联系人</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，地址</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，联系电话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。中标人名称</w:t>
      </w:r>
      <w:r>
        <w:rPr>
          <w:rFonts w:ascii="宋体" w:hAnsi="宋体"/>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联系人：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。以上信息如有变更需要书面告知对方，否则视为没有变更。</w:t>
      </w:r>
      <w:r/>
    </w:p>
    <w:p>
      <w:pPr>
        <w:pStyle w:val="969"/>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42" w:name="_Toc118154563"/>
      <w:r/>
      <w:bookmarkStart w:id="43" w:name="_Toc273056816"/>
      <w:r>
        <w:rPr>
          <w:rFonts w:ascii="宋体" w:hAnsi="宋体" w:eastAsia="宋体"/>
          <w:b w:val="0"/>
          <w:color w:val="000000" w:themeColor="text1"/>
          <w:sz w:val="24"/>
          <w:szCs w:val="24"/>
          <w:highlight w:val="none"/>
          <w14:textFill>
            <w14:solidFill>
              <w14:schemeClr w14:val="tx1"/>
            </w14:solidFill>
          </w14:textFill>
        </w:rPr>
        <w:t xml:space="preserve">十七、合同份数</w:t>
      </w:r>
      <w:bookmarkEnd w:id="42"/>
      <w:r/>
      <w:bookmarkEnd w:id="43"/>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本合同一式</w:t>
      </w:r>
      <w:r>
        <w:rPr>
          <w:rFonts w:ascii="宋体" w:hAnsi="宋体"/>
          <w:bCs/>
          <w:color w:val="000000" w:themeColor="text1"/>
          <w:sz w:val="24"/>
          <w:highlight w:val="none"/>
          <w:u w:val="single"/>
          <w14:textFill>
            <w14:solidFill>
              <w14:schemeClr w14:val="tx1"/>
            </w14:solidFill>
          </w14:textFill>
        </w:rPr>
        <w:t xml:space="preserve">伍</w:t>
      </w:r>
      <w:r>
        <w:rPr>
          <w:rFonts w:ascii="宋体" w:hAnsi="宋体"/>
          <w:bCs/>
          <w:color w:val="000000" w:themeColor="text1"/>
          <w:sz w:val="24"/>
          <w:highlight w:val="none"/>
          <w14:textFill>
            <w14:solidFill>
              <w14:schemeClr w14:val="tx1"/>
            </w14:solidFill>
          </w14:textFill>
        </w:rPr>
        <w:t xml:space="preserve">份，均具有同等法律效力，发包人执</w:t>
      </w:r>
      <w:r>
        <w:rPr>
          <w:rFonts w:ascii="宋体" w:hAnsi="宋体"/>
          <w:bCs/>
          <w:color w:val="000000" w:themeColor="text1"/>
          <w:sz w:val="24"/>
          <w:highlight w:val="none"/>
          <w:u w:val="single"/>
          <w14:textFill>
            <w14:solidFill>
              <w14:schemeClr w14:val="tx1"/>
            </w14:solidFill>
          </w14:textFill>
        </w:rPr>
        <w:t xml:space="preserve">贰</w:t>
      </w:r>
      <w:r>
        <w:rPr>
          <w:rFonts w:ascii="宋体" w:hAnsi="宋体"/>
          <w:bCs/>
          <w:color w:val="000000" w:themeColor="text1"/>
          <w:sz w:val="24"/>
          <w:highlight w:val="none"/>
          <w14:textFill>
            <w14:solidFill>
              <w14:schemeClr w14:val="tx1"/>
            </w14:solidFill>
          </w14:textFill>
        </w:rPr>
        <w:t xml:space="preserve">份，合同审查机构</w:t>
      </w:r>
      <w:r>
        <w:rPr>
          <w:rFonts w:ascii="宋体" w:hAnsi="宋体"/>
          <w:bCs/>
          <w:color w:val="000000" w:themeColor="text1"/>
          <w:sz w:val="24"/>
          <w:highlight w:val="none"/>
          <w:u w:val="single"/>
          <w14:textFill>
            <w14:solidFill>
              <w14:schemeClr w14:val="tx1"/>
            </w14:solidFill>
          </w14:textFill>
        </w:rPr>
        <w:t xml:space="preserve">壹</w:t>
      </w:r>
      <w:r>
        <w:rPr>
          <w:rFonts w:ascii="宋体" w:hAnsi="宋体"/>
          <w:bCs/>
          <w:color w:val="000000" w:themeColor="text1"/>
          <w:sz w:val="24"/>
          <w:highlight w:val="none"/>
          <w14:textFill>
            <w14:solidFill>
              <w14:schemeClr w14:val="tx1"/>
            </w14:solidFill>
          </w14:textFill>
        </w:rPr>
        <w:t xml:space="preserve">份，承包人执</w:t>
      </w:r>
      <w:r>
        <w:rPr>
          <w:rFonts w:ascii="宋体" w:hAnsi="宋体"/>
          <w:bCs/>
          <w:color w:val="000000" w:themeColor="text1"/>
          <w:sz w:val="24"/>
          <w:highlight w:val="none"/>
          <w:u w:val="single"/>
          <w14:textFill>
            <w14:solidFill>
              <w14:schemeClr w14:val="tx1"/>
            </w14:solidFill>
          </w14:textFill>
        </w:rPr>
        <w:t xml:space="preserve">贰</w:t>
      </w:r>
      <w:r>
        <w:rPr>
          <w:rFonts w:ascii="宋体" w:hAnsi="宋体"/>
          <w:bCs/>
          <w:color w:val="000000" w:themeColor="text1"/>
          <w:sz w:val="24"/>
          <w:highlight w:val="none"/>
          <w14:textFill>
            <w14:solidFill>
              <w14:schemeClr w14:val="tx1"/>
            </w14:solidFill>
          </w14:textFill>
        </w:rPr>
        <w:t xml:space="preserve">份。</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发包人：（公章）                        承包人：（公章）</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法定代表人或其委托代理人：              法定代表人或其委托代理人：</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（签字）                               （签字）</w:t>
      </w:r>
      <w:r/>
    </w:p>
    <w:p>
      <w:pPr>
        <w:pStyle w:val="967"/>
        <w:rPr>
          <w:rFonts w:ascii="宋体" w:hAnsi="宋体"/>
          <w:color w:val="000000" w:themeColor="text1"/>
          <w:sz w:val="24"/>
          <w:highlight w:val="none"/>
          <w:u w:val="single"/>
          <w14:textFill>
            <w14:solidFill>
              <w14:schemeClr w14:val="tx1"/>
            </w14:solidFill>
          </w14:textFill>
        </w:rPr>
      </w:pPr>
      <w:r/>
      <w:bookmarkStart w:id="44" w:name="_Toc10868"/>
      <w:r/>
      <w:bookmarkStart w:id="45" w:name="_Toc26547"/>
      <w:r/>
      <w:bookmarkStart w:id="46" w:name="_Toc16153"/>
      <w:r/>
      <w:bookmarkStart w:id="47" w:name="_Toc12223"/>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 址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967"/>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967"/>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p>
    <w:p>
      <w:pPr>
        <w:pStyle w:val="967"/>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967"/>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967"/>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电子信箱：</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left="5880" w:hanging="58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开户银行：</w:t>
      </w:r>
      <w:r>
        <w:rPr>
          <w:rStyle w:val="988"/>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开户银行：</w:t>
      </w:r>
      <w:r>
        <w:rPr>
          <w:rFonts w:ascii="宋体" w:hAnsi="宋体"/>
          <w:color w:val="000000" w:themeColor="text1"/>
          <w:sz w:val="24"/>
          <w:highlight w:val="none"/>
          <w:u w:val="single"/>
          <w14:textFill>
            <w14:solidFill>
              <w14:schemeClr w14:val="tx1"/>
            </w14:solidFill>
          </w14:textFill>
        </w:rPr>
        <w:t xml:space="preserve">                  </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账号 ：</w:t>
      </w:r>
      <w:r>
        <w:rPr>
          <w:rFonts w:ascii="宋体" w:hAnsi="宋体"/>
          <w:color w:val="000000" w:themeColor="text1"/>
          <w:sz w:val="24"/>
          <w:highlight w:val="none"/>
          <w:u w:val="single"/>
          <w14:textFill>
            <w14:solidFill>
              <w14:schemeClr w14:val="tx1"/>
            </w14:solidFill>
          </w14:textFill>
        </w:rPr>
        <w:t xml:space="preserve">                     </w:t>
      </w:r>
      <w:r/>
    </w:p>
    <w:p>
      <w:pPr>
        <w:pStyle w:val="964"/>
        <w:rPr>
          <w:color w:val="000000" w:themeColor="text1"/>
          <w:highlight w:val="none"/>
          <w14:textFill>
            <w14:solidFill>
              <w14:schemeClr w14:val="tx1"/>
            </w14:solidFill>
          </w14:textFill>
        </w:rPr>
        <w:sectPr>
          <w:footerReference w:type="default" r:id="rId10"/>
          <w:footnotePr/>
          <w:endnotePr/>
          <w:type w:val="nextPage"/>
          <w:pgSz w:w="11906" w:h="16838" w:orient="portrait"/>
          <w:pgMar w:top="2098" w:right="1757" w:bottom="1702" w:left="1757" w:header="851" w:footer="941" w:gutter="0"/>
          <w:pgNumType w:start="1"/>
          <w:cols w:num="1" w:sep="0" w:space="1701" w:equalWidth="1"/>
          <w:docGrid w:linePitch="360"/>
        </w:sectPr>
      </w:pPr>
      <w:r>
        <w:rPr>
          <w:color w:val="000000" w:themeColor="text1"/>
          <w:highlight w:val="none"/>
          <w14:textFill>
            <w14:solidFill>
              <w14:schemeClr w14:val="tx1"/>
            </w14:solidFill>
          </w14:textFill>
        </w:rPr>
      </w:r>
      <w:r/>
    </w:p>
    <w:p>
      <w:pPr>
        <w:pStyle w:val="987"/>
        <w:numPr>
          <w:ilvl w:val="0"/>
          <w:numId w:val="0"/>
        </w:numPr>
        <w:spacing w:before="260" w:after="260" w:line="360" w:lineRule="auto"/>
        <w:rPr>
          <w:rFonts w:ascii="宋体" w:hAnsi="宋体" w:eastAsia="宋体"/>
          <w:b w:val="0"/>
          <w:color w:val="000000" w:themeColor="text1"/>
          <w:sz w:val="24"/>
          <w:szCs w:val="24"/>
          <w:highlight w:val="none"/>
          <w14:textFill>
            <w14:solidFill>
              <w14:schemeClr w14:val="tx1"/>
            </w14:solidFill>
          </w14:textFill>
        </w:rPr>
      </w:pPr>
      <w:r/>
      <w:bookmarkStart w:id="48" w:name="_Toc725136582"/>
      <w:r/>
      <w:bookmarkStart w:id="49" w:name="_Toc1081549402"/>
      <w:r/>
      <w:bookmarkStart w:id="50" w:name="_Toc1772115747"/>
      <w:r>
        <w:rPr>
          <w:rFonts w:ascii="宋体" w:hAnsi="宋体" w:eastAsia="宋体"/>
          <w:b w:val="0"/>
          <w:color w:val="000000" w:themeColor="text1"/>
          <w:sz w:val="24"/>
          <w:szCs w:val="24"/>
          <w:highlight w:val="none"/>
          <w14:textFill>
            <w14:solidFill>
              <w14:schemeClr w14:val="tx1"/>
            </w14:solidFill>
          </w14:textFill>
        </w:rPr>
        <w:t xml:space="preserve">第二部分 通用合同条款</w:t>
      </w:r>
      <w:bookmarkEnd w:id="48"/>
      <w:r/>
      <w:bookmarkEnd w:id="49"/>
      <w:r/>
      <w:bookmarkEnd w:id="50"/>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sectPr>
          <w:footnotePr/>
          <w:endnotePr/>
          <w:type w:val="nextPage"/>
          <w:pgSz w:w="11906" w:h="16838" w:orient="portrait"/>
          <w:pgMar w:top="2098" w:right="1701" w:bottom="1984" w:left="1701" w:header="851" w:footer="1417" w:gutter="0"/>
          <w:cols w:num="1" w:sep="0" w:space="1701" w:equalWidth="1"/>
          <w:docGrid w:linePitch="360"/>
        </w:sectPr>
      </w:pPr>
      <w:r>
        <w:rPr>
          <w:rFonts w:ascii="宋体" w:hAnsi="宋体"/>
          <w:color w:val="000000" w:themeColor="text1"/>
          <w:sz w:val="24"/>
          <w:highlight w:val="none"/>
          <w14:textFill>
            <w14:solidFill>
              <w14:schemeClr w14:val="tx1"/>
            </w14:solidFill>
          </w14:textFill>
        </w:rPr>
        <w:t xml:space="preserve">通用合同条款共计20条，采用无修改地园林绿化工程施工合同（示范文本）（GF—2020—2605）通用合同条款。</w:t>
      </w:r>
      <w:bookmarkEnd w:id="44"/>
      <w:r/>
      <w:bookmarkEnd w:id="45"/>
      <w:r/>
      <w:bookmarkEnd w:id="46"/>
      <w:r/>
      <w:bookmarkEnd w:id="47"/>
      <w:r/>
      <w:r/>
    </w:p>
    <w:p>
      <w:pPr>
        <w:pStyle w:val="987"/>
        <w:numPr>
          <w:ilvl w:val="0"/>
          <w:numId w:val="0"/>
        </w:numPr>
        <w:spacing w:before="0" w:after="260" w:line="360" w:lineRule="auto"/>
        <w:rPr>
          <w:rFonts w:ascii="宋体" w:hAnsi="宋体" w:eastAsia="宋体"/>
          <w:b w:val="0"/>
          <w:color w:val="000000" w:themeColor="text1"/>
          <w:sz w:val="24"/>
          <w:szCs w:val="24"/>
          <w:highlight w:val="none"/>
          <w14:textFill>
            <w14:solidFill>
              <w14:schemeClr w14:val="tx1"/>
            </w14:solidFill>
          </w14:textFill>
        </w:rPr>
      </w:pPr>
      <w:r/>
      <w:bookmarkStart w:id="51" w:name="_Toc1439523315"/>
      <w:r/>
      <w:bookmarkStart w:id="52" w:name="_Toc20668"/>
      <w:r/>
      <w:bookmarkStart w:id="53" w:name="_Toc13192"/>
      <w:r/>
      <w:bookmarkStart w:id="54" w:name="_Toc24563"/>
      <w:r/>
      <w:bookmarkStart w:id="55" w:name="_Toc25120"/>
      <w:r/>
      <w:bookmarkStart w:id="56" w:name="_Toc1254421522"/>
      <w:r/>
      <w:bookmarkStart w:id="57" w:name="_Toc538026417"/>
      <w:r>
        <w:rPr>
          <w:rFonts w:ascii="宋体" w:hAnsi="宋体" w:eastAsia="宋体"/>
          <w:b w:val="0"/>
          <w:color w:val="000000" w:themeColor="text1"/>
          <w:sz w:val="24"/>
          <w:szCs w:val="24"/>
          <w:highlight w:val="none"/>
          <w14:textFill>
            <w14:solidFill>
              <w14:schemeClr w14:val="tx1"/>
            </w14:solidFill>
          </w14:textFill>
        </w:rPr>
        <w:t xml:space="preserve">第三部分 专用合同条款</w:t>
      </w:r>
      <w:bookmarkEnd w:id="51"/>
      <w:r/>
      <w:bookmarkEnd w:id="52"/>
      <w:r/>
      <w:bookmarkEnd w:id="53"/>
      <w:r/>
      <w:bookmarkEnd w:id="54"/>
      <w:r/>
      <w:bookmarkEnd w:id="55"/>
      <w:r/>
      <w:bookmarkEnd w:id="56"/>
      <w:r/>
      <w:bookmarkEnd w:id="57"/>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58" w:name="_Toc1742251250"/>
      <w:r/>
      <w:bookmarkStart w:id="59" w:name="_Toc1281606529"/>
      <w:r>
        <w:rPr>
          <w:rFonts w:ascii="宋体" w:hAnsi="宋体" w:eastAsia="宋体"/>
          <w:b w:val="0"/>
          <w:color w:val="000000" w:themeColor="text1"/>
          <w:sz w:val="24"/>
          <w:szCs w:val="24"/>
          <w:highlight w:val="none"/>
          <w14:textFill>
            <w14:solidFill>
              <w14:schemeClr w14:val="tx1"/>
            </w14:solidFill>
          </w14:textFill>
        </w:rPr>
        <w:t xml:space="preserve">1</w:t>
      </w:r>
      <w:bookmarkStart w:id="60" w:name="_Toc297120456"/>
      <w:r/>
      <w:bookmarkStart w:id="61" w:name="_Toc296944495"/>
      <w:r/>
      <w:bookmarkStart w:id="62" w:name="_Toc292559361"/>
      <w:r/>
      <w:bookmarkStart w:id="63" w:name="_Toc296891196"/>
      <w:r/>
      <w:bookmarkStart w:id="64" w:name="_Toc296346657"/>
      <w:r/>
      <w:bookmarkStart w:id="65" w:name="_Toc292559866"/>
      <w:r/>
      <w:bookmarkStart w:id="66" w:name="_Toc297048342"/>
      <w:r/>
      <w:bookmarkStart w:id="67" w:name="_Toc296347155"/>
      <w:r/>
      <w:bookmarkStart w:id="68" w:name="_Toc296890984"/>
      <w:r/>
      <w:bookmarkStart w:id="69" w:name="_Toc296503156"/>
      <w:r>
        <w:rPr>
          <w:rFonts w:ascii="宋体" w:hAnsi="宋体" w:eastAsia="宋体"/>
          <w:b w:val="0"/>
          <w:color w:val="000000" w:themeColor="text1"/>
          <w:sz w:val="24"/>
          <w:szCs w:val="24"/>
          <w:highlight w:val="none"/>
          <w14:textFill>
            <w14:solidFill>
              <w14:schemeClr w14:val="tx1"/>
            </w14:solidFill>
          </w14:textFill>
        </w:rPr>
        <w:t xml:space="preserve">. 一般约定</w:t>
      </w:r>
      <w:bookmarkEnd w:id="58"/>
      <w:r/>
      <w:bookmarkEnd w:id="59"/>
      <w:r/>
      <w:bookmarkEnd w:id="60"/>
      <w:r/>
      <w:bookmarkEnd w:id="61"/>
      <w:r/>
      <w:bookmarkEnd w:id="62"/>
      <w:r/>
      <w:bookmarkEnd w:id="63"/>
      <w:r/>
      <w:bookmarkEnd w:id="64"/>
      <w:r/>
      <w:bookmarkEnd w:id="65"/>
      <w:r/>
      <w:bookmarkEnd w:id="66"/>
      <w:r/>
      <w:bookmarkEnd w:id="67"/>
      <w:r/>
      <w:bookmarkEnd w:id="68"/>
      <w:r/>
      <w:bookmarkEnd w:id="69"/>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0" w:name="_Toc1772939203"/>
      <w:r/>
      <w:bookmarkStart w:id="71" w:name="_Toc276302670"/>
      <w:r/>
      <w:bookmarkStart w:id="72" w:name="_Toc28755"/>
      <w:r>
        <w:rPr>
          <w:rFonts w:ascii="宋体" w:hAnsi="宋体"/>
          <w:color w:val="000000" w:themeColor="text1"/>
          <w:sz w:val="24"/>
          <w:highlight w:val="none"/>
          <w14:textFill>
            <w14:solidFill>
              <w14:schemeClr w14:val="tx1"/>
            </w14:solidFill>
          </w14:textFill>
        </w:rPr>
        <w:t xml:space="preserve">1.1 词语定义</w:t>
      </w:r>
      <w:bookmarkEnd w:id="70"/>
      <w:r/>
      <w:bookmarkEnd w:id="71"/>
      <w:r/>
      <w:bookmarkEnd w:id="72"/>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1.1.1合同</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1.1.1.1其他合同文件包括：</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 合同当事人及其他相关方</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1.1.2.1监理人和总监理工程师：</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ascii="宋体" w:hAnsi="宋体"/>
          <w:color w:val="000000" w:themeColor="text1"/>
          <w:sz w:val="24"/>
          <w:highlight w:val="none"/>
          <w:u w:val="single"/>
          <w14:textFill>
            <w14:solidFill>
              <w14:schemeClr w14:val="tx1"/>
            </w14:solidFill>
          </w14:textFill>
        </w:rPr>
        <w:t xml:space="preserve">      ；</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资质类别和等级：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p>
    <w:p>
      <w:pPr>
        <w:pStyle w:val="967"/>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总监理工程师执业资格证书号：</w:t>
      </w:r>
      <w:r>
        <w:rPr>
          <w:rFonts w:ascii="宋体" w:hAnsi="宋体"/>
          <w:color w:val="000000" w:themeColor="text1"/>
          <w:sz w:val="24"/>
          <w:highlight w:val="none"/>
          <w:u w:val="single"/>
          <w14:textFill>
            <w14:solidFill>
              <w14:schemeClr w14:val="tx1"/>
            </w14:solidFill>
          </w14:textFill>
        </w:rPr>
        <w:t xml:space="preserve">         ；</w:t>
      </w:r>
      <w:r/>
    </w:p>
    <w:p>
      <w:pPr>
        <w:pStyle w:val="967"/>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1.1.2.2 设计人和设计项目负责人： </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资质类别和等级：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项目负责人姓名：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 工程和设备</w:t>
      </w:r>
      <w:r/>
    </w:p>
    <w:p>
      <w:pPr>
        <w:pStyle w:val="989"/>
        <w:ind w:right="63"/>
        <w:spacing w:before="1"/>
        <w:tabs>
          <w:tab w:val="left" w:pos="3402" w:leader="none"/>
          <w:tab w:val="left" w:pos="467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1.1.3.1 作为施工现场组成部分的其他场所包括：</w:t>
      </w:r>
      <w:r>
        <w:rPr>
          <w:rFonts w:ascii="宋体" w:hAnsi="宋体"/>
          <w:color w:val="000000" w:themeColor="text1"/>
          <w:sz w:val="24"/>
          <w:highlight w:val="none"/>
          <w:u w:val="single"/>
          <w14:textFill>
            <w14:solidFill>
              <w14:schemeClr w14:val="tx1"/>
            </w14:solidFill>
          </w14:textFill>
        </w:rPr>
        <w:t xml:space="preserve">规划红线范围内</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1.1.3.2 永久占地包括：</w:t>
      </w:r>
      <w:r>
        <w:rPr>
          <w:rFonts w:ascii="宋体" w:hAnsi="宋体"/>
          <w:color w:val="000000" w:themeColor="text1"/>
          <w:sz w:val="24"/>
          <w:highlight w:val="none"/>
          <w:u w:val="single"/>
          <w14:textFill>
            <w14:solidFill>
              <w14:schemeClr w14:val="tx1"/>
            </w14:solidFill>
          </w14:textFill>
        </w:rPr>
        <w:t xml:space="preserve">规划红线范围内</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1.1.3.3 临时占地包括：</w:t>
      </w:r>
      <w:r>
        <w:rPr>
          <w:rFonts w:ascii="宋体" w:hAnsi="宋体"/>
          <w:color w:val="000000" w:themeColor="text1"/>
          <w:sz w:val="24"/>
          <w:highlight w:val="none"/>
          <w:u w:val="single"/>
          <w14:textFill>
            <w14:solidFill>
              <w14:schemeClr w14:val="tx1"/>
            </w14:solidFill>
          </w14:textFill>
        </w:rPr>
        <w:t xml:space="preserve">无</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1.1.3.4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1.1.3.5 绿化工程：是指树木、花卉、草坪、地被植物等的种植工程。</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1.1.3.6绿化养护：</w:t>
      </w:r>
      <w:r>
        <w:rPr>
          <w:rFonts w:ascii="宋体" w:hAnsi="宋体"/>
          <w:color w:val="000000" w:themeColor="text1"/>
          <w:sz w:val="24"/>
          <w:highlight w:val="none"/>
          <w14:textFill>
            <w14:solidFill>
              <w14:schemeClr w14:val="tx1"/>
            </w14:solidFill>
          </w14:textFill>
        </w:rPr>
        <w:t xml:space="preserve">是指对绿地内植物采取的整形修剪、松土除草、灌溉与排水、施肥、有害生物防治、改植与补植、绿地防护（如防台风、防寒）等技术措施。</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1.1.4 日期和期限</w:t>
      </w:r>
      <w:r/>
    </w:p>
    <w:p>
      <w:pPr>
        <w:pStyle w:val="967"/>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1.1.4.1绿化养护期：是指承包人按照合同约定进行绿化养护的期限，从工程竣工验收合格之日起计算。</w:t>
      </w:r>
      <w:r>
        <w:rPr>
          <w:rFonts w:ascii="宋体" w:hAnsi="宋体"/>
          <w:bCs/>
          <w:color w:val="000000" w:themeColor="text1"/>
          <w:sz w:val="24"/>
          <w:highlight w:val="none"/>
          <w14:textFill>
            <w14:solidFill>
              <w14:schemeClr w14:val="tx1"/>
            </w14:solidFill>
          </w14:textFill>
        </w:rPr>
        <w:t xml:space="preserve">绿化养护期最长不得超过24个月。</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3" w:name="_Toc859792571"/>
      <w:r/>
      <w:bookmarkStart w:id="74" w:name="_Toc857078921"/>
      <w:r/>
      <w:bookmarkStart w:id="75" w:name="_Toc28173"/>
      <w:r>
        <w:rPr>
          <w:rFonts w:ascii="宋体" w:hAnsi="宋体"/>
          <w:color w:val="000000" w:themeColor="text1"/>
          <w:sz w:val="24"/>
          <w:highlight w:val="none"/>
          <w14:textFill>
            <w14:solidFill>
              <w14:schemeClr w14:val="tx1"/>
            </w14:solidFill>
          </w14:textFill>
        </w:rPr>
        <w:t xml:space="preserve">1.2法律</w:t>
      </w:r>
      <w:bookmarkEnd w:id="73"/>
      <w:r/>
      <w:bookmarkEnd w:id="74"/>
      <w:r/>
      <w:bookmarkEnd w:id="75"/>
      <w:r/>
      <w:r/>
    </w:p>
    <w:p>
      <w:pPr>
        <w:pStyle w:val="967"/>
        <w:ind w:left="596"/>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适用于合同的其他规范性文件：</w:t>
      </w:r>
      <w:r>
        <w:rPr>
          <w:rFonts w:ascii="宋体" w:hAnsi="宋体"/>
          <w:color w:val="000000" w:themeColor="text1"/>
          <w:sz w:val="24"/>
          <w:highlight w:val="none"/>
          <w:u w:val="single"/>
          <w14:textFill>
            <w14:solidFill>
              <w14:schemeClr w14:val="tx1"/>
            </w14:solidFill>
          </w14:textFill>
        </w:rPr>
        <w:t xml:space="preserve">《中华人民共和国招标投标法》及其他相关法律、法规。</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 w:name="_Toc1984547573"/>
      <w:r/>
      <w:bookmarkStart w:id="77" w:name="_Toc20831"/>
      <w:r/>
      <w:bookmarkStart w:id="78" w:name="_Toc1028117936"/>
      <w:r>
        <w:rPr>
          <w:rFonts w:ascii="宋体" w:hAnsi="宋体"/>
          <w:color w:val="000000" w:themeColor="text1"/>
          <w:sz w:val="24"/>
          <w:highlight w:val="none"/>
          <w14:textFill>
            <w14:solidFill>
              <w14:schemeClr w14:val="tx1"/>
            </w14:solidFill>
          </w14:textFill>
        </w:rPr>
        <w:t xml:space="preserve">1.3 标准和规范</w:t>
      </w:r>
      <w:bookmarkEnd w:id="76"/>
      <w:r/>
      <w:bookmarkEnd w:id="77"/>
      <w:r/>
      <w:bookmarkEnd w:id="78"/>
      <w:r/>
      <w:r/>
    </w:p>
    <w:p>
      <w:pPr>
        <w:pStyle w:val="967"/>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1.3.1适用于工程的标准规范包括：</w:t>
      </w:r>
      <w:r>
        <w:rPr>
          <w:rFonts w:ascii="宋体" w:hAnsi="宋体"/>
          <w:color w:val="000000" w:themeColor="text1"/>
          <w:sz w:val="24"/>
          <w:highlight w:val="none"/>
          <w:u w:val="single"/>
          <w14:textFill>
            <w14:solidFill>
              <w14:schemeClr w14:val="tx1"/>
            </w14:solidFill>
          </w14:textFill>
        </w:rPr>
        <w:t xml:space="preserve">国际规范及地方标准</w:t>
      </w:r>
      <w:r>
        <w:rPr>
          <w:rFonts w:ascii="宋体" w:hAnsi="宋体"/>
          <w:color w:val="000000" w:themeColor="text1"/>
          <w:sz w:val="24"/>
          <w:highlight w:val="none"/>
          <w14:textFill>
            <w14:solidFill>
              <w14:schemeClr w14:val="tx1"/>
            </w14:solidFill>
          </w14:textFill>
        </w:rPr>
        <w:t xml:space="preserve">。</w:t>
      </w:r>
      <w:r/>
    </w:p>
    <w:p>
      <w:pPr>
        <w:pStyle w:val="967"/>
        <w:ind w:left="596"/>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园林绿化工程施工及验收规范（CJJ82）；</w:t>
      </w:r>
      <w:r/>
    </w:p>
    <w:p>
      <w:pPr>
        <w:pStyle w:val="967"/>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园林绿化养护标准（CJJ/T287）；</w:t>
      </w:r>
      <w:r/>
    </w:p>
    <w:p>
      <w:pPr>
        <w:pStyle w:val="967"/>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建设工程工程量清单计价规范（GB50500）；</w:t>
      </w:r>
      <w:r/>
    </w:p>
    <w:p>
      <w:pPr>
        <w:pStyle w:val="967"/>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园林绿化工程工程量计算规范（GB50858）；</w:t>
      </w:r>
      <w:r/>
    </w:p>
    <w:p>
      <w:pPr>
        <w:pStyle w:val="967"/>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与园林绿化行业相关的行业标准、地方标准：</w:t>
      </w:r>
      <w:r/>
    </w:p>
    <w:p>
      <w:pPr>
        <w:pStyle w:val="967"/>
        <w:ind w:left="596"/>
        <w:spacing w:line="360" w:lineRule="auto"/>
        <w:rPr>
          <w:rFonts w:ascii="宋体" w:hAnsi="宋体"/>
          <w:color w:val="000000" w:themeColor="text1"/>
          <w:sz w:val="24"/>
          <w:highlight w:val="none"/>
          <w14:textFill>
            <w14:solidFill>
              <w14:schemeClr w14:val="tx1"/>
            </w14:solidFill>
          </w14:textFill>
        </w:rPr>
      </w:pPr>
      <w:r/>
      <w:bookmarkStart w:id="79" w:name="_Toc2729"/>
      <w:r/>
      <w:bookmarkStart w:id="80" w:name="_Toc29821"/>
      <w:r/>
      <w:bookmarkStart w:id="81" w:name="_Toc1033"/>
      <w:r>
        <w:rPr>
          <w:rFonts w:ascii="宋体" w:hAnsi="宋体"/>
          <w:color w:val="000000" w:themeColor="text1"/>
          <w:sz w:val="24"/>
          <w:highlight w:val="none"/>
          <w14:textFill>
            <w14:solidFill>
              <w14:schemeClr w14:val="tx1"/>
            </w14:solidFill>
          </w14:textFill>
        </w:rPr>
        <w:t xml:space="preserve">1.3.2 发包人提供国外标准、规范的名称：</w:t>
      </w:r>
      <w:bookmarkEnd w:id="79"/>
      <w:r/>
      <w:bookmarkEnd w:id="80"/>
      <w:r/>
      <w:bookmarkEnd w:id="81"/>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发包人提供国外标准、规范的份数：</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1.3.3发包人对工程的技术标准和功能要求的特殊要求：</w:t>
      </w:r>
      <w:r>
        <w:rPr>
          <w:rFonts w:ascii="宋体" w:hAnsi="宋体"/>
          <w:color w:val="000000" w:themeColor="text1"/>
          <w:sz w:val="24"/>
          <w:highlight w:val="none"/>
          <w:u w:val="single"/>
          <w14:textFill>
            <w14:solidFill>
              <w14:schemeClr w14:val="tx1"/>
            </w14:solidFill>
          </w14:textFill>
        </w:rPr>
        <w:t xml:space="preserve">/  。</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2" w:name="_Toc21978"/>
      <w:r/>
      <w:bookmarkStart w:id="83" w:name="_Toc659781100"/>
      <w:r/>
      <w:bookmarkStart w:id="84" w:name="_Toc498019564"/>
      <w:r>
        <w:rPr>
          <w:rFonts w:ascii="宋体" w:hAnsi="宋体"/>
          <w:color w:val="000000" w:themeColor="text1"/>
          <w:sz w:val="24"/>
          <w:highlight w:val="none"/>
          <w14:textFill>
            <w14:solidFill>
              <w14:schemeClr w14:val="tx1"/>
            </w14:solidFill>
          </w14:textFill>
        </w:rPr>
        <w:t xml:space="preserve">1.4 合同文件的优先顺序</w:t>
      </w:r>
      <w:bookmarkEnd w:id="82"/>
      <w:r/>
      <w:bookmarkEnd w:id="83"/>
      <w:r/>
      <w:bookmarkEnd w:id="84"/>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合同文件组成及优先顺序为：</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5" w:name="_Toc1088158122"/>
      <w:r/>
      <w:bookmarkStart w:id="86" w:name="_Toc1984271900"/>
      <w:r/>
      <w:bookmarkStart w:id="87" w:name="_Toc12618"/>
      <w:r>
        <w:rPr>
          <w:rFonts w:ascii="宋体" w:hAnsi="宋体"/>
          <w:color w:val="000000" w:themeColor="text1"/>
          <w:sz w:val="24"/>
          <w:highlight w:val="none"/>
          <w14:textFill>
            <w14:solidFill>
              <w14:schemeClr w14:val="tx1"/>
            </w14:solidFill>
          </w14:textFill>
        </w:rPr>
        <w:t xml:space="preserve">1.5 图纸和承包人文件</w:t>
      </w:r>
      <w:bookmarkEnd w:id="85"/>
      <w:r/>
      <w:bookmarkEnd w:id="86"/>
      <w:r/>
      <w:bookmarkEnd w:id="87"/>
      <w:r>
        <w:rPr>
          <w:rFonts w:ascii="宋体" w:hAnsi="宋体"/>
          <w:color w:val="000000" w:themeColor="text1"/>
          <w:sz w:val="24"/>
          <w:highlight w:val="none"/>
          <w14:textFill>
            <w14:solidFill>
              <w14:schemeClr w14:val="tx1"/>
            </w14:solidFill>
          </w14:textFill>
        </w:rPr>
        <w:tab/>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1.5.1 图纸的提供</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发包人向承包人提供图纸的期限：</w:t>
      </w:r>
      <w:r>
        <w:rPr>
          <w:rFonts w:ascii="宋体" w:hAnsi="宋体"/>
          <w:color w:val="000000" w:themeColor="text1"/>
          <w:sz w:val="24"/>
          <w:highlight w:val="none"/>
          <w:u w:val="single"/>
          <w14:textFill>
            <w14:solidFill>
              <w14:schemeClr w14:val="tx1"/>
            </w14:solidFill>
          </w14:textFill>
        </w:rPr>
        <w:t xml:space="preserve">开工前十四天内</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发包人向承包人提供图纸的数量：</w:t>
      </w:r>
      <w:r>
        <w:rPr>
          <w:rFonts w:ascii="宋体" w:hAnsi="宋体"/>
          <w:color w:val="000000" w:themeColor="text1"/>
          <w:sz w:val="24"/>
          <w:highlight w:val="none"/>
          <w:u w:val="single"/>
          <w14:textFill>
            <w14:solidFill>
              <w14:schemeClr w14:val="tx1"/>
            </w14:solidFill>
          </w14:textFill>
        </w:rPr>
        <w:t xml:space="preserve">壹套</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发包人向承包人提供图纸的内容：</w:t>
      </w:r>
      <w:r>
        <w:rPr>
          <w:rFonts w:ascii="宋体" w:hAnsi="宋体"/>
          <w:color w:val="000000" w:themeColor="text1"/>
          <w:sz w:val="24"/>
          <w:highlight w:val="none"/>
          <w:u w:val="single"/>
          <w14:textFill>
            <w14:solidFill>
              <w14:schemeClr w14:val="tx1"/>
            </w14:solidFill>
          </w14:textFill>
        </w:rPr>
        <w:t xml:space="preserve">全部施工图纸</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 承包人文件</w:t>
      </w:r>
      <w:r/>
    </w:p>
    <w:p>
      <w:pPr>
        <w:pStyle w:val="967"/>
        <w:ind w:left="596"/>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需要由承包人提供的文件，包括：</w:t>
      </w:r>
      <w:r>
        <w:rPr>
          <w:rFonts w:ascii="宋体" w:hAnsi="宋体"/>
          <w:color w:val="000000" w:themeColor="text1"/>
          <w:sz w:val="24"/>
          <w:highlight w:val="none"/>
          <w:u w:val="single"/>
          <w14:textFill>
            <w14:solidFill>
              <w14:schemeClr w14:val="tx1"/>
            </w14:solidFill>
          </w14:textFill>
        </w:rPr>
        <w:t xml:space="preserve">执行补充条款</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承包人提供的文件的期限为：</w:t>
      </w:r>
      <w:r>
        <w:rPr>
          <w:rFonts w:ascii="宋体" w:hAnsi="宋体"/>
          <w:color w:val="000000" w:themeColor="text1"/>
          <w:sz w:val="24"/>
          <w:highlight w:val="none"/>
          <w:u w:val="single"/>
          <w14:textFill>
            <w14:solidFill>
              <w14:schemeClr w14:val="tx1"/>
            </w14:solidFill>
          </w14:textFill>
        </w:rPr>
        <w:t xml:space="preserve">根据合同约定或发包人、监理人要求</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承包人提供的文件的数量为：</w:t>
      </w:r>
      <w:r>
        <w:rPr>
          <w:rFonts w:ascii="宋体" w:hAnsi="宋体"/>
          <w:color w:val="000000" w:themeColor="text1"/>
          <w:sz w:val="24"/>
          <w:highlight w:val="none"/>
          <w:u w:val="single"/>
          <w14:textFill>
            <w14:solidFill>
              <w14:schemeClr w14:val="tx1"/>
            </w14:solidFill>
          </w14:textFill>
        </w:rPr>
        <w:t xml:space="preserve">根据合同约定或发包人、监理人要求</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承包人提供的文件的形式为：</w:t>
      </w:r>
      <w:r>
        <w:rPr>
          <w:rFonts w:ascii="宋体" w:hAnsi="宋体"/>
          <w:color w:val="000000" w:themeColor="text1"/>
          <w:sz w:val="24"/>
          <w:highlight w:val="none"/>
          <w:u w:val="single"/>
          <w14:textFill>
            <w14:solidFill>
              <w14:schemeClr w14:val="tx1"/>
            </w14:solidFill>
          </w14:textFill>
        </w:rPr>
        <w:t xml:space="preserve">书面</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发包人审批承包人文件的期限：</w:t>
      </w:r>
      <w:r>
        <w:rPr>
          <w:rFonts w:ascii="宋体" w:hAnsi="宋体"/>
          <w:color w:val="000000" w:themeColor="text1"/>
          <w:sz w:val="24"/>
          <w:highlight w:val="none"/>
          <w:u w:val="single"/>
          <w14:textFill>
            <w14:solidFill>
              <w14:schemeClr w14:val="tx1"/>
            </w14:solidFill>
          </w14:textFill>
        </w:rPr>
        <w:t xml:space="preserve">收到文件后7天审查完毕</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1.5.3现场图纸准备</w:t>
      </w:r>
      <w:r/>
    </w:p>
    <w:p>
      <w:pPr>
        <w:pStyle w:val="989"/>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关于现场图纸准备的约定：</w:t>
      </w:r>
      <w:r>
        <w:rPr>
          <w:rFonts w:ascii="宋体" w:hAnsi="宋体"/>
          <w:color w:val="000000" w:themeColor="text1"/>
          <w:sz w:val="24"/>
          <w:highlight w:val="none"/>
          <w:u w:val="single"/>
          <w14:textFill>
            <w14:solidFill>
              <w14:schemeClr w14:val="tx1"/>
            </w14:solidFill>
          </w14:textFill>
        </w:rPr>
        <w:t xml:space="preserve">承包人应在施工现场另外保存一套完整的图纸和承包人文件，供发包人、监理人及有关人员进行工程检查时使用，如检查现场资料不完整按5000元/次罚款，乙方同意从工程款中直接扣除</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8" w:name="_Toc13200089"/>
      <w:r/>
      <w:bookmarkStart w:id="89" w:name="_Toc18371"/>
      <w:r/>
      <w:bookmarkStart w:id="90" w:name="_Toc280711937"/>
      <w:r>
        <w:rPr>
          <w:rFonts w:ascii="宋体" w:hAnsi="宋体"/>
          <w:color w:val="000000" w:themeColor="text1"/>
          <w:sz w:val="24"/>
          <w:highlight w:val="none"/>
          <w14:textFill>
            <w14:solidFill>
              <w14:schemeClr w14:val="tx1"/>
            </w14:solidFill>
          </w14:textFill>
        </w:rPr>
        <w:t xml:space="preserve">1.6 联络</w:t>
      </w:r>
      <w:bookmarkEnd w:id="88"/>
      <w:r/>
      <w:bookmarkEnd w:id="89"/>
      <w:r/>
      <w:bookmarkEnd w:id="90"/>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1.6.1发包人和承包人应当在</w:t>
      </w:r>
      <w:r>
        <w:rPr>
          <w:rFonts w:ascii="宋体" w:hAnsi="宋体"/>
          <w:color w:val="000000" w:themeColor="text1"/>
          <w:sz w:val="24"/>
          <w:highlight w:val="none"/>
          <w:u w:val="single"/>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 发包人接收文件的地点：</w:t>
      </w:r>
      <w:r>
        <w:rPr>
          <w:rFonts w:ascii="宋体" w:hAnsi="宋体"/>
          <w:color w:val="000000" w:themeColor="text1"/>
          <w:sz w:val="24"/>
          <w:highlight w:val="none"/>
          <w:u w:val="single"/>
          <w14:textFill>
            <w14:solidFill>
              <w14:schemeClr w14:val="tx1"/>
            </w14:solidFill>
          </w14:textFill>
        </w:rPr>
        <w:t xml:space="preserve">现场工程部</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发包人指定的接收人为：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承包人接收文件的地点：</w:t>
      </w:r>
      <w:r>
        <w:rPr>
          <w:rFonts w:ascii="宋体" w:hAnsi="宋体"/>
          <w:color w:val="000000" w:themeColor="text1"/>
          <w:sz w:val="24"/>
          <w:highlight w:val="none"/>
          <w:u w:val="single"/>
          <w14:textFill>
            <w14:solidFill>
              <w14:schemeClr w14:val="tx1"/>
            </w14:solidFill>
          </w14:textFill>
        </w:rPr>
        <w:t xml:space="preserve">    现场工程部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承包人指定的接收人为：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监理人接收文件的地点：</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监理人指定的接收人为：</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91" w:name="_Toc1023515055"/>
      <w:r/>
      <w:bookmarkStart w:id="92" w:name="_Toc8108"/>
      <w:r/>
      <w:bookmarkStart w:id="93" w:name="_Toc1289155066"/>
      <w:r>
        <w:rPr>
          <w:rFonts w:ascii="宋体" w:hAnsi="宋体"/>
          <w:color w:val="000000" w:themeColor="text1"/>
          <w:sz w:val="24"/>
          <w:highlight w:val="none"/>
          <w14:textFill>
            <w14:solidFill>
              <w14:schemeClr w14:val="tx1"/>
            </w14:solidFill>
          </w14:textFill>
        </w:rPr>
        <w:t xml:space="preserve">1.7 交通运输</w:t>
      </w:r>
      <w:bookmarkEnd w:id="91"/>
      <w:r/>
      <w:bookmarkEnd w:id="92"/>
      <w:r/>
      <w:bookmarkEnd w:id="93"/>
      <w:r/>
      <w:r/>
    </w:p>
    <w:p>
      <w:pPr>
        <w:pStyle w:val="967"/>
        <w:ind w:firstLine="480"/>
        <w:spacing w:line="360" w:lineRule="auto"/>
        <w:rPr>
          <w:rFonts w:ascii="宋体" w:hAnsi="宋体"/>
          <w:color w:val="000000" w:themeColor="text1"/>
          <w:sz w:val="24"/>
          <w:highlight w:val="none"/>
          <w14:textFill>
            <w14:solidFill>
              <w14:schemeClr w14:val="tx1"/>
            </w14:solidFill>
          </w14:textFill>
        </w:rPr>
      </w:pPr>
      <w:r/>
      <w:bookmarkStart w:id="94" w:name="_Toc9787"/>
      <w:r/>
      <w:bookmarkStart w:id="95" w:name="_Toc8013"/>
      <w:r/>
      <w:bookmarkStart w:id="96" w:name="_Toc17087"/>
      <w:r>
        <w:rPr>
          <w:rFonts w:ascii="宋体" w:hAnsi="宋体"/>
          <w:color w:val="000000" w:themeColor="text1"/>
          <w:sz w:val="24"/>
          <w:highlight w:val="none"/>
          <w14:textFill>
            <w14:solidFill>
              <w14:schemeClr w14:val="tx1"/>
            </w14:solidFill>
          </w14:textFill>
        </w:rPr>
        <w:t xml:space="preserve">1</w:t>
      </w:r>
      <w:bookmarkStart w:id="97" w:name="_Toc303539100"/>
      <w:r/>
      <w:bookmarkStart w:id="98" w:name="_Toc318581155"/>
      <w:r/>
      <w:bookmarkStart w:id="99" w:name="_Toc312677986"/>
      <w:r/>
      <w:bookmarkStart w:id="100" w:name="_Toc300934943"/>
      <w:r/>
      <w:bookmarkStart w:id="101" w:name="_Toc304295521"/>
      <w:r>
        <w:rPr>
          <w:rFonts w:ascii="宋体" w:hAnsi="宋体"/>
          <w:color w:val="000000" w:themeColor="text1"/>
          <w:sz w:val="24"/>
          <w:highlight w:val="none"/>
          <w14:textFill>
            <w14:solidFill>
              <w14:schemeClr w14:val="tx1"/>
            </w14:solidFill>
          </w14:textFill>
        </w:rPr>
        <w:t xml:space="preserve">.7.1 出入现场的权利</w:t>
      </w:r>
      <w:bookmarkEnd w:id="94"/>
      <w:r/>
      <w:bookmarkEnd w:id="95"/>
      <w:r/>
      <w:bookmarkEnd w:id="96"/>
      <w:r/>
      <w:r/>
    </w:p>
    <w:p>
      <w:pPr>
        <w:pStyle w:val="989"/>
        <w:ind w:left="63" w:right="63"/>
        <w:jc w:val="left"/>
        <w:spacing w:before="1"/>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关于出入现场的权利的约定：</w:t>
      </w:r>
      <w:r>
        <w:rPr>
          <w:rFonts w:ascii="宋体" w:hAnsi="宋体"/>
          <w:color w:val="000000" w:themeColor="text1"/>
          <w:sz w:val="24"/>
          <w:highlight w:val="none"/>
          <w:u w:val="single"/>
          <w14:textFill>
            <w14:solidFill>
              <w14:schemeClr w14:val="tx1"/>
            </w14:solidFill>
          </w14:textFill>
        </w:rPr>
        <w:t xml:space="preserve">承包人应在签订合同前查勘施工现场，并根据工程规模及技术参数合理预见工程施工所需的进出施工现场的方式、手段、路径等。因承包人未合理预见所增加的费用和（或）延误的工期由承包人承担。</w:t>
      </w:r>
      <w:bookmarkEnd w:id="97"/>
      <w:r/>
      <w:bookmarkEnd w:id="98"/>
      <w:r/>
      <w:bookmarkEnd w:id="99"/>
      <w:r/>
      <w:bookmarkEnd w:id="100"/>
      <w:r/>
      <w:bookmarkEnd w:id="101"/>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bookmarkStart w:id="102" w:name="_Toc30188"/>
      <w:r/>
      <w:bookmarkStart w:id="103" w:name="_Toc4066"/>
      <w:r/>
      <w:bookmarkStart w:id="104" w:name="_Toc3062"/>
      <w:r>
        <w:rPr>
          <w:rFonts w:ascii="宋体" w:hAnsi="宋体"/>
          <w:color w:val="000000" w:themeColor="text1"/>
          <w:sz w:val="24"/>
          <w:highlight w:val="none"/>
          <w14:textFill>
            <w14:solidFill>
              <w14:schemeClr w14:val="tx1"/>
            </w14:solidFill>
          </w14:textFill>
        </w:rPr>
        <w:t xml:space="preserve">1</w:t>
      </w:r>
      <w:bookmarkStart w:id="105" w:name="_Toc303539101"/>
      <w:r/>
      <w:bookmarkStart w:id="106" w:name="_Toc312677987"/>
      <w:r/>
      <w:bookmarkStart w:id="107" w:name="_Toc304295522"/>
      <w:r/>
      <w:bookmarkStart w:id="108" w:name="_Toc300934944"/>
      <w:r/>
      <w:bookmarkStart w:id="109" w:name="_Toc318581156"/>
      <w:r>
        <w:rPr>
          <w:rFonts w:ascii="宋体" w:hAnsi="宋体"/>
          <w:color w:val="000000" w:themeColor="text1"/>
          <w:sz w:val="24"/>
          <w:highlight w:val="none"/>
          <w14:textFill>
            <w14:solidFill>
              <w14:schemeClr w14:val="tx1"/>
            </w14:solidFill>
          </w14:textFill>
        </w:rPr>
        <w:t xml:space="preserve">.7.2场内交通</w:t>
      </w:r>
      <w:bookmarkEnd w:id="102"/>
      <w:r/>
      <w:bookmarkEnd w:id="103"/>
      <w:r/>
      <w:bookmarkEnd w:id="104"/>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关于场外交通和场内交通的边界的约定：</w:t>
      </w:r>
      <w:r>
        <w:rPr>
          <w:rFonts w:ascii="宋体" w:hAnsi="宋体"/>
          <w:color w:val="000000" w:themeColor="text1"/>
          <w:sz w:val="24"/>
          <w:highlight w:val="none"/>
          <w:u w:val="single"/>
          <w14:textFill>
            <w14:solidFill>
              <w14:schemeClr w14:val="tx1"/>
            </w14:solidFill>
          </w14:textFill>
        </w:rPr>
        <w:t xml:space="preserve">临时进场道路与场外公共道路的交界线</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关于发包人向承包人免费提供满足工程施工需要的场内道路和交通设施的约定：</w:t>
      </w:r>
      <w:r>
        <w:rPr>
          <w:rFonts w:ascii="宋体" w:hAnsi="宋体"/>
          <w:color w:val="000000" w:themeColor="text1"/>
          <w:sz w:val="24"/>
          <w:highlight w:val="none"/>
          <w:u w:val="single"/>
          <w14:textFill>
            <w14:solidFill>
              <w14:schemeClr w14:val="tx1"/>
            </w14:solidFill>
          </w14:textFill>
        </w:rPr>
        <w:t xml:space="preserve">发包人没有免费向承包人提供满足工程施工需要的场内道路和交通设施的义务</w:t>
      </w:r>
      <w:r>
        <w:rPr>
          <w:rFonts w:ascii="宋体" w:hAnsi="宋体"/>
          <w:color w:val="000000" w:themeColor="text1"/>
          <w:sz w:val="24"/>
          <w:highlight w:val="none"/>
          <w14:textFill>
            <w14:solidFill>
              <w14:schemeClr w14:val="tx1"/>
            </w14:solidFill>
          </w14:textFill>
        </w:rPr>
        <w:t xml:space="preserve">。</w:t>
      </w:r>
      <w:bookmarkEnd w:id="105"/>
      <w:r/>
      <w:bookmarkEnd w:id="106"/>
      <w:r/>
      <w:bookmarkEnd w:id="107"/>
      <w:r/>
      <w:bookmarkEnd w:id="108"/>
      <w:r/>
      <w:bookmarkEnd w:id="109"/>
      <w:r/>
      <w:bookmarkStart w:id="110" w:name="_Toc318581157"/>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1.7.3超大件和超重件的运输</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运输超大件或超重件所需的道路和桥梁临时加固改造费用和其他有关费用由</w:t>
      </w:r>
      <w:r>
        <w:rPr>
          <w:rFonts w:ascii="宋体" w:hAnsi="宋体"/>
          <w:color w:val="000000" w:themeColor="text1"/>
          <w:sz w:val="24"/>
          <w:highlight w:val="none"/>
          <w:u w:val="single"/>
          <w14:textFill>
            <w14:solidFill>
              <w14:schemeClr w14:val="tx1"/>
            </w14:solidFill>
          </w14:textFill>
        </w:rPr>
        <w:t xml:space="preserve">  承包人  </w:t>
      </w:r>
      <w:r>
        <w:rPr>
          <w:rFonts w:ascii="宋体" w:hAnsi="宋体"/>
          <w:color w:val="000000" w:themeColor="text1"/>
          <w:sz w:val="24"/>
          <w:highlight w:val="none"/>
          <w14:textFill>
            <w14:solidFill>
              <w14:schemeClr w14:val="tx1"/>
            </w14:solidFill>
          </w14:textFill>
        </w:rPr>
        <w:t xml:space="preserve">承担。</w:t>
      </w:r>
      <w:bookmarkEnd w:id="110"/>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11" w:name="_Toc869890155"/>
      <w:r/>
      <w:bookmarkStart w:id="112" w:name="_Toc17638"/>
      <w:r/>
      <w:bookmarkStart w:id="113" w:name="_Toc1760605217"/>
      <w:r>
        <w:rPr>
          <w:rFonts w:ascii="宋体" w:hAnsi="宋体"/>
          <w:color w:val="000000" w:themeColor="text1"/>
          <w:sz w:val="24"/>
          <w:highlight w:val="none"/>
          <w14:textFill>
            <w14:solidFill>
              <w14:schemeClr w14:val="tx1"/>
            </w14:solidFill>
          </w14:textFill>
        </w:rPr>
        <w:t xml:space="preserve">1.8 知识产权</w:t>
      </w:r>
      <w:bookmarkEnd w:id="111"/>
      <w:r/>
      <w:bookmarkEnd w:id="112"/>
      <w:r/>
      <w:bookmarkEnd w:id="113"/>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1.8.1关于发包人提供给承包人的图纸、发包人为实施工程自行编制或委托编制的技术规范以及反映发包人关于合同要求或其他类似性质的文件的著作权的归属：</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967"/>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关于发包人提供的上述文件的使用限制的要求：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967"/>
        <w:ind w:left="596"/>
        <w:spacing w:line="360" w:lineRule="auto"/>
        <w:rPr>
          <w:rFonts w:ascii="宋体" w:hAnsi="宋体"/>
          <w:color w:val="000000" w:themeColor="text1"/>
          <w:sz w:val="24"/>
          <w:highlight w:val="none"/>
          <w14:textFill>
            <w14:solidFill>
              <w14:schemeClr w14:val="tx1"/>
            </w14:solidFill>
          </w14:textFill>
        </w:rPr>
      </w:pPr>
      <w:r/>
      <w:bookmarkStart w:id="114" w:name="_Toc14488"/>
      <w:r/>
      <w:bookmarkStart w:id="115" w:name="_Toc29973"/>
      <w:r/>
      <w:bookmarkStart w:id="116" w:name="_Toc11158"/>
      <w:r>
        <w:rPr>
          <w:rFonts w:ascii="宋体" w:hAnsi="宋体"/>
          <w:color w:val="000000" w:themeColor="text1"/>
          <w:sz w:val="24"/>
          <w:highlight w:val="none"/>
          <w14:textFill>
            <w14:solidFill>
              <w14:schemeClr w14:val="tx1"/>
            </w14:solidFill>
          </w14:textFill>
        </w:rPr>
        <w:t xml:space="preserve">1.8.2 关于承包人为实施工程所编制文件的著作权的归属：</w:t>
      </w:r>
      <w:bookmarkEnd w:id="114"/>
      <w:r/>
      <w:bookmarkEnd w:id="115"/>
      <w:r/>
      <w:bookmarkEnd w:id="116"/>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关于承包人提供的上述文件的使用限制的要求：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bookmarkStart w:id="117" w:name="_Toc13562"/>
      <w:r/>
      <w:bookmarkStart w:id="118" w:name="_Toc4666"/>
      <w:r/>
      <w:bookmarkStart w:id="119" w:name="_Toc22809"/>
      <w:r>
        <w:rPr>
          <w:rFonts w:ascii="宋体" w:hAnsi="宋体"/>
          <w:color w:val="000000" w:themeColor="text1"/>
          <w:sz w:val="24"/>
          <w:highlight w:val="none"/>
          <w14:textFill>
            <w14:solidFill>
              <w14:schemeClr w14:val="tx1"/>
            </w14:solidFill>
          </w14:textFill>
        </w:rPr>
        <w:t xml:space="preserve">1.8.3 承包人在施工过程中所采用的专利、专有技术、技术秘密的使用费的承担方式：</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bookmarkEnd w:id="117"/>
      <w:r/>
      <w:bookmarkEnd w:id="118"/>
      <w:r/>
      <w:bookmarkEnd w:id="119"/>
      <w:r/>
      <w:bookmarkStart w:id="120" w:name="_Toc4484"/>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1.9工程量清单错误的修正</w:t>
      </w:r>
      <w:bookmarkEnd w:id="120"/>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应在合同签订后对发包人提供的工程量清单、图纸和现场进行核查和踏察，如发现差异，应在三天内以书面形式向发包人提出，如未在三日内提出视为无异议；有下列情形之一时，经承包人在三日内提出，发包人应予以修正，并相应调整合同价格：</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出现工程量清单错误时，是否调整合同价格：</w:t>
      </w:r>
      <w:r>
        <w:rPr>
          <w:rFonts w:ascii="宋体" w:hAnsi="宋体"/>
          <w:color w:val="000000" w:themeColor="text1"/>
          <w:sz w:val="24"/>
          <w:highlight w:val="none"/>
          <w:u w:val="single"/>
          <w14:textFill>
            <w14:solidFill>
              <w14:schemeClr w14:val="tx1"/>
            </w14:solidFill>
          </w14:textFill>
        </w:rPr>
        <w:t xml:space="preserve">需经甲方同意后方可调整</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允许调整合同价格的工程量偏差范围：</w:t>
      </w:r>
      <w:r>
        <w:rPr>
          <w:rFonts w:ascii="宋体" w:hAnsi="宋体"/>
          <w:color w:val="000000" w:themeColor="text1"/>
          <w:sz w:val="24"/>
          <w:highlight w:val="none"/>
          <w:u w:val="single"/>
          <w14:textFill>
            <w14:solidFill>
              <w14:schemeClr w14:val="tx1"/>
            </w14:solidFill>
          </w14:textFill>
        </w:rPr>
        <w:t xml:space="preserve">需经甲方同意后，按经招标人认可的实际工程量结算</w:t>
      </w:r>
      <w:r>
        <w:rPr>
          <w:rFonts w:ascii="宋体" w:hAnsi="宋体"/>
          <w:color w:val="000000" w:themeColor="text1"/>
          <w:sz w:val="24"/>
          <w:highlight w:val="none"/>
          <w14:textFill>
            <w14:solidFill>
              <w14:schemeClr w14:val="tx1"/>
            </w14:solidFill>
          </w14:textFill>
        </w:rPr>
        <w:t xml:space="preserve">。</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121" w:name="_Toc2049858434"/>
      <w:r/>
      <w:bookmarkStart w:id="122" w:name="_Toc125523837"/>
      <w:r>
        <w:rPr>
          <w:rFonts w:ascii="宋体" w:hAnsi="宋体" w:eastAsia="宋体"/>
          <w:b w:val="0"/>
          <w:color w:val="000000" w:themeColor="text1"/>
          <w:sz w:val="24"/>
          <w:szCs w:val="24"/>
          <w:highlight w:val="none"/>
          <w14:textFill>
            <w14:solidFill>
              <w14:schemeClr w14:val="tx1"/>
            </w14:solidFill>
          </w14:textFill>
        </w:rPr>
        <w:t xml:space="preserve">2</w:t>
      </w:r>
      <w:bookmarkStart w:id="123" w:name="_Toc296346658"/>
      <w:r/>
      <w:bookmarkStart w:id="124" w:name="_Toc296347156"/>
      <w:r/>
      <w:bookmarkStart w:id="125" w:name="_Toc296891197"/>
      <w:r/>
      <w:bookmarkStart w:id="126" w:name="_Toc296890985"/>
      <w:r/>
      <w:bookmarkStart w:id="127" w:name="_Toc296944496"/>
      <w:r/>
      <w:bookmarkStart w:id="128" w:name="_Toc297048343"/>
      <w:r/>
      <w:bookmarkStart w:id="129" w:name="_Toc292559867"/>
      <w:r/>
      <w:bookmarkStart w:id="130" w:name="_Toc297120457"/>
      <w:r/>
      <w:bookmarkStart w:id="131" w:name="_Toc296503157"/>
      <w:r/>
      <w:bookmarkStart w:id="132" w:name="_Toc292559362"/>
      <w:r>
        <w:rPr>
          <w:rFonts w:ascii="宋体" w:hAnsi="宋体" w:eastAsia="宋体"/>
          <w:b w:val="0"/>
          <w:color w:val="000000" w:themeColor="text1"/>
          <w:sz w:val="24"/>
          <w:szCs w:val="24"/>
          <w:highlight w:val="none"/>
          <w14:textFill>
            <w14:solidFill>
              <w14:schemeClr w14:val="tx1"/>
            </w14:solidFill>
          </w14:textFill>
        </w:rPr>
        <w:t xml:space="preserve">. 发包人</w:t>
      </w:r>
      <w:bookmarkEnd w:id="121"/>
      <w:r/>
      <w:bookmarkEnd w:id="122"/>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33" w:name="_Toc493482386"/>
      <w:r/>
      <w:bookmarkStart w:id="134" w:name="_Toc351203510"/>
      <w:r/>
      <w:bookmarkStart w:id="135" w:name="_Toc1613310203"/>
      <w:r/>
      <w:bookmarkStart w:id="136" w:name="_Toc29214"/>
      <w:r>
        <w:rPr>
          <w:rFonts w:ascii="宋体" w:hAnsi="宋体"/>
          <w:color w:val="000000" w:themeColor="text1"/>
          <w:sz w:val="24"/>
          <w:highlight w:val="none"/>
          <w14:textFill>
            <w14:solidFill>
              <w14:schemeClr w14:val="tx1"/>
            </w14:solidFill>
          </w14:textFill>
        </w:rPr>
        <w:t xml:space="preserve">2.1 许可或批准</w:t>
      </w:r>
      <w:bookmarkEnd w:id="133"/>
      <w:r/>
      <w:bookmarkEnd w:id="134"/>
      <w:r/>
      <w:bookmarkEnd w:id="135"/>
      <w:r/>
      <w:bookmarkEnd w:id="136"/>
      <w:r/>
      <w:r/>
    </w:p>
    <w:p>
      <w:pPr>
        <w:pStyle w:val="967"/>
        <w:ind w:firstLine="480"/>
        <w:spacing w:before="120"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2.1.1根据相关规定提供园林绿化施工所需的许可或批准。</w:t>
      </w:r>
      <w:bookmarkEnd w:id="123"/>
      <w:r/>
      <w:bookmarkEnd w:id="124"/>
      <w:r/>
      <w:bookmarkEnd w:id="125"/>
      <w:r/>
      <w:bookmarkEnd w:id="126"/>
      <w:r/>
      <w:bookmarkEnd w:id="127"/>
      <w:r/>
      <w:bookmarkEnd w:id="128"/>
      <w:r/>
      <w:bookmarkEnd w:id="129"/>
      <w:r/>
      <w:bookmarkEnd w:id="130"/>
      <w:r/>
      <w:bookmarkEnd w:id="131"/>
      <w:r/>
      <w:bookmarkEnd w:id="132"/>
      <w:r/>
      <w:bookmarkStart w:id="137" w:name="_Toc17753"/>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 发包人代表</w:t>
      </w:r>
      <w:bookmarkEnd w:id="137"/>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发包人代表： </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    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    务：</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发包人对发包人代表的授权范围如下：</w:t>
      </w:r>
      <w:r>
        <w:rPr>
          <w:rFonts w:ascii="宋体" w:hAnsi="宋体"/>
          <w:color w:val="000000" w:themeColor="text1"/>
          <w:sz w:val="24"/>
          <w:highlight w:val="none"/>
          <w:u w:val="single"/>
          <w14:textFill>
            <w14:solidFill>
              <w14:schemeClr w14:val="tx1"/>
            </w14:solidFill>
          </w14:textFill>
        </w:rPr>
        <w:t xml:space="preserve">另行授权</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38" w:name="_Toc571308452"/>
      <w:r/>
      <w:bookmarkStart w:id="139" w:name="_Toc26646"/>
      <w:r/>
      <w:bookmarkStart w:id="140" w:name="_Toc1335716241"/>
      <w:r>
        <w:rPr>
          <w:rFonts w:ascii="宋体" w:hAnsi="宋体"/>
          <w:color w:val="000000" w:themeColor="text1"/>
          <w:sz w:val="24"/>
          <w:highlight w:val="none"/>
          <w14:textFill>
            <w14:solidFill>
              <w14:schemeClr w14:val="tx1"/>
            </w14:solidFill>
          </w14:textFill>
        </w:rPr>
        <w:t xml:space="preserve">2.3 施工现场、施工条件和基础资料的提供</w:t>
      </w:r>
      <w:bookmarkEnd w:id="138"/>
      <w:r/>
      <w:bookmarkEnd w:id="139"/>
      <w:r/>
      <w:bookmarkEnd w:id="140"/>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2.3.1 提供施工现场</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关于发包人移交施工现场的期限要求：</w:t>
      </w:r>
      <w:r>
        <w:rPr>
          <w:rFonts w:ascii="宋体" w:hAnsi="宋体"/>
          <w:color w:val="000000" w:themeColor="text1"/>
          <w:sz w:val="24"/>
          <w:highlight w:val="none"/>
          <w:u w:val="single"/>
          <w14:textFill>
            <w14:solidFill>
              <w14:schemeClr w14:val="tx1"/>
            </w14:solidFill>
          </w14:textFill>
        </w:rPr>
        <w:t xml:space="preserve">开工前保证施工现场基本具备开工条件</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2.3.2 提供施工条件</w:t>
      </w:r>
      <w:r/>
    </w:p>
    <w:p>
      <w:pPr>
        <w:pStyle w:val="989"/>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关于发包人应负责提供施工所需要的条件，包括：</w:t>
      </w:r>
      <w:r>
        <w:rPr>
          <w:rFonts w:ascii="宋体" w:hAnsi="宋体"/>
          <w:color w:val="000000" w:themeColor="text1"/>
          <w:sz w:val="24"/>
          <w:highlight w:val="none"/>
          <w:u w:val="single"/>
          <w14:textFill>
            <w14:solidFill>
              <w14:schemeClr w14:val="tx1"/>
            </w14:solidFill>
          </w14:textFill>
        </w:rPr>
        <w:t xml:space="preserve">发包人负责提供电源，由本工程承包人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从水源至施工各用水点的管路安装、布置由承包人负责实施，其安装费、管材、设备购置费及施工过程中发生的所有水费，无论承包人是否在投标报价中单独列支，发包人均认为此项费用包含在投标报价中。</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2.3.3提供基础资料</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发包人还应提供项目施工区域内现状树木一览表、现状土壤指标等。</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41" w:name="_Toc1205484610"/>
      <w:r/>
      <w:bookmarkStart w:id="142" w:name="_Toc981174043"/>
      <w:r/>
      <w:bookmarkStart w:id="143" w:name="_Toc9218"/>
      <w:r>
        <w:rPr>
          <w:rFonts w:ascii="宋体" w:hAnsi="宋体"/>
          <w:color w:val="000000" w:themeColor="text1"/>
          <w:sz w:val="24"/>
          <w:highlight w:val="none"/>
          <w14:textFill>
            <w14:solidFill>
              <w14:schemeClr w14:val="tx1"/>
            </w14:solidFill>
          </w14:textFill>
        </w:rPr>
        <w:t xml:space="preserve">2.4 资金来源证明及支付担保</w:t>
      </w:r>
      <w:bookmarkEnd w:id="141"/>
      <w:r/>
      <w:bookmarkEnd w:id="142"/>
      <w:r/>
      <w:bookmarkEnd w:id="143"/>
      <w:r/>
      <w:r/>
    </w:p>
    <w:p>
      <w:pPr>
        <w:pStyle w:val="967"/>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发包人提供资金来源证明的期限要求：</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p>
    <w:p>
      <w:pPr>
        <w:pStyle w:val="967"/>
        <w:ind w:firstLine="600"/>
        <w:keepLines/>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发包人提供支付担保期限及方式：发包人应在签订合同后</w:t>
      </w:r>
      <w:r>
        <w:rPr>
          <w:rFonts w:ascii="宋体" w:hAnsi="宋体"/>
          <w:color w:val="000000" w:themeColor="text1"/>
          <w:sz w:val="24"/>
          <w:highlight w:val="none"/>
          <w:u w:val="single"/>
          <w14:textFill>
            <w14:solidFill>
              <w14:schemeClr w14:val="tx1"/>
            </w14:solidFill>
          </w14:textFill>
        </w:rPr>
        <w:t xml:space="preserve"> /    </w:t>
      </w:r>
      <w:r/>
    </w:p>
    <w:p>
      <w:pPr>
        <w:pStyle w:val="967"/>
        <w:keepLines/>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天内，向承包人提供工程款支付担保，确保农民工工资按时足额支付。发包人提供支付担保的形式：</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，担保有效期至工程款拨付完成为止（不含质量保证金）。</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144" w:name="_Toc507831889"/>
      <w:r/>
      <w:bookmarkStart w:id="145" w:name="_Toc224169773"/>
      <w:r>
        <w:rPr>
          <w:rFonts w:ascii="宋体" w:hAnsi="宋体" w:eastAsia="宋体"/>
          <w:b w:val="0"/>
          <w:color w:val="000000" w:themeColor="text1"/>
          <w:sz w:val="24"/>
          <w:szCs w:val="24"/>
          <w:highlight w:val="none"/>
          <w14:textFill>
            <w14:solidFill>
              <w14:schemeClr w14:val="tx1"/>
            </w14:solidFill>
          </w14:textFill>
        </w:rPr>
        <w:t xml:space="preserve">3</w:t>
      </w:r>
      <w:bookmarkStart w:id="146" w:name="_Toc297120458"/>
      <w:r/>
      <w:bookmarkStart w:id="147" w:name="_Toc296890986"/>
      <w:r/>
      <w:bookmarkStart w:id="148" w:name="_Toc297048344"/>
      <w:r/>
      <w:bookmarkStart w:id="149" w:name="_Toc296346659"/>
      <w:r/>
      <w:bookmarkStart w:id="150" w:name="_Toc292559363"/>
      <w:r/>
      <w:bookmarkStart w:id="151" w:name="_Toc296891198"/>
      <w:r/>
      <w:bookmarkStart w:id="152" w:name="_Toc296347157"/>
      <w:r/>
      <w:bookmarkStart w:id="153" w:name="_Toc292559868"/>
      <w:r/>
      <w:bookmarkStart w:id="154" w:name="_Toc296944497"/>
      <w:r/>
      <w:bookmarkStart w:id="155" w:name="_Toc296503158"/>
      <w:r>
        <w:rPr>
          <w:rFonts w:ascii="宋体" w:hAnsi="宋体" w:eastAsia="宋体"/>
          <w:b w:val="0"/>
          <w:color w:val="000000" w:themeColor="text1"/>
          <w:sz w:val="24"/>
          <w:szCs w:val="24"/>
          <w:highlight w:val="none"/>
          <w14:textFill>
            <w14:solidFill>
              <w14:schemeClr w14:val="tx1"/>
            </w14:solidFill>
          </w14:textFill>
        </w:rPr>
        <w:t xml:space="preserve">. 承包人</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56" w:name="_Toc19452"/>
      <w:r/>
      <w:bookmarkStart w:id="157" w:name="_Toc1540549183"/>
      <w:r/>
      <w:bookmarkStart w:id="158" w:name="_Toc1604068603"/>
      <w:r>
        <w:rPr>
          <w:rFonts w:ascii="宋体" w:hAnsi="宋体"/>
          <w:color w:val="000000" w:themeColor="text1"/>
          <w:sz w:val="24"/>
          <w:highlight w:val="none"/>
          <w14:textFill>
            <w14:solidFill>
              <w14:schemeClr w14:val="tx1"/>
            </w14:solidFill>
          </w14:textFill>
        </w:rPr>
        <w:t xml:space="preserve">3.1 承包人的一般义务</w:t>
      </w:r>
      <w:bookmarkEnd w:id="156"/>
      <w:r/>
      <w:bookmarkEnd w:id="157"/>
      <w:r/>
      <w:bookmarkEnd w:id="158"/>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（1）承包人提交的竣工资料的内容：</w:t>
      </w:r>
      <w:r>
        <w:rPr>
          <w:rFonts w:ascii="宋体" w:hAnsi="宋体"/>
          <w:color w:val="000000" w:themeColor="text1"/>
          <w:sz w:val="24"/>
          <w:highlight w:val="none"/>
          <w:u w:val="single"/>
          <w14:textFill>
            <w14:solidFill>
              <w14:schemeClr w14:val="tx1"/>
            </w14:solidFill>
          </w14:textFill>
        </w:rPr>
        <w:t xml:space="preserve">提供符合城建档案馆和行政质检监督部门要求的竣工图及竣工资料</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承包人需要提交的竣工资料套数：</w:t>
      </w:r>
      <w:r>
        <w:rPr>
          <w:rFonts w:ascii="宋体" w:hAnsi="宋体"/>
          <w:color w:val="000000" w:themeColor="text1"/>
          <w:sz w:val="24"/>
          <w:highlight w:val="none"/>
          <w:u w:val="single"/>
          <w14:textFill>
            <w14:solidFill>
              <w14:schemeClr w14:val="tx1"/>
            </w14:solidFill>
          </w14:textFill>
        </w:rPr>
        <w:t xml:space="preserve">肆套</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承包人提交的竣工资料的费用承担：</w:t>
      </w:r>
      <w:r>
        <w:rPr>
          <w:rFonts w:ascii="宋体" w:hAnsi="宋体"/>
          <w:color w:val="000000" w:themeColor="text1"/>
          <w:sz w:val="24"/>
          <w:highlight w:val="none"/>
          <w:u w:val="single"/>
          <w14:textFill>
            <w14:solidFill>
              <w14:schemeClr w14:val="tx1"/>
            </w14:solidFill>
          </w14:textFill>
        </w:rPr>
        <w:t xml:space="preserve">承包人承担</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承包人提交的竣工资料移交时间：</w:t>
      </w:r>
      <w:r>
        <w:rPr>
          <w:rFonts w:ascii="宋体" w:hAnsi="宋体"/>
          <w:color w:val="000000" w:themeColor="text1"/>
          <w:sz w:val="24"/>
          <w:highlight w:val="none"/>
          <w:u w:val="single"/>
          <w14:textFill>
            <w14:solidFill>
              <w14:schemeClr w14:val="tx1"/>
            </w14:solidFill>
          </w14:textFill>
        </w:rPr>
        <w:t xml:space="preserve">工程竣工验收合格后15日内</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承包人提交的竣工资料形式要求：</w:t>
      </w:r>
      <w:r>
        <w:rPr>
          <w:rFonts w:ascii="宋体" w:hAnsi="宋体"/>
          <w:color w:val="000000" w:themeColor="text1"/>
          <w:sz w:val="24"/>
          <w:highlight w:val="none"/>
          <w:u w:val="single"/>
          <w14:textFill>
            <w14:solidFill>
              <w14:schemeClr w14:val="tx1"/>
            </w14:solidFill>
          </w14:textFill>
        </w:rPr>
        <w:t xml:space="preserve">电子文档及书面</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（2）承包人应履行的其他义务：</w:t>
      </w:r>
      <w:r>
        <w:rPr>
          <w:rFonts w:ascii="宋体" w:hAnsi="宋体"/>
          <w:color w:val="000000" w:themeColor="text1"/>
          <w:sz w:val="24"/>
          <w:highlight w:val="none"/>
          <w:u w:val="single"/>
          <w14:textFill>
            <w14:solidFill>
              <w14:schemeClr w14:val="tx1"/>
            </w14:solidFill>
          </w14:textFill>
        </w:rPr>
        <w:t xml:space="preserve">承包人应保证所提供的资料符合档案管理归档要求，经发包人确认不符合的，影响工程验收的按工程总价款的0.05%向发包人支付违约金，并在5日内补齐有关资料；若承包人不能或无法提供符合档案管理归档要求的资料，发包人拒不结算，拒不验收。</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59" w:name="_Toc12983"/>
      <w:r/>
      <w:bookmarkStart w:id="160" w:name="_Toc324146790"/>
      <w:r/>
      <w:bookmarkStart w:id="161" w:name="_Toc1559532044"/>
      <w:r>
        <w:rPr>
          <w:rFonts w:ascii="宋体" w:hAnsi="宋体"/>
          <w:color w:val="000000" w:themeColor="text1"/>
          <w:sz w:val="24"/>
          <w:highlight w:val="none"/>
          <w14:textFill>
            <w14:solidFill>
              <w14:schemeClr w14:val="tx1"/>
            </w14:solidFill>
          </w14:textFill>
        </w:rPr>
        <w:t xml:space="preserve">3.2 项目经理</w:t>
      </w:r>
      <w:bookmarkEnd w:id="159"/>
      <w:r/>
      <w:bookmarkEnd w:id="160"/>
      <w:r/>
      <w:bookmarkEnd w:id="161"/>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3.2.1 项目负责人：</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    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相关证书及编号：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承包人对项目负责人的授权范围如下：。</w:t>
      </w:r>
      <w:r/>
    </w:p>
    <w:p>
      <w:pPr>
        <w:pStyle w:val="989"/>
        <w:ind w:left="63" w:right="63"/>
        <w:jc w:val="left"/>
        <w:spacing w:before="1"/>
        <w:tabs>
          <w:tab w:val="left" w:pos="4787"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关于项目负责人每月在施工现场的时间要求：</w:t>
      </w:r>
      <w:r>
        <w:rPr>
          <w:rFonts w:ascii="宋体" w:hAnsi="宋体"/>
          <w:color w:val="000000" w:themeColor="text1"/>
          <w:sz w:val="24"/>
          <w:highlight w:val="none"/>
          <w:u w:val="single"/>
          <w14:textFill>
            <w14:solidFill>
              <w14:schemeClr w14:val="tx1"/>
            </w14:solidFill>
          </w14:textFill>
        </w:rPr>
        <w:t xml:space="preserve">每天在现场时间不得少于8小时，每周不少于5天，否则支付 5000元/天的违约金；项目经理未经招标人批准不参加工程例会，每次需支付 5000违约金，连续不参加工程例会的，从第三次起每次需支付 50000元违约金；上述违约金从履约保证金中扣除。</w:t>
      </w:r>
      <w:r/>
    </w:p>
    <w:p>
      <w:pPr>
        <w:pStyle w:val="989"/>
        <w:ind w:left="63" w:right="63"/>
        <w:jc w:val="left"/>
        <w:spacing w:before="78"/>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承包人未提交劳动合同，以及没有为项目负责人缴纳社会保险证明的违约责任：</w:t>
      </w:r>
      <w:r>
        <w:rPr>
          <w:rFonts w:ascii="宋体" w:hAnsi="宋体"/>
          <w:color w:val="000000" w:themeColor="text1"/>
          <w:sz w:val="24"/>
          <w:highlight w:val="none"/>
          <w:u w:val="single"/>
          <w14:textFill>
            <w14:solidFill>
              <w14:schemeClr w14:val="tx1"/>
            </w14:solidFill>
          </w14:textFill>
        </w:rPr>
        <w:t xml:space="preserve">项目经理无权履行职责，发包人有权要求更换项目经理，由此增加的费用和（或）延误的工期由承包人承担。</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项目负责人未经批准，擅自离开施工现场的违约责任：</w:t>
      </w:r>
      <w:r>
        <w:rPr>
          <w:rFonts w:ascii="宋体" w:hAnsi="宋体"/>
          <w:color w:val="000000" w:themeColor="text1"/>
          <w:sz w:val="24"/>
          <w:highlight w:val="none"/>
          <w:u w:val="single"/>
          <w14:textFill>
            <w14:solidFill>
              <w14:schemeClr w14:val="tx1"/>
            </w14:solidFill>
          </w14:textFill>
        </w:rPr>
        <w:t xml:space="preserve">项目经理连续一周不到施工现场的，发包人有权单方解除合同，清理承包人出场，报建筑主管部门后更换承包人，且不承担任何责任</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before="1"/>
        <w:tabs>
          <w:tab w:val="left" w:pos="74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3.2.2 承包人擅自更换项目负责人的违约责任：</w:t>
      </w:r>
      <w:r>
        <w:rPr>
          <w:rFonts w:ascii="宋体" w:hAnsi="宋体"/>
          <w:color w:val="000000" w:themeColor="text1"/>
          <w:sz w:val="24"/>
          <w:highlight w:val="none"/>
          <w:u w:val="single"/>
          <w14:textFill>
            <w14:solidFill>
              <w14:schemeClr w14:val="tx1"/>
            </w14:solidFill>
          </w14:textFill>
        </w:rPr>
        <w:t xml:space="preserve">项目经理非正当原因未经发包人同意不得更换，否则需按照合同金额的 5%向发包人支付违约金，承包人擅自更换项目负责人两次的，发包人有权单方解除合同，清理承包人出场，报建筑主管部门后更换承包人，且不承担任何责任。</w:t>
      </w:r>
      <w:r/>
    </w:p>
    <w:p>
      <w:pPr>
        <w:pStyle w:val="967"/>
        <w:ind w:firstLine="60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3.2.3 承包人无正当理由拒绝更换项目负责人的违约责任：</w:t>
      </w:r>
      <w:r>
        <w:rPr>
          <w:rFonts w:ascii="宋体" w:hAnsi="宋体"/>
          <w:color w:val="000000" w:themeColor="text1"/>
          <w:sz w:val="24"/>
          <w:highlight w:val="none"/>
          <w:u w:val="single"/>
          <w14:textFill>
            <w14:solidFill>
              <w14:schemeClr w14:val="tx1"/>
            </w14:solidFill>
          </w14:textFill>
        </w:rPr>
        <w:t xml:space="preserve">100000元/次违约金</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62" w:name="_Toc1073182267"/>
      <w:r/>
      <w:bookmarkStart w:id="163" w:name="_Toc7876"/>
      <w:r/>
      <w:bookmarkStart w:id="164" w:name="_Toc1539542666"/>
      <w:r>
        <w:rPr>
          <w:rFonts w:ascii="宋体" w:hAnsi="宋体"/>
          <w:color w:val="000000" w:themeColor="text1"/>
          <w:sz w:val="24"/>
          <w:highlight w:val="none"/>
          <w14:textFill>
            <w14:solidFill>
              <w14:schemeClr w14:val="tx1"/>
            </w14:solidFill>
          </w14:textFill>
        </w:rPr>
        <w:t xml:space="preserve">3.3 承包人人员</w:t>
      </w:r>
      <w:bookmarkEnd w:id="162"/>
      <w:r/>
      <w:bookmarkEnd w:id="163"/>
      <w:r/>
      <w:bookmarkEnd w:id="164"/>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3.3.1 承包人提交项目管理机构及施工现场管理人员安排报告的期限：</w:t>
      </w:r>
      <w:r>
        <w:rPr>
          <w:rFonts w:ascii="宋体" w:hAnsi="宋体"/>
          <w:color w:val="000000" w:themeColor="text1"/>
          <w:sz w:val="24"/>
          <w:highlight w:val="none"/>
          <w:u w:val="single"/>
          <w14:textFill>
            <w14:solidFill>
              <w14:schemeClr w14:val="tx1"/>
            </w14:solidFill>
          </w14:textFill>
        </w:rPr>
        <w:t xml:space="preserve">开工前3天</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3.3.2 承包人无正当理由拒绝撤换主要施工管理人员的违约责任：</w:t>
      </w:r>
      <w:r>
        <w:rPr>
          <w:rFonts w:ascii="宋体" w:hAnsi="宋体"/>
          <w:color w:val="000000" w:themeColor="text1"/>
          <w:sz w:val="24"/>
          <w:highlight w:val="none"/>
          <w:u w:val="single"/>
          <w14:textFill>
            <w14:solidFill>
              <w14:schemeClr w14:val="tx1"/>
            </w14:solidFill>
          </w14:textFill>
        </w:rPr>
        <w:t xml:space="preserve">每天每人支付发包人1000元违约金</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3.3.3 承包人主要施工管理人员离开施工现场的批准要求：</w:t>
      </w:r>
      <w:r>
        <w:rPr>
          <w:rFonts w:ascii="宋体" w:hAnsi="宋体"/>
          <w:color w:val="000000" w:themeColor="text1"/>
          <w:sz w:val="24"/>
          <w:highlight w:val="none"/>
          <w:u w:val="single"/>
          <w14:textFill>
            <w14:solidFill>
              <w14:schemeClr w14:val="tx1"/>
            </w14:solidFill>
          </w14:textFill>
        </w:rPr>
        <w:t xml:space="preserve">经发包人同意方可离开，否则处以每人/次1000元并承担违约责任。</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3.3.4承包人擅自更换主要施工管理人员的违约责任：</w:t>
      </w:r>
      <w:r>
        <w:rPr>
          <w:rFonts w:ascii="宋体" w:hAnsi="宋体"/>
          <w:color w:val="000000" w:themeColor="text1"/>
          <w:sz w:val="24"/>
          <w:highlight w:val="none"/>
          <w:u w:val="single"/>
          <w14:textFill>
            <w14:solidFill>
              <w14:schemeClr w14:val="tx1"/>
            </w14:solidFill>
          </w14:textFill>
        </w:rPr>
        <w:t xml:space="preserve">无故不得更换，所造成的一切损失由承包人承担。</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承包人主要施工管理人员擅自离开施工现场的违约责任：</w:t>
      </w:r>
      <w:r>
        <w:rPr>
          <w:rFonts w:ascii="宋体" w:hAnsi="宋体"/>
          <w:color w:val="000000" w:themeColor="text1"/>
          <w:sz w:val="24"/>
          <w:highlight w:val="none"/>
          <w:u w:val="single"/>
          <w14:textFill>
            <w14:solidFill>
              <w14:schemeClr w14:val="tx1"/>
            </w14:solidFill>
          </w14:textFill>
        </w:rPr>
        <w:t xml:space="preserve">每人/次1000元并承担违约责任。</w:t>
      </w:r>
      <w:r/>
    </w:p>
    <w:p>
      <w:pPr>
        <w:pStyle w:val="967"/>
        <w:ind w:firstLine="600"/>
        <w:spacing w:line="360" w:lineRule="auto"/>
        <w:rPr>
          <w:rFonts w:ascii="宋体" w:hAnsi="宋体"/>
          <w:color w:val="000000" w:themeColor="text1"/>
          <w:sz w:val="24"/>
          <w:highlight w:val="none"/>
          <w14:textFill>
            <w14:solidFill>
              <w14:schemeClr w14:val="tx1"/>
            </w14:solidFill>
          </w14:textFill>
        </w:rPr>
      </w:pPr>
      <w:r/>
      <w:bookmarkStart w:id="165" w:name="_Toc824057593"/>
      <w:r/>
      <w:bookmarkStart w:id="166" w:name="_Toc1011775723"/>
      <w:r/>
      <w:bookmarkStart w:id="167" w:name="_Toc29840"/>
      <w:r>
        <w:rPr>
          <w:rFonts w:ascii="宋体" w:hAnsi="宋体"/>
          <w:color w:val="000000" w:themeColor="text1"/>
          <w:sz w:val="24"/>
          <w:highlight w:val="none"/>
          <w14:textFill>
            <w14:solidFill>
              <w14:schemeClr w14:val="tx1"/>
            </w14:solidFill>
          </w14:textFill>
        </w:rPr>
        <w:t xml:space="preserve">3.3.5 技术负责人</w:t>
      </w:r>
      <w:r/>
    </w:p>
    <w:p>
      <w:pPr>
        <w:pStyle w:val="967"/>
        <w:ind w:firstLine="600"/>
        <w:spacing w:line="48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60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专业：</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；职称等级：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3</w:t>
      </w:r>
      <w:bookmarkStart w:id="168" w:name="_Toc292559869"/>
      <w:r/>
      <w:bookmarkStart w:id="169" w:name="_Toc300934945"/>
      <w:r/>
      <w:bookmarkStart w:id="170" w:name="_Toc304295523"/>
      <w:r/>
      <w:bookmarkStart w:id="171" w:name="_Toc296347158"/>
      <w:r/>
      <w:bookmarkStart w:id="172" w:name="_Toc296503159"/>
      <w:r/>
      <w:bookmarkStart w:id="173" w:name="_Toc292559364"/>
      <w:r/>
      <w:bookmarkStart w:id="174" w:name="_Toc297120459"/>
      <w:r/>
      <w:bookmarkStart w:id="175" w:name="_Toc296891199"/>
      <w:r/>
      <w:bookmarkStart w:id="176" w:name="_Toc296944498"/>
      <w:r/>
      <w:bookmarkStart w:id="177" w:name="_Toc303539102"/>
      <w:r/>
      <w:bookmarkStart w:id="178" w:name="_Toc297123492"/>
      <w:r/>
      <w:bookmarkStart w:id="179" w:name="_Toc296890987"/>
      <w:r/>
      <w:bookmarkStart w:id="180" w:name="_Toc297216151"/>
      <w:r/>
      <w:bookmarkStart w:id="181" w:name="_Toc296346660"/>
      <w:r/>
      <w:bookmarkStart w:id="182" w:name="_Toc312677988"/>
      <w:r/>
      <w:bookmarkStart w:id="183" w:name="_Toc297048345"/>
      <w:r>
        <w:rPr>
          <w:rFonts w:ascii="宋体" w:hAnsi="宋体"/>
          <w:color w:val="000000" w:themeColor="text1"/>
          <w:sz w:val="24"/>
          <w:highlight w:val="none"/>
          <w14:textFill>
            <w14:solidFill>
              <w14:schemeClr w14:val="tx1"/>
            </w14:solidFill>
          </w14:textFill>
        </w:rPr>
        <w:t xml:space="preserve">.4 分包</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bookmarkStart w:id="184" w:name="_Toc292559870"/>
      <w:r/>
      <w:bookmarkStart w:id="185" w:name="_Toc303539103"/>
      <w:r/>
      <w:bookmarkStart w:id="186" w:name="_Toc296944499"/>
      <w:r/>
      <w:bookmarkStart w:id="187" w:name="_Toc297120460"/>
      <w:r/>
      <w:bookmarkStart w:id="188" w:name="_Toc296891200"/>
      <w:r/>
      <w:bookmarkStart w:id="189" w:name="_Toc296346661"/>
      <w:r/>
      <w:bookmarkStart w:id="190" w:name="_Toc318581158"/>
      <w:r/>
      <w:bookmarkStart w:id="191" w:name="_Toc300934946"/>
      <w:r/>
      <w:bookmarkStart w:id="192" w:name="_Toc296890988"/>
      <w:r/>
      <w:bookmarkStart w:id="193" w:name="_Toc312677989"/>
      <w:r/>
      <w:bookmarkStart w:id="194" w:name="_Toc297123493"/>
      <w:r/>
      <w:bookmarkStart w:id="195" w:name="_Toc297048346"/>
      <w:r/>
      <w:bookmarkStart w:id="196" w:name="_Toc304295524"/>
      <w:r/>
      <w:bookmarkStart w:id="197" w:name="_Toc292559365"/>
      <w:r/>
      <w:bookmarkStart w:id="198" w:name="_Toc296347159"/>
      <w:r/>
      <w:bookmarkStart w:id="199" w:name="_Toc297216152"/>
      <w:r/>
      <w:bookmarkStart w:id="200" w:name="_Toc296503160"/>
      <w:r>
        <w:rPr>
          <w:rFonts w:ascii="宋体" w:hAnsi="宋体"/>
          <w:color w:val="000000" w:themeColor="text1"/>
          <w:sz w:val="24"/>
          <w:highlight w:val="none"/>
          <w14:textFill>
            <w14:solidFill>
              <w14:schemeClr w14:val="tx1"/>
            </w14:solidFill>
          </w14:textFill>
        </w:rPr>
        <w:t xml:space="preserve">.4.1 分包的一般约定</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禁止分包的工程包括：</w:t>
      </w:r>
      <w:r>
        <w:rPr>
          <w:rFonts w:ascii="宋体" w:hAnsi="宋体"/>
          <w:color w:val="000000" w:themeColor="text1"/>
          <w:sz w:val="24"/>
          <w:highlight w:val="none"/>
          <w:u w:val="single"/>
          <w14:textFill>
            <w14:solidFill>
              <w14:schemeClr w14:val="tx1"/>
            </w14:solidFill>
          </w14:textFill>
        </w:rPr>
        <w:t xml:space="preserve">  本工程</w:t>
      </w:r>
      <w:r>
        <w:rPr>
          <w:rFonts w:hint="eastAsia" w:ascii="宋体" w:hAnsi="宋体"/>
          <w:color w:val="000000" w:themeColor="text1"/>
          <w:sz w:val="24"/>
          <w:highlight w:val="none"/>
          <w:u w:val="single"/>
          <w14:textFill>
            <w14:solidFill>
              <w14:schemeClr w14:val="tx1"/>
            </w14:solidFill>
          </w14:textFill>
        </w:rPr>
        <w:t xml:space="preserve">需发包人同意后</w:t>
      </w:r>
      <w:r>
        <w:rPr>
          <w:rFonts w:ascii="宋体" w:hAnsi="宋体"/>
          <w:color w:val="000000" w:themeColor="text1"/>
          <w:sz w:val="24"/>
          <w:highlight w:val="none"/>
          <w:u w:val="single"/>
          <w14:textFill>
            <w14:solidFill>
              <w14:schemeClr w14:val="tx1"/>
            </w14:solidFill>
          </w14:textFill>
        </w:rPr>
        <w:t xml:space="preserve">分包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主体结构、关键性工作的范围：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Start w:id="201" w:name="_Toc300934947"/>
      <w:r/>
      <w:bookmarkEnd w:id="201"/>
      <w:r/>
      <w:bookmarkStart w:id="202" w:name="_Toc303539104"/>
      <w:r/>
      <w:bookmarkEnd w:id="202"/>
      <w:r/>
      <w:bookmarkStart w:id="203" w:name="_Toc297216153"/>
      <w:r/>
      <w:bookmarkEnd w:id="203"/>
      <w:r/>
      <w:bookmarkStart w:id="204" w:name="_Toc297123494"/>
      <w:r/>
      <w:bookmarkEnd w:id="204"/>
      <w:r/>
      <w:bookmarkStart w:id="205" w:name="_Toc296890989"/>
      <w:r/>
      <w:bookmarkEnd w:id="205"/>
      <w:r/>
      <w:bookmarkStart w:id="206" w:name="_Toc296944500"/>
      <w:r/>
      <w:bookmarkEnd w:id="206"/>
      <w:r/>
      <w:bookmarkStart w:id="207" w:name="_Toc296503161"/>
      <w:r/>
      <w:bookmarkEnd w:id="207"/>
      <w:r/>
      <w:bookmarkStart w:id="208" w:name="_Toc297048347"/>
      <w:r/>
      <w:bookmarkEnd w:id="208"/>
      <w:r/>
      <w:bookmarkStart w:id="209" w:name="_Toc304295525"/>
      <w:r/>
      <w:bookmarkEnd w:id="209"/>
      <w:r/>
      <w:bookmarkStart w:id="210" w:name="_Toc296347160"/>
      <w:r/>
      <w:bookmarkEnd w:id="210"/>
      <w:r/>
      <w:bookmarkStart w:id="211" w:name="_Toc296346662"/>
      <w:r/>
      <w:bookmarkEnd w:id="211"/>
      <w:r/>
      <w:bookmarkStart w:id="212" w:name="_Toc297120461"/>
      <w:r/>
      <w:bookmarkEnd w:id="212"/>
      <w:r/>
      <w:bookmarkStart w:id="213" w:name="_Toc296891201"/>
      <w:r/>
      <w:bookmarkEnd w:id="213"/>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3</w:t>
      </w:r>
      <w:bookmarkStart w:id="214" w:name="_Toc318581159"/>
      <w:r/>
      <w:bookmarkStart w:id="215" w:name="_Toc312677990"/>
      <w:r>
        <w:rPr>
          <w:rFonts w:ascii="宋体" w:hAnsi="宋体"/>
          <w:color w:val="000000" w:themeColor="text1"/>
          <w:sz w:val="24"/>
          <w:highlight w:val="none"/>
          <w14:textFill>
            <w14:solidFill>
              <w14:schemeClr w14:val="tx1"/>
            </w14:solidFill>
          </w14:textFill>
        </w:rPr>
        <w:t xml:space="preserve">.4.2分包的确定</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允许分包的专业工程包括：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涉及分包的工程内容，分包工程承包人的资格应符合国家相关规定。</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其他关于分包的约定：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3.4.3 分包合同价款</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关于分包合同价款支付的约定：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214"/>
      <w:r/>
      <w:bookmarkEnd w:id="215"/>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16" w:name="_Toc1754831627"/>
      <w:r/>
      <w:bookmarkStart w:id="217" w:name="_Toc1926667033"/>
      <w:r/>
      <w:bookmarkStart w:id="218" w:name="_Toc30018"/>
      <w:r>
        <w:rPr>
          <w:rFonts w:ascii="宋体" w:hAnsi="宋体"/>
          <w:color w:val="000000" w:themeColor="text1"/>
          <w:sz w:val="24"/>
          <w:highlight w:val="none"/>
          <w14:textFill>
            <w14:solidFill>
              <w14:schemeClr w14:val="tx1"/>
            </w14:solidFill>
          </w14:textFill>
        </w:rPr>
        <w:t xml:space="preserve">3.5工程照管与成品、半成品保护</w:t>
      </w:r>
      <w:bookmarkEnd w:id="216"/>
      <w:r/>
      <w:bookmarkEnd w:id="217"/>
      <w:r/>
      <w:bookmarkEnd w:id="218"/>
      <w:r/>
      <w:r/>
    </w:p>
    <w:p>
      <w:pPr>
        <w:pStyle w:val="967"/>
        <w:ind w:firstLine="480"/>
        <w:spacing w:before="120" w:after="120"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3.5.1承包人负责照管工程及工程相关的材料、工程设备的起始时间：</w:t>
      </w:r>
      <w:r>
        <w:rPr>
          <w:rFonts w:ascii="宋体" w:hAnsi="宋体"/>
          <w:color w:val="000000" w:themeColor="text1"/>
          <w:sz w:val="24"/>
          <w:highlight w:val="none"/>
          <w:u w:val="single"/>
          <w14:textFill>
            <w14:solidFill>
              <w14:schemeClr w14:val="tx1"/>
            </w14:solidFill>
          </w14:textFill>
        </w:rPr>
        <w:t xml:space="preserve">从工程开工至发包人同意交付使用，在此期间承包人负责照管工程。</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3.5.2 现状树木的保护起始时间：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3.6 履约担保</w:t>
      </w:r>
      <w:r/>
    </w:p>
    <w:p>
      <w:pPr>
        <w:pStyle w:val="967"/>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承包人是否提供履约担保：</w:t>
      </w:r>
      <w:r>
        <w:rPr>
          <w:rFonts w:ascii="宋体" w:hAnsi="宋体"/>
          <w:color w:val="000000" w:themeColor="text1"/>
          <w:sz w:val="24"/>
          <w:highlight w:val="none"/>
          <w:u w:val="single"/>
          <w14:textFill>
            <w14:solidFill>
              <w14:schemeClr w14:val="tx1"/>
            </w14:solidFill>
          </w14:textFill>
        </w:rPr>
        <w:t xml:space="preserve">提供</w:t>
      </w:r>
      <w:r>
        <w:rPr>
          <w:rFonts w:ascii="宋体" w:hAnsi="宋体"/>
          <w:color w:val="000000" w:themeColor="text1"/>
          <w:sz w:val="24"/>
          <w:highlight w:val="none"/>
          <w14:textFill>
            <w14:solidFill>
              <w14:schemeClr w14:val="tx1"/>
            </w14:solidFill>
          </w14:textFill>
        </w:rPr>
        <w:t xml:space="preserve">。本款补充：</w:t>
      </w:r>
      <w:r/>
    </w:p>
    <w:p>
      <w:pPr>
        <w:pStyle w:val="989"/>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履约担保金额及方式：</w:t>
      </w:r>
      <w:r>
        <w:rPr>
          <w:rFonts w:ascii="宋体" w:hAnsi="宋体"/>
          <w:color w:val="000000" w:themeColor="text1"/>
          <w:sz w:val="24"/>
          <w:highlight w:val="none"/>
          <w:u w:val="single"/>
          <w14:textFill>
            <w14:solidFill>
              <w14:schemeClr w14:val="tx1"/>
            </w14:solidFill>
          </w14:textFill>
        </w:rPr>
        <w:t xml:space="preserve">承包人提供履约担保的形式、金额及期限：履约保证金的形式：网银、银行电汇或者银行保函；履约保证金的金额：中标价的 10%。投标人在收到中标通知书领取通知后，须在 10 个工作日内向招标人足额提交履约保证金，否则招标人可以取消其中标资格。履约保证金的返还：待工程竣工验收合格后一次性无息返还履约保证金或退还履约保函。</w:t>
      </w:r>
      <w:r>
        <w:rPr>
          <w:rFonts w:ascii="宋体" w:hAnsi="宋体"/>
          <w:color w:val="000000" w:themeColor="text1"/>
          <w:sz w:val="24"/>
          <w:highlight w:val="none"/>
          <w14:textFill>
            <w14:solidFill>
              <w14:schemeClr w14:val="tx1"/>
            </w14:solidFill>
          </w14:textFill>
        </w:rPr>
        <w:t xml:space="preserve">履约担保的有效期至本工程竣工验收合格为止。</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19" w:name="_Toc2142794716"/>
      <w:r/>
      <w:bookmarkStart w:id="220" w:name="_Toc1195865979"/>
      <w:r>
        <w:rPr>
          <w:rFonts w:ascii="宋体" w:hAnsi="宋体" w:eastAsia="宋体"/>
          <w:b w:val="0"/>
          <w:color w:val="000000" w:themeColor="text1"/>
          <w:sz w:val="24"/>
          <w:szCs w:val="24"/>
          <w:highlight w:val="none"/>
          <w14:textFill>
            <w14:solidFill>
              <w14:schemeClr w14:val="tx1"/>
            </w14:solidFill>
          </w14:textFill>
        </w:rPr>
        <w:t xml:space="preserve">4</w:t>
      </w:r>
      <w:bookmarkStart w:id="221" w:name="_Toc292559366"/>
      <w:r/>
      <w:bookmarkStart w:id="222" w:name="_Toc297120462"/>
      <w:r/>
      <w:bookmarkStart w:id="223" w:name="_Toc296347161"/>
      <w:r/>
      <w:bookmarkStart w:id="224" w:name="_Toc292559871"/>
      <w:r/>
      <w:bookmarkStart w:id="225" w:name="_Toc296503162"/>
      <w:r/>
      <w:bookmarkStart w:id="226" w:name="_Toc297048348"/>
      <w:r/>
      <w:bookmarkStart w:id="227" w:name="_Toc267251413"/>
      <w:r/>
      <w:bookmarkStart w:id="228" w:name="_Toc296891202"/>
      <w:r/>
      <w:bookmarkStart w:id="229" w:name="_Toc296944501"/>
      <w:r/>
      <w:bookmarkStart w:id="230" w:name="_Toc296346663"/>
      <w:r/>
      <w:bookmarkStart w:id="231" w:name="_Toc296890990"/>
      <w:r>
        <w:rPr>
          <w:rFonts w:ascii="宋体" w:hAnsi="宋体" w:eastAsia="宋体"/>
          <w:b w:val="0"/>
          <w:color w:val="000000" w:themeColor="text1"/>
          <w:sz w:val="24"/>
          <w:szCs w:val="24"/>
          <w:highlight w:val="none"/>
          <w14:textFill>
            <w14:solidFill>
              <w14:schemeClr w14:val="tx1"/>
            </w14:solidFill>
          </w14:textFill>
        </w:rPr>
        <w:t xml:space="preserve">. 监</w:t>
      </w:r>
      <w:bookmarkEnd w:id="221"/>
      <w:r/>
      <w:bookmarkEnd w:id="222"/>
      <w:r/>
      <w:bookmarkEnd w:id="223"/>
      <w:r/>
      <w:bookmarkEnd w:id="224"/>
      <w:r/>
      <w:bookmarkEnd w:id="225"/>
      <w:r/>
      <w:bookmarkEnd w:id="226"/>
      <w:r/>
      <w:bookmarkEnd w:id="227"/>
      <w:r/>
      <w:bookmarkEnd w:id="228"/>
      <w:r/>
      <w:bookmarkEnd w:id="229"/>
      <w:r/>
      <w:bookmarkEnd w:id="230"/>
      <w:r/>
      <w:bookmarkEnd w:id="231"/>
      <w:r>
        <w:rPr>
          <w:rFonts w:ascii="宋体" w:hAnsi="宋体" w:eastAsia="宋体"/>
          <w:b w:val="0"/>
          <w:color w:val="000000" w:themeColor="text1"/>
          <w:sz w:val="24"/>
          <w:szCs w:val="24"/>
          <w:highlight w:val="none"/>
          <w14:textFill>
            <w14:solidFill>
              <w14:schemeClr w14:val="tx1"/>
            </w14:solidFill>
          </w14:textFill>
        </w:rPr>
        <w:t xml:space="preserve">理人</w:t>
      </w:r>
      <w:bookmarkEnd w:id="219"/>
      <w:r/>
      <w:bookmarkEnd w:id="220"/>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2" w:name="_Toc22333"/>
      <w:r/>
      <w:bookmarkStart w:id="233" w:name="_Toc1325789808"/>
      <w:r/>
      <w:bookmarkStart w:id="234" w:name="_Toc189823449"/>
      <w:r>
        <w:rPr>
          <w:rFonts w:ascii="宋体" w:hAnsi="宋体"/>
          <w:color w:val="000000" w:themeColor="text1"/>
          <w:sz w:val="24"/>
          <w:highlight w:val="none"/>
          <w14:textFill>
            <w14:solidFill>
              <w14:schemeClr w14:val="tx1"/>
            </w14:solidFill>
          </w14:textFill>
        </w:rPr>
        <w:t xml:space="preserve">4.1监理人的一般规定</w:t>
      </w:r>
      <w:bookmarkEnd w:id="232"/>
      <w:r/>
      <w:bookmarkEnd w:id="233"/>
      <w:r/>
      <w:bookmarkEnd w:id="234"/>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关于监理人的监理内容：</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关于监理人的监理权限：</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 </w:t>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关于监理人在施工现场的办公场所、生活场所的提供和费用承担的约定：</w:t>
      </w:r>
      <w:r>
        <w:rPr>
          <w:rFonts w:ascii="宋体" w:hAnsi="宋体"/>
          <w:color w:val="000000" w:themeColor="text1"/>
          <w:sz w:val="24"/>
          <w:highlight w:val="none"/>
          <w:u w:val="single"/>
          <w14:textFill>
            <w14:solidFill>
              <w14:schemeClr w14:val="tx1"/>
            </w14:solidFill>
          </w14:textFill>
        </w:rPr>
        <w:t xml:space="preserve">监理人在施工现场的办公场所、生活场所由承包人提供，费用由承包人承担。</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5" w:name="_Toc1416"/>
      <w:r/>
      <w:bookmarkStart w:id="236" w:name="_Toc1881790026"/>
      <w:r/>
      <w:bookmarkStart w:id="237" w:name="_Toc1275710936"/>
      <w:r>
        <w:rPr>
          <w:rFonts w:ascii="宋体" w:hAnsi="宋体"/>
          <w:color w:val="000000" w:themeColor="text1"/>
          <w:sz w:val="24"/>
          <w:highlight w:val="none"/>
          <w14:textFill>
            <w14:solidFill>
              <w14:schemeClr w14:val="tx1"/>
            </w14:solidFill>
          </w14:textFill>
        </w:rPr>
        <w:t xml:space="preserve">4.2 监理人员</w:t>
      </w:r>
      <w:bookmarkEnd w:id="235"/>
      <w:r/>
      <w:bookmarkEnd w:id="236"/>
      <w:r/>
      <w:bookmarkEnd w:id="237"/>
      <w:r/>
      <w:r/>
    </w:p>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w:t>
      </w:r>
      <w:r/>
    </w:p>
    <w:p>
      <w:pPr>
        <w:pStyle w:val="989"/>
        <w:ind w:left="63" w:right="63"/>
        <w:tabs>
          <w:tab w:val="left" w:pos="1162" w:leader="none"/>
          <w:tab w:val="left" w:pos="410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89"/>
        <w:ind w:left="63" w:right="63"/>
        <w:spacing w:before="78"/>
        <w:tabs>
          <w:tab w:val="left" w:pos="1162" w:leader="none"/>
          <w:tab w:val="left" w:pos="410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务</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89"/>
        <w:ind w:left="63" w:right="63"/>
        <w:spacing w:before="78"/>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监理工程师执业资格证书号：</w:t>
      </w:r>
      <w:r>
        <w:rPr>
          <w:rFonts w:ascii="宋体" w:hAnsi="宋体"/>
          <w:color w:val="000000" w:themeColor="text1"/>
          <w:sz w:val="24"/>
          <w:highlight w:val="none"/>
          <w:u w:val="single"/>
          <w14:textFill>
            <w14:solidFill>
              <w14:schemeClr w14:val="tx1"/>
            </w14:solidFill>
          </w14:textFill>
        </w:rPr>
        <w:t xml:space="preserve">       </w:t>
      </w:r>
      <w:r/>
    </w:p>
    <w:p>
      <w:pPr>
        <w:pStyle w:val="989"/>
        <w:ind w:left="63" w:right="63"/>
        <w:spacing w:before="78"/>
        <w:tabs>
          <w:tab w:val="left" w:pos="778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89"/>
        <w:ind w:left="63" w:right="63"/>
        <w:spacing w:before="78"/>
        <w:tabs>
          <w:tab w:val="left" w:pos="384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89"/>
        <w:ind w:left="63" w:right="63"/>
        <w:spacing w:before="78"/>
        <w:tabs>
          <w:tab w:val="left" w:pos="384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关于监理人的其他约定：</w:t>
      </w:r>
      <w:r>
        <w:rPr>
          <w:rFonts w:ascii="宋体" w:hAnsi="宋体"/>
          <w:color w:val="000000" w:themeColor="text1"/>
          <w:sz w:val="24"/>
          <w:highlight w:val="none"/>
          <w:u w:val="single"/>
          <w14:textFill>
            <w14:solidFill>
              <w14:schemeClr w14:val="tx1"/>
            </w14:solidFill>
          </w14:textFill>
        </w:rPr>
        <w:t xml:space="preserve">     详见监理合同       </w:t>
      </w:r>
      <w:r>
        <w:rPr>
          <w:rFonts w:ascii="宋体" w:hAnsi="宋体"/>
          <w:color w:val="000000" w:themeColor="text1"/>
          <w:sz w:val="24"/>
          <w:highlight w:val="none"/>
          <w14:textFill>
            <w14:solidFill>
              <w14:schemeClr w14:val="tx1"/>
            </w14:solidFill>
          </w14:textFill>
        </w:rPr>
        <w:t xml:space="preserve"> 。</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8" w:name="_Toc351297407"/>
      <w:r/>
      <w:bookmarkStart w:id="239" w:name="_Toc1839233093"/>
      <w:r/>
      <w:bookmarkStart w:id="240" w:name="_Toc20339"/>
      <w:r>
        <w:rPr>
          <w:rFonts w:ascii="宋体" w:hAnsi="宋体"/>
          <w:color w:val="000000" w:themeColor="text1"/>
          <w:sz w:val="24"/>
          <w:highlight w:val="none"/>
          <w14:textFill>
            <w14:solidFill>
              <w14:schemeClr w14:val="tx1"/>
            </w14:solidFill>
          </w14:textFill>
        </w:rPr>
        <w:t xml:space="preserve">4.3 商定或确定</w:t>
      </w:r>
      <w:bookmarkEnd w:id="238"/>
      <w:r/>
      <w:bookmarkEnd w:id="239"/>
      <w:r/>
      <w:bookmarkEnd w:id="240"/>
      <w:r/>
      <w:r/>
    </w:p>
    <w:p>
      <w:pPr>
        <w:pStyle w:val="967"/>
        <w:ind w:firstLine="480"/>
        <w:spacing w:line="360" w:lineRule="auto"/>
        <w:rPr>
          <w:rFonts w:ascii="宋体" w:hAnsi="宋体"/>
          <w:color w:val="000000" w:themeColor="text1"/>
          <w:sz w:val="24"/>
          <w:highlight w:val="none"/>
          <w14:textFill>
            <w14:solidFill>
              <w14:schemeClr w14:val="tx1"/>
            </w14:solidFill>
          </w14:textFill>
        </w:rPr>
      </w:pPr>
      <w:r/>
      <w:bookmarkStart w:id="241" w:name="_Toc267251418"/>
      <w:r>
        <w:rPr>
          <w:rFonts w:ascii="宋体" w:hAnsi="宋体"/>
          <w:color w:val="000000" w:themeColor="text1"/>
          <w:sz w:val="24"/>
          <w:highlight w:val="none"/>
          <w14:textFill>
            <w14:solidFill>
              <w14:schemeClr w14:val="tx1"/>
            </w14:solidFill>
          </w14:textFill>
        </w:rPr>
        <w:t xml:space="preserve">在发包人和承包人不能通过协商达成一致意见时，发包人授权监理人对以下事项进行确定：</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42" w:name="_Toc1767461773"/>
      <w:r/>
      <w:bookmarkStart w:id="243" w:name="_Toc441549874"/>
      <w:r>
        <w:rPr>
          <w:rFonts w:ascii="宋体" w:hAnsi="宋体" w:eastAsia="宋体"/>
          <w:b w:val="0"/>
          <w:color w:val="000000" w:themeColor="text1"/>
          <w:sz w:val="24"/>
          <w:szCs w:val="24"/>
          <w:highlight w:val="none"/>
          <w14:textFill>
            <w14:solidFill>
              <w14:schemeClr w14:val="tx1"/>
            </w14:solidFill>
          </w14:textFill>
        </w:rPr>
        <w:t xml:space="preserve">5</w:t>
      </w:r>
      <w:bookmarkEnd w:id="241"/>
      <w:r/>
      <w:bookmarkStart w:id="244" w:name="_Toc296890991"/>
      <w:r/>
      <w:bookmarkStart w:id="245" w:name="_Toc296944502"/>
      <w:r/>
      <w:bookmarkStart w:id="246" w:name="_Toc296891203"/>
      <w:r/>
      <w:bookmarkStart w:id="247" w:name="_Toc292559367"/>
      <w:r/>
      <w:bookmarkStart w:id="248" w:name="_Toc296347162"/>
      <w:r/>
      <w:bookmarkStart w:id="249" w:name="_Toc297048349"/>
      <w:r/>
      <w:bookmarkStart w:id="250" w:name="_Toc292559872"/>
      <w:r/>
      <w:bookmarkStart w:id="251" w:name="_Toc296503163"/>
      <w:r/>
      <w:bookmarkStart w:id="252" w:name="_Toc297120463"/>
      <w:r/>
      <w:bookmarkStart w:id="253" w:name="_Toc296346664"/>
      <w:r>
        <w:rPr>
          <w:rFonts w:ascii="宋体" w:hAnsi="宋体" w:eastAsia="宋体"/>
          <w:b w:val="0"/>
          <w:color w:val="000000" w:themeColor="text1"/>
          <w:sz w:val="24"/>
          <w:szCs w:val="24"/>
          <w:highlight w:val="none"/>
          <w14:textFill>
            <w14:solidFill>
              <w14:schemeClr w14:val="tx1"/>
            </w14:solidFill>
          </w14:textFill>
        </w:rPr>
        <w:t xml:space="preserve">. 工程质量</w:t>
      </w:r>
      <w:bookmarkEnd w:id="242"/>
      <w:r/>
      <w:bookmarkEnd w:id="243"/>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54" w:name="_Toc18820"/>
      <w:r/>
      <w:bookmarkStart w:id="255" w:name="_Toc1592482993"/>
      <w:r/>
      <w:bookmarkStart w:id="256" w:name="_Toc928117446"/>
      <w:r>
        <w:rPr>
          <w:rFonts w:ascii="宋体" w:hAnsi="宋体"/>
          <w:color w:val="000000" w:themeColor="text1"/>
          <w:sz w:val="24"/>
          <w:highlight w:val="none"/>
          <w14:textFill>
            <w14:solidFill>
              <w14:schemeClr w14:val="tx1"/>
            </w14:solidFill>
          </w14:textFill>
        </w:rPr>
        <w:t xml:space="preserve">5.1 质量要求</w:t>
      </w:r>
      <w:bookmarkEnd w:id="254"/>
      <w:r/>
      <w:bookmarkEnd w:id="255"/>
      <w:r/>
      <w:bookmarkEnd w:id="256"/>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bookmarkStart w:id="257" w:name="_Toc297123496"/>
      <w:r/>
      <w:bookmarkStart w:id="258" w:name="_Toc312677997"/>
      <w:r/>
      <w:bookmarkStart w:id="259" w:name="_Toc300934949"/>
      <w:r/>
      <w:bookmarkStart w:id="260" w:name="_Toc318581164"/>
      <w:r/>
      <w:bookmarkStart w:id="261" w:name="_Toc297216155"/>
      <w:r/>
      <w:bookmarkStart w:id="262" w:name="_Toc304295527"/>
      <w:r/>
      <w:bookmarkStart w:id="263" w:name="_Toc303539106"/>
      <w:r>
        <w:rPr>
          <w:rFonts w:ascii="宋体" w:hAnsi="宋体"/>
          <w:color w:val="000000" w:themeColor="text1"/>
          <w:sz w:val="24"/>
          <w:highlight w:val="none"/>
          <w14:textFill>
            <w14:solidFill>
              <w14:schemeClr w14:val="tx1"/>
            </w14:solidFill>
          </w14:textFill>
        </w:rPr>
        <w:t xml:space="preserve">.1.1 特殊质量标准和要求：</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工程质量标准必须符合现行国家有关工程施工质量验收规范和标准的要求。</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关于工程奖项的约定：</w:t>
      </w:r>
      <w:r>
        <w:rPr>
          <w:rFonts w:hint="eastAsia" w:ascii="宋体" w:hAnsi="宋体"/>
          <w:color w:val="000000" w:themeColor="text1"/>
          <w:sz w:val="24"/>
          <w:highlight w:val="none"/>
          <w:u w:val="single"/>
          <w14:textFill>
            <w14:solidFill>
              <w14:schemeClr w14:val="tx1"/>
            </w14:solidFill>
          </w14:textFill>
        </w:rPr>
        <w:t xml:space="preserve">无</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64" w:name="_Toc462538044"/>
      <w:r/>
      <w:bookmarkStart w:id="265" w:name="_Toc15546"/>
      <w:r/>
      <w:bookmarkStart w:id="266" w:name="_Toc1292415266"/>
      <w:r>
        <w:rPr>
          <w:rFonts w:ascii="宋体" w:hAnsi="宋体"/>
          <w:color w:val="000000" w:themeColor="text1"/>
          <w:sz w:val="24"/>
          <w:highlight w:val="none"/>
          <w14:textFill>
            <w14:solidFill>
              <w14:schemeClr w14:val="tx1"/>
            </w14:solidFill>
          </w14:textFill>
        </w:rPr>
        <w:t xml:space="preserve">5.2 隐蔽工程检查</w:t>
      </w:r>
      <w:bookmarkEnd w:id="264"/>
      <w:r/>
      <w:bookmarkEnd w:id="265"/>
      <w:r/>
      <w:bookmarkEnd w:id="266"/>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5.2.1承包人提前通知监理人隐蔽工程检查的期限的约定：</w:t>
      </w:r>
      <w:r>
        <w:rPr>
          <w:rFonts w:ascii="宋体" w:hAnsi="宋体"/>
          <w:color w:val="000000" w:themeColor="text1"/>
          <w:sz w:val="24"/>
          <w:highlight w:val="none"/>
          <w:u w:val="single"/>
          <w14:textFill>
            <w14:solidFill>
              <w14:schemeClr w14:val="tx1"/>
            </w14:solidFill>
          </w14:textFill>
        </w:rPr>
        <w:t xml:space="preserve">共同检查前48小时书面通知监理人。</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监理人不能按时进行检查时，应提前</w:t>
      </w:r>
      <w:r>
        <w:rPr>
          <w:rFonts w:ascii="宋体" w:hAnsi="宋体"/>
          <w:color w:val="000000" w:themeColor="text1"/>
          <w:sz w:val="24"/>
          <w:highlight w:val="none"/>
          <w:u w:val="single"/>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小时提交书面延期要求。</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关于延期最长不得超过：</w:t>
      </w:r>
      <w:r>
        <w:rPr>
          <w:rFonts w:ascii="宋体" w:hAnsi="宋体"/>
          <w:color w:val="000000" w:themeColor="text1"/>
          <w:sz w:val="24"/>
          <w:highlight w:val="none"/>
          <w:u w:val="single"/>
          <w14:textFill>
            <w14:solidFill>
              <w14:schemeClr w14:val="tx1"/>
            </w14:solidFill>
          </w14:textFill>
        </w:rPr>
        <w:t xml:space="preserve">48</w:t>
      </w:r>
      <w:r>
        <w:rPr>
          <w:rFonts w:ascii="宋体" w:hAnsi="宋体"/>
          <w:color w:val="000000" w:themeColor="text1"/>
          <w:sz w:val="24"/>
          <w:highlight w:val="none"/>
          <w14:textFill>
            <w14:solidFill>
              <w14:schemeClr w14:val="tx1"/>
            </w14:solidFill>
          </w14:textFill>
        </w:rPr>
        <w:t xml:space="preserve">小时。</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67" w:name="_Toc714606691"/>
      <w:r/>
      <w:bookmarkStart w:id="268" w:name="_Toc1885616336"/>
      <w:r>
        <w:rPr>
          <w:rFonts w:ascii="宋体" w:hAnsi="宋体" w:eastAsia="宋体"/>
          <w:b w:val="0"/>
          <w:color w:val="000000" w:themeColor="text1"/>
          <w:sz w:val="24"/>
          <w:szCs w:val="24"/>
          <w:highlight w:val="none"/>
          <w14:textFill>
            <w14:solidFill>
              <w14:schemeClr w14:val="tx1"/>
            </w14:solidFill>
          </w14:textFill>
        </w:rPr>
        <w:t xml:space="preserve">6. 安全文明施工与环境保护</w:t>
      </w:r>
      <w:bookmarkEnd w:id="267"/>
      <w:r/>
      <w:bookmarkEnd w:id="268"/>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69" w:name="_Toc526548747"/>
      <w:r/>
      <w:bookmarkStart w:id="270" w:name="_Toc11638"/>
      <w:r/>
      <w:bookmarkStart w:id="271" w:name="_Toc552749545"/>
      <w:r>
        <w:rPr>
          <w:rFonts w:ascii="宋体" w:hAnsi="宋体"/>
          <w:color w:val="000000" w:themeColor="text1"/>
          <w:sz w:val="24"/>
          <w:highlight w:val="none"/>
          <w14:textFill>
            <w14:solidFill>
              <w14:schemeClr w14:val="tx1"/>
            </w14:solidFill>
          </w14:textFill>
        </w:rPr>
        <w:t xml:space="preserve">6.1安全文明施工</w:t>
      </w:r>
      <w:bookmarkEnd w:id="269"/>
      <w:r/>
      <w:bookmarkEnd w:id="270"/>
      <w:r/>
      <w:bookmarkEnd w:id="271"/>
      <w:r/>
      <w:r/>
    </w:p>
    <w:p>
      <w:pPr>
        <w:pStyle w:val="967"/>
        <w:ind w:left="111"/>
        <w:jc w:val="left"/>
        <w:tabs>
          <w:tab w:val="left" w:pos="5092"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6.1.1 项目安全生产的达标目标及相应事项的约定：</w:t>
      </w:r>
      <w:r>
        <w:rPr>
          <w:rFonts w:ascii="宋体" w:hAnsi="宋体"/>
          <w:color w:val="000000" w:themeColor="text1"/>
          <w:sz w:val="24"/>
          <w:highlight w:val="none"/>
          <w:u w:val="single"/>
          <w14:textFill>
            <w14:solidFill>
              <w14:schemeClr w14:val="tx1"/>
            </w14:solidFill>
          </w14:textFill>
        </w:rPr>
        <w:t xml:space="preserve">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w:t>
      </w:r>
      <w:r/>
    </w:p>
    <w:p>
      <w:pPr>
        <w:pStyle w:val="967"/>
        <w:jc w:val="left"/>
        <w:spacing w:before="72"/>
        <w:tabs>
          <w:tab w:val="left" w:pos="74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6.1.2 关于治安保卫的特别约定：</w:t>
      </w:r>
      <w:r>
        <w:rPr>
          <w:rFonts w:ascii="宋体" w:hAnsi="宋体"/>
          <w:color w:val="000000" w:themeColor="text1"/>
          <w:sz w:val="24"/>
          <w:highlight w:val="none"/>
          <w:u w:val="single"/>
          <w14:textFill>
            <w14:solidFill>
              <w14:schemeClr w14:val="tx1"/>
            </w14:solidFill>
          </w14:textFill>
        </w:rPr>
        <w:t xml:space="preserve">建筑安装工程安全施工措施费用已含在中标合同总价内，应专款专用，承包人不准挪作它用，承包人应按工程要求提供和维护施工照明、看守、围栏和警示。</w:t>
      </w:r>
      <w:r/>
    </w:p>
    <w:p>
      <w:pPr>
        <w:pStyle w:val="967"/>
        <w:jc w:val="left"/>
        <w:spacing w:before="78"/>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因承包人未履行上述义务造成的工程财产损失及人身伤害，由承包人承担法律责任并承担因此而发生的所有费用。</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关于编制施工场地治安管理计划的约定：</w:t>
      </w:r>
      <w:r>
        <w:rPr>
          <w:rFonts w:ascii="宋体" w:hAnsi="宋体"/>
          <w:color w:val="000000" w:themeColor="text1"/>
          <w:sz w:val="24"/>
          <w:highlight w:val="none"/>
          <w:u w:val="single"/>
          <w14:textFill>
            <w14:solidFill>
              <w14:schemeClr w14:val="tx1"/>
            </w14:solidFill>
          </w14:textFill>
        </w:rPr>
        <w:t xml:space="preserve">由承包人编制</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6.1.3 文明施工</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合同当事人对文明施工的要求：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6.1.4 关于安全文明施工费支付比例和支付期限的约定：</w:t>
      </w:r>
      <w:r>
        <w:rPr>
          <w:rFonts w:ascii="宋体" w:hAnsi="宋体"/>
          <w:color w:val="000000" w:themeColor="text1"/>
          <w:sz w:val="24"/>
          <w:highlight w:val="none"/>
          <w:u w:val="single"/>
          <w14:textFill>
            <w14:solidFill>
              <w14:schemeClr w14:val="tx1"/>
            </w14:solidFill>
          </w14:textFill>
        </w:rPr>
        <w:t xml:space="preserve">同工程款支付比例及支付期限</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2" w:name="_Toc584454933"/>
      <w:r/>
      <w:bookmarkStart w:id="273" w:name="_Toc1716959566"/>
      <w:r>
        <w:rPr>
          <w:rFonts w:ascii="宋体" w:hAnsi="宋体"/>
          <w:color w:val="000000" w:themeColor="text1"/>
          <w:sz w:val="24"/>
          <w:highlight w:val="none"/>
          <w14:textFill>
            <w14:solidFill>
              <w14:schemeClr w14:val="tx1"/>
            </w14:solidFill>
          </w14:textFill>
        </w:rPr>
        <w:t xml:space="preserve">6.2 环境保护</w:t>
      </w:r>
      <w:bookmarkEnd w:id="272"/>
      <w:r/>
      <w:bookmarkEnd w:id="273"/>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合同当事人对农药、肥料的使用要求：</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257"/>
      <w:r/>
      <w:bookmarkEnd w:id="258"/>
      <w:r/>
      <w:bookmarkEnd w:id="259"/>
      <w:r/>
      <w:bookmarkEnd w:id="260"/>
      <w:r/>
      <w:bookmarkEnd w:id="261"/>
      <w:r/>
      <w:bookmarkEnd w:id="262"/>
      <w:r/>
      <w:bookmarkEnd w:id="263"/>
      <w:r/>
      <w:r/>
    </w:p>
    <w:p>
      <w:pPr>
        <w:pStyle w:val="969"/>
        <w:numPr>
          <w:ilvl w:val="0"/>
          <w:numId w:val="3"/>
        </w:numPr>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74" w:name="_Toc1019739217"/>
      <w:r/>
      <w:bookmarkStart w:id="275" w:name="_Toc309374293"/>
      <w:r>
        <w:rPr>
          <w:rFonts w:ascii="宋体" w:hAnsi="宋体" w:eastAsia="宋体"/>
          <w:b w:val="0"/>
          <w:color w:val="000000" w:themeColor="text1"/>
          <w:sz w:val="24"/>
          <w:szCs w:val="24"/>
          <w:highlight w:val="none"/>
          <w14:textFill>
            <w14:solidFill>
              <w14:schemeClr w14:val="tx1"/>
            </w14:solidFill>
          </w14:textFill>
        </w:rPr>
        <w:t xml:space="preserve">工期和进度</w:t>
      </w:r>
      <w:bookmarkEnd w:id="274"/>
      <w:r/>
      <w:bookmarkEnd w:id="275"/>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6" w:name="_Toc20685"/>
      <w:r/>
      <w:bookmarkStart w:id="277" w:name="_Toc152004302"/>
      <w:r/>
      <w:bookmarkStart w:id="278" w:name="_Toc829052215"/>
      <w:r>
        <w:rPr>
          <w:rFonts w:ascii="宋体" w:hAnsi="宋体"/>
          <w:color w:val="000000" w:themeColor="text1"/>
          <w:sz w:val="24"/>
          <w:highlight w:val="none"/>
          <w14:textFill>
            <w14:solidFill>
              <w14:schemeClr w14:val="tx1"/>
            </w14:solidFill>
          </w14:textFill>
        </w:rPr>
        <w:t xml:space="preserve">7.1 施工组织设计</w:t>
      </w:r>
      <w:bookmarkEnd w:id="276"/>
      <w:r/>
      <w:bookmarkEnd w:id="277"/>
      <w:r/>
      <w:bookmarkEnd w:id="278"/>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9" w:name="_Toc1337492230"/>
      <w:r/>
      <w:bookmarkStart w:id="280" w:name="_Toc856803142"/>
      <w:r>
        <w:rPr>
          <w:rFonts w:ascii="宋体" w:hAnsi="宋体"/>
          <w:color w:val="000000" w:themeColor="text1"/>
          <w:sz w:val="24"/>
          <w:highlight w:val="none"/>
          <w14:textFill>
            <w14:solidFill>
              <w14:schemeClr w14:val="tx1"/>
            </w14:solidFill>
          </w14:textFill>
        </w:rPr>
        <w:t xml:space="preserve">7.1.1 工程涉及以下内容的，合同当事人约定的施工组织设计还应包括此类工程内容的专项施工方案：</w:t>
      </w:r>
      <w:bookmarkEnd w:id="279"/>
      <w:r/>
      <w:bookmarkEnd w:id="280"/>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1" w:name="_Toc1488833316"/>
      <w:r/>
      <w:bookmarkStart w:id="282" w:name="_Toc650023867"/>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现状树木保护；</w:t>
      </w:r>
      <w:bookmarkEnd w:id="281"/>
      <w:r/>
      <w:bookmarkEnd w:id="282"/>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3" w:name="_Toc266056742"/>
      <w:r/>
      <w:bookmarkStart w:id="284" w:name="_Toc382208328"/>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古树名木保护;</w:t>
      </w:r>
      <w:bookmarkEnd w:id="283"/>
      <w:r/>
      <w:bookmarkEnd w:id="284"/>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5" w:name="_Toc1137515080"/>
      <w:r/>
      <w:bookmarkStart w:id="286" w:name="_Toc1350692319"/>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土壤改良;</w:t>
      </w:r>
      <w:bookmarkEnd w:id="285"/>
      <w:r/>
      <w:bookmarkEnd w:id="286"/>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7" w:name="_Toc1673538922"/>
      <w:r/>
      <w:bookmarkStart w:id="288" w:name="_Toc630504734"/>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其他内容：</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bookmarkEnd w:id="287"/>
      <w:r/>
      <w:bookmarkEnd w:id="288"/>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7.1.2施工组织设计的提交和修改</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承包人提交详细施工组织设计的期限的约定：执行通用条款。</w:t>
      </w:r>
      <w:r/>
    </w:p>
    <w:p>
      <w:pPr>
        <w:pStyle w:val="989"/>
        <w:ind w:left="63" w:right="63"/>
        <w:jc w:val="left"/>
        <w:spacing w:before="76"/>
        <w:tabs>
          <w:tab w:val="left" w:pos="8095"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发包人和监理人在收到详细的施工组织设计后确认或提出修改意见的期限：</w:t>
      </w:r>
      <w:r>
        <w:rPr>
          <w:rFonts w:ascii="宋体" w:hAnsi="宋体"/>
          <w:color w:val="000000" w:themeColor="text1"/>
          <w:sz w:val="24"/>
          <w:highlight w:val="none"/>
          <w:u w:val="single"/>
          <w14:textFill>
            <w14:solidFill>
              <w14:schemeClr w14:val="tx1"/>
            </w14:solidFill>
          </w14:textFill>
        </w:rPr>
        <w:t xml:space="preserve">发包人和监理人应在监理人收到施工组织设计后 7天内确认或提出修改意见。对发包人和监理人提出的合理意见和要求，承包人应自费修改完善。根据工程实际情况需要修改施工组织设计的，承包人应向发包人和监理人提交修改后的施工组织设计。</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9" w:name="_Toc14427"/>
      <w:r/>
      <w:bookmarkStart w:id="290" w:name="_Toc2142813545"/>
      <w:r/>
      <w:bookmarkStart w:id="291" w:name="_Toc1135946897"/>
      <w:r>
        <w:rPr>
          <w:rFonts w:ascii="宋体" w:hAnsi="宋体"/>
          <w:color w:val="000000" w:themeColor="text1"/>
          <w:sz w:val="24"/>
          <w:highlight w:val="none"/>
          <w14:textFill>
            <w14:solidFill>
              <w14:schemeClr w14:val="tx1"/>
            </w14:solidFill>
          </w14:textFill>
        </w:rPr>
        <w:t xml:space="preserve">7</w:t>
      </w:r>
      <w:bookmarkStart w:id="292" w:name="_Toc300934966"/>
      <w:r/>
      <w:bookmarkStart w:id="293" w:name="_Toc312678005"/>
      <w:r/>
      <w:bookmarkStart w:id="294" w:name="_Toc297216173"/>
      <w:r/>
      <w:bookmarkStart w:id="295" w:name="_Toc303539123"/>
      <w:r/>
      <w:bookmarkStart w:id="296" w:name="_Toc312677479"/>
      <w:r/>
      <w:bookmarkStart w:id="297" w:name="_Toc297123514"/>
      <w:r/>
      <w:bookmarkStart w:id="298" w:name="_Toc304295541"/>
      <w:r>
        <w:rPr>
          <w:rFonts w:ascii="宋体" w:hAnsi="宋体"/>
          <w:color w:val="000000" w:themeColor="text1"/>
          <w:sz w:val="24"/>
          <w:highlight w:val="none"/>
          <w14:textFill>
            <w14:solidFill>
              <w14:schemeClr w14:val="tx1"/>
            </w14:solidFill>
          </w14:textFill>
        </w:rPr>
        <w:t xml:space="preserve">.2 施工进度计划</w:t>
      </w:r>
      <w:bookmarkEnd w:id="289"/>
      <w:r/>
      <w:bookmarkEnd w:id="290"/>
      <w:r/>
      <w:bookmarkEnd w:id="291"/>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7.2.1 施工进度计划的修订</w:t>
      </w:r>
      <w:r/>
    </w:p>
    <w:p>
      <w:pPr>
        <w:pStyle w:val="989"/>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发包人和监理人在收到修订的施工进度计划后确认或提出修改意见的期限：</w:t>
      </w:r>
      <w:r>
        <w:rPr>
          <w:rFonts w:ascii="宋体" w:hAnsi="宋体"/>
          <w:color w:val="000000" w:themeColor="text1"/>
          <w:sz w:val="24"/>
          <w:highlight w:val="none"/>
          <w:u w:val="single"/>
          <w14:textFill>
            <w14:solidFill>
              <w14:schemeClr w14:val="tx1"/>
            </w14:solidFill>
          </w14:textFill>
        </w:rPr>
        <w:t xml:space="preserve">发包人和监理人应在收到修订的施工进度计划后 7天内完成审核和批准或提出修改意见。发包人和监理人对承包人提交的施工进度计划的确认，不能减轻或免除承包人根据法律规定和合同约定应承担的任何责任或义务</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99" w:name="_Toc6687"/>
      <w:r/>
      <w:bookmarkStart w:id="300" w:name="_Toc1253067105"/>
      <w:r/>
      <w:bookmarkStart w:id="301" w:name="_Toc1263038917"/>
      <w:r>
        <w:rPr>
          <w:rFonts w:ascii="宋体" w:hAnsi="宋体"/>
          <w:color w:val="000000" w:themeColor="text1"/>
          <w:sz w:val="24"/>
          <w:highlight w:val="none"/>
          <w14:textFill>
            <w14:solidFill>
              <w14:schemeClr w14:val="tx1"/>
            </w14:solidFill>
          </w14:textFill>
        </w:rPr>
        <w:t xml:space="preserve">7.3 开工</w:t>
      </w:r>
      <w:bookmarkEnd w:id="299"/>
      <w:r/>
      <w:bookmarkEnd w:id="300"/>
      <w:r/>
      <w:bookmarkEnd w:id="301"/>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7.3.1 开工准备</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关于承包人提交工程开工报审表的期限：</w:t>
      </w:r>
      <w:r>
        <w:rPr>
          <w:rFonts w:ascii="宋体" w:hAnsi="宋体"/>
          <w:color w:val="000000" w:themeColor="text1"/>
          <w:sz w:val="24"/>
          <w:highlight w:val="none"/>
          <w:u w:val="single"/>
          <w14:textFill>
            <w14:solidFill>
              <w14:schemeClr w14:val="tx1"/>
            </w14:solidFill>
          </w14:textFill>
        </w:rPr>
        <w:t xml:space="preserve">按照批准的施工组织设计。</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关于发包人应完成的其他开工准备工作及期限：</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关于承包人应完成的其他开工准备工作及期限：</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7.3.2开工通知</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因发包人原因或监理人未能在计划开工日期之日起</w:t>
      </w:r>
      <w:r>
        <w:rPr>
          <w:rFonts w:ascii="宋体" w:hAnsi="宋体"/>
          <w:color w:val="000000" w:themeColor="text1"/>
          <w:sz w:val="24"/>
          <w:highlight w:val="none"/>
          <w:u w:val="single"/>
          <w14:textFill>
            <w14:solidFill>
              <w14:schemeClr w14:val="tx1"/>
            </w14:solidFill>
          </w14:textFill>
        </w:rPr>
        <w:t xml:space="preserve">90</w:t>
      </w:r>
      <w:r>
        <w:rPr>
          <w:rFonts w:ascii="宋体" w:hAnsi="宋体"/>
          <w:color w:val="000000" w:themeColor="text1"/>
          <w:sz w:val="24"/>
          <w:highlight w:val="none"/>
          <w14:textFill>
            <w14:solidFill>
              <w14:schemeClr w14:val="tx1"/>
            </w14:solidFill>
          </w14:textFill>
        </w:rPr>
        <w:t xml:space="preserve">天内发出开工通知的，承包人有权提出价格调整要求，或者解除合同。</w:t>
      </w:r>
      <w:bookmarkEnd w:id="292"/>
      <w:r/>
      <w:bookmarkEnd w:id="293"/>
      <w:r/>
      <w:bookmarkEnd w:id="294"/>
      <w:r/>
      <w:bookmarkEnd w:id="295"/>
      <w:r/>
      <w:bookmarkEnd w:id="296"/>
      <w:r/>
      <w:bookmarkEnd w:id="297"/>
      <w:r/>
      <w:bookmarkEnd w:id="298"/>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02" w:name="_Toc96331289"/>
      <w:r/>
      <w:bookmarkStart w:id="303" w:name="_Toc17408"/>
      <w:r/>
      <w:bookmarkStart w:id="304" w:name="_Toc19537660"/>
      <w:r>
        <w:rPr>
          <w:rFonts w:ascii="宋体" w:hAnsi="宋体"/>
          <w:color w:val="000000" w:themeColor="text1"/>
          <w:sz w:val="24"/>
          <w:highlight w:val="none"/>
          <w14:textFill>
            <w14:solidFill>
              <w14:schemeClr w14:val="tx1"/>
            </w14:solidFill>
          </w14:textFill>
        </w:rPr>
        <w:t xml:space="preserve">7.4 测量放线</w:t>
      </w:r>
      <w:bookmarkEnd w:id="302"/>
      <w:r/>
      <w:bookmarkEnd w:id="303"/>
      <w:r/>
      <w:bookmarkEnd w:id="304"/>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7.4.1发包人或发包人通过监理人向承包人提供测量基准点、基准线和水准点及其书面资料的期限：</w:t>
      </w:r>
      <w:r>
        <w:rPr>
          <w:rFonts w:ascii="宋体" w:hAnsi="宋体"/>
          <w:color w:val="000000" w:themeColor="text1"/>
          <w:sz w:val="24"/>
          <w:highlight w:val="none"/>
          <w:u w:val="single"/>
          <w14:textFill>
            <w14:solidFill>
              <w14:schemeClr w14:val="tx1"/>
            </w14:solidFill>
          </w14:textFill>
        </w:rPr>
        <w:t xml:space="preserve">开工前7天</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05" w:name="_Toc20355"/>
      <w:r/>
      <w:bookmarkStart w:id="306" w:name="_Toc117950900"/>
      <w:r/>
      <w:bookmarkStart w:id="307" w:name="_Toc1986698096"/>
      <w:r>
        <w:rPr>
          <w:rFonts w:ascii="宋体" w:hAnsi="宋体"/>
          <w:color w:val="000000" w:themeColor="text1"/>
          <w:sz w:val="24"/>
          <w:highlight w:val="none"/>
          <w14:textFill>
            <w14:solidFill>
              <w14:schemeClr w14:val="tx1"/>
            </w14:solidFill>
          </w14:textFill>
        </w:rPr>
        <w:t xml:space="preserve">7</w:t>
      </w:r>
      <w:bookmarkStart w:id="308" w:name="_Toc297123516"/>
      <w:r/>
      <w:bookmarkStart w:id="309" w:name="_Toc303539125"/>
      <w:r/>
      <w:bookmarkStart w:id="310" w:name="_Toc297216175"/>
      <w:r/>
      <w:bookmarkStart w:id="311" w:name="_Toc304295546"/>
      <w:r/>
      <w:bookmarkStart w:id="312" w:name="_Toc312678010"/>
      <w:r/>
      <w:bookmarkStart w:id="313" w:name="_Toc312677484"/>
      <w:r/>
      <w:bookmarkStart w:id="314" w:name="_Toc300934968"/>
      <w:r>
        <w:rPr>
          <w:rFonts w:ascii="宋体" w:hAnsi="宋体"/>
          <w:color w:val="000000" w:themeColor="text1"/>
          <w:sz w:val="24"/>
          <w:highlight w:val="none"/>
          <w14:textFill>
            <w14:solidFill>
              <w14:schemeClr w14:val="tx1"/>
            </w14:solidFill>
          </w14:textFill>
        </w:rPr>
        <w:t xml:space="preserve">.5 工期延误</w:t>
      </w:r>
      <w:bookmarkEnd w:id="305"/>
      <w:r/>
      <w:bookmarkEnd w:id="306"/>
      <w:r/>
      <w:bookmarkEnd w:id="307"/>
      <w:r/>
      <w:bookmarkEnd w:id="308"/>
      <w:r/>
      <w:bookmarkEnd w:id="309"/>
      <w:r/>
      <w:bookmarkEnd w:id="310"/>
      <w:r/>
      <w:bookmarkEnd w:id="311"/>
      <w:r/>
      <w:bookmarkEnd w:id="312"/>
      <w:r/>
      <w:bookmarkEnd w:id="313"/>
      <w:r/>
      <w:bookmarkEnd w:id="314"/>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7.5.1 因发包人原因导致工期延误</w:t>
      </w:r>
      <w:r/>
    </w:p>
    <w:p>
      <w:pPr>
        <w:pStyle w:val="989"/>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（7）因发包人原因导致工期延误的其他情形：</w:t>
      </w:r>
      <w:r>
        <w:rPr>
          <w:rFonts w:ascii="宋体" w:hAnsi="宋体"/>
          <w:color w:val="000000" w:themeColor="text1"/>
          <w:sz w:val="24"/>
          <w:highlight w:val="none"/>
          <w:u w:val="single"/>
          <w14:textFill>
            <w14:solidFill>
              <w14:schemeClr w14:val="tx1"/>
            </w14:solidFill>
          </w14:textFill>
        </w:rPr>
        <w:t xml:space="preserve">因发包人原因造成工期延误的只对工期延长其他不做任何调整</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w:t>
      </w:r>
      <w:bookmarkStart w:id="315" w:name="_Toc318581169"/>
      <w:r/>
      <w:bookmarkStart w:id="316" w:name="_Toc312678012"/>
      <w:r/>
      <w:bookmarkStart w:id="317" w:name="_Toc312677486"/>
      <w:r/>
      <w:bookmarkStart w:id="318" w:name="_Toc300934970"/>
      <w:r/>
      <w:bookmarkStart w:id="319" w:name="_Toc304295548"/>
      <w:r/>
      <w:bookmarkStart w:id="320" w:name="_Toc297123518"/>
      <w:r/>
      <w:bookmarkStart w:id="321" w:name="_Toc303539127"/>
      <w:r/>
      <w:bookmarkStart w:id="322" w:name="_Toc297216177"/>
      <w:r>
        <w:rPr>
          <w:rFonts w:ascii="宋体" w:hAnsi="宋体"/>
          <w:color w:val="000000" w:themeColor="text1"/>
          <w:sz w:val="24"/>
          <w:highlight w:val="none"/>
          <w14:textFill>
            <w14:solidFill>
              <w14:schemeClr w14:val="tx1"/>
            </w14:solidFill>
          </w14:textFill>
        </w:rPr>
        <w:t xml:space="preserve">.5.2 因承包人原因导致工期延误</w:t>
      </w:r>
      <w:bookmarkEnd w:id="315"/>
      <w:r/>
      <w:bookmarkEnd w:id="316"/>
      <w:r/>
      <w:bookmarkEnd w:id="317"/>
      <w:r/>
      <w:r/>
    </w:p>
    <w:p>
      <w:pPr>
        <w:pStyle w:val="989"/>
        <w:ind w:left="63" w:right="63"/>
        <w:jc w:val="left"/>
        <w:tabs>
          <w:tab w:val="left" w:pos="620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w:t>
      </w:r>
      <w:bookmarkStart w:id="323" w:name="_Toc312677487"/>
      <w:r/>
      <w:bookmarkStart w:id="324" w:name="_Toc312678013"/>
      <w:r/>
      <w:bookmarkStart w:id="325" w:name="_Toc318581170"/>
      <w:r>
        <w:rPr>
          <w:rFonts w:ascii="宋体" w:hAnsi="宋体"/>
          <w:color w:val="000000" w:themeColor="text1"/>
          <w:sz w:val="24"/>
          <w:highlight w:val="none"/>
          <w14:textFill>
            <w14:solidFill>
              <w14:schemeClr w14:val="tx1"/>
            </w14:solidFill>
          </w14:textFill>
        </w:rPr>
        <w:t xml:space="preserve">承包人原因造成工期延误，逾期竣工违约金的计算方法为：</w:t>
      </w:r>
      <w:r>
        <w:rPr>
          <w:rFonts w:ascii="宋体" w:hAnsi="宋体"/>
          <w:color w:val="000000" w:themeColor="text1"/>
          <w:sz w:val="24"/>
          <w:highlight w:val="none"/>
          <w:u w:val="single"/>
          <w14:textFill>
            <w14:solidFill>
              <w14:schemeClr w14:val="tx1"/>
            </w14:solidFill>
          </w14:textFill>
        </w:rPr>
        <w:t xml:space="preserve">中标人合同工期每延误一天扣20000 元工程款并承担违约责任。</w:t>
      </w:r>
      <w:bookmarkEnd w:id="318"/>
      <w:r/>
      <w:bookmarkEnd w:id="319"/>
      <w:r/>
      <w:bookmarkEnd w:id="320"/>
      <w:r/>
      <w:bookmarkEnd w:id="321"/>
      <w:r/>
      <w:bookmarkEnd w:id="322"/>
      <w:r/>
      <w:bookmarkEnd w:id="323"/>
      <w:r/>
      <w:bookmarkEnd w:id="324"/>
      <w:r/>
      <w:bookmarkEnd w:id="325"/>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因承包人原因造成工期延误，逾</w:t>
      </w:r>
      <w:bookmarkStart w:id="326" w:name="_Toc312678014"/>
      <w:r/>
      <w:bookmarkStart w:id="327" w:name="_Toc318581171"/>
      <w:r>
        <w:rPr>
          <w:rFonts w:ascii="宋体" w:hAnsi="宋体"/>
          <w:color w:val="000000" w:themeColor="text1"/>
          <w:sz w:val="24"/>
          <w:highlight w:val="none"/>
          <w14:textFill>
            <w14:solidFill>
              <w14:schemeClr w14:val="tx1"/>
            </w14:solidFill>
          </w14:textFill>
        </w:rPr>
        <w:t xml:space="preserve">期竣工违约金的上限：</w:t>
      </w:r>
      <w:r>
        <w:rPr>
          <w:rFonts w:ascii="宋体" w:hAnsi="宋体"/>
          <w:color w:val="000000" w:themeColor="text1"/>
          <w:sz w:val="24"/>
          <w:highlight w:val="none"/>
          <w:u w:val="single"/>
          <w14:textFill>
            <w14:solidFill>
              <w14:schemeClr w14:val="tx1"/>
            </w14:solidFill>
          </w14:textFill>
        </w:rPr>
        <w:t xml:space="preserve">无上限</w:t>
      </w:r>
      <w:r>
        <w:rPr>
          <w:rFonts w:ascii="宋体" w:hAnsi="宋体"/>
          <w:color w:val="000000" w:themeColor="text1"/>
          <w:sz w:val="24"/>
          <w:highlight w:val="none"/>
          <w14:textFill>
            <w14:solidFill>
              <w14:schemeClr w14:val="tx1"/>
            </w14:solidFill>
          </w14:textFill>
        </w:rPr>
        <w:t xml:space="preserve">。</w:t>
      </w:r>
      <w:bookmarkEnd w:id="326"/>
      <w:r/>
      <w:bookmarkEnd w:id="327"/>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28" w:name="_Toc28024"/>
      <w:r/>
      <w:bookmarkStart w:id="329" w:name="_Toc441299698"/>
      <w:r/>
      <w:bookmarkStart w:id="330" w:name="_Toc1834347369"/>
      <w:r>
        <w:rPr>
          <w:rFonts w:ascii="宋体" w:hAnsi="宋体"/>
          <w:color w:val="000000" w:themeColor="text1"/>
          <w:sz w:val="24"/>
          <w:highlight w:val="none"/>
          <w14:textFill>
            <w14:solidFill>
              <w14:schemeClr w14:val="tx1"/>
            </w14:solidFill>
          </w14:textFill>
        </w:rPr>
        <w:t xml:space="preserve">7</w:t>
      </w:r>
      <w:bookmarkStart w:id="331" w:name="_Toc297123519"/>
      <w:r/>
      <w:bookmarkStart w:id="332" w:name="_Toc304295549"/>
      <w:r/>
      <w:bookmarkStart w:id="333" w:name="_Toc300934971"/>
      <w:r/>
      <w:bookmarkStart w:id="334" w:name="_Toc303539128"/>
      <w:r/>
      <w:bookmarkStart w:id="335" w:name="_Toc297216178"/>
      <w:r/>
      <w:bookmarkStart w:id="336" w:name="_Toc312678015"/>
      <w:r>
        <w:rPr>
          <w:rFonts w:ascii="宋体" w:hAnsi="宋体"/>
          <w:color w:val="000000" w:themeColor="text1"/>
          <w:sz w:val="24"/>
          <w:highlight w:val="none"/>
          <w14:textFill>
            <w14:solidFill>
              <w14:schemeClr w14:val="tx1"/>
            </w14:solidFill>
          </w14:textFill>
        </w:rPr>
        <w:t xml:space="preserve">.6 不</w:t>
      </w:r>
      <w:bookmarkEnd w:id="331"/>
      <w:r/>
      <w:bookmarkEnd w:id="332"/>
      <w:r/>
      <w:bookmarkEnd w:id="333"/>
      <w:r/>
      <w:bookmarkEnd w:id="334"/>
      <w:r/>
      <w:bookmarkEnd w:id="335"/>
      <w:r/>
      <w:bookmarkEnd w:id="336"/>
      <w:r>
        <w:rPr>
          <w:rFonts w:ascii="宋体" w:hAnsi="宋体"/>
          <w:color w:val="000000" w:themeColor="text1"/>
          <w:sz w:val="24"/>
          <w:highlight w:val="none"/>
          <w14:textFill>
            <w14:solidFill>
              <w14:schemeClr w14:val="tx1"/>
            </w14:solidFill>
          </w14:textFill>
        </w:rPr>
        <w:t xml:space="preserve">利物质条件</w:t>
      </w:r>
      <w:bookmarkEnd w:id="328"/>
      <w:r/>
      <w:bookmarkEnd w:id="329"/>
      <w:r/>
      <w:bookmarkEnd w:id="330"/>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bookmarkStart w:id="337" w:name="_Toc304295550"/>
      <w:r/>
      <w:bookmarkStart w:id="338" w:name="_Toc297123520"/>
      <w:r/>
      <w:bookmarkStart w:id="339" w:name="_Toc318581172"/>
      <w:r/>
      <w:bookmarkStart w:id="340" w:name="_Toc300934972"/>
      <w:r/>
      <w:bookmarkStart w:id="341" w:name="_Toc312678016"/>
      <w:r/>
      <w:bookmarkStart w:id="342" w:name="_Toc297216179"/>
      <w:r/>
      <w:bookmarkStart w:id="343" w:name="_Toc303539129"/>
      <w:r>
        <w:rPr>
          <w:rFonts w:ascii="宋体" w:hAnsi="宋体"/>
          <w:color w:val="000000" w:themeColor="text1"/>
          <w:sz w:val="24"/>
          <w:highlight w:val="none"/>
          <w14:textFill>
            <w14:solidFill>
              <w14:schemeClr w14:val="tx1"/>
            </w14:solidFill>
          </w14:textFill>
        </w:rPr>
        <w:t xml:space="preserve">不利物质条件的其他情形和有关约定：</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bookmarkEnd w:id="337"/>
      <w:r/>
      <w:bookmarkEnd w:id="338"/>
      <w:r/>
      <w:bookmarkEnd w:id="339"/>
      <w:r/>
      <w:bookmarkEnd w:id="340"/>
      <w:r/>
      <w:bookmarkEnd w:id="341"/>
      <w:r/>
      <w:bookmarkEnd w:id="342"/>
      <w:r/>
      <w:bookmarkEnd w:id="343"/>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44" w:name="_Toc32335"/>
      <w:r/>
      <w:bookmarkStart w:id="345" w:name="_Toc1225022270"/>
      <w:r/>
      <w:bookmarkStart w:id="346" w:name="_Toc1077505333"/>
      <w:r>
        <w:rPr>
          <w:rFonts w:ascii="宋体" w:hAnsi="宋体"/>
          <w:color w:val="000000" w:themeColor="text1"/>
          <w:sz w:val="24"/>
          <w:highlight w:val="none"/>
          <w14:textFill>
            <w14:solidFill>
              <w14:schemeClr w14:val="tx1"/>
            </w14:solidFill>
          </w14:textFill>
        </w:rPr>
        <w:t xml:space="preserve">7</w:t>
      </w:r>
      <w:bookmarkStart w:id="347" w:name="_Toc303539130"/>
      <w:r/>
      <w:bookmarkStart w:id="348" w:name="_Toc297123521"/>
      <w:r/>
      <w:bookmarkStart w:id="349" w:name="_Toc300934973"/>
      <w:r/>
      <w:bookmarkStart w:id="350" w:name="_Toc297216180"/>
      <w:r/>
      <w:bookmarkStart w:id="351" w:name="_Toc304295551"/>
      <w:r/>
      <w:bookmarkStart w:id="352" w:name="_Toc312678017"/>
      <w:r>
        <w:rPr>
          <w:rFonts w:ascii="宋体" w:hAnsi="宋体"/>
          <w:color w:val="000000" w:themeColor="text1"/>
          <w:sz w:val="24"/>
          <w:highlight w:val="none"/>
          <w14:textFill>
            <w14:solidFill>
              <w14:schemeClr w14:val="tx1"/>
            </w14:solidFill>
          </w14:textFill>
        </w:rPr>
        <w:t xml:space="preserve">.7异常恶劣的气候条件</w:t>
      </w:r>
      <w:bookmarkEnd w:id="344"/>
      <w:r/>
      <w:bookmarkEnd w:id="345"/>
      <w:r/>
      <w:bookmarkEnd w:id="346"/>
      <w:r/>
      <w:bookmarkEnd w:id="347"/>
      <w:r/>
      <w:bookmarkEnd w:id="348"/>
      <w:r/>
      <w:bookmarkEnd w:id="349"/>
      <w:r/>
      <w:bookmarkEnd w:id="350"/>
      <w:r/>
      <w:bookmarkEnd w:id="351"/>
      <w:r/>
      <w:bookmarkEnd w:id="352"/>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发包人和承包人同意以下情形视为异常恶劣的气候条件：</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53" w:name="_Toc625782789"/>
      <w:r/>
      <w:bookmarkStart w:id="354" w:name="_Toc18194"/>
      <w:r/>
      <w:bookmarkStart w:id="355" w:name="_Toc63384221"/>
      <w:r>
        <w:rPr>
          <w:rFonts w:ascii="宋体" w:hAnsi="宋体"/>
          <w:color w:val="000000" w:themeColor="text1"/>
          <w:sz w:val="24"/>
          <w:highlight w:val="none"/>
          <w14:textFill>
            <w14:solidFill>
              <w14:schemeClr w14:val="tx1"/>
            </w14:solidFill>
          </w14:textFill>
        </w:rPr>
        <w:t xml:space="preserve">7.8 提前竣工的奖励</w:t>
      </w:r>
      <w:bookmarkEnd w:id="353"/>
      <w:r/>
      <w:bookmarkEnd w:id="354"/>
      <w:r/>
      <w:bookmarkEnd w:id="355"/>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7.8.1提前竣工的奖励：</w:t>
      </w:r>
      <w:r>
        <w:rPr>
          <w:rFonts w:ascii="宋体" w:hAnsi="宋体"/>
          <w:color w:val="000000" w:themeColor="text1"/>
          <w:sz w:val="24"/>
          <w:highlight w:val="none"/>
          <w:u w:val="single"/>
          <w14:textFill>
            <w14:solidFill>
              <w14:schemeClr w14:val="tx1"/>
            </w14:solidFill>
          </w14:textFill>
        </w:rPr>
        <w:t xml:space="preserve">不奖励</w:t>
      </w:r>
      <w:r>
        <w:rPr>
          <w:rFonts w:ascii="宋体" w:hAnsi="宋体"/>
          <w:color w:val="000000" w:themeColor="text1"/>
          <w:sz w:val="24"/>
          <w:highlight w:val="none"/>
          <w14:textFill>
            <w14:solidFill>
              <w14:schemeClr w14:val="tx1"/>
            </w14:solidFill>
          </w14:textFill>
        </w:rPr>
        <w:t xml:space="preserve">。</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356" w:name="_Toc1981848881"/>
      <w:r/>
      <w:bookmarkStart w:id="357" w:name="_Toc1290932324"/>
      <w:r>
        <w:rPr>
          <w:rFonts w:ascii="宋体" w:hAnsi="宋体" w:eastAsia="宋体"/>
          <w:b w:val="0"/>
          <w:color w:val="000000" w:themeColor="text1"/>
          <w:sz w:val="24"/>
          <w:szCs w:val="24"/>
          <w:highlight w:val="none"/>
          <w14:textFill>
            <w14:solidFill>
              <w14:schemeClr w14:val="tx1"/>
            </w14:solidFill>
          </w14:textFill>
        </w:rPr>
        <w:t xml:space="preserve">8. 材料与设备</w:t>
      </w:r>
      <w:bookmarkEnd w:id="244"/>
      <w:r/>
      <w:bookmarkEnd w:id="245"/>
      <w:r/>
      <w:bookmarkEnd w:id="246"/>
      <w:r/>
      <w:bookmarkEnd w:id="247"/>
      <w:r/>
      <w:bookmarkEnd w:id="248"/>
      <w:r/>
      <w:bookmarkEnd w:id="249"/>
      <w:r/>
      <w:bookmarkEnd w:id="250"/>
      <w:r/>
      <w:bookmarkEnd w:id="251"/>
      <w:r/>
      <w:bookmarkEnd w:id="252"/>
      <w:r/>
      <w:bookmarkEnd w:id="253"/>
      <w:r/>
      <w:bookmarkEnd w:id="356"/>
      <w:r/>
      <w:bookmarkEnd w:id="357"/>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58" w:name="_Toc1878"/>
      <w:r/>
      <w:bookmarkStart w:id="359" w:name="_Toc1549169060"/>
      <w:r/>
      <w:bookmarkStart w:id="360" w:name="_Toc489553729"/>
      <w:r>
        <w:rPr>
          <w:rFonts w:ascii="宋体" w:hAnsi="宋体"/>
          <w:color w:val="000000" w:themeColor="text1"/>
          <w:sz w:val="24"/>
          <w:highlight w:val="none"/>
          <w14:textFill>
            <w14:solidFill>
              <w14:schemeClr w14:val="tx1"/>
            </w14:solidFill>
          </w14:textFill>
        </w:rPr>
        <w:t xml:space="preserve">8</w:t>
      </w:r>
      <w:bookmarkStart w:id="361" w:name="_Toc296346668"/>
      <w:r/>
      <w:bookmarkStart w:id="362" w:name="_Toc297216186"/>
      <w:r/>
      <w:bookmarkStart w:id="363" w:name="_Toc300934979"/>
      <w:r/>
      <w:bookmarkStart w:id="364" w:name="_Toc296891207"/>
      <w:r/>
      <w:bookmarkStart w:id="365" w:name="_Toc292559877"/>
      <w:r/>
      <w:bookmarkStart w:id="366" w:name="_Toc312678019"/>
      <w:r/>
      <w:bookmarkStart w:id="367" w:name="_Toc297123527"/>
      <w:r/>
      <w:bookmarkStart w:id="368" w:name="_Toc296890995"/>
      <w:r/>
      <w:bookmarkStart w:id="369" w:name="_Toc296944506"/>
      <w:r/>
      <w:bookmarkStart w:id="370" w:name="_Toc312677493"/>
      <w:r/>
      <w:bookmarkStart w:id="371" w:name="_Toc292559372"/>
      <w:r/>
      <w:bookmarkStart w:id="372" w:name="_Toc280868654"/>
      <w:r/>
      <w:bookmarkStart w:id="373" w:name="_Toc297120467"/>
      <w:r/>
      <w:bookmarkStart w:id="374" w:name="_Toc296347166"/>
      <w:r/>
      <w:bookmarkStart w:id="375" w:name="_Toc303539136"/>
      <w:r/>
      <w:bookmarkStart w:id="376" w:name="_Toc296503167"/>
      <w:r/>
      <w:bookmarkStart w:id="377" w:name="_Toc297048353"/>
      <w:r/>
      <w:bookmarkStart w:id="378" w:name="_Toc304295556"/>
      <w:r/>
      <w:bookmarkStart w:id="379" w:name="_Toc280868655"/>
      <w:r/>
      <w:bookmarkStart w:id="380" w:name="_Toc280868656"/>
      <w:r/>
      <w:bookmarkStart w:id="381" w:name="_Toc267251424"/>
      <w:r>
        <w:rPr>
          <w:rFonts w:ascii="宋体" w:hAnsi="宋体"/>
          <w:color w:val="000000" w:themeColor="text1"/>
          <w:sz w:val="24"/>
          <w:highlight w:val="none"/>
          <w14:textFill>
            <w14:solidFill>
              <w14:schemeClr w14:val="tx1"/>
            </w14:solidFill>
          </w14:textFill>
        </w:rPr>
        <w:t xml:space="preserve">.1材料与工程设备的保管与使用</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bookmarkStart w:id="382" w:name="_Toc292559373"/>
      <w:r/>
      <w:bookmarkStart w:id="383" w:name="_Toc292559878"/>
      <w:r/>
      <w:bookmarkStart w:id="384" w:name="_Toc300934980"/>
      <w:r/>
      <w:bookmarkStart w:id="385" w:name="_Toc312678020"/>
      <w:r/>
      <w:bookmarkStart w:id="386" w:name="_Toc303539137"/>
      <w:r/>
      <w:bookmarkStart w:id="387" w:name="_Toc297216187"/>
      <w:r/>
      <w:bookmarkStart w:id="388" w:name="_Toc297048354"/>
      <w:r/>
      <w:bookmarkStart w:id="389" w:name="_Toc296347167"/>
      <w:r/>
      <w:bookmarkStart w:id="390" w:name="_Toc296503168"/>
      <w:r/>
      <w:bookmarkStart w:id="391" w:name="_Toc296890996"/>
      <w:r/>
      <w:bookmarkStart w:id="392" w:name="_Toc296891208"/>
      <w:r/>
      <w:bookmarkStart w:id="393" w:name="_Toc296346669"/>
      <w:r/>
      <w:bookmarkStart w:id="394" w:name="_Toc297123528"/>
      <w:r/>
      <w:bookmarkStart w:id="395" w:name="_Toc296944507"/>
      <w:r/>
      <w:bookmarkStart w:id="396" w:name="_Toc304295557"/>
      <w:r/>
      <w:bookmarkStart w:id="397" w:name="_Toc318581173"/>
      <w:r/>
      <w:bookmarkStart w:id="398" w:name="_Toc312677494"/>
      <w:r/>
      <w:bookmarkStart w:id="399" w:name="_Toc297120468"/>
      <w:r>
        <w:rPr>
          <w:rFonts w:ascii="宋体" w:hAnsi="宋体"/>
          <w:color w:val="000000" w:themeColor="text1"/>
          <w:sz w:val="24"/>
          <w:highlight w:val="none"/>
          <w14:textFill>
            <w14:solidFill>
              <w14:schemeClr w14:val="tx1"/>
            </w14:solidFill>
          </w14:textFill>
        </w:rPr>
        <w:t xml:space="preserve">.1.1发包人供应的苗木、材料设备的保管费用的承担：</w:t>
      </w:r>
      <w:r>
        <w:rPr>
          <w:rFonts w:ascii="宋体" w:hAnsi="宋体"/>
          <w:color w:val="000000" w:themeColor="text1"/>
          <w:sz w:val="24"/>
          <w:highlight w:val="none"/>
          <w:u w:val="single"/>
          <w14:textFill>
            <w14:solidFill>
              <w14:schemeClr w14:val="tx1"/>
            </w14:solidFill>
          </w14:textFill>
        </w:rPr>
        <w:t xml:space="preserve">承包人承担</w:t>
      </w:r>
      <w:r>
        <w:rPr>
          <w:rFonts w:ascii="宋体" w:hAnsi="宋体"/>
          <w:color w:val="000000" w:themeColor="text1"/>
          <w:sz w:val="24"/>
          <w:highlight w:val="none"/>
          <w14:textFill>
            <w14:solidFill>
              <w14:schemeClr w14:val="tx1"/>
            </w14:solidFill>
          </w14:textFill>
        </w:rPr>
        <w:t xml:space="preserve">。</w:t>
      </w:r>
      <w:bookmarkEnd w:id="382"/>
      <w:r/>
      <w:bookmarkEnd w:id="383"/>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0" w:name="_Toc15421"/>
      <w:r/>
      <w:bookmarkStart w:id="401" w:name="_Toc1602926888"/>
      <w:r/>
      <w:bookmarkStart w:id="402" w:name="_Toc1698965056"/>
      <w:r>
        <w:rPr>
          <w:rFonts w:ascii="宋体" w:hAnsi="宋体"/>
          <w:color w:val="000000" w:themeColor="text1"/>
          <w:sz w:val="24"/>
          <w:highlight w:val="none"/>
          <w14:textFill>
            <w14:solidFill>
              <w14:schemeClr w14:val="tx1"/>
            </w14:solidFill>
          </w14:textFill>
        </w:rPr>
        <w:t xml:space="preserve">8.2 样品</w:t>
      </w:r>
      <w:bookmarkEnd w:id="400"/>
      <w:r/>
      <w:bookmarkEnd w:id="401"/>
      <w:r/>
      <w:bookmarkEnd w:id="402"/>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3" w:name="_Toc155224400"/>
      <w:r/>
      <w:bookmarkStart w:id="404" w:name="_Toc658422827"/>
      <w:r>
        <w:rPr>
          <w:rFonts w:ascii="宋体" w:hAnsi="宋体"/>
          <w:color w:val="000000" w:themeColor="text1"/>
          <w:sz w:val="24"/>
          <w:highlight w:val="none"/>
          <w14:textFill>
            <w14:solidFill>
              <w14:schemeClr w14:val="tx1"/>
            </w14:solidFill>
          </w14:textFill>
        </w:rPr>
        <w:t xml:space="preserve">8.2.1样品的报送与封存</w:t>
      </w:r>
      <w:bookmarkEnd w:id="403"/>
      <w:r/>
      <w:bookmarkEnd w:id="404"/>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需要承包人报送样品的材料或工程设备，样品的种类、名称、规格、数量要求：</w:t>
      </w:r>
      <w:r>
        <w:rPr>
          <w:rFonts w:ascii="宋体" w:hAnsi="宋体"/>
          <w:color w:val="000000" w:themeColor="text1"/>
          <w:sz w:val="24"/>
          <w:highlight w:val="none"/>
          <w:u w:val="single"/>
          <w14:textFill>
            <w14:solidFill>
              <w14:schemeClr w14:val="tx1"/>
            </w14:solidFill>
          </w14:textFill>
        </w:rPr>
        <w:t xml:space="preserve">承包人需按照招标人要求提供样品</w:t>
      </w:r>
      <w:r>
        <w:rPr>
          <w:rFonts w:ascii="宋体" w:hAnsi="宋体"/>
          <w:color w:val="000000" w:themeColor="text1"/>
          <w:sz w:val="24"/>
          <w:highlight w:val="none"/>
          <w14:textFill>
            <w14:solidFill>
              <w14:schemeClr w14:val="tx1"/>
            </w14:solidFill>
          </w14:textFill>
        </w:rPr>
        <w:t xml:space="preserve">。</w:t>
      </w:r>
      <w:r/>
    </w:p>
    <w:p>
      <w:pPr>
        <w:pStyle w:val="967"/>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5" w:name="_Toc268737114"/>
      <w:r/>
      <w:bookmarkStart w:id="406" w:name="_Toc1156517039"/>
      <w:r/>
      <w:bookmarkStart w:id="407" w:name="_Toc22773"/>
      <w:r>
        <w:rPr>
          <w:rFonts w:ascii="宋体" w:hAnsi="宋体"/>
          <w:color w:val="000000" w:themeColor="text1"/>
          <w:sz w:val="24"/>
          <w:highlight w:val="none"/>
          <w14:textFill>
            <w14:solidFill>
              <w14:schemeClr w14:val="tx1"/>
            </w14:solidFill>
          </w14:textFill>
        </w:rPr>
        <w:t xml:space="preserve">8.3 施工设备和临时设施</w:t>
      </w:r>
      <w:bookmarkEnd w:id="405"/>
      <w:r/>
      <w:bookmarkEnd w:id="406"/>
      <w:r/>
      <w:bookmarkEnd w:id="407"/>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8.3.1 承包人提供的施工设备和临时设施</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关于修建临时设施费用承担的约定：</w:t>
      </w:r>
      <w:bookmarkEnd w:id="379"/>
      <w:r/>
      <w:bookmarkEnd w:id="380"/>
      <w:r/>
      <w:bookmarkEnd w:id="381"/>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Start w:id="408" w:name="_Toc351203641"/>
      <w:r/>
      <w:bookmarkStart w:id="409" w:name="_Toc312677499"/>
      <w:r/>
      <w:bookmarkStart w:id="410" w:name="_Toc296891233"/>
      <w:r/>
      <w:bookmarkStart w:id="411" w:name="_Toc303539146"/>
      <w:r/>
      <w:bookmarkStart w:id="412" w:name="_Toc292559398"/>
      <w:r/>
      <w:bookmarkStart w:id="413" w:name="_Toc300934989"/>
      <w:r/>
      <w:bookmarkStart w:id="414" w:name="_Toc296503193"/>
      <w:r/>
      <w:bookmarkStart w:id="415" w:name="_Toc296944532"/>
      <w:r/>
      <w:bookmarkStart w:id="416" w:name="_Toc296347192"/>
      <w:r/>
      <w:bookmarkStart w:id="417" w:name="_Toc297123540"/>
      <w:r/>
      <w:bookmarkStart w:id="418" w:name="_Toc296891021"/>
      <w:r/>
      <w:bookmarkStart w:id="419" w:name="_Toc297216199"/>
      <w:r/>
      <w:bookmarkStart w:id="420" w:name="_Toc292559903"/>
      <w:r/>
      <w:bookmarkStart w:id="421" w:name="_Toc312678025"/>
      <w:r/>
      <w:bookmarkStart w:id="422" w:name="_Toc297048379"/>
      <w:r/>
      <w:bookmarkStart w:id="423" w:name="_Toc296346694"/>
      <w:r/>
      <w:bookmarkStart w:id="424" w:name="_Toc304295566"/>
      <w:r/>
      <w:bookmarkStart w:id="425" w:name="_Toc297120493"/>
      <w:r/>
      <w:bookmarkStart w:id="426" w:name="_Toc267251440"/>
      <w:r/>
      <w:bookmarkStart w:id="427" w:name="_Toc267251437"/>
      <w:r/>
      <w:bookmarkStart w:id="428" w:name="_Toc267251439"/>
      <w:r/>
      <w:bookmarkStart w:id="429" w:name="_Toc267251435"/>
      <w:r/>
      <w:bookmarkStart w:id="430" w:name="_Toc267251433"/>
      <w:r/>
      <w:bookmarkStart w:id="431" w:name="_Toc267251441"/>
      <w:r/>
      <w:bookmarkStart w:id="432" w:name="_Toc267251442"/>
      <w:r>
        <w:rPr>
          <w:rFonts w:ascii="宋体" w:hAnsi="宋体"/>
          <w:color w:val="000000" w:themeColor="text1"/>
          <w:sz w:val="24"/>
          <w:highlight w:val="none"/>
          <w:u w:val="single"/>
          <w14:textFill>
            <w14:solidFill>
              <w14:schemeClr w14:val="tx1"/>
            </w14:solidFill>
          </w14:textFill>
        </w:rPr>
        <w:t xml:space="preserve">临时设施费用由投标人在其投标报价中考虑，由承包人承担，该报价中包括搭建、拆除外运等费用。</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433" w:name="_Toc1764962496"/>
      <w:r/>
      <w:bookmarkStart w:id="434" w:name="_Toc242413721"/>
      <w:r>
        <w:rPr>
          <w:rFonts w:ascii="宋体" w:hAnsi="宋体" w:eastAsia="宋体"/>
          <w:b w:val="0"/>
          <w:color w:val="000000" w:themeColor="text1"/>
          <w:sz w:val="24"/>
          <w:szCs w:val="24"/>
          <w:highlight w:val="none"/>
          <w14:textFill>
            <w14:solidFill>
              <w14:schemeClr w14:val="tx1"/>
            </w14:solidFill>
          </w14:textFill>
        </w:rPr>
        <w:t xml:space="preserve">9</w:t>
      </w:r>
      <w:bookmarkStart w:id="435" w:name="_Toc304295559"/>
      <w:r/>
      <w:bookmarkStart w:id="436" w:name="_Toc312677495"/>
      <w:r/>
      <w:bookmarkStart w:id="437" w:name="_Toc312678021"/>
      <w:r/>
      <w:bookmarkStart w:id="438" w:name="_Toc297123533"/>
      <w:r/>
      <w:bookmarkStart w:id="439" w:name="_Toc300934982"/>
      <w:r/>
      <w:bookmarkStart w:id="440" w:name="_Toc303539139"/>
      <w:r/>
      <w:bookmarkStart w:id="441" w:name="_Toc297216192"/>
      <w:r>
        <w:rPr>
          <w:rFonts w:ascii="宋体" w:hAnsi="宋体" w:eastAsia="宋体"/>
          <w:b w:val="0"/>
          <w:color w:val="000000" w:themeColor="text1"/>
          <w:sz w:val="24"/>
          <w:szCs w:val="24"/>
          <w:highlight w:val="none"/>
          <w14:textFill>
            <w14:solidFill>
              <w14:schemeClr w14:val="tx1"/>
            </w14:solidFill>
          </w14:textFill>
        </w:rPr>
        <w:t xml:space="preserve">. 试验与检验</w:t>
      </w:r>
      <w:bookmarkEnd w:id="408"/>
      <w:r/>
      <w:bookmarkEnd w:id="433"/>
      <w:r/>
      <w:bookmarkEnd w:id="434"/>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42" w:name="_Toc653733895"/>
      <w:r/>
      <w:bookmarkStart w:id="443" w:name="_Toc351203565"/>
      <w:r/>
      <w:bookmarkStart w:id="444" w:name="_Toc6956"/>
      <w:r/>
      <w:bookmarkStart w:id="445" w:name="_Toc1351090379"/>
      <w:r>
        <w:rPr>
          <w:rFonts w:ascii="宋体" w:hAnsi="宋体"/>
          <w:color w:val="000000" w:themeColor="text1"/>
          <w:sz w:val="24"/>
          <w:highlight w:val="none"/>
          <w14:textFill>
            <w14:solidFill>
              <w14:schemeClr w14:val="tx1"/>
            </w14:solidFill>
          </w14:textFill>
        </w:rPr>
        <w:t xml:space="preserve">9</w:t>
      </w:r>
      <w:bookmarkStart w:id="446" w:name="_Toc337558785"/>
      <w:r>
        <w:rPr>
          <w:rFonts w:ascii="宋体" w:hAnsi="宋体"/>
          <w:color w:val="000000" w:themeColor="text1"/>
          <w:sz w:val="24"/>
          <w:highlight w:val="none"/>
          <w14:textFill>
            <w14:solidFill>
              <w14:schemeClr w14:val="tx1"/>
            </w14:solidFill>
          </w14:textFill>
        </w:rPr>
        <w:t xml:space="preserve">.1材料、工程设备和工程的试验和检验</w:t>
      </w:r>
      <w:bookmarkEnd w:id="442"/>
      <w:r/>
      <w:bookmarkEnd w:id="443"/>
      <w:r/>
      <w:bookmarkEnd w:id="444"/>
      <w:r/>
      <w:bookmarkEnd w:id="445"/>
      <w:r/>
      <w:bookmarkEnd w:id="446"/>
      <w:r/>
      <w:r/>
    </w:p>
    <w:p>
      <w:pPr>
        <w:pStyle w:val="989"/>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9.1.1 试验设备</w:t>
      </w:r>
      <w:r/>
    </w:p>
    <w:p>
      <w:pPr>
        <w:pStyle w:val="989"/>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施工现场需要配置的试验场所：</w:t>
      </w:r>
      <w:r/>
    </w:p>
    <w:p>
      <w:pPr>
        <w:pStyle w:val="989"/>
        <w:ind w:left="63" w:right="63"/>
        <w:jc w:val="left"/>
        <w:spacing w:before="76"/>
        <w:tabs>
          <w:tab w:val="left" w:pos="428"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w:t>
      </w:r>
      <w:r/>
    </w:p>
    <w:p>
      <w:pPr>
        <w:pStyle w:val="989"/>
        <w:ind w:left="63" w:right="63"/>
        <w:jc w:val="left"/>
        <w:spacing w:before="7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施工现场需要配备的试验设备：</w:t>
      </w:r>
      <w:r/>
    </w:p>
    <w:p>
      <w:pPr>
        <w:pStyle w:val="989"/>
        <w:ind w:left="483" w:right="63" w:hanging="420"/>
        <w:jc w:val="left"/>
        <w:spacing w:line="417" w:lineRule="auto"/>
        <w:tabs>
          <w:tab w:val="left" w:pos="428" w:leader="none"/>
          <w:tab w:val="left" w:pos="399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施工现场需要具备的其他试验条件：</w:t>
      </w:r>
      <w:r/>
    </w:p>
    <w:p>
      <w:pPr>
        <w:pStyle w:val="989"/>
        <w:ind w:left="63" w:right="63"/>
        <w:jc w:val="left"/>
        <w:spacing w:line="269" w:lineRule="exact"/>
        <w:tabs>
          <w:tab w:val="left" w:pos="42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9.3.4 关于送检材料的约定：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89"/>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9.2 现场工艺试验</w:t>
      </w:r>
      <w:r/>
    </w:p>
    <w:p>
      <w:pPr>
        <w:pStyle w:val="989"/>
        <w:ind w:left="63" w:right="63"/>
        <w:jc w:val="left"/>
        <w:spacing w:before="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现场工艺试验的有关约定：</w:t>
      </w:r>
      <w:r/>
    </w:p>
    <w:p>
      <w:pPr>
        <w:pStyle w:val="989"/>
        <w:ind w:left="63" w:right="63"/>
        <w:jc w:val="left"/>
        <w:tabs>
          <w:tab w:val="left" w:pos="53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承包人根据相关法律、标准和规范及按照监理人指示进行试验并承担检测费用。</w:t>
      </w:r>
      <w:bookmarkEnd w:id="435"/>
      <w:r/>
      <w:bookmarkEnd w:id="436"/>
      <w:r/>
      <w:bookmarkEnd w:id="437"/>
      <w:r/>
      <w:bookmarkEnd w:id="438"/>
      <w:r/>
      <w:bookmarkEnd w:id="439"/>
      <w:r/>
      <w:bookmarkEnd w:id="440"/>
      <w:r/>
      <w:bookmarkEnd w:id="441"/>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447" w:name="_Toc458560564"/>
      <w:r/>
      <w:bookmarkStart w:id="448" w:name="_Toc334823199"/>
      <w:r>
        <w:rPr>
          <w:rFonts w:ascii="宋体" w:hAnsi="宋体" w:eastAsia="宋体"/>
          <w:b w:val="0"/>
          <w:color w:val="000000" w:themeColor="text1"/>
          <w:sz w:val="24"/>
          <w:szCs w:val="24"/>
          <w:highlight w:val="none"/>
          <w14:textFill>
            <w14:solidFill>
              <w14:schemeClr w14:val="tx1"/>
            </w14:solidFill>
          </w14:textFill>
        </w:rPr>
        <w:t xml:space="preserve">10. 变更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47"/>
      <w:r/>
      <w:bookmarkEnd w:id="448"/>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49" w:name="_Toc7749"/>
      <w:r/>
      <w:bookmarkStart w:id="450" w:name="_Toc2124203747"/>
      <w:r/>
      <w:bookmarkStart w:id="451" w:name="_Toc893189784"/>
      <w:r>
        <w:rPr>
          <w:rFonts w:ascii="宋体" w:hAnsi="宋体"/>
          <w:color w:val="000000" w:themeColor="text1"/>
          <w:sz w:val="24"/>
          <w:highlight w:val="none"/>
          <w14:textFill>
            <w14:solidFill>
              <w14:schemeClr w14:val="tx1"/>
            </w14:solidFill>
          </w14:textFill>
        </w:rPr>
        <w:t xml:space="preserve">1</w:t>
      </w:r>
      <w:bookmarkStart w:id="452" w:name="_Toc296891022"/>
      <w:r/>
      <w:bookmarkStart w:id="453" w:name="_Toc300934990"/>
      <w:r/>
      <w:bookmarkStart w:id="454" w:name="_Toc292559904"/>
      <w:r/>
      <w:bookmarkStart w:id="455" w:name="_Toc296944533"/>
      <w:r/>
      <w:bookmarkStart w:id="456" w:name="_Toc296503194"/>
      <w:r/>
      <w:bookmarkStart w:id="457" w:name="_Toc297048380"/>
      <w:r/>
      <w:bookmarkStart w:id="458" w:name="_Toc312677500"/>
      <w:r/>
      <w:bookmarkStart w:id="459" w:name="_Toc303539147"/>
      <w:r/>
      <w:bookmarkStart w:id="460" w:name="_Toc297120494"/>
      <w:r/>
      <w:bookmarkStart w:id="461" w:name="_Toc292559399"/>
      <w:r/>
      <w:bookmarkStart w:id="462" w:name="_Toc296347193"/>
      <w:r/>
      <w:bookmarkStart w:id="463" w:name="_Toc296891234"/>
      <w:r/>
      <w:bookmarkStart w:id="464" w:name="_Toc304295567"/>
      <w:r/>
      <w:bookmarkStart w:id="465" w:name="_Toc297216200"/>
      <w:r/>
      <w:bookmarkStart w:id="466" w:name="_Toc297123541"/>
      <w:r/>
      <w:bookmarkStart w:id="467" w:name="_Toc296346695"/>
      <w:r/>
      <w:bookmarkStart w:id="468" w:name="_Toc312678026"/>
      <w:r>
        <w:rPr>
          <w:rFonts w:ascii="宋体" w:hAnsi="宋体"/>
          <w:color w:val="000000" w:themeColor="text1"/>
          <w:sz w:val="24"/>
          <w:highlight w:val="none"/>
          <w14:textFill>
            <w14:solidFill>
              <w14:schemeClr w14:val="tx1"/>
            </w14:solidFill>
          </w14:textFill>
        </w:rPr>
        <w:t xml:space="preserve">0.1变更的范围</w:t>
      </w:r>
      <w:bookmarkEnd w:id="449"/>
      <w:r/>
      <w:bookmarkEnd w:id="450"/>
      <w:r/>
      <w:bookmarkEnd w:id="451"/>
      <w:r/>
      <w:r/>
    </w:p>
    <w:p>
      <w:pPr>
        <w:pStyle w:val="967"/>
        <w:jc w:val="left"/>
        <w:spacing w:before="191"/>
        <w:tabs>
          <w:tab w:val="left" w:pos="324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关于变更的范围的约定：除建设单位根据项目实际</w:t>
      </w:r>
      <w:r>
        <w:rPr>
          <w:rFonts w:ascii="宋体" w:hAnsi="宋体"/>
          <w:color w:val="000000" w:themeColor="text1"/>
          <w:sz w:val="24"/>
          <w:highlight w:val="none"/>
          <w14:textFill>
            <w14:solidFill>
              <w14:schemeClr w14:val="tx1"/>
            </w14:solidFill>
          </w14:textFill>
        </w:rPr>
        <w:t xml:space="preserve">情况、项目功能改变、国家文件政策性调整提出的变更外，其他内容一律不得变更。 涉及变更、签证必须执行（沛政办发〔2018〕22号）文件，经政府相关部门批准后实施。1、设计变更必须有设计单位的设计变更通知单或工程处理单，并经发包人认可（变更文件中须明确原做法、变更后做法及工艺、材料名称、规格、品牌、尺寸等，标注要清晰）；2、现场签证须有监理工程师、发包人现场代表、承包人项目经理、设计单位四方签字认可生效； 3、若承包人擅自变更或先施工后申请变更的，其工程量不予认可；4、所有变更价款均在项目竣工后审计时统一结算。</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69" w:name="_Toc1702387786"/>
      <w:r/>
      <w:bookmarkStart w:id="470" w:name="_Toc345483340"/>
      <w:r/>
      <w:bookmarkStart w:id="471" w:name="_Toc16117"/>
      <w:r>
        <w:rPr>
          <w:rFonts w:ascii="宋体" w:hAnsi="宋体"/>
          <w:color w:val="000000" w:themeColor="text1"/>
          <w:sz w:val="24"/>
          <w:highlight w:val="none"/>
          <w14:textFill>
            <w14:solidFill>
              <w14:schemeClr w14:val="tx1"/>
            </w14:solidFill>
          </w14:textFill>
        </w:rPr>
        <w:t xml:space="preserve">10.2 变更估价</w:t>
      </w:r>
      <w:bookmarkEnd w:id="469"/>
      <w:r/>
      <w:bookmarkEnd w:id="470"/>
      <w:r/>
      <w:bookmarkEnd w:id="471"/>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10.2.1 变更估价原则</w:t>
      </w:r>
      <w:r/>
    </w:p>
    <w:p>
      <w:pPr>
        <w:pStyle w:val="967"/>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关于变更估价的约定:</w:t>
      </w:r>
      <w:r>
        <w:rPr>
          <w:rFonts w:ascii="宋体" w:hAnsi="宋体"/>
          <w:color w:val="000000" w:themeColor="text1"/>
          <w:spacing w:val="-3"/>
          <w:sz w:val="24"/>
          <w:highlight w:val="non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1）采用工程量清单方式计价，竣工结算的工程量按发承包双方在合同中约定应予计量且实际完成的工程量确定，完成发包人要求的合同以外的零星工作或发生非承包人责任事件的工程量(含清单漏项)，新增工程量(含清单漏项)无投标单价的，其对应的综合单价按下列方法确定：</w:t>
      </w:r>
      <w:r/>
    </w:p>
    <w:p>
      <w:pPr>
        <w:pStyle w:val="967"/>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1、合同中已有的综合单价，按合同中已有的综合单价确定；</w:t>
      </w:r>
      <w:r/>
    </w:p>
    <w:p>
      <w:pPr>
        <w:pStyle w:val="967"/>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2、合同中已有类似的综合单价，参照类似的综合单价确定；</w:t>
      </w:r>
      <w:r/>
    </w:p>
    <w:p>
      <w:pPr>
        <w:pStyle w:val="967"/>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3、合同中没有适用或类似的综合单价，由承包人提出综合单价，经发包人确认后执行。 单价的组成及报价方式参照原清单的组价及计价方式（即综合单价按施工方投标文件综合单价中管理费及利润的费率，材料预算价格双方现场认定，机械费参照其他类似清单价格计取方式组价）最终以双方约定的审计机构审计结果为准。</w:t>
      </w:r>
      <w:r/>
    </w:p>
    <w:p>
      <w:pPr>
        <w:pStyle w:val="967"/>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（2）因分部分项工程量发生变化、清单漏项或非承包人原因的工程变更，造成施工组织设计或施工方案变更，引起措施项目发生变化时，措施费相应调整。</w:t>
      </w:r>
      <w:r/>
    </w:p>
    <w:p>
      <w:pPr>
        <w:pStyle w:val="967"/>
        <w:jc w:val="left"/>
        <w:spacing w:before="191"/>
        <w:tabs>
          <w:tab w:val="left" w:pos="324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10.2.2 变更估价的支付方式及时间</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关于变更价款的支付方式及时间的约定：                。</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72" w:name="_Toc2102284973"/>
      <w:r/>
      <w:bookmarkStart w:id="473" w:name="_Toc900110438"/>
      <w:r>
        <w:rPr>
          <w:rFonts w:ascii="宋体" w:hAnsi="宋体"/>
          <w:color w:val="000000" w:themeColor="text1"/>
          <w:sz w:val="24"/>
          <w:highlight w:val="none"/>
          <w14:textFill>
            <w14:solidFill>
              <w14:schemeClr w14:val="tx1"/>
            </w14:solidFill>
          </w14:textFill>
        </w:rPr>
        <w:t xml:space="preserve">1</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Start w:id="474" w:name="_Toc296891025"/>
      <w:r/>
      <w:bookmarkStart w:id="475" w:name="_Toc292559907"/>
      <w:r/>
      <w:bookmarkStart w:id="476" w:name="_Toc297123544"/>
      <w:r/>
      <w:bookmarkStart w:id="477" w:name="_Toc296347196"/>
      <w:r/>
      <w:bookmarkStart w:id="478" w:name="_Toc296503197"/>
      <w:r/>
      <w:bookmarkStart w:id="479" w:name="_Toc296346698"/>
      <w:r/>
      <w:bookmarkStart w:id="480" w:name="_Toc303539150"/>
      <w:r/>
      <w:bookmarkStart w:id="481" w:name="_Toc300934993"/>
      <w:r/>
      <w:bookmarkStart w:id="482" w:name="_Toc296944536"/>
      <w:r/>
      <w:bookmarkStart w:id="483" w:name="_Toc292559402"/>
      <w:r/>
      <w:bookmarkStart w:id="484" w:name="_Toc297216203"/>
      <w:r/>
      <w:bookmarkStart w:id="485" w:name="_Toc297048383"/>
      <w:r/>
      <w:bookmarkStart w:id="486" w:name="_Toc296891237"/>
      <w:r/>
      <w:bookmarkStart w:id="487" w:name="_Toc297120497"/>
      <w:r/>
      <w:bookmarkStart w:id="488" w:name="_Toc312677503"/>
      <w:r/>
      <w:bookmarkStart w:id="489" w:name="_Toc304295570"/>
      <w:r/>
      <w:bookmarkStart w:id="490" w:name="_Toc312678029"/>
      <w:r>
        <w:rPr>
          <w:rFonts w:ascii="宋体" w:hAnsi="宋体"/>
          <w:color w:val="000000" w:themeColor="text1"/>
          <w:sz w:val="24"/>
          <w:highlight w:val="none"/>
          <w14:textFill>
            <w14:solidFill>
              <w14:schemeClr w14:val="tx1"/>
            </w14:solidFill>
          </w14:textFill>
        </w:rPr>
        <w:t xml:space="preserve">0.3承</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Start w:id="491" w:name="_Toc297120503"/>
      <w:r/>
      <w:bookmarkStart w:id="492" w:name="_Toc296503203"/>
      <w:r/>
      <w:bookmarkStart w:id="493" w:name="_Toc303539151"/>
      <w:r/>
      <w:bookmarkStart w:id="494" w:name="_Toc297048389"/>
      <w:r/>
      <w:bookmarkStart w:id="495" w:name="_Toc297123545"/>
      <w:r/>
      <w:bookmarkStart w:id="496" w:name="_Toc296347202"/>
      <w:r/>
      <w:bookmarkStart w:id="497" w:name="_Toc300934994"/>
      <w:r/>
      <w:bookmarkStart w:id="498" w:name="_Toc296891031"/>
      <w:r/>
      <w:bookmarkStart w:id="499" w:name="_Toc296891243"/>
      <w:r/>
      <w:bookmarkStart w:id="500" w:name="_Toc296944542"/>
      <w:r/>
      <w:bookmarkStart w:id="501" w:name="_Toc296346704"/>
      <w:r/>
      <w:bookmarkStart w:id="502" w:name="_Toc292559913"/>
      <w:r/>
      <w:bookmarkStart w:id="503" w:name="_Toc297216204"/>
      <w:r/>
      <w:bookmarkStart w:id="504" w:name="_Toc292559408"/>
      <w:r>
        <w:rPr>
          <w:rFonts w:ascii="宋体" w:hAnsi="宋体"/>
          <w:color w:val="000000" w:themeColor="text1"/>
          <w:sz w:val="24"/>
          <w:highlight w:val="none"/>
          <w14:textFill>
            <w14:solidFill>
              <w14:schemeClr w14:val="tx1"/>
            </w14:solidFill>
          </w14:textFill>
        </w:rPr>
        <w:t xml:space="preserve">包人的合理化建议</w:t>
      </w:r>
      <w:bookmarkEnd w:id="472"/>
      <w:r/>
      <w:bookmarkEnd w:id="473"/>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pStyle w:val="989"/>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监理人审查承包人合理化建议的期限：</w:t>
      </w:r>
      <w:r>
        <w:rPr>
          <w:rFonts w:ascii="宋体" w:hAnsi="宋体"/>
          <w:color w:val="000000" w:themeColor="text1"/>
          <w:sz w:val="24"/>
          <w:highlight w:val="none"/>
          <w:u w:val="single"/>
          <w14:textFill>
            <w14:solidFill>
              <w14:schemeClr w14:val="tx1"/>
            </w14:solidFill>
          </w14:textFill>
        </w:rPr>
        <w:t xml:space="preserve">监理人应在收到承包人提交的合理化建议后 7天内审查完毕并报送发包人</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发包人审批承包人合理化建议的期限：</w:t>
      </w:r>
      <w:r>
        <w:rPr>
          <w:rFonts w:ascii="宋体" w:hAnsi="宋体"/>
          <w:color w:val="000000" w:themeColor="text1"/>
          <w:sz w:val="24"/>
          <w:highlight w:val="none"/>
          <w:u w:val="single"/>
          <w14:textFill>
            <w14:solidFill>
              <w14:schemeClr w14:val="tx1"/>
            </w14:solidFill>
          </w14:textFill>
        </w:rPr>
        <w:t xml:space="preserve">监理人应在收到承包人提交的合理化建议后7天内审查完毕并报送发包人</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w:t>
      </w:r>
      <w:bookmarkStart w:id="505" w:name="_Toc296503204"/>
      <w:r/>
      <w:bookmarkStart w:id="506" w:name="_Toc297123546"/>
      <w:r/>
      <w:bookmarkStart w:id="507" w:name="_Toc296346705"/>
      <w:r/>
      <w:bookmarkStart w:id="508" w:name="_Toc296891032"/>
      <w:r/>
      <w:bookmarkStart w:id="509" w:name="_Toc304295571"/>
      <w:r/>
      <w:bookmarkStart w:id="510" w:name="_Toc312677504"/>
      <w:r/>
      <w:bookmarkStart w:id="511" w:name="_Toc296891244"/>
      <w:r/>
      <w:bookmarkStart w:id="512" w:name="_Toc318581175"/>
      <w:r/>
      <w:bookmarkStart w:id="513" w:name="_Toc296347203"/>
      <w:r/>
      <w:bookmarkStart w:id="514" w:name="_Toc303539152"/>
      <w:r/>
      <w:bookmarkStart w:id="515" w:name="_Toc297216205"/>
      <w:r/>
      <w:bookmarkStart w:id="516" w:name="_Toc297048390"/>
      <w:r/>
      <w:bookmarkStart w:id="517" w:name="_Toc297120504"/>
      <w:r/>
      <w:bookmarkStart w:id="518" w:name="_Toc300934995"/>
      <w:r/>
      <w:bookmarkStart w:id="519" w:name="_Toc292559914"/>
      <w:r/>
      <w:bookmarkStart w:id="520" w:name="_Toc312678030"/>
      <w:r/>
      <w:bookmarkStart w:id="521" w:name="_Toc292559409"/>
      <w:r/>
      <w:bookmarkStart w:id="522" w:name="_Toc296944543"/>
      <w:r>
        <w:rPr>
          <w:rFonts w:ascii="宋体" w:hAnsi="宋体"/>
          <w:color w:val="000000" w:themeColor="text1"/>
          <w:sz w:val="24"/>
          <w:highlight w:val="none"/>
          <w14:textFill>
            <w14:solidFill>
              <w14:schemeClr w14:val="tx1"/>
            </w14:solidFill>
          </w14:textFill>
        </w:rPr>
        <w:t xml:space="preserve">包人提出的合理化建议降低了合同价格或者提高了工程经济效益的奖励的方法和金额为：</w:t>
      </w:r>
      <w:r>
        <w:rPr>
          <w:rFonts w:ascii="宋体" w:hAnsi="宋体"/>
          <w:color w:val="000000" w:themeColor="text1"/>
          <w:sz w:val="24"/>
          <w:highlight w:val="none"/>
          <w:u w:val="single"/>
          <w14:textFill>
            <w14:solidFill>
              <w14:schemeClr w14:val="tx1"/>
            </w14:solidFill>
          </w14:textFill>
        </w:rPr>
        <w:t xml:space="preserve">不奖励</w:t>
      </w:r>
      <w:r>
        <w:rPr>
          <w:rFonts w:ascii="宋体" w:hAnsi="宋体"/>
          <w:color w:val="000000" w:themeColor="text1"/>
          <w:sz w:val="24"/>
          <w:highlight w:val="none"/>
          <w14:textFill>
            <w14:solidFill>
              <w14:schemeClr w14:val="tx1"/>
            </w14:solidFill>
          </w14:textFill>
        </w:rPr>
        <w:t xml:space="preserve">。</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23" w:name="_Toc1569203092"/>
      <w:r/>
      <w:bookmarkStart w:id="524" w:name="_Toc1821307230"/>
      <w:r/>
      <w:bookmarkStart w:id="525" w:name="_Toc1308"/>
      <w:r>
        <w:rPr>
          <w:rFonts w:ascii="宋体" w:hAnsi="宋体"/>
          <w:color w:val="000000" w:themeColor="text1"/>
          <w:sz w:val="24"/>
          <w:highlight w:val="none"/>
          <w14:textFill>
            <w14:solidFill>
              <w14:schemeClr w14:val="tx1"/>
            </w14:solidFill>
          </w14:textFill>
        </w:rPr>
        <w:t xml:space="preserve">1</w:t>
      </w:r>
      <w:bookmarkStart w:id="526" w:name="_Toc297048385"/>
      <w:r/>
      <w:bookmarkStart w:id="527" w:name="_Toc312678033"/>
      <w:r/>
      <w:bookmarkStart w:id="528" w:name="_Toc292559909"/>
      <w:r/>
      <w:bookmarkStart w:id="529" w:name="_Toc296891027"/>
      <w:r/>
      <w:bookmarkStart w:id="530" w:name="_Toc300934997"/>
      <w:r/>
      <w:bookmarkStart w:id="531" w:name="_Toc292559404"/>
      <w:r/>
      <w:bookmarkStart w:id="532" w:name="_Toc296891239"/>
      <w:r/>
      <w:bookmarkStart w:id="533" w:name="_Toc297120499"/>
      <w:r/>
      <w:bookmarkStart w:id="534" w:name="_Toc303539154"/>
      <w:r/>
      <w:bookmarkStart w:id="535" w:name="_Toc296347198"/>
      <w:r/>
      <w:bookmarkStart w:id="536" w:name="_Toc304295574"/>
      <w:r/>
      <w:bookmarkStart w:id="537" w:name="_Toc297216207"/>
      <w:r/>
      <w:bookmarkStart w:id="538" w:name="_Toc312677507"/>
      <w:r/>
      <w:bookmarkStart w:id="539" w:name="_Toc296503199"/>
      <w:r/>
      <w:bookmarkStart w:id="540" w:name="_Toc296944538"/>
      <w:r/>
      <w:bookmarkStart w:id="541" w:name="_Toc296346700"/>
      <w:r/>
      <w:bookmarkStart w:id="542" w:name="_Toc297123548"/>
      <w:r>
        <w:rPr>
          <w:rFonts w:ascii="宋体" w:hAnsi="宋体"/>
          <w:color w:val="000000" w:themeColor="text1"/>
          <w:sz w:val="24"/>
          <w:highlight w:val="none"/>
          <w14:textFill>
            <w14:solidFill>
              <w14:schemeClr w14:val="tx1"/>
            </w14:solidFill>
          </w14:textFill>
        </w:rPr>
        <w:t xml:space="preserve">0.4 暂估价</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暂</w:t>
      </w:r>
      <w:bookmarkStart w:id="543" w:name="_Toc312677508"/>
      <w:r/>
      <w:bookmarkStart w:id="544" w:name="_Toc312678034"/>
      <w:r/>
      <w:bookmarkStart w:id="545" w:name="_Toc318581176"/>
      <w:r>
        <w:rPr>
          <w:rFonts w:ascii="宋体" w:hAnsi="宋体"/>
          <w:color w:val="000000" w:themeColor="text1"/>
          <w:sz w:val="24"/>
          <w:highlight w:val="none"/>
          <w14:textFill>
            <w14:solidFill>
              <w14:schemeClr w14:val="tx1"/>
            </w14:solidFill>
          </w14:textFill>
        </w:rPr>
        <w:t xml:space="preserve">估价材料的明细详见附件3：《暂估价一览表》。</w:t>
      </w:r>
      <w:bookmarkEnd w:id="543"/>
      <w:r/>
      <w:bookmarkEnd w:id="544"/>
      <w:r/>
      <w:bookmarkEnd w:id="545"/>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bookmarkStart w:id="546" w:name="_Toc318581177"/>
      <w:r/>
      <w:bookmarkStart w:id="547" w:name="_Toc312677509"/>
      <w:r/>
      <w:bookmarkStart w:id="548" w:name="_Toc312678035"/>
      <w:r>
        <w:rPr>
          <w:rFonts w:ascii="宋体" w:hAnsi="宋体"/>
          <w:color w:val="000000" w:themeColor="text1"/>
          <w:sz w:val="24"/>
          <w:highlight w:val="none"/>
          <w14:textFill>
            <w14:solidFill>
              <w14:schemeClr w14:val="tx1"/>
            </w14:solidFill>
          </w14:textFill>
        </w:rPr>
        <w:t xml:space="preserve">0.4.1 依法必须招标的暂估价项目</w:t>
      </w:r>
      <w:bookmarkEnd w:id="546"/>
      <w:r/>
      <w:bookmarkEnd w:id="547"/>
      <w:r/>
      <w:bookmarkEnd w:id="548"/>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对于依法必须招标的暂估价项目的确认和批准采取通用合同条款中第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种方式确定。</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10.4.2 不属于依法必须招标的暂估价项目</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对于不属于依法必须招标的暂估价项目的确认和批准采取通用合同条款中第种方式确定。</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第3种方式：承包人直接实施的暂估价项目</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承包人直接实施的暂估价项目的约定：                  。</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10.5 暂列金额</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合同当事人关于暂列金额使用的约定：</w:t>
      </w:r>
      <w:r>
        <w:rPr>
          <w:rFonts w:ascii="宋体" w:hAnsi="宋体"/>
          <w:color w:val="000000" w:themeColor="text1"/>
          <w:sz w:val="24"/>
          <w:highlight w:val="none"/>
          <w:u w:val="single"/>
          <w14:textFill>
            <w14:solidFill>
              <w14:schemeClr w14:val="tx1"/>
            </w14:solidFill>
          </w14:textFill>
        </w:rPr>
        <w:t xml:space="preserve">按招标人要求</w:t>
      </w:r>
      <w:r>
        <w:rPr>
          <w:rFonts w:ascii="宋体" w:hAnsi="宋体"/>
          <w:color w:val="000000" w:themeColor="text1"/>
          <w:sz w:val="24"/>
          <w:highlight w:val="none"/>
          <w14:textFill>
            <w14:solidFill>
              <w14:schemeClr w14:val="tx1"/>
            </w14:solidFill>
          </w14:textFill>
        </w:rPr>
        <w:t xml:space="preserve">。</w:t>
      </w:r>
      <w:r/>
    </w:p>
    <w:p>
      <w:pPr>
        <w:pStyle w:val="969"/>
        <w:numPr>
          <w:ilvl w:val="0"/>
          <w:numId w:val="0"/>
        </w:numPr>
        <w:ind w:left="284"/>
        <w:rPr>
          <w:rFonts w:ascii="宋体" w:hAnsi="宋体" w:eastAsia="宋体"/>
          <w:b w:val="0"/>
          <w:color w:val="000000" w:themeColor="text1"/>
          <w:sz w:val="24"/>
          <w:szCs w:val="24"/>
          <w:highlight w:val="none"/>
          <w14:textFill>
            <w14:solidFill>
              <w14:schemeClr w14:val="tx1"/>
            </w14:solidFill>
          </w14:textFill>
        </w:rPr>
      </w:pPr>
      <w:r/>
      <w:bookmarkStart w:id="549" w:name="_Toc17442182"/>
      <w:r/>
      <w:bookmarkStart w:id="550" w:name="_Toc1637898606"/>
      <w:r>
        <w:rPr>
          <w:rFonts w:ascii="宋体" w:hAnsi="宋体" w:eastAsia="宋体"/>
          <w:b w:val="0"/>
          <w:color w:val="000000" w:themeColor="text1"/>
          <w:sz w:val="24"/>
          <w:szCs w:val="24"/>
          <w:highlight w:val="none"/>
          <w14:textFill>
            <w14:solidFill>
              <w14:schemeClr w14:val="tx1"/>
            </w14:solidFill>
          </w14:textFill>
        </w:rPr>
        <w:t xml:space="preserve">11. 价格调整</w:t>
      </w:r>
      <w:bookmarkEnd w:id="549"/>
      <w:r/>
      <w:bookmarkEnd w:id="550"/>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51" w:name="_Toc297123550"/>
      <w:r/>
      <w:bookmarkStart w:id="552" w:name="_Toc31698"/>
      <w:r/>
      <w:bookmarkStart w:id="553" w:name="_Toc296503201"/>
      <w:r/>
      <w:bookmarkStart w:id="554" w:name="_Toc296346702"/>
      <w:r/>
      <w:bookmarkStart w:id="555" w:name="_Toc296347200"/>
      <w:r/>
      <w:bookmarkStart w:id="556" w:name="_Toc300935000"/>
      <w:r/>
      <w:bookmarkStart w:id="557" w:name="_Toc292559911"/>
      <w:r/>
      <w:bookmarkStart w:id="558" w:name="_Toc312678039"/>
      <w:r/>
      <w:bookmarkStart w:id="559" w:name="_Toc297216209"/>
      <w:r/>
      <w:bookmarkStart w:id="560" w:name="_Toc304295577"/>
      <w:r/>
      <w:bookmarkStart w:id="561" w:name="_Toc303539157"/>
      <w:r/>
      <w:bookmarkStart w:id="562" w:name="_Toc296891029"/>
      <w:r/>
      <w:bookmarkStart w:id="563" w:name="_Toc296891241"/>
      <w:r/>
      <w:bookmarkStart w:id="564" w:name="_Toc297048387"/>
      <w:r/>
      <w:bookmarkStart w:id="565" w:name="_Toc296944540"/>
      <w:r/>
      <w:bookmarkStart w:id="566" w:name="_Toc292559406"/>
      <w:r/>
      <w:bookmarkStart w:id="567" w:name="_Toc1614717129"/>
      <w:r/>
      <w:bookmarkStart w:id="568" w:name="_Toc297120501"/>
      <w:r/>
      <w:bookmarkStart w:id="569" w:name="_Toc1840417661"/>
      <w:r>
        <w:rPr>
          <w:rFonts w:ascii="宋体" w:hAnsi="宋体"/>
          <w:color w:val="000000" w:themeColor="text1"/>
          <w:sz w:val="24"/>
          <w:highlight w:val="none"/>
          <w14:textFill>
            <w14:solidFill>
              <w14:schemeClr w14:val="tx1"/>
            </w14:solidFill>
          </w14:textFill>
        </w:rPr>
        <w:t xml:space="preserve">11.1 市场价格波动引起的调整</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市场价格波动是否调整合同价格的约定：</w:t>
      </w:r>
      <w:r>
        <w:rPr>
          <w:rFonts w:ascii="宋体" w:hAnsi="宋体"/>
          <w:color w:val="000000" w:themeColor="text1"/>
          <w:sz w:val="24"/>
          <w:highlight w:val="none"/>
          <w:u w:val="single"/>
          <w14:textFill>
            <w14:solidFill>
              <w14:schemeClr w14:val="tx1"/>
            </w14:solidFill>
          </w14:textFill>
        </w:rPr>
        <w:t xml:space="preserve">不调整</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因市场价格波动调整合同价格，采用以下第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种方式对合同价格进行调整：</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第1种方式：采用价格指数进行价格调整。</w:t>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关于各可调因子、定值和变值权重，以及基本价格指数及其来源的约定：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第2种方式：采用造价信息进行价格调整。</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（2）关于基准价格的约定：                         。</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①承包人在已标价工程量清单或预算书中载明的材料单价低于基准价格的：合同履行期间材料单价涨幅以基准价格为基础超过</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%时，或材料单价跌幅以已标价工程量清单或预算书中载明材料单价为基础超过%时，其超过部分据实调整。</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②承包人在已标价工程量清单或预算书中载明的材料单价高于基准价格的：合同履行期间材料单价跌幅以基准价格为基础超过%时，材料单价涨幅以已标价工程量清单或预算书中载明材料单价为基础超过%时，其超过部分据实调整。</w:t>
      </w:r>
      <w:r/>
    </w:p>
    <w:p>
      <w:pPr>
        <w:pStyle w:val="967"/>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③承包人在已标价工程量清单或预算书中载明的材料单价等于基准单价的：合同履行期间材料单价涨跌幅以基准单价为基础超过±</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%时，其超过部分据实调整。</w:t>
      </w:r>
      <w:r/>
    </w:p>
    <w:p>
      <w:pPr>
        <w:pStyle w:val="967"/>
        <w:ind w:firstLine="645"/>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第3种方式：其他价格调整方式：</w:t>
      </w:r>
      <w:r>
        <w:rPr>
          <w:rFonts w:ascii="宋体" w:hAnsi="宋体"/>
          <w:color w:val="000000" w:themeColor="text1"/>
          <w:sz w:val="24"/>
          <w:highlight w:val="none"/>
          <w:u w:val="single"/>
          <w14:textFill>
            <w14:solidFill>
              <w14:schemeClr w14:val="tx1"/>
            </w14:solidFill>
          </w14:textFill>
        </w:rPr>
        <w:t xml:space="preserve">1、当施工期间上述建筑材料价格上涨超过10%时，10%以内（含）的部分由承包方承担，超出10%的部分由发包方承担；当施工期间主要建筑材料价格下降超过5%时，5%（含）以内的部分由承包方受益，超出5%的部分由发包方受益。招标范围内其它所有材料价格结算时均不再调整。主要建筑材料价格调整公式：主要建筑材料差价=施工期《徐州工程造价信息》发布的材料加权平均指导价-合同工程基准期当月《徐州工程造价信息》发布的材料指导价×（1+合同风险包干幅度）。</w:t>
      </w:r>
      <w:r/>
    </w:p>
    <w:p>
      <w:pPr>
        <w:pStyle w:val="989"/>
        <w:ind w:left="63" w:right="63" w:firstLine="645"/>
        <w:jc w:val="left"/>
        <w:spacing w:line="417" w:lineRule="auto"/>
        <w:tabs>
          <w:tab w:val="left" w:pos="547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2、除本合同明确调整外，其他材料结算时不予调整。</w:t>
      </w:r>
      <w:bookmarkEnd w:id="426"/>
      <w:r/>
      <w:bookmarkEnd w:id="427"/>
      <w:r/>
      <w:bookmarkEnd w:id="428"/>
      <w:r/>
      <w:bookmarkEnd w:id="429"/>
      <w:r/>
      <w:bookmarkEnd w:id="430"/>
      <w:r/>
      <w:bookmarkEnd w:id="431"/>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570" w:name="_Toc292559410"/>
      <w:r/>
      <w:bookmarkStart w:id="571" w:name="_Toc296891245"/>
      <w:r/>
      <w:bookmarkStart w:id="572" w:name="_Toc296944544"/>
      <w:r/>
      <w:bookmarkStart w:id="573" w:name="_Toc292559915"/>
      <w:r/>
      <w:bookmarkStart w:id="574" w:name="_Toc296347204"/>
      <w:r/>
      <w:bookmarkStart w:id="575" w:name="_Toc296503205"/>
      <w:r/>
      <w:bookmarkStart w:id="576" w:name="_Toc296346706"/>
      <w:r/>
      <w:bookmarkStart w:id="577" w:name="_Toc296891033"/>
      <w:r/>
      <w:bookmarkStart w:id="578" w:name="_Toc297048391"/>
      <w:r/>
      <w:bookmarkStart w:id="579" w:name="_Toc297120505"/>
      <w:r/>
      <w:bookmarkStart w:id="580" w:name="_Toc297216211"/>
      <w:r/>
      <w:bookmarkStart w:id="581" w:name="_Toc303539159"/>
      <w:r/>
      <w:bookmarkStart w:id="582" w:name="_Toc2095751839"/>
      <w:r/>
      <w:bookmarkStart w:id="583" w:name="_Toc300935002"/>
      <w:r/>
      <w:bookmarkStart w:id="584" w:name="_Toc312678040"/>
      <w:r/>
      <w:bookmarkStart w:id="585" w:name="_Toc304295579"/>
      <w:r/>
      <w:bookmarkStart w:id="586" w:name="_Toc297123552"/>
      <w:r/>
      <w:bookmarkStart w:id="587" w:name="_Toc226573127"/>
      <w:r>
        <w:rPr>
          <w:rFonts w:ascii="宋体" w:hAnsi="宋体" w:eastAsia="宋体"/>
          <w:b w:val="0"/>
          <w:color w:val="000000" w:themeColor="text1"/>
          <w:sz w:val="24"/>
          <w:szCs w:val="24"/>
          <w:highlight w:val="none"/>
          <w14:textFill>
            <w14:solidFill>
              <w14:schemeClr w14:val="tx1"/>
            </w14:solidFill>
          </w14:textFill>
        </w:rPr>
        <w:t xml:space="preserve">12. </w:t>
      </w:r>
      <w:bookmarkEnd w:id="570"/>
      <w:r/>
      <w:bookmarkEnd w:id="571"/>
      <w:r/>
      <w:bookmarkEnd w:id="572"/>
      <w:r/>
      <w:bookmarkEnd w:id="573"/>
      <w:r/>
      <w:bookmarkEnd w:id="574"/>
      <w:r/>
      <w:bookmarkEnd w:id="575"/>
      <w:r/>
      <w:bookmarkEnd w:id="576"/>
      <w:r/>
      <w:bookmarkEnd w:id="577"/>
      <w:r/>
      <w:bookmarkEnd w:id="578"/>
      <w:r/>
      <w:bookmarkEnd w:id="579"/>
      <w:r>
        <w:rPr>
          <w:rFonts w:ascii="宋体" w:hAnsi="宋体" w:eastAsia="宋体"/>
          <w:b w:val="0"/>
          <w:color w:val="000000" w:themeColor="text1"/>
          <w:sz w:val="24"/>
          <w:szCs w:val="24"/>
          <w:highlight w:val="none"/>
          <w14:textFill>
            <w14:solidFill>
              <w14:schemeClr w14:val="tx1"/>
            </w14:solidFill>
          </w14:textFill>
        </w:rPr>
        <w:t xml:space="preserve">合同价格、计量与支付</w:t>
      </w:r>
      <w:bookmarkEnd w:id="580"/>
      <w:r/>
      <w:bookmarkEnd w:id="581"/>
      <w:r/>
      <w:bookmarkEnd w:id="582"/>
      <w:r/>
      <w:bookmarkEnd w:id="583"/>
      <w:r/>
      <w:bookmarkEnd w:id="584"/>
      <w:r/>
      <w:bookmarkEnd w:id="585"/>
      <w:r/>
      <w:bookmarkEnd w:id="586"/>
      <w:r/>
      <w:bookmarkEnd w:id="587"/>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88" w:name="_Toc292559411"/>
      <w:r/>
      <w:bookmarkStart w:id="589" w:name="_Toc267251461"/>
      <w:r/>
      <w:bookmarkStart w:id="590" w:name="_Toc292559916"/>
      <w:r/>
      <w:bookmarkStart w:id="591" w:name="_Toc296347205"/>
      <w:r/>
      <w:bookmarkStart w:id="592" w:name="_Toc296891246"/>
      <w:r/>
      <w:bookmarkStart w:id="593" w:name="_Toc296346707"/>
      <w:r/>
      <w:bookmarkStart w:id="594" w:name="_Toc296944545"/>
      <w:r/>
      <w:bookmarkStart w:id="595" w:name="_Toc297048392"/>
      <w:r/>
      <w:bookmarkStart w:id="596" w:name="_Toc296891034"/>
      <w:r/>
      <w:bookmarkStart w:id="597" w:name="_Toc296503206"/>
      <w:r/>
      <w:bookmarkStart w:id="598" w:name="_Toc297120506"/>
      <w:r/>
      <w:bookmarkStart w:id="599" w:name="_Toc300935003"/>
      <w:r/>
      <w:bookmarkStart w:id="600" w:name="_Toc13589"/>
      <w:r/>
      <w:bookmarkStart w:id="601" w:name="_Toc312678041"/>
      <w:r/>
      <w:bookmarkStart w:id="602" w:name="_Toc74869891"/>
      <w:r/>
      <w:bookmarkStart w:id="603" w:name="_Toc297123553"/>
      <w:r/>
      <w:bookmarkStart w:id="604" w:name="_Toc303539160"/>
      <w:r/>
      <w:bookmarkStart w:id="605" w:name="_Toc297216212"/>
      <w:r/>
      <w:bookmarkStart w:id="606" w:name="_Toc1734401749"/>
      <w:r/>
      <w:bookmarkStart w:id="607" w:name="_Toc304295580"/>
      <w:r>
        <w:rPr>
          <w:rFonts w:ascii="宋体" w:hAnsi="宋体"/>
          <w:color w:val="000000" w:themeColor="text1"/>
          <w:sz w:val="24"/>
          <w:highlight w:val="none"/>
          <w14:textFill>
            <w14:solidFill>
              <w14:schemeClr w14:val="tx1"/>
            </w14:solidFill>
          </w14:textFill>
        </w:rPr>
        <w:t xml:space="preserve">12.1 合</w:t>
      </w:r>
      <w:bookmarkEnd w:id="588"/>
      <w:r/>
      <w:bookmarkEnd w:id="589"/>
      <w:r/>
      <w:bookmarkEnd w:id="590"/>
      <w:r>
        <w:rPr>
          <w:rFonts w:ascii="宋体" w:hAnsi="宋体"/>
          <w:color w:val="000000" w:themeColor="text1"/>
          <w:sz w:val="24"/>
          <w:highlight w:val="none"/>
          <w14:textFill>
            <w14:solidFill>
              <w14:schemeClr w14:val="tx1"/>
            </w14:solidFill>
          </w14:textFill>
        </w:rPr>
        <w:t xml:space="preserve">同价</w:t>
      </w:r>
      <w:bookmarkEnd w:id="591"/>
      <w:r/>
      <w:bookmarkEnd w:id="592"/>
      <w:r/>
      <w:bookmarkEnd w:id="593"/>
      <w:r/>
      <w:bookmarkEnd w:id="594"/>
      <w:r/>
      <w:bookmarkEnd w:id="595"/>
      <w:r/>
      <w:bookmarkEnd w:id="596"/>
      <w:r/>
      <w:bookmarkEnd w:id="597"/>
      <w:r/>
      <w:bookmarkEnd w:id="598"/>
      <w:r>
        <w:rPr>
          <w:rFonts w:ascii="宋体" w:hAnsi="宋体"/>
          <w:color w:val="000000" w:themeColor="text1"/>
          <w:sz w:val="24"/>
          <w:highlight w:val="none"/>
          <w14:textFill>
            <w14:solidFill>
              <w14:schemeClr w14:val="tx1"/>
            </w14:solidFill>
          </w14:textFill>
        </w:rPr>
        <w:t xml:space="preserve">格形式</w:t>
      </w:r>
      <w:bookmarkEnd w:id="599"/>
      <w:r/>
      <w:bookmarkEnd w:id="600"/>
      <w:r/>
      <w:bookmarkEnd w:id="601"/>
      <w:r/>
      <w:bookmarkEnd w:id="602"/>
      <w:r/>
      <w:bookmarkEnd w:id="603"/>
      <w:r/>
      <w:bookmarkEnd w:id="604"/>
      <w:r/>
      <w:bookmarkEnd w:id="605"/>
      <w:r/>
      <w:bookmarkEnd w:id="606"/>
      <w:r/>
      <w:bookmarkEnd w:id="607"/>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1.单价合同。</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综合单价包含的风险范围：</w:t>
      </w:r>
      <w:r>
        <w:rPr>
          <w:rFonts w:ascii="宋体" w:hAnsi="宋体"/>
          <w:color w:val="000000" w:themeColor="text1"/>
          <w:sz w:val="24"/>
          <w:highlight w:val="none"/>
          <w:u w:val="single"/>
          <w14:textFill>
            <w14:solidFill>
              <w14:schemeClr w14:val="tx1"/>
            </w14:solidFill>
          </w14:textFill>
        </w:rPr>
        <w:t xml:space="preserve">不调整</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风险费用的计算方法：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风险范围以外合同价格的调整方法：</w:t>
      </w:r>
      <w:r>
        <w:rPr>
          <w:rFonts w:ascii="宋体" w:hAnsi="宋体"/>
          <w:color w:val="000000" w:themeColor="text1"/>
          <w:sz w:val="24"/>
          <w:highlight w:val="none"/>
          <w:u w:val="single"/>
          <w14:textFill>
            <w14:solidFill>
              <w14:schemeClr w14:val="tx1"/>
            </w14:solidFill>
          </w14:textFill>
        </w:rPr>
        <w:t xml:space="preserve">风险费用已包含在合同价中</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总价包含的风险范围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i/>
          <w:iCs/>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风险费用的计算方法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风险范围以外合同价格的调整方法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3.其他价格方式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08" w:name="_Toc712673231"/>
      <w:r/>
      <w:bookmarkStart w:id="609" w:name="_Toc1924091423"/>
      <w:r/>
      <w:bookmarkStart w:id="610" w:name="_Toc300935004"/>
      <w:r/>
      <w:bookmarkStart w:id="611" w:name="_Toc312678042"/>
      <w:r/>
      <w:bookmarkStart w:id="612" w:name="_Toc297123554"/>
      <w:r/>
      <w:bookmarkStart w:id="613" w:name="_Toc304295581"/>
      <w:r/>
      <w:bookmarkStart w:id="614" w:name="_Toc297216213"/>
      <w:r/>
      <w:bookmarkStart w:id="615" w:name="_Toc303539161"/>
      <w:r/>
      <w:bookmarkStart w:id="616" w:name="_Toc297120507"/>
      <w:r/>
      <w:bookmarkStart w:id="617" w:name="_Toc296347206"/>
      <w:r/>
      <w:bookmarkStart w:id="618" w:name="_Toc296346708"/>
      <w:r/>
      <w:bookmarkStart w:id="619" w:name="_Toc292559412"/>
      <w:r/>
      <w:bookmarkStart w:id="620" w:name="_Toc292559917"/>
      <w:r/>
      <w:bookmarkStart w:id="621" w:name="_Toc297048393"/>
      <w:r/>
      <w:bookmarkStart w:id="622" w:name="_Toc296891035"/>
      <w:r/>
      <w:bookmarkStart w:id="623" w:name="_Toc296503207"/>
      <w:r/>
      <w:bookmarkStart w:id="624" w:name="_Toc296944546"/>
      <w:r/>
      <w:bookmarkStart w:id="625" w:name="_Toc296891247"/>
      <w:r>
        <w:rPr>
          <w:rFonts w:ascii="宋体" w:hAnsi="宋体"/>
          <w:color w:val="000000" w:themeColor="text1"/>
          <w:sz w:val="24"/>
          <w:highlight w:val="none"/>
          <w14:textFill>
            <w14:solidFill>
              <w14:schemeClr w14:val="tx1"/>
            </w14:solidFill>
          </w14:textFill>
        </w:rPr>
        <w:t xml:space="preserve">12.2 预付款</w:t>
      </w:r>
      <w:bookmarkEnd w:id="608"/>
      <w:r/>
      <w:bookmarkEnd w:id="609"/>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12.2.1 预付款的支付</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预付款扣回的方式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89"/>
        <w:ind w:left="63" w:right="63" w:firstLine="480"/>
        <w:jc w:val="left"/>
        <w:spacing w:before="1"/>
        <w:tabs>
          <w:tab w:val="left" w:pos="4202" w:leader="none"/>
          <w:tab w:val="left" w:pos="572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预付款支付比例或金额</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预付款支付期限</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bookmarkEnd w:id="610"/>
      <w:r/>
      <w:bookmarkEnd w:id="611"/>
      <w:r/>
      <w:bookmarkEnd w:id="612"/>
      <w:r/>
      <w:bookmarkEnd w:id="613"/>
      <w:r/>
      <w:bookmarkEnd w:id="614"/>
      <w:r/>
      <w:bookmarkEnd w:id="615"/>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12.2.2 预付款担保</w:t>
      </w:r>
      <w:r/>
    </w:p>
    <w:p>
      <w:pPr>
        <w:pStyle w:val="989"/>
        <w:ind w:left="63" w:right="63"/>
        <w:jc w:val="left"/>
        <w:spacing w:line="417" w:lineRule="auto"/>
        <w:tabs>
          <w:tab w:val="left" w:pos="4734" w:leader="none"/>
          <w:tab w:val="left" w:pos="626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承包人提交预付款担保的期限</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。预付款担保的形式为</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签订合同后</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个工作日内，承包人需提交支付担保人民币</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元（中标价的</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%），以</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保函或</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保险形式执行。预付款担保的有效期至为止。</w:t>
      </w:r>
      <w:bookmarkEnd w:id="616"/>
      <w:r/>
      <w:bookmarkEnd w:id="617"/>
      <w:r/>
      <w:bookmarkEnd w:id="618"/>
      <w:r/>
      <w:bookmarkEnd w:id="619"/>
      <w:r/>
      <w:bookmarkEnd w:id="620"/>
      <w:r/>
      <w:bookmarkEnd w:id="621"/>
      <w:r/>
      <w:bookmarkEnd w:id="622"/>
      <w:r/>
      <w:bookmarkEnd w:id="623"/>
      <w:r/>
      <w:bookmarkEnd w:id="624"/>
      <w:r/>
      <w:bookmarkEnd w:id="625"/>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26" w:name="_Toc1055625342"/>
      <w:r/>
      <w:bookmarkStart w:id="627" w:name="_Toc100272494"/>
      <w:r/>
      <w:bookmarkStart w:id="628" w:name="_Toc13601"/>
      <w:r>
        <w:rPr>
          <w:rFonts w:ascii="宋体" w:hAnsi="宋体"/>
          <w:color w:val="000000" w:themeColor="text1"/>
          <w:sz w:val="24"/>
          <w:highlight w:val="none"/>
          <w14:textFill>
            <w14:solidFill>
              <w14:schemeClr w14:val="tx1"/>
            </w14:solidFill>
          </w14:textFill>
        </w:rPr>
        <w:t xml:space="preserve">12.3 计量</w:t>
      </w:r>
      <w:bookmarkEnd w:id="626"/>
      <w:r/>
      <w:bookmarkEnd w:id="627"/>
      <w:r/>
      <w:bookmarkEnd w:id="628"/>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12.3.1 计量原则</w:t>
      </w:r>
      <w:r/>
    </w:p>
    <w:p>
      <w:pPr>
        <w:pStyle w:val="989"/>
        <w:ind w:left="63" w:right="63"/>
        <w:jc w:val="left"/>
        <w:spacing w:before="122"/>
        <w:tabs>
          <w:tab w:val="left" w:pos="24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工程量计算规则：</w:t>
      </w:r>
      <w:r>
        <w:rPr>
          <w:rFonts w:ascii="宋体" w:hAnsi="宋体"/>
          <w:color w:val="000000" w:themeColor="text1"/>
          <w:sz w:val="24"/>
          <w:highlight w:val="none"/>
          <w:u w:val="single"/>
          <w14:textFill>
            <w14:solidFill>
              <w14:schemeClr w14:val="tx1"/>
            </w14:solidFill>
          </w14:textFill>
        </w:rPr>
        <w:t xml:space="preserve">本工程执行现行国家标准《建设工程工程量清单计价规范》（GB50500-2013）及《江苏省市政工程计价定额》（2014版）、《江苏省建设工程费用定额》（2014年）、苏建价〔2016〕154 号和相应配套文件，以及有关文件规定和招标人提供的工程量清单。</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12.3.2 计量周期</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关于计量周期的约定：</w:t>
      </w:r>
      <w:r>
        <w:rPr>
          <w:rFonts w:ascii="宋体" w:hAnsi="宋体"/>
          <w:color w:val="000000" w:themeColor="text1"/>
          <w:sz w:val="24"/>
          <w:highlight w:val="none"/>
          <w:u w:val="single"/>
          <w14:textFill>
            <w14:solidFill>
              <w14:schemeClr w14:val="tx1"/>
            </w14:solidFill>
          </w14:textFill>
        </w:rPr>
        <w:t xml:space="preserve">工程量的计量按月进行</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12.3.3 单价合同的计量</w:t>
      </w:r>
      <w:r/>
    </w:p>
    <w:p>
      <w:pPr>
        <w:pStyle w:val="989"/>
        <w:ind w:left="63" w:right="63"/>
        <w:jc w:val="left"/>
        <w:tabs>
          <w:tab w:val="left" w:pos="3659"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关于单价合同计量的约定：</w:t>
      </w:r>
      <w:r>
        <w:rPr>
          <w:rFonts w:ascii="宋体" w:hAnsi="宋体"/>
          <w:color w:val="000000" w:themeColor="text1"/>
          <w:sz w:val="24"/>
          <w:highlight w:val="none"/>
          <w:u w:val="single"/>
          <w14:textFill>
            <w14:solidFill>
              <w14:schemeClr w14:val="tx1"/>
            </w14:solidFill>
          </w14:textFill>
        </w:rPr>
        <w:t xml:space="preserve">1、每月25日前提交本月已完工程量报告；2、工程量的测量、验收、计量由承包人申请经监理、发包人、承包人三方代表现场测量，在质量合格、资料手续完备的前提下，经监理工程师、发包人代表签字确认；3、隐蔽工程需在隐蔽前申请测量、验收、计量，否则不予认可。</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12.3.4 总价合同的计量</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关于总价合同计量的约定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12.3.5总价合同采用支付分解表计量支付的，是否适用第12.3.4项〔总价合同的计量〕约定进行计量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12.3.6 其他价格形式合同的计量</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其他价格形式的计量方式和程序：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29" w:name="_Toc27300"/>
      <w:r/>
      <w:bookmarkStart w:id="630" w:name="_Toc1516403745"/>
      <w:r/>
      <w:bookmarkStart w:id="631" w:name="_Toc16186591"/>
      <w:r>
        <w:rPr>
          <w:rFonts w:ascii="宋体" w:hAnsi="宋体"/>
          <w:color w:val="000000" w:themeColor="text1"/>
          <w:sz w:val="24"/>
          <w:highlight w:val="none"/>
          <w14:textFill>
            <w14:solidFill>
              <w14:schemeClr w14:val="tx1"/>
            </w14:solidFill>
          </w14:textFill>
        </w:rPr>
        <w:t xml:space="preserve">12.4 工程进度款支付</w:t>
      </w:r>
      <w:bookmarkEnd w:id="629"/>
      <w:r/>
      <w:bookmarkEnd w:id="630"/>
      <w:r/>
      <w:bookmarkEnd w:id="631"/>
      <w:r/>
      <w:r/>
    </w:p>
    <w:p>
      <w:pPr>
        <w:spacing w:before="1"/>
        <w:tabs>
          <w:tab w:val="left" w:pos="1269" w:leader="none"/>
        </w:tabs>
        <w:rPr>
          <w:rFonts w:ascii="宋体" w:hAnsi="宋体"/>
          <w:color w:val="000000" w:themeColor="text1"/>
          <w:sz w:val="24"/>
          <w:highlight w:val="none"/>
          <w14:textFill>
            <w14:solidFill>
              <w14:schemeClr w14:val="tx1"/>
            </w14:solidFill>
          </w14:textFill>
        </w:rPr>
      </w:pPr>
      <w:r/>
      <w:bookmarkStart w:id="632" w:name="_Toc292559921"/>
      <w:r/>
      <w:bookmarkStart w:id="633" w:name="_Toc296891039"/>
      <w:r/>
      <w:bookmarkStart w:id="634" w:name="_Toc296347210"/>
      <w:r/>
      <w:bookmarkStart w:id="635" w:name="_Toc296944550"/>
      <w:r/>
      <w:bookmarkStart w:id="636" w:name="_Toc297216215"/>
      <w:r/>
      <w:bookmarkStart w:id="637" w:name="_Toc296891251"/>
      <w:r/>
      <w:bookmarkStart w:id="638" w:name="_Toc303539163"/>
      <w:r/>
      <w:bookmarkStart w:id="639" w:name="_Toc296346712"/>
      <w:r/>
      <w:bookmarkStart w:id="640" w:name="_Toc300935006"/>
      <w:r/>
      <w:bookmarkStart w:id="641" w:name="_Toc292559416"/>
      <w:r/>
      <w:bookmarkStart w:id="642" w:name="_Toc297123556"/>
      <w:r/>
      <w:bookmarkStart w:id="643" w:name="_Toc297048397"/>
      <w:r/>
      <w:bookmarkStart w:id="644" w:name="_Toc296503211"/>
      <w:r/>
      <w:bookmarkStart w:id="645" w:name="_Toc297120511"/>
      <w:r>
        <w:rPr>
          <w:rFonts w:ascii="宋体" w:hAnsi="宋体"/>
          <w:color w:val="000000" w:themeColor="text1"/>
          <w:sz w:val="24"/>
          <w:highlight w:val="none"/>
          <w14:textFill>
            <w14:solidFill>
              <w14:schemeClr w14:val="tx1"/>
            </w14:solidFill>
          </w14:textFill>
        </w:rPr>
        <w:t xml:space="preserve">12.4.1付款周期</w:t>
      </w:r>
      <w:r/>
    </w:p>
    <w:p>
      <w:pPr>
        <w:pStyle w:val="967"/>
        <w:numPr>
          <w:ilvl w:val="0"/>
          <w:numId w:val="4"/>
        </w:numPr>
        <w:ind w:left="120" w:firstLine="480"/>
        <w:jc w:val="left"/>
        <w:spacing w:before="79"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付款周期的约定：符合《沛县政府投资管理办法》规定，即工程开工确认后付工程中标价的16%，工程量确认完成50%后付中标价的12%，工程竣工验收后付工程中标价的12%；工程竣工验收结算审计后，余款2年内分4次付清，即第一年中秋、春节各付余款25%，第二年中秋、春节各付余款25%。并以沛县审计局审定的工程造价，扣除审减额的5%后作为工程的最终结算依据。</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12.4.2 进度付款申请单的编制</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关于进度付款申请单编制的约定：</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ascii="宋体" w:hAnsi="宋体"/>
          <w:color w:val="000000" w:themeColor="text1"/>
          <w:sz w:val="24"/>
          <w:highlight w:val="none"/>
          <w14:textFill>
            <w14:solidFill>
              <w14:schemeClr w14:val="tx1"/>
            </w14:solidFill>
          </w14:textFill>
        </w:rPr>
        <w:t xml:space="preserve">2.4.3 进度付款申请单的提交</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（1）单价合同进度付款申请单提交的约定：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left="447" w:firstLine="1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（3）其他价格形式合同进度付款申请单提交的约定：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left="447" w:firstLine="1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12.4.4 进度款审核和支付</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（1）监理人审查并报送发包人的期限：</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发包人完成审批并签发进度款支付证书的期限：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numPr>
          <w:ilvl w:val="0"/>
          <w:numId w:val="5"/>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承包人根据工程进度申请支付工程款，每期工程进度款按以下方式选择支付：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按实际完成工程量的百分比支付：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按形象进度支付：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按月实际完成工程量%支付；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其它：</w:t>
      </w:r>
      <w:r>
        <w:rPr>
          <w:rFonts w:ascii="宋体" w:hAnsi="宋体"/>
          <w:color w:val="000000" w:themeColor="text1"/>
          <w:sz w:val="24"/>
          <w:highlight w:val="none"/>
          <w:u w:val="single"/>
          <w14:textFill>
            <w14:solidFill>
              <w14:schemeClr w14:val="tx1"/>
            </w14:solidFill>
          </w14:textFill>
        </w:rPr>
        <w:t xml:space="preserve">履行完政府审批手续后支付</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发包人在收到工程款进度申请后</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个工作日内完成支付，累计支付达到合同价款的</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%时，停止支付进度款。</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发包人逾期支付进度款的违约金的计算方式：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12.4.5 支付分解表的编制</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2.总价合同支付分解表的编制与审批：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3.单价合同的总价项目支付分解表的编制与审批：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bookmarkEnd w:id="432"/>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646" w:name="_Toc296347218"/>
      <w:r/>
      <w:bookmarkStart w:id="647" w:name="_Toc1114100005"/>
      <w:r/>
      <w:bookmarkStart w:id="648" w:name="_Toc297216223"/>
      <w:r/>
      <w:bookmarkStart w:id="649" w:name="_Toc296346720"/>
      <w:r/>
      <w:bookmarkStart w:id="650" w:name="_Toc303539172"/>
      <w:r/>
      <w:bookmarkStart w:id="651" w:name="_Toc297123564"/>
      <w:r/>
      <w:bookmarkStart w:id="652" w:name="_Toc304295593"/>
      <w:r/>
      <w:bookmarkStart w:id="653" w:name="_Toc292559424"/>
      <w:r/>
      <w:bookmarkStart w:id="654" w:name="_Toc312678053"/>
      <w:r/>
      <w:bookmarkStart w:id="655" w:name="_Toc1569476373"/>
      <w:r/>
      <w:bookmarkStart w:id="656" w:name="_Toc296503219"/>
      <w:r/>
      <w:bookmarkStart w:id="657" w:name="_Toc300935015"/>
      <w:r/>
      <w:bookmarkStart w:id="658" w:name="_Toc296891047"/>
      <w:r/>
      <w:bookmarkStart w:id="659" w:name="_Toc296944558"/>
      <w:r/>
      <w:bookmarkStart w:id="660" w:name="_Toc296891259"/>
      <w:r/>
      <w:bookmarkStart w:id="661" w:name="_Toc297048405"/>
      <w:r/>
      <w:bookmarkStart w:id="662" w:name="_Toc292559929"/>
      <w:r/>
      <w:bookmarkStart w:id="663" w:name="_Toc297120519"/>
      <w:r>
        <w:rPr>
          <w:rFonts w:ascii="宋体" w:hAnsi="宋体" w:eastAsia="宋体"/>
          <w:b w:val="0"/>
          <w:color w:val="000000" w:themeColor="text1"/>
          <w:sz w:val="24"/>
          <w:szCs w:val="24"/>
          <w:highlight w:val="none"/>
          <w14:textFill>
            <w14:solidFill>
              <w14:schemeClr w14:val="tx1"/>
            </w14:solidFill>
          </w14:textFill>
        </w:rPr>
        <w:t xml:space="preserve">13.验收和工程试车</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64" w:name="_Toc17144"/>
      <w:r/>
      <w:bookmarkStart w:id="665" w:name="_Toc750296361"/>
      <w:r/>
      <w:bookmarkStart w:id="666" w:name="_Toc396975010"/>
      <w:r>
        <w:rPr>
          <w:rFonts w:ascii="宋体" w:hAnsi="宋体"/>
          <w:color w:val="000000" w:themeColor="text1"/>
          <w:sz w:val="24"/>
          <w:highlight w:val="none"/>
          <w14:textFill>
            <w14:solidFill>
              <w14:schemeClr w14:val="tx1"/>
            </w14:solidFill>
          </w14:textFill>
        </w:rPr>
        <w:t xml:space="preserve">13.1 分部分项工程验收</w:t>
      </w:r>
      <w:bookmarkEnd w:id="664"/>
      <w:r/>
      <w:bookmarkEnd w:id="665"/>
      <w:r/>
      <w:bookmarkEnd w:id="666"/>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13.1.1监理人不能按时进行验收时，应提前</w:t>
      </w:r>
      <w:r>
        <w:rPr>
          <w:rFonts w:ascii="宋体" w:hAnsi="宋体"/>
          <w:color w:val="000000" w:themeColor="text1"/>
          <w:sz w:val="24"/>
          <w:highlight w:val="none"/>
          <w:u w:val="single"/>
          <w14:textFill>
            <w14:solidFill>
              <w14:schemeClr w14:val="tx1"/>
            </w14:solidFill>
          </w14:textFill>
        </w:rPr>
        <w:t xml:space="preserve">24</w:t>
      </w:r>
      <w:r>
        <w:rPr>
          <w:rFonts w:ascii="宋体" w:hAnsi="宋体"/>
          <w:color w:val="000000" w:themeColor="text1"/>
          <w:sz w:val="24"/>
          <w:highlight w:val="none"/>
          <w14:textFill>
            <w14:solidFill>
              <w14:schemeClr w14:val="tx1"/>
            </w14:solidFill>
          </w14:textFill>
        </w:rPr>
        <w:t xml:space="preserve">小时提交书面延期要求。</w:t>
      </w:r>
      <w:r/>
    </w:p>
    <w:p>
      <w:pPr>
        <w:pStyle w:val="967"/>
        <w:ind w:firstLine="480"/>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关于延期最长不得超过：</w:t>
      </w:r>
      <w:r>
        <w:rPr>
          <w:rFonts w:ascii="宋体" w:hAnsi="宋体"/>
          <w:color w:val="000000" w:themeColor="text1"/>
          <w:sz w:val="24"/>
          <w:highlight w:val="none"/>
          <w:u w:val="single"/>
          <w14:textFill>
            <w14:solidFill>
              <w14:schemeClr w14:val="tx1"/>
            </w14:solidFill>
          </w14:textFill>
        </w:rPr>
        <w:t xml:space="preserve">48</w:t>
      </w:r>
      <w:r>
        <w:rPr>
          <w:rFonts w:ascii="宋体" w:hAnsi="宋体"/>
          <w:color w:val="000000" w:themeColor="text1"/>
          <w:sz w:val="24"/>
          <w:highlight w:val="none"/>
          <w14:textFill>
            <w14:solidFill>
              <w14:schemeClr w14:val="tx1"/>
            </w14:solidFill>
          </w14:textFill>
        </w:rPr>
        <w:t xml:space="preserve">小时。</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67" w:name="_Toc1898612073"/>
      <w:r/>
      <w:bookmarkStart w:id="668" w:name="_Toc282243333"/>
      <w:r/>
      <w:bookmarkStart w:id="669" w:name="_Toc12180"/>
      <w:r/>
      <w:bookmarkStart w:id="670" w:name="_Toc312678056"/>
      <w:r/>
      <w:bookmarkStart w:id="671" w:name="_Toc297216224"/>
      <w:r/>
      <w:bookmarkStart w:id="672" w:name="_Toc296891051"/>
      <w:r/>
      <w:bookmarkStart w:id="673" w:name="_Toc304295596"/>
      <w:r/>
      <w:bookmarkStart w:id="674" w:name="_Toc296503223"/>
      <w:r/>
      <w:bookmarkStart w:id="675" w:name="_Toc292559428"/>
      <w:r/>
      <w:bookmarkStart w:id="676" w:name="_Toc297048409"/>
      <w:r/>
      <w:bookmarkStart w:id="677" w:name="_Toc303539173"/>
      <w:r/>
      <w:bookmarkStart w:id="678" w:name="_Toc296891263"/>
      <w:r/>
      <w:bookmarkStart w:id="679" w:name="_Toc297120523"/>
      <w:r/>
      <w:bookmarkStart w:id="680" w:name="_Toc300935016"/>
      <w:r/>
      <w:bookmarkStart w:id="681" w:name="_Toc296346724"/>
      <w:r/>
      <w:bookmarkStart w:id="682" w:name="_Toc296944562"/>
      <w:r/>
      <w:bookmarkStart w:id="683" w:name="_Toc297123565"/>
      <w:r/>
      <w:bookmarkStart w:id="684" w:name="_Toc296347222"/>
      <w:r/>
      <w:bookmarkStart w:id="685" w:name="_Toc292559933"/>
      <w:r/>
      <w:bookmarkStart w:id="686" w:name="_Toc267251471"/>
      <w:r/>
      <w:bookmarkStart w:id="687" w:name="_Toc267251473"/>
      <w:r/>
      <w:bookmarkStart w:id="688" w:name="_Toc267251475"/>
      <w:r/>
      <w:bookmarkStart w:id="689" w:name="_Toc267251476"/>
      <w:r/>
      <w:bookmarkStart w:id="690" w:name="_Toc267251472"/>
      <w:r/>
      <w:bookmarkStart w:id="691" w:name="_Toc267251474"/>
      <w:r/>
      <w:bookmarkStart w:id="692" w:name="_Toc267251470"/>
      <w:r>
        <w:rPr>
          <w:rFonts w:ascii="宋体" w:hAnsi="宋体"/>
          <w:color w:val="000000" w:themeColor="text1"/>
          <w:sz w:val="24"/>
          <w:highlight w:val="none"/>
          <w14:textFill>
            <w14:solidFill>
              <w14:schemeClr w14:val="tx1"/>
            </w14:solidFill>
          </w14:textFill>
        </w:rPr>
        <w:t xml:space="preserve">13.2 竣工验收</w:t>
      </w:r>
      <w:bookmarkEnd w:id="667"/>
      <w:r/>
      <w:bookmarkEnd w:id="668"/>
      <w:r/>
      <w:bookmarkEnd w:id="669"/>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93" w:name="_Toc276351635"/>
      <w:r/>
      <w:bookmarkStart w:id="694" w:name="_Toc1027479745"/>
      <w:r>
        <w:rPr>
          <w:rFonts w:ascii="宋体" w:hAnsi="宋体"/>
          <w:color w:val="000000" w:themeColor="text1"/>
          <w:sz w:val="24"/>
          <w:highlight w:val="none"/>
          <w14:textFill>
            <w14:solidFill>
              <w14:schemeClr w14:val="tx1"/>
            </w14:solidFill>
          </w14:textFill>
        </w:rPr>
        <w:t xml:space="preserve">13.2.1 竣工验收条件</w:t>
      </w:r>
      <w:bookmarkEnd w:id="693"/>
      <w:r/>
      <w:bookmarkEnd w:id="694"/>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95" w:name="_Toc1893941971"/>
      <w:r/>
      <w:bookmarkStart w:id="696" w:name="_Toc1418190231"/>
      <w:r>
        <w:rPr>
          <w:rFonts w:ascii="宋体" w:hAnsi="宋体"/>
          <w:color w:val="000000" w:themeColor="text1"/>
          <w:sz w:val="24"/>
          <w:highlight w:val="none"/>
          <w14:textFill>
            <w14:solidFill>
              <w14:schemeClr w14:val="tx1"/>
            </w14:solidFill>
          </w14:textFill>
        </w:rPr>
        <w:t xml:space="preserve">（1）竣工资料内容和份数：</w:t>
      </w:r>
      <w:r>
        <w:rPr>
          <w:rFonts w:ascii="宋体" w:hAnsi="宋体"/>
          <w:color w:val="000000" w:themeColor="text1"/>
          <w:sz w:val="24"/>
          <w:highlight w:val="none"/>
          <w:u w:val="single"/>
          <w14:textFill>
            <w14:solidFill>
              <w14:schemeClr w14:val="tx1"/>
            </w14:solidFill>
          </w14:textFill>
        </w:rPr>
        <w:t xml:space="preserve">     按发包人要求执行    </w:t>
      </w:r>
      <w:r>
        <w:rPr>
          <w:rFonts w:ascii="宋体" w:hAnsi="宋体"/>
          <w:color w:val="000000" w:themeColor="text1"/>
          <w:sz w:val="24"/>
          <w:highlight w:val="none"/>
          <w14:textFill>
            <w14:solidFill>
              <w14:schemeClr w14:val="tx1"/>
            </w14:solidFill>
          </w14:textFill>
        </w:rPr>
        <w:t xml:space="preserve">。</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95"/>
      <w:r/>
      <w:bookmarkEnd w:id="696"/>
      <w:r/>
      <w:bookmarkStart w:id="697" w:name="_Toc280868704"/>
      <w:r/>
      <w:bookmarkStart w:id="698" w:name="_Toc280868705"/>
      <w:r/>
      <w:bookmarkStart w:id="699" w:name="_Toc280868706"/>
      <w:r/>
      <w:bookmarkStart w:id="700" w:name="_Toc280868707"/>
      <w:r/>
      <w:bookmarkStart w:id="701" w:name="_Toc280868708"/>
      <w:r/>
      <w:bookmarkStart w:id="702" w:name="_Toc280868709"/>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03" w:name="_Toc1822546722"/>
      <w:r/>
      <w:bookmarkStart w:id="704" w:name="_Toc1570375781"/>
      <w:r>
        <w:rPr>
          <w:rFonts w:ascii="宋体" w:hAnsi="宋体"/>
          <w:color w:val="000000" w:themeColor="text1"/>
          <w:sz w:val="24"/>
          <w:highlight w:val="none"/>
          <w14:textFill>
            <w14:solidFill>
              <w14:schemeClr w14:val="tx1"/>
            </w14:solidFill>
          </w14:textFill>
        </w:rPr>
        <w:t xml:space="preserve">13.2.2竣工验收程序</w:t>
      </w:r>
      <w:bookmarkEnd w:id="697"/>
      <w:r/>
      <w:bookmarkEnd w:id="703"/>
      <w:r/>
      <w:bookmarkEnd w:id="704"/>
      <w:r/>
      <w:r/>
    </w:p>
    <w:p>
      <w:pPr>
        <w:pStyle w:val="989"/>
        <w:ind w:left="63" w:right="63"/>
        <w:tabs>
          <w:tab w:val="left" w:pos="126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关于竣工验收程序的约定：工程具备以下条件的，承包人可以申请竣工验收：</w:t>
      </w:r>
      <w:r/>
    </w:p>
    <w:p>
      <w:pPr>
        <w:numPr>
          <w:ilvl w:val="0"/>
          <w:numId w:val="6"/>
        </w:numPr>
        <w:ind w:hanging="530"/>
        <w:spacing w:before="79"/>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除发包人同意的甩项工作和缺陷修补工作外，合同范围内的全部工程以及有关工作，包括合同要求的试验、试运行以及检验均已完成，并符合合同要求；</w:t>
      </w:r>
      <w:r/>
    </w:p>
    <w:p>
      <w:pPr>
        <w:numPr>
          <w:ilvl w:val="0"/>
          <w:numId w:val="6"/>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已按合同约定编制了甩项工作和缺陷修补工作清单以及相应的施工计划；</w:t>
      </w:r>
      <w:r/>
    </w:p>
    <w:p>
      <w:pPr>
        <w:numPr>
          <w:ilvl w:val="0"/>
          <w:numId w:val="6"/>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已按合同约定的内容和份数备齐竣工资料。</w:t>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发包人不按照本项约定组织竣工验收、颁发工程接收证书的违约金的计算方法：</w:t>
      </w:r>
      <w:r>
        <w:rPr>
          <w:rFonts w:ascii="宋体" w:hAnsi="宋体"/>
          <w:color w:val="000000" w:themeColor="text1"/>
          <w:sz w:val="24"/>
          <w:highlight w:val="none"/>
          <w:u w:val="single"/>
          <w14:textFill>
            <w14:solidFill>
              <w14:schemeClr w14:val="tx1"/>
            </w14:solidFill>
          </w14:textFill>
        </w:rPr>
        <w:t xml:space="preserve">                 /                     </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bookmarkEnd w:id="698"/>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13.2.3移交、接收全部与部分工程</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绿化工程移交期限：</w:t>
      </w:r>
      <w:bookmarkEnd w:id="699"/>
      <w:r>
        <w:rPr>
          <w:rFonts w:ascii="宋体" w:hAnsi="宋体"/>
          <w:color w:val="000000" w:themeColor="text1"/>
          <w:sz w:val="24"/>
          <w:highlight w:val="none"/>
          <w:u w:val="single"/>
          <w14:textFill>
            <w14:solidFill>
              <w14:schemeClr w14:val="tx1"/>
            </w14:solidFill>
          </w14:textFill>
        </w:rPr>
        <w:t xml:space="preserve">合同当事人应当在颁发工程接收证书后7天内完成工程的有向其他部门移交需求的，承包人需按要求移交，否则招标人移交后支付工程款。</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其他工程移交期限：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发包人未按本合同约定接收全部或部分工程的，违约金的计算方法为：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bookmarkEnd w:id="700"/>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承包人未按时移交工程的，违约金的计算方法为：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 工程试车</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13.3.1 试车程序</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工程试车内容：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（1）单机无负荷试车费用由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承担；</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（2）无负荷联动试车费用由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承担。</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13.3.2 投料试车</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关于投料试车相关事项的约定：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701"/>
      <w:r/>
      <w:r/>
    </w:p>
    <w:p>
      <w:pPr>
        <w:pStyle w:val="967"/>
        <w:ind w:firstLine="480"/>
        <w:spacing w:line="360" w:lineRule="auto"/>
        <w:rPr>
          <w:rFonts w:ascii="宋体" w:hAnsi="宋体"/>
          <w:color w:val="000000" w:themeColor="text1"/>
          <w:sz w:val="24"/>
          <w:highlight w:val="none"/>
          <w14:textFill>
            <w14:solidFill>
              <w14:schemeClr w14:val="tx1"/>
            </w14:solidFill>
          </w14:textFill>
        </w:rPr>
      </w:pPr>
      <w:r/>
      <w:bookmarkStart w:id="705" w:name="_Toc19772"/>
      <w:r>
        <w:rPr>
          <w:rFonts w:ascii="宋体" w:hAnsi="宋体"/>
          <w:color w:val="000000" w:themeColor="text1"/>
          <w:sz w:val="24"/>
          <w:highlight w:val="none"/>
          <w14:textFill>
            <w14:solidFill>
              <w14:schemeClr w14:val="tx1"/>
            </w14:solidFill>
          </w14:textFill>
        </w:rPr>
        <w:t xml:space="preserve">13.4 竣工退场</w:t>
      </w:r>
      <w:bookmarkEnd w:id="705"/>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13.4.1 竣工退场</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承包人完成竣工退场的期限：</w:t>
      </w:r>
      <w:r>
        <w:rPr>
          <w:rFonts w:ascii="宋体" w:hAnsi="宋体"/>
          <w:color w:val="000000" w:themeColor="text1"/>
          <w:sz w:val="24"/>
          <w:highlight w:val="none"/>
          <w:u w:val="single"/>
          <w14:textFill>
            <w14:solidFill>
              <w14:schemeClr w14:val="tx1"/>
            </w14:solidFill>
          </w14:textFill>
        </w:rPr>
        <w:t xml:space="preserve">7日内</w:t>
      </w:r>
      <w:r>
        <w:rPr>
          <w:rFonts w:ascii="宋体" w:hAnsi="宋体"/>
          <w:color w:val="000000" w:themeColor="text1"/>
          <w:sz w:val="24"/>
          <w:highlight w:val="none"/>
          <w14:textFill>
            <w14:solidFill>
              <w14:schemeClr w14:val="tx1"/>
            </w14:solidFill>
          </w14:textFill>
        </w:rPr>
        <w:t xml:space="preserve">。</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06" w:name="_Toc295889295"/>
      <w:r/>
      <w:bookmarkStart w:id="707" w:name="_Toc1123811034"/>
      <w:r>
        <w:rPr>
          <w:rFonts w:ascii="宋体" w:hAnsi="宋体" w:eastAsia="宋体"/>
          <w:b w:val="0"/>
          <w:color w:val="000000" w:themeColor="text1"/>
          <w:sz w:val="24"/>
          <w:szCs w:val="24"/>
          <w:highlight w:val="none"/>
          <w14:textFill>
            <w14:solidFill>
              <w14:schemeClr w14:val="tx1"/>
            </w14:solidFill>
          </w14:textFill>
        </w:rPr>
        <w:t xml:space="preserve">14.竣工结算</w:t>
      </w:r>
      <w:bookmarkEnd w:id="706"/>
      <w:r/>
      <w:bookmarkEnd w:id="707"/>
      <w:r/>
      <w:r/>
    </w:p>
    <w:p>
      <w:pPr>
        <w:pStyle w:val="967"/>
        <w:ind w:firstLine="480"/>
        <w:spacing w:after="120" w:line="360" w:lineRule="auto"/>
        <w:rPr>
          <w:rFonts w:ascii="宋体" w:hAnsi="宋体"/>
          <w:color w:val="000000" w:themeColor="text1"/>
          <w:sz w:val="24"/>
          <w:highlight w:val="none"/>
          <w14:textFill>
            <w14:solidFill>
              <w14:schemeClr w14:val="tx1"/>
            </w14:solidFill>
          </w14:textFill>
        </w:rPr>
        <w:outlineLvl w:val="2"/>
      </w:pPr>
      <w:r/>
      <w:bookmarkStart w:id="708" w:name="_Toc1257404679"/>
      <w:r/>
      <w:bookmarkStart w:id="709" w:name="_Toc3577"/>
      <w:r/>
      <w:bookmarkStart w:id="710" w:name="_Toc2011892871"/>
      <w:r>
        <w:rPr>
          <w:rFonts w:ascii="宋体" w:hAnsi="宋体"/>
          <w:color w:val="000000" w:themeColor="text1"/>
          <w:sz w:val="24"/>
          <w:highlight w:val="none"/>
          <w14:textFill>
            <w14:solidFill>
              <w14:schemeClr w14:val="tx1"/>
            </w14:solidFill>
          </w14:textFill>
        </w:rPr>
        <w:t xml:space="preserve">14.1 竣工结算申请</w:t>
      </w:r>
      <w:bookmarkEnd w:id="708"/>
      <w:r/>
      <w:bookmarkEnd w:id="709"/>
      <w:r/>
      <w:bookmarkEnd w:id="710"/>
      <w:r/>
      <w:r/>
    </w:p>
    <w:p>
      <w:pPr>
        <w:pStyle w:val="989"/>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承包人提交竣工结算申请单的期限：</w:t>
      </w:r>
      <w:r>
        <w:rPr>
          <w:rFonts w:ascii="宋体" w:hAnsi="宋体"/>
          <w:color w:val="000000" w:themeColor="text1"/>
          <w:sz w:val="24"/>
          <w:highlight w:val="none"/>
          <w:u w:val="single"/>
          <w14:textFill>
            <w14:solidFill>
              <w14:schemeClr w14:val="tx1"/>
            </w14:solidFill>
          </w14:textFill>
        </w:rPr>
        <w:t xml:space="preserve">承包人应在工程竣工验收合格后 28 天内向发包人和监理人提交竣工结算申请单，并提交完整的结算资料。</w:t>
      </w:r>
      <w:r/>
    </w:p>
    <w:p>
      <w:pPr>
        <w:pStyle w:val="989"/>
        <w:ind w:left="63" w:right="6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竣工结算申请单应包括的内容：</w:t>
      </w:r>
      <w:r>
        <w:rPr>
          <w:rFonts w:ascii="宋体" w:hAnsi="宋体"/>
          <w:color w:val="000000" w:themeColor="text1"/>
          <w:sz w:val="24"/>
          <w:highlight w:val="none"/>
          <w:u w:val="single"/>
          <w14:textFill>
            <w14:solidFill>
              <w14:schemeClr w14:val="tx1"/>
            </w14:solidFill>
          </w14:textFill>
        </w:rPr>
        <w:t xml:space="preserve">（1）竣工结算合同价格；</w:t>
      </w:r>
      <w:r/>
    </w:p>
    <w:p>
      <w:pPr>
        <w:numPr>
          <w:ilvl w:val="0"/>
          <w:numId w:val="7"/>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发包人已支付承包人的款项；</w:t>
      </w:r>
      <w:r/>
    </w:p>
    <w:p>
      <w:pPr>
        <w:numPr>
          <w:ilvl w:val="0"/>
          <w:numId w:val="7"/>
        </w:numPr>
        <w:ind w:hanging="530"/>
        <w:spacing w:before="79"/>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应扣留的质量保证金；</w:t>
      </w:r>
      <w:r/>
    </w:p>
    <w:p>
      <w:pPr>
        <w:numPr>
          <w:ilvl w:val="0"/>
          <w:numId w:val="7"/>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发包人应支付承包人的合同价款。</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bookmarkStart w:id="711" w:name="_Toc30710"/>
      <w:r>
        <w:rPr>
          <w:rFonts w:ascii="宋体" w:hAnsi="宋体"/>
          <w:color w:val="000000" w:themeColor="text1"/>
          <w:sz w:val="24"/>
          <w:highlight w:val="none"/>
          <w14:textFill>
            <w14:solidFill>
              <w14:schemeClr w14:val="tx1"/>
            </w14:solidFill>
          </w14:textFill>
        </w:rPr>
        <w:t xml:space="preserve">14.2 竣工结算审核</w:t>
      </w:r>
      <w:bookmarkEnd w:id="711"/>
      <w:r/>
      <w:r/>
    </w:p>
    <w:p>
      <w:pPr>
        <w:pStyle w:val="989"/>
        <w:ind w:left="63" w:right="63"/>
        <w:jc w:val="left"/>
        <w:tabs>
          <w:tab w:val="left" w:pos="4314" w:leader="none"/>
        </w:tabs>
        <w:rPr>
          <w:rFonts w:ascii="宋体" w:hAnsi="宋体"/>
          <w:color w:val="000000" w:themeColor="text1"/>
          <w:sz w:val="24"/>
          <w:highlight w:val="none"/>
          <w:u w:val="single"/>
          <w14:textFill>
            <w14:solidFill>
              <w14:schemeClr w14:val="tx1"/>
            </w14:solidFill>
          </w14:textFill>
        </w:rPr>
      </w:pPr>
      <w:r/>
      <w:bookmarkStart w:id="712" w:name="_Toc1509410444"/>
      <w:r/>
      <w:bookmarkStart w:id="713" w:name="_Toc2011675479"/>
      <w:r>
        <w:rPr>
          <w:rFonts w:ascii="宋体" w:hAnsi="宋体"/>
          <w:color w:val="000000" w:themeColor="text1"/>
          <w:sz w:val="24"/>
          <w:highlight w:val="none"/>
          <w14:textFill>
            <w14:solidFill>
              <w14:schemeClr w14:val="tx1"/>
            </w14:solidFill>
          </w14:textFill>
        </w:rPr>
        <w:t xml:space="preserve">发包人审批竣工付款申请单的期限：</w:t>
      </w:r>
      <w:r>
        <w:rPr>
          <w:rFonts w:ascii="宋体" w:hAnsi="宋体"/>
          <w:color w:val="000000" w:themeColor="text1"/>
          <w:sz w:val="24"/>
          <w:highlight w:val="none"/>
          <w:u w:val="single"/>
          <w14:textFill>
            <w14:solidFill>
              <w14:schemeClr w14:val="tx1"/>
            </w14:solidFill>
          </w14:textFill>
        </w:rPr>
        <w:t xml:space="preserve">竣工结算报沛县审计局审计，待沛县审计局出具审计报告后另行约定</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bookmarkEnd w:id="712"/>
      <w:r/>
      <w:bookmarkEnd w:id="713"/>
      <w:r/>
      <w:r/>
    </w:p>
    <w:p>
      <w:pPr>
        <w:pStyle w:val="989"/>
        <w:ind w:left="63" w:right="63"/>
        <w:spacing w:before="78"/>
        <w:tabs>
          <w:tab w:val="left" w:pos="882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发包人完成竣工付款的期限：</w:t>
      </w:r>
      <w:r>
        <w:rPr>
          <w:rFonts w:ascii="宋体" w:hAnsi="宋体"/>
          <w:color w:val="000000" w:themeColor="text1"/>
          <w:sz w:val="24"/>
          <w:highlight w:val="none"/>
          <w:u w:val="single"/>
          <w14:textFill>
            <w14:solidFill>
              <w14:schemeClr w14:val="tx1"/>
            </w14:solidFill>
          </w14:textFill>
        </w:rPr>
        <w:t xml:space="preserve">取得沛县审计局审计报告后按沛政发【2015】66号文执行</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989"/>
        <w:ind w:left="63" w:right="63"/>
        <w:spacing w:before="7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关于竣工付款证书异议部分复核的方式和程序：</w:t>
      </w:r>
      <w:r>
        <w:rPr>
          <w:rFonts w:ascii="宋体" w:hAnsi="宋体"/>
          <w:color w:val="000000" w:themeColor="text1"/>
          <w:sz w:val="24"/>
          <w:highlight w:val="none"/>
          <w:u w:val="single"/>
          <w14:textFill>
            <w14:solidFill>
              <w14:schemeClr w14:val="tx1"/>
            </w14:solidFill>
          </w14:textFill>
        </w:rPr>
        <w:t xml:space="preserve">按通用条款执行。</w:t>
      </w:r>
      <w:r/>
    </w:p>
    <w:p>
      <w:pPr>
        <w:pStyle w:val="967"/>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u w:val="single"/>
          <w14:textFill>
            <w14:solidFill>
              <w14:schemeClr w14:val="tx1"/>
            </w14:solidFill>
          </w14:textFill>
        </w:rPr>
        <w:t xml:space="preserve">取</w:t>
      </w:r>
      <w:r>
        <w:rPr>
          <w:rFonts w:ascii="宋体" w:hAnsi="宋体"/>
          <w:color w:val="000000" w:themeColor="text1"/>
          <w:spacing w:val="-3"/>
          <w:sz w:val="24"/>
          <w:highlight w:val="none"/>
          <w:u w:val="single"/>
          <w14:textFill>
            <w14:solidFill>
              <w14:schemeClr w14:val="tx1"/>
            </w14:solidFill>
          </w14:textFill>
        </w:rPr>
        <w:t xml:space="preserve">得</w:t>
      </w:r>
      <w:r>
        <w:rPr>
          <w:rFonts w:ascii="宋体" w:hAnsi="宋体"/>
          <w:color w:val="000000" w:themeColor="text1"/>
          <w:sz w:val="24"/>
          <w:highlight w:val="none"/>
          <w:u w:val="single"/>
          <w14:textFill>
            <w14:solidFill>
              <w14:schemeClr w14:val="tx1"/>
            </w14:solidFill>
          </w14:textFill>
        </w:rPr>
        <w:t xml:space="preserve">沛</w:t>
      </w:r>
      <w:r>
        <w:rPr>
          <w:rFonts w:ascii="宋体" w:hAnsi="宋体"/>
          <w:color w:val="000000" w:themeColor="text1"/>
          <w:spacing w:val="-3"/>
          <w:sz w:val="24"/>
          <w:highlight w:val="none"/>
          <w:u w:val="single"/>
          <w14:textFill>
            <w14:solidFill>
              <w14:schemeClr w14:val="tx1"/>
            </w14:solidFill>
          </w14:textFill>
        </w:rPr>
        <w:t xml:space="preserve">县</w:t>
      </w:r>
      <w:r>
        <w:rPr>
          <w:rFonts w:ascii="宋体" w:hAnsi="宋体"/>
          <w:color w:val="000000" w:themeColor="text1"/>
          <w:sz w:val="24"/>
          <w:highlight w:val="none"/>
          <w:u w:val="single"/>
          <w14:textFill>
            <w14:solidFill>
              <w14:schemeClr w14:val="tx1"/>
            </w14:solidFill>
          </w14:textFill>
        </w:rPr>
        <w:t xml:space="preserve">审</w:t>
      </w:r>
      <w:r>
        <w:rPr>
          <w:rFonts w:ascii="宋体" w:hAnsi="宋体"/>
          <w:color w:val="000000" w:themeColor="text1"/>
          <w:spacing w:val="-3"/>
          <w:sz w:val="24"/>
          <w:highlight w:val="none"/>
          <w:u w:val="single"/>
          <w14:textFill>
            <w14:solidFill>
              <w14:schemeClr w14:val="tx1"/>
            </w14:solidFill>
          </w14:textFill>
        </w:rPr>
        <w:t xml:space="preserve">计</w:t>
      </w:r>
      <w:r>
        <w:rPr>
          <w:rFonts w:ascii="宋体" w:hAnsi="宋体"/>
          <w:color w:val="000000" w:themeColor="text1"/>
          <w:sz w:val="24"/>
          <w:highlight w:val="none"/>
          <w:u w:val="single"/>
          <w14:textFill>
            <w14:solidFill>
              <w14:schemeClr w14:val="tx1"/>
            </w14:solidFill>
          </w14:textFill>
        </w:rPr>
        <w:t xml:space="preserve">局</w:t>
      </w:r>
      <w:r>
        <w:rPr>
          <w:rFonts w:ascii="宋体" w:hAnsi="宋体"/>
          <w:color w:val="000000" w:themeColor="text1"/>
          <w:spacing w:val="-3"/>
          <w:sz w:val="24"/>
          <w:highlight w:val="none"/>
          <w:u w:val="single"/>
          <w14:textFill>
            <w14:solidFill>
              <w14:schemeClr w14:val="tx1"/>
            </w14:solidFill>
          </w14:textFill>
        </w:rPr>
        <w:t xml:space="preserve">审</w:t>
      </w:r>
      <w:r>
        <w:rPr>
          <w:rFonts w:ascii="宋体" w:hAnsi="宋体"/>
          <w:color w:val="000000" w:themeColor="text1"/>
          <w:sz w:val="24"/>
          <w:highlight w:val="none"/>
          <w:u w:val="single"/>
          <w14:textFill>
            <w14:solidFill>
              <w14:schemeClr w14:val="tx1"/>
            </w14:solidFill>
          </w14:textFill>
        </w:rPr>
        <w:t xml:space="preserve">计报</w:t>
      </w:r>
      <w:r>
        <w:rPr>
          <w:rFonts w:ascii="宋体" w:hAnsi="宋体"/>
          <w:color w:val="000000" w:themeColor="text1"/>
          <w:spacing w:val="-3"/>
          <w:sz w:val="24"/>
          <w:highlight w:val="none"/>
          <w:u w:val="single"/>
          <w14:textFill>
            <w14:solidFill>
              <w14:schemeClr w14:val="tx1"/>
            </w14:solidFill>
          </w14:textFill>
        </w:rPr>
        <w:t xml:space="preserve">告</w:t>
      </w:r>
      <w:r>
        <w:rPr>
          <w:rFonts w:ascii="宋体" w:hAnsi="宋体"/>
          <w:color w:val="000000" w:themeColor="text1"/>
          <w:sz w:val="24"/>
          <w:highlight w:val="none"/>
          <w:u w:val="single"/>
          <w14:textFill>
            <w14:solidFill>
              <w14:schemeClr w14:val="tx1"/>
            </w14:solidFill>
          </w14:textFill>
        </w:rPr>
        <w:t xml:space="preserve">后</w:t>
      </w:r>
      <w:r>
        <w:rPr>
          <w:rFonts w:ascii="宋体" w:hAnsi="宋体"/>
          <w:color w:val="000000" w:themeColor="text1"/>
          <w:spacing w:val="-3"/>
          <w:sz w:val="24"/>
          <w:highlight w:val="none"/>
          <w:u w:val="single"/>
          <w14:textFill>
            <w14:solidFill>
              <w14:schemeClr w14:val="tx1"/>
            </w14:solidFill>
          </w14:textFill>
        </w:rPr>
        <w:t xml:space="preserve">按</w:t>
      </w:r>
      <w:r>
        <w:rPr>
          <w:rFonts w:ascii="宋体" w:hAnsi="宋体"/>
          <w:color w:val="000000" w:themeColor="text1"/>
          <w:sz w:val="24"/>
          <w:highlight w:val="none"/>
          <w:u w:val="single"/>
          <w14:textFill>
            <w14:solidFill>
              <w14:schemeClr w14:val="tx1"/>
            </w14:solidFill>
          </w14:textFill>
        </w:rPr>
        <w:t xml:space="preserve">沛</w:t>
      </w:r>
      <w:r>
        <w:rPr>
          <w:rFonts w:ascii="宋体" w:hAnsi="宋体"/>
          <w:color w:val="000000" w:themeColor="text1"/>
          <w:spacing w:val="-3"/>
          <w:sz w:val="24"/>
          <w:highlight w:val="none"/>
          <w:u w:val="single"/>
          <w14:textFill>
            <w14:solidFill>
              <w14:schemeClr w14:val="tx1"/>
            </w14:solidFill>
          </w14:textFill>
        </w:rPr>
        <w:t xml:space="preserve">政</w:t>
      </w:r>
      <w:r>
        <w:rPr>
          <w:rFonts w:ascii="宋体" w:hAnsi="宋体"/>
          <w:color w:val="000000" w:themeColor="text1"/>
          <w:spacing w:val="-53"/>
          <w:sz w:val="24"/>
          <w:highlight w:val="none"/>
          <w:u w:val="single"/>
          <w14:textFill>
            <w14:solidFill>
              <w14:schemeClr w14:val="tx1"/>
            </w14:solidFill>
          </w14:textFill>
        </w:rPr>
        <w:t xml:space="preserve">发</w:t>
      </w:r>
      <w:r>
        <w:rPr>
          <w:rFonts w:ascii="宋体" w:hAnsi="宋体"/>
          <w:color w:val="000000" w:themeColor="text1"/>
          <w:spacing w:val="-3"/>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2015</w:t>
      </w:r>
      <w:r>
        <w:rPr>
          <w:rFonts w:ascii="宋体" w:hAnsi="宋体"/>
          <w:color w:val="000000" w:themeColor="text1"/>
          <w:spacing w:val="-55"/>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66</w:t>
      </w:r>
      <w:r>
        <w:rPr>
          <w:rFonts w:ascii="宋体" w:hAnsi="宋体"/>
          <w:color w:val="000000" w:themeColor="text1"/>
          <w:spacing w:val="-3"/>
          <w:sz w:val="24"/>
          <w:highlight w:val="none"/>
          <w:u w:val="single"/>
          <w14:textFill>
            <w14:solidFill>
              <w14:schemeClr w14:val="tx1"/>
            </w14:solidFill>
          </w14:textFill>
        </w:rPr>
        <w:t xml:space="preserve">号</w:t>
      </w:r>
      <w:r>
        <w:rPr>
          <w:rFonts w:ascii="宋体" w:hAnsi="宋体"/>
          <w:color w:val="000000" w:themeColor="text1"/>
          <w:sz w:val="24"/>
          <w:highlight w:val="none"/>
          <w:u w:val="single"/>
          <w14:textFill>
            <w14:solidFill>
              <w14:schemeClr w14:val="tx1"/>
            </w14:solidFill>
          </w14:textFill>
        </w:rPr>
        <w:t xml:space="preserve">文</w:t>
      </w:r>
      <w:r>
        <w:rPr>
          <w:rFonts w:ascii="宋体" w:hAnsi="宋体"/>
          <w:color w:val="000000" w:themeColor="text1"/>
          <w:spacing w:val="-3"/>
          <w:sz w:val="24"/>
          <w:highlight w:val="none"/>
          <w:u w:val="single"/>
          <w14:textFill>
            <w14:solidFill>
              <w14:schemeClr w14:val="tx1"/>
            </w14:solidFill>
          </w14:textFill>
        </w:rPr>
        <w:t xml:space="preserve">执</w:t>
      </w:r>
      <w:r>
        <w:rPr>
          <w:rFonts w:ascii="宋体" w:hAnsi="宋体"/>
          <w:color w:val="000000" w:themeColor="text1"/>
          <w:sz w:val="24"/>
          <w:highlight w:val="none"/>
          <w:u w:val="single"/>
          <w14:textFill>
            <w14:solidFill>
              <w14:schemeClr w14:val="tx1"/>
            </w14:solidFill>
          </w14:textFill>
        </w:rPr>
        <w:t xml:space="preserve">行</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关于竣工付款证书异议部分复核的方式和程序：</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bookmarkStart w:id="714" w:name="_Toc10781"/>
      <w:r>
        <w:rPr>
          <w:rFonts w:ascii="宋体" w:hAnsi="宋体"/>
          <w:color w:val="000000" w:themeColor="text1"/>
          <w:sz w:val="24"/>
          <w:highlight w:val="none"/>
          <w14:textFill>
            <w14:solidFill>
              <w14:schemeClr w14:val="tx1"/>
            </w14:solidFill>
          </w14:textFill>
        </w:rPr>
        <w:t xml:space="preserve">14.3 最终结清</w:t>
      </w:r>
      <w:bookmarkEnd w:id="714"/>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14.3.1 最终结清申请单</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承包人提交最终结清申请单的份数：</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承包人提交最终结算申请单的期限：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14.3.2 最终结清证书和支付</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（1）发包人完成最终结清申请单的审批并颁发最终结清证书的期限：</w:t>
      </w:r>
      <w:r>
        <w:rPr>
          <w:rFonts w:ascii="宋体" w:hAnsi="宋体"/>
          <w:color w:val="000000" w:themeColor="text1"/>
          <w:sz w:val="24"/>
          <w:highlight w:val="none"/>
          <w:u w:val="single"/>
          <w14:textFill>
            <w14:solidFill>
              <w14:schemeClr w14:val="tx1"/>
            </w14:solidFill>
          </w14:textFill>
        </w:rPr>
        <w:t xml:space="preserve">取得沛县审计局审计报告后按沛政发【2015】66 号文执行</w:t>
      </w:r>
      <w:r>
        <w:rPr>
          <w:rFonts w:ascii="宋体" w:hAnsi="宋体"/>
          <w:color w:val="000000" w:themeColor="text1"/>
          <w:sz w:val="24"/>
          <w:highlight w:val="none"/>
          <w14:textFill>
            <w14:solidFill>
              <w14:schemeClr w14:val="tx1"/>
            </w14:solidFill>
          </w14:textFill>
        </w:rPr>
        <w:t xml:space="preserve">。</w:t>
      </w:r>
      <w:r/>
    </w:p>
    <w:p>
      <w:pPr>
        <w:pStyle w:val="967"/>
        <w:ind w:left="531"/>
        <w:jc w:val="left"/>
        <w:spacing w:before="78"/>
        <w:tabs>
          <w:tab w:val="left" w:pos="657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（2）发包人完成支付的期限：</w:t>
      </w:r>
      <w:r>
        <w:rPr>
          <w:rFonts w:ascii="宋体" w:hAnsi="宋体"/>
          <w:color w:val="000000" w:themeColor="text1"/>
          <w:sz w:val="24"/>
          <w:highlight w:val="none"/>
          <w:u w:val="single"/>
          <w14:textFill>
            <w14:solidFill>
              <w14:schemeClr w14:val="tx1"/>
            </w14:solidFill>
          </w14:textFill>
        </w:rPr>
        <w:t xml:space="preserve">按沛政发【2015】66号文执行。</w:t>
      </w:r>
      <w:r/>
    </w:p>
    <w:p>
      <w:pPr>
        <w:pStyle w:val="967"/>
        <w:ind w:firstLine="480"/>
        <w:spacing w:line="360" w:lineRule="auto"/>
        <w:rPr>
          <w:rFonts w:ascii="宋体" w:hAnsi="宋体"/>
          <w:color w:val="000000" w:themeColor="text1"/>
          <w:sz w:val="24"/>
          <w:highlight w:val="none"/>
          <w14:textFill>
            <w14:solidFill>
              <w14:schemeClr w14:val="tx1"/>
            </w14:solidFill>
          </w14:textFill>
        </w:rPr>
      </w:pPr>
      <w:r/>
      <w:bookmarkStart w:id="715" w:name="_Toc19199"/>
      <w:r>
        <w:rPr>
          <w:rFonts w:ascii="宋体" w:hAnsi="宋体"/>
          <w:color w:val="000000" w:themeColor="text1"/>
          <w:sz w:val="24"/>
          <w:highlight w:val="none"/>
          <w14:textFill>
            <w14:solidFill>
              <w14:schemeClr w14:val="tx1"/>
            </w14:solidFill>
          </w14:textFill>
        </w:rPr>
        <w:t xml:space="preserve">14.4 竣工归档资料</w:t>
      </w:r>
      <w:bookmarkEnd w:id="715"/>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本款补充：</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（1）施工中未发生设计变更，施工后由承包人在发包人提供的施工图纸加盖竣工图章提交发包人。</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（2）施工过程中发生设计变更的，需经相关方书面确认后由设计单位出具设计变更材料，由承包人提供加盖竣工图章的竣工图给发包人。</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（3）工程竣工验收结算后7天内，承包人应提供给发包人</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套完整符合要求的竣工图、竣工归档资料。</w:t>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竣工归档资料的形式和格式：。</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（4）因承包人拖延或不办理竣工归档资料时，经发包人催告，1个月内未按发包人要求提供相关竣工归档资料的，发包人有权委托第三方机构整理，相关费用由承包方承担。</w:t>
      </w:r>
      <w:bookmarkEnd w:id="686"/>
      <w:r/>
      <w:bookmarkEnd w:id="687"/>
      <w:r/>
      <w:bookmarkEnd w:id="688"/>
      <w:r/>
      <w:bookmarkEnd w:id="689"/>
      <w:r/>
      <w:bookmarkEnd w:id="690"/>
      <w:r/>
      <w:bookmarkEnd w:id="691"/>
      <w:r/>
      <w:bookmarkEnd w:id="692"/>
      <w:r/>
      <w:bookmarkEnd w:id="702"/>
      <w:r/>
      <w:r/>
    </w:p>
    <w:p>
      <w:pPr>
        <w:pStyle w:val="969"/>
        <w:numPr>
          <w:ilvl w:val="0"/>
          <w:numId w:val="0"/>
        </w:numPr>
        <w:ind w:left="284"/>
        <w:spacing w:line="360" w:lineRule="auto"/>
        <w:rPr>
          <w:rFonts w:ascii="宋体" w:hAnsi="宋体" w:eastAsia="宋体"/>
          <w:color w:val="000000" w:themeColor="text1"/>
          <w:sz w:val="24"/>
          <w:szCs w:val="24"/>
          <w:highlight w:val="none"/>
          <w14:textFill>
            <w14:solidFill>
              <w14:schemeClr w14:val="tx1"/>
            </w14:solidFill>
          </w14:textFill>
        </w:rPr>
      </w:pPr>
      <w:r/>
      <w:bookmarkStart w:id="716" w:name="_Toc490192013"/>
      <w:r/>
      <w:bookmarkStart w:id="717" w:name="_Toc1320788901"/>
      <w:r/>
      <w:bookmarkStart w:id="718" w:name="_Toc267251483"/>
      <w:r/>
      <w:bookmarkStart w:id="719" w:name="_Toc267251482"/>
      <w:r/>
      <w:bookmarkStart w:id="720" w:name="_Toc267251484"/>
      <w:r/>
      <w:bookmarkStart w:id="721" w:name="_Toc267251485"/>
      <w:r/>
      <w:bookmarkStart w:id="722" w:name="_Toc267251489"/>
      <w:r/>
      <w:bookmarkStart w:id="723" w:name="_Toc267251488"/>
      <w:r/>
      <w:bookmarkStart w:id="724" w:name="_Toc267251486"/>
      <w:r/>
      <w:bookmarkStart w:id="725" w:name="_Toc267251490"/>
      <w:r/>
      <w:bookmarkStart w:id="726" w:name="_Toc267251493"/>
      <w:r/>
      <w:bookmarkStart w:id="727" w:name="_Toc267251501"/>
      <w:r/>
      <w:bookmarkStart w:id="728" w:name="_Toc267251498"/>
      <w:r/>
      <w:bookmarkStart w:id="729" w:name="_Toc267251497"/>
      <w:r/>
      <w:bookmarkStart w:id="730" w:name="_Toc267251495"/>
      <w:r/>
      <w:bookmarkStart w:id="731" w:name="_Toc267251492"/>
      <w:r/>
      <w:bookmarkStart w:id="732" w:name="_Toc267251494"/>
      <w:r/>
      <w:bookmarkStart w:id="733" w:name="_Toc267251491"/>
      <w:r/>
      <w:bookmarkStart w:id="734" w:name="_Toc267251502"/>
      <w:r/>
      <w:bookmarkStart w:id="735" w:name="_Toc267251496"/>
      <w:r/>
      <w:bookmarkStart w:id="736" w:name="_Toc267251503"/>
      <w:r/>
      <w:bookmarkStart w:id="737" w:name="_Toc267251499"/>
      <w:r/>
      <w:bookmarkStart w:id="738" w:name="_Toc267251506"/>
      <w:r/>
      <w:bookmarkStart w:id="739" w:name="_Toc267251504"/>
      <w:r/>
      <w:bookmarkStart w:id="740" w:name="_Toc267251507"/>
      <w:r/>
      <w:bookmarkStart w:id="741" w:name="_Toc267251508"/>
      <w:r/>
      <w:bookmarkStart w:id="742" w:name="_Toc267251510"/>
      <w:r/>
      <w:bookmarkStart w:id="743" w:name="_Toc267251514"/>
      <w:r/>
      <w:bookmarkStart w:id="744" w:name="_Toc267251511"/>
      <w:r/>
      <w:bookmarkStart w:id="745" w:name="_Toc267251513"/>
      <w:r/>
      <w:bookmarkStart w:id="746" w:name="_Toc267251515"/>
      <w:r/>
      <w:bookmarkStart w:id="747" w:name="_Toc267251509"/>
      <w:r>
        <w:rPr>
          <w:rFonts w:ascii="宋体" w:hAnsi="宋体" w:eastAsia="宋体"/>
          <w:b w:val="0"/>
          <w:color w:val="000000" w:themeColor="text1"/>
          <w:sz w:val="24"/>
          <w:szCs w:val="24"/>
          <w:highlight w:val="none"/>
          <w14:textFill>
            <w14:solidFill>
              <w14:schemeClr w14:val="tx1"/>
            </w14:solidFill>
          </w14:textFill>
        </w:rPr>
        <w:t xml:space="preserve">15. 缺陷责任期与保修</w:t>
      </w:r>
      <w:bookmarkEnd w:id="716"/>
      <w:r/>
      <w:bookmarkEnd w:id="717"/>
      <w:r/>
      <w:r/>
    </w:p>
    <w:p>
      <w:pPr>
        <w:pStyle w:val="967"/>
        <w:ind w:firstLine="480"/>
        <w:spacing w:line="360" w:lineRule="auto"/>
        <w:rPr>
          <w:rFonts w:ascii="宋体" w:hAnsi="宋体"/>
          <w:color w:val="000000" w:themeColor="text1"/>
          <w:sz w:val="24"/>
          <w:highlight w:val="none"/>
          <w14:textFill>
            <w14:solidFill>
              <w14:schemeClr w14:val="tx1"/>
            </w14:solidFill>
          </w14:textFill>
        </w:rPr>
      </w:pPr>
      <w:r/>
      <w:bookmarkStart w:id="748" w:name="_Toc18125"/>
      <w:r>
        <w:rPr>
          <w:rFonts w:ascii="宋体" w:hAnsi="宋体"/>
          <w:color w:val="000000" w:themeColor="text1"/>
          <w:sz w:val="24"/>
          <w:highlight w:val="none"/>
          <w14:textFill>
            <w14:solidFill>
              <w14:schemeClr w14:val="tx1"/>
            </w14:solidFill>
          </w14:textFill>
        </w:rPr>
        <w:t xml:space="preserve">15.1缺陷责任期</w:t>
      </w:r>
      <w:bookmarkEnd w:id="718"/>
      <w:r/>
      <w:bookmarkEnd w:id="748"/>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缺陷责任期的具体期限：</w:t>
      </w:r>
      <w:r>
        <w:rPr>
          <w:rFonts w:ascii="宋体" w:hAnsi="宋体"/>
          <w:color w:val="000000" w:themeColor="text1"/>
          <w:sz w:val="24"/>
          <w:highlight w:val="none"/>
          <w:u w:val="single"/>
          <w14:textFill>
            <w14:solidFill>
              <w14:schemeClr w14:val="tx1"/>
            </w14:solidFill>
          </w14:textFill>
        </w:rPr>
        <w:t xml:space="preserve">交付使用后24个月</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15.2质量保证金</w:t>
      </w:r>
      <w:r/>
    </w:p>
    <w:p>
      <w:pPr>
        <w:pStyle w:val="989"/>
        <w:ind w:left="63" w:right="63" w:firstLine="420"/>
        <w:spacing w:line="417" w:lineRule="auto"/>
        <w:tabs>
          <w:tab w:val="left" w:pos="4245" w:leader="none"/>
          <w:tab w:val="left" w:pos="522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关于是否扣留质量保证金的约定：</w:t>
      </w:r>
      <w:r>
        <w:rPr>
          <w:rFonts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 xml:space="preserve">不</w:t>
      </w:r>
      <w:r>
        <w:rPr>
          <w:rFonts w:ascii="宋体" w:hAnsi="宋体"/>
          <w:color w:val="000000" w:themeColor="text1"/>
          <w:sz w:val="24"/>
          <w:highlight w:val="none"/>
          <w:u w:val="single"/>
          <w14:textFill>
            <w14:solidFill>
              <w14:schemeClr w14:val="tx1"/>
            </w14:solidFill>
          </w14:textFill>
        </w:rPr>
        <w:t xml:space="preserve">扣留</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在工程项目竣工前，承包人按专用合同条款第3.7条提供履约担保的，发包人不得同时预留工程质量保证金。</w:t>
      </w:r>
      <w:r/>
    </w:p>
    <w:p>
      <w:pPr>
        <w:ind w:right="-397" w:firstLine="480"/>
        <w:spacing w:line="417" w:lineRule="auto"/>
        <w:tabs>
          <w:tab w:val="left" w:pos="12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15.2.1承包人提供质量保证金的方式质量   保证金采用以下第</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种方式：</w:t>
      </w:r>
      <w:r/>
    </w:p>
    <w:p>
      <w:pPr>
        <w:ind w:left="600" w:firstLine="200"/>
        <w:tabs>
          <w:tab w:val="left" w:pos="1061" w:leader="none"/>
          <w:tab w:val="left" w:pos="4734" w:leader="none"/>
          <w:tab w:val="left" w:pos="6052"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（1）质量保证金保函，保证金额为：</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p>
    <w:p>
      <w:pPr>
        <w:ind w:left="600" w:firstLine="200"/>
        <w:tabs>
          <w:tab w:val="left" w:pos="1061" w:leader="none"/>
          <w:tab w:val="left" w:pos="1479" w:leader="none"/>
          <w:tab w:val="left" w:pos="1793"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%的结算款；</w:t>
      </w:r>
      <w:r/>
    </w:p>
    <w:p>
      <w:pPr>
        <w:ind w:left="600" w:firstLine="200"/>
        <w:tabs>
          <w:tab w:val="left" w:pos="1061" w:leader="none"/>
          <w:tab w:val="left" w:pos="4734" w:leader="none"/>
          <w:tab w:val="left" w:pos="61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（3）其他方式:</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967"/>
        <w:ind w:left="518" w:firstLine="200"/>
        <w:jc w:val="left"/>
        <w:tabs>
          <w:tab w:val="left" w:pos="12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15.2.2质量保证金的扣留</w:t>
      </w:r>
      <w:r/>
    </w:p>
    <w:p>
      <w:pPr>
        <w:pStyle w:val="989"/>
        <w:ind w:right="63" w:firstLine="480"/>
        <w:jc w:val="left"/>
        <w:spacing w:after="0"/>
        <w:tabs>
          <w:tab w:val="left" w:pos="3580" w:leader="none"/>
          <w:tab w:val="left" w:pos="389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质量保证金的扣留采取以下第</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种方式：</w:t>
      </w:r>
      <w:r/>
    </w:p>
    <w:p>
      <w:pPr>
        <w:numPr>
          <w:ilvl w:val="0"/>
          <w:numId w:val="8"/>
        </w:numPr>
        <w:ind w:left="0" w:right="526" w:firstLine="480"/>
        <w:spacing w:line="470" w:lineRule="atLeast"/>
        <w:tabs>
          <w:tab w:val="left" w:pos="106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在支付工程进度款时逐次扣留，在此情形下，质量保证金的计算基数不包括预付款的 支付、扣回以及价格调整的金额；</w:t>
      </w:r>
      <w:r/>
    </w:p>
    <w:p>
      <w:pPr>
        <w:numPr>
          <w:ilvl w:val="0"/>
          <w:numId w:val="8"/>
        </w:numPr>
        <w:ind w:left="0" w:firstLine="480"/>
        <w:tabs>
          <w:tab w:val="left" w:pos="106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工程竣工结算时一次性扣留质量保证金；</w:t>
      </w:r>
      <w:r/>
    </w:p>
    <w:p>
      <w:pPr>
        <w:ind w:left="600" w:right="28"/>
        <w:spacing w:line="417" w:lineRule="auto"/>
        <w:tabs>
          <w:tab w:val="left" w:pos="1061" w:leader="none"/>
          <w:tab w:val="left" w:pos="273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(3)其他扣留方式:</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从最后一批应付工程款扣留。</w:t>
      </w:r>
      <w:r/>
    </w:p>
    <w:p>
      <w:pPr>
        <w:ind w:left="600" w:right="3575"/>
        <w:spacing w:line="417" w:lineRule="auto"/>
        <w:tabs>
          <w:tab w:val="left" w:pos="1061" w:leader="none"/>
          <w:tab w:val="left" w:pos="2737" w:leader="none"/>
          <w:tab w:val="left" w:pos="567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关于质量保证金的补充约定：</w:t>
      </w:r>
      <w:r/>
    </w:p>
    <w:p>
      <w:pPr>
        <w:pStyle w:val="989"/>
        <w:ind w:right="63" w:firstLine="480"/>
        <w:jc w:val="left"/>
        <w:spacing w:after="0" w:line="269" w:lineRule="exact"/>
        <w:tabs>
          <w:tab w:val="left" w:pos="61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972185</wp:posOffset>
                </wp:positionH>
                <wp:positionV relativeFrom="paragraph">
                  <wp:posOffset>151130</wp:posOffset>
                </wp:positionV>
                <wp:extent cx="3839210"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383921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3360;mso-wrap-distance-left:9.0pt;mso-wrap-distance-top:0.0pt;mso-wrap-distance-right:9.0pt;mso-wrap-distance-bottom:0.0pt;visibility:visible;" from="76.5pt,11.9pt" to="378.9pt,11.9pt" fillcolor="#FFFFFF" strokecolor="#000000" strokeweight="0.48pt"/>
            </w:pict>
          </mc:Fallback>
        </mc:AlternateConten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15.3保修</w:t>
      </w:r>
      <w:r/>
    </w:p>
    <w:p>
      <w:pPr>
        <w:pStyle w:val="967"/>
        <w:ind w:firstLine="468"/>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15.3.1 保修责任</w:t>
      </w:r>
      <w:r/>
    </w:p>
    <w:p>
      <w:pPr>
        <w:pStyle w:val="967"/>
        <w:ind w:firstLine="468"/>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工程保修期为：</w:t>
      </w:r>
      <w:r>
        <w:rPr>
          <w:rFonts w:ascii="宋体" w:hAnsi="宋体"/>
          <w:color w:val="000000" w:themeColor="text1"/>
          <w:sz w:val="24"/>
          <w:highlight w:val="none"/>
          <w:u w:val="single"/>
          <w14:textFill>
            <w14:solidFill>
              <w14:schemeClr w14:val="tx1"/>
            </w14:solidFill>
          </w14:textFill>
        </w:rPr>
        <w:t xml:space="preserve">详见保修书。</w:t>
      </w:r>
      <w:r>
        <w:rPr>
          <w:rFonts w:ascii="宋体" w:hAnsi="宋体"/>
          <w:color w:val="000000" w:themeColor="text1"/>
          <w:sz w:val="24"/>
          <w:highlight w:val="none"/>
          <w14:textFill>
            <w14:solidFill>
              <w14:schemeClr w14:val="tx1"/>
            </w14:solidFill>
          </w14:textFill>
        </w:rPr>
        <w:t xml:space="preserve"> </w:t>
      </w:r>
      <w:bookmarkEnd w:id="719"/>
      <w:r/>
      <w:bookmarkEnd w:id="720"/>
      <w:r/>
      <w:bookmarkEnd w:id="721"/>
      <w:r/>
      <w:r/>
    </w:p>
    <w:p>
      <w:pPr>
        <w:pStyle w:val="967"/>
        <w:ind w:firstLine="468"/>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15.3.2 修复通知</w:t>
      </w:r>
      <w:r/>
    </w:p>
    <w:p>
      <w:pPr>
        <w:pStyle w:val="967"/>
        <w:ind w:firstLine="468"/>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承包人收到保修通知并到达工程现场的合理时间：</w:t>
      </w:r>
      <w:r>
        <w:rPr>
          <w:rFonts w:ascii="宋体" w:hAnsi="宋体"/>
          <w:color w:val="000000" w:themeColor="text1"/>
          <w:sz w:val="24"/>
          <w:highlight w:val="none"/>
          <w:u w:val="single"/>
          <w14:textFill>
            <w14:solidFill>
              <w14:schemeClr w14:val="tx1"/>
            </w14:solidFill>
          </w14:textFill>
        </w:rPr>
        <w:t xml:space="preserve">24小时内</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49" w:name="_Toc652859120"/>
      <w:r/>
      <w:bookmarkStart w:id="750" w:name="_Toc1846040712"/>
      <w:r>
        <w:rPr>
          <w:rFonts w:ascii="宋体" w:hAnsi="宋体"/>
          <w:color w:val="000000" w:themeColor="text1"/>
          <w:sz w:val="24"/>
          <w:highlight w:val="none"/>
          <w14:textFill>
            <w14:solidFill>
              <w14:schemeClr w14:val="tx1"/>
            </w14:solidFill>
          </w14:textFill>
        </w:rPr>
        <w:t xml:space="preserve">15.4绿化养护期</w:t>
      </w:r>
      <w:bookmarkEnd w:id="749"/>
      <w:r/>
      <w:bookmarkEnd w:id="750"/>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绿化养护期的具体期限：</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绿化养护期内双方责任约定：</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绿化养护期内水电费支付：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bookmarkEnd w:id="722"/>
      <w:r/>
      <w:bookmarkEnd w:id="723"/>
      <w:r/>
      <w:bookmarkEnd w:id="724"/>
      <w:r/>
      <w:bookmarkEnd w:id="725"/>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51" w:name="_Toc543386448"/>
      <w:r/>
      <w:bookmarkStart w:id="752" w:name="_Toc922596978"/>
      <w:r/>
      <w:bookmarkStart w:id="753" w:name="_Toc280868717"/>
      <w:r/>
      <w:bookmarkStart w:id="754" w:name="_Toc280868718"/>
      <w:r>
        <w:rPr>
          <w:rFonts w:ascii="宋体" w:hAnsi="宋体" w:eastAsia="宋体"/>
          <w:b w:val="0"/>
          <w:color w:val="000000" w:themeColor="text1"/>
          <w:sz w:val="24"/>
          <w:szCs w:val="24"/>
          <w:highlight w:val="none"/>
          <w14:textFill>
            <w14:solidFill>
              <w14:schemeClr w14:val="tx1"/>
            </w14:solidFill>
          </w14:textFill>
        </w:rPr>
        <w:t xml:space="preserve">16. 违约</w:t>
      </w:r>
      <w:bookmarkEnd w:id="751"/>
      <w:r/>
      <w:bookmarkEnd w:id="752"/>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55" w:name="_Toc41673421"/>
      <w:r/>
      <w:bookmarkStart w:id="756" w:name="_Toc12830"/>
      <w:r/>
      <w:bookmarkStart w:id="757" w:name="_Toc776232141"/>
      <w:r>
        <w:rPr>
          <w:rFonts w:ascii="宋体" w:hAnsi="宋体"/>
          <w:color w:val="000000" w:themeColor="text1"/>
          <w:sz w:val="24"/>
          <w:highlight w:val="none"/>
          <w14:textFill>
            <w14:solidFill>
              <w14:schemeClr w14:val="tx1"/>
            </w14:solidFill>
          </w14:textFill>
        </w:rPr>
        <w:t xml:space="preserve">16.1 发包人违约</w:t>
      </w:r>
      <w:bookmarkEnd w:id="755"/>
      <w:r/>
      <w:bookmarkEnd w:id="756"/>
      <w:r/>
      <w:bookmarkEnd w:id="757"/>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16.1.1发包人违约的情形</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发包人违约的其他情形：</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left="1200" w:hanging="120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16.1.2 发包人违约的责任</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发包人违约责任的承担方式和计算方法：</w:t>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（1）因发包人原因未能在计划开工日期前7天内下达开工通知的违约责任：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（2）因发包人原因未能按合同约定支付合同价款的违约责任：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（3）发包人违反第10.1款〔变更的范围〕第（2）项约定，自行实施被取消的工作或转由他人实施的违约责任：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（5）因发包人违反合同约定造成暂停施工的违约责任：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（6）发包人无正当理由没有在约定期限内发出复工指示，导致承包人无法复工的违约责任：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（7）其他：</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16.1.3 因发包人违约解除合同</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承包人按16.1.1项〔发包人违约的情形〕约定暂停施工满</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天后发包人仍不纠正其违约行为并致使合同目的不能实现的，承包人有权解除合同。</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58" w:name="_Toc808083520"/>
      <w:r/>
      <w:bookmarkStart w:id="759" w:name="_Toc356979891"/>
      <w:r/>
      <w:bookmarkStart w:id="760" w:name="_Toc10226"/>
      <w:r>
        <w:rPr>
          <w:rFonts w:ascii="宋体" w:hAnsi="宋体"/>
          <w:color w:val="000000" w:themeColor="text1"/>
          <w:sz w:val="24"/>
          <w:highlight w:val="none"/>
          <w14:textFill>
            <w14:solidFill>
              <w14:schemeClr w14:val="tx1"/>
            </w14:solidFill>
          </w14:textFill>
        </w:rPr>
        <w:t xml:space="preserve">16.2 承包人违约</w:t>
      </w:r>
      <w:bookmarkEnd w:id="758"/>
      <w:r/>
      <w:bookmarkEnd w:id="759"/>
      <w:r/>
      <w:bookmarkEnd w:id="760"/>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16.2.1 承包人违约的情形</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承包人违约的其他情形：</w:t>
      </w:r>
      <w:r>
        <w:rPr>
          <w:rFonts w:ascii="宋体" w:hAnsi="宋体"/>
          <w:color w:val="000000" w:themeColor="text1"/>
          <w:sz w:val="24"/>
          <w:highlight w:val="none"/>
          <w:u w:val="single"/>
          <w14:textFill>
            <w14:solidFill>
              <w14:schemeClr w14:val="tx1"/>
            </w14:solidFill>
          </w14:textFill>
        </w:rPr>
        <w:t xml:space="preserve">   中标后被发现有非法转包、违法分包、借用资质行为的中标人（承包人），发包方有权单方面解除施工合同，清退施工人员并按合同总价的 10%收取违约金，在这种情况下，承包人在收到解除合同通知七日内退场，并且不得提出任何对发包人不利的要求并承担发包人相关损失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16.2.2承包人违约的责任</w:t>
      </w:r>
      <w:r/>
    </w:p>
    <w:p>
      <w:pPr>
        <w:pStyle w:val="989"/>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承包人违约责任的承担方式和计算方法：</w:t>
      </w:r>
      <w:r>
        <w:rPr>
          <w:rFonts w:ascii="宋体" w:hAnsi="宋体"/>
          <w:color w:val="000000" w:themeColor="text1"/>
          <w:sz w:val="24"/>
          <w:highlight w:val="none"/>
          <w:u w:val="single"/>
          <w14:textFill>
            <w14:solidFill>
              <w14:schemeClr w14:val="tx1"/>
            </w14:solidFill>
          </w14:textFill>
        </w:rPr>
        <w:t xml:space="preserve">1、施工中出现质量问题，由</w:t>
      </w:r>
      <w:r>
        <w:rPr>
          <w:rFonts w:ascii="宋体" w:hAnsi="宋体"/>
          <w:color w:val="000000" w:themeColor="text1"/>
          <w:sz w:val="24"/>
          <w:highlight w:val="none"/>
          <w:u w:val="single"/>
          <w14:textFill>
            <w14:solidFill>
              <w14:schemeClr w14:val="tx1"/>
            </w14:solidFill>
          </w14:textFill>
        </w:rPr>
        <w:t xml:space="preserve">承包人无偿返工至合格，并承担一切后果及经济赔偿责任，且工期不予顺延 ；2、如承包人违约，当约定的违约金不足以弥补发包人所受到的损失时，还应赔偿损失。3、发生人身、财产损失的安全事故，承包人应立刻将损失赔偿完毕，并保证不得造成社会不利影响。否则，发包人有权垫付上述费用，承包人应向发包人双倍支付垫付的款项。4、因承包人未能按时支付工人工资而造成不良社会影响的，发包人有权为安抚民工而在事先告之承包人的情况下向民工支付工资，并双倍从工程进度款中扣除，上报建设主管部门对承包人进行处置。5、承包人放弃调减违约金的权利。</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16.2.3 因承包人违约解除合同</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关于承包人违约解除合同的特别约定：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61" w:name="_Toc2079114017"/>
      <w:r/>
      <w:bookmarkStart w:id="762" w:name="_Toc812123563"/>
      <w:r>
        <w:rPr>
          <w:rFonts w:ascii="宋体" w:hAnsi="宋体" w:eastAsia="宋体"/>
          <w:b w:val="0"/>
          <w:color w:val="000000" w:themeColor="text1"/>
          <w:sz w:val="24"/>
          <w:szCs w:val="24"/>
          <w:highlight w:val="none"/>
          <w14:textFill>
            <w14:solidFill>
              <w14:schemeClr w14:val="tx1"/>
            </w14:solidFill>
          </w14:textFill>
        </w:rPr>
        <w:t xml:space="preserve">17. 不可抗力</w:t>
      </w:r>
      <w:bookmarkEnd w:id="753"/>
      <w:r/>
      <w:bookmarkEnd w:id="761"/>
      <w:r/>
      <w:bookmarkEnd w:id="762"/>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3" w:name="_Toc9363"/>
      <w:r/>
      <w:bookmarkStart w:id="764" w:name="_Toc1018645862"/>
      <w:r/>
      <w:bookmarkStart w:id="765" w:name="_Toc1806635917"/>
      <w:r>
        <w:rPr>
          <w:rFonts w:ascii="宋体" w:hAnsi="宋体"/>
          <w:color w:val="000000" w:themeColor="text1"/>
          <w:sz w:val="24"/>
          <w:highlight w:val="none"/>
          <w14:textFill>
            <w14:solidFill>
              <w14:schemeClr w14:val="tx1"/>
            </w14:solidFill>
          </w14:textFill>
        </w:rPr>
        <w:t xml:space="preserve">17.1 不可抗力的确认</w:t>
      </w:r>
      <w:bookmarkEnd w:id="763"/>
      <w:r/>
      <w:bookmarkEnd w:id="764"/>
      <w:r/>
      <w:bookmarkEnd w:id="765"/>
      <w:r/>
      <w:r/>
    </w:p>
    <w:p>
      <w:pPr>
        <w:pStyle w:val="967"/>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除通用合同条款约定的不可抗力事件之外，视为不可抗力的其他情形：</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6" w:name="_Toc24645"/>
      <w:r/>
      <w:bookmarkStart w:id="767" w:name="_Toc11690251"/>
      <w:r/>
      <w:bookmarkStart w:id="768" w:name="_Toc1010713786"/>
      <w:r>
        <w:rPr>
          <w:rFonts w:ascii="宋体" w:hAnsi="宋体"/>
          <w:color w:val="000000" w:themeColor="text1"/>
          <w:sz w:val="24"/>
          <w:highlight w:val="none"/>
          <w14:textFill>
            <w14:solidFill>
              <w14:schemeClr w14:val="tx1"/>
            </w14:solidFill>
          </w14:textFill>
        </w:rPr>
        <w:t xml:space="preserve">17.2 因不可抗力解除合同</w:t>
      </w:r>
      <w:bookmarkEnd w:id="766"/>
      <w:r/>
      <w:bookmarkEnd w:id="767"/>
      <w:r/>
      <w:bookmarkEnd w:id="768"/>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合同解除后，发包人应在商定时间后完成款项的支付。</w:t>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69" w:name="_Toc266453569"/>
      <w:r/>
      <w:bookmarkStart w:id="770" w:name="_Toc1270684127"/>
      <w:r>
        <w:rPr>
          <w:rFonts w:ascii="宋体" w:hAnsi="宋体" w:eastAsia="宋体"/>
          <w:b w:val="0"/>
          <w:color w:val="000000" w:themeColor="text1"/>
          <w:sz w:val="24"/>
          <w:szCs w:val="24"/>
          <w:highlight w:val="none"/>
          <w14:textFill>
            <w14:solidFill>
              <w14:schemeClr w14:val="tx1"/>
            </w14:solidFill>
          </w14:textFill>
        </w:rPr>
        <w:t xml:space="preserve">18. 保险</w:t>
      </w:r>
      <w:bookmarkEnd w:id="754"/>
      <w:r/>
      <w:bookmarkEnd w:id="769"/>
      <w:r/>
      <w:bookmarkEnd w:id="770"/>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1" w:name="_Toc29058"/>
      <w:r/>
      <w:bookmarkStart w:id="772" w:name="_Toc552342053"/>
      <w:r/>
      <w:bookmarkStart w:id="773" w:name="_Toc995365961"/>
      <w:r>
        <w:rPr>
          <w:rFonts w:ascii="宋体" w:hAnsi="宋体"/>
          <w:color w:val="000000" w:themeColor="text1"/>
          <w:sz w:val="24"/>
          <w:highlight w:val="none"/>
          <w14:textFill>
            <w14:solidFill>
              <w14:schemeClr w14:val="tx1"/>
            </w14:solidFill>
          </w14:textFill>
        </w:rPr>
        <w:t xml:space="preserve">18.1 工程保险</w:t>
      </w:r>
      <w:bookmarkEnd w:id="771"/>
      <w:r/>
      <w:bookmarkEnd w:id="772"/>
      <w:r/>
      <w:bookmarkEnd w:id="773"/>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关于工程保险的特别约定：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4" w:name="_Toc1356197126"/>
      <w:r/>
      <w:bookmarkStart w:id="775" w:name="_Toc11083"/>
      <w:r/>
      <w:bookmarkStart w:id="776" w:name="_Toc1714078037"/>
      <w:r>
        <w:rPr>
          <w:rFonts w:ascii="宋体" w:hAnsi="宋体"/>
          <w:color w:val="000000" w:themeColor="text1"/>
          <w:sz w:val="24"/>
          <w:highlight w:val="none"/>
          <w14:textFill>
            <w14:solidFill>
              <w14:schemeClr w14:val="tx1"/>
            </w14:solidFill>
          </w14:textFill>
        </w:rPr>
        <w:t xml:space="preserve">18.2 其他保险</w:t>
      </w:r>
      <w:bookmarkEnd w:id="774"/>
      <w:r/>
      <w:bookmarkEnd w:id="775"/>
      <w:r/>
      <w:bookmarkEnd w:id="776"/>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关于其他保险的约定：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承包人是否应为其施工设备等办理财产保险：</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7" w:name="_Toc4543"/>
      <w:r/>
      <w:bookmarkStart w:id="778" w:name="_Toc23310917"/>
      <w:r/>
      <w:bookmarkStart w:id="779" w:name="_Toc221254894"/>
      <w:r>
        <w:rPr>
          <w:rFonts w:ascii="宋体" w:hAnsi="宋体"/>
          <w:color w:val="000000" w:themeColor="text1"/>
          <w:sz w:val="24"/>
          <w:highlight w:val="none"/>
          <w14:textFill>
            <w14:solidFill>
              <w14:schemeClr w14:val="tx1"/>
            </w14:solidFill>
          </w14:textFill>
        </w:rPr>
        <w:t xml:space="preserve">18.3 通知义务</w:t>
      </w:r>
      <w:bookmarkEnd w:id="777"/>
      <w:r/>
      <w:bookmarkEnd w:id="778"/>
      <w:r/>
      <w:bookmarkEnd w:id="779"/>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关于变更保险合同时的通知义务的约定：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
    </w:p>
    <w:p>
      <w:pPr>
        <w:pStyle w:val="969"/>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80" w:name="_Toc226165635"/>
      <w:r/>
      <w:bookmarkStart w:id="781" w:name="_Toc417085405"/>
      <w:r>
        <w:rPr>
          <w:rFonts w:ascii="宋体" w:hAnsi="宋体" w:eastAsia="宋体"/>
          <w:b w:val="0"/>
          <w:color w:val="000000" w:themeColor="text1"/>
          <w:sz w:val="24"/>
          <w:szCs w:val="24"/>
          <w:highlight w:val="none"/>
          <w14:textFill>
            <w14:solidFill>
              <w14:schemeClr w14:val="tx1"/>
            </w14:solidFill>
          </w14:textFill>
        </w:rPr>
        <w:t xml:space="preserve">19. 争议解决</w:t>
      </w:r>
      <w:bookmarkEnd w:id="780"/>
      <w:r/>
      <w:bookmarkEnd w:id="781"/>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2" w:name="_Toc4610"/>
      <w:r/>
      <w:bookmarkStart w:id="783" w:name="_Toc1731520220"/>
      <w:r/>
      <w:bookmarkStart w:id="784" w:name="_Toc846612084"/>
      <w:r>
        <w:rPr>
          <w:rFonts w:ascii="宋体" w:hAnsi="宋体"/>
          <w:color w:val="000000" w:themeColor="text1"/>
          <w:sz w:val="24"/>
          <w:highlight w:val="none"/>
          <w14:textFill>
            <w14:solidFill>
              <w14:schemeClr w14:val="tx1"/>
            </w14:solidFill>
          </w14:textFill>
        </w:rPr>
        <w:t xml:space="preserve">19.1 争议评审</w:t>
      </w:r>
      <w:bookmarkEnd w:id="782"/>
      <w:r/>
      <w:bookmarkEnd w:id="783"/>
      <w:r/>
      <w:bookmarkEnd w:id="784"/>
      <w:r/>
      <w:r/>
    </w:p>
    <w:p>
      <w:pPr>
        <w:pStyle w:val="967"/>
        <w:ind w:left="149" w:firstLine="36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合同当事人是否同意将工程争议提交争议评审小组决定：。</w:t>
      </w:r>
      <w:bookmarkEnd w:id="738"/>
      <w:r/>
      <w:bookmarkEnd w:id="739"/>
      <w:r/>
      <w:bookmarkEnd w:id="740"/>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19.1.1 争议评审小组的确定</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关于评审机构的约定：/。</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争议评审小组成员的确定：/。</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选定争议评审员的期限：/。</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争议评审小组成员的报酬承担方式：/。</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其他事项的约定：/。</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19.1.2 争议评审小组的决定</w:t>
      </w:r>
      <w:r/>
    </w:p>
    <w:p>
      <w:pPr>
        <w:pStyle w:val="967"/>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合同当事人关于本项的约定：/。</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5" w:name="_Toc1638028047"/>
      <w:r/>
      <w:bookmarkStart w:id="786" w:name="_Toc2061672555"/>
      <w:r/>
      <w:bookmarkStart w:id="787" w:name="_Toc30811"/>
      <w:r>
        <w:rPr>
          <w:rFonts w:ascii="宋体" w:hAnsi="宋体"/>
          <w:color w:val="000000" w:themeColor="text1"/>
          <w:sz w:val="24"/>
          <w:highlight w:val="none"/>
          <w14:textFill>
            <w14:solidFill>
              <w14:schemeClr w14:val="tx1"/>
            </w14:solidFill>
          </w14:textFill>
        </w:rPr>
        <w:t xml:space="preserve">19.2仲裁或诉讼</w:t>
      </w:r>
      <w:bookmarkEnd w:id="741"/>
      <w:r/>
      <w:bookmarkEnd w:id="785"/>
      <w:r/>
      <w:bookmarkEnd w:id="786"/>
      <w:r/>
      <w:bookmarkEnd w:id="787"/>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因合同及合同有关事项发生的争议，按下列第2种方式解决：</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（1）向</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仲裁委员会申请仲裁；</w:t>
      </w:r>
      <w:r/>
    </w:p>
    <w:p>
      <w:pPr>
        <w:pStyle w:val="967"/>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（2）依法向</w:t>
      </w:r>
      <w:r>
        <w:rPr>
          <w:rFonts w:ascii="宋体" w:hAnsi="宋体"/>
          <w:color w:val="000000" w:themeColor="text1"/>
          <w:sz w:val="24"/>
          <w:highlight w:val="none"/>
          <w:u w:val="single"/>
          <w14:textFill>
            <w14:solidFill>
              <w14:schemeClr w14:val="tx1"/>
            </w14:solidFill>
          </w14:textFill>
        </w:rPr>
        <w:t xml:space="preserve">工程所在地</w:t>
      </w:r>
      <w:r>
        <w:rPr>
          <w:rFonts w:ascii="宋体" w:hAnsi="宋体"/>
          <w:color w:val="000000" w:themeColor="text1"/>
          <w:sz w:val="24"/>
          <w:highlight w:val="none"/>
          <w14:textFill>
            <w14:solidFill>
              <w14:schemeClr w14:val="tx1"/>
            </w14:solidFill>
          </w14:textFill>
        </w:rPr>
        <w:t xml:space="preserve">人民法院起诉。</w:t>
      </w:r>
      <w:bookmarkEnd w:id="742"/>
      <w:r/>
      <w:bookmarkEnd w:id="743"/>
      <w:r/>
      <w:bookmarkEnd w:id="744"/>
      <w:r/>
      <w:bookmarkEnd w:id="745"/>
      <w:r/>
      <w:bookmarkEnd w:id="746"/>
      <w:r/>
      <w:bookmarkEnd w:id="747"/>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8" w:name="_Toc452738762"/>
      <w:r/>
      <w:bookmarkStart w:id="789" w:name="_Toc365353596"/>
      <w:r/>
      <w:bookmarkStart w:id="790" w:name="_Toc6183"/>
      <w:r>
        <w:rPr>
          <w:rFonts w:ascii="宋体" w:hAnsi="宋体"/>
          <w:color w:val="000000" w:themeColor="text1"/>
          <w:sz w:val="24"/>
          <w:highlight w:val="none"/>
          <w14:textFill>
            <w14:solidFill>
              <w14:schemeClr w14:val="tx1"/>
            </w14:solidFill>
          </w14:textFill>
        </w:rPr>
        <w:t xml:space="preserve">19.3 通知送达</w:t>
      </w:r>
      <w:bookmarkEnd w:id="788"/>
      <w:r/>
      <w:bookmarkEnd w:id="789"/>
      <w:r/>
      <w:bookmarkEnd w:id="790"/>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91" w:name="_Toc1414635822"/>
      <w:r/>
      <w:bookmarkStart w:id="792" w:name="_Toc626862138"/>
      <w:r>
        <w:rPr>
          <w:rFonts w:ascii="宋体" w:hAnsi="宋体"/>
          <w:color w:val="000000" w:themeColor="text1"/>
          <w:sz w:val="24"/>
          <w:highlight w:val="none"/>
          <w14:textFill>
            <w14:solidFill>
              <w14:schemeClr w14:val="tx1"/>
            </w14:solidFill>
          </w14:textFill>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3天起视为已送达。</w:t>
      </w:r>
      <w:bookmarkEnd w:id="791"/>
      <w:r/>
      <w:bookmarkEnd w:id="792"/>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pStyle w:val="967"/>
        <w:ind w:firstLine="482"/>
        <w:spacing w:line="360" w:lineRule="auto"/>
        <w:rPr>
          <w:rFonts w:ascii="宋体" w:hAnsi="宋体"/>
          <w:b/>
          <w:color w:val="000000" w:themeColor="text1"/>
          <w:sz w:val="24"/>
          <w:highlight w:val="none"/>
          <w14:textFill>
            <w14:solidFill>
              <w14:schemeClr w14:val="tx1"/>
            </w14:solidFill>
          </w14:textFill>
        </w:rPr>
        <w:outlineLvl w:val="2"/>
      </w:pPr>
      <w:r>
        <w:rPr>
          <w:rFonts w:ascii="宋体" w:hAnsi="宋体"/>
          <w:b/>
          <w:color w:val="000000" w:themeColor="text1"/>
          <w:sz w:val="24"/>
          <w:highlight w:val="none"/>
          <w14:textFill>
            <w14:solidFill>
              <w14:schemeClr w14:val="tx1"/>
            </w14:solidFill>
          </w14:textFill>
        </w:rPr>
        <w:t xml:space="preserve">20.补充条款</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本工程执行《建设工程工程量清单计价规范》（GB50500-2013）、《江苏省建筑与装饰工程计价定额》（2014）、《江苏省安装工程计价定额》（2014）、《江苏省市政工程计价定额》（2014）、《江苏省仿古建筑与园林工程计价表》（2007）、《江苏省建设工程费用定额》（2014）、《江苏省住房和城乡建设厅关于建筑业实施营改增后江苏省建设工程计价依据调整的通知》（苏建价〔2016〕154 号）及市场价。</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2、养护费执行《江苏省城市园林绿化养护管理计价定额》（2017 年版）三级。</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3、特殊规格苗木执行购货合同价格(须经发包人审核同意后)。</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4、土方工程（含清杂、回填）执行江苏省市政定额。</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5、绿化部分：绿化苗木的综合单价应包括树穴开挖、更换种植土、苗木种植、苗木购置、运输、装卸、施肥浇水、缠草绳、搭扶木、病虫害的防治、二年养护费、利润、税金等所有费用。个别规格品种不全时，须经招标人同意后可选其他规格苗木代替，发生的费用增减等问题另行协商。</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6、景观（土建）部分：综合单价中应包括施工图纸所含内容，以及工程量清单报价表中的价格应包括工程管理费、利润、应缴的各项费用、政策性文件规定及施工进程中包含的所有风险、责任等各项应有费用。并含相应的平整场地、地基处理等全部内容的全部费用。</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7、承包人养护期内执行徐政发[2008]26 号《徐州市关于开展全市绿地养护管理达标及精品绿地评选活动的通知》及省市规范标准，达到精品绿地养护标准。养护费以承包人中标的商务标养护费用报价为准，接受沛县园林服务中心园林绿化管理科考核，根据园林绿化管理科新建绿地考核标准的考核结果分批拨付养护费用，剩余款项作为违约金支付给甲方，用于该绿地的养护标准提升。养护期内如出现3次（含3次）以上达不到考核优质标准的，发包人有权收回承包方养护权，不再支付养护费用。</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8、随时更换死亡树木及植被，如更换不及时，发包人有权组织更换，其发生费用由承包方承担。死亡苗木补植后养护期顺延二年。</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972185</wp:posOffset>
                </wp:positionH>
                <wp:positionV relativeFrom="paragraph">
                  <wp:posOffset>576580</wp:posOffset>
                </wp:positionV>
                <wp:extent cx="306070" cy="0"/>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306070" cy="0"/>
                        </a:xfrm>
                        <a:prstGeom prst="line">
                          <a:avLst/>
                        </a:prstGeom>
                        <a:solidFill>
                          <a:srgbClr val="FFFFFF"/>
                        </a:solidFill>
                        <a:ln w="762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6432;mso-wrap-distance-left:9.0pt;mso-wrap-distance-top:0.0pt;mso-wrap-distance-right:9.0pt;mso-wrap-distance-bottom:0.0pt;visibility:visible;" from="76.5pt,45.4pt" to="100.6pt,45.4pt" fillcolor="#FFFFFF" strokecolor="#000000" strokeweight="0.60pt"/>
            </w:pict>
          </mc:Fallback>
        </mc:AlternateContent>
      </w:r>
      <w:r>
        <w:rPr>
          <w:rFonts w:ascii="宋体" w:hAnsi="宋体"/>
          <w:color w:val="000000" w:themeColor="text1"/>
          <w:sz w:val="24"/>
          <w:highlight w:val="none"/>
          <w14:textFill>
            <w14:solidFill>
              <w14:schemeClr w14:val="tx1"/>
            </w14:solidFill>
          </w14:textFill>
        </w:rPr>
        <w:t xml:space="preserve">9、执行沛政发[2007]5 号文件、沛政发[2011]34 号文件、沛政纪【2013】8 号文。</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10、本工程对中标项目负责人及三大员（施工员、质检员、安全员）要求如下：在项目建设期内未经招标人书面同意，不得更换和离开施工现场；否则按8000元/人•天处罚，直至取消中标资格、清退出场，并承担一切相关损失。其中，项目负责人每擅自离开工地 1 天，扣罚 5000 元/天；三大员每擅自离开工地 1 天，扣罚 1000 元/人•天。项目负责人三天不在岗在位，招标人有权自行组织施工，由此产生的相关费用及责任由中标人承担。</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 11、招标范围内的卫生保洁由中标人负责，时间截止到工程全部交接结束为止。</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12、乙方在栽植后第一年验收时苗木的成活率未达到 95%（含 95%）以上时，每低 1%，甲方将扣减工程总价款的 1%。</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13、质量与检验：工程质量应符合国家现行施工规范标准，并按照徐州市园林局 1999 年实施的《徐州市园林绿化工程植物栽植技术规程（试行）》组织栽植施工。</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14、本工程要求质量等级为合格</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15、创优要求：</w:t>
      </w:r>
      <w:r>
        <w:rPr>
          <w:rFonts w:hint="eastAsia" w:ascii="宋体" w:hAnsi="宋体"/>
          <w:color w:val="000000" w:themeColor="text1"/>
          <w:sz w:val="24"/>
          <w:highlight w:val="none"/>
          <w14:textFill>
            <w14:solidFill>
              <w14:schemeClr w14:val="tx1"/>
            </w14:solidFill>
          </w14:textFill>
        </w:rPr>
        <w:t xml:space="preserve">无</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15.1、符合《工程施工质量验收规范》标准；</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15.2、符合国家、江苏省、徐州市有关绿化工程的规范、标准；</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15.3、符合设计图纸的规定、要求；</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15.4、按照《徐州市园林绿化工程植物栽植技术规程》（实行）组织栽植施工，符合招标文件的有关要求。施工结束后，在养护期内一直保持良好的绿化效果，直至交接；</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15.5、施工时应根据实际情况进行必要的土壤改良、施肥等（乔木每树穴施基肥10 公分厚、灌木平均施基肥 5 公分厚）；</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15.6、所植苗木均带冠，根系完整、树杆通直；树形均匀、美观、丰满、无病虫害和缺损，球类植物均是精球（成品球），不脱脚；</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15.7、乔木用 4 根杉木支撑，小头直径不少于 5-8 公分，灌木用杉木扁担撑支撑。所有树木支撑要求保存至工程移交，不得缺失，否则按缺失数量扣除缺失部分的相关费用。</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15.8、关于工程奖项的约定：</w:t>
      </w:r>
      <w:r>
        <w:rPr>
          <w:rFonts w:hint="eastAsia" w:ascii="宋体" w:hAnsi="宋体"/>
          <w:color w:val="000000" w:themeColor="text1"/>
          <w:sz w:val="24"/>
          <w:highlight w:val="none"/>
          <w14:textFill>
            <w14:solidFill>
              <w14:schemeClr w14:val="tx1"/>
            </w14:solidFill>
          </w14:textFill>
        </w:rPr>
        <w:t xml:space="preserve">无</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16、 a.承包人所提供的一切施工设备、临时工程和材料一经携入现场就应当认为是专供本工程的施工和建成之用，未经监理工程师的书面同意(不得无理拒绝)，承包人不得将其或其中的任何一部分移走(为了将其从现场的某部分移至另一部分者除外)。b.设备的撤离：在本工程竣工时，承包人应把他所提供的留在现场的所有上述施工设备和临时工程以及任何未使用的材料撤离现场。c.发包人在任何时候对上述任何施工设备、临时工程或材料所受的损失或伤害概不负责。</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17、农忙季节不得停工。</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18、承包人签订施工合同后，应在发包人指定的银行开设工程款专户。竣工验收合格前不得将本工程的工程款挪作它用，不得拖欠工人工资。发包人有权对帐户进行定期或不定期的检查，并对该帐户工程款的使用有监控权，以确保工程款专款专用。如发现有挪用现象，按挪用款额的15%支付违约金。承包人应及时足额支付农民工工资，逾期不付，按《国务院办公厅关于全面治理拖欠农民工工资问题的意见》（国办发〔2016〕1号）、《省政府办公厅关于全面治理拖欠农民工工资问题的实施</w:t>
      </w:r>
      <w:r>
        <w:rPr>
          <w:rFonts w:ascii="宋体" w:hAnsi="宋体"/>
          <w:color w:val="000000" w:themeColor="text1"/>
          <w:sz w:val="24"/>
          <w:highlight w:val="none"/>
          <w14:textFill>
            <w14:solidFill>
              <w14:schemeClr w14:val="tx1"/>
            </w14:solidFill>
          </w14:textFill>
        </w:rPr>
        <w:t xml:space="preserve">意见》（苏政办发﹝2016﹞85号）的规定执行。如出现工人投诉或上访等事件造成不良社会影响的，发包人有权采取扣除工程造价劳务费用、列入拖欠工资企业“黑名单”等相关处罚措施。因农民工工资上访超过两次（含两次）以上的，承包人将被列入沛县园林项目黑名单，将被拒绝参加沛县园林服务中心招标的其他项目投标资格。为响应住建部政策，保障项目不拖欠农民工工资，维护社会稳定。承包方接受建设期拖欠的农民工工资可以直接用履约保证金支付，养护期缴纳中标价的2%，作为不拖欠农民工工资保证金，可以直接用于养护期内拖欠的农民工工资的支付。</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19、承包方应严格按照施工图纸、图纸中设计、工程施工说明和相关标准规范施工，在施工过程中，如发现承包方擅自修改施工图纸，偷工减料，材质代换等问题，除限期整改外，还需按该分项工程以及上下关联工序总造价的三倍进行罚款，如因此影响总体工程验收，则承包方须承担发包方全部经济损失。</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20、承包人不按照图纸、图纸中设计、工程施工说明及相关规范进行施工的每次罚款 5000 元，经监理建设方指出拒不整改的每次罚款 20000 元，给发包人造成损失的由承包人承担。</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21 甲乙双方约定审计单位为沛县审计局。承包人应认真编制竣工结算报告，不得高估冒算。审计费用由承包人承担，竣工结算金额以审计局最终审计结果为准。竣工验收后的现场与招标工程量清单及施工图纸不符部分的工程量要以沛县审计局审计结果为准。</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22.中标后被发现有出卖资质，非法挂靠、转包和违法分包行为的中标人（承包人），发包方有权单方面解除施工合同，清退施工人员并按合同总价的 10%收取违约金，在这种情况下，承包人在收到解除合同通知七日内退场，并且不得提出任何对发包人不利的要求并承担发包人相关损失。</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23、本合同履行期内，承包人与第三方产生的债权、债务均由承包人自行解决，与发包人无关。</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24、乙方应严格按照施工图纸、招标工程量清单及投标文件组织施工，施工过程乙方应积极采取有效措施确保施工中及工程竣工验收后不会对工程周边环境、农用地及农作物（经济作物）产生影响，否则，由此造成的一切经济损失由乙方承担。</w:t>
      </w:r>
      <w:r/>
    </w:p>
    <w:p>
      <w:pPr>
        <w:pStyle w:val="967"/>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25、工程中标公示结束第二天，中标单位应组织进驻现场施工，否则每推迟一天按10000 元/天罚款。中标单位连续五天不到施工现场的，发包人有权报建筑主管部门更换承包人，且不承担任何责任。因承包方原因造成工程无法完工，承包方同意退场清算并以沛县审计局审计为准。承包方因投标报价或市场波动等原因造成工程未完成的部分，发包方可根据市场询价等方式对未完成部分的差价向承包方追偿。</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26、本工程要求全封闭围挡施工，建筑围挡达相关规范及文明城创建要求，喷雾防尘设施必须覆盖全部施工作业区。按照六个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100%，均包括在投标报价内。未按文明施工要求施工的，查到后，按5000元/次罚款。</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27、安全施工措施费用已含在中标合同总价内，应专款专用，承包人不准挪作它用，承包人应按工程要求提供和维护施工照明、看守、围栏和警示。未按安全施工要求施工的，查到后，按5000元/次罚款。因承包人未履行上述义务造成的工程财产损失及人身伤害，由承包人承担法律责任并承担因此而发生的所有费用</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28、每月25日前提交本月已完工程量报告；工程量的测量、验收、计量由承包人申请经监理、发包人、承包人三方代表现场测量，在质量合格、资料手续完备的前提下，经监理工程师、发包人代表签字确认；隐蔽工程需在隐蔽前申请测量、验收、计量，否则不予认可</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29、开工前提供施工组织设计和施工总进度计划，每个分部工程施工前 15天向发包人提供该分部工程的详细进度计划。开工后每周五提供上周每日完成工作量及下周每日完成工作量进度计划，并提供调整后的总进度计划。每月 25日前报送本月工程进度完成报表和次月的工程形象进度计划。如没有按期完成计划，延期按5000元/天罚款</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养护到期，发包人依据《沛县园林绿化项目交接管理制度》自行组织或委托县财政、审计局认证的第三方审计事务所进行验收，验收合格出具竣工验收证书、移交清单完成移交后，支付最后一笔工程款。经第三方审计事务所首次验收合格的，发包人承担委托费用；首次验收不合格的，承包人承担此项目的首次验收和以后验收的委托费用。(委托费用在县审计局收费标准范围内)</w:t>
      </w:r>
      <w:r/>
    </w:p>
    <w:p>
      <w:pPr>
        <w:pStyle w:val="967"/>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项目的罚款可以从保证金中扣除，因罚款扣除造成保证金缺失的部分，由承包方在罚款扣除后3天内补缴齐全。</w:t>
      </w:r>
      <w:r/>
    </w:p>
    <w:p>
      <w:pPr>
        <w:pStyle w:val="967"/>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附件1：绿化养护责任书</w:t>
      </w:r>
      <w:r/>
    </w:p>
    <w:p>
      <w:pPr>
        <w:pStyle w:val="967"/>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附件2：工程质量保修书</w:t>
      </w:r>
      <w:r/>
    </w:p>
    <w:p>
      <w:pPr>
        <w:pStyle w:val="967"/>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附件3：廉政建设责任书</w:t>
      </w:r>
      <w:r/>
    </w:p>
    <w:p>
      <w:pPr>
        <w:pStyle w:val="967"/>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附件4：承包人用于本工程施工的机械设备表</w:t>
      </w:r>
      <w:r/>
    </w:p>
    <w:p>
      <w:pPr>
        <w:pStyle w:val="967"/>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附件5：承包人主要施工管理人员表</w:t>
      </w:r>
      <w:r/>
    </w:p>
    <w:p>
      <w:pPr>
        <w:pStyle w:val="967"/>
        <w:ind w:firstLine="480"/>
        <w:jc w:val="left"/>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附件6：发包人主要管理人员表</w:t>
      </w:r>
      <w:r/>
    </w:p>
    <w:p>
      <w:pPr>
        <w:pStyle w:val="967"/>
        <w:ind w:firstLine="480"/>
        <w:jc w:val="left"/>
        <w:rPr>
          <w:rFonts w:ascii="宋体" w:hAnsi="宋体"/>
          <w:color w:val="000000" w:themeColor="text1"/>
          <w:sz w:val="24"/>
          <w:highlight w:val="none"/>
          <w14:textFill>
            <w14:solidFill>
              <w14:schemeClr w14:val="tx1"/>
            </w14:solidFill>
          </w14:textFill>
        </w:rPr>
        <w:sectPr>
          <w:footnotePr/>
          <w:endnotePr/>
          <w:type w:val="nextPage"/>
          <w:pgSz w:w="11906" w:h="16838" w:orient="portrait"/>
          <w:pgMar w:top="2098" w:right="1757" w:bottom="1984" w:left="1757" w:header="851" w:footer="1417" w:gutter="0"/>
          <w:cols w:num="1" w:sep="0" w:space="1701" w:equalWidth="1"/>
          <w:docGrid w:linePitch="360"/>
        </w:sectPr>
        <w:outlineLvl w:val="2"/>
      </w:pPr>
      <w:r>
        <w:rPr>
          <w:rFonts w:ascii="宋体" w:hAnsi="宋体"/>
          <w:color w:val="000000" w:themeColor="text1"/>
          <w:sz w:val="24"/>
          <w:highlight w:val="none"/>
          <w14:textFill>
            <w14:solidFill>
              <w14:schemeClr w14:val="tx1"/>
            </w14:solidFill>
          </w14:textFill>
        </w:rPr>
      </w:r>
      <w:r/>
    </w:p>
    <w:p>
      <w:pPr>
        <w:pStyle w:val="967"/>
        <w:spacing w:line="360" w:lineRule="auto"/>
        <w:rPr>
          <w:rFonts w:ascii="宋体" w:hAnsi="宋体"/>
          <w:color w:val="000000" w:themeColor="text1"/>
          <w:sz w:val="24"/>
          <w:highlight w:val="none"/>
          <w14:textFill>
            <w14:solidFill>
              <w14:schemeClr w14:val="tx1"/>
            </w14:solidFill>
          </w14:textFill>
        </w:rPr>
        <w:outlineLvl w:val="1"/>
      </w:pPr>
      <w:r/>
      <w:bookmarkStart w:id="793" w:name="_Toc2144979508"/>
      <w:r/>
      <w:bookmarkStart w:id="794" w:name="_Toc1357349786"/>
      <w:r/>
      <w:bookmarkStart w:id="795" w:name="_Toc1799881692"/>
      <w:r>
        <w:rPr>
          <w:rFonts w:ascii="宋体" w:hAnsi="宋体"/>
          <w:color w:val="000000" w:themeColor="text1"/>
          <w:sz w:val="24"/>
          <w:highlight w:val="none"/>
          <w14:textFill>
            <w14:solidFill>
              <w14:schemeClr w14:val="tx1"/>
            </w14:solidFill>
          </w14:textFill>
        </w:rPr>
        <w:t xml:space="preserve">附件1:</w:t>
      </w:r>
      <w:bookmarkEnd w:id="793"/>
      <w:r/>
      <w:bookmarkEnd w:id="794"/>
      <w:r/>
      <w:bookmarkEnd w:id="795"/>
      <w:r/>
      <w:r/>
    </w:p>
    <w:p>
      <w:pPr>
        <w:pStyle w:val="969"/>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796" w:name="_Toc1792836188"/>
      <w:r/>
      <w:bookmarkStart w:id="797" w:name="_Toc2133128467"/>
      <w:r>
        <w:rPr>
          <w:rFonts w:ascii="宋体" w:hAnsi="宋体" w:eastAsia="宋体"/>
          <w:b w:val="0"/>
          <w:color w:val="000000" w:themeColor="text1"/>
          <w:sz w:val="24"/>
          <w:szCs w:val="24"/>
          <w:highlight w:val="none"/>
          <w14:textFill>
            <w14:solidFill>
              <w14:schemeClr w14:val="tx1"/>
            </w14:solidFill>
          </w14:textFill>
        </w:rPr>
        <w:t xml:space="preserve">绿化养护责任书</w:t>
      </w:r>
      <w:bookmarkEnd w:id="796"/>
      <w:r/>
      <w:bookmarkEnd w:id="797"/>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发包人和承包人根据《园林绿化养护标准》（CJJ/T287）或（地方标准）等相关规定，经协商一致就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（工程全称）签订绿化养护责任书。</w:t>
      </w:r>
      <w:r/>
    </w:p>
    <w:p>
      <w:pPr>
        <w:pStyle w:val="967"/>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一、责任范围和内容</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承包人在绿化养护期内，按照有关法律规定和合同约定，承担施工范围内的绿化养护责任。</w:t>
      </w:r>
      <w:r/>
    </w:p>
    <w:p>
      <w:pPr>
        <w:pStyle w:val="967"/>
        <w:ind w:firstLine="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内容包括对养护范围内植物采取的整形修剪、松土除草、灌溉与排水、施肥、有害生物防治、改植与补植、绿地防护（如防台风、防寒）等技术措施；</w:t>
      </w:r>
      <w:r>
        <w:rPr>
          <w:rFonts w:ascii="宋体" w:hAnsi="宋体"/>
          <w:bCs/>
          <w:color w:val="000000" w:themeColor="text1"/>
          <w:sz w:val="24"/>
          <w:highlight w:val="none"/>
          <w14:textFill>
            <w14:solidFill>
              <w14:schemeClr w14:val="tx1"/>
            </w14:solidFill>
          </w14:textFill>
        </w:rPr>
        <w:t xml:space="preserve">其他内容</w:t>
      </w:r>
      <w:r>
        <w:rPr>
          <w:rFonts w:ascii="宋体" w:hAnsi="宋体"/>
          <w:color w:val="000000" w:themeColor="text1"/>
          <w:sz w:val="24"/>
          <w:highlight w:val="none"/>
          <w14:textFill>
            <w14:solidFill>
              <w14:schemeClr w14:val="tx1"/>
            </w14:solidFill>
          </w14:textFill>
        </w:rPr>
        <w:t xml:space="preserve">双方约定如下：</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967"/>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二、养护标准</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绿化养护质量按照《园林绿化养护标准》（CJJ/T287）或（地方标准）中级标准。</w:t>
      </w:r>
      <w:r/>
    </w:p>
    <w:p>
      <w:pPr>
        <w:pStyle w:val="967"/>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三、考核标准</w:t>
      </w:r>
      <w:r/>
    </w:p>
    <w:p>
      <w:pPr>
        <w:pStyle w:val="967"/>
        <w:ind w:firstLine="45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由发包人按（</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国家标准</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行业标准</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地方标准）中级标准进行考核，相关费用从质量保证金中扣除。</w:t>
      </w:r>
      <w:r/>
    </w:p>
    <w:p>
      <w:pPr>
        <w:pStyle w:val="967"/>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四、绿化养护期</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绿化养护期24个月，从工程竣工验收合格之日起计算。</w:t>
      </w:r>
      <w:r/>
    </w:p>
    <w:p>
      <w:pPr>
        <w:pStyle w:val="967"/>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五、养护责任</w:t>
      </w:r>
      <w:r/>
    </w:p>
    <w:p>
      <w:pPr>
        <w:pStyle w:val="967"/>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1．为确保养护质量，承包人应安排专业队伍和人员进行养护管理。</w:t>
      </w:r>
      <w:r/>
    </w:p>
    <w:p>
      <w:pPr>
        <w:pStyle w:val="967"/>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p>
    <w:p>
      <w:pPr>
        <w:pStyle w:val="967"/>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3．苗木成活率按合同约定执行，发生苗木等植物材料死亡，须按原设计品种和规格及时更换，更换费用由承包人承担。</w:t>
      </w:r>
      <w:r/>
    </w:p>
    <w:p>
      <w:pPr>
        <w:pStyle w:val="967"/>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4．绿化养护期满后，由发包人组织验收。</w:t>
      </w:r>
      <w:r/>
    </w:p>
    <w:p>
      <w:pPr>
        <w:pStyle w:val="967"/>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5．其他责任约定：无。</w:t>
      </w:r>
      <w:r/>
    </w:p>
    <w:p>
      <w:pPr>
        <w:pStyle w:val="967"/>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六、养护费用</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养护费用由承包人承担。</w:t>
      </w:r>
      <w:r/>
    </w:p>
    <w:p>
      <w:pPr>
        <w:pStyle w:val="967"/>
        <w:jc w:val="left"/>
        <w:spacing w:line="360" w:lineRule="auto"/>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七、其他约定</w:t>
      </w:r>
      <w:r>
        <w:rPr>
          <w:rFonts w:ascii="宋体" w:hAnsi="宋体"/>
          <w:color w:val="000000" w:themeColor="text1"/>
          <w:sz w:val="24"/>
          <w:highlight w:val="none"/>
          <w14:textFill>
            <w14:solidFill>
              <w14:schemeClr w14:val="tx1"/>
            </w14:solidFill>
          </w14:textFill>
        </w:rPr>
        <w:t xml:space="preserve">：</w:t>
      </w:r>
      <w:r/>
    </w:p>
    <w:p>
      <w:pPr>
        <w:pStyle w:val="967"/>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绿化养护责任书由发包人、承包人在工程竣工验收前共同签署，作为施工合同附件，其有效期限至绿化养护期满。</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-305435</wp:posOffset>
                </wp:positionH>
                <wp:positionV relativeFrom="paragraph">
                  <wp:posOffset>205740</wp:posOffset>
                </wp:positionV>
                <wp:extent cx="2865755" cy="192024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2865755" cy="1920240"/>
                        </a:xfrm>
                        <a:prstGeom prst="rect">
                          <a:avLst/>
                        </a:prstGeom>
                        <a:solidFill>
                          <a:srgbClr val="FFFFFF"/>
                        </a:solidFill>
                        <a:ln>
                          <a:noFill/>
                        </a:ln>
                      </wps:spPr>
                      <wps:txbx>
                        <w:txbxContent>
                          <w:p>
                            <w:pPr>
                              <w:pStyle w:val="967"/>
                              <w:spacing w:line="360" w:lineRule="auto"/>
                              <w:rPr>
                                <w:rFonts w:ascii="宋体" w:hAnsi="宋体"/>
                                <w:sz w:val="24"/>
                              </w:rPr>
                            </w:pPr>
                            <w:r>
                              <w:rPr>
                                <w:rFonts w:ascii="宋体" w:hAnsi="宋体"/>
                                <w:sz w:val="24"/>
                              </w:rPr>
                              <w:t xml:space="preserve">发包人：（公章）</w:t>
                            </w:r>
                            <w:r/>
                          </w:p>
                          <w:p>
                            <w:pPr>
                              <w:pStyle w:val="967"/>
                              <w:spacing w:line="360" w:lineRule="auto"/>
                              <w:rPr>
                                <w:rFonts w:ascii="宋体" w:hAnsi="宋体"/>
                                <w:sz w:val="24"/>
                              </w:rPr>
                            </w:pPr>
                            <w:r>
                              <w:rPr>
                                <w:rFonts w:ascii="宋体" w:hAnsi="宋体"/>
                                <w:sz w:val="24"/>
                              </w:rPr>
                              <w:t xml:space="preserve">法定代表人或其委托代理人：（签字）</w:t>
                            </w:r>
                            <w:r/>
                          </w:p>
                          <w:p>
                            <w:pPr>
                              <w:pStyle w:val="967"/>
                              <w:spacing w:line="360" w:lineRule="auto"/>
                              <w:rPr>
                                <w:rFonts w:ascii="宋体" w:hAnsi="宋体"/>
                                <w:sz w:val="24"/>
                              </w:rPr>
                            </w:pPr>
                            <w:r>
                              <w:rPr>
                                <w:rFonts w:ascii="宋体" w:hAnsi="宋体"/>
                                <w:sz w:val="24"/>
                              </w:rPr>
                              <w:t xml:space="preserve">地  址：   </w:t>
                            </w:r>
                            <w:r/>
                          </w:p>
                          <w:p>
                            <w:pPr>
                              <w:pStyle w:val="967"/>
                              <w:spacing w:line="360" w:lineRule="auto"/>
                              <w:rPr>
                                <w:rFonts w:ascii="宋体" w:hAnsi="宋体"/>
                                <w:sz w:val="24"/>
                              </w:rPr>
                            </w:pPr>
                            <w:r>
                              <w:rPr>
                                <w:rFonts w:ascii="宋体" w:hAnsi="宋体"/>
                                <w:sz w:val="24"/>
                              </w:rPr>
                              <w:t xml:space="preserve">电  话：      </w:t>
                            </w:r>
                            <w:r/>
                          </w:p>
                          <w:p>
                            <w:pPr>
                              <w:pStyle w:val="967"/>
                              <w:spacing w:line="360" w:lineRule="auto"/>
                              <w:rPr>
                                <w:rFonts w:ascii="宋体" w:hAnsi="宋体"/>
                                <w:sz w:val="24"/>
                              </w:rPr>
                            </w:pPr>
                            <w:r>
                              <w:rPr>
                                <w:rFonts w:ascii="宋体" w:hAnsi="宋体"/>
                                <w:sz w:val="24"/>
                              </w:rPr>
                              <w:t xml:space="preserve">日  期： </w:t>
                            </w:r>
                            <w:r/>
                          </w:p>
                          <w:p>
                            <w:pPr>
                              <w:pStyle w:val="967"/>
                            </w:pPr>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24.0pt;mso-position-horizontal:absolute;mso-position-vertical-relative:text;margin-top:16.2pt;mso-position-vertical:absolute;width:225.6pt;height:151.2pt;mso-wrap-distance-left:9.0pt;mso-wrap-distance-top:0.0pt;mso-wrap-distance-right:9.0pt;mso-wrap-distance-bottom:0.0pt;visibility:visible;" fillcolor="#FFFFFF" stroked="f">
                <v:textbox inset="0,0,0,0">
                  <w:txbxContent>
                    <w:p>
                      <w:pPr>
                        <w:pStyle w:val="967"/>
                        <w:spacing w:line="360" w:lineRule="auto"/>
                        <w:rPr>
                          <w:rFonts w:ascii="宋体" w:hAnsi="宋体"/>
                          <w:sz w:val="24"/>
                        </w:rPr>
                      </w:pPr>
                      <w:r>
                        <w:rPr>
                          <w:rFonts w:ascii="宋体" w:hAnsi="宋体"/>
                          <w:sz w:val="24"/>
                        </w:rPr>
                        <w:t xml:space="preserve">发包人：（公章）</w:t>
                      </w:r>
                      <w:r/>
                    </w:p>
                    <w:p>
                      <w:pPr>
                        <w:pStyle w:val="967"/>
                        <w:spacing w:line="360" w:lineRule="auto"/>
                        <w:rPr>
                          <w:rFonts w:ascii="宋体" w:hAnsi="宋体"/>
                          <w:sz w:val="24"/>
                        </w:rPr>
                      </w:pPr>
                      <w:r>
                        <w:rPr>
                          <w:rFonts w:ascii="宋体" w:hAnsi="宋体"/>
                          <w:sz w:val="24"/>
                        </w:rPr>
                        <w:t xml:space="preserve">法定代表人或其委托代理人：（签字）</w:t>
                      </w:r>
                      <w:r/>
                    </w:p>
                    <w:p>
                      <w:pPr>
                        <w:pStyle w:val="967"/>
                        <w:spacing w:line="360" w:lineRule="auto"/>
                        <w:rPr>
                          <w:rFonts w:ascii="宋体" w:hAnsi="宋体"/>
                          <w:sz w:val="24"/>
                        </w:rPr>
                      </w:pPr>
                      <w:r>
                        <w:rPr>
                          <w:rFonts w:ascii="宋体" w:hAnsi="宋体"/>
                          <w:sz w:val="24"/>
                        </w:rPr>
                        <w:t xml:space="preserve">地  址：   </w:t>
                      </w:r>
                      <w:r/>
                    </w:p>
                    <w:p>
                      <w:pPr>
                        <w:pStyle w:val="967"/>
                        <w:spacing w:line="360" w:lineRule="auto"/>
                        <w:rPr>
                          <w:rFonts w:ascii="宋体" w:hAnsi="宋体"/>
                          <w:sz w:val="24"/>
                        </w:rPr>
                      </w:pPr>
                      <w:r>
                        <w:rPr>
                          <w:rFonts w:ascii="宋体" w:hAnsi="宋体"/>
                          <w:sz w:val="24"/>
                        </w:rPr>
                        <w:t xml:space="preserve">电  话：      </w:t>
                      </w:r>
                      <w:r/>
                    </w:p>
                    <w:p>
                      <w:pPr>
                        <w:pStyle w:val="967"/>
                        <w:spacing w:line="360" w:lineRule="auto"/>
                        <w:rPr>
                          <w:rFonts w:ascii="宋体" w:hAnsi="宋体"/>
                          <w:sz w:val="24"/>
                        </w:rPr>
                      </w:pPr>
                      <w:r>
                        <w:rPr>
                          <w:rFonts w:ascii="宋体" w:hAnsi="宋体"/>
                          <w:sz w:val="24"/>
                        </w:rPr>
                        <w:t xml:space="preserve">日  期： </w:t>
                      </w:r>
                      <w:r/>
                    </w:p>
                    <w:p>
                      <w:pPr>
                        <w:pStyle w:val="967"/>
                      </w:pPr>
                      <w:r/>
                      <w:r/>
                    </w:p>
                  </w:txbxContent>
                </v:textbox>
              </v:shape>
            </w:pict>
          </mc:Fallback>
        </mc:AlternateContent>
      </w: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2559050</wp:posOffset>
                </wp:positionH>
                <wp:positionV relativeFrom="paragraph">
                  <wp:posOffset>205740</wp:posOffset>
                </wp:positionV>
                <wp:extent cx="2865755" cy="1847215"/>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2865755" cy="1847215"/>
                        </a:xfrm>
                        <a:prstGeom prst="rect">
                          <a:avLst/>
                        </a:prstGeom>
                        <a:solidFill>
                          <a:srgbClr val="FFFFFF"/>
                        </a:solidFill>
                        <a:ln>
                          <a:noFill/>
                        </a:ln>
                      </wps:spPr>
                      <wps:txbx>
                        <w:txbxContent>
                          <w:p>
                            <w:pPr>
                              <w:pStyle w:val="967"/>
                              <w:spacing w:line="360" w:lineRule="auto"/>
                              <w:rPr>
                                <w:rFonts w:ascii="宋体" w:hAnsi="宋体"/>
                                <w:sz w:val="24"/>
                              </w:rPr>
                            </w:pPr>
                            <w:r>
                              <w:rPr>
                                <w:rFonts w:ascii="宋体" w:hAnsi="宋体"/>
                                <w:sz w:val="24"/>
                              </w:rPr>
                              <w:t xml:space="preserve">承包人：（公章）</w:t>
                            </w:r>
                            <w:r/>
                          </w:p>
                          <w:p>
                            <w:pPr>
                              <w:pStyle w:val="967"/>
                              <w:spacing w:line="360" w:lineRule="auto"/>
                              <w:rPr>
                                <w:rFonts w:ascii="宋体" w:hAnsi="宋体"/>
                                <w:sz w:val="24"/>
                              </w:rPr>
                            </w:pPr>
                            <w:r>
                              <w:rPr>
                                <w:rFonts w:ascii="宋体" w:hAnsi="宋体"/>
                                <w:sz w:val="24"/>
                              </w:rPr>
                              <w:t xml:space="preserve">法定代表人或其委托代理人：（签字）</w:t>
                            </w:r>
                            <w:r/>
                          </w:p>
                          <w:p>
                            <w:pPr>
                              <w:pStyle w:val="967"/>
                              <w:spacing w:line="360" w:lineRule="auto"/>
                              <w:rPr>
                                <w:rFonts w:ascii="宋体" w:hAnsi="宋体"/>
                                <w:sz w:val="24"/>
                              </w:rPr>
                            </w:pPr>
                            <w:r>
                              <w:rPr>
                                <w:rFonts w:ascii="宋体" w:hAnsi="宋体"/>
                                <w:sz w:val="24"/>
                              </w:rPr>
                              <w:t xml:space="preserve">地  址： </w:t>
                            </w:r>
                            <w:r/>
                          </w:p>
                          <w:p>
                            <w:pPr>
                              <w:pStyle w:val="967"/>
                              <w:spacing w:line="360" w:lineRule="auto"/>
                              <w:rPr>
                                <w:rFonts w:ascii="宋体" w:hAnsi="宋体"/>
                                <w:sz w:val="24"/>
                              </w:rPr>
                            </w:pPr>
                            <w:r>
                              <w:rPr>
                                <w:rFonts w:ascii="宋体" w:hAnsi="宋体"/>
                                <w:sz w:val="24"/>
                              </w:rPr>
                              <w:t xml:space="preserve">电  话： </w:t>
                            </w:r>
                            <w:r/>
                          </w:p>
                          <w:p>
                            <w:pPr>
                              <w:pStyle w:val="967"/>
                              <w:spacing w:line="360" w:lineRule="auto"/>
                              <w:rPr>
                                <w:rFonts w:ascii="宋体" w:hAnsi="宋体"/>
                                <w:sz w:val="24"/>
                              </w:rPr>
                            </w:pPr>
                            <w:r>
                              <w:rPr>
                                <w:rFonts w:ascii="宋体" w:hAnsi="宋体"/>
                                <w:sz w:val="24"/>
                              </w:rPr>
                              <w:t xml:space="preserve">日  期： </w:t>
                            </w:r>
                            <w:r/>
                          </w:p>
                          <w:p>
                            <w:pPr>
                              <w:pStyle w:val="967"/>
                            </w:pPr>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01.5pt;mso-position-horizontal:absolute;mso-position-vertical-relative:text;margin-top:16.2pt;mso-position-vertical:absolute;width:225.6pt;height:145.4pt;mso-wrap-distance-left:9.0pt;mso-wrap-distance-top:0.0pt;mso-wrap-distance-right:9.0pt;mso-wrap-distance-bottom:0.0pt;visibility:visible;" fillcolor="#FFFFFF" stroked="f">
                <v:textbox inset="0,0,0,0">
                  <w:txbxContent>
                    <w:p>
                      <w:pPr>
                        <w:pStyle w:val="967"/>
                        <w:spacing w:line="360" w:lineRule="auto"/>
                        <w:rPr>
                          <w:rFonts w:ascii="宋体" w:hAnsi="宋体"/>
                          <w:sz w:val="24"/>
                        </w:rPr>
                      </w:pPr>
                      <w:r>
                        <w:rPr>
                          <w:rFonts w:ascii="宋体" w:hAnsi="宋体"/>
                          <w:sz w:val="24"/>
                        </w:rPr>
                        <w:t xml:space="preserve">承包人：（公章）</w:t>
                      </w:r>
                      <w:r/>
                    </w:p>
                    <w:p>
                      <w:pPr>
                        <w:pStyle w:val="967"/>
                        <w:spacing w:line="360" w:lineRule="auto"/>
                        <w:rPr>
                          <w:rFonts w:ascii="宋体" w:hAnsi="宋体"/>
                          <w:sz w:val="24"/>
                        </w:rPr>
                      </w:pPr>
                      <w:r>
                        <w:rPr>
                          <w:rFonts w:ascii="宋体" w:hAnsi="宋体"/>
                          <w:sz w:val="24"/>
                        </w:rPr>
                        <w:t xml:space="preserve">法定代表人或其委托代理人：（签字）</w:t>
                      </w:r>
                      <w:r/>
                    </w:p>
                    <w:p>
                      <w:pPr>
                        <w:pStyle w:val="967"/>
                        <w:spacing w:line="360" w:lineRule="auto"/>
                        <w:rPr>
                          <w:rFonts w:ascii="宋体" w:hAnsi="宋体"/>
                          <w:sz w:val="24"/>
                        </w:rPr>
                      </w:pPr>
                      <w:r>
                        <w:rPr>
                          <w:rFonts w:ascii="宋体" w:hAnsi="宋体"/>
                          <w:sz w:val="24"/>
                        </w:rPr>
                        <w:t xml:space="preserve">地  址： </w:t>
                      </w:r>
                      <w:r/>
                    </w:p>
                    <w:p>
                      <w:pPr>
                        <w:pStyle w:val="967"/>
                        <w:spacing w:line="360" w:lineRule="auto"/>
                        <w:rPr>
                          <w:rFonts w:ascii="宋体" w:hAnsi="宋体"/>
                          <w:sz w:val="24"/>
                        </w:rPr>
                      </w:pPr>
                      <w:r>
                        <w:rPr>
                          <w:rFonts w:ascii="宋体" w:hAnsi="宋体"/>
                          <w:sz w:val="24"/>
                        </w:rPr>
                        <w:t xml:space="preserve">电  话： </w:t>
                      </w:r>
                      <w:r/>
                    </w:p>
                    <w:p>
                      <w:pPr>
                        <w:pStyle w:val="967"/>
                        <w:spacing w:line="360" w:lineRule="auto"/>
                        <w:rPr>
                          <w:rFonts w:ascii="宋体" w:hAnsi="宋体"/>
                          <w:sz w:val="24"/>
                        </w:rPr>
                      </w:pPr>
                      <w:r>
                        <w:rPr>
                          <w:rFonts w:ascii="宋体" w:hAnsi="宋体"/>
                          <w:sz w:val="24"/>
                        </w:rPr>
                        <w:t xml:space="preserve">日  期： </w:t>
                      </w:r>
                      <w:r/>
                    </w:p>
                    <w:p>
                      <w:pPr>
                        <w:pStyle w:val="967"/>
                      </w:pPr>
                      <w:r/>
                      <w:r/>
                    </w:p>
                  </w:txbxContent>
                </v:textbox>
              </v:shape>
            </w:pict>
          </mc:Fallback>
        </mc:AlternateConten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left"/>
        <w:widowControl/>
        <w:rPr>
          <w:rFonts w:ascii="宋体" w:hAnsi="宋体"/>
          <w:color w:val="000000" w:themeColor="text1"/>
          <w:sz w:val="24"/>
          <w:highlight w:val="none"/>
          <w14:textFill>
            <w14:solidFill>
              <w14:schemeClr w14:val="tx1"/>
            </w14:solidFill>
          </w14:textFill>
        </w:rPr>
      </w:pPr>
      <w:r/>
      <w:bookmarkStart w:id="798" w:name="_Toc298211660"/>
      <w:r/>
      <w:bookmarkStart w:id="799" w:name="_Toc732104650"/>
      <w:r/>
      <w:bookmarkStart w:id="800" w:name="_Toc1831685531"/>
      <w:r>
        <w:rPr>
          <w:rFonts w:ascii="宋体" w:hAnsi="宋体"/>
          <w:color w:val="000000" w:themeColor="text1"/>
          <w:sz w:val="24"/>
          <w:highlight w:val="none"/>
          <w14:textFill>
            <w14:solidFill>
              <w14:schemeClr w14:val="tx1"/>
            </w14:solidFill>
          </w14:textFill>
        </w:rPr>
        <w:br w:type="page" w:clear="all"/>
      </w:r>
      <w:r/>
    </w:p>
    <w:p>
      <w:pPr>
        <w:pStyle w:val="967"/>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附件2：</w:t>
      </w:r>
      <w:bookmarkEnd w:id="798"/>
      <w:r/>
      <w:bookmarkEnd w:id="799"/>
      <w:r/>
      <w:bookmarkEnd w:id="800"/>
      <w:r/>
      <w:r/>
    </w:p>
    <w:p>
      <w:pPr>
        <w:pStyle w:val="969"/>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801" w:name="_Toc358881767"/>
      <w:r/>
      <w:bookmarkStart w:id="802" w:name="_Toc2084188277"/>
      <w:r>
        <w:rPr>
          <w:rFonts w:ascii="宋体" w:hAnsi="宋体" w:eastAsia="宋体"/>
          <w:b w:val="0"/>
          <w:color w:val="000000" w:themeColor="text1"/>
          <w:sz w:val="24"/>
          <w:szCs w:val="24"/>
          <w:highlight w:val="none"/>
          <w14:textFill>
            <w14:solidFill>
              <w14:schemeClr w14:val="tx1"/>
            </w14:solidFill>
          </w14:textFill>
        </w:rPr>
        <w:t xml:space="preserve">工程质量保修书</w:t>
      </w:r>
      <w:bookmarkEnd w:id="801"/>
      <w:r/>
      <w:bookmarkEnd w:id="802"/>
      <w:r/>
      <w:r/>
    </w:p>
    <w:p>
      <w:pPr>
        <w:pStyle w:val="967"/>
        <w:ind w:firstLine="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发包人和承包人根据《中华人民共和国建筑法》《建设工程质量管理条例》和《园林绿化工程施工及验收规范》</w:t>
      </w:r>
      <w:r>
        <w:rPr>
          <w:rFonts w:ascii="宋体" w:hAnsi="宋体"/>
          <w:bCs/>
          <w:color w:val="000000" w:themeColor="text1"/>
          <w:sz w:val="24"/>
          <w:highlight w:val="none"/>
          <w14:textFill>
            <w14:solidFill>
              <w14:schemeClr w14:val="tx1"/>
            </w14:solidFill>
          </w14:textFill>
        </w:rPr>
        <w:t xml:space="preserve">（CJJ82）以及（地方标准），</w:t>
      </w:r>
      <w:r>
        <w:rPr>
          <w:rFonts w:ascii="宋体" w:hAnsi="宋体"/>
          <w:color w:val="000000" w:themeColor="text1"/>
          <w:sz w:val="24"/>
          <w:highlight w:val="none"/>
          <w14:textFill>
            <w14:solidFill>
              <w14:schemeClr w14:val="tx1"/>
            </w14:solidFill>
          </w14:textFill>
        </w:rPr>
        <w:t xml:space="preserve">经协商一致就</w:t>
      </w:r>
      <w:r>
        <w:rPr>
          <w:rFonts w:ascii="宋体" w:hAnsi="宋体"/>
          <w:color w:val="000000" w:themeColor="text1"/>
          <w:sz w:val="24"/>
          <w:highlight w:val="none"/>
          <w:u w:val="single"/>
          <w14:textFill>
            <w14:solidFill>
              <w14:schemeClr w14:val="tx1"/>
            </w14:solidFill>
          </w14:textFill>
        </w:rPr>
        <w:t xml:space="preserve">          </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（工程名称）签订工程质量保修书。</w:t>
      </w:r>
      <w:r/>
    </w:p>
    <w:p>
      <w:pPr>
        <w:pStyle w:val="967"/>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一、工程质量保修范围和内容</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承包人在质量保修期内，按照有关法律规定和合同约定，承担工程质量保修责任。</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二、质量保修期</w:t>
      </w:r>
      <w:r/>
    </w:p>
    <w:p>
      <w:pPr>
        <w:pStyle w:val="967"/>
        <w:ind w:firstLine="480"/>
        <w:spacing w:line="3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根据《建设工程质量管理条例》及有关规定，工程的质量保修期如下：</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工程的质量保修期如下：</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1. 地基基础工程和主体结构工程为设计文件规定的工程合理使用年限；</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屋面防水工程、有防水要求的卫生间、房间和外墙面的防渗为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年；其他防水工程</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年。</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装修工程为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年；</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 电气管线、给排水管道、设备安装工程为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年；</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5．供热与供冷系统为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个采暖期、供冷期；</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 绿化工程为</w:t>
      </w:r>
      <w:r>
        <w:rPr>
          <w:rFonts w:ascii="宋体" w:hAnsi="宋体"/>
          <w:color w:val="000000" w:themeColor="text1"/>
          <w:sz w:val="24"/>
          <w:highlight w:val="none"/>
          <w:u w:val="single"/>
          <w14:textFill>
            <w14:solidFill>
              <w14:schemeClr w14:val="tx1"/>
            </w14:solidFill>
          </w14:textFill>
        </w:rPr>
        <w:t xml:space="preserve"> 24 </w:t>
      </w:r>
      <w:r>
        <w:rPr>
          <w:rFonts w:ascii="宋体" w:hAnsi="宋体"/>
          <w:color w:val="000000" w:themeColor="text1"/>
          <w:sz w:val="24"/>
          <w:highlight w:val="none"/>
          <w14:textFill>
            <w14:solidFill>
              <w14:schemeClr w14:val="tx1"/>
            </w14:solidFill>
          </w14:textFill>
        </w:rPr>
        <w:t xml:space="preserve">个月；</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 园林附属工程为</w:t>
      </w:r>
      <w:r>
        <w:rPr>
          <w:rFonts w:ascii="宋体" w:hAnsi="宋体"/>
          <w:color w:val="000000" w:themeColor="text1"/>
          <w:sz w:val="24"/>
          <w:highlight w:val="none"/>
          <w:u w:val="single"/>
          <w14:textFill>
            <w14:solidFill>
              <w14:schemeClr w14:val="tx1"/>
            </w14:solidFill>
          </w14:textFill>
        </w:rPr>
        <w:t xml:space="preserve"> 24 </w:t>
      </w:r>
      <w:r>
        <w:rPr>
          <w:rFonts w:ascii="宋体" w:hAnsi="宋体"/>
          <w:color w:val="000000" w:themeColor="text1"/>
          <w:sz w:val="24"/>
          <w:highlight w:val="none"/>
          <w14:textFill>
            <w14:solidFill>
              <w14:schemeClr w14:val="tx1"/>
            </w14:solidFill>
          </w14:textFill>
        </w:rPr>
        <w:t xml:space="preserve">个月；</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 其他项目保修期限约定如下：</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质量保修期自工程竣工验收合格之日起计算。</w:t>
      </w:r>
      <w:r/>
    </w:p>
    <w:p>
      <w:pPr>
        <w:pStyle w:val="967"/>
        <w:numPr>
          <w:ilvl w:val="0"/>
          <w:numId w:val="9"/>
        </w:numPr>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缺陷责任期</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工程缺陷责任期为</w:t>
      </w:r>
      <w:r>
        <w:rPr>
          <w:rFonts w:ascii="宋体" w:hAnsi="宋体"/>
          <w:color w:val="000000" w:themeColor="text1"/>
          <w:sz w:val="24"/>
          <w:highlight w:val="none"/>
          <w:u w:val="single"/>
          <w14:textFill>
            <w14:solidFill>
              <w14:schemeClr w14:val="tx1"/>
            </w14:solidFill>
          </w14:textFill>
        </w:rPr>
        <w:t xml:space="preserve">24</w:t>
      </w:r>
      <w:r>
        <w:rPr>
          <w:rFonts w:ascii="宋体" w:hAnsi="宋体"/>
          <w:color w:val="000000" w:themeColor="text1"/>
          <w:sz w:val="24"/>
          <w:highlight w:val="non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缺陷责任期终止后，发包人应退还剩余的质量保证金。</w:t>
      </w:r>
      <w:r/>
    </w:p>
    <w:p>
      <w:pPr>
        <w:pStyle w:val="967"/>
        <w:numPr>
          <w:ilvl w:val="0"/>
          <w:numId w:val="9"/>
        </w:numPr>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质量保修责任</w:t>
      </w:r>
      <w:r/>
    </w:p>
    <w:p>
      <w:pPr>
        <w:pStyle w:val="967"/>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属于保修范围、内容的项目，承包人应当在接到保修通知之日起7天内派人保修。承包人不在约定期限内派人保修的，发包人可以委托他人修理，费用由承包人承担，从质量保证金中扣除。</w:t>
      </w:r>
      <w:r/>
    </w:p>
    <w:p>
      <w:pPr>
        <w:pStyle w:val="967"/>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发生紧急事故需抢修的，承包人在接到事故通知后，应当立即到达事故现场抢修。</w:t>
      </w:r>
      <w:r/>
    </w:p>
    <w:p>
      <w:pPr>
        <w:pStyle w:val="967"/>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pStyle w:val="967"/>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在工程质量保修期内，未能在合理期限对工程质量问题进行修复，或拒绝按要求进行修复的，承包人应向发包人支付修复工程支出的实际金额。</w:t>
      </w:r>
      <w:r/>
    </w:p>
    <w:p>
      <w:pPr>
        <w:pStyle w:val="967"/>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质量保修完成后，由发包人组织验收。</w:t>
      </w:r>
      <w:r/>
    </w:p>
    <w:p>
      <w:pPr>
        <w:pStyle w:val="967"/>
        <w:ind w:left="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五、双方约定的其他工程质量保修项</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工程质量保修书由发包人、承包人在工程竣工验收前共同签署，作为施工合同附件，其有效期限至保修期满。 </w:t>
      </w:r>
      <w:r/>
    </w:p>
    <w:p>
      <w:pPr>
        <w:pStyle w:val="967"/>
        <w:spacing w:line="360" w:lineRule="auto"/>
        <w:rPr>
          <w:rFonts w:ascii="宋体" w:hAnsi="宋体"/>
          <w:color w:val="000000" w:themeColor="text1"/>
          <w:sz w:val="24"/>
          <w:highlight w:val="none"/>
          <w:u w:val="single"/>
          <w14:textFill>
            <w14:solidFill>
              <w14:schemeClr w14:val="tx1"/>
            </w14:solidFill>
          </w14:textFill>
        </w:rPr>
      </w:pPr>
      <w:r/>
      <w:bookmarkStart w:id="803" w:name="_Toc2094516902"/>
      <w:r/>
      <w:bookmarkStart w:id="804" w:name="_Toc184263479"/>
      <w:r>
        <w:rPr>
          <w:rFonts w:ascii="宋体" w:hAnsi="宋体"/>
          <w:color w:val="000000" w:themeColor="text1"/>
          <w:sz w:val="24"/>
          <w:highlight w:val="none"/>
          <w14:textFill>
            <w14:solidFill>
              <w14:schemeClr w14:val="tx1"/>
            </w14:solidFill>
          </w14:textFill>
        </w:rPr>
        <w:t xml:space="preserve">发包人：（公章）               承包人：（公章）</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法定代表人或其委托代理人：     法定代表人或其委托代理人：</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（签字）                      （签字）</w:t>
      </w:r>
      <w:r/>
    </w:p>
    <w:p>
      <w:pPr>
        <w:pStyle w:val="967"/>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 址 ：</w:t>
      </w:r>
      <w:r>
        <w:rPr>
          <w:rFonts w:ascii="宋体" w:hAnsi="宋体"/>
          <w:color w:val="000000" w:themeColor="text1"/>
          <w:sz w:val="24"/>
          <w:highlight w:val="none"/>
          <w:u w:val="single"/>
          <w14:textFill>
            <w14:solidFill>
              <w14:schemeClr w14:val="tx1"/>
            </w14:solidFill>
          </w14:textFill>
        </w:rPr>
        <w:t xml:space="preserve">                      </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p>
    <w:p>
      <w:pPr>
        <w:pStyle w:val="967"/>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p>
    <w:p>
      <w:pPr>
        <w:pStyle w:val="967"/>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p>
    <w:p>
      <w:pPr>
        <w:pStyle w:val="967"/>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p>
    <w:p>
      <w:pPr>
        <w:pStyle w:val="967"/>
        <w:ind w:left="5880" w:hanging="58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开户银行：</w:t>
      </w:r>
      <w:r>
        <w:rPr>
          <w:rStyle w:val="988"/>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开户银行：</w:t>
      </w:r>
      <w:r>
        <w:rPr>
          <w:rFonts w:ascii="宋体" w:hAnsi="宋体"/>
          <w:color w:val="000000" w:themeColor="text1"/>
          <w:sz w:val="24"/>
          <w:highlight w:val="none"/>
          <w:u w:val="single"/>
          <w14:textFill>
            <w14:solidFill>
              <w14:schemeClr w14:val="tx1"/>
            </w14:solidFill>
          </w14:textFill>
        </w:rPr>
        <w:t xml:space="preserve">                    </w: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账号 ：</w:t>
      </w:r>
      <w:bookmarkStart w:id="805" w:name="_Toc362478915"/>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br w:type="page" w:clear="all"/>
      </w:r>
      <w:r/>
    </w:p>
    <w:p>
      <w:pPr>
        <w:pStyle w:val="967"/>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附件3：</w:t>
      </w:r>
      <w:bookmarkEnd w:id="803"/>
      <w:r/>
      <w:bookmarkEnd w:id="804"/>
      <w:r/>
      <w:bookmarkEnd w:id="805"/>
      <w:r/>
      <w:r/>
    </w:p>
    <w:p>
      <w:pPr>
        <w:pStyle w:val="969"/>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806" w:name="_Toc41181775"/>
      <w:r/>
      <w:bookmarkStart w:id="807" w:name="_Toc1106295181"/>
      <w:r>
        <w:rPr>
          <w:rFonts w:ascii="宋体" w:hAnsi="宋体" w:eastAsia="宋体"/>
          <w:b w:val="0"/>
          <w:color w:val="000000" w:themeColor="text1"/>
          <w:sz w:val="24"/>
          <w:szCs w:val="24"/>
          <w:highlight w:val="none"/>
          <w14:textFill>
            <w14:solidFill>
              <w14:schemeClr w14:val="tx1"/>
            </w14:solidFill>
          </w14:textFill>
        </w:rPr>
        <w:t xml:space="preserve">廉政建设责任书</w:t>
      </w:r>
      <w:bookmarkEnd w:id="806"/>
      <w:r/>
      <w:bookmarkEnd w:id="807"/>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一、双方的责任</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1.1应严格遵守国家关于建设工程的有关法律、法规，相关政策，以及廉政建设的各项规定。</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1.2严格执行建设工程合同文件，自觉按合同办事。</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1.3各项活动必须坚持公开、公平、公正、诚信、透明的原则(除法律法规另有规定者外)，不得为获取不正当的利益，损害国家、集体和对方利益，不得违反建设工程管理的规章制度。</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1.4发现对方在业务活动中有违规、违纪、违法行为的，应及时提醒对方，情节严重的，应向其上级主管部门或纪检监察、司法等有关机关举报。</w:t>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二、发包人责任</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发包人从事该建设工程项目的负责人和工作人员，在工程建设的事前、事中、事后应遵守以下规定：</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2.1不得向承包人和相关单位索要或接受回扣、礼金、有价证券、贵重物品和好处费、感谢费等。</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2.2不得在承包人和相关单位报销任何应由发包人或个人支付的费用。</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2.3不得要求、暗示或接受承包人和相关单位为个人装修住房、婚丧嫁娶、配偶子女的工作安排以及出国(境)、旅游等提供方便。</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2.4不得参加有可能影响公正执行公务的承包人和相关单位的宴请、健身、娱乐等活动。</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2.5不得向承包人和相关单位介绍或为配偶、子女、亲属参与同发包人工程建设管理合同有关的业务活动；不得以任何理由要求承包人和相关单位使用某种产品、材料和设备。</w:t>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三、承包人责任</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应与发包人保持正常的业务交往，按照有关法律法规和程序开展业务工作，严格执行工程建设的有关方针、政策，执行工程建设强制性标准，并遵守以下规定：</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3.1不得以任何理由向发包人及其工作人员索要、接受或赠送礼金、有价证券、贵重物品及回扣、好处费、感谢费等。</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3.2不得以任何理由为发包人和相关单位报销应由对方或个人支付的费用。</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3.3不得接受或暗示为发包人、相关单位或个人装修住房、婚丧嫁娶、配偶子女的工作安排以及出国(境)、旅游等提供方便。</w:t>
      </w:r>
      <w:r/>
    </w:p>
    <w:p>
      <w:pPr>
        <w:pStyle w:val="967"/>
        <w:ind w:firstLine="480"/>
        <w:spacing w:line="360" w:lineRule="auto"/>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3.4不得以任何理由为发包人、相关单位或个人组织有可能影响公正执行公务的宴请、健身、娱乐等活动。</w:t>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四、违约责任</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4.1发包人工作人员有违反本责任书第一、二条责任行为的，依据有关法律、法规给予处理；涉嫌犯罪的，移交司法机关追究刑事责任；给承包人单位造成经济损失的，应予以赔偿。</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4.2承包人工作人员有违反本责任书第一、三条责任行为的，依据有关法律法规处理；涉嫌犯罪的，移交司法机关追究刑事责任；给发包人单位造成经济损失的，应予以赔偿。</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4.3本责任书作为本合同的组成部分，与本合同具有同等法律效力，经双方签署后立即生效。</w:t>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五、责任书有效期</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本责任书的有效期为双方签署之日起至该工程项目竣工验收合格时止。</w:t>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六、责任书份数</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本责任书一式两份，发包人承包人各执一份，具有同等效力。</w:t>
      </w:r>
      <w:r/>
    </w:p>
    <w:p>
      <w:pPr>
        <w:pStyle w:val="967"/>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2803525</wp:posOffset>
                </wp:positionH>
                <wp:positionV relativeFrom="paragraph">
                  <wp:posOffset>62230</wp:posOffset>
                </wp:positionV>
                <wp:extent cx="2865755" cy="2667635"/>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ln>
                      </wps:spPr>
                      <wps:txbx>
                        <w:txbxContent>
                          <w:p>
                            <w:pPr>
                              <w:pStyle w:val="967"/>
                              <w:spacing w:line="360" w:lineRule="auto"/>
                              <w:rPr>
                                <w:rFonts w:ascii="宋体" w:hAnsi="宋体"/>
                                <w:sz w:val="24"/>
                              </w:rPr>
                            </w:pPr>
                            <w:r>
                              <w:rPr>
                                <w:rFonts w:ascii="宋体" w:hAnsi="宋体"/>
                                <w:sz w:val="24"/>
                              </w:rPr>
                              <w:t xml:space="preserve">承包人：（公章）</w:t>
                            </w:r>
                            <w:r/>
                          </w:p>
                          <w:p>
                            <w:pPr>
                              <w:pStyle w:val="967"/>
                              <w:spacing w:line="360" w:lineRule="auto"/>
                              <w:rPr>
                                <w:rFonts w:ascii="宋体" w:hAnsi="宋体"/>
                                <w:sz w:val="24"/>
                              </w:rPr>
                            </w:pPr>
                            <w:r>
                              <w:rPr>
                                <w:rFonts w:ascii="宋体" w:hAnsi="宋体"/>
                                <w:sz w:val="24"/>
                              </w:rPr>
                              <w:t xml:space="preserve">法定代表人或其委托代理人：（签字）</w:t>
                            </w:r>
                            <w:r/>
                          </w:p>
                          <w:p>
                            <w:pPr>
                              <w:pStyle w:val="967"/>
                              <w:spacing w:line="360" w:lineRule="auto"/>
                              <w:rPr>
                                <w:rFonts w:ascii="宋体" w:hAnsi="宋体"/>
                                <w:sz w:val="24"/>
                              </w:rPr>
                            </w:pPr>
                            <w:r>
                              <w:rPr>
                                <w:rFonts w:ascii="宋体" w:hAnsi="宋体"/>
                                <w:sz w:val="24"/>
                              </w:rPr>
                              <w:t xml:space="preserve">地  址： </w:t>
                            </w:r>
                            <w:r/>
                          </w:p>
                          <w:p>
                            <w:pPr>
                              <w:pStyle w:val="967"/>
                              <w:spacing w:line="360" w:lineRule="auto"/>
                              <w:rPr>
                                <w:rFonts w:ascii="宋体" w:hAnsi="宋体"/>
                                <w:sz w:val="24"/>
                              </w:rPr>
                            </w:pPr>
                            <w:r>
                              <w:rPr>
                                <w:rFonts w:ascii="宋体" w:hAnsi="宋体"/>
                                <w:sz w:val="24"/>
                              </w:rPr>
                              <w:t xml:space="preserve">电  话： </w:t>
                            </w:r>
                            <w:r/>
                          </w:p>
                          <w:p>
                            <w:pPr>
                              <w:pStyle w:val="967"/>
                              <w:spacing w:line="360" w:lineRule="auto"/>
                              <w:rPr>
                                <w:rFonts w:ascii="宋体" w:hAnsi="宋体"/>
                                <w:sz w:val="24"/>
                              </w:rPr>
                            </w:pPr>
                            <w:r>
                              <w:rPr>
                                <w:rFonts w:ascii="宋体" w:hAnsi="宋体"/>
                                <w:sz w:val="24"/>
                              </w:rPr>
                              <w:t xml:space="preserve">日  期： </w:t>
                            </w:r>
                            <w:r/>
                          </w:p>
                          <w:p>
                            <w:pPr>
                              <w:pStyle w:val="967"/>
                              <w:rPr>
                                <w:sz w:val="28"/>
                                <w:szCs w:val="28"/>
                              </w:rPr>
                            </w:pPr>
                            <w:r>
                              <w:rPr>
                                <w:sz w:val="28"/>
                                <w:szCs w:val="28"/>
                              </w:rPr>
                            </w:r>
                            <w:r/>
                          </w:p>
                          <w:p>
                            <w:pPr>
                              <w:pStyle w:val="967"/>
                            </w:pPr>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220.8pt;mso-position-horizontal:absolute;mso-position-vertical-relative:text;margin-top:4.9pt;mso-position-vertical:absolute;width:225.6pt;height:210.0pt;mso-wrap-distance-left:9.0pt;mso-wrap-distance-top:0.0pt;mso-wrap-distance-right:9.0pt;mso-wrap-distance-bottom:0.0pt;visibility:visible;" fillcolor="#FFFFFF" stroked="f">
                <v:textbox inset="0,0,0,0">
                  <w:txbxContent>
                    <w:p>
                      <w:pPr>
                        <w:pStyle w:val="967"/>
                        <w:spacing w:line="360" w:lineRule="auto"/>
                        <w:rPr>
                          <w:rFonts w:ascii="宋体" w:hAnsi="宋体"/>
                          <w:sz w:val="24"/>
                        </w:rPr>
                      </w:pPr>
                      <w:r>
                        <w:rPr>
                          <w:rFonts w:ascii="宋体" w:hAnsi="宋体"/>
                          <w:sz w:val="24"/>
                        </w:rPr>
                        <w:t xml:space="preserve">承包人：（公章）</w:t>
                      </w:r>
                      <w:r/>
                    </w:p>
                    <w:p>
                      <w:pPr>
                        <w:pStyle w:val="967"/>
                        <w:spacing w:line="360" w:lineRule="auto"/>
                        <w:rPr>
                          <w:rFonts w:ascii="宋体" w:hAnsi="宋体"/>
                          <w:sz w:val="24"/>
                        </w:rPr>
                      </w:pPr>
                      <w:r>
                        <w:rPr>
                          <w:rFonts w:ascii="宋体" w:hAnsi="宋体"/>
                          <w:sz w:val="24"/>
                        </w:rPr>
                        <w:t xml:space="preserve">法定代表人或其委托代理人：（签字）</w:t>
                      </w:r>
                      <w:r/>
                    </w:p>
                    <w:p>
                      <w:pPr>
                        <w:pStyle w:val="967"/>
                        <w:spacing w:line="360" w:lineRule="auto"/>
                        <w:rPr>
                          <w:rFonts w:ascii="宋体" w:hAnsi="宋体"/>
                          <w:sz w:val="24"/>
                        </w:rPr>
                      </w:pPr>
                      <w:r>
                        <w:rPr>
                          <w:rFonts w:ascii="宋体" w:hAnsi="宋体"/>
                          <w:sz w:val="24"/>
                        </w:rPr>
                        <w:t xml:space="preserve">地  址： </w:t>
                      </w:r>
                      <w:r/>
                    </w:p>
                    <w:p>
                      <w:pPr>
                        <w:pStyle w:val="967"/>
                        <w:spacing w:line="360" w:lineRule="auto"/>
                        <w:rPr>
                          <w:rFonts w:ascii="宋体" w:hAnsi="宋体"/>
                          <w:sz w:val="24"/>
                        </w:rPr>
                      </w:pPr>
                      <w:r>
                        <w:rPr>
                          <w:rFonts w:ascii="宋体" w:hAnsi="宋体"/>
                          <w:sz w:val="24"/>
                        </w:rPr>
                        <w:t xml:space="preserve">电  话： </w:t>
                      </w:r>
                      <w:r/>
                    </w:p>
                    <w:p>
                      <w:pPr>
                        <w:pStyle w:val="967"/>
                        <w:spacing w:line="360" w:lineRule="auto"/>
                        <w:rPr>
                          <w:rFonts w:ascii="宋体" w:hAnsi="宋体"/>
                          <w:sz w:val="24"/>
                        </w:rPr>
                      </w:pPr>
                      <w:r>
                        <w:rPr>
                          <w:rFonts w:ascii="宋体" w:hAnsi="宋体"/>
                          <w:sz w:val="24"/>
                        </w:rPr>
                        <w:t xml:space="preserve">日  期： </w:t>
                      </w:r>
                      <w:r/>
                    </w:p>
                    <w:p>
                      <w:pPr>
                        <w:pStyle w:val="967"/>
                        <w:rPr>
                          <w:sz w:val="28"/>
                          <w:szCs w:val="28"/>
                        </w:rPr>
                      </w:pPr>
                      <w:r>
                        <w:rPr>
                          <w:sz w:val="28"/>
                          <w:szCs w:val="28"/>
                        </w:rPr>
                      </w:r>
                      <w:r/>
                    </w:p>
                    <w:p>
                      <w:pPr>
                        <w:pStyle w:val="967"/>
                      </w:pPr>
                      <w:r/>
                      <w:r/>
                    </w:p>
                  </w:txbxContent>
                </v:textbox>
              </v:shape>
            </w:pict>
          </mc:Fallback>
        </mc:AlternateContent>
      </w: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-59690</wp:posOffset>
                </wp:positionH>
                <wp:positionV relativeFrom="paragraph">
                  <wp:posOffset>63500</wp:posOffset>
                </wp:positionV>
                <wp:extent cx="2865755" cy="2667635"/>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round/>
                        </a:ln>
                      </wps:spPr>
                      <wps:txbx>
                        <w:txbxContent>
                          <w:p>
                            <w:pPr>
                              <w:pStyle w:val="967"/>
                              <w:spacing w:line="360" w:lineRule="auto"/>
                              <w:rPr>
                                <w:rFonts w:ascii="宋体" w:hAnsi="宋体"/>
                                <w:sz w:val="24"/>
                              </w:rPr>
                            </w:pPr>
                            <w:r>
                              <w:rPr>
                                <w:rFonts w:ascii="宋体" w:hAnsi="宋体"/>
                                <w:sz w:val="24"/>
                              </w:rPr>
                              <w:t xml:space="preserve">发包人：（公章）</w:t>
                            </w:r>
                            <w:r/>
                          </w:p>
                          <w:p>
                            <w:pPr>
                              <w:pStyle w:val="967"/>
                              <w:spacing w:line="360" w:lineRule="auto"/>
                              <w:rPr>
                                <w:rFonts w:ascii="宋体" w:hAnsi="宋体"/>
                                <w:sz w:val="24"/>
                              </w:rPr>
                            </w:pPr>
                            <w:r>
                              <w:rPr>
                                <w:rFonts w:ascii="宋体" w:hAnsi="宋体"/>
                                <w:sz w:val="24"/>
                              </w:rPr>
                              <w:t xml:space="preserve">法定代表人或其委托代理人：（签字）</w:t>
                            </w:r>
                            <w:r/>
                          </w:p>
                          <w:p>
                            <w:pPr>
                              <w:pStyle w:val="967"/>
                              <w:spacing w:line="360" w:lineRule="auto"/>
                              <w:rPr>
                                <w:rFonts w:ascii="宋体" w:hAnsi="宋体"/>
                                <w:sz w:val="24"/>
                              </w:rPr>
                            </w:pPr>
                            <w:r>
                              <w:rPr>
                                <w:rFonts w:ascii="宋体" w:hAnsi="宋体"/>
                                <w:sz w:val="24"/>
                              </w:rPr>
                              <w:t xml:space="preserve">地  址：   </w:t>
                            </w:r>
                            <w:r/>
                          </w:p>
                          <w:p>
                            <w:pPr>
                              <w:pStyle w:val="967"/>
                              <w:spacing w:line="360" w:lineRule="auto"/>
                              <w:rPr>
                                <w:rFonts w:ascii="宋体" w:hAnsi="宋体"/>
                                <w:sz w:val="24"/>
                              </w:rPr>
                            </w:pPr>
                            <w:r>
                              <w:rPr>
                                <w:rFonts w:ascii="宋体" w:hAnsi="宋体"/>
                                <w:sz w:val="24"/>
                              </w:rPr>
                              <w:t xml:space="preserve">电  话：      </w:t>
                            </w:r>
                            <w:r/>
                          </w:p>
                          <w:p>
                            <w:pPr>
                              <w:pStyle w:val="967"/>
                              <w:spacing w:line="360" w:lineRule="auto"/>
                              <w:rPr>
                                <w:rFonts w:ascii="宋体" w:hAnsi="宋体"/>
                                <w:sz w:val="24"/>
                              </w:rPr>
                            </w:pPr>
                            <w:r>
                              <w:rPr>
                                <w:rFonts w:ascii="宋体" w:hAnsi="宋体"/>
                                <w:sz w:val="24"/>
                              </w:rPr>
                              <w:t xml:space="preserve">日  期： </w:t>
                            </w:r>
                            <w:r/>
                          </w:p>
                          <w:p>
                            <w:pPr>
                              <w:pStyle w:val="967"/>
                              <w:rPr>
                                <w:sz w:val="28"/>
                                <w:szCs w:val="28"/>
                              </w:rPr>
                            </w:pPr>
                            <w:r>
                              <w:rPr>
                                <w:sz w:val="28"/>
                                <w:szCs w:val="28"/>
                              </w:rPr>
                            </w:r>
                            <w:r/>
                          </w:p>
                          <w:p>
                            <w:pPr>
                              <w:pStyle w:val="967"/>
                            </w:pPr>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4.7pt;mso-position-horizontal:absolute;mso-position-vertical-relative:text;margin-top:5.0pt;mso-position-vertical:absolute;width:225.6pt;height:210.0pt;mso-wrap-distance-left:9.0pt;mso-wrap-distance-top:0.0pt;mso-wrap-distance-right:9.0pt;mso-wrap-distance-bottom:0.0pt;visibility:visible;" fillcolor="#FFFFFF" stroked="f">
                <v:textbox inset="0,0,0,0">
                  <w:txbxContent>
                    <w:p>
                      <w:pPr>
                        <w:pStyle w:val="967"/>
                        <w:spacing w:line="360" w:lineRule="auto"/>
                        <w:rPr>
                          <w:rFonts w:ascii="宋体" w:hAnsi="宋体"/>
                          <w:sz w:val="24"/>
                        </w:rPr>
                      </w:pPr>
                      <w:r>
                        <w:rPr>
                          <w:rFonts w:ascii="宋体" w:hAnsi="宋体"/>
                          <w:sz w:val="24"/>
                        </w:rPr>
                        <w:t xml:space="preserve">发包人：（公章）</w:t>
                      </w:r>
                      <w:r/>
                    </w:p>
                    <w:p>
                      <w:pPr>
                        <w:pStyle w:val="967"/>
                        <w:spacing w:line="360" w:lineRule="auto"/>
                        <w:rPr>
                          <w:rFonts w:ascii="宋体" w:hAnsi="宋体"/>
                          <w:sz w:val="24"/>
                        </w:rPr>
                      </w:pPr>
                      <w:r>
                        <w:rPr>
                          <w:rFonts w:ascii="宋体" w:hAnsi="宋体"/>
                          <w:sz w:val="24"/>
                        </w:rPr>
                        <w:t xml:space="preserve">法定代表人或其委托代理人：（签字）</w:t>
                      </w:r>
                      <w:r/>
                    </w:p>
                    <w:p>
                      <w:pPr>
                        <w:pStyle w:val="967"/>
                        <w:spacing w:line="360" w:lineRule="auto"/>
                        <w:rPr>
                          <w:rFonts w:ascii="宋体" w:hAnsi="宋体"/>
                          <w:sz w:val="24"/>
                        </w:rPr>
                      </w:pPr>
                      <w:r>
                        <w:rPr>
                          <w:rFonts w:ascii="宋体" w:hAnsi="宋体"/>
                          <w:sz w:val="24"/>
                        </w:rPr>
                        <w:t xml:space="preserve">地  址：   </w:t>
                      </w:r>
                      <w:r/>
                    </w:p>
                    <w:p>
                      <w:pPr>
                        <w:pStyle w:val="967"/>
                        <w:spacing w:line="360" w:lineRule="auto"/>
                        <w:rPr>
                          <w:rFonts w:ascii="宋体" w:hAnsi="宋体"/>
                          <w:sz w:val="24"/>
                        </w:rPr>
                      </w:pPr>
                      <w:r>
                        <w:rPr>
                          <w:rFonts w:ascii="宋体" w:hAnsi="宋体"/>
                          <w:sz w:val="24"/>
                        </w:rPr>
                        <w:t xml:space="preserve">电  话：      </w:t>
                      </w:r>
                      <w:r/>
                    </w:p>
                    <w:p>
                      <w:pPr>
                        <w:pStyle w:val="967"/>
                        <w:spacing w:line="360" w:lineRule="auto"/>
                        <w:rPr>
                          <w:rFonts w:ascii="宋体" w:hAnsi="宋体"/>
                          <w:sz w:val="24"/>
                        </w:rPr>
                      </w:pPr>
                      <w:r>
                        <w:rPr>
                          <w:rFonts w:ascii="宋体" w:hAnsi="宋体"/>
                          <w:sz w:val="24"/>
                        </w:rPr>
                        <w:t xml:space="preserve">日  期： </w:t>
                      </w:r>
                      <w:r/>
                    </w:p>
                    <w:p>
                      <w:pPr>
                        <w:pStyle w:val="967"/>
                        <w:rPr>
                          <w:sz w:val="28"/>
                          <w:szCs w:val="28"/>
                        </w:rPr>
                      </w:pPr>
                      <w:r>
                        <w:rPr>
                          <w:sz w:val="28"/>
                          <w:szCs w:val="28"/>
                        </w:rPr>
                      </w:r>
                      <w:r/>
                    </w:p>
                    <w:p>
                      <w:pPr>
                        <w:pStyle w:val="967"/>
                      </w:pPr>
                      <w:r/>
                      <w:r/>
                    </w:p>
                  </w:txbxContent>
                </v:textbox>
              </v:shape>
            </w:pict>
          </mc:Fallback>
        </mc:AlternateContent>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67"/>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附件4：</w:t>
      </w:r>
      <w:r/>
    </w:p>
    <w:p>
      <w:pPr>
        <w:pStyle w:val="967"/>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承包人用于本工程施工的机械设备表</w:t>
      </w:r>
      <w:r/>
    </w:p>
    <w:tbl>
      <w:tblPr>
        <w:tblStyle w:val="745"/>
        <w:tblW w:w="8516" w:type="dxa"/>
        <w:tblInd w:w="113" w:type="dxa"/>
        <w:tblLayout w:type="fixed"/>
        <w:tblCellMar>
          <w:left w:w="0" w:type="dxa"/>
          <w:top w:w="0" w:type="dxa"/>
          <w:right w:w="0" w:type="dxa"/>
          <w:bottom w:w="0" w:type="dxa"/>
        </w:tblCellMar>
        <w:tblLook w:val="04A0" w:firstRow="1" w:lastRow="0" w:firstColumn="1" w:lastColumn="0" w:noHBand="0" w:noVBand="1"/>
      </w:tblPr>
      <w:tblGrid>
        <w:gridCol w:w="648"/>
        <w:gridCol w:w="1445"/>
        <w:gridCol w:w="1276"/>
        <w:gridCol w:w="707"/>
        <w:gridCol w:w="784"/>
        <w:gridCol w:w="918"/>
        <w:gridCol w:w="928"/>
        <w:gridCol w:w="909"/>
        <w:gridCol w:w="901"/>
      </w:tblGrid>
      <w:tr>
        <w:trPr>
          <w:trHeight w:val="83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机械设备或名称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国别产地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w:t>
            </w:r>
            <w:r/>
          </w:p>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年份</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额定功率KW</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生产能力M/H</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pStyle w:val="967"/>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967"/>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w:t>
      </w:r>
      <w:bookmarkStart w:id="808" w:name="_Toc296891268"/>
      <w:r/>
      <w:bookmarkStart w:id="809" w:name="_Toc296347227"/>
      <w:r/>
      <w:bookmarkStart w:id="810" w:name="_Toc296944567"/>
      <w:r/>
      <w:bookmarkStart w:id="811" w:name="_Toc296346729"/>
      <w:r/>
      <w:bookmarkStart w:id="812" w:name="_Toc267261699"/>
      <w:r/>
      <w:bookmarkStart w:id="813" w:name="_Toc296891056"/>
      <w:r/>
      <w:bookmarkStart w:id="814" w:name="_Toc296503228"/>
      <w:r>
        <w:rPr>
          <w:rFonts w:ascii="宋体" w:hAnsi="宋体"/>
          <w:color w:val="000000" w:themeColor="text1"/>
          <w:sz w:val="24"/>
          <w:highlight w:val="none"/>
          <w14:textFill>
            <w14:solidFill>
              <w14:schemeClr w14:val="tx1"/>
            </w14:solidFill>
          </w14:textFill>
        </w:rPr>
        <w:t xml:space="preserve">件5：</w:t>
      </w:r>
      <w:bookmarkEnd w:id="808"/>
      <w:r/>
      <w:bookmarkEnd w:id="809"/>
      <w:r/>
      <w:bookmarkEnd w:id="810"/>
      <w:r/>
      <w:bookmarkEnd w:id="811"/>
      <w:r/>
      <w:bookmarkEnd w:id="812"/>
      <w:r/>
      <w:bookmarkEnd w:id="813"/>
      <w:r/>
      <w:bookmarkEnd w:id="814"/>
      <w:r/>
      <w:r/>
    </w:p>
    <w:p>
      <w:pPr>
        <w:pStyle w:val="967"/>
        <w:jc w:val="center"/>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承包人主要施工管理人员表</w:t>
      </w:r>
      <w:r/>
    </w:p>
    <w:tbl>
      <w:tblPr>
        <w:tblStyle w:val="745"/>
        <w:tblW w:w="95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02"/>
        <w:gridCol w:w="1062"/>
        <w:gridCol w:w="1716"/>
        <w:gridCol w:w="1275"/>
        <w:gridCol w:w="3885"/>
      </w:tblGrid>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职务</w:t>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职称</w:t>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主要资历、经验及承担过的项目</w:t>
            </w:r>
            <w:r/>
          </w:p>
        </w:tc>
      </w:tr>
      <w:tr>
        <w:trPr>
          <w:jc w:val="center"/>
          <w:trHeight w:val="567"/>
        </w:trPr>
        <w:tc>
          <w:tcPr>
            <w:gridSpan w:val="5"/>
            <w:tcW w:w="9540"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一、总部人员</w:t>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项目主管</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项目副经理</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质量管理</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计划管理</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安全管理</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gridSpan w:val="5"/>
            <w:tcW w:w="9540"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二、现场人员</w:t>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项目经理</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项目副经理</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967"/>
              <w:ind w:left="63" w:right="63"/>
              <w:jc w:val="center"/>
              <w:spacing w:after="6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989"/>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质量管理</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8"/>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计划管理</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67"/>
              <w:ind w:left="30" w:right="3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安全管理</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67"/>
              <w:ind w:left="30" w:right="3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其他人员</w:t>
            </w:r>
            <w:r/>
          </w:p>
        </w:tc>
        <w:tc>
          <w:tcPr>
            <w:tcW w:w="1062"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989"/>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此表格投标人在招投标阶段无需填写，在合同备案时填写完整。</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967"/>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w:t>
      </w: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p>
    <w:p>
      <w:pPr>
        <w:pStyle w:val="967"/>
        <w:jc w:val="center"/>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发包人主要管理人员表</w:t>
      </w:r>
      <w:r/>
    </w:p>
    <w:tbl>
      <w:tblPr>
        <w:tblStyle w:val="74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956"/>
        <w:gridCol w:w="1418"/>
        <w:gridCol w:w="3146"/>
      </w:tblGrid>
      <w:tr>
        <w:trPr>
          <w:jc w:val="center"/>
        </w:trPr>
        <w:tc>
          <w:tcPr>
            <w:tcW w:w="1871"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职务</w:t>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职称/职务</w:t>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主要资历、经验及承担过的项目</w:t>
            </w:r>
            <w:r/>
          </w:p>
        </w:tc>
      </w:tr>
      <w:tr>
        <w:trPr>
          <w:jc w:val="center"/>
        </w:trPr>
        <w:tc>
          <w:tcPr>
            <w:tcW w:w="1871" w:type="dxa"/>
            <w:vAlign w:val="center"/>
            <w:vMerge w:val="restart"/>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管理人员</w:t>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89"/>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989"/>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967"/>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990"/>
        <w:ind w:firstLine="0"/>
        <w:rPr>
          <w:color w:val="000000" w:themeColor="text1"/>
          <w:highlight w:val="none"/>
          <w14:textFill>
            <w14:solidFill>
              <w14:schemeClr w14:val="tx1"/>
            </w14:solidFill>
          </w14:textFill>
        </w:rPr>
        <w:sectPr>
          <w:footerReference w:type="default" r:id="rId11"/>
          <w:footnotePr/>
          <w:endnotePr/>
          <w:type w:val="nextPage"/>
          <w:pgSz w:w="11907" w:h="16840" w:orient="portrait"/>
          <w:pgMar w:top="1440" w:right="1559" w:bottom="1440" w:left="1560" w:header="851" w:footer="851" w:gutter="0"/>
          <w:cols w:num="1" w:sep="0" w:space="1701" w:equalWidth="1"/>
          <w:docGrid w:linePitch="360"/>
        </w:sectPr>
      </w:pPr>
      <w:r>
        <w:rPr>
          <w:color w:val="000000" w:themeColor="text1"/>
          <w:highlight w:val="none"/>
          <w14:textFill>
            <w14:solidFill>
              <w14:schemeClr w14:val="tx1"/>
            </w14:solidFill>
          </w14:textFill>
        </w:rPr>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7、承诺书</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致</w:t>
      </w:r>
      <w:r>
        <w:rPr>
          <w:rFonts w:ascii="宋体" w:hAnsi="宋体"/>
          <w:color w:val="000000" w:themeColor="text1"/>
          <w:sz w:val="24"/>
          <w:highlight w:val="none"/>
          <w:u w:val="single"/>
          <w14:textFill>
            <w14:solidFill>
              <w14:schemeClr w14:val="tx1"/>
            </w14:solidFill>
          </w14:textFill>
        </w:rPr>
        <w:t xml:space="preserve">                     （采购人）</w:t>
      </w:r>
      <w:r>
        <w:rPr>
          <w:rFonts w:ascii="宋体" w:hAnsi="宋体"/>
          <w:color w:val="000000" w:themeColor="text1"/>
          <w:sz w:val="24"/>
          <w:highlight w:val="none"/>
          <w14:textFill>
            <w14:solidFill>
              <w14:schemeClr w14:val="tx1"/>
            </w14:solidFill>
          </w14:textFill>
        </w:rPr>
        <w:t xml:space="preserve">：</w:t>
      </w:r>
      <w:r/>
    </w:p>
    <w:p>
      <w:pPr>
        <w:pStyle w:val="967"/>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91"/>
        <w:ind w:firstLine="480"/>
        <w:spacing w:line="0" w:lineRule="atLeas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根据贵方《</w:t>
      </w:r>
      <w:r>
        <w:rPr>
          <w:rFonts w:ascii="宋体" w:hAnsi="宋体"/>
          <w:bCs/>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）要求，本供应商正式提交以下首次响应文件。</w:t>
      </w:r>
      <w:r/>
    </w:p>
    <w:p>
      <w:pPr>
        <w:pStyle w:val="991"/>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flip:y;visibility:visible;" from="147.0pt,1.3pt" to="147.0pt,2.6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（1）承诺书； </w:t>
      </w:r>
      <w:r/>
    </w:p>
    <w:p>
      <w:pPr>
        <w:pStyle w:val="991"/>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（2）磋商报价表； </w:t>
      </w:r>
      <w:r/>
    </w:p>
    <w:p>
      <w:pPr>
        <w:pStyle w:val="991"/>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（3）偏离表；</w:t>
      </w:r>
      <w:r/>
    </w:p>
    <w:p>
      <w:pPr>
        <w:pStyle w:val="991"/>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szCs w:val="24"/>
          <w:highlight w:val="none"/>
          <w14:textFill>
            <w14:solidFill>
              <w14:schemeClr w14:val="tx1"/>
            </w14:solidFill>
          </w14:textFill>
        </w:rPr>
        <w:t xml:space="preserve">要求提供的其他响应文件。</w:t>
      </w:r>
      <w:r/>
    </w:p>
    <w:p>
      <w:pPr>
        <w:pStyle w:val="991"/>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91"/>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我单位符合《中华人民共和国政府采购法》第二十二条的规定，符合本项目供应商资格要求。</w:t>
      </w:r>
      <w:r/>
    </w:p>
    <w:p>
      <w:pPr>
        <w:pStyle w:val="991"/>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我单位按照磋商文件的要求编制响应文件，并对其提交的响应文件（包括资格预审申请文件）的真实性、合法性承担法律责任。</w:t>
      </w:r>
      <w:r/>
    </w:p>
    <w:p>
      <w:pPr>
        <w:pStyle w:val="991"/>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91"/>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我单位宣布同意如下：</w:t>
      </w:r>
      <w:r/>
    </w:p>
    <w:p>
      <w:pPr>
        <w:pStyle w:val="991"/>
        <w:ind w:firstLine="54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46.8pt,23.4pt" to="246.8pt,23.4pt" fillcolor="#FFFFFF" strokecolor="#000000"/>
            </w:pict>
          </mc:Fallback>
        </mc:AlternateContent>
      </w: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20.5pt,46.8pt" to="220.6pt,46.8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991"/>
        <w:ind w:firstLine="54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7456;mso-wrap-distance-left:9.0pt;mso-wrap-distance-top:0.0pt;mso-wrap-distance-right:9.0pt;mso-wrap-distance-bottom:0.0pt;visibility:visible;" from="210.0pt,19.5pt" to="210.1pt,19.5pt" fillcolor="#FFFFFF" strokecolor="#000000"/>
            </w:pict>
          </mc:Fallback>
        </mc:AlternateContent>
      </w: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8480;mso-wrap-distance-left:9.0pt;mso-wrap-distance-top:0.0pt;mso-wrap-distance-right:9.0pt;mso-wrap-distance-bottom:0.0pt;visibility:visible;" from="210.0pt,19.5pt" to="210.1pt,19.5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二、保证所提供的响应文件（包括资格预审申请文件）及所有材料的真实、合法、有效，并对其负责。</w:t>
      </w:r>
      <w:r/>
    </w:p>
    <w:p>
      <w:pPr>
        <w:pStyle w:val="967"/>
        <w:ind w:firstLine="480"/>
        <w:spacing w:line="240" w:lineRule="atLeas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三、已详细审核《磋商文件》，包括《磋商文件修改（澄清）》（如果有的话），本供应商完全理解并同意放弃对这方面不明及误解的权利。</w:t>
      </w:r>
      <w:r/>
    </w:p>
    <w:p>
      <w:pPr>
        <w:pStyle w:val="967"/>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四、所提供服务与相关货物保证符合国家有关产品质量、性能和安全标准，无权利瑕疵。</w:t>
      </w:r>
      <w:r/>
    </w:p>
    <w:p>
      <w:pPr>
        <w:pStyle w:val="967"/>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五、报价有效期为30个工作日。</w:t>
      </w:r>
      <w:r/>
    </w:p>
    <w:p>
      <w:pPr>
        <w:pStyle w:val="967"/>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967"/>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七、完全理解贵方不一定要接受最低的报价或收到的任何报价。</w:t>
      </w:r>
      <w:r/>
    </w:p>
    <w:p>
      <w:pPr>
        <w:pStyle w:val="967"/>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八、我单位同意在授予合同后，按照磋商文件的有关规定支付采购代理服务费。</w:t>
      </w:r>
      <w:r/>
    </w:p>
    <w:p>
      <w:pPr>
        <w:pStyle w:val="967"/>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九、采购人或采购代理机构有权将我单位本项目的《磋商报价表》、《分项价格表》和其他不涉及商业秘密的内容予以公示。</w:t>
      </w:r>
      <w:r/>
    </w:p>
    <w:p>
      <w:pPr>
        <w:pStyle w:val="967"/>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6"/>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967"/>
        <w:ind w:firstLine="40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967"/>
        <w:ind w:firstLine="297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法定代表人或授权代表（签字或盖章）：</w:t>
      </w:r>
      <w:r/>
    </w:p>
    <w:p>
      <w:pPr>
        <w:pStyle w:val="967"/>
        <w:ind w:firstLine="40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p>
    <w:p>
      <w:pPr>
        <w:pStyle w:val="967"/>
        <w:ind w:firstLine="4111"/>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移动电话：</w:t>
      </w:r>
      <w:r/>
    </w:p>
    <w:p>
      <w:pPr>
        <w:pStyle w:val="967"/>
        <w:ind w:firstLine="4111"/>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967"/>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966"/>
        <w:ind w:left="0" w:firstLine="0"/>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szCs w:val="32"/>
          <w:highlight w:val="none"/>
          <w14:textFill>
            <w14:solidFill>
              <w14:schemeClr w14:val="tx1"/>
            </w14:solidFill>
          </w14:textFill>
        </w:rPr>
      </w:r>
      <w:r/>
    </w:p>
    <w:p>
      <w:pPr>
        <w:pStyle w:val="966"/>
        <w:ind w:left="0" w:firstLine="0"/>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szCs w:val="32"/>
          <w:highlight w:val="none"/>
          <w14:textFill>
            <w14:solidFill>
              <w14:schemeClr w14:val="tx1"/>
            </w14:solidFill>
          </w14:textFill>
        </w:rPr>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8、法人授权委托书</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委托人（全称）：</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               </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法人营业执照统一社会信用代码：</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受托人：                  先生（女士）</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身份证号：</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兹委托（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）全权代表我企业（公司）参与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项目[项目编号：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]的磋商活动及签订合同。（</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）以我企业（公司）名义所为的行为及签署的文件，我企业（公司）均予以认可。有关法律责任均由我企业（公司）承担。（</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）无转委托权。</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委托期限自    年  月  日起至    年  月  日止。</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委托人（公章）：</w:t>
      </w:r>
      <w:r/>
    </w:p>
    <w:p>
      <w:pPr>
        <w:pStyle w:val="967"/>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法定代表人（签字或盖章）：</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受托人（签字或盖章）：</w:t>
      </w:r>
      <w:r/>
    </w:p>
    <w:p>
      <w:pPr>
        <w:pStyle w:val="967"/>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5721"/>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年   月   日</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(受托人身份证</w:t>
      </w:r>
      <w:r>
        <w:rPr>
          <w:rFonts w:hint="eastAsia" w:ascii="宋体" w:hAnsi="宋体"/>
          <w:color w:val="000000" w:themeColor="text1"/>
          <w:sz w:val="24"/>
          <w:highlight w:val="none"/>
          <w14:textFill>
            <w14:solidFill>
              <w14:schemeClr w14:val="tx1"/>
            </w14:solidFill>
          </w14:textFill>
        </w:rPr>
        <w:t xml:space="preserve">扫描件</w:t>
      </w:r>
      <w:r>
        <w:rPr>
          <w:rFonts w:ascii="宋体" w:hAnsi="宋体"/>
          <w:color w:val="000000" w:themeColor="text1"/>
          <w:sz w:val="24"/>
          <w:highlight w:val="none"/>
          <w14:textFill>
            <w14:solidFill>
              <w14:schemeClr w14:val="tx1"/>
            </w14:solidFill>
          </w14:textFill>
        </w:rPr>
        <w:t xml:space="preserve">附后)</w:t>
      </w:r>
      <w:r/>
    </w:p>
    <w:p>
      <w:pPr>
        <w:pStyle w:val="96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4"/>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w:t>
      </w:r>
      <w:r>
        <w:rPr>
          <w:rFonts w:ascii="宋体" w:hAnsi="宋体"/>
          <w:color w:val="000000" w:themeColor="text1"/>
          <w:highlight w:val="none"/>
          <w14:textFill>
            <w14:solidFill>
              <w14:schemeClr w14:val="tx1"/>
            </w14:solidFill>
          </w14:textFill>
        </w:rPr>
        <w:t xml:space="preserve">中小企业声明函</w:t>
      </w:r>
      <w:r/>
    </w:p>
    <w:p>
      <w:pPr>
        <w:pStyle w:val="964"/>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967"/>
        <w:ind w:firstLine="480"/>
        <w:spacing w:line="48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 </w:t>
      </w:r>
      <w:r>
        <w:rPr>
          <w:rFonts w:ascii="宋体" w:hAnsi="宋体"/>
          <w:color w:val="000000" w:themeColor="text1"/>
          <w:sz w:val="24"/>
          <w:highlight w:val="none"/>
          <w:u w:val="single"/>
          <w14:textFill>
            <w14:solidFill>
              <w14:schemeClr w14:val="tx1"/>
            </w14:solidFill>
          </w14:textFill>
        </w:rPr>
        <w:t xml:space="preserve">                               </w:t>
      </w:r>
      <w:r/>
    </w:p>
    <w:p>
      <w:pPr>
        <w:pStyle w:val="967"/>
        <w:jc w:val="center"/>
        <w:spacing w:line="380" w:lineRule="exact"/>
        <w:widowControl/>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967"/>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ascii="宋体" w:hAnsi="宋体"/>
          <w:color w:val="000000" w:themeColor="text1"/>
          <w:sz w:val="24"/>
          <w:highlight w:val="none"/>
          <w:u w:val="single"/>
          <w14:textFill>
            <w14:solidFill>
              <w14:schemeClr w14:val="tx1"/>
            </w14:solidFill>
          </w14:textFill>
        </w:rPr>
        <w:t xml:space="preserve">  （单位名称）  </w:t>
      </w:r>
      <w:r>
        <w:rPr>
          <w:rFonts w:ascii="宋体" w:hAnsi="宋体"/>
          <w:color w:val="000000" w:themeColor="text1"/>
          <w:sz w:val="24"/>
          <w:highlight w:val="none"/>
          <w14:textFill>
            <w14:solidFill>
              <w14:schemeClr w14:val="tx1"/>
            </w14:solidFill>
          </w14:textFill>
        </w:rPr>
        <w:t xml:space="preserve">的</w:t>
      </w:r>
      <w:r>
        <w:rPr>
          <w:rFonts w:ascii="宋体" w:hAnsi="宋体"/>
          <w:color w:val="000000" w:themeColor="text1"/>
          <w:sz w:val="24"/>
          <w:highlight w:val="none"/>
          <w:u w:val="single"/>
          <w14:textFill>
            <w14:solidFill>
              <w14:schemeClr w14:val="tx1"/>
            </w14:solidFill>
          </w14:textFill>
        </w:rPr>
        <w:t xml:space="preserve">   (项目名称)  </w:t>
      </w:r>
      <w:r>
        <w:rPr>
          <w:rFonts w:ascii="宋体" w:hAnsi="宋体"/>
          <w:color w:val="000000" w:themeColor="text1"/>
          <w:sz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67"/>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，属于</w:t>
      </w:r>
      <w:r>
        <w:rPr>
          <w:rFonts w:ascii="宋体" w:hAnsi="宋体"/>
          <w:color w:val="000000" w:themeColor="text1"/>
          <w:sz w:val="24"/>
          <w:highlight w:val="none"/>
          <w:u w:val="single"/>
          <w14:textFill>
            <w14:solidFill>
              <w14:schemeClr w14:val="tx1"/>
            </w14:solidFill>
          </w14:textFill>
        </w:rPr>
        <w:t xml:space="preserve">  (采购文件中明确的所属行业）行业 </w:t>
      </w:r>
      <w:r>
        <w:rPr>
          <w:rFonts w:ascii="宋体" w:hAnsi="宋体"/>
          <w:color w:val="000000" w:themeColor="text1"/>
          <w:sz w:val="24"/>
          <w:highlight w:val="none"/>
          <w14:textFill>
            <w14:solidFill>
              <w14:schemeClr w14:val="tx1"/>
            </w14:solidFill>
          </w14:textFill>
        </w:rPr>
        <w:t xml:space="preserve">；承建（承接）企业为</w:t>
      </w:r>
      <w:r>
        <w:rPr>
          <w:rFonts w:ascii="宋体" w:hAnsi="宋体"/>
          <w:color w:val="000000" w:themeColor="text1"/>
          <w:sz w:val="24"/>
          <w:highlight w:val="none"/>
          <w:u w:val="single"/>
          <w14:textFill>
            <w14:solidFill>
              <w14:schemeClr w14:val="tx1"/>
            </w14:solidFill>
          </w14:textFill>
        </w:rPr>
        <w:t xml:space="preserve">(企业名称)</w:t>
      </w:r>
      <w:r>
        <w:rPr>
          <w:rFonts w:ascii="宋体" w:hAnsi="宋体"/>
          <w:color w:val="000000" w:themeColor="text1"/>
          <w:sz w:val="24"/>
          <w:highlight w:val="none"/>
          <w14:textFill>
            <w14:solidFill>
              <w14:schemeClr w14:val="tx1"/>
            </w14:solidFill>
          </w14:textFill>
        </w:rPr>
        <w:t xml:space="preserve">，从业人员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人，营业收入为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万元，资产总额为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万元，属于(□中型企业、□小型企业、□微型企业)；</w:t>
      </w:r>
      <w:r/>
    </w:p>
    <w:p>
      <w:pPr>
        <w:pStyle w:val="966"/>
        <w:ind w:left="0" w:firstLine="48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w:t>
      </w:r>
      <w:r/>
    </w:p>
    <w:p>
      <w:pPr>
        <w:pStyle w:val="967"/>
        <w:ind w:firstLine="482"/>
        <w:spacing w:line="48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967"/>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992"/>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p>
      <w:pPr>
        <w:pStyle w:val="99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ind w:right="29" w:firstLine="40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967"/>
        <w:ind w:right="29" w:firstLine="40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967"/>
        <w:ind w:firstLine="4080"/>
        <w:spacing w:line="420" w:lineRule="exact"/>
        <w:tabs>
          <w:tab w:val="left" w:pos="655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98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注：本项目采购项目属性为：建筑业。</w:t>
      </w:r>
      <w:r/>
    </w:p>
    <w:p>
      <w:pPr>
        <w:pStyle w:val="967"/>
        <w:ind w:firstLine="482"/>
        <w:spacing w:line="360" w:lineRule="auto"/>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rPr>
          <w:rFonts w:ascii="宋体" w:hAnsi="宋体"/>
          <w:color w:val="000000" w:themeColor="text1"/>
          <w:sz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t xml:space="preserve">中小企业规模类型自测小程序</w:t>
      </w:r>
      <w:r/>
    </w:p>
    <w:p>
      <w:pPr>
        <w:pStyle w:val="967"/>
        <w:ind w:firstLine="640"/>
        <w:shd w:val="clear" w:color="ffffff" w:fill="auto"/>
        <w:rPr>
          <w:rFonts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highlight w:val="none"/>
          <w14:textFill>
            <w14:solidFill>
              <w14:schemeClr w14:val="tx1"/>
            </w14:solidFill>
          </w14:textFill>
        </w:rPr>
        <w:t xml:space="preserve">“中小企业声明函” 查询渠道用微信搜索“中小企业规模类型自测小程序”。看下列截图。</w:t>
      </w:r>
      <w:r/>
    </w:p>
    <w:p>
      <w:pPr>
        <w:pStyle w:val="967"/>
        <w:ind w:firstLine="640"/>
        <w:jc w:val="center"/>
        <w:shd w:val="clear" w:color="ffffff" w:fill="auto"/>
        <w:rPr>
          <w:rFonts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Theme="minor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870835" cy="5931535"/>
                <wp:effectExtent l="0" t="0" r="5715" b="12065"/>
                <wp:docPr id="14"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5836dd8f971482d5bd4ba152da85aeb"/>
                        <pic:cNvPicPr>
                          <a:picLocks noChangeAspect="1"/>
                        </pic:cNvPicPr>
                        <pic:nvPr/>
                      </pic:nvPicPr>
                      <pic:blipFill>
                        <a:blip r:embed="rId14"/>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26.0pt;height:467.0pt;mso-wrap-distance-left:0.0pt;mso-wrap-distance-top:0.0pt;mso-wrap-distance-right:0.0pt;mso-wrap-distance-bottom:0.0pt;" stroked="false">
                <v:path textboxrect="0,0,0,0"/>
                <v:imagedata r:id="rId14" o:title=""/>
              </v:shape>
            </w:pict>
          </mc:Fallback>
        </mc:AlternateContent>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10、残疾人福利性单位声明函</w:t>
      </w:r>
      <w:r/>
    </w:p>
    <w:p>
      <w:pPr>
        <w:pStyle w:val="984"/>
        <w:ind w:left="-208"/>
        <w:jc w:val="center"/>
        <w:rPr>
          <w:b/>
          <w:color w:val="000000" w:themeColor="text1"/>
          <w:szCs w:val="30"/>
          <w:highlight w:val="none"/>
          <w14:textFill>
            <w14:solidFill>
              <w14:schemeClr w14:val="tx1"/>
            </w14:solidFill>
          </w14:textFill>
        </w:rPr>
      </w:pPr>
      <w:r>
        <w:rPr>
          <w:b/>
          <w:color w:val="000000" w:themeColor="text1"/>
          <w:szCs w:val="30"/>
          <w:highlight w:val="none"/>
          <w14:textFill>
            <w14:solidFill>
              <w14:schemeClr w14:val="tx1"/>
            </w14:solidFill>
          </w14:textFill>
        </w:rPr>
        <w:t xml:space="preserve">（注：如供应商不属于残疾人福利性单位，不需提供此说明函）</w:t>
      </w:r>
      <w:r/>
    </w:p>
    <w:p>
      <w:pPr>
        <w:pStyle w:val="967"/>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项目编号：</w:t>
      </w:r>
      <w:r>
        <w:rPr>
          <w:rFonts w:hint="eastAsia" w:ascii="宋体" w:hAnsi="宋体"/>
          <w:bCs/>
          <w:color w:val="000000" w:themeColor="text1"/>
          <w:sz w:val="24"/>
          <w:highlight w:val="none"/>
          <w:lang w:eastAsia="zh-CN"/>
          <w14:textFill>
            <w14:solidFill>
              <w14:schemeClr w14:val="tx1"/>
            </w14:solidFill>
          </w14:textFill>
        </w:rPr>
        <w:t xml:space="preserve">JSZC-320322-JSYM-C2025-0009</w:t>
      </w: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7"/>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967"/>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p>
    <w:p>
      <w:pPr>
        <w:pStyle w:val="967"/>
        <w:ind w:right="29" w:firstLine="3780"/>
        <w:spacing w:line="420"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pStyle w:val="967"/>
        <w:ind w:right="29" w:firstLine="37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供应商（公章）：</w:t>
      </w:r>
      <w:r/>
    </w:p>
    <w:p>
      <w:pPr>
        <w:pStyle w:val="967"/>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967"/>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967"/>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pStyle w:val="96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967"/>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（一）安置的残疾人占本单位在职职工人数的比例不低于25%（含25%），并且安置的残疾人人数不少于10人（含10人）；</w:t>
      </w:r>
      <w:r/>
    </w:p>
    <w:p>
      <w:pPr>
        <w:pStyle w:val="967"/>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（二）依法与安置的每位残疾人签订了一年以上（含一年）的劳动合同或服务协议；</w:t>
      </w:r>
      <w:r/>
    </w:p>
    <w:p>
      <w:pPr>
        <w:pStyle w:val="967"/>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pStyle w:val="967"/>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pStyle w:val="967"/>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pStyle w:val="967"/>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7"/>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具体以《财政部 民政部 中国残疾人联合会关于促进残疾人就业政府采购政策的通知》（财库〔2017〕141号）规定为准。</w:t>
      </w:r>
      <w:r/>
    </w:p>
    <w:p>
      <w:pPr>
        <w:pStyle w:val="967"/>
        <w:ind w:right="29" w:firstLine="36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说明：</w:t>
      </w:r>
      <w:r/>
    </w:p>
    <w:p>
      <w:pPr>
        <w:pStyle w:val="967"/>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pStyle w:val="967"/>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pStyle w:val="967"/>
        <w:ind w:right="480" w:firstLine="5040"/>
        <w:spacing w:line="38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spacing w:line="38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7"/>
        <w:spacing w:line="38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6"/>
        <w:ind w:left="0" w:firstLine="0"/>
        <w:rPr>
          <w:rFonts w:ascii="宋体" w:hAnsi="宋体" w:eastAsia="宋体"/>
          <w:b/>
          <w:color w:val="000000" w:themeColor="text1"/>
          <w:sz w:val="36"/>
          <w:szCs w:val="36"/>
          <w:highlight w:val="none"/>
          <w14:textFill>
            <w14:solidFill>
              <w14:schemeClr w14:val="tx1"/>
            </w14:solidFill>
          </w14:textFill>
        </w:rPr>
      </w:pPr>
      <w:r>
        <w:rPr>
          <w:rFonts w:ascii="宋体" w:hAnsi="宋体" w:eastAsia="宋体"/>
          <w:b/>
          <w:color w:val="000000" w:themeColor="text1"/>
          <w:sz w:val="36"/>
          <w:szCs w:val="36"/>
          <w:highlight w:val="none"/>
          <w14:textFill>
            <w14:solidFill>
              <w14:schemeClr w14:val="tx1"/>
            </w14:solidFill>
          </w14:textFill>
        </w:rPr>
      </w:r>
      <w:r/>
    </w:p>
    <w:p>
      <w:pPr>
        <w:pStyle w:val="967"/>
        <w:jc w:val="cente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pStyle w:val="967"/>
        <w:jc w:val="cente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11、供应商参加政府采购活动前3年内在经营活动中没有重大违法记录的书面声明</w:t>
      </w:r>
      <w:r/>
    </w:p>
    <w:p>
      <w:pPr>
        <w:pStyle w:val="967"/>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967"/>
        <w:spacing w:line="4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   </w:t>
      </w:r>
      <w:r/>
    </w:p>
    <w:p>
      <w:pPr>
        <w:pStyle w:val="967"/>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我单位在参加</w:t>
      </w:r>
      <w:r>
        <w:rPr>
          <w:rFonts w:hint="eastAsia" w:ascii="宋体" w:hAnsi="宋体"/>
          <w:color w:val="000000" w:themeColor="text1"/>
          <w:sz w:val="24"/>
          <w:highlight w:val="none"/>
          <w:u w:val="single"/>
          <w:lang w:eastAsia="zh-CN"/>
          <w14:textFill>
            <w14:solidFill>
              <w14:schemeClr w14:val="tx1"/>
            </w14:solidFill>
          </w14:textFill>
        </w:rPr>
        <w:t xml:space="preserve">城市容颜更美丽工程（城区花坛修复、行道树补植等)</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967"/>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967"/>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967"/>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967"/>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967"/>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供应商（公章）：</w:t>
      </w:r>
      <w:r/>
    </w:p>
    <w:p>
      <w:pPr>
        <w:pStyle w:val="967"/>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967"/>
        <w:ind w:firstLine="384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967"/>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6"/>
        <w:ind w:left="0" w:firstLine="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12、具备履行合同所必需的设备和专业技术能力的书面声明</w:t>
      </w:r>
      <w:r/>
    </w:p>
    <w:p>
      <w:pPr>
        <w:pStyle w:val="771"/>
        <w:jc w:val="both"/>
        <w:spacing w:line="380" w:lineRule="exact"/>
        <w:rPr>
          <w:rFonts w:hint="eastAsia" w:eastAsia="宋体"/>
          <w:lang w:eastAsia="zh-CN"/>
        </w:rPr>
      </w:pPr>
      <w:r>
        <w:t xml:space="preserve">项目名称： </w:t>
      </w:r>
      <w:r/>
    </w:p>
    <w:p>
      <w:pPr>
        <w:pStyle w:val="771"/>
        <w:jc w:val="both"/>
        <w:spacing w:line="380" w:lineRule="exact"/>
        <w:rPr>
          <w:rFonts w:hint="eastAsia" w:eastAsia="宋体"/>
          <w:lang w:eastAsia="zh-CN"/>
        </w:rPr>
      </w:pPr>
      <w:r>
        <w:t xml:space="preserve">项目编号：</w:t>
      </w:r>
      <w:r/>
    </w:p>
    <w:p>
      <w:pPr>
        <w:pStyle w:val="771"/>
        <w:ind w:firstLine="480"/>
        <w:jc w:val="both"/>
      </w:pPr>
      <w:r/>
      <w:r/>
    </w:p>
    <w:p>
      <w:pPr>
        <w:pStyle w:val="771"/>
        <w:ind w:firstLine="480"/>
        <w:jc w:val="both"/>
      </w:pPr>
      <w:r>
        <w:rPr>
          <w:rFonts w:hint="eastAsia"/>
        </w:rPr>
        <w:t xml:space="preserve">本单位</w:t>
      </w:r>
      <w:r>
        <w:rPr>
          <w:rFonts w:hint="eastAsia"/>
          <w:u w:val="single"/>
        </w:rPr>
        <w:t xml:space="preserve">          </w:t>
      </w:r>
      <w:r>
        <w:rPr>
          <w:rFonts w:hint="eastAsia"/>
        </w:rPr>
        <w:t xml:space="preserve">郑重声明：本单位具备履行合同（项目名称：</w:t>
      </w:r>
      <w:r>
        <w:rPr>
          <w:rFonts w:hint="eastAsia"/>
          <w:u w:val="single"/>
          <w:lang w:val="en-US" w:eastAsia="zh-CN"/>
        </w:rPr>
        <w:t xml:space="preserve">       </w:t>
      </w:r>
      <w:r>
        <w:rPr>
          <w:rFonts w:hint="eastAsia"/>
        </w:rPr>
        <w:t xml:space="preserve"> ，项目编号：</w:t>
      </w:r>
      <w:r>
        <w:rPr>
          <w:rFonts w:hint="eastAsia"/>
          <w:u w:val="single"/>
        </w:rPr>
        <w:t xml:space="preserve">                   </w:t>
      </w:r>
      <w:r>
        <w:rPr>
          <w:rFonts w:hint="eastAsia"/>
        </w:rPr>
        <w:t xml:space="preserve">）所必需的设备和专业技术能力。</w:t>
      </w:r>
      <w:r/>
    </w:p>
    <w:p>
      <w:pPr>
        <w:pStyle w:val="771"/>
        <w:jc w:val="both"/>
      </w:pPr>
      <w:r/>
      <w:r/>
    </w:p>
    <w:p>
      <w:pPr>
        <w:pStyle w:val="771"/>
        <w:ind w:firstLine="720"/>
        <w:jc w:val="both"/>
      </w:pPr>
      <w:r>
        <w:rPr>
          <w:rFonts w:hint="eastAsia"/>
        </w:rPr>
        <w:t xml:space="preserve">特此声明。</w:t>
      </w:r>
      <w:r/>
    </w:p>
    <w:p>
      <w:pPr>
        <w:pStyle w:val="771"/>
        <w:jc w:val="both"/>
      </w:pPr>
      <w:r>
        <w:rPr>
          <w:rFonts w:hint="eastAsia"/>
        </w:rPr>
        <w:t xml:space="preserve">    单位对上述声明的真实性负责。如有虚假，将依法承担相应责任。</w:t>
      </w:r>
      <w:r/>
    </w:p>
    <w:p>
      <w:pPr>
        <w:pStyle w:val="771"/>
        <w:jc w:val="both"/>
      </w:pPr>
      <w:r/>
      <w:r/>
    </w:p>
    <w:p>
      <w:pPr>
        <w:pStyle w:val="771"/>
        <w:jc w:val="both"/>
      </w:pPr>
      <w:r/>
      <w:r/>
    </w:p>
    <w:p>
      <w:pPr>
        <w:pStyle w:val="771"/>
        <w:jc w:val="both"/>
      </w:pPr>
      <w:r/>
      <w:r/>
    </w:p>
    <w:p>
      <w:pPr>
        <w:pStyle w:val="771"/>
        <w:jc w:val="both"/>
      </w:pPr>
      <w:r/>
      <w:r/>
    </w:p>
    <w:p>
      <w:pPr>
        <w:pStyle w:val="771"/>
        <w:jc w:val="both"/>
      </w:pPr>
      <w:r/>
      <w:r/>
    </w:p>
    <w:p>
      <w:pPr>
        <w:pStyle w:val="771"/>
        <w:ind w:firstLine="480"/>
        <w:jc w:val="center"/>
      </w:pPr>
      <w:r>
        <w:rPr>
          <w:rFonts w:hint="eastAsia"/>
        </w:rPr>
        <w:t xml:space="preserve">                 供应商：</w:t>
      </w:r>
      <w:r>
        <w:rPr>
          <w:rFonts w:hint="eastAsia"/>
          <w:u w:val="single"/>
        </w:rPr>
        <w:t xml:space="preserve">                     </w:t>
      </w:r>
      <w:r>
        <w:rPr>
          <w:rFonts w:hint="eastAsia"/>
        </w:rPr>
        <w:t xml:space="preserve">（盖单位公章）</w:t>
      </w:r>
      <w:r/>
    </w:p>
    <w:p>
      <w:pPr>
        <w:pStyle w:val="771"/>
        <w:ind w:firstLine="480"/>
        <w:jc w:val="center"/>
      </w:pPr>
      <w:r>
        <w:rPr>
          <w:rFonts w:hint="eastAsia"/>
        </w:rPr>
        <w:t xml:space="preserve">                      供应商授权代表：</w:t>
      </w:r>
      <w:r>
        <w:rPr>
          <w:rFonts w:hint="eastAsia"/>
          <w:u w:val="single"/>
        </w:rPr>
        <w:t xml:space="preserve">                  </w:t>
      </w:r>
      <w:r>
        <w:rPr>
          <w:rFonts w:hint="eastAsia"/>
        </w:rPr>
        <w:t xml:space="preserve">（签字或盖章）</w:t>
      </w:r>
      <w:r/>
    </w:p>
    <w:p>
      <w:pPr>
        <w:pStyle w:val="771"/>
        <w:ind w:firstLine="3600"/>
        <w:jc w:val="both"/>
      </w:pPr>
      <w:r>
        <w:rPr>
          <w:rFonts w:hint="eastAsia"/>
        </w:rPr>
        <w:t xml:space="preserve">日期：    年    月    日</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89"/>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13、预付款保函支付条款模板</w:t>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付款条件一：提交预付款保函的</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合同签订且乙方向甲方出具预付款保函后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 XX %)，</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w:t>
      </w:r>
      <w:r>
        <w:rPr>
          <w:rFonts w:ascii="宋体" w:hAnsi="宋体"/>
          <w:color w:val="000000" w:themeColor="text1"/>
          <w:sz w:val="24"/>
          <w:highlight w:val="none"/>
          <w:u w:val="single"/>
          <w14:textFill>
            <w14:solidFill>
              <w14:schemeClr w14:val="tx1"/>
            </w14:solidFill>
          </w14:textFill>
        </w:rPr>
        <w:t xml:space="preserve">人民币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乙方需提交的支付文件：乙方出具的全额正式发票。</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(2)验收合格后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XX</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967"/>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付款条件二：不提交预付款保函的</w:t>
      </w:r>
      <w:r/>
    </w:p>
    <w:p>
      <w:pPr>
        <w:pStyle w:val="967"/>
        <w:numPr>
          <w:ilvl w:val="0"/>
          <w:numId w:val="11"/>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合同签订后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乙方需提交的支付文件：乙方出具的全额正式发票。</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(2)验收合格后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XX</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 1、付款条件一中，出具预付款保函后支付的合同款应当与保函金额一致。</w:t>
      </w:r>
      <w:r/>
    </w:p>
    <w:p>
      <w:pPr>
        <w:pStyle w:val="967"/>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73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94"/>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964"/>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35"/>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代理服务收费标准</w:t>
      </w:r>
      <w:r/>
    </w:p>
    <w:p>
      <w:pPr>
        <w:pStyle w:val="771"/>
        <w:jc w:val="center"/>
        <w:spacing w:line="380" w:lineRule="exact"/>
        <w:rPr>
          <w:rFonts w:hint="eastAsia" w:ascii="宋体" w:hAnsi="宋体" w:eastAsia="宋体" w:cs="宋体"/>
          <w:b/>
          <w:bCs/>
          <w:sz w:val="22"/>
          <w:szCs w:val="22"/>
        </w:rPr>
      </w:pPr>
      <w:r>
        <w:rPr>
          <w:rFonts w:hint="eastAsia" w:ascii="宋体" w:hAnsi="宋体" w:eastAsia="宋体" w:cs="宋体"/>
          <w:b/>
          <w:bCs/>
          <w:sz w:val="22"/>
          <w:szCs w:val="22"/>
        </w:rPr>
        <w:t xml:space="preserve">苏政采协[2024]20号</w:t>
      </w:r>
      <w:r/>
    </w:p>
    <w:tbl>
      <w:tblPr>
        <w:tblStyle w:val="100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4"/>
        <w:gridCol w:w="2540"/>
      </w:tblGrid>
      <w:tr>
        <w:trPr>
          <w:trHeight w:val="492"/>
        </w:trPr>
        <w:tc>
          <w:tcPr>
            <w:tcW w:w="3472" w:type="pct"/>
            <w:vAlign w:val="top"/>
            <w:textDirection w:val="lrTb"/>
            <w:noWrap w:val="false"/>
          </w:tcPr>
          <w:p>
            <w:pPr>
              <w:pStyle w:val="999"/>
              <w:ind w:left="974"/>
              <w:spacing w:before="168" w:line="219" w:lineRule="auto"/>
              <w:rPr>
                <w:sz w:val="22"/>
                <w:szCs w:val="22"/>
              </w:rPr>
            </w:pPr>
            <w:r>
              <w:rPr>
                <w:spacing w:val="1"/>
                <w:sz w:val="22"/>
                <w:szCs w:val="22"/>
              </w:rPr>
              <w:t xml:space="preserve">中标或者成交金额</w:t>
            </w:r>
            <w:r/>
          </w:p>
        </w:tc>
        <w:tc>
          <w:tcPr>
            <w:tcW w:w="1527" w:type="pct"/>
            <w:vAlign w:val="top"/>
            <w:textDirection w:val="lrTb"/>
            <w:noWrap w:val="false"/>
          </w:tcPr>
          <w:p>
            <w:pPr>
              <w:pStyle w:val="999"/>
              <w:ind w:left="667"/>
              <w:spacing w:before="168" w:line="219" w:lineRule="auto"/>
              <w:rPr>
                <w:sz w:val="22"/>
                <w:szCs w:val="22"/>
              </w:rPr>
            </w:pPr>
            <w:r>
              <w:rPr>
                <w:spacing w:val="7"/>
                <w:sz w:val="22"/>
                <w:szCs w:val="22"/>
              </w:rPr>
              <w:t xml:space="preserve">费率</w:t>
            </w:r>
            <w:r/>
          </w:p>
        </w:tc>
      </w:tr>
      <w:tr>
        <w:trPr>
          <w:trHeight w:val="451"/>
        </w:trPr>
        <w:tc>
          <w:tcPr>
            <w:tcW w:w="3472" w:type="pct"/>
            <w:vAlign w:val="top"/>
            <w:textDirection w:val="lrTb"/>
            <w:noWrap w:val="false"/>
          </w:tcPr>
          <w:p>
            <w:pPr>
              <w:pStyle w:val="999"/>
              <w:ind w:left="175"/>
              <w:spacing w:before="154" w:line="219" w:lineRule="auto"/>
              <w:rPr>
                <w:sz w:val="22"/>
                <w:szCs w:val="22"/>
              </w:rPr>
            </w:pPr>
            <w:r>
              <w:rPr>
                <w:spacing w:val="4"/>
                <w:sz w:val="22"/>
                <w:szCs w:val="22"/>
              </w:rPr>
              <w:t xml:space="preserve">最低收费金额(每个委托项目)</w:t>
            </w:r>
            <w:r/>
          </w:p>
        </w:tc>
        <w:tc>
          <w:tcPr>
            <w:tcW w:w="1527" w:type="pct"/>
            <w:vAlign w:val="top"/>
            <w:textDirection w:val="lrTb"/>
            <w:noWrap w:val="false"/>
          </w:tcPr>
          <w:p>
            <w:pPr>
              <w:pStyle w:val="999"/>
              <w:ind w:left="507"/>
              <w:spacing w:before="155" w:line="220" w:lineRule="auto"/>
              <w:rPr>
                <w:sz w:val="22"/>
                <w:szCs w:val="22"/>
              </w:rPr>
            </w:pPr>
            <w:r>
              <w:rPr>
                <w:spacing w:val="2"/>
                <w:sz w:val="22"/>
                <w:szCs w:val="22"/>
              </w:rPr>
              <w:t xml:space="preserve">5000元</w:t>
            </w:r>
            <w:r/>
          </w:p>
        </w:tc>
      </w:tr>
      <w:tr>
        <w:trPr>
          <w:trHeight w:val="504"/>
        </w:trPr>
        <w:tc>
          <w:tcPr>
            <w:tcW w:w="3472" w:type="pct"/>
            <w:vAlign w:val="top"/>
            <w:textDirection w:val="lrTb"/>
            <w:noWrap w:val="false"/>
          </w:tcPr>
          <w:p>
            <w:pPr>
              <w:pStyle w:val="999"/>
              <w:ind w:left="654"/>
              <w:spacing w:before="155" w:line="219" w:lineRule="auto"/>
              <w:rPr>
                <w:sz w:val="22"/>
                <w:szCs w:val="22"/>
              </w:rPr>
            </w:pPr>
            <w:r>
              <w:rPr>
                <w:spacing w:val="5"/>
                <w:sz w:val="22"/>
                <w:szCs w:val="22"/>
              </w:rPr>
              <w:t xml:space="preserve">50万元以下(含50万元)</w:t>
            </w:r>
            <w:r/>
          </w:p>
        </w:tc>
        <w:tc>
          <w:tcPr>
            <w:tcW w:w="1527" w:type="pct"/>
            <w:vAlign w:val="top"/>
            <w:textDirection w:val="lrTb"/>
            <w:noWrap w:val="false"/>
          </w:tcPr>
          <w:p>
            <w:pPr>
              <w:pStyle w:val="999"/>
              <w:ind w:firstLine="612"/>
              <w:jc w:val="both"/>
              <w:spacing w:before="236" w:line="184" w:lineRule="auto"/>
              <w:rPr>
                <w:sz w:val="21"/>
                <w:szCs w:val="21"/>
              </w:rPr>
            </w:pPr>
            <w:r>
              <w:rPr>
                <w:spacing w:val="-8"/>
                <w:sz w:val="22"/>
                <w:szCs w:val="22"/>
              </w:rPr>
              <w:t xml:space="preserve">1.6%</w:t>
            </w:r>
            <w:r/>
          </w:p>
        </w:tc>
      </w:tr>
      <w:tr>
        <w:trPr>
          <w:trHeight w:val="619"/>
        </w:trPr>
        <w:tc>
          <w:tcPr>
            <w:tcW w:w="3472" w:type="pct"/>
            <w:vAlign w:val="top"/>
            <w:textDirection w:val="lrTb"/>
            <w:noWrap w:val="false"/>
          </w:tcPr>
          <w:p>
            <w:pPr>
              <w:pStyle w:val="999"/>
              <w:ind w:left="575"/>
              <w:spacing w:before="156" w:line="219" w:lineRule="auto"/>
              <w:rPr>
                <w:sz w:val="22"/>
                <w:szCs w:val="22"/>
              </w:rPr>
            </w:pPr>
            <w:r>
              <w:rPr>
                <w:spacing w:val="4"/>
                <w:sz w:val="22"/>
                <w:szCs w:val="22"/>
              </w:rPr>
              <w:t xml:space="preserve">50-400万元(含400万元)</w:t>
            </w:r>
            <w:r/>
          </w:p>
        </w:tc>
        <w:tc>
          <w:tcPr>
            <w:tcW w:w="1527" w:type="pct"/>
            <w:vAlign w:val="top"/>
            <w:textDirection w:val="lrTb"/>
            <w:noWrap w:val="false"/>
          </w:tcPr>
          <w:p>
            <w:pPr>
              <w:pStyle w:val="999"/>
              <w:ind w:left="667"/>
              <w:spacing w:before="237" w:line="184" w:lineRule="auto"/>
              <w:rPr>
                <w:sz w:val="22"/>
                <w:szCs w:val="22"/>
              </w:rPr>
            </w:pPr>
            <w:r>
              <w:rPr>
                <w:spacing w:val="-7"/>
                <w:sz w:val="22"/>
                <w:szCs w:val="22"/>
              </w:rPr>
              <w:t xml:space="preserve">1.5%</w:t>
            </w:r>
            <w:r/>
          </w:p>
        </w:tc>
      </w:tr>
      <w:tr>
        <w:trPr>
          <w:trHeight w:val="629"/>
        </w:trPr>
        <w:tc>
          <w:tcPr>
            <w:tcW w:w="3472" w:type="pct"/>
            <w:vAlign w:val="top"/>
            <w:textDirection w:val="lrTb"/>
            <w:noWrap w:val="false"/>
          </w:tcPr>
          <w:p>
            <w:pPr>
              <w:pStyle w:val="999"/>
              <w:ind w:left="334"/>
              <w:spacing w:before="167" w:line="219" w:lineRule="auto"/>
              <w:rPr>
                <w:sz w:val="22"/>
                <w:szCs w:val="22"/>
              </w:rPr>
            </w:pPr>
            <w:r>
              <w:rPr>
                <w:spacing w:val="3"/>
                <w:sz w:val="22"/>
                <w:szCs w:val="22"/>
              </w:rPr>
              <w:t xml:space="preserve">400-1000万元(含1000万元)</w:t>
            </w:r>
            <w:r/>
          </w:p>
        </w:tc>
        <w:tc>
          <w:tcPr>
            <w:tcW w:w="1527" w:type="pct"/>
            <w:vAlign w:val="top"/>
            <w:textDirection w:val="lrTb"/>
            <w:noWrap w:val="false"/>
          </w:tcPr>
          <w:p>
            <w:pPr>
              <w:pStyle w:val="999"/>
              <w:ind w:left="667"/>
              <w:spacing w:before="248" w:line="184" w:lineRule="auto"/>
              <w:rPr>
                <w:sz w:val="22"/>
                <w:szCs w:val="22"/>
              </w:rPr>
            </w:pPr>
            <w:r>
              <w:rPr>
                <w:spacing w:val="-5"/>
                <w:sz w:val="22"/>
                <w:szCs w:val="22"/>
              </w:rPr>
              <w:t xml:space="preserve">1.1%</w:t>
            </w:r>
            <w:r/>
          </w:p>
        </w:tc>
      </w:tr>
      <w:tr>
        <w:trPr>
          <w:trHeight w:val="619"/>
        </w:trPr>
        <w:tc>
          <w:tcPr>
            <w:tcW w:w="3472" w:type="pct"/>
            <w:vAlign w:val="top"/>
            <w:textDirection w:val="lrTb"/>
            <w:noWrap w:val="false"/>
          </w:tcPr>
          <w:p>
            <w:pPr>
              <w:pStyle w:val="999"/>
              <w:ind w:left="255"/>
              <w:spacing w:before="158" w:line="219" w:lineRule="auto"/>
              <w:rPr>
                <w:sz w:val="22"/>
                <w:szCs w:val="22"/>
              </w:rPr>
            </w:pPr>
            <w:r>
              <w:rPr>
                <w:spacing w:val="3"/>
                <w:sz w:val="22"/>
                <w:szCs w:val="22"/>
              </w:rPr>
              <w:t xml:space="preserve">1000-5000万元(含5000万元)</w:t>
            </w:r>
            <w:r/>
          </w:p>
        </w:tc>
        <w:tc>
          <w:tcPr>
            <w:tcW w:w="1527" w:type="pct"/>
            <w:vAlign w:val="top"/>
            <w:textDirection w:val="lrTb"/>
            <w:noWrap w:val="false"/>
          </w:tcPr>
          <w:p>
            <w:pPr>
              <w:pStyle w:val="999"/>
              <w:ind w:left="667"/>
              <w:spacing w:before="240" w:line="183" w:lineRule="auto"/>
              <w:rPr>
                <w:sz w:val="22"/>
                <w:szCs w:val="22"/>
              </w:rPr>
            </w:pPr>
            <w:r>
              <w:rPr>
                <w:spacing w:val="-3"/>
                <w:sz w:val="22"/>
                <w:szCs w:val="22"/>
              </w:rPr>
              <w:t xml:space="preserve">0.8%</w:t>
            </w:r>
            <w:r/>
          </w:p>
        </w:tc>
      </w:tr>
      <w:tr>
        <w:trPr>
          <w:trHeight w:val="619"/>
        </w:trPr>
        <w:tc>
          <w:tcPr>
            <w:tcW w:w="3472" w:type="pct"/>
            <w:vAlign w:val="top"/>
            <w:textDirection w:val="lrTb"/>
            <w:noWrap w:val="false"/>
          </w:tcPr>
          <w:p>
            <w:pPr>
              <w:pStyle w:val="999"/>
              <w:ind w:left="735"/>
              <w:spacing w:before="159" w:line="219" w:lineRule="auto"/>
              <w:rPr>
                <w:sz w:val="22"/>
                <w:szCs w:val="22"/>
              </w:rPr>
            </w:pPr>
            <w:r>
              <w:rPr>
                <w:spacing w:val="5"/>
                <w:sz w:val="22"/>
                <w:szCs w:val="22"/>
              </w:rPr>
              <w:t xml:space="preserve">5000-1亿元(含1亿元)</w:t>
            </w:r>
            <w:r/>
          </w:p>
        </w:tc>
        <w:tc>
          <w:tcPr>
            <w:tcW w:w="1527" w:type="pct"/>
            <w:vAlign w:val="top"/>
            <w:textDirection w:val="lrTb"/>
            <w:noWrap w:val="false"/>
          </w:tcPr>
          <w:p>
            <w:pPr>
              <w:pStyle w:val="999"/>
              <w:ind w:left="586"/>
              <w:spacing w:before="241" w:line="183" w:lineRule="auto"/>
              <w:rPr>
                <w:sz w:val="22"/>
                <w:szCs w:val="22"/>
              </w:rPr>
            </w:pPr>
            <w:r>
              <w:rPr>
                <w:spacing w:val="-2"/>
                <w:sz w:val="22"/>
                <w:szCs w:val="22"/>
              </w:rPr>
              <w:t xml:space="preserve">0.25%</w:t>
            </w:r>
            <w:r/>
          </w:p>
        </w:tc>
      </w:tr>
      <w:tr>
        <w:trPr>
          <w:trHeight w:val="628"/>
        </w:trPr>
        <w:tc>
          <w:tcPr>
            <w:tcW w:w="3472" w:type="pct"/>
            <w:vAlign w:val="top"/>
            <w:textDirection w:val="lrTb"/>
            <w:noWrap w:val="false"/>
          </w:tcPr>
          <w:p>
            <w:pPr>
              <w:pStyle w:val="999"/>
              <w:ind w:left="815"/>
              <w:spacing w:before="170" w:line="219" w:lineRule="auto"/>
              <w:rPr>
                <w:sz w:val="22"/>
                <w:szCs w:val="22"/>
              </w:rPr>
            </w:pPr>
            <w:r>
              <w:rPr>
                <w:spacing w:val="5"/>
                <w:sz w:val="22"/>
                <w:szCs w:val="22"/>
              </w:rPr>
              <w:t xml:space="preserve">1-10亿元(含10亿元)</w:t>
            </w:r>
            <w:r/>
          </w:p>
        </w:tc>
        <w:tc>
          <w:tcPr>
            <w:tcW w:w="1527" w:type="pct"/>
            <w:vAlign w:val="top"/>
            <w:textDirection w:val="lrTb"/>
            <w:noWrap w:val="false"/>
          </w:tcPr>
          <w:p>
            <w:pPr>
              <w:pStyle w:val="999"/>
              <w:ind w:left="586"/>
              <w:spacing w:before="252" w:line="183" w:lineRule="auto"/>
              <w:rPr>
                <w:sz w:val="22"/>
                <w:szCs w:val="22"/>
              </w:rPr>
            </w:pPr>
            <w:r>
              <w:rPr>
                <w:spacing w:val="-3"/>
                <w:sz w:val="22"/>
                <w:szCs w:val="22"/>
              </w:rPr>
              <w:t xml:space="preserve">0.05%</w:t>
            </w:r>
            <w:r/>
          </w:p>
        </w:tc>
      </w:tr>
      <w:tr>
        <w:trPr>
          <w:trHeight w:val="619"/>
        </w:trPr>
        <w:tc>
          <w:tcPr>
            <w:tcW w:w="3472" w:type="pct"/>
            <w:vAlign w:val="top"/>
            <w:textDirection w:val="lrTb"/>
            <w:noWrap w:val="false"/>
          </w:tcPr>
          <w:p>
            <w:pPr>
              <w:pStyle w:val="999"/>
              <w:ind w:left="735"/>
              <w:spacing w:before="162" w:line="219" w:lineRule="auto"/>
              <w:rPr>
                <w:sz w:val="22"/>
                <w:szCs w:val="22"/>
              </w:rPr>
            </w:pPr>
            <w:r>
              <w:rPr>
                <w:spacing w:val="5"/>
                <w:sz w:val="22"/>
                <w:szCs w:val="22"/>
              </w:rPr>
              <w:t xml:space="preserve">10-50亿元(含50亿元)</w:t>
            </w:r>
            <w:r/>
          </w:p>
        </w:tc>
        <w:tc>
          <w:tcPr>
            <w:tcW w:w="1527" w:type="pct"/>
            <w:vAlign w:val="top"/>
            <w:textDirection w:val="lrTb"/>
            <w:noWrap w:val="false"/>
          </w:tcPr>
          <w:p>
            <w:pPr>
              <w:pStyle w:val="999"/>
              <w:ind w:left="586"/>
              <w:spacing w:before="243" w:line="184" w:lineRule="auto"/>
              <w:rPr>
                <w:sz w:val="22"/>
                <w:szCs w:val="22"/>
              </w:rPr>
            </w:pPr>
            <w:r>
              <w:rPr>
                <w:spacing w:val="-3"/>
                <w:sz w:val="22"/>
                <w:szCs w:val="22"/>
              </w:rPr>
              <w:t xml:space="preserve">0.01%</w:t>
            </w:r>
            <w:r/>
          </w:p>
        </w:tc>
      </w:tr>
      <w:tr>
        <w:trPr>
          <w:trHeight w:val="624"/>
        </w:trPr>
        <w:tc>
          <w:tcPr>
            <w:tcW w:w="3472" w:type="pct"/>
            <w:vAlign w:val="top"/>
            <w:textDirection w:val="lrTb"/>
            <w:noWrap w:val="false"/>
          </w:tcPr>
          <w:p>
            <w:pPr>
              <w:pStyle w:val="999"/>
              <w:ind w:left="1455"/>
              <w:spacing w:before="164" w:line="220" w:lineRule="auto"/>
              <w:rPr>
                <w:sz w:val="22"/>
                <w:szCs w:val="22"/>
              </w:rPr>
            </w:pPr>
            <w:r>
              <w:rPr>
                <w:spacing w:val="2"/>
                <w:sz w:val="22"/>
                <w:szCs w:val="22"/>
              </w:rPr>
              <w:t xml:space="preserve">50亿元以上</w:t>
            </w:r>
            <w:r/>
          </w:p>
        </w:tc>
        <w:tc>
          <w:tcPr>
            <w:tcW w:w="1527" w:type="pct"/>
            <w:vAlign w:val="top"/>
            <w:textDirection w:val="lrTb"/>
            <w:noWrap w:val="false"/>
          </w:tcPr>
          <w:p>
            <w:pPr>
              <w:pStyle w:val="999"/>
              <w:ind w:left="507"/>
              <w:spacing w:before="245" w:line="183" w:lineRule="auto"/>
              <w:rPr>
                <w:sz w:val="22"/>
                <w:szCs w:val="22"/>
              </w:rPr>
            </w:pPr>
            <w:r>
              <w:rPr>
                <w:spacing w:val="-2"/>
                <w:sz w:val="22"/>
                <w:szCs w:val="22"/>
              </w:rPr>
              <w:t xml:space="preserve">0.005%</w:t>
            </w:r>
            <w:r/>
          </w:p>
        </w:tc>
      </w:tr>
    </w:tbl>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keepLines w:val="0"/>
        <w:keepNext w:val="0"/>
        <w:pageBreakBefore w:val="0"/>
        <w:spacing w:line="240" w:lineRule="auto"/>
        <w:tabs>
          <w:tab w:val="left" w:pos="84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.代理服务费基准金额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按差额定率累进法计算的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中标金额（</w:t>
      </w:r>
      <w:r>
        <w:rPr>
          <w:rFonts w:hint="eastAsia" w:ascii="宋体" w:hAnsi="宋体" w:eastAsia="宋体" w:cs="宋体"/>
          <w:color w:val="000000"/>
          <w:sz w:val="24"/>
          <w:szCs w:val="24"/>
        </w:rPr>
        <w:t xml:space="preserve">按差额定率累进法计算的</w:t>
      </w:r>
      <w:r>
        <w:rPr>
          <w:rFonts w:hint="eastAsia" w:ascii="宋体" w:hAnsi="宋体" w:eastAsia="宋体" w:cs="宋体"/>
          <w:color w:val="000000"/>
          <w:sz w:val="24"/>
          <w:szCs w:val="24"/>
        </w:rPr>
        <w:t xml:space="preserve">） * 费率（%）</w:t>
      </w:r>
      <w:r/>
    </w:p>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代理服务费应收取金额=代理服务费基准金额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按差额定率累进法计算的</w:t>
      </w:r>
      <w:r>
        <w:rPr>
          <w:rFonts w:hint="eastAsia" w:ascii="宋体" w:hAnsi="宋体" w:eastAsia="宋体" w:cs="宋体"/>
          <w:color w:val="000000"/>
          <w:sz w:val="24"/>
          <w:szCs w:val="24"/>
        </w:rPr>
        <w:t xml:space="preserve">）的合计数。</w:t>
      </w:r>
      <w:r/>
    </w:p>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.计算出的代理服务费应收取金额如</w:t>
      </w:r>
      <w:r>
        <w:rPr>
          <w:rFonts w:hint="eastAsia" w:ascii="宋体" w:hAnsi="宋体" w:eastAsia="宋体" w:cs="宋体"/>
          <w:color w:val="000000"/>
          <w:sz w:val="24"/>
          <w:szCs w:val="24"/>
        </w:rPr>
        <w:t xml:space="preserve">低于</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千元，按</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千元收取；</w:t>
      </w:r>
      <w:r/>
    </w:p>
    <w:p>
      <w:pP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定点类等无金额或事先不能计算出价格总额的</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按</w:t>
      </w:r>
      <w:r>
        <w:rPr>
          <w:rFonts w:hint="eastAsia" w:ascii="宋体" w:hAnsi="宋体" w:eastAsia="宋体" w:cs="宋体"/>
          <w:color w:val="000000"/>
          <w:sz w:val="24"/>
          <w:szCs w:val="24"/>
        </w:rPr>
        <w:t xml:space="preserve">中标（成交）金额</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万元计算</w:t>
      </w:r>
      <w:r>
        <w:rPr>
          <w:rFonts w:hint="eastAsia" w:ascii="宋体" w:hAnsi="宋体" w:eastAsia="宋体" w:cs="宋体"/>
          <w:color w:val="000000"/>
          <w:sz w:val="24"/>
          <w:szCs w:val="24"/>
          <w:lang w:val="en-US" w:eastAsia="zh-CN"/>
        </w:rPr>
        <w:t xml:space="preserve">服务费</w:t>
      </w:r>
      <w:r>
        <w:rPr>
          <w:rFonts w:hint="eastAsia" w:ascii="宋体" w:hAnsi="宋体" w:eastAsia="宋体" w:cs="宋体"/>
          <w:color w:val="000000"/>
          <w:sz w:val="24"/>
          <w:szCs w:val="24"/>
        </w:rPr>
        <w:t xml:space="preserve">。</w:t>
      </w:r>
      <w:r/>
    </w:p>
    <w:p>
      <w:pPr>
        <w:jc w:val="both"/>
        <w:spacing w:line="240" w:lineRule="auto"/>
        <w:rPr>
          <w:rFonts w:hint="eastAsia" w:ascii="宋体" w:hAnsi="宋体" w:eastAsia="宋体" w:cs="宋体"/>
          <w:b/>
          <w:bCs/>
          <w:sz w:val="28"/>
          <w:szCs w:val="28"/>
          <w:lang w:val="en-US" w:eastAsia="zh-CN"/>
        </w:rPr>
      </w:pPr>
      <w:r>
        <w:rPr>
          <w:rFonts w:hint="eastAsia" w:ascii="宋体" w:hAnsi="宋体" w:eastAsia="宋体" w:cs="宋体"/>
          <w:b/>
          <w:bCs/>
          <w:color w:val="000000"/>
          <w:sz w:val="21"/>
          <w:szCs w:val="21"/>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964"/>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92242880"/>
      <w:docPartObj>
        <w:docPartGallery w:val="autotext"/>
      </w:docPartObj>
      <w:rPr/>
    </w:sdtPr>
    <w:sdtContent>
      <w:p>
        <w:pPr>
          <w:pStyle w:val="759"/>
          <w:jc w:val="center"/>
        </w:pPr>
        <w:r>
          <w:fldChar w:fldCharType="begin"/>
        </w:r>
        <w:r>
          <w:instrText xml:space="preserve">PAGE   \* MERGEFORMAT</w:instrText>
        </w:r>
        <w:r>
          <w:fldChar w:fldCharType="separate"/>
        </w:r>
        <w:r>
          <w:rPr>
            <w:lang w:val="zh-CN"/>
          </w:rPr>
          <w:t xml:space="preserve">18</w:t>
        </w:r>
        <w:r>
          <w:fldChar w:fldCharType="end"/>
        </w:r>
        <w:r/>
      </w:p>
    </w:sdtContent>
  </w:sdt>
  <w:p>
    <w:pPr>
      <w:pStyle w:val="991"/>
      <w:jc w:val="center"/>
      <w:rPr>
        <w:rFonts w:ascii="宋体" w:hAnsi="宋体"/>
        <w:sz w:val="28"/>
        <w:szCs w:val="28"/>
      </w:rPr>
    </w:pPr>
    <w:r>
      <w:rPr>
        <w:rFonts w:ascii="宋体" w:hAnsi="宋体"/>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2482215</wp:posOffset>
              </wp:positionH>
              <wp:positionV relativeFrom="paragraph">
                <wp:posOffset>0</wp:posOffset>
              </wp:positionV>
              <wp:extent cx="165100" cy="284480"/>
              <wp:effectExtent l="6350" t="6350" r="6350" b="635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65371" cy="284772"/>
                      </a:xfrm>
                      <a:prstGeom prst="rect">
                        <a:avLst/>
                      </a:prstGeom>
                      <a:noFill/>
                      <a:ln>
                        <a:noFill/>
                        <a:round/>
                      </a:ln>
                    </wps:spPr>
                    <wps:txbx>
                      <w:txbxContent>
                        <w:p>
                          <w:pPr>
                            <w:pStyle w:val="991"/>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967"/>
                          </w:pPr>
                          <w:r/>
                          <w:r/>
                        </w:p>
                      </w:txbxContent>
                    </wps:txbx>
                    <wps:bodyPr wrap="square" lIns="0" tIns="0" rIns="0" bIns="0" upright="1">
                      <a:noAutofit/>
                    </wps:bodyPr>
                  </wps:wsp>
                </a:graphicData>
              </a:graphic>
            </wp:anchor>
          </w:drawing>
        </mc:Choice>
        <mc:Fallback>
          <w:pict>
            <v:shape id="shape 0" o:spid="_x0000_s0" o:spt="202" type="#_x0000_t202" style="position:absolute;z-index:251669504;o:allowoverlap:true;o:allowincell:true;mso-position-horizontal-relative:margin;margin-left:195.4pt;mso-position-horizontal:absolute;mso-position-vertical-relative:text;margin-top:0.0pt;mso-position-vertical:absolute;width:13.0pt;height:22.4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96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2569845</wp:posOffset>
              </wp:positionH>
              <wp:positionV relativeFrom="paragraph">
                <wp:posOffset>-21590</wp:posOffset>
              </wp:positionV>
              <wp:extent cx="188595" cy="284480"/>
              <wp:effectExtent l="6350" t="6350" r="6350" b="635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8393" cy="284772"/>
                      </a:xfrm>
                      <a:prstGeom prst="rect">
                        <a:avLst/>
                      </a:prstGeom>
                      <a:noFill/>
                      <a:ln>
                        <a:noFill/>
                        <a:round/>
                      </a:ln>
                    </wps:spPr>
                    <wps:txbx>
                      <w:txbxContent>
                        <w:p>
                          <w:pPr>
                            <w:pStyle w:val="991"/>
                            <w:tabs>
                              <w:tab w:val="clear" w:pos="4153" w:leader="none"/>
                              <w:tab w:val="clear" w:pos="8306" w:leader="none"/>
                            </w:tabs>
                          </w:pPr>
                          <w:r>
                            <w:fldChar w:fldCharType="begin"/>
                          </w:r>
                          <w:r>
                            <w:instrText xml:space="preserve">PAGE \* MERGEFORMAT</w:instrText>
                          </w:r>
                          <w:r>
                            <w:fldChar w:fldCharType="separate"/>
                          </w:r>
                          <w:r>
                            <w:t xml:space="preserve">77</w:t>
                          </w:r>
                          <w:r>
                            <w:fldChar w:fldCharType="end"/>
                          </w:r>
                          <w:r/>
                        </w:p>
                        <w:p>
                          <w:pPr>
                            <w:pStyle w:val="967"/>
                          </w:pPr>
                          <w:r/>
                          <w:r/>
                        </w:p>
                      </w:txbxContent>
                    </wps:txbx>
                    <wps:bodyPr wrap="square" lIns="0" tIns="0" rIns="0" bIns="0" upright="1">
                      <a:noAutofit/>
                    </wps:bodyPr>
                  </wps:wsp>
                </a:graphicData>
              </a:graphic>
            </wp:anchor>
          </w:drawing>
        </mc:Choice>
        <mc:Fallback>
          <w:pict>
            <v:shape id="shape 1" o:spid="_x0000_s1" o:spt="202" type="#_x0000_t202" style="position:absolute;z-index:251670528;o:allowoverlap:true;o:allowincell:true;mso-position-horizontal-relative:margin;margin-left:202.3pt;mso-position-horizontal:absolute;mso-position-vertical-relative:text;margin-top:-1.7pt;mso-position-vertical:absolute;width:14.8pt;height:22.4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fldChar w:fldCharType="begin"/>
                    </w:r>
                    <w:r>
                      <w:instrText xml:space="preserve">PAGE \* MERGEFORMAT</w:instrText>
                    </w:r>
                    <w:r>
                      <w:fldChar w:fldCharType="separate"/>
                    </w:r>
                    <w:r>
                      <w:t xml:space="preserve">77</w:t>
                    </w:r>
                    <w:r>
                      <w:fldChar w:fldCharType="end"/>
                    </w:r>
                    <w:r/>
                  </w:p>
                  <w:p>
                    <w:pPr>
                      <w:pStyle w:val="967"/>
                    </w:pPr>
                    <w:r/>
                    <w:r/>
                  </w:p>
                </w:txbxContent>
              </v:textbox>
            </v:shape>
          </w:pict>
        </mc:Fallback>
      </mc:AlternateContent>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both"/>
      <w:rPr>
        <w:b/>
        <w:bCs/>
      </w:rPr>
      <w:pBdr>
        <w:bottom w:val="none" w:color="000000" w:sz="0" w:space="0"/>
      </w:pBdr>
    </w:pP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1060" w:hanging="529"/>
      </w:pPr>
      <w:rPr>
        <w:spacing w:val="-3"/>
        <w:sz w:val="32"/>
        <w:szCs w:val="19"/>
        <w:u w:val="single"/>
        <w:lang w:val="zh-CN" w:eastAsia="zh-CN" w:bidi="zh-CN"/>
      </w:rPr>
    </w:lvl>
    <w:lvl w:ilvl="1">
      <w:start w:val="1"/>
      <w:numFmt w:val="bullet"/>
      <w:isLgl w:val="false"/>
      <w:suff w:val="tab"/>
      <w:lvlText w:val="•"/>
      <w:lvlJc w:val="left"/>
      <w:pPr>
        <w:ind w:left="1900" w:hanging="529"/>
      </w:pPr>
      <w:rPr>
        <w:lang w:val="zh-CN" w:eastAsia="zh-CN" w:bidi="zh-CN"/>
      </w:rPr>
    </w:lvl>
    <w:lvl w:ilvl="2">
      <w:start w:val="1"/>
      <w:numFmt w:val="bullet"/>
      <w:isLgl w:val="false"/>
      <w:suff w:val="tab"/>
      <w:lvlText w:val="•"/>
      <w:lvlJc w:val="left"/>
      <w:pPr>
        <w:ind w:left="2741" w:hanging="529"/>
      </w:pPr>
      <w:rPr>
        <w:lang w:val="zh-CN" w:eastAsia="zh-CN" w:bidi="zh-CN"/>
      </w:rPr>
    </w:lvl>
    <w:lvl w:ilvl="3">
      <w:start w:val="1"/>
      <w:numFmt w:val="bullet"/>
      <w:isLgl w:val="false"/>
      <w:suff w:val="tab"/>
      <w:lvlText w:val="•"/>
      <w:lvlJc w:val="left"/>
      <w:pPr>
        <w:ind w:left="3581" w:hanging="529"/>
      </w:pPr>
      <w:rPr>
        <w:lang w:val="zh-CN" w:eastAsia="zh-CN" w:bidi="zh-CN"/>
      </w:rPr>
    </w:lvl>
    <w:lvl w:ilvl="4">
      <w:start w:val="1"/>
      <w:numFmt w:val="bullet"/>
      <w:isLgl w:val="false"/>
      <w:suff w:val="tab"/>
      <w:lvlText w:val="•"/>
      <w:lvlJc w:val="left"/>
      <w:pPr>
        <w:ind w:left="4422" w:hanging="529"/>
      </w:pPr>
      <w:rPr>
        <w:lang w:val="zh-CN" w:eastAsia="zh-CN" w:bidi="zh-CN"/>
      </w:rPr>
    </w:lvl>
    <w:lvl w:ilvl="5">
      <w:start w:val="1"/>
      <w:numFmt w:val="bullet"/>
      <w:isLgl w:val="false"/>
      <w:suff w:val="tab"/>
      <w:lvlText w:val="•"/>
      <w:lvlJc w:val="left"/>
      <w:pPr>
        <w:ind w:left="5263" w:hanging="529"/>
      </w:pPr>
      <w:rPr>
        <w:lang w:val="zh-CN" w:eastAsia="zh-CN" w:bidi="zh-CN"/>
      </w:rPr>
    </w:lvl>
    <w:lvl w:ilvl="6">
      <w:start w:val="1"/>
      <w:numFmt w:val="bullet"/>
      <w:isLgl w:val="false"/>
      <w:suff w:val="tab"/>
      <w:lvlText w:val="•"/>
      <w:lvlJc w:val="left"/>
      <w:pPr>
        <w:ind w:left="6103" w:hanging="529"/>
      </w:pPr>
      <w:rPr>
        <w:lang w:val="zh-CN" w:eastAsia="zh-CN" w:bidi="zh-CN"/>
      </w:rPr>
    </w:lvl>
    <w:lvl w:ilvl="7">
      <w:start w:val="1"/>
      <w:numFmt w:val="bullet"/>
      <w:isLgl w:val="false"/>
      <w:suff w:val="tab"/>
      <w:lvlText w:val="•"/>
      <w:lvlJc w:val="left"/>
      <w:pPr>
        <w:ind w:left="6944" w:hanging="529"/>
      </w:pPr>
      <w:rPr>
        <w:lang w:val="zh-CN" w:eastAsia="zh-CN" w:bidi="zh-CN"/>
      </w:rPr>
    </w:lvl>
    <w:lvl w:ilvl="8">
      <w:start w:val="1"/>
      <w:numFmt w:val="bullet"/>
      <w:isLgl w:val="false"/>
      <w:suff w:val="tab"/>
      <w:lvlText w:val="•"/>
      <w:lvlJc w:val="left"/>
      <w:pPr>
        <w:ind w:left="7785" w:hanging="529"/>
      </w:pPr>
      <w:rPr>
        <w:lang w:val="zh-CN" w:eastAsia="zh-CN" w:bidi="zh-CN"/>
      </w:rPr>
    </w:lvl>
  </w:abstractNum>
  <w:abstractNum w:abstractNumId="1">
    <w:multiLevelType w:val="hybridMultilevel"/>
    <w:lvl w:ilvl="0">
      <w:start w:val="1"/>
      <w:numFmt w:val="decimal"/>
      <w:isLgl w:val="false"/>
      <w:suff w:val="nothing"/>
      <w:lvlText w:val="%1、"/>
      <w:lvlJc w:val="left"/>
      <w:pPr>
        <w:ind w:left="9"/>
      </w:pPr>
    </w:lvl>
    <w:lvl w:ilvl="1">
      <w:start w:val="1"/>
      <w:numFmt w:val="bullet"/>
      <w:isLgl w:val="false"/>
      <w:suff w:val="tab"/>
      <w:lvlText w:val="o"/>
      <w:lvlJc w:val="left"/>
      <w:pPr>
        <w:ind w:left="1449" w:hanging="360"/>
      </w:pPr>
      <w:rPr>
        <w:rFonts w:hint="default" w:ascii="Courier New" w:hAnsi="Courier New" w:eastAsia="Courier New" w:cs="Courier New"/>
      </w:rPr>
    </w:lvl>
    <w:lvl w:ilvl="2">
      <w:start w:val="1"/>
      <w:numFmt w:val="bullet"/>
      <w:isLgl w:val="false"/>
      <w:suff w:val="tab"/>
      <w:lvlText w:val="§"/>
      <w:lvlJc w:val="left"/>
      <w:pPr>
        <w:ind w:left="2169" w:hanging="360"/>
      </w:pPr>
      <w:rPr>
        <w:rFonts w:hint="default" w:ascii="Wingdings" w:hAnsi="Wingdings" w:eastAsia="Wingdings" w:cs="Wingdings"/>
      </w:rPr>
    </w:lvl>
    <w:lvl w:ilvl="3">
      <w:start w:val="1"/>
      <w:numFmt w:val="bullet"/>
      <w:isLgl w:val="false"/>
      <w:suff w:val="tab"/>
      <w:lvlText w:val="·"/>
      <w:lvlJc w:val="left"/>
      <w:pPr>
        <w:ind w:left="2889" w:hanging="360"/>
      </w:pPr>
      <w:rPr>
        <w:rFonts w:hint="default" w:ascii="Symbol" w:hAnsi="Symbol" w:eastAsia="Symbol" w:cs="Symbol"/>
      </w:rPr>
    </w:lvl>
    <w:lvl w:ilvl="4">
      <w:start w:val="1"/>
      <w:numFmt w:val="bullet"/>
      <w:isLgl w:val="false"/>
      <w:suff w:val="tab"/>
      <w:lvlText w:val="o"/>
      <w:lvlJc w:val="left"/>
      <w:pPr>
        <w:ind w:left="3609" w:hanging="360"/>
      </w:pPr>
      <w:rPr>
        <w:rFonts w:hint="default" w:ascii="Courier New" w:hAnsi="Courier New" w:eastAsia="Courier New" w:cs="Courier New"/>
      </w:rPr>
    </w:lvl>
    <w:lvl w:ilvl="5">
      <w:start w:val="1"/>
      <w:numFmt w:val="bullet"/>
      <w:isLgl w:val="false"/>
      <w:suff w:val="tab"/>
      <w:lvlText w:val="§"/>
      <w:lvlJc w:val="left"/>
      <w:pPr>
        <w:ind w:left="4329" w:hanging="360"/>
      </w:pPr>
      <w:rPr>
        <w:rFonts w:hint="default" w:ascii="Wingdings" w:hAnsi="Wingdings" w:eastAsia="Wingdings" w:cs="Wingdings"/>
      </w:rPr>
    </w:lvl>
    <w:lvl w:ilvl="6">
      <w:start w:val="1"/>
      <w:numFmt w:val="bullet"/>
      <w:isLgl w:val="false"/>
      <w:suff w:val="tab"/>
      <w:lvlText w:val="·"/>
      <w:lvlJc w:val="left"/>
      <w:pPr>
        <w:ind w:left="5049" w:hanging="360"/>
      </w:pPr>
      <w:rPr>
        <w:rFonts w:hint="default" w:ascii="Symbol" w:hAnsi="Symbol" w:eastAsia="Symbol" w:cs="Symbol"/>
      </w:rPr>
    </w:lvl>
    <w:lvl w:ilvl="7">
      <w:start w:val="1"/>
      <w:numFmt w:val="bullet"/>
      <w:isLgl w:val="false"/>
      <w:suff w:val="tab"/>
      <w:lvlText w:val="o"/>
      <w:lvlJc w:val="left"/>
      <w:pPr>
        <w:ind w:left="5769" w:hanging="360"/>
      </w:pPr>
      <w:rPr>
        <w:rFonts w:hint="default" w:ascii="Courier New" w:hAnsi="Courier New" w:eastAsia="Courier New" w:cs="Courier New"/>
      </w:rPr>
    </w:lvl>
    <w:lvl w:ilvl="8">
      <w:start w:val="1"/>
      <w:numFmt w:val="bullet"/>
      <w:isLgl w:val="false"/>
      <w:suff w:val="tab"/>
      <w:lvlText w:val="§"/>
      <w:lvlJc w:val="left"/>
      <w:pPr>
        <w:ind w:left="6489"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第%1部分"/>
      <w:lvlJc w:val="center"/>
      <w:pPr>
        <w:ind w:left="0" w:firstLine="0"/>
      </w:pPr>
      <w:rPr>
        <w:i w:val="0"/>
        <w:iCs w:val="0"/>
        <w:caps w:val="0"/>
        <w:smallCaps w:val="0"/>
        <w:strike w:val="0"/>
        <w:vanish w:val="0"/>
        <w:spacing w:val="0"/>
        <w:position w:val="0"/>
        <w:u w:val="none"/>
        <w:vertAlign w:val="baseline"/>
      </w:rPr>
    </w:lvl>
    <w:lvl w:ilvl="1">
      <w:start w:val="1"/>
      <w:numFmt w:val="decimal"/>
      <w:pStyle w:val="987"/>
      <w:isLgl w:val="false"/>
      <w:suff w:val="space"/>
      <w:lvlText w:val="第%2章"/>
      <w:lvlJc w:val="left"/>
      <w:pPr>
        <w:ind w:left="3402" w:firstLine="0"/>
      </w:pPr>
      <w:rPr>
        <w:rFonts w:ascii="Arial" w:hAnsi="Arial" w:eastAsia="黑体"/>
        <w:b/>
        <w:i w:val="0"/>
        <w:sz w:val="36"/>
        <w:szCs w:val="36"/>
        <w:lang w:val="en-US"/>
      </w:rPr>
    </w:lvl>
    <w:lvl w:ilvl="2">
      <w:start w:val="1"/>
      <w:numFmt w:val="decimal"/>
      <w:pStyle w:val="969"/>
      <w:isLgl w:val="false"/>
      <w:suff w:val="space"/>
      <w:lvlText w:val="%2.%3"/>
      <w:lvlJc w:val="left"/>
      <w:pPr>
        <w:ind w:left="704" w:hanging="420"/>
      </w:pPr>
      <w:rPr>
        <w:rFonts w:ascii="Arial" w:hAnsi="Arial" w:eastAsia="黑体"/>
        <w:b/>
        <w:bCs w:val="0"/>
        <w:i w:val="0"/>
        <w:iCs w:val="0"/>
        <w:caps w:val="0"/>
        <w:smallCaps w:val="0"/>
        <w:strike w:val="0"/>
        <w:vanish w:val="0"/>
        <w:color w:val="000000"/>
        <w:spacing w:val="0"/>
        <w:position w:val="0"/>
        <w:sz w:val="32"/>
        <w:szCs w:val="32"/>
        <w:u w:val="none"/>
        <w:vertAlign w:val="baseline"/>
      </w:rPr>
    </w:lvl>
    <w:lvl w:ilvl="3">
      <w:start w:val="1"/>
      <w:numFmt w:val="decimal"/>
      <w:isLgl w:val="false"/>
      <w:suff w:val="space"/>
      <w:lvlText w:val="%2.%3.%4"/>
      <w:lvlJc w:val="left"/>
      <w:pPr>
        <w:ind w:left="2324" w:hanging="2040"/>
      </w:pPr>
      <w:rPr>
        <w:rFonts w:ascii="Times New Roman" w:hAnsi="Times New Roman" w:eastAsia="新宋体"/>
        <w:b/>
        <w:i w:val="0"/>
        <w:sz w:val="30"/>
        <w:szCs w:val="30"/>
      </w:rPr>
    </w:lvl>
    <w:lvl w:ilvl="4">
      <w:start w:val="1"/>
      <w:numFmt w:val="decimal"/>
      <w:isLgl w:val="false"/>
      <w:suff w:val="space"/>
      <w:lvlText w:val="%2.%3.%4.%5"/>
      <w:lvlJc w:val="left"/>
      <w:pPr>
        <w:ind w:left="1129" w:hanging="420"/>
      </w:pPr>
      <w:rPr>
        <w:rFonts w:ascii="Arial" w:hAnsi="Arial" w:eastAsia="黑体"/>
        <w:b/>
        <w:i w:val="0"/>
        <w:sz w:val="28"/>
        <w:szCs w:val="28"/>
      </w:rPr>
    </w:lvl>
    <w:lvl w:ilvl="5">
      <w:start w:val="1"/>
      <w:numFmt w:val="decimal"/>
      <w:isLgl w:val="false"/>
      <w:suff w:val="tab"/>
      <w:lvlText w:val="%6、"/>
      <w:lvlJc w:val="left"/>
      <w:pPr>
        <w:ind w:left="1200" w:hanging="420"/>
        <w:tabs>
          <w:tab w:val="left" w:pos="1200" w:leader="none"/>
        </w:tabs>
      </w:pPr>
      <w:rPr>
        <w:rFonts w:ascii="宋体" w:hAnsi="宋体" w:eastAsia="宋体"/>
        <w:i w:val="0"/>
        <w:iCs w:val="0"/>
        <w:caps w:val="0"/>
        <w:smallCaps w:val="0"/>
        <w:strike w:val="0"/>
        <w:vanish w:val="0"/>
        <w:spacing w:val="0"/>
        <w:position w:val="0"/>
        <w:u w:val="none"/>
        <w:vertAlign w:val="baseline"/>
      </w:rPr>
    </w:lvl>
    <w:lvl w:ilvl="6">
      <w:start w:val="1"/>
      <w:numFmt w:val="decimal"/>
      <w:isLgl w:val="false"/>
      <w:suff w:val="nothing"/>
      <w:lvlText w:val=""/>
      <w:lvlJc w:val="left"/>
      <w:pPr>
        <w:ind w:left="420" w:firstLine="0"/>
      </w:pPr>
    </w:lvl>
    <w:lvl w:ilvl="7">
      <w:start w:val="1"/>
      <w:numFmt w:val="decimal"/>
      <w:isLgl w:val="false"/>
      <w:suff w:val="nothing"/>
      <w:lvlText w:val=""/>
      <w:lvlJc w:val="left"/>
      <w:pPr>
        <w:ind w:left="420" w:firstLine="0"/>
      </w:pPr>
    </w:lvl>
    <w:lvl w:ilvl="8">
      <w:start w:val="1"/>
      <w:numFmt w:val="decimal"/>
      <w:isLgl w:val="false"/>
      <w:suff w:val="nothing"/>
      <w:lvlText w:val=""/>
      <w:lvlJc w:val="left"/>
      <w:pPr>
        <w:ind w:left="420" w:firstLine="0"/>
      </w:pPr>
    </w:lvl>
  </w:abstractNum>
  <w:abstractNum w:abstractNumId="5">
    <w:multiLevelType w:val="hybridMultilevel"/>
    <w:lvl w:ilvl="0">
      <w:start w:val="1"/>
      <w:numFmt w:val="decimal"/>
      <w:isLgl w:val="false"/>
      <w:suff w:val="tab"/>
      <w:lvlText w:val="（%1）"/>
      <w:lvlJc w:val="left"/>
      <w:pPr>
        <w:ind w:left="1060" w:hanging="529"/>
      </w:pPr>
      <w:rPr>
        <w:spacing w:val="-36"/>
        <w:sz w:val="32"/>
        <w:szCs w:val="19"/>
        <w:u w:val="single"/>
        <w:lang w:val="zh-CN" w:eastAsia="zh-CN" w:bidi="zh-CN"/>
      </w:rPr>
    </w:lvl>
    <w:lvl w:ilvl="1">
      <w:start w:val="1"/>
      <w:numFmt w:val="bullet"/>
      <w:isLgl w:val="false"/>
      <w:suff w:val="tab"/>
      <w:lvlText w:val="•"/>
      <w:lvlJc w:val="left"/>
      <w:pPr>
        <w:ind w:left="1900" w:hanging="529"/>
      </w:pPr>
      <w:rPr>
        <w:lang w:val="zh-CN" w:eastAsia="zh-CN" w:bidi="zh-CN"/>
      </w:rPr>
    </w:lvl>
    <w:lvl w:ilvl="2">
      <w:start w:val="1"/>
      <w:numFmt w:val="bullet"/>
      <w:isLgl w:val="false"/>
      <w:suff w:val="tab"/>
      <w:lvlText w:val="•"/>
      <w:lvlJc w:val="left"/>
      <w:pPr>
        <w:ind w:left="2741" w:hanging="529"/>
      </w:pPr>
      <w:rPr>
        <w:lang w:val="zh-CN" w:eastAsia="zh-CN" w:bidi="zh-CN"/>
      </w:rPr>
    </w:lvl>
    <w:lvl w:ilvl="3">
      <w:start w:val="1"/>
      <w:numFmt w:val="bullet"/>
      <w:isLgl w:val="false"/>
      <w:suff w:val="tab"/>
      <w:lvlText w:val="•"/>
      <w:lvlJc w:val="left"/>
      <w:pPr>
        <w:ind w:left="3581" w:hanging="529"/>
      </w:pPr>
      <w:rPr>
        <w:lang w:val="zh-CN" w:eastAsia="zh-CN" w:bidi="zh-CN"/>
      </w:rPr>
    </w:lvl>
    <w:lvl w:ilvl="4">
      <w:start w:val="1"/>
      <w:numFmt w:val="bullet"/>
      <w:isLgl w:val="false"/>
      <w:suff w:val="tab"/>
      <w:lvlText w:val="•"/>
      <w:lvlJc w:val="left"/>
      <w:pPr>
        <w:ind w:left="4422" w:hanging="529"/>
      </w:pPr>
      <w:rPr>
        <w:lang w:val="zh-CN" w:eastAsia="zh-CN" w:bidi="zh-CN"/>
      </w:rPr>
    </w:lvl>
    <w:lvl w:ilvl="5">
      <w:start w:val="1"/>
      <w:numFmt w:val="bullet"/>
      <w:isLgl w:val="false"/>
      <w:suff w:val="tab"/>
      <w:lvlText w:val="•"/>
      <w:lvlJc w:val="left"/>
      <w:pPr>
        <w:ind w:left="5263" w:hanging="529"/>
      </w:pPr>
      <w:rPr>
        <w:lang w:val="zh-CN" w:eastAsia="zh-CN" w:bidi="zh-CN"/>
      </w:rPr>
    </w:lvl>
    <w:lvl w:ilvl="6">
      <w:start w:val="1"/>
      <w:numFmt w:val="bullet"/>
      <w:isLgl w:val="false"/>
      <w:suff w:val="tab"/>
      <w:lvlText w:val="•"/>
      <w:lvlJc w:val="left"/>
      <w:pPr>
        <w:ind w:left="6103" w:hanging="529"/>
      </w:pPr>
      <w:rPr>
        <w:lang w:val="zh-CN" w:eastAsia="zh-CN" w:bidi="zh-CN"/>
      </w:rPr>
    </w:lvl>
    <w:lvl w:ilvl="7">
      <w:start w:val="1"/>
      <w:numFmt w:val="bullet"/>
      <w:isLgl w:val="false"/>
      <w:suff w:val="tab"/>
      <w:lvlText w:val="•"/>
      <w:lvlJc w:val="left"/>
      <w:pPr>
        <w:ind w:left="6944" w:hanging="529"/>
      </w:pPr>
      <w:rPr>
        <w:lang w:val="zh-CN" w:eastAsia="zh-CN" w:bidi="zh-CN"/>
      </w:rPr>
    </w:lvl>
    <w:lvl w:ilvl="8">
      <w:start w:val="1"/>
      <w:numFmt w:val="bullet"/>
      <w:isLgl w:val="false"/>
      <w:suff w:val="tab"/>
      <w:lvlText w:val="•"/>
      <w:lvlJc w:val="left"/>
      <w:pPr>
        <w:ind w:left="7785" w:hanging="529"/>
      </w:pPr>
      <w:rPr>
        <w:lang w:val="zh-CN" w:eastAsia="zh-CN" w:bidi="zh-CN"/>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11" w:hanging="529"/>
      </w:pPr>
      <w:rPr>
        <w:rFonts w:ascii="宋体" w:hAnsi="宋体" w:eastAsia="宋体"/>
        <w:spacing w:val="-36"/>
        <w:sz w:val="30"/>
        <w:szCs w:val="19"/>
        <w:lang w:val="zh-CN" w:eastAsia="zh-CN" w:bidi="zh-CN"/>
      </w:rPr>
    </w:lvl>
    <w:lvl w:ilvl="1">
      <w:start w:val="1"/>
      <w:numFmt w:val="bullet"/>
      <w:isLgl w:val="false"/>
      <w:suff w:val="tab"/>
      <w:lvlText w:val="•"/>
      <w:lvlJc w:val="left"/>
      <w:pPr>
        <w:ind w:left="1054" w:hanging="529"/>
      </w:pPr>
      <w:rPr>
        <w:lang w:val="zh-CN" w:eastAsia="zh-CN" w:bidi="zh-CN"/>
      </w:rPr>
    </w:lvl>
    <w:lvl w:ilvl="2">
      <w:start w:val="1"/>
      <w:numFmt w:val="bullet"/>
      <w:isLgl w:val="false"/>
      <w:suff w:val="tab"/>
      <w:lvlText w:val="•"/>
      <w:lvlJc w:val="left"/>
      <w:pPr>
        <w:ind w:left="1989" w:hanging="529"/>
      </w:pPr>
      <w:rPr>
        <w:lang w:val="zh-CN" w:eastAsia="zh-CN" w:bidi="zh-CN"/>
      </w:rPr>
    </w:lvl>
    <w:lvl w:ilvl="3">
      <w:start w:val="1"/>
      <w:numFmt w:val="bullet"/>
      <w:isLgl w:val="false"/>
      <w:suff w:val="tab"/>
      <w:lvlText w:val="•"/>
      <w:lvlJc w:val="left"/>
      <w:pPr>
        <w:ind w:left="2923" w:hanging="529"/>
      </w:pPr>
      <w:rPr>
        <w:lang w:val="zh-CN" w:eastAsia="zh-CN" w:bidi="zh-CN"/>
      </w:rPr>
    </w:lvl>
    <w:lvl w:ilvl="4">
      <w:start w:val="1"/>
      <w:numFmt w:val="bullet"/>
      <w:isLgl w:val="false"/>
      <w:suff w:val="tab"/>
      <w:lvlText w:val="•"/>
      <w:lvlJc w:val="left"/>
      <w:pPr>
        <w:ind w:left="3858" w:hanging="529"/>
      </w:pPr>
      <w:rPr>
        <w:lang w:val="zh-CN" w:eastAsia="zh-CN" w:bidi="zh-CN"/>
      </w:rPr>
    </w:lvl>
    <w:lvl w:ilvl="5">
      <w:start w:val="1"/>
      <w:numFmt w:val="bullet"/>
      <w:isLgl w:val="false"/>
      <w:suff w:val="tab"/>
      <w:lvlText w:val="•"/>
      <w:lvlJc w:val="left"/>
      <w:pPr>
        <w:ind w:left="4793" w:hanging="529"/>
      </w:pPr>
      <w:rPr>
        <w:lang w:val="zh-CN" w:eastAsia="zh-CN" w:bidi="zh-CN"/>
      </w:rPr>
    </w:lvl>
    <w:lvl w:ilvl="6">
      <w:start w:val="1"/>
      <w:numFmt w:val="bullet"/>
      <w:isLgl w:val="false"/>
      <w:suff w:val="tab"/>
      <w:lvlText w:val="•"/>
      <w:lvlJc w:val="left"/>
      <w:pPr>
        <w:ind w:left="5727" w:hanging="529"/>
      </w:pPr>
      <w:rPr>
        <w:lang w:val="zh-CN" w:eastAsia="zh-CN" w:bidi="zh-CN"/>
      </w:rPr>
    </w:lvl>
    <w:lvl w:ilvl="7">
      <w:start w:val="1"/>
      <w:numFmt w:val="bullet"/>
      <w:isLgl w:val="false"/>
      <w:suff w:val="tab"/>
      <w:lvlText w:val="•"/>
      <w:lvlJc w:val="left"/>
      <w:pPr>
        <w:ind w:left="6662" w:hanging="529"/>
      </w:pPr>
      <w:rPr>
        <w:lang w:val="zh-CN" w:eastAsia="zh-CN" w:bidi="zh-CN"/>
      </w:rPr>
    </w:lvl>
    <w:lvl w:ilvl="8">
      <w:start w:val="1"/>
      <w:numFmt w:val="bullet"/>
      <w:isLgl w:val="false"/>
      <w:suff w:val="tab"/>
      <w:lvlText w:val="•"/>
      <w:lvlJc w:val="left"/>
      <w:pPr>
        <w:ind w:left="7597" w:hanging="529"/>
      </w:pPr>
      <w:rPr>
        <w:lang w:val="zh-CN" w:eastAsia="zh-CN" w:bidi="zh-CN"/>
      </w:rPr>
    </w:lvl>
  </w:abstractNum>
  <w:abstractNum w:abstractNumId="8">
    <w:multiLevelType w:val="hybridMultilevel"/>
    <w:lvl w:ilvl="0">
      <w:start w:val="7"/>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9">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3"/>
  </w:num>
  <w:num w:numId="6">
    <w:abstractNumId w:val="5"/>
  </w:num>
  <w:num w:numId="7">
    <w:abstractNumId w:val="0"/>
  </w:num>
  <w:num w:numId="8">
    <w:abstractNumId w:val="7"/>
  </w:num>
  <w:num w:numId="9">
    <w:abstractNumId w:val="9"/>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uiPriority w:val="0"/>
    <w:qFormat/>
    <w:rPr>
      <w:rFonts w:hint="default" w:ascii="Times New Roman" w:hAnsi="Times New Roman" w:eastAsia="宋体" w:cs="Times New Roman"/>
    </w:rPr>
  </w:style>
  <w:style w:type="paragraph" w:styleId="735">
    <w:name w:val="Heading 1"/>
    <w:basedOn w:val="734"/>
    <w:next w:val="734"/>
    <w:uiPriority w:val="0"/>
    <w:qFormat/>
    <w:pPr>
      <w:jc w:val="center"/>
      <w:keepLines/>
      <w:keepNext/>
      <w:spacing w:line="360" w:lineRule="auto"/>
      <w:outlineLvl w:val="0"/>
    </w:pPr>
    <w:rPr>
      <w:b/>
      <w:sz w:val="28"/>
    </w:rPr>
  </w:style>
  <w:style w:type="paragraph" w:styleId="736">
    <w:name w:val="Heading 2"/>
    <w:basedOn w:val="734"/>
    <w:next w:val="734"/>
    <w:link w:val="816"/>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817"/>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818"/>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19"/>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820"/>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22"/>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23"/>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spacing w:after="57"/>
    </w:pPr>
  </w:style>
  <w:style w:type="paragraph" w:styleId="747">
    <w:name w:val="Normal Indent"/>
    <w:basedOn w:val="734"/>
    <w:next w:val="734"/>
    <w:uiPriority w:val="0"/>
    <w:qFormat/>
    <w:pPr>
      <w:ind w:firstLine="420"/>
    </w:pPr>
  </w:style>
  <w:style w:type="paragraph" w:styleId="748">
    <w:name w:val="Caption"/>
    <w:basedOn w:val="734"/>
    <w:next w:val="73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9">
    <w:name w:val="index 5"/>
    <w:basedOn w:val="734"/>
    <w:next w:val="734"/>
    <w:uiPriority w:val="0"/>
    <w:qFormat/>
    <w:pPr>
      <w:ind w:left="798"/>
    </w:pPr>
    <w:rPr>
      <w:rFonts w:ascii="Calibri" w:hAnsi="Calibri" w:eastAsia="Times New Roman"/>
      <w:sz w:val="24"/>
      <w:szCs w:val="24"/>
    </w:rPr>
  </w:style>
  <w:style w:type="paragraph" w:styleId="750">
    <w:name w:val="Body Text Indent"/>
    <w:basedOn w:val="734"/>
    <w:next w:val="751"/>
    <w:uiPriority w:val="0"/>
    <w:qFormat/>
    <w:pPr>
      <w:ind w:left="420"/>
      <w:spacing w:after="120"/>
    </w:pPr>
  </w:style>
  <w:style w:type="paragraph" w:styleId="751">
    <w:name w:val="envelope return"/>
    <w:basedOn w:val="734"/>
    <w:uiPriority w:val="0"/>
    <w:qFormat/>
    <w:pPr>
      <w:ind w:firstLine="200"/>
    </w:pPr>
    <w:rPr>
      <w:rFonts w:ascii="Arial" w:hAnsi="Arial" w:eastAsia="仿宋_GB2312" w:cs="Arial"/>
    </w:rPr>
  </w:style>
  <w:style w:type="paragraph" w:styleId="752">
    <w:name w:val="Block Text"/>
    <w:basedOn w:val="734"/>
    <w:uiPriority w:val="0"/>
    <w:qFormat/>
    <w:pPr>
      <w:ind w:left="256" w:right="6" w:firstLine="624"/>
    </w:pPr>
    <w:rPr>
      <w:rFonts w:eastAsia="仿宋_GB2312"/>
      <w:sz w:val="28"/>
    </w:rPr>
  </w:style>
  <w:style w:type="paragraph" w:styleId="753">
    <w:name w:val="toc 5"/>
    <w:basedOn w:val="734"/>
    <w:next w:val="734"/>
    <w:uiPriority w:val="39"/>
    <w:unhideWhenUsed/>
    <w:qFormat/>
    <w:pPr>
      <w:ind w:left="1134"/>
      <w:spacing w:after="57"/>
    </w:pPr>
  </w:style>
  <w:style w:type="paragraph" w:styleId="754">
    <w:name w:val="toc 3"/>
    <w:basedOn w:val="734"/>
    <w:next w:val="734"/>
    <w:uiPriority w:val="39"/>
    <w:unhideWhenUsed/>
    <w:qFormat/>
    <w:pPr>
      <w:ind w:left="567"/>
      <w:spacing w:after="57"/>
    </w:pPr>
  </w:style>
  <w:style w:type="paragraph" w:styleId="755">
    <w:name w:val="toc 8"/>
    <w:basedOn w:val="734"/>
    <w:next w:val="734"/>
    <w:uiPriority w:val="39"/>
    <w:unhideWhenUsed/>
    <w:qFormat/>
    <w:pPr>
      <w:ind w:left="1984"/>
      <w:spacing w:after="57"/>
    </w:pPr>
  </w:style>
  <w:style w:type="paragraph" w:styleId="756">
    <w:name w:val="Date"/>
    <w:basedOn w:val="734"/>
    <w:next w:val="734"/>
    <w:link w:val="997"/>
    <w:uiPriority w:val="99"/>
    <w:semiHidden/>
    <w:unhideWhenUsed/>
    <w:qFormat/>
    <w:pPr>
      <w:ind w:left="100"/>
    </w:pPr>
  </w:style>
  <w:style w:type="paragraph" w:styleId="757">
    <w:name w:val="endnote text"/>
    <w:basedOn w:val="734"/>
    <w:link w:val="961"/>
    <w:uiPriority w:val="99"/>
    <w:semiHidden/>
    <w:unhideWhenUsed/>
    <w:qFormat/>
  </w:style>
  <w:style w:type="paragraph" w:styleId="758">
    <w:name w:val="Balloon Text"/>
    <w:basedOn w:val="734"/>
    <w:link w:val="998"/>
    <w:uiPriority w:val="99"/>
    <w:semiHidden/>
    <w:unhideWhenUsed/>
    <w:qFormat/>
    <w:rPr>
      <w:sz w:val="18"/>
      <w:szCs w:val="18"/>
    </w:rPr>
  </w:style>
  <w:style w:type="paragraph" w:styleId="759">
    <w:name w:val="Footer"/>
    <w:basedOn w:val="734"/>
    <w:link w:val="834"/>
    <w:uiPriority w:val="99"/>
    <w:unhideWhenUsed/>
    <w:qFormat/>
    <w:pPr>
      <w:tabs>
        <w:tab w:val="center" w:pos="7143" w:leader="none"/>
        <w:tab w:val="right" w:pos="14287" w:leader="none"/>
      </w:tabs>
    </w:pPr>
  </w:style>
  <w:style w:type="paragraph" w:styleId="760">
    <w:name w:val="Header"/>
    <w:basedOn w:val="734"/>
    <w:link w:val="832"/>
    <w:uiPriority w:val="99"/>
    <w:unhideWhenUsed/>
    <w:qFormat/>
    <w:pPr>
      <w:tabs>
        <w:tab w:val="center" w:pos="7143" w:leader="none"/>
        <w:tab w:val="right" w:pos="14287" w:leader="none"/>
      </w:tabs>
    </w:pPr>
  </w:style>
  <w:style w:type="paragraph" w:styleId="761">
    <w:name w:val="toc 1"/>
    <w:basedOn w:val="734"/>
    <w:next w:val="734"/>
    <w:uiPriority w:val="39"/>
    <w:unhideWhenUsed/>
    <w:qFormat/>
    <w:pPr>
      <w:spacing w:after="57"/>
    </w:pPr>
  </w:style>
  <w:style w:type="paragraph" w:styleId="762">
    <w:name w:val="toc 4"/>
    <w:basedOn w:val="734"/>
    <w:next w:val="734"/>
    <w:uiPriority w:val="39"/>
    <w:unhideWhenUsed/>
    <w:qFormat/>
    <w:pPr>
      <w:ind w:left="850"/>
      <w:spacing w:after="57"/>
    </w:pPr>
  </w:style>
  <w:style w:type="paragraph" w:styleId="763">
    <w:name w:val="index heading"/>
    <w:basedOn w:val="734"/>
    <w:next w:val="764"/>
    <w:uiPriority w:val="0"/>
    <w:qFormat/>
    <w:pPr>
      <w:tabs>
        <w:tab w:val="left" w:pos="560" w:leader="none"/>
      </w:tabs>
    </w:pPr>
    <w:rPr>
      <w:rFonts w:ascii="Arial" w:hAnsi="Arial" w:cs="Arial"/>
      <w:b/>
      <w:bCs/>
    </w:rPr>
  </w:style>
  <w:style w:type="paragraph" w:styleId="764">
    <w:name w:val="index 1"/>
    <w:basedOn w:val="734"/>
    <w:next w:val="734"/>
    <w:uiPriority w:val="0"/>
    <w:qFormat/>
    <w:pPr>
      <w:jc w:val="center"/>
      <w:tabs>
        <w:tab w:val="left" w:pos="560" w:leader="none"/>
      </w:tabs>
    </w:pPr>
    <w:rPr>
      <w:rFonts w:ascii="宋体" w:hAnsi="宋体"/>
    </w:rPr>
  </w:style>
  <w:style w:type="paragraph" w:styleId="765">
    <w:name w:val="Subtitle"/>
    <w:basedOn w:val="734"/>
    <w:next w:val="734"/>
    <w:link w:val="827"/>
    <w:uiPriority w:val="11"/>
    <w:qFormat/>
    <w:pPr>
      <w:spacing w:before="200" w:after="200"/>
    </w:pPr>
    <w:rPr>
      <w:sz w:val="24"/>
      <w:szCs w:val="24"/>
    </w:rPr>
  </w:style>
  <w:style w:type="paragraph" w:styleId="766">
    <w:name w:val="footnote text"/>
    <w:basedOn w:val="734"/>
    <w:next w:val="749"/>
    <w:link w:val="960"/>
    <w:uiPriority w:val="99"/>
    <w:semiHidden/>
    <w:unhideWhenUsed/>
    <w:qFormat/>
    <w:pPr>
      <w:spacing w:after="40"/>
    </w:pPr>
    <w:rPr>
      <w:sz w:val="18"/>
    </w:rPr>
  </w:style>
  <w:style w:type="paragraph" w:styleId="767">
    <w:name w:val="toc 6"/>
    <w:basedOn w:val="734"/>
    <w:next w:val="734"/>
    <w:uiPriority w:val="39"/>
    <w:unhideWhenUsed/>
    <w:qFormat/>
    <w:pPr>
      <w:ind w:left="1417"/>
      <w:spacing w:after="57"/>
    </w:pPr>
  </w:style>
  <w:style w:type="paragraph" w:styleId="768">
    <w:name w:val="table of figures"/>
    <w:basedOn w:val="734"/>
    <w:next w:val="734"/>
    <w:uiPriority w:val="99"/>
    <w:unhideWhenUsed/>
    <w:qFormat/>
  </w:style>
  <w:style w:type="paragraph" w:styleId="769">
    <w:name w:val="toc 2"/>
    <w:basedOn w:val="734"/>
    <w:next w:val="734"/>
    <w:uiPriority w:val="39"/>
    <w:unhideWhenUsed/>
    <w:qFormat/>
    <w:pPr>
      <w:ind w:left="283"/>
      <w:spacing w:after="57"/>
    </w:pPr>
  </w:style>
  <w:style w:type="paragraph" w:styleId="770">
    <w:name w:val="toc 9"/>
    <w:basedOn w:val="734"/>
    <w:next w:val="734"/>
    <w:uiPriority w:val="39"/>
    <w:unhideWhenUsed/>
    <w:qFormat/>
    <w:pPr>
      <w:ind w:left="2268"/>
      <w:spacing w:after="57"/>
    </w:pPr>
  </w:style>
  <w:style w:type="paragraph" w:styleId="771">
    <w:name w:val="Normal (Web)"/>
    <w:basedOn w:val="734"/>
    <w:uiPriority w:val="99"/>
    <w:semiHidden/>
    <w:unhideWhenUsed/>
    <w:qFormat/>
    <w:pPr>
      <w:spacing w:beforeAutospacing="1" w:afterAutospacing="1"/>
    </w:pPr>
    <w:rPr>
      <w:sz w:val="24"/>
      <w:szCs w:val="24"/>
    </w:rPr>
  </w:style>
  <w:style w:type="paragraph" w:styleId="772">
    <w:name w:val="Title"/>
    <w:basedOn w:val="734"/>
    <w:next w:val="734"/>
    <w:link w:val="826"/>
    <w:uiPriority w:val="10"/>
    <w:qFormat/>
    <w:pPr>
      <w:contextualSpacing/>
      <w:spacing w:before="300" w:after="200"/>
    </w:pPr>
    <w:rPr>
      <w:sz w:val="48"/>
      <w:szCs w:val="48"/>
    </w:rPr>
  </w:style>
  <w:style w:type="table" w:styleId="773">
    <w:name w:val="Table Grid"/>
    <w:basedOn w:val="7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endnote reference"/>
    <w:basedOn w:val="744"/>
    <w:uiPriority w:val="99"/>
    <w:semiHidden/>
    <w:unhideWhenUsed/>
    <w:qFormat/>
    <w:rPr>
      <w:vertAlign w:val="superscript"/>
    </w:rPr>
  </w:style>
  <w:style w:type="character" w:styleId="775">
    <w:name w:val="Hyperlink"/>
    <w:uiPriority w:val="99"/>
    <w:unhideWhenUsed/>
    <w:qFormat/>
    <w:rPr>
      <w:color w:val="0563c1" w:themeColor="hyperlink"/>
      <w:u w:val="single"/>
      <w14:textFill>
        <w14:solidFill>
          <w14:schemeClr w14:val="hlink"/>
        </w14:solidFill>
      </w14:textFill>
    </w:rPr>
  </w:style>
  <w:style w:type="character" w:styleId="776">
    <w:name w:val="footnote reference"/>
    <w:basedOn w:val="744"/>
    <w:uiPriority w:val="99"/>
    <w:unhideWhenUsed/>
    <w:qFormat/>
    <w:rPr>
      <w:vertAlign w:val="superscript"/>
    </w:rPr>
  </w:style>
  <w:style w:type="paragraph" w:styleId="777" w:customStyle="1">
    <w:name w:val="Default"/>
    <w:uiPriority w:val="0"/>
    <w:qFormat/>
    <w:pPr>
      <w:widowControl w:val="off"/>
    </w:pPr>
    <w:rPr>
      <w:rFonts w:hint="default" w:ascii="Times New Roman" w:hAnsi="Times New Roman" w:eastAsia="宋体" w:cs="Times New Roman"/>
      <w:sz w:val="24"/>
    </w:rPr>
  </w:style>
  <w:style w:type="table" w:styleId="778"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4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788"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795"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Heading"/>
    <w:uiPriority w:val="39"/>
    <w:unhideWhenUsed/>
    <w:qFormat/>
    <w:rPr>
      <w:rFonts w:hint="default" w:ascii="Times New Roman" w:hAnsi="Times New Roman" w:eastAsia="宋体" w:cs="Times New Roman"/>
    </w:rPr>
  </w:style>
  <w:style w:type="character" w:styleId="798" w:customStyle="1">
    <w:name w:val="Heading 2 Char"/>
    <w:basedOn w:val="744"/>
    <w:uiPriority w:val="9"/>
    <w:qFormat/>
    <w:rPr>
      <w:rFonts w:ascii="Arial" w:hAnsi="Arial" w:eastAsia="Arial" w:cs="Arial"/>
      <w:sz w:val="34"/>
    </w:rPr>
  </w:style>
  <w:style w:type="character" w:styleId="799" w:customStyle="1">
    <w:name w:val="Heading 3 Char"/>
    <w:basedOn w:val="744"/>
    <w:uiPriority w:val="9"/>
    <w:qFormat/>
    <w:rPr>
      <w:rFonts w:ascii="Arial" w:hAnsi="Arial" w:eastAsia="Arial" w:cs="Arial"/>
      <w:sz w:val="30"/>
      <w:szCs w:val="30"/>
    </w:rPr>
  </w:style>
  <w:style w:type="character" w:styleId="800" w:customStyle="1">
    <w:name w:val="Heading 4 Char"/>
    <w:basedOn w:val="744"/>
    <w:uiPriority w:val="9"/>
    <w:qFormat/>
    <w:rPr>
      <w:rFonts w:ascii="Arial" w:hAnsi="Arial" w:eastAsia="Arial" w:cs="Arial"/>
      <w:b/>
      <w:bCs/>
      <w:sz w:val="26"/>
      <w:szCs w:val="26"/>
    </w:rPr>
  </w:style>
  <w:style w:type="character" w:styleId="801" w:customStyle="1">
    <w:name w:val="Heading 5 Char"/>
    <w:basedOn w:val="744"/>
    <w:uiPriority w:val="9"/>
    <w:qFormat/>
    <w:rPr>
      <w:rFonts w:ascii="Arial" w:hAnsi="Arial" w:eastAsia="Arial" w:cs="Arial"/>
      <w:b/>
      <w:bCs/>
      <w:sz w:val="24"/>
      <w:szCs w:val="24"/>
    </w:rPr>
  </w:style>
  <w:style w:type="character" w:styleId="802" w:customStyle="1">
    <w:name w:val="Heading 6 Char"/>
    <w:basedOn w:val="744"/>
    <w:uiPriority w:val="9"/>
    <w:qFormat/>
    <w:rPr>
      <w:rFonts w:ascii="Arial" w:hAnsi="Arial" w:eastAsia="Arial" w:cs="Arial"/>
      <w:b/>
      <w:bCs/>
      <w:sz w:val="22"/>
      <w:szCs w:val="22"/>
    </w:rPr>
  </w:style>
  <w:style w:type="character" w:styleId="803" w:customStyle="1">
    <w:name w:val="Heading 7 Char"/>
    <w:basedOn w:val="744"/>
    <w:uiPriority w:val="9"/>
    <w:qFormat/>
    <w:rPr>
      <w:rFonts w:ascii="Arial" w:hAnsi="Arial" w:eastAsia="Arial" w:cs="Arial"/>
      <w:b/>
      <w:bCs/>
      <w:i/>
      <w:iCs/>
      <w:sz w:val="22"/>
      <w:szCs w:val="22"/>
    </w:rPr>
  </w:style>
  <w:style w:type="character" w:styleId="804" w:customStyle="1">
    <w:name w:val="Heading 8 Char"/>
    <w:basedOn w:val="744"/>
    <w:uiPriority w:val="9"/>
    <w:qFormat/>
    <w:rPr>
      <w:rFonts w:ascii="Arial" w:hAnsi="Arial" w:eastAsia="Arial" w:cs="Arial"/>
      <w:i/>
      <w:iCs/>
      <w:sz w:val="22"/>
      <w:szCs w:val="22"/>
    </w:rPr>
  </w:style>
  <w:style w:type="character" w:styleId="805" w:customStyle="1">
    <w:name w:val="Heading 9 Char"/>
    <w:basedOn w:val="744"/>
    <w:uiPriority w:val="9"/>
    <w:qFormat/>
    <w:rPr>
      <w:rFonts w:ascii="Arial" w:hAnsi="Arial" w:eastAsia="Arial" w:cs="Arial"/>
      <w:i/>
      <w:iCs/>
      <w:sz w:val="21"/>
      <w:szCs w:val="21"/>
    </w:rPr>
  </w:style>
  <w:style w:type="character" w:styleId="806" w:customStyle="1">
    <w:name w:val="Title Char"/>
    <w:basedOn w:val="744"/>
    <w:uiPriority w:val="10"/>
    <w:qFormat/>
    <w:rPr>
      <w:sz w:val="48"/>
      <w:szCs w:val="48"/>
    </w:rPr>
  </w:style>
  <w:style w:type="character" w:styleId="807" w:customStyle="1">
    <w:name w:val="Subtitle Char"/>
    <w:basedOn w:val="744"/>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Header Char"/>
    <w:basedOn w:val="744"/>
    <w:uiPriority w:val="99"/>
    <w:qFormat/>
  </w:style>
  <w:style w:type="character" w:styleId="811" w:customStyle="1">
    <w:name w:val="Caption Char"/>
    <w:uiPriority w:val="99"/>
    <w:qFormat/>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标题1"/>
    <w:uiPriority w:val="39"/>
    <w:unhideWhenUsed/>
    <w:qFormat/>
    <w:rPr>
      <w:rFonts w:hint="default" w:ascii="Times New Roman" w:hAnsi="Times New Roman" w:eastAsia="宋体" w:cs="Times New Roman"/>
    </w:rPr>
  </w:style>
  <w:style w:type="character" w:styleId="815" w:customStyle="1">
    <w:name w:val="Heading 1 Char"/>
    <w:basedOn w:val="744"/>
    <w:uiPriority w:val="9"/>
    <w:qFormat/>
    <w:rPr>
      <w:rFonts w:ascii="Arial" w:hAnsi="Arial" w:eastAsia="Arial" w:cs="Arial"/>
      <w:sz w:val="40"/>
      <w:szCs w:val="40"/>
    </w:rPr>
  </w:style>
  <w:style w:type="character" w:styleId="816" w:customStyle="1">
    <w:name w:val="标题 2 字符"/>
    <w:basedOn w:val="744"/>
    <w:link w:val="736"/>
    <w:uiPriority w:val="9"/>
    <w:qFormat/>
    <w:rPr>
      <w:rFonts w:ascii="Arial" w:hAnsi="Arial" w:eastAsia="Arial" w:cs="Arial"/>
      <w:sz w:val="34"/>
    </w:rPr>
  </w:style>
  <w:style w:type="character" w:styleId="817" w:customStyle="1">
    <w:name w:val="标题 3 字符"/>
    <w:basedOn w:val="744"/>
    <w:link w:val="737"/>
    <w:uiPriority w:val="9"/>
    <w:qFormat/>
    <w:rPr>
      <w:rFonts w:ascii="Arial" w:hAnsi="Arial" w:eastAsia="Arial" w:cs="Arial"/>
      <w:sz w:val="30"/>
      <w:szCs w:val="30"/>
    </w:rPr>
  </w:style>
  <w:style w:type="character" w:styleId="818" w:customStyle="1">
    <w:name w:val="标题 4 字符"/>
    <w:basedOn w:val="744"/>
    <w:link w:val="738"/>
    <w:uiPriority w:val="9"/>
    <w:qFormat/>
    <w:rPr>
      <w:rFonts w:ascii="Arial" w:hAnsi="Arial" w:eastAsia="Arial" w:cs="Arial"/>
      <w:b/>
      <w:bCs/>
      <w:sz w:val="26"/>
      <w:szCs w:val="26"/>
    </w:rPr>
  </w:style>
  <w:style w:type="character" w:styleId="819" w:customStyle="1">
    <w:name w:val="标题 5 字符"/>
    <w:basedOn w:val="744"/>
    <w:link w:val="739"/>
    <w:uiPriority w:val="9"/>
    <w:qFormat/>
    <w:rPr>
      <w:rFonts w:ascii="Arial" w:hAnsi="Arial" w:eastAsia="Arial" w:cs="Arial"/>
      <w:b/>
      <w:bCs/>
      <w:sz w:val="24"/>
      <w:szCs w:val="24"/>
    </w:rPr>
  </w:style>
  <w:style w:type="character" w:styleId="820" w:customStyle="1">
    <w:name w:val="标题 6 字符"/>
    <w:basedOn w:val="744"/>
    <w:link w:val="740"/>
    <w:uiPriority w:val="9"/>
    <w:qFormat/>
    <w:rPr>
      <w:rFonts w:ascii="Arial" w:hAnsi="Arial" w:eastAsia="Arial" w:cs="Arial"/>
      <w:b/>
      <w:bCs/>
      <w:sz w:val="22"/>
      <w:szCs w:val="22"/>
    </w:rPr>
  </w:style>
  <w:style w:type="character" w:styleId="821" w:customStyle="1">
    <w:name w:val="标题 7 字符"/>
    <w:basedOn w:val="744"/>
    <w:link w:val="741"/>
    <w:uiPriority w:val="9"/>
    <w:qFormat/>
    <w:rPr>
      <w:rFonts w:ascii="Arial" w:hAnsi="Arial" w:eastAsia="Arial" w:cs="Arial"/>
      <w:b/>
      <w:bCs/>
      <w:i/>
      <w:iCs/>
      <w:sz w:val="22"/>
      <w:szCs w:val="22"/>
    </w:rPr>
  </w:style>
  <w:style w:type="character" w:styleId="822" w:customStyle="1">
    <w:name w:val="标题 8 字符"/>
    <w:basedOn w:val="744"/>
    <w:link w:val="742"/>
    <w:uiPriority w:val="9"/>
    <w:qFormat/>
    <w:rPr>
      <w:rFonts w:ascii="Arial" w:hAnsi="Arial" w:eastAsia="Arial" w:cs="Arial"/>
      <w:i/>
      <w:iCs/>
      <w:sz w:val="22"/>
      <w:szCs w:val="22"/>
    </w:rPr>
  </w:style>
  <w:style w:type="character" w:styleId="823" w:customStyle="1">
    <w:name w:val="标题 9 字符"/>
    <w:basedOn w:val="744"/>
    <w:link w:val="743"/>
    <w:uiPriority w:val="9"/>
    <w:qFormat/>
    <w:rPr>
      <w:rFonts w:ascii="Arial" w:hAnsi="Arial" w:eastAsia="Arial" w:cs="Arial"/>
      <w:i/>
      <w:iCs/>
      <w:sz w:val="21"/>
      <w:szCs w:val="21"/>
    </w:rPr>
  </w:style>
  <w:style w:type="paragraph" w:styleId="824">
    <w:name w:val="List Paragraph"/>
    <w:basedOn w:val="734"/>
    <w:uiPriority w:val="34"/>
    <w:qFormat/>
    <w:pPr>
      <w:contextualSpacing/>
      <w:ind w:left="720"/>
    </w:pPr>
  </w:style>
  <w:style w:type="paragraph" w:styleId="825">
    <w:name w:val="No Spacing"/>
    <w:uiPriority w:val="1"/>
    <w:qFormat/>
    <w:rPr>
      <w:rFonts w:hint="default" w:ascii="Times New Roman" w:hAnsi="Times New Roman" w:eastAsia="宋体" w:cs="Times New Roman"/>
    </w:rPr>
  </w:style>
  <w:style w:type="character" w:styleId="826" w:customStyle="1">
    <w:name w:val="标题 字符"/>
    <w:basedOn w:val="744"/>
    <w:link w:val="772"/>
    <w:uiPriority w:val="10"/>
    <w:qFormat/>
    <w:rPr>
      <w:sz w:val="48"/>
      <w:szCs w:val="48"/>
    </w:rPr>
  </w:style>
  <w:style w:type="character" w:styleId="827" w:customStyle="1">
    <w:name w:val="副标题 字符"/>
    <w:basedOn w:val="744"/>
    <w:link w:val="765"/>
    <w:uiPriority w:val="11"/>
    <w:qFormat/>
    <w:rPr>
      <w:sz w:val="24"/>
      <w:szCs w:val="24"/>
    </w:rPr>
  </w:style>
  <w:style w:type="paragraph" w:styleId="828">
    <w:name w:val="Quote"/>
    <w:basedOn w:val="734"/>
    <w:next w:val="734"/>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34"/>
    <w:next w:val="734"/>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页眉 字符"/>
    <w:basedOn w:val="744"/>
    <w:link w:val="760"/>
    <w:uiPriority w:val="99"/>
    <w:qFormat/>
  </w:style>
  <w:style w:type="character" w:styleId="833" w:customStyle="1">
    <w:name w:val="Footer Char"/>
    <w:basedOn w:val="744"/>
    <w:uiPriority w:val="99"/>
    <w:qFormat/>
  </w:style>
  <w:style w:type="character" w:styleId="834" w:customStyle="1">
    <w:name w:val="页脚 字符"/>
    <w:link w:val="759"/>
    <w:uiPriority w:val="99"/>
    <w:qFormat/>
  </w:style>
  <w:style w:type="table" w:styleId="835" w:customStyle="1">
    <w:name w:val="Table Grid Light"/>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6"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4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4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4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4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4" w:customStyle="1">
    <w:name w:val="Grid Table 4 - Accent 2"/>
    <w:basedOn w:val="7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5" w:customStyle="1">
    <w:name w:val="Grid Table 4 - Accent 3"/>
    <w:basedOn w:val="7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7" w:customStyle="1">
    <w:name w:val="Grid Table 4 - Accent 5"/>
    <w:basedOn w:val="74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网格表 5 深色1"/>
    <w:basedOn w:val="74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70" w:customStyle="1">
    <w:name w:val="Grid Table 5 Dark- Accent 1"/>
    <w:basedOn w:val="74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871" w:customStyle="1">
    <w:name w:val="Grid Table 5 Dark - Accent 2"/>
    <w:basedOn w:val="74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872" w:customStyle="1">
    <w:name w:val="Grid Table 5 Dark - Accent 3"/>
    <w:basedOn w:val="74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873" w:customStyle="1">
    <w:name w:val="Grid Table 5 Dark- Accent 4"/>
    <w:basedOn w:val="74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874" w:customStyle="1">
    <w:name w:val="Grid Table 5 Dark - Accent 5"/>
    <w:basedOn w:val="74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875" w:customStyle="1">
    <w:name w:val="Grid Table 5 Dark - Accent 6"/>
    <w:basedOn w:val="74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876"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4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0" w:customStyle="1">
    <w:name w:val="Grid Table 6 Colorful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4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2" w:customStyle="1">
    <w:name w:val="Grid Table 6 Colorful - Accent 6"/>
    <w:basedOn w:val="7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3"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4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4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0" w:customStyle="1">
    <w:name w:val="清单表 1 浅色1"/>
    <w:basedOn w:val="7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4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4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7"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4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9" w:customStyle="1">
    <w:name w:val="List Table 2 - Accent 2"/>
    <w:basedOn w:val="7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0" w:customStyle="1">
    <w:name w:val="List Table 2 - Accent 3"/>
    <w:basedOn w:val="7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1" w:customStyle="1">
    <w:name w:val="List Table 2 - Accent 4"/>
    <w:basedOn w:val="7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2" w:customStyle="1">
    <w:name w:val="List Table 2 - Accent 5"/>
    <w:basedOn w:val="74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3" w:customStyle="1">
    <w:name w:val="List Table 2 - Accent 6"/>
    <w:basedOn w:val="7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4"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4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3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4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1"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4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3" w:customStyle="1">
    <w:name w:val="List Table 4 - Accent 2"/>
    <w:basedOn w:val="7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4" w:customStyle="1">
    <w:name w:val="List Table 4 - Accent 3"/>
    <w:basedOn w:val="7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5" w:customStyle="1">
    <w:name w:val="List Table 4 - Accent 4"/>
    <w:basedOn w:val="7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6" w:customStyle="1">
    <w:name w:val="List Table 4 - Accent 5"/>
    <w:basedOn w:val="74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7" w:customStyle="1">
    <w:name w:val="List Table 4 - Accent 6"/>
    <w:basedOn w:val="7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8"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9" w:customStyle="1">
    <w:name w:val="List Table 5 Dark - Accent 1"/>
    <w:basedOn w:val="74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0" w:customStyle="1">
    <w:name w:val="List Table 5 Dark - Accent 2"/>
    <w:basedOn w:val="7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1" w:customStyle="1">
    <w:name w:val="List Table 5 Dark - Accent 3"/>
    <w:basedOn w:val="7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2" w:customStyle="1">
    <w:name w:val="List Table 5 Dark - Accent 4"/>
    <w:basedOn w:val="7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3" w:customStyle="1">
    <w:name w:val="List Table 5 Dark - Accent 5"/>
    <w:basedOn w:val="74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4" w:customStyle="1">
    <w:name w:val="List Table 5 Dark - Accent 6"/>
    <w:basedOn w:val="7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25" w:customStyle="1">
    <w:name w:val="清单表 6 彩色1"/>
    <w:basedOn w:val="7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4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7" w:customStyle="1">
    <w:name w:val="List Table 6 Colorful - Accent 2"/>
    <w:basedOn w:val="7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8" w:customStyle="1">
    <w:name w:val="List Table 6 Colorful - Accent 3"/>
    <w:basedOn w:val="7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9" w:customStyle="1">
    <w:name w:val="List Table 6 Colorful - Accent 4"/>
    <w:basedOn w:val="7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0" w:customStyle="1">
    <w:name w:val="List Table 6 Colorful - Accent 5"/>
    <w:basedOn w:val="74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1" w:customStyle="1">
    <w:name w:val="List Table 6 Colorful - Accent 6"/>
    <w:basedOn w:val="7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2" w:customStyle="1">
    <w:name w:val="清单表 7 彩色1"/>
    <w:basedOn w:val="7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4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4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1" w:customStyle="1">
    <w:name w:val="Lined - Accent 2"/>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Lined - Accent 3"/>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Lined - Accent 4"/>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Lined - Accent 5"/>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Lined - Accent 6"/>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amp; Lined - Accent"/>
    <w:basedOn w:val="7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4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8" w:customStyle="1">
    <w:name w:val="Bordered &amp; Lined - Accent 2"/>
    <w:basedOn w:val="7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9" w:customStyle="1">
    <w:name w:val="Bordered &amp; Lined - Accent 3"/>
    <w:basedOn w:val="7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0" w:customStyle="1">
    <w:name w:val="Bordered &amp; Lined - Accent 4"/>
    <w:basedOn w:val="7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1" w:customStyle="1">
    <w:name w:val="Bordered &amp; Lined - Accent 5"/>
    <w:basedOn w:val="74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2" w:customStyle="1">
    <w:name w:val="Bordered &amp; Lined - Accent 6"/>
    <w:basedOn w:val="7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3" w:customStyle="1">
    <w:name w:val="Bordered"/>
    <w:basedOn w:val="7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5" w:customStyle="1">
    <w:name w:val="Bordered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6" w:customStyle="1">
    <w:name w:val="Bordered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7" w:customStyle="1">
    <w:name w:val="Bordered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8" w:customStyle="1">
    <w:name w:val="Bordered - Accent 5"/>
    <w:basedOn w:val="7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9" w:customStyle="1">
    <w:name w:val="Bordered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0" w:customStyle="1">
    <w:name w:val="脚注文本 字符"/>
    <w:link w:val="766"/>
    <w:uiPriority w:val="99"/>
    <w:qFormat/>
    <w:rPr>
      <w:sz w:val="18"/>
    </w:rPr>
  </w:style>
  <w:style w:type="character" w:styleId="961" w:customStyle="1">
    <w:name w:val="尾注文本 字符"/>
    <w:link w:val="757"/>
    <w:uiPriority w:val="99"/>
    <w:qFormat/>
    <w:rPr>
      <w:sz w:val="20"/>
    </w:rPr>
  </w:style>
  <w:style w:type="paragraph" w:styleId="962" w:customStyle="1">
    <w:name w:val="TOC 标题11"/>
    <w:uiPriority w:val="39"/>
    <w:unhideWhenUsed/>
    <w:qFormat/>
    <w:rPr>
      <w:rFonts w:hint="default" w:ascii="Times New Roman" w:hAnsi="Times New Roman" w:eastAsia="宋体" w:cs="Times New Roman"/>
    </w:rPr>
  </w:style>
  <w:style w:type="paragraph" w:styleId="963" w:customStyle="1">
    <w:name w:val="段"/>
    <w:basedOn w:val="964"/>
    <w:next w:val="964"/>
    <w:uiPriority w:val="0"/>
    <w:qFormat/>
    <w:pPr>
      <w:ind w:firstLine="200"/>
      <w:widowControl/>
    </w:pPr>
    <w:rPr>
      <w:rFonts w:ascii="宋体"/>
      <w:sz w:val="20"/>
      <w:szCs w:val="20"/>
    </w:rPr>
  </w:style>
  <w:style w:type="paragraph" w:styleId="964" w:customStyle="1">
    <w:name w:val="正文1"/>
    <w:basedOn w:val="965"/>
    <w:next w:val="969"/>
    <w:uiPriority w:val="0"/>
    <w:qFormat/>
  </w:style>
  <w:style w:type="paragraph" w:styleId="965" w:customStyle="1">
    <w:name w:val="正文11"/>
    <w:next w:val="966"/>
    <w:link w:val="996"/>
    <w:uiPriority w:val="0"/>
    <w:qFormat/>
    <w:pPr>
      <w:jc w:val="both"/>
      <w:widowControl w:val="off"/>
    </w:pPr>
    <w:rPr>
      <w:rFonts w:hint="default" w:ascii="Times New Roman" w:hAnsi="Times New Roman" w:eastAsia="宋体" w:cs="Times New Roman"/>
      <w:sz w:val="21"/>
      <w:szCs w:val="24"/>
    </w:rPr>
  </w:style>
  <w:style w:type="paragraph" w:styleId="966" w:customStyle="1">
    <w:name w:val="文本块1"/>
    <w:basedOn w:val="967"/>
    <w:next w:val="968"/>
    <w:uiPriority w:val="0"/>
    <w:qFormat/>
    <w:pPr>
      <w:ind w:left="256" w:right="6" w:firstLine="624"/>
    </w:pPr>
    <w:rPr>
      <w:rFonts w:eastAsia="仿宋"/>
      <w:sz w:val="28"/>
      <w:szCs w:val="20"/>
    </w:rPr>
  </w:style>
  <w:style w:type="paragraph" w:styleId="967" w:customStyle="1">
    <w:name w:val="正文111"/>
    <w:next w:val="734"/>
    <w:link w:val="988"/>
    <w:uiPriority w:val="0"/>
    <w:qFormat/>
    <w:pPr>
      <w:jc w:val="both"/>
      <w:widowControl w:val="off"/>
    </w:pPr>
    <w:rPr>
      <w:rFonts w:hint="default" w:ascii="Times New Roman" w:hAnsi="Times New Roman" w:eastAsia="宋体" w:cs="Times New Roman"/>
      <w:sz w:val="21"/>
      <w:szCs w:val="24"/>
    </w:rPr>
  </w:style>
  <w:style w:type="paragraph" w:styleId="968" w:customStyle="1">
    <w:name w:val="标题 41"/>
    <w:basedOn w:val="734"/>
    <w:next w:val="965"/>
    <w:uiPriority w:val="0"/>
    <w:qFormat/>
    <w:pPr>
      <w:keepLines/>
      <w:keepNext/>
      <w:spacing w:before="280" w:after="290" w:line="376" w:lineRule="auto"/>
      <w:outlineLvl w:val="3"/>
    </w:pPr>
    <w:rPr>
      <w:rFonts w:ascii="Arial" w:hAnsi="Arial" w:eastAsia="黑体"/>
      <w:b/>
      <w:bCs/>
      <w:sz w:val="28"/>
      <w:szCs w:val="28"/>
    </w:rPr>
  </w:style>
  <w:style w:type="paragraph" w:styleId="969" w:customStyle="1">
    <w:name w:val="标题 21"/>
    <w:basedOn w:val="967"/>
    <w:next w:val="965"/>
    <w:uiPriority w:val="0"/>
    <w:qFormat/>
    <w:pPr>
      <w:numPr>
        <w:ilvl w:val="2"/>
        <w:numId w:val="1"/>
      </w:numPr>
      <w:keepLines/>
      <w:keepNext/>
      <w:spacing w:before="260" w:after="260" w:line="415" w:lineRule="auto"/>
      <w:outlineLvl w:val="1"/>
    </w:pPr>
    <w:rPr>
      <w:rFonts w:ascii="Arial" w:hAnsi="Arial" w:eastAsia="黑体"/>
      <w:b/>
      <w:bCs/>
      <w:sz w:val="32"/>
      <w:szCs w:val="32"/>
    </w:rPr>
  </w:style>
  <w:style w:type="paragraph" w:styleId="970" w:customStyle="1">
    <w:name w:val="正文文本缩进1"/>
    <w:basedOn w:val="965"/>
    <w:next w:val="971"/>
    <w:uiPriority w:val="0"/>
    <w:qFormat/>
    <w:pPr>
      <w:ind w:left="420"/>
      <w:spacing w:after="120"/>
    </w:pPr>
  </w:style>
  <w:style w:type="paragraph" w:styleId="971" w:customStyle="1">
    <w:name w:val="寄信人地址1"/>
    <w:basedOn w:val="967"/>
    <w:uiPriority w:val="0"/>
    <w:qFormat/>
    <w:rPr>
      <w:rFonts w:ascii="Arial" w:hAnsi="Arial"/>
    </w:rPr>
  </w:style>
  <w:style w:type="paragraph" w:styleId="972" w:customStyle="1">
    <w:name w:val="正文文本1"/>
    <w:basedOn w:val="967"/>
    <w:next w:val="973"/>
    <w:uiPriority w:val="0"/>
    <w:qFormat/>
    <w:pPr>
      <w:spacing w:after="120"/>
    </w:pPr>
  </w:style>
  <w:style w:type="paragraph" w:styleId="973" w:customStyle="1">
    <w:name w:val="一级条标题"/>
    <w:basedOn w:val="974"/>
    <w:next w:val="9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96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975" w:customStyle="1">
    <w:name w:val="正文13"/>
    <w:next w:val="976"/>
    <w:uiPriority w:val="0"/>
    <w:qFormat/>
    <w:pPr>
      <w:jc w:val="both"/>
      <w:widowControl w:val="off"/>
    </w:pPr>
    <w:rPr>
      <w:rFonts w:hint="default" w:ascii="Times New Roman" w:hAnsi="Times New Roman" w:eastAsia="宋体" w:cs="Times New Roman"/>
      <w:sz w:val="21"/>
      <w:szCs w:val="24"/>
    </w:rPr>
  </w:style>
  <w:style w:type="paragraph" w:styleId="976" w:customStyle="1">
    <w:name w:val="正文首行缩进1"/>
    <w:basedOn w:val="972"/>
    <w:next w:val="977"/>
    <w:uiPriority w:val="0"/>
    <w:qFormat/>
    <w:pPr>
      <w:ind w:firstLine="420"/>
    </w:pPr>
  </w:style>
  <w:style w:type="paragraph" w:styleId="977" w:customStyle="1">
    <w:name w:val="正文首行缩进 211"/>
    <w:basedOn w:val="978"/>
    <w:next w:val="979"/>
    <w:uiPriority w:val="0"/>
    <w:qFormat/>
    <w:pPr>
      <w:ind w:firstLine="420"/>
    </w:pPr>
    <w:rPr>
      <w:sz w:val="24"/>
    </w:rPr>
  </w:style>
  <w:style w:type="paragraph" w:styleId="978" w:customStyle="1">
    <w:name w:val="正文文本缩进11"/>
    <w:basedOn w:val="979"/>
    <w:next w:val="979"/>
    <w:uiPriority w:val="0"/>
    <w:qFormat/>
    <w:pPr>
      <w:ind w:firstLine="538"/>
    </w:pPr>
    <w:rPr>
      <w:sz w:val="28"/>
    </w:rPr>
  </w:style>
  <w:style w:type="paragraph" w:styleId="979" w:customStyle="1">
    <w:name w:val="正文112"/>
    <w:next w:val="980"/>
    <w:uiPriority w:val="0"/>
    <w:qFormat/>
    <w:pPr>
      <w:jc w:val="both"/>
      <w:widowControl w:val="off"/>
    </w:pPr>
    <w:rPr>
      <w:rFonts w:hint="default" w:ascii="Times New Roman" w:hAnsi="Times New Roman" w:eastAsia="宋体" w:cs="Times New Roman"/>
      <w:sz w:val="21"/>
      <w:szCs w:val="24"/>
    </w:rPr>
  </w:style>
  <w:style w:type="paragraph" w:styleId="980" w:customStyle="1">
    <w:name w:val="正文首行缩进11"/>
    <w:basedOn w:val="972"/>
    <w:next w:val="981"/>
    <w:uiPriority w:val="0"/>
    <w:qFormat/>
    <w:pPr>
      <w:ind w:firstLine="200"/>
      <w:spacing w:line="360" w:lineRule="auto"/>
    </w:pPr>
    <w:rPr>
      <w:rFonts w:ascii="仿宋_GB2312" w:hAnsi="Calibri" w:eastAsia="仿宋_GB2312"/>
      <w:sz w:val="30"/>
      <w:szCs w:val="30"/>
    </w:rPr>
  </w:style>
  <w:style w:type="paragraph" w:styleId="981" w:customStyle="1">
    <w:name w:val="正文首行缩进 22"/>
    <w:basedOn w:val="982"/>
    <w:next w:val="979"/>
    <w:uiPriority w:val="0"/>
    <w:qFormat/>
    <w:pPr>
      <w:ind w:left="0" w:firstLine="420"/>
      <w:spacing w:after="0" w:line="360" w:lineRule="auto"/>
    </w:pPr>
    <w:rPr>
      <w:rFonts w:ascii="宋体" w:hAnsi="宋体"/>
      <w:sz w:val="20"/>
      <w:szCs w:val="20"/>
    </w:rPr>
  </w:style>
  <w:style w:type="paragraph" w:styleId="982" w:customStyle="1">
    <w:name w:val="正文文本缩进2"/>
    <w:basedOn w:val="979"/>
    <w:uiPriority w:val="0"/>
    <w:qFormat/>
    <w:pPr>
      <w:ind w:left="420"/>
      <w:spacing w:after="120"/>
    </w:pPr>
  </w:style>
  <w:style w:type="paragraph" w:styleId="983" w:customStyle="1">
    <w:name w:val="目录 11"/>
    <w:basedOn w:val="967"/>
    <w:next w:val="967"/>
    <w:uiPriority w:val="0"/>
    <w:qFormat/>
  </w:style>
  <w:style w:type="paragraph" w:styleId="984" w:customStyle="1">
    <w:name w:val="普通(网站)1"/>
    <w:basedOn w:val="967"/>
    <w:uiPriority w:val="0"/>
    <w:qFormat/>
    <w:pPr>
      <w:jc w:val="left"/>
      <w:spacing w:before="100" w:beforeAutospacing="1" w:after="100" w:afterAutospacing="1"/>
      <w:widowControl/>
    </w:pPr>
    <w:rPr>
      <w:rFonts w:ascii="宋体" w:hAnsi="宋体"/>
      <w:sz w:val="24"/>
    </w:rPr>
  </w:style>
  <w:style w:type="paragraph" w:styleId="985" w:customStyle="1">
    <w:name w:val="文档结构图1"/>
    <w:basedOn w:val="965"/>
    <w:uiPriority w:val="0"/>
    <w:qFormat/>
    <w:rPr>
      <w:rFonts w:ascii="宋体"/>
      <w:sz w:val="18"/>
      <w:szCs w:val="18"/>
    </w:rPr>
  </w:style>
  <w:style w:type="paragraph" w:styleId="986" w:customStyle="1">
    <w:name w:val="正文文本缩进 31"/>
    <w:basedOn w:val="967"/>
    <w:uiPriority w:val="0"/>
    <w:qFormat/>
    <w:pPr>
      <w:ind w:left="645" w:firstLine="645"/>
    </w:pPr>
    <w:rPr>
      <w:rFonts w:ascii="Arial" w:hAnsi="Arial" w:eastAsia="仿宋_GB2312"/>
      <w:color w:val="ffff00"/>
      <w:sz w:val="32"/>
      <w:szCs w:val="32"/>
    </w:rPr>
  </w:style>
  <w:style w:type="paragraph" w:styleId="987" w:customStyle="1">
    <w:name w:val="标题 11"/>
    <w:basedOn w:val="967"/>
    <w:next w:val="967"/>
    <w:uiPriority w:val="0"/>
    <w:qFormat/>
    <w:pPr>
      <w:numPr>
        <w:ilvl w:val="1"/>
        <w:numId w:val="1"/>
      </w:numPr>
      <w:jc w:val="center"/>
      <w:keepLines/>
      <w:keepNext/>
      <w:spacing w:before="340" w:after="330" w:line="578" w:lineRule="auto"/>
      <w:outlineLvl w:val="0"/>
    </w:pPr>
    <w:rPr>
      <w:rFonts w:eastAsia="黑体"/>
      <w:b/>
      <w:bCs/>
      <w:sz w:val="36"/>
      <w:szCs w:val="36"/>
    </w:rPr>
  </w:style>
  <w:style w:type="character" w:styleId="988" w:customStyle="1">
    <w:name w:val="页码1"/>
    <w:link w:val="967"/>
    <w:uiPriority w:val="0"/>
    <w:qFormat/>
    <w:rPr>
      <w:rFonts w:hint="default" w:ascii="Times New Roman" w:hAnsi="Times New Roman" w:eastAsia="宋体" w:cs="Times New Roman"/>
      <w:sz w:val="21"/>
      <w:szCs w:val="24"/>
      <w:lang w:val="en-US" w:eastAsia="zh-CN" w:bidi="ar-SA"/>
    </w:rPr>
  </w:style>
  <w:style w:type="paragraph" w:styleId="989" w:customStyle="1">
    <w:name w:val="正文文本11"/>
    <w:basedOn w:val="967"/>
    <w:next w:val="963"/>
    <w:uiPriority w:val="0"/>
    <w:qFormat/>
    <w:pPr>
      <w:spacing w:after="120"/>
    </w:pPr>
  </w:style>
  <w:style w:type="paragraph" w:styleId="990" w:customStyle="1">
    <w:name w:val="正文首行缩进 21"/>
    <w:basedOn w:val="970"/>
    <w:uiPriority w:val="0"/>
    <w:qFormat/>
    <w:pPr>
      <w:ind w:left="0" w:firstLine="420"/>
      <w:spacing w:after="0" w:line="360" w:lineRule="auto"/>
    </w:pPr>
    <w:rPr>
      <w:rFonts w:ascii="宋体" w:hAnsi="宋体"/>
      <w:sz w:val="20"/>
      <w:szCs w:val="20"/>
    </w:rPr>
  </w:style>
  <w:style w:type="paragraph" w:styleId="991" w:customStyle="1">
    <w:name w:val="页脚1"/>
    <w:basedOn w:val="967"/>
    <w:uiPriority w:val="0"/>
    <w:qFormat/>
    <w:pPr>
      <w:jc w:val="left"/>
      <w:tabs>
        <w:tab w:val="center" w:pos="4153" w:leader="none"/>
        <w:tab w:val="right" w:pos="8306" w:leader="none"/>
      </w:tabs>
    </w:pPr>
    <w:rPr>
      <w:sz w:val="18"/>
      <w:szCs w:val="20"/>
    </w:rPr>
  </w:style>
  <w:style w:type="paragraph" w:styleId="992" w:customStyle="1">
    <w:name w:val="脚注文本1"/>
    <w:basedOn w:val="967"/>
    <w:next w:val="993"/>
    <w:uiPriority w:val="0"/>
    <w:qFormat/>
    <w:pPr>
      <w:jc w:val="left"/>
    </w:pPr>
    <w:rPr>
      <w:rFonts w:ascii="宋体" w:eastAsia="Times New Roman"/>
      <w:sz w:val="18"/>
      <w:szCs w:val="18"/>
    </w:rPr>
  </w:style>
  <w:style w:type="paragraph" w:styleId="993" w:customStyle="1">
    <w:name w:val="索引 51"/>
    <w:basedOn w:val="967"/>
    <w:next w:val="967"/>
    <w:uiPriority w:val="0"/>
    <w:qFormat/>
    <w:pPr>
      <w:ind w:left="798"/>
      <w:jc w:val="left"/>
    </w:pPr>
    <w:rPr>
      <w:rFonts w:ascii="Calibri" w:hAnsi="Calibri"/>
    </w:rPr>
  </w:style>
  <w:style w:type="paragraph" w:styleId="994" w:customStyle="1">
    <w:name w:val="正文文本 21"/>
    <w:basedOn w:val="967"/>
    <w:uiPriority w:val="0"/>
    <w:semiHidden/>
    <w:qFormat/>
    <w:pPr>
      <w:spacing w:after="120" w:line="480" w:lineRule="auto"/>
    </w:pPr>
  </w:style>
  <w:style w:type="paragraph" w:styleId="995" w:customStyle="1">
    <w:name w:val="页眉1"/>
    <w:basedOn w:val="967"/>
    <w:uiPriority w:val="0"/>
    <w:qFormat/>
    <w:pPr>
      <w:jc w:val="center"/>
      <w:tabs>
        <w:tab w:val="center" w:pos="4153" w:leader="none"/>
        <w:tab w:val="right" w:pos="8306" w:leader="none"/>
      </w:tabs>
      <w:pBdr>
        <w:bottom w:val="single" w:color="000000" w:sz="6" w:space="1"/>
      </w:pBdr>
    </w:pPr>
    <w:rPr>
      <w:sz w:val="18"/>
      <w:szCs w:val="20"/>
    </w:rPr>
  </w:style>
  <w:style w:type="character" w:styleId="996" w:customStyle="1">
    <w:name w:val="NormalCharacter"/>
    <w:link w:val="965"/>
    <w:uiPriority w:val="0"/>
    <w:qFormat/>
    <w:rPr>
      <w:rFonts w:hint="default" w:ascii="Times New Roman" w:hAnsi="Times New Roman" w:eastAsia="宋体" w:cs="Times New Roman"/>
      <w:sz w:val="21"/>
      <w:szCs w:val="24"/>
      <w:lang w:val="en-US" w:eastAsia="zh-CN" w:bidi="ar-SA"/>
    </w:rPr>
  </w:style>
  <w:style w:type="character" w:styleId="997" w:customStyle="1">
    <w:name w:val="日期 字符"/>
    <w:basedOn w:val="744"/>
    <w:link w:val="756"/>
    <w:uiPriority w:val="99"/>
    <w:semiHidden/>
    <w:qFormat/>
  </w:style>
  <w:style w:type="character" w:styleId="998" w:customStyle="1">
    <w:name w:val="批注框文本 字符"/>
    <w:basedOn w:val="744"/>
    <w:link w:val="758"/>
    <w:uiPriority w:val="99"/>
    <w:semiHidden/>
    <w:qFormat/>
    <w:rPr>
      <w:sz w:val="18"/>
      <w:szCs w:val="18"/>
    </w:rPr>
  </w:style>
  <w:style w:type="paragraph" w:styleId="999" w:customStyle="1">
    <w:name w:val="Table Text"/>
    <w:basedOn w:val="734"/>
    <w:uiPriority w:val="0"/>
    <w:semiHidden/>
    <w:qFormat/>
    <w:rPr>
      <w:rFonts w:ascii="宋体" w:hAnsi="宋体" w:eastAsia="宋体" w:cs="宋体"/>
      <w:sz w:val="32"/>
      <w:szCs w:val="32"/>
      <w:lang w:val="en-US" w:eastAsia="en-US" w:bidi="ar-SA"/>
    </w:rPr>
  </w:style>
  <w:style w:type="table" w:styleId="1000" w:customStyle="1">
    <w:name w:val="Table Normal"/>
    <w:uiPriority w:val="0"/>
    <w:semiHidden/>
    <w:unhideWhenUsed/>
    <w:qFormat/>
    <w:tblPr>
      <w:tblCellMar>
        <w:left w:w="0" w:type="dxa"/>
        <w:top w:w="0" w:type="dxa"/>
        <w:right w:w="0" w:type="dxa"/>
        <w:bottom w:w="0" w:type="dxa"/>
      </w:tblCellMar>
    </w:tblPr>
  </w:style>
  <w:style w:type="numbering" w:styleId="15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宋雅</dc:creator>
  <cp:lastModifiedBy>中诚运玛咨询股份有限公司</cp:lastModifiedBy>
  <cp:revision>26</cp:revision>
  <dcterms:created xsi:type="dcterms:W3CDTF">2024-11-12T05:55:00Z</dcterms:created>
  <dcterms:modified xsi:type="dcterms:W3CDTF">2025-06-11T07:52:55Z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B70682D5E5194F218C868ECF7403D081_13</vt:lpwstr>
  </property>
  <property fmtid="{D5CDD505-2E9C-101B-9397-08002B2CF9AE}" pid="4" name="KSOTemplateDocerSaveRecord">
    <vt:lpwstr>eyJoZGlkIjoiMWIxODljNTcxZjU1MjUwZmRmYjgyNDJjY2EzZjNjOGMiLCJ1c2VySWQiOiIxMzg0NTY4NjY4In0=</vt:lpwstr>
  </property>
</Properties>
</file>