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20823272"/>
      <w:r/>
      <w:bookmarkStart w:id="2" w:name="_Toc16938516"/>
      <w:r/>
      <w:bookmarkStart w:id="3" w:name="_Toc513029200"/>
      <w:r/>
      <w:bookmarkStart w:id="4" w:name="_Toc523127445"/>
      <w:r/>
      <w:bookmarkStart w:id="5" w:name="_Toc479757206"/>
      <w:r/>
      <w:r/>
    </w:p>
    <w:p>
      <w:pPr>
        <w:pStyle w:val="987"/>
        <w:rPr>
          <w:rFonts w:hint="eastAsia"/>
          <w:color w:val="000000"/>
          <w:highlight w:val="none"/>
        </w:rPr>
      </w:pPr>
      <w:r>
        <w:rPr>
          <w:rFonts w:hint="eastAsia"/>
          <w:color w:val="000000"/>
          <w:highlight w:val="none"/>
        </w:rPr>
      </w:r>
      <w:r/>
    </w:p>
    <w:p>
      <w:pPr>
        <w:jc w:val="center"/>
        <w:spacing w:before="120" w:after="120" w:line="360" w:lineRule="auto"/>
        <w:rPr>
          <w:rFonts w:hint="eastAsia" w:ascii="方正小标宋简体" w:hAnsi="方正小标宋简体" w:eastAsia="方正小标宋简体" w:cs="方正小标宋简体"/>
          <w:b/>
          <w:bCs/>
          <w:color w:val="000000"/>
          <w:sz w:val="84"/>
          <w:szCs w:val="24"/>
          <w:highlight w:val="none"/>
        </w:rPr>
      </w:pPr>
      <w:r>
        <w:rPr>
          <w:rFonts w:hint="eastAsia" w:ascii="方正小标宋简体" w:hAnsi="方正小标宋简体" w:eastAsia="方正小标宋简体" w:cs="方正小标宋简体"/>
          <w:b/>
          <w:bCs/>
          <w:color w:val="000000"/>
          <w:sz w:val="84"/>
          <w:szCs w:val="24"/>
          <w:highlight w:val="none"/>
        </w:rPr>
        <w:t xml:space="preserve">招　标　文　件</w:t>
      </w:r>
      <w:r/>
    </w:p>
    <w:p>
      <w:pPr>
        <w:ind w:firstLine="1506"/>
        <w:rPr>
          <w:b/>
          <w:color w:val="000000"/>
          <w:sz w:val="30"/>
          <w:szCs w:val="30"/>
          <w:highlight w:val="none"/>
          <w:u w:val="single"/>
        </w:rPr>
      </w:pPr>
      <w:r>
        <w:rPr>
          <w:rFonts w:hint="eastAsia"/>
          <w:b/>
          <w:color w:val="000000"/>
          <w:sz w:val="30"/>
          <w:szCs w:val="30"/>
          <w:highlight w:val="none"/>
        </w:rPr>
        <w:t xml:space="preserve">项目名称：仙林地区市政道路与市政设施维护服务</w:t>
      </w:r>
      <w:r>
        <w:rPr>
          <w:rFonts w:hint="eastAsia"/>
          <w:b/>
          <w:color w:val="000000"/>
          <w:sz w:val="32"/>
          <w:szCs w:val="32"/>
          <w:highlight w:val="none"/>
        </w:rPr>
        <w:t xml:space="preserve"> </w:t>
      </w:r>
      <w:r/>
    </w:p>
    <w:p>
      <w:pPr>
        <w:ind w:firstLine="1506"/>
        <w:rPr>
          <w:rFonts w:hint="eastAsia"/>
          <w:b/>
          <w:color w:val="000000"/>
          <w:sz w:val="30"/>
          <w:szCs w:val="30"/>
          <w:highlight w:val="none"/>
        </w:rPr>
      </w:pPr>
      <w:r>
        <w:rPr>
          <w:rFonts w:hint="eastAsia"/>
          <w:b/>
          <w:color w:val="000000"/>
          <w:sz w:val="30"/>
          <w:szCs w:val="30"/>
          <w:highlight w:val="none"/>
        </w:rPr>
        <w:t xml:space="preserve">项目编号：JSZC-320100-JZCG-G2024-0300</w:t>
      </w:r>
      <w:r>
        <w:rPr>
          <w:rFonts w:hint="eastAsia"/>
          <w:b/>
          <w:color w:val="000000"/>
          <w:sz w:val="32"/>
          <w:szCs w:val="32"/>
          <w:highlight w:val="none"/>
        </w:rPr>
        <w:t xml:space="preserve"> </w:t>
      </w:r>
      <w:r>
        <w:rPr>
          <w:rFonts w:hint="eastAsia"/>
          <w:b/>
          <w:color w:val="000000"/>
          <w:sz w:val="30"/>
          <w:szCs w:val="30"/>
          <w:highlight w:val="none"/>
        </w:rPr>
        <w:t xml:space="preserve">             </w:t>
      </w:r>
      <w:r/>
    </w:p>
    <w:p>
      <w:pPr>
        <w:jc w:val="center"/>
        <w:rPr>
          <w:rFonts w:hint="eastAsia"/>
          <w:b/>
          <w:color w:val="000000"/>
          <w:sz w:val="30"/>
          <w:szCs w:val="30"/>
          <w:highlight w:val="none"/>
        </w:rPr>
      </w:pPr>
      <w:r>
        <w:rPr>
          <w:rFonts w:hint="eastAsia"/>
          <w:b/>
          <w:color w:val="000000"/>
          <w:sz w:val="30"/>
          <w:szCs w:val="30"/>
          <w:highlight w:val="none"/>
        </w:rPr>
        <w:t xml:space="preserve">（服务类项目，</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8"/>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p>
    <w:p>
      <w:pPr>
        <w:jc w:val="center"/>
        <w:rPr>
          <w:rFonts w:hint="eastAsia"/>
          <w:b/>
          <w:color w:val="000000"/>
          <w:sz w:val="32"/>
          <w:szCs w:val="32"/>
          <w:highlight w:val="none"/>
        </w:rPr>
      </w:pPr>
      <w:r>
        <w:rPr>
          <w:rFonts w:hint="eastAsia"/>
          <w:b/>
          <w:color w:val="000000"/>
          <w:sz w:val="32"/>
          <w:szCs w:val="32"/>
          <w:highlight w:val="none"/>
        </w:rPr>
        <w:t xml:space="preserve">2025年1月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15"/>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numPr>
          <w:ilvl w:val="0"/>
          <w:numId w:val="4"/>
        </w:numPr>
        <w:jc w:val="center"/>
        <w:spacing w:line="960" w:lineRule="auto"/>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投标邀请…………………………………… 3</w:t>
      </w:r>
      <w:r/>
    </w:p>
    <w:p>
      <w:pPr>
        <w:numPr>
          <w:ilvl w:val="0"/>
          <w:numId w:val="4"/>
        </w:numPr>
        <w:jc w:val="center"/>
        <w:spacing w:line="960" w:lineRule="auto"/>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投标人须知…………………………………5</w:t>
      </w:r>
      <w:r/>
    </w:p>
    <w:p>
      <w:pPr>
        <w:numPr>
          <w:ilvl w:val="0"/>
          <w:numId w:val="4"/>
        </w:numPr>
        <w:jc w:val="center"/>
        <w:spacing w:line="960" w:lineRule="auto"/>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合同文本……………………………………14</w:t>
      </w:r>
      <w:r/>
    </w:p>
    <w:p>
      <w:pPr>
        <w:numPr>
          <w:ilvl w:val="0"/>
          <w:numId w:val="4"/>
        </w:numPr>
        <w:jc w:val="center"/>
        <w:spacing w:line="960" w:lineRule="auto"/>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采购需求……………………………………30</w:t>
      </w:r>
      <w:r/>
    </w:p>
    <w:p>
      <w:pPr>
        <w:numPr>
          <w:ilvl w:val="0"/>
          <w:numId w:val="4"/>
        </w:numPr>
        <w:jc w:val="center"/>
        <w:spacing w:line="960" w:lineRule="auto"/>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评标方法与评标标准………………………66</w:t>
      </w:r>
      <w:r/>
    </w:p>
    <w:p>
      <w:pPr>
        <w:numPr>
          <w:ilvl w:val="0"/>
          <w:numId w:val="4"/>
        </w:numPr>
        <w:jc w:val="center"/>
        <w:spacing w:line="960" w:lineRule="auto"/>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投标文件格式………………………………69</w:t>
      </w:r>
      <w:r/>
    </w:p>
    <w:p>
      <w:pPr>
        <w:rPr>
          <w:rFonts w:hint="eastAsia"/>
          <w:color w:val="000000"/>
          <w:highlight w:val="none"/>
        </w:rPr>
      </w:pPr>
      <w:r>
        <w:rPr>
          <w:rFonts w:hint="eastAsia"/>
          <w:color w:val="000000"/>
          <w:highlight w:val="none"/>
        </w:rPr>
      </w:r>
      <w:r/>
    </w:p>
    <w:p>
      <w:pPr>
        <w:jc w:val="center"/>
        <w:rPr>
          <w:rFonts w:hint="eastAsia" w:ascii="方正小标宋简体" w:hAnsi="方正小标宋简体" w:eastAsia="方正小标宋简体" w:cs="方正小标宋简体"/>
          <w:color w:val="000000"/>
          <w:sz w:val="36"/>
          <w:szCs w:val="36"/>
          <w:highlight w:val="none"/>
        </w:rPr>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ind w:firstLine="480"/>
        <w:spacing w:line="264" w:lineRule="auto"/>
        <w:rPr>
          <w:rFonts w:hint="eastAsia" w:ascii="宋体" w:hAnsi="宋体"/>
          <w:color w:val="000000"/>
          <w:sz w:val="24"/>
          <w:szCs w:val="24"/>
          <w:highlight w:val="none"/>
        </w:rPr>
      </w:pPr>
      <w:r/>
      <w:bookmarkStart w:id="6" w:name="_Toc35393790"/>
      <w:r/>
      <w:bookmarkStart w:id="7" w:name="_Toc28359002"/>
      <w:r/>
      <w:bookmarkStart w:id="8" w:name="_Toc35393621"/>
      <w:r/>
      <w:bookmarkStart w:id="9" w:name="_Toc28359079"/>
      <w:r/>
      <w:bookmarkStart w:id="10" w:name="_Toc38985263"/>
      <w:r/>
      <w:bookmarkStart w:id="11" w:name="_Hlk24379207"/>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受南京市仙林大学城管理委员会委托，南京市公共资源交易中心（以下简称“交易中心”）就仙林地区市政道路与市政设施维护服务进行公开招标采购，欢迎符合条件的供应商投标。</w:t>
      </w:r>
      <w:r/>
    </w:p>
    <w:p>
      <w:pPr>
        <w:pStyle w:val="887"/>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1.项目编号：JSZC-320100-JZCG-G2024-0300</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2.项目名称：仙林地区市政道路与市政设施维护服务</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3.预算金额：2400万元（其中：包1：1200万元；包2：1200万元）</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4.最高限价：本项目设定最高限价为2371.744238万元（其中包1：1185.872119万元；包2：1185.872119万元）。</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沥青路面坑洞、拥包、车辙、沉降、裂缝修补；路牙倒歪调整铺砌、破损更换；人行道坑洞、沉降、凸起、面砖松动和开裂等的修补；检查井破损、沉降更换维修；雨水篦的维修和清理；路基局部硬化处理；新增雨水、污水管道；绿化护栏网的维护和增补；混凝土挡墙；弱电管道增补维修；道闸；进、出口控制器；客户工作站；岗亭、站台灯箱；公交站台；停车场；市政设施的零星维护等。（详细内容见本招标文件第四章）  </w:t>
      </w:r>
      <w:r/>
    </w:p>
    <w:p>
      <w:pPr>
        <w:ind w:firstLine="480"/>
        <w:spacing w:line="264" w:lineRule="auto"/>
        <w:rPr>
          <w:rFonts w:hint="eastAsia" w:ascii="宋体" w:hAnsi="宋体" w:cs="Courier New"/>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s="Courier New"/>
          <w:color w:val="000000"/>
          <w:sz w:val="24"/>
          <w:szCs w:val="24"/>
          <w:highlight w:val="none"/>
        </w:rPr>
        <w:t xml:space="preserve">自合同签订之日起二年。</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7.本项目不接受联合体投标。</w:t>
      </w:r>
      <w:r/>
    </w:p>
    <w:p>
      <w:pPr>
        <w:pStyle w:val="887"/>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28359080"/>
      <w:r/>
      <w:bookmarkStart w:id="14" w:name="_Toc35393791"/>
      <w:r/>
      <w:bookmarkStart w:id="15" w:name="_Toc38985264"/>
      <w:r/>
      <w:bookmarkStart w:id="16" w:name="_Toc28359003"/>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olor w:val="000000"/>
          <w:sz w:val="24"/>
          <w:szCs w:val="24"/>
          <w:highlight w:val="none"/>
        </w:rPr>
      </w:pPr>
      <w:r/>
      <w:bookmarkStart w:id="17" w:name="_Toc35393792"/>
      <w:r/>
      <w:bookmarkStart w:id="18" w:name="_Toc38985265"/>
      <w:r/>
      <w:bookmarkStart w:id="19" w:name="_Toc28359081"/>
      <w:r/>
      <w:bookmarkStart w:id="20" w:name="_Toc28359004"/>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spacing w:line="264"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p>
    <w:p>
      <w:pPr>
        <w:ind w:firstLine="480"/>
        <w:spacing w:line="264"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2.落实政府采购政策需满足的资格要求：</w:t>
      </w:r>
      <w:r>
        <w:rPr>
          <w:rFonts w:hint="eastAsia" w:ascii="宋体" w:hAnsi="宋体"/>
          <w:color w:val="000000"/>
          <w:sz w:val="24"/>
          <w:szCs w:val="24"/>
          <w:highlight w:val="none"/>
        </w:rPr>
        <w:t xml:space="preserve">无</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建筑业</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p>
    <w:p>
      <w:pPr>
        <w:ind w:firstLine="480"/>
        <w:spacing w:line="264"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投标人具有有效期内市政公用工程施工总承包三级及以上资质证书（提供证书）；</w:t>
      </w:r>
      <w:r/>
    </w:p>
    <w:p>
      <w:pPr>
        <w:ind w:firstLine="480"/>
        <w:spacing w:line="264"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2.投标人具有有效期内安全生产许可证（提供证书）。</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887"/>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spacing w:line="264" w:lineRule="auto"/>
        <w:rPr>
          <w:rFonts w:ascii="宋体" w:hAnsi="宋体" w:cs="宋体"/>
          <w:color w:val="000000"/>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1.时间：自招标文件公告发布之日起。</w:t>
      </w:r>
      <w:r/>
    </w:p>
    <w:p>
      <w:pPr>
        <w:ind w:firstLine="480"/>
        <w:spacing w:line="264"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887"/>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spacing w:line="264" w:lineRule="auto"/>
        <w:rPr>
          <w:rFonts w:hint="eastAsia" w:ascii="宋体" w:hAnsi="宋体"/>
          <w:bCs/>
          <w:color w:val="000000"/>
          <w:sz w:val="24"/>
          <w:szCs w:val="24"/>
          <w:highlight w:val="none"/>
          <w:u w:val="single"/>
        </w:rPr>
      </w:pPr>
      <w:r/>
      <w:bookmarkStart w:id="27" w:name="_Toc35393625"/>
      <w:r/>
      <w:bookmarkStart w:id="28" w:name="_Toc28359007"/>
      <w:r/>
      <w:bookmarkStart w:id="29" w:name="_Toc35393794"/>
      <w:r/>
      <w:bookmarkStart w:id="30" w:name="_Toc38985267"/>
      <w:r/>
      <w:bookmarkStart w:id="31" w:name="_Toc2835908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rPr>
        <w:t xml:space="preserve">2月</w:t>
      </w:r>
      <w:r>
        <w:rPr>
          <w:rFonts w:hint="eastAsia" w:ascii="宋体" w:hAnsi="宋体"/>
          <w:bCs/>
          <w:color w:val="000000"/>
          <w:sz w:val="24"/>
          <w:szCs w:val="24"/>
          <w:highlight w:val="none"/>
        </w:rPr>
        <w:t xml:space="preserve">17日</w:t>
      </w:r>
      <w:r>
        <w:rPr>
          <w:rFonts w:hint="eastAsia"/>
          <w:bCs/>
          <w:color w:val="000000"/>
          <w:sz w:val="24"/>
          <w:szCs w:val="24"/>
          <w:highlight w:val="none"/>
        </w:rPr>
        <w:t xml:space="preserve">9时</w:t>
      </w:r>
      <w:r>
        <w:rPr>
          <w:rFonts w:hint="eastAsia" w:ascii="宋体" w:hAnsi="宋体"/>
          <w:bCs/>
          <w:color w:val="000000"/>
          <w:sz w:val="24"/>
          <w:szCs w:val="24"/>
          <w:highlight w:val="none"/>
        </w:rPr>
        <w:t xml:space="preserve">30分（北京时间）。</w:t>
      </w:r>
      <w:r/>
    </w:p>
    <w:p>
      <w:pPr>
        <w:ind w:firstLine="480"/>
        <w:spacing w:line="264"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p>
    <w:p>
      <w:pPr>
        <w:pStyle w:val="887"/>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招标公告及招标文件公告期限为自本公告发布之日起5个工作日。</w:t>
      </w:r>
      <w:r/>
    </w:p>
    <w:p>
      <w:pPr>
        <w:pStyle w:val="887"/>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color w:val="000000"/>
          <w:sz w:val="24"/>
          <w:szCs w:val="24"/>
          <w:highlight w:val="none"/>
        </w:rPr>
      </w:pPr>
      <w:r/>
      <w:bookmarkStart w:id="35" w:name="_Toc28359085"/>
      <w:r/>
      <w:bookmarkStart w:id="36" w:name="_Toc38985269"/>
      <w:r/>
      <w:bookmarkStart w:id="37" w:name="_Toc35393627"/>
      <w:r/>
      <w:bookmarkStart w:id="38" w:name="_Toc28359008"/>
      <w:r/>
      <w:bookmarkStart w:id="39" w:name="_Toc35393796"/>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spacing w:line="264"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本项目不组织集中</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956"/>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p>
    <w:p>
      <w:pPr>
        <w:pStyle w:val="887"/>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称：南京市仙林大学城管理委员会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址：南京市栖霞区文苑路118号9区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联系人：杨涛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联系电话：025-85898076　  </w:t>
      </w:r>
      <w:bookmarkStart w:id="40" w:name="_Toc28359086"/>
      <w:r/>
      <w:bookmarkStart w:id="41" w:name="_Toc28359009"/>
      <w:r/>
      <w:bookmarkEnd w:id="40"/>
      <w:r/>
      <w:bookmarkEnd w:id="41"/>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联系人：徐先生</w:t>
      </w:r>
      <w:r/>
    </w:p>
    <w:p>
      <w:pPr>
        <w:ind w:firstLine="480"/>
        <w:rPr>
          <w:rFonts w:hint="eastAsia"/>
          <w:color w:val="000000"/>
          <w:highlight w:val="none"/>
        </w:rPr>
      </w:pPr>
      <w:r>
        <w:rPr>
          <w:rFonts w:hint="eastAsia" w:ascii="宋体" w:hAnsi="宋体"/>
          <w:color w:val="000000"/>
          <w:sz w:val="24"/>
          <w:szCs w:val="24"/>
          <w:highlight w:val="none"/>
        </w:rPr>
        <w:t xml:space="preserve">联系电话：025-68505913 </w:t>
      </w:r>
      <w:r/>
    </w:p>
    <w:p>
      <w:pPr>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tabs>
          <w:tab w:val="left" w:pos="900" w:leader="none"/>
        </w:tabs>
        <w:rPr>
          <w:rFonts w:ascii="宋体" w:hAnsi="宋体"/>
          <w:color w:val="000000"/>
          <w:sz w:val="24"/>
          <w:szCs w:val="24"/>
          <w:highlight w:val="none"/>
        </w:rPr>
      </w:pPr>
      <w:r>
        <w:rPr>
          <w:rFonts w:ascii="宋体" w:hAnsi="宋体"/>
          <w:color w:val="000000"/>
          <w:sz w:val="24"/>
          <w:szCs w:val="24"/>
          <w:highlight w:val="none"/>
        </w:rPr>
      </w:r>
      <w:bookmarkEnd w:id="1"/>
      <w:r/>
      <w:bookmarkEnd w:id="2"/>
      <w:r/>
      <w:bookmarkEnd w:id="3"/>
      <w:r/>
      <w:bookmarkEnd w:id="4"/>
      <w:r/>
      <w:bookmarkEnd w:id="5"/>
      <w:r/>
      <w:r/>
    </w:p>
    <w:p>
      <w:pPr>
        <w:pStyle w:val="987"/>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bookmarkStart w:id="42" w:name="_Hlt16619350"/>
      <w:r/>
      <w:bookmarkStart w:id="43" w:name="_Toc16938590"/>
      <w:r/>
      <w:bookmarkStart w:id="44" w:name="_Toc20823346"/>
      <w:r/>
      <w:bookmarkStart w:id="45" w:name="_Toc120614244"/>
      <w:r/>
      <w:bookmarkStart w:id="46" w:name="_Toc479757211"/>
      <w:r/>
      <w:bookmarkStart w:id="47" w:name="_Toc462564139"/>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rPr>
        <w:t xml:space="preserve">第二章  </w:t>
      </w:r>
      <w:bookmarkEnd w:id="48"/>
      <w:r/>
      <w:bookmarkStart w:id="49" w:name="_Toc120614213"/>
      <w:r/>
      <w:bookmarkStart w:id="50" w:name="_Toc513029202"/>
      <w:r/>
      <w:bookmarkStart w:id="51" w:name="_Toc16938518"/>
      <w:r/>
      <w:bookmarkStart w:id="52" w:name="_Toc20823274"/>
      <w:r>
        <w:rPr>
          <w:rFonts w:hint="eastAsia" w:ascii="方正小标宋简体" w:hAnsi="方正小标宋简体" w:eastAsia="方正小标宋简体" w:cs="方正小标宋简体"/>
          <w:color w:val="000000"/>
          <w:sz w:val="36"/>
          <w:szCs w:val="36"/>
          <w:highlight w:val="none"/>
          <w:lang w:val="en-US"/>
        </w:rPr>
        <w:t xml:space="preserve">投标人须知</w:t>
      </w:r>
      <w:bookmarkEnd w:id="49"/>
      <w:r/>
      <w:bookmarkEnd w:id="50"/>
      <w:r/>
      <w:bookmarkEnd w:id="51"/>
      <w:r/>
      <w:bookmarkEnd w:id="52"/>
      <w:r/>
      <w:r/>
    </w:p>
    <w:p>
      <w:pPr>
        <w:pStyle w:val="887"/>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53" w:name="_Toc513029203"/>
      <w:r/>
      <w:bookmarkStart w:id="54" w:name="_Toc16938519"/>
      <w:r/>
      <w:bookmarkStart w:id="55" w:name="_Toc20823275"/>
      <w:r/>
      <w:bookmarkStart w:id="56" w:name="_Toc120614214"/>
      <w:r/>
      <w:bookmarkStart w:id="57" w:name="_Toc513029242"/>
      <w:r/>
      <w:bookmarkStart w:id="58" w:name="_Toc120614221"/>
      <w:r/>
      <w:bookmarkStart w:id="59" w:name="_Toc479757207"/>
      <w:r/>
      <w:bookmarkStart w:id="60" w:name="_Toc20823314"/>
      <w:r/>
      <w:bookmarkStart w:id="61" w:name="_Toc16938558"/>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color w:val="000000"/>
          <w:highlight w:val="none"/>
        </w:rPr>
        <w:t xml:space="preserve">1</w:t>
      </w:r>
      <w:bookmarkEnd w:id="63"/>
      <w:r>
        <w:rPr>
          <w:rFonts w:hint="eastAsia" w:ascii="方正楷体_GBK" w:hAnsi="方正楷体_GBK" w:eastAsia="方正楷体_GBK" w:cs="方正楷体_GBK"/>
          <w:color w:val="000000"/>
          <w:highlight w:val="none"/>
        </w:rPr>
        <w:t xml:space="preserve">.招标方式</w:t>
      </w:r>
      <w:bookmarkEnd w:id="64"/>
      <w:r/>
      <w:bookmarkEnd w:id="65"/>
      <w:r/>
      <w:bookmarkEnd w:id="66"/>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67" w:name="_Toc16938521"/>
      <w:r/>
      <w:bookmarkStart w:id="68" w:name="_Toc513029205"/>
      <w:r/>
      <w:bookmarkStart w:id="69" w:name="_Toc20823277"/>
      <w:r>
        <w:rPr>
          <w:rFonts w:hint="eastAsia" w:ascii="方正楷体_GBK" w:hAnsi="方正楷体_GBK" w:eastAsia="方正楷体_GBK" w:cs="方正楷体_GBK"/>
          <w:color w:val="000000"/>
          <w:highlight w:val="none"/>
        </w:rPr>
        <w:t xml:space="preserve">2.合格的投标人</w:t>
      </w:r>
      <w:bookmarkEnd w:id="67"/>
      <w:r/>
      <w:bookmarkEnd w:id="68"/>
      <w:r/>
      <w:bookmarkEnd w:id="69"/>
      <w:r/>
      <w:r/>
    </w:p>
    <w:p>
      <w:pPr>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2.2 满足本文件规定的实质性要求和条件。</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70" w:name="_Toc20823278"/>
      <w:r/>
      <w:bookmarkStart w:id="71" w:name="_Toc513029206"/>
      <w:r/>
      <w:bookmarkStart w:id="72" w:name="_Toc16938522"/>
      <w:r>
        <w:rPr>
          <w:rFonts w:hint="eastAsia" w:ascii="方正楷体_GBK" w:hAnsi="方正楷体_GBK" w:eastAsia="方正楷体_GBK" w:cs="方正楷体_GBK"/>
          <w:color w:val="000000"/>
          <w:highlight w:val="none"/>
        </w:rPr>
        <w:t xml:space="preserve">3.适用法律</w:t>
      </w:r>
      <w:bookmarkEnd w:id="70"/>
      <w:r/>
      <w:bookmarkEnd w:id="71"/>
      <w:r/>
      <w:bookmarkEnd w:id="72"/>
      <w:r/>
      <w:r/>
    </w:p>
    <w:p>
      <w:pPr>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73" w:name="_Toc513029207"/>
      <w:r/>
      <w:bookmarkStart w:id="74" w:name="_Toc462564067"/>
      <w:r/>
      <w:bookmarkStart w:id="75" w:name="_Toc20823279"/>
      <w:r/>
      <w:bookmarkStart w:id="76" w:name="_Toc16938523"/>
      <w:r>
        <w:rPr>
          <w:rFonts w:hint="eastAsia" w:ascii="方正楷体_GBK" w:hAnsi="方正楷体_GBK" w:eastAsia="方正楷体_GBK" w:cs="方正楷体_GBK"/>
          <w:color w:val="000000"/>
          <w:highlight w:val="none"/>
        </w:rPr>
        <w:t xml:space="preserve">4.投标费用</w:t>
      </w:r>
      <w:bookmarkEnd w:id="73"/>
      <w:r/>
      <w:bookmarkEnd w:id="74"/>
      <w:r/>
      <w:bookmarkEnd w:id="75"/>
      <w:r/>
      <w:bookmarkEnd w:id="76"/>
      <w:r/>
      <w:r/>
    </w:p>
    <w:p>
      <w:pPr>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投标人一旦参加本项目采购活动，即被认为接受了本招标文件的规定和约束。</w:t>
      </w:r>
      <w:r/>
    </w:p>
    <w:p>
      <w:pPr>
        <w:pStyle w:val="887"/>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7" w:name="_Toc16938525"/>
      <w:r/>
      <w:bookmarkStart w:id="78" w:name="_Toc20823281"/>
      <w:r/>
      <w:bookmarkStart w:id="79" w:name="_Toc120614215"/>
      <w:r/>
      <w:bookmarkStart w:id="80"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81" w:name="_Toc16938526"/>
      <w:r/>
      <w:bookmarkStart w:id="82" w:name="_Toc513029210"/>
      <w:r/>
      <w:bookmarkStart w:id="83" w:name="_Toc20823282"/>
      <w:r>
        <w:rPr>
          <w:rFonts w:hint="eastAsia" w:ascii="方正楷体_GBK" w:hAnsi="方正楷体_GBK" w:eastAsia="方正楷体_GBK" w:cs="方正楷体_GBK"/>
          <w:color w:val="000000"/>
          <w:highlight w:val="none"/>
        </w:rPr>
        <w:t xml:space="preserve">6.招标文件构成</w:t>
      </w:r>
      <w:bookmarkEnd w:id="81"/>
      <w:r/>
      <w:bookmarkEnd w:id="82"/>
      <w:r/>
      <w:bookmarkEnd w:id="83"/>
      <w:r/>
      <w:r/>
    </w:p>
    <w:p>
      <w:pPr>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84" w:name="_Toc16938527"/>
      <w:r/>
      <w:bookmarkStart w:id="85" w:name="_Toc462564070"/>
      <w:r/>
      <w:bookmarkStart w:id="86" w:name="_Toc513029211"/>
      <w:r/>
      <w:bookmarkStart w:id="87" w:name="_Toc20823283"/>
      <w:r>
        <w:rPr>
          <w:rFonts w:hint="eastAsia" w:ascii="方正楷体_GBK" w:hAnsi="方正楷体_GBK" w:eastAsia="方正楷体_GBK" w:cs="方正楷体_GBK"/>
          <w:color w:val="000000"/>
          <w:highlight w:val="none"/>
        </w:rPr>
        <w:t xml:space="preserve">7.招标文件的澄清</w:t>
      </w:r>
      <w:bookmarkEnd w:id="84"/>
      <w:r/>
      <w:bookmarkEnd w:id="85"/>
      <w:r/>
      <w:bookmarkEnd w:id="86"/>
      <w:r/>
      <w:bookmarkEnd w:id="87"/>
      <w:r/>
      <w:r/>
    </w:p>
    <w:p>
      <w:pPr>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88" w:name="_Toc513029212"/>
      <w:r/>
      <w:bookmarkStart w:id="89" w:name="_Toc462564071"/>
      <w:r/>
      <w:bookmarkStart w:id="90" w:name="_Toc16938528"/>
      <w:r/>
      <w:bookmarkStart w:id="91" w:name="_Toc20823284"/>
      <w:r>
        <w:rPr>
          <w:rFonts w:hint="eastAsia" w:ascii="方正楷体_GBK" w:hAnsi="方正楷体_GBK" w:eastAsia="方正楷体_GBK" w:cs="方正楷体_GBK"/>
          <w:color w:val="000000"/>
          <w:highlight w:val="none"/>
        </w:rPr>
        <w:t xml:space="preserve">8.招标文件的修改</w:t>
      </w:r>
      <w:bookmarkEnd w:id="88"/>
      <w:r/>
      <w:bookmarkEnd w:id="89"/>
      <w:r/>
      <w:bookmarkEnd w:id="90"/>
      <w:r/>
      <w:bookmarkEnd w:id="91"/>
      <w:r/>
      <w:r/>
    </w:p>
    <w:p>
      <w:pPr>
        <w:ind w:firstLine="420"/>
        <w:rPr>
          <w:rFonts w:hint="eastAsia" w:ascii="宋体" w:hAnsi="宋体"/>
          <w:color w:val="000000"/>
          <w:sz w:val="24"/>
          <w:highlight w:val="none"/>
        </w:rPr>
      </w:pPr>
      <w:r/>
      <w:bookmarkStart w:id="92" w:name="_Toc513029213"/>
      <w:r/>
      <w:bookmarkStart w:id="93" w:name="_Toc16938529"/>
      <w:r/>
      <w:bookmarkStart w:id="94" w:name="_Toc20823285"/>
      <w:r/>
      <w:bookmarkStart w:id="95" w:name="_Toc120614216"/>
      <w:r/>
      <w:bookmarkStart w:id="96" w:name="_Toc462564072"/>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p>
    <w:p>
      <w:pPr>
        <w:pStyle w:val="887"/>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97" w:name="_Toc16938530"/>
      <w:r/>
      <w:bookmarkStart w:id="98" w:name="_Toc462564073"/>
      <w:r/>
      <w:bookmarkStart w:id="99" w:name="_Toc513029214"/>
      <w:r/>
      <w:bookmarkStart w:id="100" w:name="_Toc20823286"/>
      <w:r>
        <w:rPr>
          <w:rFonts w:hint="eastAsia" w:ascii="方正楷体_GBK" w:hAnsi="方正楷体_GBK" w:eastAsia="方正楷体_GBK" w:cs="方正楷体_GBK"/>
          <w:color w:val="000000"/>
          <w:highlight w:val="none"/>
        </w:rPr>
        <w:t xml:space="preserve">9.投标文件的语言及度量衡单位</w:t>
      </w:r>
      <w:bookmarkEnd w:id="97"/>
      <w:r/>
      <w:bookmarkEnd w:id="98"/>
      <w:r/>
      <w:bookmarkEnd w:id="99"/>
      <w:r/>
      <w:bookmarkEnd w:id="100"/>
      <w:r/>
      <w:r/>
    </w:p>
    <w:p>
      <w:pPr>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000000"/>
          <w:sz w:val="24"/>
          <w:szCs w:val="22"/>
          <w:highlight w:val="none"/>
        </w:rPr>
      </w:pPr>
      <w:r>
        <w:rPr>
          <w:rFonts w:hint="eastAsia" w:ascii="宋体" w:hAnsi="宋体"/>
          <w:color w:val="000000"/>
          <w:sz w:val="24"/>
          <w:szCs w:val="22"/>
          <w:highlight w:val="none"/>
        </w:rPr>
        <w:t xml:space="preserve">9.2 除技术性能另有规定外，投标文件所使用的度量衡单位，均须采用国家法定计量单位。</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01" w:name="_Toc513029215"/>
      <w:r/>
      <w:bookmarkStart w:id="102" w:name="_Toc20823287"/>
      <w:r/>
      <w:bookmarkStart w:id="103" w:name="_Toc462564074"/>
      <w:r/>
      <w:bookmarkStart w:id="104" w:name="_Toc16938531"/>
      <w:r>
        <w:rPr>
          <w:rFonts w:hint="eastAsia" w:ascii="方正楷体_GBK" w:hAnsi="方正楷体_GBK" w:eastAsia="方正楷体_GBK" w:cs="方正楷体_GBK"/>
          <w:color w:val="000000"/>
          <w:highlight w:val="none"/>
        </w:rPr>
        <w:t xml:space="preserve">10.投标文件构成</w:t>
      </w:r>
      <w:bookmarkEnd w:id="101"/>
      <w:r/>
      <w:bookmarkEnd w:id="102"/>
      <w:r/>
      <w:bookmarkEnd w:id="103"/>
      <w:r/>
      <w:bookmarkEnd w:id="104"/>
      <w:r/>
      <w:r/>
    </w:p>
    <w:p>
      <w:pPr>
        <w:ind w:firstLine="420"/>
        <w:rPr>
          <w:rFonts w:hint="eastAsia" w:ascii="宋体" w:hAnsi="宋体"/>
          <w:color w:val="000000"/>
          <w:sz w:val="24"/>
          <w:szCs w:val="22"/>
          <w:highlight w:val="none"/>
        </w:rPr>
      </w:pPr>
      <w:r>
        <w:rPr>
          <w:rFonts w:hint="eastAsia" w:ascii="宋体" w:hAnsi="宋体"/>
          <w:color w:val="000000"/>
          <w:sz w:val="24"/>
          <w:szCs w:val="22"/>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szCs w:val="22"/>
          <w:highlight w:val="none"/>
        </w:rPr>
      </w:pPr>
      <w:r>
        <w:rPr>
          <w:rFonts w:hint="eastAsia" w:ascii="宋体" w:hAnsi="宋体"/>
          <w:color w:val="000000"/>
          <w:sz w:val="24"/>
          <w:szCs w:val="22"/>
          <w:highlight w:val="none"/>
        </w:rPr>
        <w:t xml:space="preserve">10.2 如标书制作工具中格式和内容与“江苏政府采购网”发布的招标文件不一致，以“江苏政府采购网”发布的招标文件为准。</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05" w:name="_Hlt26670360"/>
      <w:r/>
      <w:bookmarkEnd w:id="105"/>
      <w:r/>
      <w:bookmarkStart w:id="106" w:name="_Hlt26668975"/>
      <w:r/>
      <w:bookmarkEnd w:id="106"/>
      <w:r/>
      <w:bookmarkStart w:id="107" w:name="_Hlt26954838"/>
      <w:r/>
      <w:bookmarkEnd w:id="107"/>
      <w:r/>
      <w:bookmarkStart w:id="108" w:name="_Toc49090509"/>
      <w:r/>
      <w:bookmarkStart w:id="109" w:name="_Toc14577357"/>
      <w:r/>
      <w:bookmarkStart w:id="110" w:name="_Toc513029219"/>
      <w:r/>
      <w:bookmarkStart w:id="111" w:name="_Toc49090507"/>
      <w:r/>
      <w:bookmarkStart w:id="112" w:name="_Toc513029216"/>
      <w:r/>
      <w:bookmarkStart w:id="113" w:name="_Toc14577354"/>
      <w:r>
        <w:rPr>
          <w:rFonts w:hint="eastAsia" w:ascii="方正楷体_GBK" w:hAnsi="方正楷体_GBK" w:eastAsia="方正楷体_GBK" w:cs="方正楷体_GBK"/>
          <w:color w:val="000000"/>
          <w:highlight w:val="none"/>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hint="eastAsia" w:ascii="宋体" w:hAnsi="宋体"/>
          <w:color w:val="000000"/>
          <w:sz w:val="24"/>
          <w:highlight w:val="none"/>
        </w:rPr>
      </w:pPr>
      <w:r/>
      <w:bookmarkStart w:id="114" w:name="_Toc14577355"/>
      <w:r/>
      <w:bookmarkStart w:id="115" w:name="_Toc49090508"/>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w:t>
      </w:r>
      <w:bookmarkEnd w:id="114"/>
      <w:r/>
      <w:bookmarkEnd w:id="115"/>
      <w:r>
        <w:rPr>
          <w:rFonts w:hint="eastAsia" w:ascii="方正楷体_GBK" w:hAnsi="方正楷体_GBK" w:eastAsia="方正楷体_GBK" w:cs="方正楷体_GBK"/>
          <w:color w:val="000000"/>
          <w:highlight w:val="none"/>
        </w:rPr>
        <w:t xml:space="preserve">.投标分项报价表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6" w:name="_Hlt26954840"/>
      <w:r/>
      <w:bookmarkEnd w:id="116"/>
      <w:r>
        <w:rPr>
          <w:rFonts w:hint="eastAsia" w:ascii="宋体" w:hAnsi="宋体"/>
          <w:color w:val="000000"/>
          <w:sz w:val="24"/>
          <w:highlight w:val="none"/>
        </w:rPr>
        <w:t xml:space="preserve">标人应按照招标文件规定格式填报</w:t>
      </w:r>
      <w:bookmarkStart w:id="117" w:name="_Hlt26670399"/>
      <w:r/>
      <w:bookmarkEnd w:id="117"/>
      <w:r>
        <w:rPr>
          <w:rFonts w:hint="eastAsia" w:ascii="宋体" w:hAnsi="宋体"/>
          <w:color w:val="000000"/>
          <w:sz w:val="24"/>
          <w:highlight w:val="none"/>
        </w:rPr>
        <w:t xml:space="preserve">投标分项报价表。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12.2 投标货币。投标文件中的单价和总价无特殊规定的采用人民币报价，以元为单位标注。招标文件中另有规定的按规定执行。</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18" w:name="_Hlt26954846"/>
      <w:r/>
      <w:bookmarkEnd w:id="118"/>
      <w:r/>
      <w:bookmarkStart w:id="119" w:name="_Hlt26670425"/>
      <w:r/>
      <w:bookmarkEnd w:id="119"/>
      <w:r/>
      <w:bookmarkStart w:id="120" w:name="_Hlt26670403"/>
      <w:r/>
      <w:bookmarkEnd w:id="120"/>
      <w:r/>
      <w:bookmarkStart w:id="121" w:name="_Hlt26954844"/>
      <w:r/>
      <w:bookmarkEnd w:id="121"/>
      <w:r/>
      <w:bookmarkStart w:id="122" w:name="_Hlt26670482"/>
      <w:r/>
      <w:bookmarkEnd w:id="122"/>
      <w:r/>
      <w:bookmarkStart w:id="123" w:name="_Hlt26668983"/>
      <w:r/>
      <w:bookmarkEnd w:id="123"/>
      <w:r/>
      <w:bookmarkStart w:id="124" w:name="_Hlt26954731"/>
      <w:r/>
      <w:bookmarkEnd w:id="124"/>
      <w:r/>
      <w:bookmarkStart w:id="125" w:name="_Hlt26954848"/>
      <w:r/>
      <w:bookmarkEnd w:id="125"/>
      <w:r/>
      <w:bookmarkStart w:id="126" w:name="_Hlt26954842"/>
      <w:r/>
      <w:bookmarkEnd w:id="126"/>
      <w:r/>
      <w:bookmarkStart w:id="127" w:name="_Hlt26670486"/>
      <w:r/>
      <w:bookmarkEnd w:id="127"/>
      <w:r>
        <w:rPr>
          <w:rFonts w:hint="eastAsia" w:ascii="方正楷体_GBK" w:hAnsi="方正楷体_GBK" w:eastAsia="方正楷体_GBK" w:cs="方正楷体_GBK"/>
          <w:color w:val="000000"/>
          <w:highlight w:val="none"/>
        </w:rPr>
        <w:t xml:space="preserve">13.响应及偏离表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偏离说明。</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28" w:name="_Toc49090510"/>
      <w:r/>
      <w:bookmarkStart w:id="129" w:name="_Toc14577359"/>
      <w:r>
        <w:rPr>
          <w:rFonts w:hint="eastAsia" w:ascii="方正楷体_GBK" w:hAnsi="方正楷体_GBK" w:eastAsia="方正楷体_GBK" w:cs="方正楷体_GBK"/>
          <w:color w:val="000000"/>
          <w:highlight w:val="none"/>
        </w:rPr>
        <w:t xml:space="preserve">14.投标函和开标一览表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w:t>
      </w:r>
      <w:r>
        <w:rPr>
          <w:rFonts w:hint="eastAsia" w:ascii="宋体" w:hAnsi="宋体"/>
          <w:color w:val="000000"/>
          <w:sz w:val="24"/>
          <w:highlight w:val="none"/>
        </w:rPr>
        <w:t xml:space="preserve">投标分项报价表</w:t>
      </w:r>
      <w:r>
        <w:rPr>
          <w:rFonts w:hint="eastAsia" w:ascii="宋体" w:hAnsi="宋体"/>
          <w:color w:val="000000"/>
          <w:sz w:val="24"/>
          <w:highlight w:val="none"/>
          <w:lang w:val="zh-CN"/>
        </w:rPr>
        <w:t xml:space="preserve">中的投标总报价一致，如不一致不作为无效投标处理，评标时以开标一览表中价格为准。</w:t>
      </w:r>
      <w:bookmarkEnd w:id="128"/>
      <w:r/>
      <w:bookmarkEnd w:id="129"/>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30" w:name="_Hlt26670489"/>
      <w:r/>
      <w:bookmarkEnd w:id="130"/>
      <w:r/>
      <w:bookmarkStart w:id="131" w:name="_Hlt26954734"/>
      <w:r/>
      <w:bookmarkEnd w:id="131"/>
      <w:r/>
      <w:bookmarkStart w:id="132" w:name="_Hlt26954850"/>
      <w:r/>
      <w:bookmarkEnd w:id="132"/>
      <w:r/>
      <w:bookmarkStart w:id="133" w:name="_Toc14577360"/>
      <w:r/>
      <w:bookmarkStart w:id="134" w:name="_Toc49090511"/>
      <w:r>
        <w:rPr>
          <w:rFonts w:hint="eastAsia" w:ascii="方正楷体_GBK" w:hAnsi="方正楷体_GBK" w:eastAsia="方正楷体_GBK" w:cs="方正楷体_GBK"/>
          <w:color w:val="000000"/>
          <w:highlight w:val="none"/>
        </w:rPr>
        <w:t xml:space="preserve">15.投标有效期</w:t>
      </w:r>
      <w:bookmarkEnd w:id="133"/>
      <w:r/>
      <w:bookmarkEnd w:id="134"/>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投标有效期为招标公告规定的开标之日起六十天。投标有效期比规定短的将被视为未实质性响应招标文件而被拒绝。</w:t>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highlight w:val="none"/>
        </w:rPr>
        <w:t xml:space="preserve">满</w:t>
      </w:r>
      <w:r>
        <w:rPr>
          <w:rFonts w:hint="eastAsia" w:ascii="宋体" w:hAnsi="宋体"/>
          <w:color w:val="000000"/>
          <w:sz w:val="24"/>
          <w:highlight w:val="none"/>
          <w:lang w:val="zh-CN"/>
        </w:rPr>
        <w:t xml:space="preserve">。</w:t>
      </w:r>
      <w:r/>
    </w:p>
    <w:p>
      <w:pPr>
        <w:pStyle w:val="887"/>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35" w:name="_Hlt26954852"/>
      <w:r/>
      <w:bookmarkEnd w:id="135"/>
      <w:r/>
      <w:bookmarkStart w:id="136" w:name="_Hlt26954739"/>
      <w:r/>
      <w:bookmarkEnd w:id="136"/>
      <w:r/>
      <w:bookmarkStart w:id="137" w:name="_Toc120614217"/>
      <w:r/>
      <w:bookmarkStart w:id="138" w:name="_Toc16938540"/>
      <w:r/>
      <w:bookmarkStart w:id="139" w:name="_Toc513029224"/>
      <w:r/>
      <w:bookmarkStart w:id="140" w:name="_Toc20823296"/>
      <w:r/>
      <w:bookmarkStart w:id="141" w:name="_Toc513029237"/>
      <w:r/>
      <w:bookmarkStart w:id="142" w:name="_Toc16938553"/>
      <w:r/>
      <w:bookmarkStart w:id="143" w:name="_Toc20823309"/>
      <w:r>
        <w:rPr>
          <w:rFonts w:hint="eastAsia" w:ascii="方正黑体_GBK" w:hAnsi="方正黑体_GBK" w:eastAsia="方正黑体_GBK" w:cs="方正黑体_GBK"/>
          <w:b w:val="0"/>
          <w:bCs w:val="0"/>
          <w:color w:val="000000"/>
          <w:sz w:val="30"/>
          <w:szCs w:val="30"/>
          <w:highlight w:val="none"/>
        </w:rPr>
        <w:t xml:space="preserve">四、投标文件的递交</w:t>
      </w:r>
      <w:bookmarkEnd w:id="137"/>
      <w:r/>
      <w:bookmarkEnd w:id="138"/>
      <w:r/>
      <w:bookmarkEnd w:id="139"/>
      <w:r/>
      <w:bookmarkEnd w:id="140"/>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44" w:name="_Toc513029225"/>
      <w:r/>
      <w:bookmarkStart w:id="145" w:name="_Toc462564084"/>
      <w:r/>
      <w:bookmarkStart w:id="146" w:name="_Toc16938541"/>
      <w:r/>
      <w:bookmarkStart w:id="147" w:name="_Toc20823297"/>
      <w:r>
        <w:rPr>
          <w:rFonts w:hint="eastAsia" w:ascii="方正楷体_GBK" w:hAnsi="方正楷体_GBK" w:eastAsia="方正楷体_GBK" w:cs="方正楷体_GBK"/>
          <w:color w:val="000000"/>
          <w:highlight w:val="none"/>
        </w:rPr>
        <w:t xml:space="preserve">17.投标文件</w:t>
      </w:r>
      <w:bookmarkEnd w:id="144"/>
      <w:r/>
      <w:bookmarkEnd w:id="145"/>
      <w:r/>
      <w:bookmarkEnd w:id="146"/>
      <w:r/>
      <w:bookmarkEnd w:id="147"/>
      <w:r>
        <w:rPr>
          <w:rFonts w:hint="eastAsia" w:ascii="方正楷体_GBK" w:hAnsi="方正楷体_GBK" w:eastAsia="方正楷体_GBK" w:cs="方正楷体_GBK"/>
          <w:color w:val="000000"/>
          <w:highlight w:val="none"/>
        </w:rPr>
        <w:t xml:space="preserve">的递交</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bookmarkEnd w:id="148"/>
      <w:r/>
      <w:bookmarkEnd w:id="149"/>
      <w:r/>
      <w:bookmarkEnd w:id="150"/>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51" w:name="_Toc20823299"/>
      <w:r/>
      <w:bookmarkStart w:id="152" w:name="_Toc16938543"/>
      <w:r/>
      <w:bookmarkStart w:id="153" w:name="_Toc513029227"/>
      <w:r>
        <w:rPr>
          <w:rFonts w:hint="eastAsia" w:ascii="方正楷体_GBK" w:hAnsi="方正楷体_GBK" w:eastAsia="方正楷体_GBK" w:cs="方正楷体_GBK"/>
          <w:color w:val="000000"/>
          <w:highlight w:val="none"/>
        </w:rPr>
        <w:t xml:space="preserve">18.投标文件</w:t>
      </w:r>
      <w:bookmarkEnd w:id="151"/>
      <w:r/>
      <w:bookmarkEnd w:id="152"/>
      <w:r/>
      <w:bookmarkEnd w:id="153"/>
      <w:r>
        <w:rPr>
          <w:rFonts w:hint="eastAsia" w:ascii="方正楷体_GBK" w:hAnsi="方正楷体_GBK" w:eastAsia="方正楷体_GBK" w:cs="方正楷体_GBK"/>
          <w:color w:val="000000"/>
          <w:highlight w:val="none"/>
        </w:rPr>
        <w:t xml:space="preserve">的拒收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交易中心拒绝接收投标截止时间后上传的任何投标文件。</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54" w:name="_Toc513029228"/>
      <w:r/>
      <w:bookmarkStart w:id="155" w:name="_Toc20823300"/>
      <w:r/>
      <w:bookmarkStart w:id="156" w:name="_Toc16938544"/>
      <w:r>
        <w:rPr>
          <w:rFonts w:hint="eastAsia" w:ascii="方正楷体_GBK" w:hAnsi="方正楷体_GBK" w:eastAsia="方正楷体_GBK" w:cs="方正楷体_GBK"/>
          <w:color w:val="000000"/>
          <w:highlight w:val="none"/>
        </w:rPr>
        <w:t xml:space="preserve">19.投标文件的撤回和修改</w:t>
      </w:r>
      <w:bookmarkEnd w:id="154"/>
      <w:r/>
      <w:bookmarkEnd w:id="155"/>
      <w:r/>
      <w:bookmarkEnd w:id="156"/>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57" w:name="_Toc120614218"/>
      <w:r/>
      <w:bookmarkStart w:id="158" w:name="_Toc20823301"/>
      <w:r/>
      <w:bookmarkStart w:id="159" w:name="_Toc513029229"/>
      <w:r/>
      <w:bookmarkStart w:id="160" w:name="_Toc16938545"/>
      <w:r/>
      <w:r/>
    </w:p>
    <w:p>
      <w:pPr>
        <w:pStyle w:val="887"/>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61" w:name="_Toc16938546"/>
      <w:r/>
      <w:bookmarkStart w:id="162" w:name="_Toc20823302"/>
      <w:r/>
      <w:bookmarkStart w:id="163" w:name="_Toc513029230"/>
      <w:r>
        <w:rPr>
          <w:rFonts w:hint="eastAsia" w:ascii="方正楷体_GBK" w:hAnsi="方正楷体_GBK" w:eastAsia="方正楷体_GBK" w:cs="方正楷体_GBK"/>
          <w:color w:val="000000"/>
          <w:highlight w:val="none"/>
        </w:rPr>
        <w:t xml:space="preserve">20.开标</w:t>
      </w:r>
      <w:bookmarkEnd w:id="161"/>
      <w:r/>
      <w:bookmarkEnd w:id="162"/>
      <w:r/>
      <w:bookmarkEnd w:id="163"/>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64" w:name="_Toc16938547"/>
      <w:r/>
      <w:bookmarkStart w:id="165" w:name="_Toc20823303"/>
      <w:r/>
      <w:bookmarkStart w:id="166" w:name="_Toc513029231"/>
      <w:r>
        <w:rPr>
          <w:rFonts w:hint="eastAsia" w:ascii="方正楷体_GBK" w:hAnsi="方正楷体_GBK" w:eastAsia="方正楷体_GBK" w:cs="方正楷体_GBK"/>
          <w:color w:val="000000"/>
          <w:highlight w:val="none"/>
        </w:rPr>
        <w:t xml:space="preserve">21评标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w:t>
      </w:r>
      <w:r>
        <w:rPr>
          <w:rFonts w:hint="eastAsia" w:ascii="宋体" w:hAnsi="宋体"/>
          <w:color w:val="000000"/>
          <w:sz w:val="24"/>
          <w:highlight w:val="none"/>
          <w:lang w:val="zh-CN"/>
        </w:rPr>
        <w:t xml:space="preserve">交易中心组织评标委员会（以下简称“评委会”）进行。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评委会由采购人代表和有关技术、经济等方面的专家组成，且人员构成符合政府采购有关规定。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中标侯选人，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bookmarkEnd w:id="164"/>
      <w:r/>
      <w:bookmarkEnd w:id="165"/>
      <w:r/>
      <w:bookmarkEnd w:id="166"/>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投标人不得以任何方式影响评标，否则其投标文件将被作为无效投标文件。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67" w:name="_Toc20823304"/>
      <w:r/>
      <w:bookmarkStart w:id="168" w:name="_Toc513029232"/>
      <w:r/>
      <w:bookmarkStart w:id="169" w:name="_Toc16938548"/>
      <w:r>
        <w:rPr>
          <w:rFonts w:hint="eastAsia" w:ascii="方正楷体_GBK" w:hAnsi="方正楷体_GBK" w:eastAsia="方正楷体_GBK" w:cs="方正楷体_GBK"/>
          <w:color w:val="000000"/>
          <w:highlight w:val="none"/>
        </w:rPr>
        <w:t xml:space="preserve">23.投标文件的澄清</w:t>
      </w:r>
      <w:bookmarkEnd w:id="167"/>
      <w:r/>
      <w:bookmarkEnd w:id="168"/>
      <w:r/>
      <w:bookmarkEnd w:id="169"/>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接到评委会澄清、说明和补正要求的，投标人如未按规定作出澄清、说明和补正，其风险由投标人自行承担。</w:t>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70" w:name="_Toc16938549"/>
      <w:r/>
      <w:bookmarkStart w:id="171" w:name="_Toc20823305"/>
      <w:r/>
      <w:bookmarkStart w:id="172" w:name="_Toc513029233"/>
      <w:r>
        <w:rPr>
          <w:rFonts w:hint="eastAsia" w:ascii="方正楷体_GBK" w:hAnsi="方正楷体_GBK" w:eastAsia="方正楷体_GBK" w:cs="方正楷体_GBK"/>
          <w:color w:val="000000"/>
          <w:highlight w:val="none"/>
        </w:rPr>
        <w:t xml:space="preserve">24.投标文件的</w:t>
      </w:r>
      <w:bookmarkEnd w:id="170"/>
      <w:r/>
      <w:bookmarkEnd w:id="171"/>
      <w:r/>
      <w:bookmarkEnd w:id="172"/>
      <w:r>
        <w:rPr>
          <w:rFonts w:hint="eastAsia" w:ascii="方正楷体_GBK" w:hAnsi="方正楷体_GBK" w:eastAsia="方正楷体_GBK" w:cs="方正楷体_GBK"/>
          <w:color w:val="000000"/>
          <w:highlight w:val="none"/>
        </w:rPr>
        <w:t xml:space="preserve">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 投标文件审查分为资格审查和符合性审查。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接受联合体的项目，联合体成员存在不良信用记录的，视同联合体存在不良信用记录。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highlight w:val="none"/>
          <w:lang w:val="zh-CN"/>
        </w:rPr>
      </w:pPr>
      <w:r/>
      <w:bookmarkStart w:id="173" w:name="_Toc513029234"/>
      <w:r/>
      <w:bookmarkStart w:id="174" w:name="_Toc16938550"/>
      <w:r/>
      <w:bookmarkStart w:id="175" w:name="_Toc20823306"/>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73"/>
      <w:r/>
      <w:bookmarkEnd w:id="174"/>
      <w:r/>
      <w:bookmarkEnd w:id="175"/>
      <w:r>
        <w:rPr>
          <w:rFonts w:hint="eastAsia" w:ascii="方正楷体_GBK" w:hAnsi="方正楷体_GBK" w:eastAsia="方正楷体_GBK" w:cs="方正楷体_GBK"/>
          <w:color w:val="000000"/>
          <w:highlight w:val="none"/>
        </w:rPr>
        <w:t xml:space="preserve">5.无效投标和废标</w:t>
      </w:r>
      <w:r/>
    </w:p>
    <w:p>
      <w:pPr>
        <w:ind w:firstLine="420"/>
        <w:rPr>
          <w:rFonts w:hint="eastAsia" w:ascii="宋体" w:hAnsi="宋体"/>
          <w:color w:val="000000"/>
          <w:sz w:val="24"/>
          <w:highlight w:val="none"/>
          <w:lang w:val="zh-CN"/>
        </w:rPr>
      </w:pPr>
      <w:r/>
      <w:bookmarkStart w:id="176" w:name="_Toc513029235"/>
      <w:r/>
      <w:bookmarkStart w:id="177" w:name="_Toc16938551"/>
      <w:r/>
      <w:bookmarkStart w:id="178" w:name="_Toc20823307"/>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无效投标条款</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w:t>
      </w:r>
      <w:r>
        <w:rPr>
          <w:rFonts w:hint="eastAsia" w:ascii="宋体" w:hAnsi="宋体"/>
          <w:color w:val="000000"/>
          <w:sz w:val="24"/>
          <w:highlight w:val="none"/>
        </w:rPr>
        <w:t xml:space="preserve">总价超出采购预算金额或最高限价的</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分项报价超出分项最高限价的。</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iCs/>
          <w:color w:val="000000"/>
          <w:sz w:val="24"/>
          <w:szCs w:val="22"/>
          <w:highlight w:val="none"/>
          <w:lang w:val="zh-CN"/>
        </w:rPr>
        <w:t xml:space="preserve">（</w:t>
      </w:r>
      <w:r>
        <w:rPr>
          <w:rFonts w:hint="eastAsia" w:ascii="宋体" w:hAnsi="宋体"/>
          <w:b/>
          <w:bCs/>
          <w:iCs/>
          <w:color w:val="000000"/>
          <w:sz w:val="24"/>
          <w:szCs w:val="22"/>
          <w:highlight w:val="none"/>
          <w:lang w:val="zh-CN"/>
        </w:rPr>
        <w:t xml:space="preserve">本招标文件中斜体且有下划线部分，或者打“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”内容为实质性要求和条件</w:t>
      </w:r>
      <w:r>
        <w:rPr>
          <w:rFonts w:hint="eastAsia" w:ascii="宋体" w:hAnsi="宋体"/>
          <w:iCs/>
          <w:color w:val="000000"/>
          <w:sz w:val="24"/>
          <w:szCs w:val="22"/>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.1.10</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评委会认为投标人的报价明显低于其他通过符合性审查投标人的报价，有可能影响</w:t>
      </w:r>
      <w:r>
        <w:rPr>
          <w:rFonts w:hint="eastAsia" w:ascii="宋体" w:hAnsi="宋体"/>
          <w:color w:val="000000"/>
          <w:sz w:val="24"/>
          <w:highlight w:val="none"/>
        </w:rPr>
        <w:t xml:space="preserve">服务</w:t>
      </w:r>
      <w:r>
        <w:rPr>
          <w:rFonts w:hint="eastAsia" w:ascii="宋体" w:hAnsi="宋体"/>
          <w:color w:val="000000"/>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投标文件未按照招标文件要求加盖电子公章。</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废标条款</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因苏采云系统故障造成开标不成功。</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.3 如出现投标截止时间后参加投标的供应商或者对招标文件作出实质</w:t>
      </w:r>
      <w:r>
        <w:rPr>
          <w:rFonts w:hint="eastAsia" w:ascii="宋体" w:hAnsi="宋体"/>
          <w:color w:val="000000"/>
          <w:sz w:val="24"/>
          <w:highlight w:val="none"/>
        </w:rPr>
        <w:t xml:space="preserve">性</w:t>
      </w:r>
      <w:r>
        <w:rPr>
          <w:rFonts w:hint="eastAsia" w:ascii="宋体" w:hAnsi="宋体"/>
          <w:color w:val="000000"/>
          <w:sz w:val="24"/>
          <w:highlight w:val="none"/>
          <w:lang w:val="zh-CN"/>
        </w:rPr>
        <w:t xml:space="preserve">响应的供应商不足三家</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情况，按政府采购相关规定执行。</w:t>
      </w:r>
      <w:bookmarkEnd w:id="141"/>
      <w:r/>
      <w:bookmarkEnd w:id="142"/>
      <w:r/>
      <w:bookmarkEnd w:id="143"/>
      <w:r/>
      <w:bookmarkEnd w:id="176"/>
      <w:r/>
      <w:bookmarkEnd w:id="177"/>
      <w:r/>
      <w:bookmarkEnd w:id="178"/>
      <w:r/>
      <w:r/>
    </w:p>
    <w:p>
      <w:pPr>
        <w:pStyle w:val="887"/>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
    </w:p>
    <w:p>
      <w:pPr>
        <w:pStyle w:val="714"/>
        <w:ind w:firstLine="420"/>
        <w:spacing w:before="0" w:after="0" w:line="240" w:lineRule="auto"/>
        <w:rPr>
          <w:rFonts w:hint="eastAsia" w:ascii="方正楷体_GBK" w:hAnsi="方正楷体_GBK" w:eastAsia="方正楷体_GBK" w:cs="方正楷体_GBK"/>
          <w:color w:val="000000"/>
          <w:highlight w:val="none"/>
        </w:rPr>
      </w:pPr>
      <w:r/>
      <w:bookmarkStart w:id="180" w:name="_Toc513029238"/>
      <w:r/>
      <w:bookmarkStart w:id="181" w:name="_Toc16938554"/>
      <w:r/>
      <w:bookmarkStart w:id="182" w:name="_Toc20823310"/>
      <w:r>
        <w:rPr>
          <w:rFonts w:hint="eastAsia" w:ascii="方正楷体_GBK" w:hAnsi="方正楷体_GBK" w:eastAsia="方正楷体_GBK" w:cs="方正楷体_GBK"/>
          <w:color w:val="000000"/>
          <w:highlight w:val="none"/>
        </w:rPr>
        <w:t xml:space="preserve">2</w:t>
      </w:r>
      <w:bookmarkEnd w:id="180"/>
      <w:r>
        <w:rPr>
          <w:rFonts w:hint="eastAsia" w:ascii="方正楷体_GBK" w:hAnsi="方正楷体_GBK" w:eastAsia="方正楷体_GBK" w:cs="方正楷体_GBK"/>
          <w:color w:val="000000"/>
          <w:highlight w:val="none"/>
        </w:rPr>
        <w:t xml:space="preserve">6.确定</w:t>
      </w:r>
      <w:bookmarkEnd w:id="181"/>
      <w:r/>
      <w:bookmarkEnd w:id="182"/>
      <w:r>
        <w:rPr>
          <w:rFonts w:hint="eastAsia" w:ascii="方正楷体_GBK" w:hAnsi="方正楷体_GBK" w:eastAsia="方正楷体_GBK" w:cs="方正楷体_GBK"/>
          <w:color w:val="000000"/>
          <w:highlight w:val="none"/>
        </w:rPr>
        <w:t xml:space="preserve">中标单位</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）种方式确定中标人：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向采购人、交易中心行贿或者提供其他不正当利益。</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与采购人或者其他供应商恶意串通。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p>
    <w:p>
      <w:pPr>
        <w:ind w:firstLine="420"/>
        <w:rPr>
          <w:rFonts w:hint="eastAsia" w:ascii="宋体" w:hAnsi="宋体"/>
          <w:b/>
          <w:bCs/>
          <w:color w:val="000000"/>
          <w:sz w:val="24"/>
          <w:highlight w:val="none"/>
          <w:lang w:val="zh-CN"/>
        </w:rPr>
      </w:pPr>
      <w:r/>
      <w:bookmarkStart w:id="183"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bookmarkEnd w:id="183"/>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27.中标通知书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87"/>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color w:val="000000"/>
          <w:sz w:val="30"/>
          <w:szCs w:val="30"/>
          <w:highlight w:val="none"/>
        </w:rPr>
        <w:t xml:space="preserve">七、授予合同</w:t>
      </w:r>
      <w:bookmarkEnd w:id="184"/>
      <w:r/>
      <w:bookmarkEnd w:id="185"/>
      <w:r/>
      <w:bookmarkEnd w:id="186"/>
      <w:r/>
      <w:bookmarkEnd w:id="187"/>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28.签订合同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发出之日起三十日内，按照招标文件确定的事项与采购人签订政府采购合同。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29.服务（包含与服务相关的货物）的追加</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r/>
    </w:p>
    <w:p>
      <w:pPr>
        <w:pStyle w:val="714"/>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南京市公共资源交易中心网站“小企业融资平台”，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p>
    <w:p>
      <w:pPr>
        <w:ind w:firstLine="42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p>
    <w:p>
      <w:pPr>
        <w:pStyle w:val="887"/>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规定以书面形式向交易中心或采购人提出质疑。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供应商如组成联合体参加投标，《质疑函范本》中要求加盖公章之处，联合体各方均须按要求加盖公章。</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w:t>
      </w:r>
      <w:r>
        <w:rPr>
          <w:rFonts w:hint="eastAsia" w:ascii="宋体" w:hAnsi="宋体"/>
          <w:b/>
          <w:bCs/>
          <w:color w:val="000000"/>
          <w:sz w:val="24"/>
          <w:highlight w:val="none"/>
          <w:lang w:val="zh-CN"/>
        </w:rPr>
        <w:t xml:space="preserve">与</w:t>
      </w:r>
      <w:r>
        <w:rPr>
          <w:rFonts w:hint="eastAsia" w:ascii="宋体" w:hAnsi="宋体"/>
          <w:b/>
          <w:bCs/>
          <w:color w:val="000000"/>
          <w:sz w:val="24"/>
          <w:highlight w:val="none"/>
          <w:lang w:val="zh-CN"/>
        </w:rPr>
        <w:t xml:space="preserve">本项目</w:t>
      </w:r>
      <w:r>
        <w:rPr>
          <w:rFonts w:hint="eastAsia" w:ascii="宋体" w:hAnsi="宋体"/>
          <w:b/>
          <w:bCs/>
          <w:color w:val="000000"/>
          <w:sz w:val="24"/>
          <w:highlight w:val="none"/>
          <w:lang w:val="zh-CN"/>
        </w:rPr>
        <w:t xml:space="preserve">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lang w:val="zh-CN"/>
        </w:rPr>
        <w:t xml:space="preserve">所有</w:t>
      </w:r>
      <w:r>
        <w:rPr>
          <w:rFonts w:hint="eastAsia" w:ascii="宋体" w:hAnsi="宋体"/>
          <w:b/>
          <w:bCs/>
          <w:color w:val="000000"/>
          <w:sz w:val="24"/>
          <w:highlight w:val="none"/>
          <w:lang w:val="zh-CN"/>
        </w:rPr>
        <w:t xml:space="preserve">询问、质疑</w:t>
      </w:r>
      <w:r>
        <w:rPr>
          <w:rFonts w:hint="eastAsia" w:ascii="宋体" w:hAnsi="宋体"/>
          <w:b/>
          <w:bCs/>
          <w:color w:val="000000"/>
          <w:sz w:val="24"/>
          <w:highlight w:val="none"/>
          <w:lang w:val="zh-CN"/>
        </w:rPr>
        <w:t xml:space="preserve">均</w:t>
      </w:r>
      <w:r>
        <w:rPr>
          <w:rFonts w:hint="eastAsia" w:ascii="宋体" w:hAnsi="宋体"/>
          <w:b/>
          <w:bCs/>
          <w:color w:val="000000"/>
          <w:sz w:val="24"/>
          <w:highlight w:val="none"/>
          <w:lang w:val="zh-CN"/>
        </w:rPr>
        <w:t xml:space="preserve">向采购人提出，由采购人负责答复。</w:t>
      </w:r>
      <w:r/>
    </w:p>
    <w:p>
      <w:pPr>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采购人《质疑函》接收人及联系方式</w:t>
      </w:r>
      <w:r>
        <w:rPr>
          <w:rFonts w:hint="eastAsia" w:ascii="宋体" w:hAnsi="宋体"/>
          <w:b/>
          <w:bCs/>
          <w:color w:val="000000"/>
          <w:sz w:val="24"/>
          <w:highlight w:val="none"/>
          <w:lang w:val="zh-CN"/>
        </w:rPr>
        <w:t xml:space="preserve">。</w:t>
      </w:r>
      <w:r>
        <w:rPr>
          <w:rFonts w:hint="eastAsia" w:ascii="宋体" w:hAnsi="宋体"/>
          <w:color w:val="000000"/>
          <w:sz w:val="24"/>
          <w:highlight w:val="none"/>
          <w:lang w:val="zh-CN"/>
        </w:rPr>
        <w:t xml:space="preserve">收件人：</w:t>
      </w:r>
      <w:r>
        <w:rPr>
          <w:rFonts w:hint="eastAsia" w:ascii="宋体" w:hAnsi="宋体"/>
          <w:color w:val="000000"/>
          <w:sz w:val="24"/>
          <w:szCs w:val="24"/>
          <w:highlight w:val="none"/>
        </w:rPr>
        <w:t xml:space="preserve">杨涛</w:t>
      </w:r>
      <w:r>
        <w:rPr>
          <w:rFonts w:hint="eastAsia" w:ascii="宋体" w:hAnsi="宋体"/>
          <w:color w:val="000000"/>
          <w:sz w:val="24"/>
          <w:highlight w:val="none"/>
          <w:lang w:val="zh-CN"/>
        </w:rPr>
        <w:t xml:space="preserve">，地址：</w:t>
      </w:r>
      <w:r>
        <w:rPr>
          <w:rFonts w:hint="eastAsia" w:ascii="宋体" w:hAnsi="宋体"/>
          <w:color w:val="000000"/>
          <w:sz w:val="24"/>
          <w:szCs w:val="24"/>
          <w:highlight w:val="none"/>
        </w:rPr>
        <w:t xml:space="preserve">南京市栖霞区文苑路118号9区</w:t>
      </w:r>
      <w:r>
        <w:rPr>
          <w:rFonts w:hint="eastAsia" w:ascii="宋体" w:hAnsi="宋体"/>
          <w:color w:val="000000"/>
          <w:sz w:val="24"/>
          <w:highlight w:val="none"/>
          <w:lang w:val="zh-CN"/>
        </w:rPr>
        <w:t xml:space="preserve">，联系电话：</w:t>
      </w:r>
      <w:r>
        <w:rPr>
          <w:rFonts w:hint="eastAsia" w:ascii="宋体" w:hAnsi="宋体"/>
          <w:color w:val="000000"/>
          <w:sz w:val="24"/>
          <w:szCs w:val="24"/>
          <w:highlight w:val="none"/>
        </w:rPr>
        <w:t xml:space="preserve">025-85898076　</w:t>
      </w:r>
      <w:r>
        <w:rPr>
          <w:rFonts w:hint="eastAsia" w:ascii="宋体" w:hAnsi="宋体"/>
          <w:color w:val="000000"/>
          <w:sz w:val="24"/>
          <w:highlight w:val="none"/>
        </w:rPr>
        <w:t xml:space="preserve">  </w:t>
      </w:r>
      <w:r>
        <w:rPr>
          <w:rFonts w:hint="eastAsia" w:ascii="宋体" w:hAnsi="宋体"/>
          <w:b/>
          <w:bCs/>
          <w:color w:val="000000"/>
          <w:sz w:val="24"/>
          <w:highlight w:val="none"/>
          <w:lang w:val="zh-CN"/>
        </w:rPr>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内容不符合《政府采购质疑和投诉办法》第十二条规定的质疑。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超出政府采购法定期限的质疑。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以传真、电子邮件等方式递交的非原件形式的质疑。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6.4 未参加投标活动的供应商或在投标活动中自身权益未受到损害的供应商所提出的质疑。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6.5 供应商组成联合体参加投标，联合体中任何一方或多方未按要求签字</w:t>
      </w:r>
      <w:r>
        <w:rPr>
          <w:rFonts w:hint="eastAsia" w:ascii="宋体" w:hAnsi="宋体"/>
          <w:color w:val="000000"/>
          <w:sz w:val="24"/>
          <w:highlight w:val="none"/>
        </w:rPr>
        <w:t xml:space="preserve">或签章</w:t>
      </w:r>
      <w:r>
        <w:rPr>
          <w:rFonts w:hint="eastAsia" w:ascii="宋体" w:hAnsi="宋体"/>
          <w:color w:val="000000"/>
          <w:sz w:val="24"/>
          <w:highlight w:val="none"/>
          <w:lang w:val="zh-CN"/>
        </w:rPr>
        <w:t xml:space="preserve">、加盖公章的质疑。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87"/>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p>
    <w:p>
      <w:pPr>
        <w:pStyle w:val="714"/>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w:t>
      </w:r>
      <w:r>
        <w:rPr>
          <w:rFonts w:hint="eastAsia" w:ascii="宋体" w:hAnsi="宋体"/>
          <w:color w:val="000000"/>
          <w:sz w:val="24"/>
          <w:highlight w:val="none"/>
          <w:lang w:val="zh-CN"/>
        </w:rPr>
        <w:t xml:space="preserve">在政府采购活动中，供应商提供的货物或者服务符合下列情形的，享受中小企业扶持政策：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（1）在货物</w:t>
      </w: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项目中，</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货物由中小企业制造；</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（2）在服务</w:t>
      </w: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项目中，服务由中小企业承接。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p>
    <w:p>
      <w:pPr>
        <w:pStyle w:val="71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p>
    <w:p>
      <w:pPr>
        <w:pStyle w:val="987"/>
        <w:ind w:left="0"/>
        <w:jc w:val="center"/>
        <w:rPr>
          <w:rFonts w:hint="eastAsia" w:ascii="方正小标宋简体" w:hAnsi="方正小标宋简体" w:eastAsia="方正小标宋简体" w:cs="方正小标宋简体"/>
          <w:color w:val="000000"/>
          <w:sz w:val="36"/>
          <w:szCs w:val="36"/>
          <w:highlight w:val="none"/>
          <w:lang w:val="en-US"/>
        </w:rPr>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p>
    <w:p>
      <w:pPr>
        <w:jc w:val="center"/>
        <w:spacing w:before="145" w:after="145"/>
        <w:rPr>
          <w:rFonts w:hint="eastAsia" w:ascii="宋体" w:hAnsi="宋体"/>
          <w:bCs/>
          <w:color w:val="000000"/>
          <w:sz w:val="24"/>
          <w:highlight w:val="none"/>
        </w:rPr>
        <w:outlineLvl w:val="0"/>
      </w:pPr>
      <w:r/>
      <w:bookmarkStart w:id="188" w:name="_Toc513029243"/>
      <w:r/>
      <w:bookmarkStart w:id="189" w:name="_Toc16938559"/>
      <w:r/>
      <w:bookmarkStart w:id="190" w:name="_Toc20823315"/>
      <w:r>
        <w:rPr>
          <w:rFonts w:hint="eastAsia" w:ascii="宋体" w:hAnsi="宋体"/>
          <w:bCs/>
          <w:color w:val="000000"/>
          <w:sz w:val="24"/>
          <w:highlight w:val="none"/>
        </w:rPr>
        <w:t xml:space="preserve">以下为本项目的合同条款，合同双方不得对招标、投标文件内容作实质性修改。</w:t>
      </w:r>
      <w:r/>
    </w:p>
    <w:p>
      <w:pPr>
        <w:pStyle w:val="987"/>
        <w:ind w:left="0"/>
        <w:rPr>
          <w:rFonts w:hint="eastAsia"/>
          <w:color w:val="000000"/>
          <w:highlight w:val="none"/>
        </w:rPr>
      </w:pPr>
      <w:r>
        <w:rPr>
          <w:rFonts w:hint="eastAsia"/>
          <w:color w:val="000000"/>
          <w:highlight w:val="none"/>
        </w:rPr>
      </w:r>
      <w:r/>
    </w:p>
    <w:p>
      <w:pPr>
        <w:jc w:val="center"/>
        <w:spacing w:before="145" w:after="145"/>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p>
    <w:p>
      <w:pPr>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合同编号：</w:t>
      </w:r>
      <w:r/>
    </w:p>
    <w:p>
      <w:pPr>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p>
    <w:p>
      <w:pPr>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甲方：（买方）</w:t>
      </w:r>
      <w:r/>
    </w:p>
    <w:p>
      <w:pPr>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乙方：（卖方）</w:t>
      </w:r>
      <w:r/>
    </w:p>
    <w:p>
      <w:pPr>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履行时间（期限）：自合同签订之日起二年，每年服务期满，采购人有权根据考核情况决定继续履行合同或终止合同。</w:t>
      </w:r>
      <w:r/>
    </w:p>
    <w:p>
      <w:pPr>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p>
    <w:p>
      <w:pPr>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921"/>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本合同金额为（大写）：____________________圆（____________________元）人民币。</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pStyle w:val="921"/>
        <w:rPr>
          <w:rFonts w:hint="eastAsia" w:hAnsi="宋体"/>
          <w:color w:val="000000"/>
          <w:sz w:val="24"/>
          <w:szCs w:val="24"/>
          <w:highlight w:val="none"/>
        </w:rPr>
      </w:pPr>
      <w:r>
        <w:rPr>
          <w:rFonts w:hint="eastAsia" w:hAnsi="宋体"/>
          <w:color w:val="000000"/>
          <w:sz w:val="24"/>
          <w:szCs w:val="24"/>
          <w:highlight w:val="none"/>
        </w:rPr>
        <w:t xml:space="preserve">8.1 合同款项的支付方式及时间</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w:t>
      </w:r>
      <w:r>
        <w:rPr>
          <w:rFonts w:ascii="宋体" w:hAnsi="宋体" w:cs="Courier New"/>
          <w:color w:val="000000"/>
          <w:sz w:val="24"/>
          <w:szCs w:val="24"/>
          <w:highlight w:val="none"/>
        </w:rPr>
        <w:t xml:space="preserve">.1.1</w:t>
      </w:r>
      <w:r>
        <w:rPr>
          <w:rFonts w:hint="eastAsia" w:ascii="宋体" w:hAnsi="宋体" w:cs="Courier New"/>
          <w:color w:val="000000"/>
          <w:sz w:val="24"/>
          <w:szCs w:val="24"/>
          <w:highlight w:val="none"/>
        </w:rPr>
        <w:t xml:space="preserve">合同签订后，采购人按各分包合同金额的10%支付预付款，预付款于第一次付进度款时扣回。 </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w:t>
      </w: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乙方以中标的各分包综合单价作为计价依据，根据合同内实际发生的工作量每年的6月底和12月底上报一次计量(上报的计量是半年的计量，逾期视同中乙方放弃计量付款需求），工作量经审核后，支付审核计量价款的80%作为半年进度款（扣除考核扣款、违约金等）；</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w:t>
      </w:r>
      <w:r>
        <w:rPr>
          <w:rFonts w:ascii="宋体" w:hAnsi="宋体" w:cs="Courier New"/>
          <w:color w:val="000000"/>
          <w:sz w:val="24"/>
          <w:szCs w:val="24"/>
          <w:highlight w:val="none"/>
        </w:rPr>
        <w:t xml:space="preserve">.1.3</w:t>
      </w:r>
      <w:r>
        <w:rPr>
          <w:rFonts w:hint="eastAsia" w:ascii="宋体" w:hAnsi="宋体" w:cs="Courier New"/>
          <w:color w:val="000000"/>
          <w:sz w:val="24"/>
          <w:szCs w:val="24"/>
          <w:highlight w:val="none"/>
        </w:rPr>
        <w:t xml:space="preserve">项目完工验收合格后，乙方提供完工资料、结算资料交采购人，经甲方审核合格并完成结算审计后，支付至结算各分包审定价的100%（扣除考核扣款、违约金等）；</w:t>
      </w:r>
      <w:r/>
    </w:p>
    <w:p>
      <w:pPr>
        <w:pStyle w:val="921"/>
        <w:rPr>
          <w:rFonts w:hint="eastAsia"/>
          <w:color w:val="000000"/>
          <w:highlight w:val="none"/>
        </w:rPr>
      </w:pPr>
      <w:r>
        <w:rPr>
          <w:rFonts w:hint="eastAsia" w:hAnsi="宋体"/>
          <w:color w:val="000000"/>
          <w:sz w:val="24"/>
          <w:szCs w:val="24"/>
          <w:highlight w:val="none"/>
        </w:rPr>
        <w:t xml:space="preserve">8.1.4满足合同约定支付条件的，甲方收到乙方增值税普通发票后10个工作日内，将资金支付到合同约定的乙方账户。 </w:t>
      </w:r>
      <w:r/>
    </w:p>
    <w:p>
      <w:pPr>
        <w:pStyle w:val="921"/>
        <w:rPr>
          <w:rFonts w:hint="eastAsia" w:hAnsi="宋体"/>
          <w:color w:val="000000"/>
          <w:sz w:val="24"/>
          <w:szCs w:val="24"/>
          <w:highlight w:val="none"/>
        </w:rPr>
      </w:pPr>
      <w:r>
        <w:rPr>
          <w:rFonts w:hint="eastAsia" w:hAnsi="宋体"/>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p>
    <w:p>
      <w:pPr>
        <w:rPr>
          <w:rFonts w:ascii="宋体" w:hAnsi="宋体" w:cs="Courier New"/>
          <w:color w:val="000000"/>
          <w:sz w:val="24"/>
          <w:szCs w:val="24"/>
          <w:highlight w:val="none"/>
        </w:rPr>
      </w:pPr>
      <w:r>
        <w:rPr>
          <w:rFonts w:ascii="宋体" w:hAnsi="宋体" w:cs="Courier New"/>
          <w:color w:val="000000"/>
          <w:sz w:val="24"/>
          <w:szCs w:val="24"/>
          <w:highlight w:val="none"/>
          <w:u w:val="single"/>
        </w:rPr>
        <w:t xml:space="preserve">3%</w:t>
      </w:r>
      <w:r>
        <w:rPr>
          <w:rFonts w:hint="eastAsia" w:ascii="宋体" w:hAnsi="宋体" w:cs="Courier New"/>
          <w:color w:val="000000"/>
          <w:sz w:val="24"/>
          <w:szCs w:val="24"/>
          <w:highlight w:val="none"/>
        </w:rPr>
        <w:t xml:space="preserve">的违约金。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万分之一</w:t>
      </w:r>
      <w:r>
        <w:rPr>
          <w:rFonts w:hint="eastAsia" w:ascii="宋体" w:hAnsi="宋体" w:cs="Courier New"/>
          <w:color w:val="000000"/>
          <w:sz w:val="24"/>
          <w:szCs w:val="24"/>
          <w:highlight w:val="none"/>
        </w:rPr>
        <w:t xml:space="preserve">向乙方支付违约金。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万分之一</w:t>
      </w:r>
      <w:r>
        <w:rPr>
          <w:rFonts w:hint="eastAsia" w:ascii="宋体" w:hAnsi="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000000"/>
          <w:sz w:val="24"/>
          <w:szCs w:val="24"/>
          <w:highlight w:val="none"/>
          <w:u w:val="single"/>
        </w:rPr>
        <w:t xml:space="preserve">10%</w:t>
      </w:r>
      <w:r>
        <w:rPr>
          <w:rFonts w:hint="eastAsia" w:ascii="宋体" w:hAnsi="宋体" w:cs="Courier New"/>
          <w:color w:val="000000"/>
          <w:sz w:val="24"/>
          <w:szCs w:val="24"/>
          <w:highlight w:val="none"/>
        </w:rPr>
        <w:t xml:space="preserve">的违约金。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p>
    <w:p>
      <w:pPr>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本合同经双方签字盖章后生效。</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p>
    <w:p>
      <w:pPr>
        <w:pStyle w:val="92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bookmarkEnd w:id="188"/>
      <w:r/>
      <w:bookmarkEnd w:id="189"/>
      <w:r/>
      <w:bookmarkEnd w:id="190"/>
      <w:r/>
      <w:r/>
    </w:p>
    <w:p>
      <w:pPr>
        <w:pStyle w:val="921"/>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甲方：（盖章）                       乙方：（盖章） </w:t>
      </w:r>
      <w:r/>
    </w:p>
    <w:p>
      <w:pPr>
        <w:pStyle w:val="921"/>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p>
    <w:p>
      <w:pPr>
        <w:pStyle w:val="921"/>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p>
    <w:p>
      <w:pPr>
        <w:pStyle w:val="921"/>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p>
    <w:p>
      <w:pPr>
        <w:pStyle w:val="92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p>
    <w:p>
      <w:pPr>
        <w:pStyle w:val="921"/>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p>
    <w:p>
      <w:pPr>
        <w:pStyle w:val="921"/>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ind w:firstLine="602"/>
        <w:spacing w:before="435" w:line="360" w:lineRule="auto"/>
        <w:rPr>
          <w:rFonts w:ascii="宋体" w:hAnsi="宋体"/>
          <w:b/>
          <w:color w:val="000000"/>
          <w:sz w:val="30"/>
          <w:highlight w:val="none"/>
        </w:rPr>
      </w:pPr>
      <w:r>
        <w:rPr>
          <w:rFonts w:hint="eastAsia" w:ascii="宋体" w:hAnsi="宋体"/>
          <w:b/>
          <w:color w:val="000000"/>
          <w:sz w:val="30"/>
          <w:highlight w:val="none"/>
        </w:rPr>
        <w:t xml:space="preserve">《仙林地区市政道路与市政设施维护服务合同》补充协议（合同附件）</w:t>
      </w:r>
      <w:r/>
    </w:p>
    <w:p>
      <w:pPr>
        <w:ind w:firstLine="422"/>
        <w:spacing w:before="435" w:line="360" w:lineRule="auto"/>
        <w:rPr>
          <w:rFonts w:ascii="宋体" w:hAnsi="宋体"/>
          <w:b/>
          <w:bCs/>
          <w:color w:val="000000"/>
          <w:highlight w:val="none"/>
        </w:rPr>
      </w:pPr>
      <w:r>
        <w:rPr>
          <w:rFonts w:hint="eastAsia" w:ascii="宋体" w:hAnsi="宋体"/>
          <w:b/>
          <w:bCs/>
          <w:color w:val="000000"/>
          <w:highlight w:val="none"/>
        </w:rPr>
        <w:t xml:space="preserve">一 采购人</w:t>
      </w:r>
      <w:r/>
    </w:p>
    <w:p>
      <w:pPr>
        <w:ind w:firstLine="420"/>
        <w:spacing w:line="400" w:lineRule="exact"/>
        <w:rPr>
          <w:rFonts w:ascii="宋体" w:hAnsi="宋体"/>
          <w:color w:val="000000"/>
          <w:highlight w:val="none"/>
        </w:rPr>
      </w:pPr>
      <w:r>
        <w:rPr>
          <w:rFonts w:hint="eastAsia" w:ascii="宋体" w:hAnsi="宋体"/>
          <w:color w:val="000000"/>
          <w:highlight w:val="none"/>
        </w:rPr>
        <w:t xml:space="preserve">1、采购</w:t>
      </w:r>
      <w:r>
        <w:rPr>
          <w:rFonts w:ascii="宋体" w:hAnsi="宋体"/>
          <w:color w:val="000000"/>
          <w:highlight w:val="none"/>
        </w:rPr>
        <w:t xml:space="preserve">人代表</w:t>
      </w:r>
      <w:r/>
    </w:p>
    <w:p>
      <w:pPr>
        <w:ind w:firstLine="420"/>
        <w:spacing w:line="400" w:lineRule="exact"/>
        <w:rPr>
          <w:rFonts w:ascii="宋体" w:hAnsi="宋体"/>
          <w:color w:val="000000"/>
          <w:highlight w:val="none"/>
        </w:rPr>
      </w:pPr>
      <w:r>
        <w:rPr>
          <w:rFonts w:hint="eastAsia" w:ascii="宋体" w:hAnsi="宋体"/>
          <w:color w:val="000000"/>
          <w:highlight w:val="none"/>
        </w:rPr>
        <w:t xml:space="preserve">姓</w:t>
      </w:r>
      <w:r>
        <w:rPr>
          <w:rFonts w:ascii="宋体" w:hAnsi="宋体"/>
          <w:color w:val="000000"/>
          <w:highlight w:val="none"/>
        </w:rPr>
        <w:t xml:space="preserve">    名：</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职</w:t>
      </w:r>
      <w:r>
        <w:rPr>
          <w:rFonts w:ascii="宋体" w:hAnsi="宋体"/>
          <w:color w:val="000000"/>
          <w:highlight w:val="none"/>
        </w:rPr>
        <w:t xml:space="preserve">    务：</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联系电话：</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电子信箱：</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通信地址：</w:t>
      </w:r>
      <w:r>
        <w:rPr>
          <w:rFonts w:hint="eastAsia" w:ascii="宋体" w:hAnsi="宋体"/>
          <w:color w:val="000000"/>
          <w:highlight w:val="none"/>
          <w:u w:val="single"/>
        </w:rPr>
        <w:t xml:space="preserve">      </w:t>
      </w:r>
      <w:r>
        <w:rPr>
          <w:rFonts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采购人对采购人代表的授权范围如下：行使采购人代表的权利，包括组织开展工作现场采购人的工作、对监理工作的检查及代表采购人行使本合同授予采购人的所有权利。</w:t>
      </w:r>
      <w:r/>
    </w:p>
    <w:p>
      <w:pPr>
        <w:ind w:firstLine="420"/>
        <w:spacing w:line="400" w:lineRule="exact"/>
        <w:rPr>
          <w:rFonts w:ascii="宋体" w:hAnsi="宋体"/>
          <w:color w:val="000000"/>
          <w:highlight w:val="none"/>
        </w:rPr>
      </w:pPr>
      <w:r>
        <w:rPr>
          <w:rFonts w:hint="eastAsia" w:ascii="宋体" w:hAnsi="宋体"/>
          <w:color w:val="000000"/>
          <w:highlight w:val="none"/>
        </w:rPr>
        <w:t xml:space="preserve">工作量调整、设计变更及签证等；工期顺延的签证；分包单位的确认；验收报告的确认；主持工作现场采购人的工作；对合同执行情况进行检查监督以及对监理工作的检查。</w:t>
      </w:r>
      <w:r/>
    </w:p>
    <w:p>
      <w:pPr>
        <w:ind w:firstLine="420"/>
        <w:spacing w:line="400" w:lineRule="exact"/>
        <w:rPr>
          <w:rFonts w:ascii="宋体" w:hAnsi="宋体"/>
          <w:color w:val="000000"/>
          <w:highlight w:val="none"/>
        </w:rPr>
      </w:pPr>
      <w:r>
        <w:rPr>
          <w:rFonts w:hint="eastAsia" w:ascii="宋体" w:hAnsi="宋体"/>
          <w:color w:val="000000"/>
          <w:highlight w:val="none"/>
        </w:rPr>
        <w:t xml:space="preserve">2、本项目的管理人为 </w:t>
      </w:r>
      <w:r>
        <w:rPr>
          <w:rFonts w:hint="eastAsia" w:ascii="宋体" w:hAnsi="宋体"/>
          <w:color w:val="000000"/>
          <w:highlight w:val="none"/>
          <w:u w:val="single"/>
        </w:rPr>
        <w:t xml:space="preserve">                       </w:t>
      </w:r>
      <w:r>
        <w:rPr>
          <w:rFonts w:hint="eastAsia" w:ascii="宋体" w:hAnsi="宋体"/>
          <w:color w:val="000000"/>
          <w:highlight w:val="none"/>
        </w:rPr>
        <w:t xml:space="preserve">，管理人可行使本合同中采购人的权利并承担相应的义务，供应商必须服从管理人的管理。</w:t>
      </w:r>
      <w:r/>
    </w:p>
    <w:p>
      <w:pPr>
        <w:ind w:firstLine="420"/>
        <w:spacing w:line="400" w:lineRule="exact"/>
        <w:rPr>
          <w:rFonts w:ascii="宋体" w:hAnsi="宋体"/>
          <w:color w:val="000000"/>
          <w:highlight w:val="none"/>
        </w:rPr>
      </w:pPr>
      <w:r>
        <w:rPr>
          <w:rFonts w:hint="eastAsia" w:ascii="宋体" w:hAnsi="宋体"/>
          <w:color w:val="000000"/>
          <w:highlight w:val="none"/>
        </w:rPr>
        <w:t xml:space="preserve">姓    名：</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职    务：</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联系电话：</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电子信箱：</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400" w:lineRule="exact"/>
        <w:rPr>
          <w:rFonts w:ascii="宋体" w:hAnsi="宋体"/>
          <w:color w:val="000000"/>
          <w:highlight w:val="none"/>
          <w:u w:val="single"/>
        </w:rPr>
      </w:pPr>
      <w:r>
        <w:rPr>
          <w:rFonts w:hint="eastAsia" w:ascii="宋体" w:hAnsi="宋体"/>
          <w:color w:val="000000"/>
          <w:highlight w:val="none"/>
        </w:rPr>
        <w:t xml:space="preserve">通信地址：</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rPr>
          <w:rFonts w:ascii="宋体" w:hAnsi="宋体"/>
          <w:color w:val="000000"/>
          <w:highlight w:val="none"/>
        </w:rPr>
      </w:pPr>
      <w:r>
        <w:rPr>
          <w:rFonts w:hint="eastAsia" w:ascii="宋体" w:hAnsi="宋体"/>
          <w:color w:val="000000"/>
          <w:highlight w:val="none"/>
        </w:rPr>
        <w:t xml:space="preserve"> </w:t>
      </w:r>
      <w:r/>
    </w:p>
    <w:p>
      <w:pPr>
        <w:ind w:firstLine="422"/>
        <w:spacing w:line="360" w:lineRule="auto"/>
        <w:rPr>
          <w:rFonts w:ascii="宋体" w:hAnsi="宋体"/>
          <w:b/>
          <w:bCs/>
          <w:color w:val="000000"/>
          <w:highlight w:val="none"/>
        </w:rPr>
      </w:pPr>
      <w:r>
        <w:rPr>
          <w:rFonts w:hint="eastAsia" w:ascii="宋体" w:hAnsi="宋体"/>
          <w:b/>
          <w:bCs/>
          <w:color w:val="000000"/>
          <w:highlight w:val="none"/>
        </w:rPr>
        <w:t xml:space="preserve">二 供应商</w:t>
      </w:r>
      <w:r/>
    </w:p>
    <w:p>
      <w:pPr>
        <w:ind w:firstLine="420"/>
        <w:spacing w:line="360" w:lineRule="auto"/>
        <w:rPr>
          <w:rFonts w:ascii="宋体" w:hAnsi="宋体"/>
          <w:color w:val="000000"/>
          <w:highlight w:val="none"/>
        </w:rPr>
      </w:pPr>
      <w:r>
        <w:rPr>
          <w:rFonts w:hint="eastAsia" w:ascii="宋体" w:hAnsi="宋体"/>
          <w:color w:val="000000"/>
          <w:highlight w:val="none"/>
        </w:rPr>
        <w:t xml:space="preserve">1、供应商的一般义务</w:t>
      </w:r>
      <w:r/>
    </w:p>
    <w:p>
      <w:pPr>
        <w:ind w:firstLine="420"/>
        <w:spacing w:line="360" w:lineRule="auto"/>
        <w:rPr>
          <w:rFonts w:ascii="宋体" w:hAnsi="宋体"/>
          <w:color w:val="000000"/>
          <w:highlight w:val="none"/>
        </w:rPr>
      </w:pPr>
      <w:r>
        <w:rPr>
          <w:rFonts w:hint="eastAsia" w:ascii="宋体" w:hAnsi="宋体"/>
          <w:color w:val="000000"/>
          <w:highlight w:val="none"/>
        </w:rPr>
        <w:t xml:space="preserve">（1）供应商提交的完工资料的内容：完工后60天内，供应商完成并提交完整的完工资料，内容必须真实、准确，与实际符合。其中2套原件、2套复印件、4套光盘；结算文件3套、完工图4套，并报监理审核。</w:t>
      </w:r>
      <w:r/>
    </w:p>
    <w:p>
      <w:pPr>
        <w:ind w:firstLine="420"/>
        <w:spacing w:line="360" w:lineRule="auto"/>
        <w:rPr>
          <w:rFonts w:ascii="宋体" w:hAnsi="宋体"/>
          <w:color w:val="000000"/>
          <w:highlight w:val="none"/>
        </w:rPr>
      </w:pPr>
      <w:r>
        <w:rPr>
          <w:rFonts w:hint="eastAsia" w:ascii="宋体" w:hAnsi="宋体"/>
          <w:color w:val="000000"/>
          <w:highlight w:val="none"/>
        </w:rPr>
        <w:t xml:space="preserve">（2）供应商应履行的其他义务：</w:t>
      </w:r>
      <w:r/>
    </w:p>
    <w:p>
      <w:pPr>
        <w:ind w:firstLine="420"/>
        <w:spacing w:line="360" w:lineRule="auto"/>
        <w:rPr>
          <w:rFonts w:ascii="宋体" w:hAnsi="宋体"/>
          <w:color w:val="000000"/>
          <w:highlight w:val="none"/>
        </w:rPr>
      </w:pPr>
      <w:r>
        <w:rPr>
          <w:rFonts w:hint="eastAsia" w:ascii="宋体" w:hAnsi="宋体"/>
          <w:color w:val="000000"/>
          <w:highlight w:val="none"/>
        </w:rPr>
        <w:t xml:space="preserve">A、供应商必须按采购人和监理的要求完成开工前的申请报告以及所要求的各类报表、有针对性的组织设计及分项组织设计。开工前一周按采购人要求提供进度总计划、供应商自购材料清单、材料进场计划、劳动力及月度用款计划等资料；进场开工后每月二十五日前应分别向采购人、监理人提交详细的进度计划，已完工作量报表（含因设计变更引起的工作量及价款调整的申请）及下月计划表。</w:t>
      </w:r>
      <w:r/>
    </w:p>
    <w:p>
      <w:pPr>
        <w:ind w:firstLine="420"/>
        <w:spacing w:line="360" w:lineRule="auto"/>
        <w:rPr>
          <w:rFonts w:ascii="宋体" w:hAnsi="宋体"/>
          <w:color w:val="000000"/>
          <w:highlight w:val="none"/>
        </w:rPr>
      </w:pPr>
      <w:r>
        <w:rPr>
          <w:rFonts w:hint="eastAsia" w:ascii="宋体" w:hAnsi="宋体"/>
          <w:color w:val="000000"/>
          <w:highlight w:val="none"/>
        </w:rPr>
        <w:t xml:space="preserve">B、供应商承担安全保卫工作及非夜间工作照明的责任和要求：负责采购人的安全责任，禁止外单位车辆、人员出入工地。禁止非供应商员进入现场，并保证现场范围内的一切人员和财产的安全工作，费用在报价中已包含。承担供应商工作范围的安全保卫工作，供应商认真做好工作场地的安全防护工作（包括照明、安全设施等），供应商对安全防护工作负全责（包括但不限于责任和费用），并负责采购人供应的材料设备的保管。如供应商未履行上述约定及通用条款相关义务造成工作、财产和人身伤害，由供应商承担责任、支付违约金及支付发生的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C、需供应商办理的有关现场场地交通、环卫和噪音管理等手续：涉及到的所有交通、环卫、市容、噪声及劳务用工管理等各项应办手续及费用，均由供应商自行办理和承担。供应商不得因此而影响工期，否则仍须承担违约责任。若因此而产生相应的行政处罚，概由供应商承担。</w:t>
      </w:r>
      <w:r/>
    </w:p>
    <w:p>
      <w:pPr>
        <w:ind w:firstLine="420"/>
        <w:spacing w:line="360" w:lineRule="auto"/>
        <w:rPr>
          <w:rFonts w:ascii="宋体" w:hAnsi="宋体"/>
          <w:color w:val="000000"/>
          <w:highlight w:val="none"/>
        </w:rPr>
      </w:pPr>
      <w:r>
        <w:rPr>
          <w:rFonts w:hint="eastAsia" w:ascii="宋体" w:hAnsi="宋体"/>
          <w:color w:val="000000"/>
          <w:highlight w:val="none"/>
        </w:rPr>
        <w:t xml:space="preserve">D、已完成品保护的特殊要求及费用承担：交付前由供应商负责人负责已完成品保护，采购人可以协助，费用由供应商负责。</w:t>
      </w:r>
      <w:r/>
    </w:p>
    <w:p>
      <w:pPr>
        <w:ind w:firstLine="420"/>
        <w:spacing w:line="360" w:lineRule="auto"/>
        <w:rPr>
          <w:rFonts w:ascii="宋体" w:hAnsi="宋体"/>
          <w:color w:val="000000"/>
          <w:highlight w:val="none"/>
        </w:rPr>
      </w:pPr>
      <w:r>
        <w:rPr>
          <w:rFonts w:hint="eastAsia" w:ascii="宋体" w:hAnsi="宋体"/>
          <w:color w:val="000000"/>
          <w:highlight w:val="none"/>
        </w:rPr>
        <w:t xml:space="preserve">E、工作场地周围地下管线和邻近建筑物、构筑物（含文物保护建筑）、古树名木的保护要求及费用承担：如果在工作期间发现文物或其它有价值的物品时，供应商应采取防止损害的措施，并立即报告采购人、国家文物或其他管理部门和保护现场；如果在工作过程中意外发现电线、水管或其它公共设施，供应商应立即停止挖掘工作，并立即报告采购人或专业管理部门。供应商根据有关指示，负责修理被破坏的上述公共设施，并恢复原状，费用由责任方承担。如因供应商原因受到相关管理部门的行政处罚，概由供应商承担。</w:t>
      </w:r>
      <w:r/>
    </w:p>
    <w:p>
      <w:pPr>
        <w:ind w:firstLine="420"/>
        <w:spacing w:line="360" w:lineRule="auto"/>
        <w:rPr>
          <w:rFonts w:ascii="宋体" w:hAnsi="宋体"/>
          <w:color w:val="000000"/>
          <w:highlight w:val="none"/>
        </w:rPr>
      </w:pPr>
      <w:r>
        <w:rPr>
          <w:rFonts w:hint="eastAsia" w:ascii="宋体" w:hAnsi="宋体"/>
          <w:color w:val="000000"/>
          <w:highlight w:val="none"/>
        </w:rPr>
        <w:t xml:space="preserve">F、现场清洁卫生的要求：做到文明、规范，保持场地整洁卫生外，还应按照采购人关于安全生产和文明工作要求办理，并做到：①设置、维修和管理临时排污系统；②按照南京市及区有关对</w:t>
      </w:r>
      <w:r>
        <w:rPr>
          <w:rFonts w:hint="eastAsia" w:ascii="宋体" w:hAnsi="宋体"/>
          <w:color w:val="000000"/>
          <w:highlight w:val="none"/>
        </w:rPr>
        <w:t xml:space="preserve">扬尘处理办法，对现场进行扬尘处理，并承担相关费用；③每天保持工作道路的畅通与清洁，负责保养及维修进入工作区域道路，费用由供应商承担；④收集和处理所有工作现场和生活区域内的所有垃圾，直到交付为止；⑤供应商应按采购人要求，按规定做好场内道路硬化、布置各项标识、标牌、便于检查、视察或参观；⑥若因供应商现场清洁卫生工作不好，导致投诉或新闻媒体曝光，供应商需承担由此产生的一切后果和费用；另采购人可要求供应商支付5万元/次的违约金，并计黄牌一次；⑦交付时应将其排污设施全部拆除并清理至采购人满意，供应商承担其相应的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G、作为本项目的总承包管理单位，供应商对本项目产生的各类垃圾至整体验收交付日之前均由供应商外运，供应商对本项目产生的全部垃圾已有充分预见，并已在报价中充分考虑此项费用，合同执行过程中不予签证，结算不调整。如不进行外运，发生一切费用则从合同款中直接扣回。</w:t>
      </w:r>
      <w:r/>
    </w:p>
    <w:p>
      <w:pPr>
        <w:ind w:firstLine="420"/>
        <w:spacing w:line="360" w:lineRule="auto"/>
        <w:rPr>
          <w:rFonts w:ascii="宋体" w:hAnsi="宋体"/>
          <w:color w:val="000000"/>
          <w:highlight w:val="none"/>
        </w:rPr>
      </w:pPr>
      <w:r>
        <w:rPr>
          <w:rFonts w:hint="eastAsia" w:ascii="宋体" w:hAnsi="宋体"/>
          <w:color w:val="000000"/>
          <w:highlight w:val="none"/>
        </w:rPr>
        <w:t xml:space="preserve">H、采购人在签订本合同后及时提供用于申办本项目备案、手续报批等所需的必要资料，供应商应在采购人提供上述资料后14天内完成各类备案、手续的办理工作，因供应商原因逾期未办妥的而导致工期延误，工期不予顺延。</w:t>
      </w:r>
      <w:r/>
    </w:p>
    <w:p>
      <w:pPr>
        <w:ind w:firstLine="420"/>
        <w:spacing w:line="360" w:lineRule="auto"/>
        <w:rPr>
          <w:rFonts w:ascii="宋体" w:hAnsi="宋体"/>
          <w:color w:val="000000"/>
          <w:highlight w:val="none"/>
        </w:rPr>
      </w:pPr>
      <w:r>
        <w:rPr>
          <w:rFonts w:hint="eastAsia" w:ascii="宋体" w:hAnsi="宋体"/>
          <w:color w:val="000000"/>
          <w:highlight w:val="none"/>
        </w:rPr>
        <w:t xml:space="preserve">I、承担采购人上级领导检查、视察工地所需的现场准备工作；配合质监、安监单位的现场检查，并承担由此引起的相关费用。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J、供应商必须遵守江苏省、南京市及栖霞区的相关规定，服从行业主管部门的管理，凡涉及到供应商的安全监督、质量监督、备案、车辆准运等有关证、照，均由供应商自行办理，采购人给予配合，发生的费用全部由供应商承担，包括但不限于外地单位备案费用、排污管理费、噪声管理费、垃圾管理费、降尘措施费等。</w:t>
      </w:r>
      <w:r/>
    </w:p>
    <w:p>
      <w:pPr>
        <w:ind w:firstLine="420"/>
        <w:spacing w:line="360" w:lineRule="auto"/>
        <w:rPr>
          <w:rFonts w:ascii="宋体" w:hAnsi="宋体"/>
          <w:color w:val="000000"/>
          <w:highlight w:val="none"/>
        </w:rPr>
      </w:pPr>
      <w:r>
        <w:rPr>
          <w:rFonts w:hint="eastAsia" w:ascii="宋体" w:hAnsi="宋体"/>
          <w:color w:val="000000"/>
          <w:highlight w:val="none"/>
        </w:rPr>
        <w:t xml:space="preserve">K、采购人需要时，可能做出某些限制和配合要求，供应商应按照要求做出必要的配合，并承担有可能因此而引起工效降低需增加的费用。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L、供应商应负责其承包范围内的深化设计、方案评审、修改并承担由此引起的各项增加的或额外的费用。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M、供应商应加强车辆的管理，不得无故堵塞道路交通，不得沿途抛洒弃土，并根据采购人的要求，安排人员在主要路口疏导车辆、行人交通，其费用由供应商负责。</w:t>
      </w:r>
      <w:r/>
    </w:p>
    <w:p>
      <w:pPr>
        <w:ind w:firstLine="420"/>
        <w:spacing w:line="360" w:lineRule="auto"/>
        <w:rPr>
          <w:rFonts w:ascii="宋体" w:hAnsi="宋体"/>
          <w:color w:val="000000"/>
          <w:highlight w:val="none"/>
        </w:rPr>
      </w:pPr>
      <w:r>
        <w:rPr>
          <w:rFonts w:hint="eastAsia" w:ascii="宋体" w:hAnsi="宋体"/>
          <w:color w:val="000000"/>
          <w:highlight w:val="none"/>
        </w:rPr>
        <w:t xml:space="preserve">N、供应商必须负责现场临时用水、用电工作，进行统一管理，包括但不限于以下内容：</w:t>
      </w:r>
      <w:r/>
    </w:p>
    <w:p>
      <w:pPr>
        <w:ind w:firstLine="420"/>
        <w:spacing w:line="360" w:lineRule="auto"/>
        <w:rPr>
          <w:rFonts w:ascii="宋体" w:hAnsi="宋体"/>
          <w:color w:val="000000"/>
          <w:highlight w:val="none"/>
        </w:rPr>
      </w:pPr>
      <w:r>
        <w:rPr>
          <w:rFonts w:hint="eastAsia" w:ascii="宋体" w:hAnsi="宋体"/>
          <w:color w:val="000000"/>
          <w:highlight w:val="none"/>
        </w:rPr>
        <w:t xml:space="preserve">a.供应商应将用水、用电的额度和设计图纸提交给监理工程师，以便审查和批准。供应商承担整个工地的水电管理（含生活区）及维修（费用已含在报价中）任务。供水管路及用水设施、供电线路及供电设施等必须符合有关临时供水、供电设施的安装、使用标准或规范，供应商对所使用的供水、供电设施的设计、安装、维修和管理负责，并确保其安全可靠。</w:t>
      </w:r>
      <w:r/>
    </w:p>
    <w:p>
      <w:pPr>
        <w:ind w:firstLine="420"/>
        <w:spacing w:line="360" w:lineRule="auto"/>
        <w:rPr>
          <w:rFonts w:ascii="宋体" w:hAnsi="宋体"/>
          <w:color w:val="000000"/>
          <w:highlight w:val="none"/>
        </w:rPr>
      </w:pPr>
      <w:r>
        <w:rPr>
          <w:rFonts w:hint="eastAsia" w:ascii="宋体" w:hAnsi="宋体"/>
          <w:color w:val="000000"/>
          <w:highlight w:val="none"/>
        </w:rPr>
        <w:t xml:space="preserve">b.现场用水用电不足部分由供应商自行解决（如自备发电机、打井等措施），费用由供应商承担。</w:t>
      </w:r>
      <w:r/>
    </w:p>
    <w:p>
      <w:pPr>
        <w:ind w:firstLine="420"/>
        <w:spacing w:line="360" w:lineRule="auto"/>
        <w:rPr>
          <w:rFonts w:ascii="宋体" w:hAnsi="宋体"/>
          <w:color w:val="000000"/>
          <w:highlight w:val="none"/>
        </w:rPr>
      </w:pPr>
      <w:r>
        <w:rPr>
          <w:rFonts w:hint="eastAsia" w:ascii="宋体" w:hAnsi="宋体"/>
          <w:color w:val="000000"/>
          <w:highlight w:val="none"/>
        </w:rPr>
        <w:t xml:space="preserve">c.供应商负责布设临时水、电设施并进行日常维护管理以保证满足整个项目期间的需要，所发生的布设、维护管理费用已包含在投标报价内。</w:t>
      </w:r>
      <w:r/>
    </w:p>
    <w:p>
      <w:pPr>
        <w:ind w:firstLine="420"/>
        <w:spacing w:line="360" w:lineRule="auto"/>
        <w:rPr>
          <w:rFonts w:ascii="宋体" w:hAnsi="宋体"/>
          <w:color w:val="000000"/>
          <w:highlight w:val="none"/>
        </w:rPr>
      </w:pPr>
      <w:r>
        <w:rPr>
          <w:rFonts w:hint="eastAsia" w:ascii="宋体" w:hAnsi="宋体"/>
          <w:color w:val="000000"/>
          <w:highlight w:val="none"/>
        </w:rPr>
        <w:t xml:space="preserve">d.供应商应充分考虑用电负荷控制和漏电保护，否则承担一切损失。</w:t>
      </w:r>
      <w:r/>
    </w:p>
    <w:p>
      <w:pPr>
        <w:ind w:firstLine="420"/>
        <w:spacing w:line="360" w:lineRule="auto"/>
        <w:rPr>
          <w:rFonts w:ascii="宋体" w:hAnsi="宋体"/>
          <w:color w:val="000000"/>
          <w:highlight w:val="none"/>
        </w:rPr>
      </w:pPr>
      <w:r>
        <w:rPr>
          <w:rFonts w:hint="eastAsia" w:ascii="宋体" w:hAnsi="宋体"/>
          <w:color w:val="000000"/>
          <w:highlight w:val="none"/>
        </w:rPr>
        <w:t xml:space="preserve">e.供应商应按采购人要求，在合同实施期间为其它专业供应商提供临时用水用电分表接口，供应商应予无条件同意并进行严格管理。其分水电表及以后的管线由使用单位负责安装并自行维护，同时本合同供应商也应安装分表。各分表用量总和与供水供电部门计量的差额，按分表用户的用量比例分摊。供应商除根据各专业供应商水、电计量结果按供电、供水部门确定的价格向各户收取水、电费用之外，不得向其他供应商收取其他额外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f.供应商的自行分包项目，其使用水电由供应商自行解决与管理。</w:t>
      </w:r>
      <w:r/>
    </w:p>
    <w:p>
      <w:pPr>
        <w:ind w:firstLine="420"/>
        <w:spacing w:line="360" w:lineRule="auto"/>
        <w:rPr>
          <w:rFonts w:ascii="宋体" w:hAnsi="宋体"/>
          <w:color w:val="000000"/>
          <w:highlight w:val="none"/>
        </w:rPr>
      </w:pPr>
      <w:r>
        <w:rPr>
          <w:rFonts w:hint="eastAsia" w:ascii="宋体" w:hAnsi="宋体"/>
          <w:color w:val="000000"/>
          <w:highlight w:val="none"/>
        </w:rPr>
        <w:t xml:space="preserve">g.供应商应该充分考虑为各专业供应商提供足额的用水量，否则造成重新从总水源接水的费用由供应商承担。</w:t>
      </w:r>
      <w:r/>
    </w:p>
    <w:p>
      <w:pPr>
        <w:ind w:firstLine="420"/>
        <w:spacing w:line="360" w:lineRule="auto"/>
        <w:rPr>
          <w:rFonts w:ascii="宋体" w:hAnsi="宋体"/>
          <w:color w:val="000000"/>
          <w:highlight w:val="none"/>
        </w:rPr>
      </w:pPr>
      <w:r>
        <w:rPr>
          <w:rFonts w:hint="eastAsia" w:ascii="宋体" w:hAnsi="宋体"/>
          <w:color w:val="000000"/>
          <w:highlight w:val="none"/>
        </w:rPr>
        <w:t xml:space="preserve">h.供应商应修建满足消防和正常用水水池，并配置满足要求的提升加压设备一用一备，按规定提供消防出水口，消防出水口的数量和间距按相关规范和规定。</w:t>
      </w:r>
      <w:r/>
    </w:p>
    <w:p>
      <w:pPr>
        <w:ind w:firstLine="420"/>
        <w:spacing w:line="360" w:lineRule="auto"/>
        <w:rPr>
          <w:rFonts w:ascii="宋体" w:hAnsi="宋体"/>
          <w:color w:val="000000"/>
          <w:highlight w:val="none"/>
        </w:rPr>
      </w:pPr>
      <w:r>
        <w:rPr>
          <w:rFonts w:hint="eastAsia" w:ascii="宋体" w:hAnsi="宋体"/>
          <w:color w:val="000000"/>
          <w:highlight w:val="none"/>
        </w:rPr>
        <w:t xml:space="preserve">i.如因城市供电、供水部门等非采购人原因导致的停电、停水，供应商不得向采购人提出违约。</w:t>
      </w:r>
      <w:r/>
    </w:p>
    <w:p>
      <w:pPr>
        <w:ind w:firstLine="420"/>
        <w:spacing w:line="360" w:lineRule="auto"/>
        <w:rPr>
          <w:rFonts w:ascii="宋体" w:hAnsi="宋体"/>
          <w:color w:val="000000"/>
          <w:highlight w:val="none"/>
        </w:rPr>
      </w:pPr>
      <w:r>
        <w:rPr>
          <w:rFonts w:hint="eastAsia" w:ascii="宋体" w:hAnsi="宋体"/>
          <w:color w:val="000000"/>
          <w:highlight w:val="none"/>
        </w:rPr>
        <w:t xml:space="preserve">j.临时水电设施的拆除必须征得监理工程师与采购人的书面批准，否则采购人有权要求供应商恢复，并承担恢复所发生的费用。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k.现场的通讯由供应商自行与电信部门办理，并承担相应费用。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O、供应商负责现场除由供应商自身产生的各类垃圾清运工作外，还需负责公共区域的卫生、清洁、垃圾清运等工作；以及本项目全区域的卫生管理与检查。</w:t>
      </w:r>
      <w:r/>
    </w:p>
    <w:p>
      <w:pPr>
        <w:ind w:firstLine="420"/>
        <w:spacing w:line="360" w:lineRule="auto"/>
        <w:rPr>
          <w:rFonts w:ascii="宋体" w:hAnsi="宋体"/>
          <w:color w:val="000000"/>
          <w:highlight w:val="none"/>
        </w:rPr>
      </w:pPr>
      <w:r>
        <w:rPr>
          <w:rFonts w:hint="eastAsia" w:ascii="宋体" w:hAnsi="宋体"/>
          <w:color w:val="000000"/>
          <w:highlight w:val="none"/>
        </w:rPr>
        <w:t xml:space="preserve">P、在现场工作中，供应商应负责自身工作区域与公共区域的安全设施的搭设与维修管理工作，以及为安全检查所进行的管理、协调、配合工作等。供应商应允许其他专业承包商使用由供应商修建的道路、提供临时设施（库房等）及搭设的安全设施。</w:t>
      </w:r>
      <w:r/>
    </w:p>
    <w:p>
      <w:pPr>
        <w:ind w:firstLine="420"/>
        <w:spacing w:line="360" w:lineRule="auto"/>
        <w:rPr>
          <w:rFonts w:ascii="宋体" w:hAnsi="宋体"/>
          <w:color w:val="000000"/>
          <w:highlight w:val="none"/>
        </w:rPr>
      </w:pPr>
      <w:r>
        <w:rPr>
          <w:rFonts w:hint="eastAsia" w:ascii="宋体" w:hAnsi="宋体"/>
          <w:color w:val="000000"/>
          <w:highlight w:val="none"/>
        </w:rPr>
        <w:t xml:space="preserve">Q、供应商负责管理工作现场内先期建成的设施，工作期间如先期建成的设施被盗窃或损坏，均由供应商负责，整修被盗或损坏设施的费用由供应商支付。负责采购人供应的材料设备的保管，同时还应负责由采购人转交给供应商的设备、材料等的安全保卫工作，任何遗失、被盗、损坏均由供应商承担违约责任。</w:t>
      </w:r>
      <w:r/>
    </w:p>
    <w:p>
      <w:pPr>
        <w:ind w:firstLine="420"/>
        <w:spacing w:line="360" w:lineRule="auto"/>
        <w:rPr>
          <w:rFonts w:ascii="宋体" w:hAnsi="宋体"/>
          <w:color w:val="000000"/>
          <w:highlight w:val="none"/>
        </w:rPr>
      </w:pPr>
      <w:r>
        <w:rPr>
          <w:rFonts w:hint="eastAsia" w:ascii="宋体" w:hAnsi="宋体"/>
          <w:color w:val="000000"/>
          <w:highlight w:val="none"/>
        </w:rPr>
        <w:t xml:space="preserve">I、供应商应当服从监理工程师及采购人的现场管理和协调工作，合理调动资源，保障工期、质量目标的实现。</w:t>
      </w:r>
      <w:r/>
    </w:p>
    <w:p>
      <w:pPr>
        <w:ind w:firstLine="420"/>
        <w:spacing w:line="360" w:lineRule="auto"/>
        <w:rPr>
          <w:rFonts w:ascii="宋体" w:hAnsi="宋体"/>
          <w:color w:val="000000"/>
          <w:highlight w:val="none"/>
        </w:rPr>
      </w:pPr>
      <w:r>
        <w:rPr>
          <w:rFonts w:hint="eastAsia" w:ascii="宋体" w:hAnsi="宋体"/>
          <w:color w:val="000000"/>
          <w:highlight w:val="none"/>
        </w:rPr>
        <w:t xml:space="preserve">R、供应商的临时用水用电、临时用房等拆除，必须在拆除前一个月向监理工程师和采购人提出书面申请且经书面批准后方可拆除，否则采购人有权要求供应商恢复，并承担恢复所发生的费用。供应商的临时用水用电、临时用房等应供所有采购人另行分包的分包单位无偿使用至整个项目完工。</w:t>
      </w:r>
      <w:r/>
    </w:p>
    <w:p>
      <w:pPr>
        <w:ind w:firstLine="420"/>
        <w:spacing w:line="360" w:lineRule="auto"/>
        <w:rPr>
          <w:rFonts w:ascii="宋体" w:hAnsi="宋体"/>
          <w:color w:val="000000"/>
          <w:highlight w:val="none"/>
        </w:rPr>
      </w:pPr>
      <w:r>
        <w:rPr>
          <w:rFonts w:hint="eastAsia" w:ascii="宋体" w:hAnsi="宋体"/>
          <w:color w:val="000000"/>
          <w:highlight w:val="none"/>
        </w:rPr>
        <w:t xml:space="preserve">S、供应商必须立刻执行采购人派驻的工程师获本合同授权而发出的书面指令。若供应商没有在规定时间之内执行指令，而在收到采购人催促执行的书面通知后3日之内，供应商仍未执行，采购人可另聘和指派他人执行该指示所要求的工作。其他供应商完成此项工作的相关费用从本合同应付或将会付给供应商的款项中扣除而无须供应商认可，由此造成采购人额外损失或间接损失的，作为债务向供应商追讨。</w:t>
      </w:r>
      <w:r/>
    </w:p>
    <w:p>
      <w:pPr>
        <w:ind w:firstLine="420"/>
        <w:spacing w:line="360" w:lineRule="auto"/>
        <w:rPr>
          <w:rFonts w:ascii="宋体" w:hAnsi="宋体"/>
          <w:color w:val="000000"/>
          <w:highlight w:val="none"/>
        </w:rPr>
      </w:pPr>
      <w:r>
        <w:rPr>
          <w:rFonts w:hint="eastAsia" w:ascii="宋体" w:hAnsi="宋体"/>
          <w:color w:val="000000"/>
          <w:highlight w:val="none"/>
        </w:rPr>
        <w:t xml:space="preserve">T、供应商必须签收监理工程师发出的书面资料，如有异议必须在收文之日起3日内书面回复，否则视同认可。</w:t>
      </w:r>
      <w:r/>
    </w:p>
    <w:p>
      <w:pPr>
        <w:ind w:firstLine="420"/>
        <w:spacing w:line="360" w:lineRule="auto"/>
        <w:rPr>
          <w:rFonts w:ascii="宋体" w:hAnsi="宋体"/>
          <w:color w:val="000000"/>
          <w:highlight w:val="none"/>
        </w:rPr>
      </w:pPr>
      <w:r>
        <w:rPr>
          <w:rFonts w:hint="eastAsia" w:ascii="宋体" w:hAnsi="宋体"/>
          <w:color w:val="000000"/>
          <w:highlight w:val="none"/>
        </w:rPr>
        <w:t xml:space="preserve">U、供应商报给监理部的计划、报表、方案等资料，须同步报采购人，但采购人不会越过监理直接给供应商回复。</w:t>
      </w:r>
      <w:r/>
    </w:p>
    <w:p>
      <w:pPr>
        <w:ind w:firstLine="420"/>
        <w:spacing w:line="360" w:lineRule="auto"/>
        <w:rPr>
          <w:rFonts w:ascii="宋体" w:hAnsi="宋体"/>
          <w:color w:val="000000"/>
          <w:highlight w:val="none"/>
        </w:rPr>
      </w:pPr>
      <w:r>
        <w:rPr>
          <w:rFonts w:hint="eastAsia" w:ascii="宋体" w:hAnsi="宋体"/>
          <w:color w:val="000000"/>
          <w:highlight w:val="none"/>
        </w:rPr>
        <w:t xml:space="preserve">V、供应商未能履行本合同供应商的各项义务，造成采购人及其他供应商损失的，供应商还应当承担损失费用。</w:t>
      </w:r>
      <w:r/>
    </w:p>
    <w:p>
      <w:pPr>
        <w:ind w:firstLine="420"/>
        <w:spacing w:line="360" w:lineRule="auto"/>
        <w:rPr>
          <w:rFonts w:ascii="宋体" w:hAnsi="宋体"/>
          <w:color w:val="000000"/>
          <w:highlight w:val="none"/>
        </w:rPr>
      </w:pPr>
      <w:r>
        <w:rPr>
          <w:rFonts w:hint="eastAsia" w:ascii="宋体" w:hAnsi="宋体"/>
          <w:color w:val="000000"/>
          <w:highlight w:val="none"/>
        </w:rPr>
        <w:t xml:space="preserve">W、供应商需充分调查，并考虑现场周边环境，并有责任承担因供应商的过失而承担保护和修复周边设施的义务，费用自行考虑。如：包括但不限于重载车辆对道路的破坏等。</w:t>
      </w:r>
      <w:r/>
    </w:p>
    <w:p>
      <w:pPr>
        <w:ind w:firstLine="420"/>
        <w:spacing w:line="360" w:lineRule="auto"/>
        <w:rPr>
          <w:rFonts w:ascii="宋体" w:hAnsi="宋体"/>
          <w:color w:val="000000"/>
          <w:highlight w:val="none"/>
        </w:rPr>
      </w:pPr>
      <w:r>
        <w:rPr>
          <w:rFonts w:hint="eastAsia" w:ascii="宋体" w:hAnsi="宋体"/>
          <w:color w:val="000000"/>
          <w:highlight w:val="none"/>
        </w:rPr>
        <w:t xml:space="preserve">X、供应商要勤勉对仙林地区所有道路和市政设施的巡查和管理义务，常态化安排固定巡查人员对责任范围市政道路及市政设施开展全范围日常巡查；在重要检查、重大活动期间，供应商需按照采购人和管理方要求，增加巡查人员和巡查频次开展强化巡查。</w:t>
      </w:r>
      <w:r/>
    </w:p>
    <w:p>
      <w:pPr>
        <w:ind w:firstLine="420"/>
        <w:spacing w:line="360" w:lineRule="auto"/>
        <w:rPr>
          <w:rFonts w:ascii="宋体" w:hAnsi="宋体"/>
          <w:color w:val="000000"/>
          <w:highlight w:val="none"/>
        </w:rPr>
      </w:pPr>
      <w:r>
        <w:rPr>
          <w:rFonts w:hint="eastAsia" w:ascii="宋体" w:hAnsi="宋体"/>
          <w:color w:val="000000"/>
          <w:highlight w:val="none"/>
        </w:rPr>
        <w:t xml:space="preserve">Y、供应商将巡查发现问题梳理汇总后于次日将缺陷照片和工作计划上报管理方，经管理方、采购人逐级审批后按审批意见或工作指令实施；较大缺陷（如大面积沥青维修、道路局部拓宽改造等）需制定专项工作方案（含工作计划、安全生产、交通组织等）报管理方、采购人逐级审批；如有改造优化建议，可制定专项方案报管理方和采购人研究审核。</w:t>
      </w:r>
      <w:r/>
    </w:p>
    <w:p>
      <w:pPr>
        <w:ind w:firstLine="420"/>
        <w:spacing w:line="360" w:lineRule="auto"/>
        <w:rPr>
          <w:rFonts w:ascii="宋体" w:hAnsi="宋体"/>
          <w:color w:val="000000"/>
          <w:highlight w:val="none"/>
        </w:rPr>
      </w:pPr>
      <w:r>
        <w:rPr>
          <w:rFonts w:hint="eastAsia" w:ascii="宋体" w:hAnsi="宋体"/>
          <w:color w:val="000000"/>
          <w:highlight w:val="none"/>
        </w:rPr>
        <w:t xml:space="preserve">Z、供应商须严格按照工作指令或工作方案审批意见开展工作，工作过程中服从采购人、管理方和监理方的管理，确保安全、文明和进度、质量达到要求。</w:t>
      </w:r>
      <w:r/>
    </w:p>
    <w:p>
      <w:pPr>
        <w:spacing w:line="360" w:lineRule="auto"/>
        <w:rPr>
          <w:rFonts w:ascii="宋体" w:hAnsi="宋体"/>
          <w:color w:val="000000"/>
          <w:highlight w:val="none"/>
        </w:rPr>
      </w:pPr>
      <w:r>
        <w:rPr>
          <w:rFonts w:hint="eastAsia" w:ascii="宋体" w:hAnsi="宋体"/>
          <w:color w:val="000000"/>
          <w:highlight w:val="none"/>
        </w:rPr>
        <w:t xml:space="preserve">    </w:t>
      </w:r>
      <w:r/>
    </w:p>
    <w:p>
      <w:pPr>
        <w:ind w:firstLine="420"/>
        <w:spacing w:line="360" w:lineRule="auto"/>
        <w:rPr>
          <w:rFonts w:ascii="宋体" w:hAnsi="宋体"/>
          <w:color w:val="000000"/>
          <w:highlight w:val="none"/>
        </w:rPr>
      </w:pPr>
      <w:r>
        <w:rPr>
          <w:rFonts w:hint="eastAsia" w:ascii="宋体" w:hAnsi="宋体"/>
          <w:color w:val="000000"/>
          <w:highlight w:val="none"/>
        </w:rPr>
        <w:t xml:space="preserve">2、 项目经理：</w:t>
      </w:r>
      <w:r/>
    </w:p>
    <w:p>
      <w:pPr>
        <w:ind w:firstLine="420"/>
        <w:spacing w:line="360" w:lineRule="auto"/>
        <w:rPr>
          <w:rFonts w:ascii="宋体" w:hAnsi="宋体"/>
          <w:color w:val="000000"/>
          <w:highlight w:val="none"/>
        </w:rPr>
      </w:pPr>
      <w:r>
        <w:rPr>
          <w:rFonts w:hint="eastAsia" w:ascii="宋体" w:hAnsi="宋体"/>
          <w:color w:val="000000"/>
          <w:highlight w:val="none"/>
        </w:rPr>
        <w:t xml:space="preserve">姓    名：</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建造师执业资格等级：</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建造师注册证书号：</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建造师执业印章号：</w:t>
      </w:r>
      <w:r>
        <w:rPr>
          <w:rFonts w:hint="eastAsia" w:ascii="宋体" w:hAnsi="宋体"/>
          <w:color w:val="000000"/>
          <w:highlight w:val="none"/>
          <w:u w:val="single"/>
        </w:rPr>
        <w:t xml:space="preserve">        </w:t>
      </w:r>
      <w:r>
        <w:rPr>
          <w:rFonts w:hint="eastAsia" w:ascii="宋体" w:hAnsi="宋体"/>
          <w:color w:val="000000"/>
          <w:highlight w:val="none"/>
        </w:rPr>
        <w:t xml:space="preserve"> ；</w:t>
      </w:r>
      <w:r/>
    </w:p>
    <w:p>
      <w:pPr>
        <w:ind w:firstLine="420"/>
        <w:spacing w:line="360" w:lineRule="auto"/>
        <w:rPr>
          <w:rFonts w:ascii="宋体" w:hAnsi="宋体"/>
          <w:color w:val="000000"/>
          <w:highlight w:val="none"/>
        </w:rPr>
      </w:pPr>
      <w:r>
        <w:rPr>
          <w:rFonts w:hint="eastAsia" w:ascii="宋体" w:hAnsi="宋体"/>
          <w:color w:val="000000"/>
          <w:highlight w:val="none"/>
        </w:rPr>
        <w:t xml:space="preserve">安全生产考核合格证书号：</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联系电话：</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电子信箱：</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通信地址：</w:t>
      </w:r>
      <w:r>
        <w:rPr>
          <w:rFonts w:hint="eastAsia" w:ascii="宋体" w:hAnsi="宋体"/>
          <w:color w:val="000000"/>
          <w:highlight w:val="none"/>
          <w:u w:val="single"/>
        </w:rPr>
        <w:t xml:space="preserve">        </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供应商项目经理到岗履职约定：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项目经理每月在现场的时间要求：项目经理每月不少于二十五天，每周不少于6天，每天不少于八小时在岗处理事务，如项目经理有特殊原因不能保证上述在岗时间的，需以书面形式报监理审核后，再报采购人批准。项目经理必须采取有效措施保证在整个工作期间现场有足够的劳力、材料、设备，保证项目顺利实施，并不受节假日的影响。</w:t>
      </w:r>
      <w:r/>
    </w:p>
    <w:p>
      <w:pPr>
        <w:ind w:firstLine="420"/>
        <w:spacing w:line="360" w:lineRule="auto"/>
        <w:rPr>
          <w:rFonts w:ascii="宋体" w:hAnsi="宋体"/>
          <w:color w:val="000000"/>
          <w:highlight w:val="none"/>
        </w:rPr>
      </w:pPr>
      <w:r>
        <w:rPr>
          <w:rFonts w:hint="eastAsia" w:ascii="宋体" w:hAnsi="宋体"/>
          <w:color w:val="000000"/>
          <w:highlight w:val="none"/>
        </w:rPr>
        <w:t xml:space="preserve">（2）项目经理未经批</w:t>
      </w:r>
      <w:r>
        <w:rPr>
          <w:rFonts w:hint="eastAsia" w:ascii="宋体" w:hAnsi="宋体"/>
          <w:color w:val="000000"/>
          <w:highlight w:val="none"/>
        </w:rPr>
        <w:t xml:space="preserve">准，擅自离开现场的违约责任：项目经理正常在岗时间需要离开项目现场，必须以书面形式报监理审核后，报采购人批准，未经批准擅离现场的，采购人有权按3000元/天标准向供应商收取违约金；如项目经理长期、连续不在岗，在现场时间每月累计少于20天（含）的，或耽误实际工作的，采购人有权要求供应商提供符合招标文件条件的项目经理名单，任意挑选无在建项目且业绩高于原中标项目经理的项目经理，此项更换供应商不得拒绝，如更换后的项目经理仍不能满足上述工作时间的要求，采购人有权解除与供应商签署的合同，合同解除，应由供应商承担违约责任。</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3）供应商擅自更换项目经理的违约责任：投标文件中明确的项目经理，未经采购人许可不得擅自变更。因身故或重大疾病需要更换项目经理的，更换的项目经理必须具备不低于原项目经理的资格及业绩条件，且须经采购人审核并书面同意后方可更换并免于处罚。</w:t>
      </w:r>
      <w:r/>
    </w:p>
    <w:p>
      <w:pPr>
        <w:ind w:firstLine="420"/>
        <w:spacing w:line="360" w:lineRule="auto"/>
        <w:rPr>
          <w:rFonts w:ascii="宋体" w:hAnsi="宋体"/>
          <w:color w:val="000000"/>
          <w:highlight w:val="none"/>
        </w:rPr>
      </w:pPr>
      <w:r>
        <w:rPr>
          <w:rFonts w:hint="eastAsia" w:ascii="宋体" w:hAnsi="宋体"/>
          <w:color w:val="000000"/>
          <w:highlight w:val="none"/>
        </w:rPr>
        <w:t xml:space="preserve">因身故或重大疾病外其他原因需更换项目经理的，更换的项目经理必须具备不低于原项目经理的资格及业绩条件，且须经采购人审核并书面同意后方可更换，此种情况下，供应商需向采购人支付违约金5万元。</w:t>
      </w:r>
      <w:r/>
    </w:p>
    <w:p>
      <w:pPr>
        <w:ind w:firstLine="420"/>
        <w:spacing w:line="360" w:lineRule="auto"/>
        <w:rPr>
          <w:rFonts w:ascii="宋体" w:hAnsi="宋体"/>
          <w:color w:val="000000"/>
          <w:highlight w:val="none"/>
        </w:rPr>
      </w:pPr>
      <w:r>
        <w:rPr>
          <w:rFonts w:hint="eastAsia" w:ascii="宋体" w:hAnsi="宋体"/>
          <w:color w:val="000000"/>
          <w:highlight w:val="none"/>
        </w:rPr>
        <w:t xml:space="preserve">供应商未经采购人书面同意擅自更换项目经理的，采购人有权解除合同，同时供应商向采购人支付违约金50万元。</w:t>
      </w:r>
      <w:r/>
    </w:p>
    <w:p>
      <w:pPr>
        <w:ind w:firstLine="420"/>
        <w:spacing w:line="360" w:lineRule="auto"/>
        <w:rPr>
          <w:rFonts w:ascii="宋体" w:hAnsi="宋体"/>
          <w:color w:val="000000"/>
          <w:highlight w:val="none"/>
        </w:rPr>
      </w:pPr>
      <w:r>
        <w:rPr>
          <w:rFonts w:hint="eastAsia" w:ascii="宋体" w:hAnsi="宋体"/>
          <w:color w:val="000000"/>
          <w:highlight w:val="none"/>
        </w:rPr>
        <w:t xml:space="preserve">3、供应商人员</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3.1供应商提交项目管理机构及现场管理人员安排报告的期限：开工前7天；</w:t>
      </w:r>
      <w:r/>
    </w:p>
    <w:p>
      <w:pPr>
        <w:ind w:firstLine="420"/>
        <w:spacing w:line="360" w:lineRule="auto"/>
        <w:rPr>
          <w:rFonts w:hint="eastAsia"/>
          <w:color w:val="000000"/>
          <w:highlight w:val="none"/>
        </w:rPr>
      </w:pPr>
      <w:r>
        <w:rPr>
          <w:rFonts w:hint="eastAsia" w:ascii="宋体" w:hAnsi="宋体"/>
          <w:color w:val="000000"/>
          <w:highlight w:val="none"/>
        </w:rPr>
        <w:t xml:space="preserve">(1) 除项目经理外，项目管理机构组成至少还须包括技术负责人、专职质检员、施工员、专职安全员、材料员、预算员等，其中技术负责人、专职质检员、施工员、专职安全员不得兼任且须常驻现场，专职质检员、施工员、专职安全员必须具有上岗证。</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投标文件中明确的技术负责人、专职质检员、施工员、专职安全员为主要管理人员，必须是本企业的正式员工，签订合同时必须出具与企业签订的劳动合同原件。技术负责人、专职质检员、施工员、专职安全员不得兼任。</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（3）主要管理人员在场时间要求：主要管理人员每月不少于二十五天，每周不少于6天，每天不少于八小时在岗处理事务，</w:t>
      </w:r>
      <w:r/>
    </w:p>
    <w:p>
      <w:pPr>
        <w:ind w:firstLine="420"/>
        <w:spacing w:line="360" w:lineRule="auto"/>
        <w:rPr>
          <w:rFonts w:ascii="宋体" w:hAnsi="宋体"/>
          <w:color w:val="000000"/>
          <w:highlight w:val="none"/>
        </w:rPr>
      </w:pPr>
      <w:r>
        <w:rPr>
          <w:rFonts w:hint="eastAsia" w:ascii="宋体" w:hAnsi="宋体"/>
          <w:color w:val="000000"/>
          <w:highlight w:val="none"/>
        </w:rPr>
        <w:t xml:space="preserve">（4）主要管理人员擅离现场违约责任：如供应商主要管理人员有特殊原因不能保证上述在岗时间的或正常在岗时间离开项目现场的，必须以书面形式报监理审核后，报采购人批准。否则供应商按1000元/人/次向采购人支付违约金，违约金在支付进度款时扣除。</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（5）擅自更换主要管理人员违约责任：投标文件中明确的技术负责人、专职质检员、施工员、专职安全员等主要管理人员，未经采购人许可不得擅自变更。如有违反，每人次支付违约金10000元整。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如果因因身故或重大疾病外其他原因更换上述主要管理人员，必须得到采购人的批准。更换的管理人员必须是本企业正式员工（劳动合同原件），并且与原岗位的管理人员具有同等条件，如资质、业绩等。采购人有权反对及要求供应商及任何分包人调离不称职或采购人认为其雇用是不恰当的人员，未经采购人书面准许，不可再用此人。如有违反，每人次支付违约金2000元整。</w:t>
      </w:r>
      <w:r/>
    </w:p>
    <w:p>
      <w:pPr>
        <w:ind w:firstLine="420"/>
        <w:spacing w:line="360" w:lineRule="auto"/>
        <w:rPr>
          <w:rFonts w:ascii="宋体" w:hAnsi="宋体"/>
          <w:color w:val="000000"/>
          <w:highlight w:val="none"/>
        </w:rPr>
      </w:pPr>
      <w:r>
        <w:rPr>
          <w:rFonts w:hint="eastAsia" w:ascii="宋体" w:hAnsi="宋体"/>
          <w:color w:val="000000"/>
          <w:highlight w:val="none"/>
        </w:rPr>
        <w:t xml:space="preserve">（6）供应商无正当理由拒绝撤换主要管理人员的违约责任：供应商主要管理人员出现以下情况，经采购人提出后，必须在24小时内调离本项目范围，否则向采购人每天每人次支付人民币1000元违约金；同时，供应商应在3天内用采购人批准的合格的人员代替上述调离的任何人员。</w:t>
      </w:r>
      <w:r/>
    </w:p>
    <w:p>
      <w:pPr>
        <w:ind w:firstLine="420"/>
        <w:spacing w:line="360" w:lineRule="auto"/>
        <w:rPr>
          <w:rFonts w:ascii="宋体" w:hAnsi="宋体"/>
          <w:color w:val="000000"/>
          <w:highlight w:val="none"/>
        </w:rPr>
      </w:pPr>
      <w:r>
        <w:rPr>
          <w:rFonts w:hint="eastAsia" w:ascii="宋体" w:hAnsi="宋体"/>
          <w:color w:val="000000"/>
          <w:highlight w:val="none"/>
        </w:rPr>
        <w:t xml:space="preserve">A.采购人有证据确认无法胜任工作者，包括：对项目进度及质量达不到合同要求负有责任的人员、不熟悉本专业工作的人员等；</w:t>
      </w:r>
      <w:r/>
    </w:p>
    <w:p>
      <w:pPr>
        <w:ind w:firstLine="420"/>
        <w:spacing w:line="360" w:lineRule="auto"/>
        <w:rPr>
          <w:rFonts w:ascii="宋体" w:hAnsi="宋体"/>
          <w:color w:val="000000"/>
          <w:highlight w:val="none"/>
        </w:rPr>
      </w:pPr>
      <w:r>
        <w:rPr>
          <w:rFonts w:hint="eastAsia" w:ascii="宋体" w:hAnsi="宋体"/>
          <w:color w:val="000000"/>
          <w:highlight w:val="none"/>
        </w:rPr>
        <w:t xml:space="preserve">B.不能积极配合监理及采购人正常工作者；</w:t>
      </w:r>
      <w:r/>
    </w:p>
    <w:p>
      <w:pPr>
        <w:ind w:firstLine="420"/>
        <w:spacing w:line="360" w:lineRule="auto"/>
        <w:rPr>
          <w:rFonts w:ascii="宋体" w:hAnsi="宋体"/>
          <w:color w:val="000000"/>
          <w:highlight w:val="none"/>
        </w:rPr>
      </w:pPr>
      <w:r>
        <w:rPr>
          <w:rFonts w:hint="eastAsia" w:ascii="宋体" w:hAnsi="宋体"/>
          <w:color w:val="000000"/>
          <w:highlight w:val="none"/>
        </w:rPr>
        <w:t xml:space="preserve">C.违反采购人或供应商工地现场管理规定者；</w:t>
      </w:r>
      <w:r/>
    </w:p>
    <w:p>
      <w:pPr>
        <w:ind w:firstLine="420"/>
        <w:spacing w:line="360" w:lineRule="auto"/>
        <w:rPr>
          <w:rFonts w:ascii="宋体" w:hAnsi="宋体"/>
          <w:color w:val="000000"/>
          <w:highlight w:val="none"/>
        </w:rPr>
      </w:pPr>
      <w:r>
        <w:rPr>
          <w:rFonts w:hint="eastAsia" w:ascii="宋体" w:hAnsi="宋体"/>
          <w:color w:val="000000"/>
          <w:highlight w:val="none"/>
        </w:rPr>
        <w:t xml:space="preserve">D.无证上岗者（适用于按规定必须有上岗证）；</w:t>
      </w:r>
      <w:r/>
    </w:p>
    <w:p>
      <w:pPr>
        <w:ind w:firstLine="420"/>
        <w:spacing w:line="360" w:lineRule="auto"/>
        <w:rPr>
          <w:rFonts w:ascii="宋体" w:hAnsi="宋体"/>
          <w:color w:val="000000"/>
          <w:highlight w:val="none"/>
        </w:rPr>
      </w:pPr>
      <w:r>
        <w:rPr>
          <w:rFonts w:hint="eastAsia" w:ascii="宋体" w:hAnsi="宋体"/>
          <w:color w:val="000000"/>
          <w:highlight w:val="none"/>
        </w:rPr>
        <w:t xml:space="preserve">E.与本合同规定名册不符者；</w:t>
      </w:r>
      <w:r/>
    </w:p>
    <w:p>
      <w:pPr>
        <w:ind w:firstLine="420"/>
        <w:spacing w:line="360" w:lineRule="auto"/>
        <w:rPr>
          <w:rFonts w:ascii="宋体" w:hAnsi="宋体"/>
          <w:color w:val="000000"/>
          <w:highlight w:val="none"/>
        </w:rPr>
      </w:pPr>
      <w:r>
        <w:rPr>
          <w:rFonts w:hint="eastAsia" w:ascii="宋体" w:hAnsi="宋体"/>
          <w:color w:val="000000"/>
          <w:highlight w:val="none"/>
        </w:rPr>
        <w:t xml:space="preserve">F.与本项目无关的人员；</w:t>
      </w:r>
      <w:r/>
    </w:p>
    <w:p>
      <w:pPr>
        <w:ind w:firstLine="420"/>
        <w:spacing w:line="360" w:lineRule="auto"/>
        <w:rPr>
          <w:color w:val="000000"/>
          <w:highlight w:val="none"/>
        </w:rPr>
      </w:pPr>
      <w:r>
        <w:rPr>
          <w:rFonts w:hint="eastAsia" w:ascii="宋体" w:hAnsi="宋体"/>
          <w:color w:val="000000"/>
          <w:highlight w:val="none"/>
        </w:rPr>
        <w:t xml:space="preserve">4、转包与分包</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4.1本项目未经采购人同意，不允许转包与分包。如供应商未经采购人同意，有转包、分包等违法行为的，采购人将向主管部门和监管部门报告，依法予以行政处罚，并依法限制其参加仙林大学城管委会投资项目的投标活动以及承揽新的项目。</w:t>
      </w:r>
      <w:r/>
    </w:p>
    <w:p>
      <w:pPr>
        <w:ind w:firstLine="420"/>
        <w:spacing w:line="360" w:lineRule="auto"/>
        <w:rPr>
          <w:rFonts w:ascii="宋体" w:hAnsi="宋体"/>
          <w:color w:val="000000"/>
          <w:highlight w:val="none"/>
        </w:rPr>
      </w:pPr>
      <w:r>
        <w:rPr>
          <w:rFonts w:hint="eastAsia" w:ascii="宋体" w:hAnsi="宋体"/>
          <w:color w:val="000000"/>
          <w:highlight w:val="none"/>
        </w:rPr>
        <w:t xml:space="preserve">4.2供应商发生违法转分包行为，应向采购人支付合同总额5%的违约金，同时采购人有权终止合同，已完合格工作量计至终止合同时的上一月采购人书面确认的工程量，费用按经采购人书面确认价格的60%计取。</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4.3专业分包单位和劳务作业分包单位经审核确认且签订分包合同后方可进场：供应商提交申报材料，含分包单位名称、资质、人员、工作内容、实施时间、组织管理方式等报采购人批准；经采购人同意分包后，签订分包合同时，供应商须提交经审核通过的专业分包和劳务作业分包方案；供应商与经批准的分包单位签订合同并报采购人核查后，组织分包单位进场工作。</w:t>
      </w:r>
      <w:r/>
    </w:p>
    <w:p>
      <w:pPr>
        <w:ind w:firstLine="420"/>
        <w:spacing w:line="360" w:lineRule="auto"/>
        <w:rPr>
          <w:rFonts w:ascii="宋体" w:hAnsi="宋体"/>
          <w:color w:val="000000"/>
          <w:highlight w:val="none"/>
        </w:rPr>
      </w:pPr>
      <w:r>
        <w:rPr>
          <w:rFonts w:hint="eastAsia" w:ascii="宋体" w:hAnsi="宋体"/>
          <w:color w:val="000000"/>
          <w:highlight w:val="none"/>
        </w:rPr>
        <w:t xml:space="preserve">4.4对于质量安全管理不称职的分包单位，采购人有权令其退场，且中标供应商必须无条件在3天内清场，清场时间延误的，中标供应商须按人民币10万元/天的标准向采购人支付违约金。</w:t>
      </w:r>
      <w:r/>
    </w:p>
    <w:p>
      <w:pPr>
        <w:ind w:firstLine="422"/>
        <w:spacing w:line="360" w:lineRule="auto"/>
        <w:rPr>
          <w:rFonts w:ascii="宋体" w:hAnsi="宋体"/>
          <w:b/>
          <w:bCs/>
          <w:i/>
          <w:iCs/>
          <w:color w:val="000000"/>
          <w:highlight w:val="none"/>
        </w:rPr>
      </w:pPr>
      <w:r>
        <w:rPr>
          <w:rFonts w:hint="eastAsia" w:ascii="宋体" w:hAnsi="宋体"/>
          <w:b/>
          <w:bCs/>
          <w:color w:val="000000"/>
          <w:highlight w:val="none"/>
        </w:rPr>
        <w:t xml:space="preserve">三、合同支付</w:t>
      </w:r>
      <w:r/>
    </w:p>
    <w:p>
      <w:pPr>
        <w:ind w:firstLine="420"/>
        <w:spacing w:line="360" w:lineRule="auto"/>
        <w:rPr>
          <w:rFonts w:ascii="宋体" w:hAnsi="宋体"/>
          <w:color w:val="000000"/>
          <w:highlight w:val="none"/>
        </w:rPr>
      </w:pPr>
      <w:r>
        <w:rPr>
          <w:rFonts w:hint="eastAsia" w:ascii="宋体" w:hAnsi="宋体"/>
          <w:color w:val="000000"/>
          <w:highlight w:val="none"/>
        </w:rPr>
        <w:t xml:space="preserve">1、本合同项下所有款项均以人民币支付。</w:t>
      </w:r>
      <w:r/>
    </w:p>
    <w:p>
      <w:pPr>
        <w:ind w:firstLine="420"/>
        <w:spacing w:line="360" w:lineRule="auto"/>
        <w:rPr>
          <w:rFonts w:ascii="宋体" w:hAnsi="宋体"/>
          <w:color w:val="000000"/>
          <w:highlight w:val="none"/>
        </w:rPr>
      </w:pPr>
      <w:r>
        <w:rPr>
          <w:rFonts w:hint="eastAsia" w:ascii="宋体" w:hAnsi="宋体"/>
          <w:color w:val="000000"/>
          <w:highlight w:val="none"/>
        </w:rPr>
        <w:t xml:space="preserve">2、本合同项下的采购资金由甲方自行支付，乙方向甲方开具发票。</w:t>
      </w:r>
      <w:r/>
    </w:p>
    <w:p>
      <w:pPr>
        <w:ind w:firstLine="420"/>
        <w:spacing w:line="360" w:lineRule="auto"/>
        <w:rPr>
          <w:rFonts w:ascii="宋体" w:hAnsi="宋体"/>
          <w:bCs/>
          <w:color w:val="000000"/>
          <w:highlight w:val="none"/>
        </w:rPr>
      </w:pPr>
      <w:r>
        <w:rPr>
          <w:rFonts w:hint="eastAsia" w:ascii="宋体" w:hAnsi="宋体"/>
          <w:bCs/>
          <w:color w:val="000000"/>
          <w:highlight w:val="none"/>
        </w:rPr>
        <w:t xml:space="preserve">3、付款条件：详见招标文件。</w:t>
      </w:r>
      <w:r/>
    </w:p>
    <w:p>
      <w:pPr>
        <w:pStyle w:val="964"/>
        <w:spacing w:line="360" w:lineRule="auto"/>
        <w:rPr>
          <w:rFonts w:ascii="宋体" w:hAnsi="宋体" w:eastAsia="宋体"/>
          <w:bCs/>
          <w:color w:val="000000"/>
          <w:szCs w:val="21"/>
          <w:highlight w:val="none"/>
        </w:rPr>
      </w:pPr>
      <w:r>
        <w:rPr>
          <w:rFonts w:hint="eastAsia" w:ascii="宋体" w:hAnsi="宋体" w:eastAsia="宋体"/>
          <w:bCs/>
          <w:color w:val="000000"/>
          <w:szCs w:val="21"/>
          <w:highlight w:val="none"/>
        </w:rPr>
        <w:t xml:space="preserve">项目完工验收合格前，供应商须将本项目的完工图（四套）、完工资料（四套）、4套光盘（包括完工图及其他资料）、2套复印件和完工结算文件3套报送给采购人。采购人在收到供应商完整的结算资料后安排完工结算审核工作。如结算资料不完整，供应商重新补充直至完整，供应商应配合完工结算审核工作。</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上述资金拨付时间以采购人资金到位时间为准。 </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4、完工退场</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供应商完成完工退场的期限：项目完工验收后，供应商的人员、材料、设备必须在14 天内全部退出现场，否则按每天 10000 元支付违约金。非供应商原因导致的人员、材料、设备没在14天内全部退场不支付违约金。</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5、完工结算</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1）完工付款申请</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供应商提交完工付款申请单的期限：按采购人审计要求办理。</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完工付款申请单应包括的内容：完工结算合同总价、已支付的项目价款、应扣回的质量保证金、应支付的完工付款金额等。</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（1）供应商必须按照采购人的要求编制整理资料办理完工结算，采购人最终确认的结算书作为双方结算项目款的依据，如供应商对该结算结果不认可，可提出异议或者委托第三方进行重新审计。</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完工结算书中应有完整的结算资料。在结算审计单位结算审价过程中，不再接受增加任何结算资料（图纸、签证变更单、价格凭证等），送审的结算中若有结算遗漏项目均为让利给采购人，不作任何增加调整。</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（3）供应商在计算工作量时必须按完工图分专业计算，完工图以外的变更签证部分，分专业另行计算。变更签证凡在完工图上标明的，不得重复计算。</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（4）供应商发生的所有违约金等相应扣款项，均由监理工程师在当月的工作量审核单中注明事由及发生金额，由采购人在当月项目款支付单中予以注明扣除。所有变更及签证产生的费用均在完工结算中办理。</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（5）按国家规定由供应商交纳的各种税收、劳动保险费及其他费用已包含在本项目造价内，由供应商负责向税收等部门交纳。</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2）完工结算审核</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采购人审批完工付款申请单的期限：</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（1）供应商应该在完工验收后60天内提交完整的完工结算报告及结算资料。否则造成采购人、监理人、审计单位管理费用的增加和审核时间的延长，责任由供应商承担。</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（2）采购人收到供应商递交完整的完工结算报告及结算资料后及时送审。结算审计流程及时间按采购人有关要求执行。</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供应商提供的结算书，①如经审计核减额在5%以内，审计费采购人承担；②核减额在5%-10%（含5%，不含10%），供应商应承担违约金，违约金为该项目对应审计费用总额的一半；③核减额在10%（含）以上，供应商应承担违约金，违约金为该项目对应的全部审计费。(核减额是指供应商向采购人提交的送审额与最终审定金额的核减金额)。</w:t>
      </w:r>
      <w:r/>
    </w:p>
    <w:p>
      <w:pPr>
        <w:pStyle w:val="964"/>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（4）新增的全费用综合单价按照《建设</w:t>
      </w:r>
      <w:r>
        <w:rPr>
          <w:rFonts w:hint="eastAsia" w:ascii="宋体" w:hAnsi="宋体" w:eastAsia="宋体"/>
          <w:color w:val="000000"/>
          <w:szCs w:val="21"/>
          <w:highlight w:val="none"/>
        </w:rPr>
        <w:t xml:space="preserve">工程工程量清单计价规范》 GB50500-2013、《江苏省市政工程计价定额》(2014版)、苏建价(2016)154号文中的人工、材料、机械台班耗用量、施工时期的人工指导价、机械台班单价、材料价格(按施工时期的信息指导价，无信息指导价的双方协商)，计算出全费用综合单价，并下浮报价的优惠幅度后执行，报价的优惠幅度为“供应商报价浮动率=(1-中标价/招标控制价)*100%”。无信息价的材料不用按照投标优惠参与下浮，材料价格由采购人、供应商、跟踪审计单位、监理人共同询价确认材料价后，按上述办法确认新增综合单价。</w:t>
      </w:r>
      <w:r/>
    </w:p>
    <w:p>
      <w:pPr>
        <w:pStyle w:val="964"/>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（5）本项目最终实施的内容以采购人实际通知为准，采购人有权根据现场实际情况增减工程量，当清单项目实际工程量较招标工程量增加 10%以上时，采购人有权</w:t>
      </w:r>
      <w:r>
        <w:rPr>
          <w:rFonts w:hint="eastAsia" w:ascii="宋体" w:hAnsi="宋体" w:eastAsia="宋体"/>
          <w:color w:val="000000"/>
          <w:szCs w:val="21"/>
          <w:highlight w:val="none"/>
          <w:lang w:val="en-US" w:eastAsia="zh-CN"/>
        </w:rPr>
        <w:t xml:space="preserve">按照上述第（4）条的计算方法，</w:t>
      </w:r>
      <w:r>
        <w:rPr>
          <w:rFonts w:hint="eastAsia" w:ascii="宋体" w:hAnsi="宋体" w:eastAsia="宋体"/>
          <w:color w:val="000000"/>
          <w:szCs w:val="21"/>
          <w:highlight w:val="none"/>
        </w:rPr>
        <w:t xml:space="preserve">对其增加超过 10%以上部分工程量的综合单价予以</w:t>
      </w:r>
      <w:r>
        <w:rPr>
          <w:rFonts w:hint="eastAsia" w:ascii="宋体" w:hAnsi="宋体" w:eastAsia="宋体"/>
          <w:color w:val="000000"/>
          <w:szCs w:val="21"/>
          <w:highlight w:val="none"/>
          <w:lang w:val="en-US" w:eastAsia="zh-CN"/>
        </w:rPr>
        <w:t xml:space="preserve">调整</w:t>
      </w:r>
      <w:r>
        <w:rPr>
          <w:rFonts w:hint="eastAsia" w:ascii="宋体" w:hAnsi="宋体" w:eastAsia="宋体"/>
          <w:color w:val="000000"/>
          <w:szCs w:val="21"/>
          <w:highlight w:val="none"/>
        </w:rPr>
        <w:t xml:space="preserve">。</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采购人完成完工付款的期限：按采购人审计要求办理。</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关于完工付款证书异议部分复核的方式和程序：按采购人审计要求办理。</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 最终结清</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 最终结清申请单</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供应商提交最终结清申请单的份数：肆份。</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（2）最终结清证书和支付</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（1）采购人完成最终结清申请单的审批并颁发最终结清证书的期限：按通用条款。</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（2）采购人完成支付的期限：按通用条款。</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6、 保修期</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保修期的具体期限：2年。</w:t>
      </w:r>
      <w:r/>
    </w:p>
    <w:p>
      <w:pPr>
        <w:ind w:firstLine="420"/>
        <w:spacing w:line="360" w:lineRule="auto"/>
        <w:rPr>
          <w:rFonts w:ascii="宋体" w:hAnsi="宋体"/>
          <w:b/>
          <w:bCs/>
          <w:color w:val="000000"/>
          <w:highlight w:val="none"/>
        </w:rPr>
      </w:pPr>
      <w:r>
        <w:rPr>
          <w:rFonts w:hint="eastAsia" w:ascii="宋体" w:hAnsi="宋体"/>
          <w:b/>
          <w:bCs/>
          <w:color w:val="000000"/>
          <w:highlight w:val="none"/>
        </w:rPr>
        <w:t xml:space="preserve">四 违约责任</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1、采购人违约</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1.1 采购人违约的责任</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采购人违约责任的承担方式和计算方法：</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（1）因采购人违反合同约定造成暂停的违约责任:工期顺延。</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（2）采购人无正当理由没有在约定期限内发出复工指示，导致供应商无法复工的违约责任: 工期顺延。</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（3）其他：另行协商。</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2、供应商违约</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2.1 供应商违约的情形</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供应商违约的其他情形：1、供应商借故拖延项目进度、导致项目停工超过15日；2、供应商未按要求投入人员、机械设备及资金造成工期延误；3、因供应商原因造成的质量问题；4、因供应商原因造成的安全文明生产责任事故；</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2.2供应商违约的责任</w:t>
      </w:r>
      <w:r/>
    </w:p>
    <w:p>
      <w:pPr>
        <w:pStyle w:val="964"/>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供应商违约责任的承担方式和计算方法：</w:t>
      </w:r>
      <w:r/>
    </w:p>
    <w:p>
      <w:pPr>
        <w:pStyle w:val="964"/>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1）供应商应采取必要的安全防护措施，确保现场人员工作安全，严格进行安全管理，消除事故隐患，并随时接受监督检查。维护施工期间发生的安全事故由供应商自行承担。每发生一起人身损害（不包括死亡）事故，供应商除了接受相关部门处罚外，供应商须向采购人支付违约金10万元；每发生一起人身死亡事故，供应商除了接受相关部门处罚外，供应商须向采购人支付违约金20万元。</w:t>
      </w:r>
      <w:r/>
    </w:p>
    <w:p>
      <w:pPr>
        <w:pStyle w:val="964"/>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（2）供应商应按采购人要求的时间进行维护服务，因供应商原因导致逾期的，每逾期一天，应承担1000元违约金。</w:t>
      </w:r>
      <w:r/>
    </w:p>
    <w:p>
      <w:pPr>
        <w:pStyle w:val="964"/>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3）供应商应维护服务确保达到中标时承诺的质量、安全等标准。如果供应商在的维保施工达不到承诺的标准，供应商必须按采购人要求的期限返工直至达到中标时承诺的标准，返工费由供应商承担。因供应商原因导致的维护服务返工超过三次的，则需向采购人支付违约金，违约金为返工费的两倍。违约金不足以弥补采购人损失的，供应商予以补足。维护服务的质量保修期内，质量缺陷问题造成的一切责任和损失由供应商承担。</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2.3 因供应商违约解除合同 </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关于供应商违约解除合同的特别约定：</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A、无论何种原因导致合同解除的，供应商的人员、材料、设备必须在收到采购人通知之日起10天内全部退出现场，每延迟1天退场采购人向供应商收取人民币1万元违约金。供应商在收到采购人要求退场的通知之日起十天内未全部退出现场的，从第11天开始，视为在现场没有任何供应商的财产、物资等，采购人有权作出任何处置。B、因供应商原因不按合同约定履行义务导致合同无法继续履行的时，采购人有权向供应商收取合同价款的</w:t>
      </w:r>
      <w:r>
        <w:rPr>
          <w:rFonts w:ascii="宋体" w:hAnsi="宋体" w:eastAsia="宋体"/>
          <w:color w:val="000000"/>
          <w:szCs w:val="21"/>
          <w:highlight w:val="none"/>
        </w:rPr>
        <w:t xml:space="preserve">1</w:t>
      </w:r>
      <w:r>
        <w:rPr>
          <w:rFonts w:hint="eastAsia" w:ascii="宋体" w:hAnsi="宋体" w:eastAsia="宋体"/>
          <w:color w:val="000000"/>
          <w:szCs w:val="21"/>
          <w:highlight w:val="none"/>
        </w:rPr>
        <w:t xml:space="preserve">0%的违约金并且供应商承担因此给采购人造成的一切经济损失和责任。 C、一方违约后，另一方要求违约方继续履行合同时，违约方承担上述违约责任后仍应继续履行合同。</w:t>
      </w:r>
      <w:r/>
    </w:p>
    <w:p>
      <w:pPr>
        <w:pStyle w:val="96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采购人继续使用供应商在现场的材料、设备、临时工作、供应商文件和由供应商或以其名义编制的其他文件的费用承担方式：双方协商处理。</w:t>
      </w:r>
      <w:r/>
    </w:p>
    <w:p>
      <w:pPr>
        <w:ind w:firstLine="422"/>
        <w:spacing w:line="360" w:lineRule="auto"/>
        <w:rPr>
          <w:rFonts w:ascii="宋体" w:hAnsi="宋体"/>
          <w:b/>
          <w:bCs/>
          <w:color w:val="000000"/>
          <w:highlight w:val="none"/>
        </w:rPr>
      </w:pPr>
      <w:r>
        <w:rPr>
          <w:rFonts w:hint="eastAsia" w:ascii="宋体" w:hAnsi="宋体"/>
          <w:b/>
          <w:bCs/>
          <w:color w:val="000000"/>
          <w:highlight w:val="none"/>
        </w:rPr>
        <w:t xml:space="preserve">五 其他</w:t>
      </w:r>
      <w:r/>
    </w:p>
    <w:p>
      <w:pPr>
        <w:ind w:firstLine="420"/>
        <w:spacing w:line="400" w:lineRule="exact"/>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w:t>
      </w:r>
      <w:r>
        <w:rPr>
          <w:rFonts w:ascii="宋体" w:hAnsi="宋体"/>
          <w:color w:val="000000"/>
          <w:highlight w:val="none"/>
        </w:rPr>
        <w:t xml:space="preserve">临时水电结算管理办法</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.1.1临时用水用电由</w:t>
      </w:r>
      <w:r>
        <w:rPr>
          <w:rFonts w:hint="eastAsia" w:ascii="宋体" w:hAnsi="宋体"/>
          <w:color w:val="000000"/>
          <w:highlight w:val="none"/>
        </w:rPr>
        <w:t xml:space="preserve">供应商自行解决并承担相关费用</w:t>
      </w:r>
      <w:r>
        <w:rPr>
          <w:rFonts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.1.2标段内所有的用水用电（即总表的所有管路）均由供应商自行安装并由专人管理，费用由供应商自理，但安装的标准和要求必须符合有关规定，若不符合要求，采购人有权责令供应商按规</w:t>
      </w:r>
      <w:r>
        <w:rPr>
          <w:rFonts w:hint="eastAsia" w:ascii="宋体" w:hAnsi="宋体"/>
          <w:color w:val="000000"/>
          <w:highlight w:val="none"/>
        </w:rPr>
        <w:t xml:space="preserve">定要求进行整改并对供应商进行相应的经济处罚；</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.2供应商必须参加各类协调、配合会，由于</w:t>
      </w:r>
      <w:r>
        <w:rPr>
          <w:rFonts w:hint="eastAsia" w:ascii="宋体" w:hAnsi="宋体"/>
          <w:color w:val="000000"/>
          <w:highlight w:val="none"/>
        </w:rPr>
        <w:t xml:space="preserve">项目</w:t>
      </w:r>
      <w:r>
        <w:rPr>
          <w:rFonts w:ascii="宋体" w:hAnsi="宋体"/>
          <w:color w:val="000000"/>
          <w:highlight w:val="none"/>
        </w:rPr>
        <w:t xml:space="preserve">交叉引起的问题，供应商有义务进行配合协商解决，并服从采购人及监理人现场协调做出的决定；</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.3监理人发出的监理通知单、监理联系单、整改单</w:t>
      </w:r>
      <w:r>
        <w:rPr>
          <w:rFonts w:hint="eastAsia" w:ascii="宋体" w:hAnsi="宋体"/>
          <w:color w:val="000000"/>
          <w:highlight w:val="none"/>
        </w:rPr>
        <w:t xml:space="preserve">及采购人发出的涉及现场整改的工作联系单供应商必须限期回复，如不在规定时间内回复，采购人向供应商收取人民币</w:t>
      </w:r>
      <w:r>
        <w:rPr>
          <w:rFonts w:ascii="宋体" w:hAnsi="宋体"/>
          <w:color w:val="000000"/>
          <w:highlight w:val="none"/>
        </w:rPr>
        <w:t xml:space="preserve">500元/次的违约金，且采购人有权指定其他队伍代为实施，相应费用及责任由供应商承担；</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.4供应商需与包括工人在内的所有人员签订劳动合同，明确劳动报酬等内容，并严格履行、及时足额支付工资等劳动报酬。对采购人支付的</w:t>
      </w:r>
      <w:r>
        <w:rPr>
          <w:rFonts w:hint="eastAsia" w:ascii="宋体" w:hAnsi="宋体"/>
          <w:color w:val="000000"/>
          <w:highlight w:val="none"/>
        </w:rPr>
        <w:t xml:space="preserve">项目</w:t>
      </w:r>
      <w:r>
        <w:rPr>
          <w:rFonts w:ascii="宋体" w:hAnsi="宋体"/>
          <w:color w:val="000000"/>
          <w:highlight w:val="none"/>
        </w:rPr>
        <w:t xml:space="preserve">款，供应商须优先用于支付工人劳动报酬，严禁出现供应商因支付工人工资不足额、不及时，工人干扰</w:t>
      </w:r>
      <w:r>
        <w:rPr>
          <w:rFonts w:hint="eastAsia" w:ascii="宋体" w:hAnsi="宋体"/>
          <w:color w:val="000000"/>
          <w:highlight w:val="none"/>
        </w:rPr>
        <w:t xml:space="preserve">道路交通秩序</w:t>
      </w:r>
      <w:r>
        <w:rPr>
          <w:rFonts w:ascii="宋体" w:hAnsi="宋体"/>
          <w:color w:val="000000"/>
          <w:highlight w:val="none"/>
        </w:rPr>
        <w:t xml:space="preserve">、办公场所的情况，若出现此类情况对采购人造成不利影响，采购人可视情节恶劣程度，对</w:t>
      </w:r>
      <w:r>
        <w:rPr>
          <w:rFonts w:hint="eastAsia" w:ascii="宋体" w:hAnsi="宋体"/>
          <w:color w:val="000000"/>
          <w:highlight w:val="none"/>
        </w:rPr>
        <w:t xml:space="preserve">供应商处以人民币</w:t>
      </w:r>
      <w:r>
        <w:rPr>
          <w:rFonts w:ascii="宋体" w:hAnsi="宋体"/>
          <w:color w:val="000000"/>
          <w:highlight w:val="none"/>
        </w:rPr>
        <w:t xml:space="preserve">5</w:t>
      </w:r>
      <w:r>
        <w:rPr>
          <w:rFonts w:hint="eastAsia" w:ascii="宋体" w:hAnsi="宋体"/>
          <w:color w:val="000000"/>
          <w:highlight w:val="none"/>
        </w:rPr>
        <w:t xml:space="preserve">0万</w:t>
      </w:r>
      <w:r>
        <w:rPr>
          <w:rFonts w:ascii="宋体" w:hAnsi="宋体"/>
          <w:color w:val="000000"/>
          <w:highlight w:val="none"/>
        </w:rPr>
        <w:t xml:space="preserve">元/次的</w:t>
      </w:r>
      <w:r>
        <w:rPr>
          <w:rFonts w:hint="eastAsia" w:ascii="宋体" w:hAnsi="宋体"/>
          <w:color w:val="000000"/>
          <w:highlight w:val="none"/>
        </w:rPr>
        <w:t xml:space="preserve">违约金</w:t>
      </w:r>
      <w:r>
        <w:rPr>
          <w:rFonts w:ascii="宋体" w:hAnsi="宋体"/>
          <w:color w:val="000000"/>
          <w:highlight w:val="none"/>
        </w:rPr>
        <w:t xml:space="preserve">，同时采购人有权在供应商</w:t>
      </w:r>
      <w:r>
        <w:rPr>
          <w:rFonts w:hint="eastAsia" w:ascii="宋体" w:hAnsi="宋体"/>
          <w:color w:val="000000"/>
          <w:highlight w:val="none"/>
        </w:rPr>
        <w:t xml:space="preserve">项目</w:t>
      </w:r>
      <w:r>
        <w:rPr>
          <w:rFonts w:ascii="宋体" w:hAnsi="宋体"/>
          <w:color w:val="000000"/>
          <w:highlight w:val="none"/>
        </w:rPr>
        <w:t xml:space="preserve">款项中直接扣除相应款项，支付给供应商所属工人；</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.5供应商必须按“南京市工程施工现场管理规定”(南京市人民政府文件第237号) 、《南京市扬尘污染防治管理办法》（南京市人民政府令第287号）、“市政府关于印发加强扬尘污染防控“十条措施”的通知”(宁政发（2013）32号)的要求规范管理，所发生的费用供应商自行承担；</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.6供应商应服从采购人的安排及时清理</w:t>
      </w:r>
      <w:r>
        <w:rPr>
          <w:rFonts w:hint="eastAsia" w:ascii="宋体" w:hAnsi="宋体"/>
          <w:color w:val="000000"/>
          <w:highlight w:val="none"/>
        </w:rPr>
        <w:t xml:space="preserve">项目</w:t>
      </w:r>
      <w:r>
        <w:rPr>
          <w:rFonts w:ascii="宋体" w:hAnsi="宋体"/>
          <w:color w:val="000000"/>
          <w:highlight w:val="none"/>
        </w:rPr>
        <w:t xml:space="preserve">现场内的建筑垃圾、转移临时设施和机械、材料，不能在采购人规定期</w:t>
      </w:r>
      <w:r>
        <w:rPr>
          <w:rFonts w:hint="eastAsia" w:ascii="宋体" w:hAnsi="宋体"/>
          <w:color w:val="000000"/>
          <w:highlight w:val="none"/>
        </w:rPr>
        <w:t xml:space="preserve">限内完成清理或转移的，每延迟一天，支付人民币1万元的违约金；</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.7供应商应协助采购人办理有关的报批、报建、取证的手续，共同承担有关责任；</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.8在</w:t>
      </w:r>
      <w:r>
        <w:rPr>
          <w:rFonts w:hint="eastAsia" w:ascii="宋体" w:hAnsi="宋体"/>
          <w:color w:val="000000"/>
          <w:highlight w:val="none"/>
        </w:rPr>
        <w:t xml:space="preserve">项目实施</w:t>
      </w:r>
      <w:r>
        <w:rPr>
          <w:rFonts w:ascii="宋体" w:hAnsi="宋体"/>
          <w:color w:val="000000"/>
          <w:highlight w:val="none"/>
        </w:rPr>
        <w:t xml:space="preserve">过程中及保修期内，供应商不得以任何理由拒收采购人及监理人发出的联系单、通知单等往来函件，如拒收，采购人、监理人可通过发邮件或挂号信给供应商，函件发出即视为供应商已接收，且采购人向供应商收取人民币</w:t>
      </w:r>
      <w:r>
        <w:rPr>
          <w:rFonts w:hint="eastAsia" w:ascii="宋体" w:hAnsi="宋体"/>
          <w:color w:val="000000"/>
          <w:highlight w:val="none"/>
        </w:rPr>
        <w:t xml:space="preserve">1000</w:t>
      </w:r>
      <w:r>
        <w:rPr>
          <w:rFonts w:ascii="宋体" w:hAnsi="宋体"/>
          <w:color w:val="000000"/>
          <w:highlight w:val="none"/>
        </w:rPr>
        <w:t xml:space="preserve">元/次的违约金；</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.9在</w:t>
      </w:r>
      <w:r>
        <w:rPr>
          <w:rFonts w:hint="eastAsia" w:ascii="宋体" w:hAnsi="宋体"/>
          <w:color w:val="000000"/>
          <w:highlight w:val="none"/>
        </w:rPr>
        <w:t xml:space="preserve">项目实施</w:t>
      </w:r>
      <w:r>
        <w:rPr>
          <w:rFonts w:ascii="宋体" w:hAnsi="宋体"/>
          <w:color w:val="000000"/>
          <w:highlight w:val="none"/>
        </w:rPr>
        <w:t xml:space="preserve">过程中及保修期内，由于供应商责任出现质量问题、安全事故或其它原因，受到报纸、电视等媒体的曝光或政府有关主管部门的批评，均会给</w:t>
      </w:r>
      <w:r>
        <w:rPr>
          <w:rFonts w:hint="eastAsia" w:ascii="宋体" w:hAnsi="宋体"/>
          <w:color w:val="000000"/>
          <w:highlight w:val="none"/>
        </w:rPr>
        <w:t xml:space="preserve">本项目的社会形象造成损失，采购人将向供应商收取人民币5万元</w:t>
      </w:r>
      <w:r>
        <w:rPr>
          <w:rFonts w:ascii="宋体" w:hAnsi="宋体"/>
          <w:color w:val="000000"/>
          <w:highlight w:val="none"/>
        </w:rPr>
        <w:t xml:space="preserve">/次的违约金，采购人直接从供应商的进度款或保修款中扣除，情节严重的，采购人将书面上报政府有关主管部门，直至与供应商终止合同，采购人和供应商的所有损失均由供应商承担；</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.10要求</w:t>
      </w:r>
      <w:r>
        <w:rPr>
          <w:rFonts w:hint="eastAsia" w:ascii="宋体" w:hAnsi="宋体"/>
          <w:color w:val="000000"/>
          <w:highlight w:val="none"/>
        </w:rPr>
        <w:t xml:space="preserve">供应商</w:t>
      </w:r>
      <w:r>
        <w:rPr>
          <w:rFonts w:ascii="宋体" w:hAnsi="宋体"/>
          <w:color w:val="000000"/>
          <w:highlight w:val="none"/>
        </w:rPr>
        <w:t xml:space="preserve">在整个标段的不同单项</w:t>
      </w:r>
      <w:r>
        <w:rPr>
          <w:rFonts w:hint="eastAsia" w:ascii="宋体" w:hAnsi="宋体"/>
          <w:color w:val="000000"/>
          <w:highlight w:val="none"/>
        </w:rPr>
        <w:t xml:space="preserve">工作</w:t>
      </w:r>
      <w:r>
        <w:rPr>
          <w:rFonts w:ascii="宋体" w:hAnsi="宋体"/>
          <w:color w:val="000000"/>
          <w:highlight w:val="none"/>
        </w:rPr>
        <w:t xml:space="preserve">中，针对相同子目报统一单价，如相同子目有不同的报价，结算时，相同子目全部按报价最低的单价进行结算；</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.11</w:t>
      </w:r>
      <w:r>
        <w:rPr>
          <w:rFonts w:hint="eastAsia" w:ascii="宋体" w:hAnsi="宋体"/>
          <w:color w:val="000000"/>
          <w:highlight w:val="none"/>
        </w:rPr>
        <w:t xml:space="preserve">供应商</w:t>
      </w:r>
      <w:r>
        <w:rPr>
          <w:rFonts w:ascii="宋体" w:hAnsi="宋体"/>
          <w:color w:val="000000"/>
          <w:highlight w:val="none"/>
        </w:rPr>
        <w:t xml:space="preserve">不得在</w:t>
      </w:r>
      <w:r>
        <w:rPr>
          <w:rFonts w:hint="eastAsia" w:ascii="宋体" w:hAnsi="宋体"/>
          <w:color w:val="000000"/>
          <w:highlight w:val="none"/>
        </w:rPr>
        <w:t xml:space="preserve">栖霞</w:t>
      </w:r>
      <w:r>
        <w:rPr>
          <w:rFonts w:ascii="宋体" w:hAnsi="宋体"/>
          <w:color w:val="000000"/>
          <w:highlight w:val="none"/>
        </w:rPr>
        <w:t xml:space="preserve">区烟花爆竹禁放区内燃放烟花爆竹；</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.12采购人在每次支付进度款时</w:t>
      </w:r>
      <w:r>
        <w:rPr>
          <w:rFonts w:hint="eastAsia" w:ascii="宋体" w:hAnsi="宋体"/>
          <w:color w:val="000000"/>
          <w:highlight w:val="none"/>
        </w:rPr>
        <w:t xml:space="preserve">，需要进行安全文明考评工作，由采购人、管理方、监理人、跟踪审计单位对现场安全文明的情况进行具体考评。发现已支付安全文明措施费未实际投入项目安全、文明管理的，采购人有权暂停支付该进度款。</w:t>
      </w:r>
      <w:r/>
    </w:p>
    <w:p>
      <w:pPr>
        <w:ind w:firstLine="420"/>
        <w:spacing w:line="40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.13要求及注意事项</w:t>
      </w:r>
      <w:r/>
    </w:p>
    <w:p>
      <w:pPr>
        <w:ind w:firstLine="420"/>
        <w:spacing w:line="400" w:lineRule="exact"/>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供应商</w:t>
      </w:r>
      <w:r>
        <w:rPr>
          <w:rFonts w:ascii="宋体" w:hAnsi="宋体"/>
          <w:color w:val="000000"/>
          <w:highlight w:val="none"/>
        </w:rPr>
        <w:t xml:space="preserve">必须按照有关技术规范及采购人提供的</w:t>
      </w:r>
      <w:r>
        <w:rPr>
          <w:rFonts w:hint="eastAsia" w:ascii="宋体" w:hAnsi="宋体"/>
          <w:color w:val="000000"/>
          <w:highlight w:val="none"/>
        </w:rPr>
        <w:t xml:space="preserve">项目</w:t>
      </w:r>
      <w:r>
        <w:rPr>
          <w:rFonts w:ascii="宋体" w:hAnsi="宋体"/>
          <w:color w:val="000000"/>
          <w:highlight w:val="none"/>
        </w:rPr>
        <w:t xml:space="preserve">设计文件要求组织</w:t>
      </w:r>
      <w:r>
        <w:rPr>
          <w:rFonts w:hint="eastAsia" w:ascii="宋体" w:hAnsi="宋体"/>
          <w:color w:val="000000"/>
          <w:highlight w:val="none"/>
        </w:rPr>
        <w:t xml:space="preserve">实施</w:t>
      </w:r>
      <w:r>
        <w:rPr>
          <w:rFonts w:ascii="宋体" w:hAnsi="宋体"/>
          <w:color w:val="000000"/>
          <w:highlight w:val="none"/>
        </w:rPr>
        <w:t xml:space="preserve">。采购人全权进行现场的监督和管理。</w:t>
      </w:r>
      <w:r/>
    </w:p>
    <w:p>
      <w:pPr>
        <w:ind w:firstLine="420"/>
        <w:spacing w:line="400" w:lineRule="exact"/>
        <w:rPr>
          <w:rFonts w:ascii="宋体" w:hAnsi="宋体"/>
          <w:color w:val="000000"/>
          <w:highlight w:val="none"/>
        </w:rPr>
      </w:pPr>
      <w:r>
        <w:rPr>
          <w:rFonts w:ascii="宋体" w:hAnsi="宋体"/>
          <w:color w:val="000000"/>
          <w:highlight w:val="none"/>
        </w:rPr>
        <w:t xml:space="preserve">2、供应商必须按照合同工期按时、保质、保量地完成任务。签订合同的同时，须提供本</w:t>
      </w:r>
      <w:r>
        <w:rPr>
          <w:rFonts w:hint="eastAsia" w:ascii="宋体" w:hAnsi="宋体"/>
          <w:color w:val="000000"/>
          <w:highlight w:val="none"/>
        </w:rPr>
        <w:t xml:space="preserve">项目</w:t>
      </w:r>
      <w:r>
        <w:rPr>
          <w:rFonts w:ascii="宋体" w:hAnsi="宋体"/>
          <w:color w:val="000000"/>
          <w:highlight w:val="none"/>
        </w:rPr>
        <w:t xml:space="preserve">具体的</w:t>
      </w:r>
      <w:r>
        <w:rPr>
          <w:rFonts w:hint="eastAsia" w:ascii="宋体" w:hAnsi="宋体"/>
          <w:color w:val="000000"/>
          <w:highlight w:val="none"/>
        </w:rPr>
        <w:t xml:space="preserve">技术</w:t>
      </w:r>
      <w:r>
        <w:rPr>
          <w:rFonts w:ascii="宋体" w:hAnsi="宋体"/>
          <w:color w:val="000000"/>
          <w:highlight w:val="none"/>
        </w:rPr>
        <w:t xml:space="preserve">方案；对某些易发</w:t>
      </w:r>
      <w:r>
        <w:rPr>
          <w:rFonts w:hint="eastAsia" w:ascii="宋体" w:hAnsi="宋体"/>
          <w:color w:val="000000"/>
          <w:highlight w:val="none"/>
        </w:rPr>
        <w:t xml:space="preserve">性病害的治理应提供专项的技术方案。完工后应按照月进度提交每月的养护管理计划及上月养护管理小结。供应商不得将本项目分包或转包。</w:t>
      </w:r>
      <w:r/>
    </w:p>
    <w:p>
      <w:pPr>
        <w:ind w:firstLine="420"/>
        <w:spacing w:line="400" w:lineRule="exact"/>
        <w:rPr>
          <w:rFonts w:ascii="宋体" w:hAnsi="宋体"/>
          <w:color w:val="000000"/>
          <w:highlight w:val="none"/>
        </w:rPr>
      </w:pPr>
      <w:r>
        <w:rPr>
          <w:rFonts w:ascii="宋体" w:hAnsi="宋体"/>
          <w:color w:val="000000"/>
          <w:highlight w:val="none"/>
        </w:rPr>
        <w:t xml:space="preserve">3、供应商必须严格按照采购人提供的图纸和相关技术规定进行</w:t>
      </w:r>
      <w:r>
        <w:rPr>
          <w:rFonts w:hint="eastAsia" w:ascii="宋体" w:hAnsi="宋体"/>
          <w:color w:val="000000"/>
          <w:highlight w:val="none"/>
        </w:rPr>
        <w:t xml:space="preserve">工作</w:t>
      </w:r>
      <w:r>
        <w:rPr>
          <w:rFonts w:ascii="宋体" w:hAnsi="宋体"/>
          <w:color w:val="000000"/>
          <w:highlight w:val="none"/>
        </w:rPr>
        <w:t xml:space="preserve">；未经采购人批准，不得擅自改变原有设计与有关的要求和规定，若因现场实际需要，确需对原设计内容作调整或补充的，应经采购人批准并办理书面手续后方可实施。</w:t>
      </w:r>
      <w:r/>
    </w:p>
    <w:p>
      <w:pPr>
        <w:ind w:firstLine="420"/>
        <w:spacing w:line="400" w:lineRule="exact"/>
        <w:rPr>
          <w:rFonts w:ascii="宋体" w:hAnsi="宋体"/>
          <w:color w:val="000000"/>
          <w:highlight w:val="none"/>
        </w:rPr>
      </w:pPr>
      <w:r>
        <w:rPr>
          <w:rFonts w:ascii="宋体" w:hAnsi="宋体"/>
          <w:color w:val="000000"/>
          <w:highlight w:val="none"/>
        </w:rPr>
        <w:t xml:space="preserve">4、供应商在</w:t>
      </w:r>
      <w:r>
        <w:rPr>
          <w:rFonts w:hint="eastAsia" w:ascii="宋体" w:hAnsi="宋体"/>
          <w:color w:val="000000"/>
          <w:highlight w:val="none"/>
        </w:rPr>
        <w:t xml:space="preserve">实施</w:t>
      </w:r>
      <w:r>
        <w:rPr>
          <w:rFonts w:ascii="宋体" w:hAnsi="宋体"/>
          <w:color w:val="000000"/>
          <w:highlight w:val="none"/>
        </w:rPr>
        <w:t xml:space="preserve">过程中有义务进行成品保护，若有破坏或损坏，采购人有权要求供应商恢复或</w:t>
      </w:r>
      <w:r>
        <w:rPr>
          <w:rFonts w:hint="eastAsia" w:ascii="宋体" w:hAnsi="宋体"/>
          <w:color w:val="000000"/>
          <w:highlight w:val="none"/>
        </w:rPr>
        <w:t xml:space="preserve">支付违约金</w:t>
      </w:r>
      <w:r>
        <w:rPr>
          <w:rFonts w:ascii="宋体" w:hAnsi="宋体"/>
          <w:color w:val="000000"/>
          <w:highlight w:val="none"/>
        </w:rPr>
        <w:t xml:space="preserve">。</w:t>
      </w:r>
      <w:r/>
    </w:p>
    <w:p>
      <w:pPr>
        <w:ind w:firstLine="420"/>
        <w:spacing w:line="400" w:lineRule="exact"/>
        <w:rPr>
          <w:rFonts w:ascii="宋体" w:hAnsi="宋体"/>
          <w:color w:val="000000"/>
          <w:highlight w:val="none"/>
        </w:rPr>
      </w:pPr>
      <w:r>
        <w:rPr>
          <w:rFonts w:ascii="宋体" w:hAnsi="宋体"/>
          <w:color w:val="000000"/>
          <w:highlight w:val="none"/>
        </w:rPr>
        <w:t xml:space="preserve">5、采购人全权进行现场的监督和管理，采购人一旦发现供应商</w:t>
      </w:r>
      <w:r>
        <w:rPr>
          <w:rFonts w:hint="eastAsia" w:ascii="宋体" w:hAnsi="宋体"/>
          <w:color w:val="000000"/>
          <w:highlight w:val="none"/>
        </w:rPr>
        <w:t xml:space="preserve">不符合本合同规定的质量要求的，采购人有权对供应商所报验的工序质量单、材料进场报验单、计量报审单等书面文件不予报批，并有权指令供应商进行限期整改，供应商必须无条件执行，否则采购人可指令第三方来进行，直至采购人认为达到质量要求为止，由此发生的一切费用由供应商承担，若因供应商原因项目出现重大质量问题，并不服从采购人提出的整改要求，情节严重的，采购人有权终止合同，因此所发生的一切损失由供应商承担。</w:t>
      </w:r>
      <w:r/>
    </w:p>
    <w:p>
      <w:pPr>
        <w:ind w:firstLine="420"/>
        <w:spacing w:line="400" w:lineRule="exact"/>
        <w:rPr>
          <w:rFonts w:ascii="宋体" w:hAnsi="宋体"/>
          <w:color w:val="000000"/>
          <w:highlight w:val="none"/>
        </w:rPr>
      </w:pPr>
      <w:r>
        <w:rPr>
          <w:rFonts w:ascii="宋体" w:hAnsi="宋体"/>
          <w:color w:val="000000"/>
          <w:highlight w:val="none"/>
        </w:rPr>
        <w:t xml:space="preserve">6、采购人尽可能为供应商提供</w:t>
      </w:r>
      <w:r>
        <w:rPr>
          <w:rFonts w:hint="eastAsia" w:ascii="宋体" w:hAnsi="宋体"/>
          <w:color w:val="000000"/>
          <w:highlight w:val="none"/>
        </w:rPr>
        <w:t xml:space="preserve">工作</w:t>
      </w:r>
      <w:r>
        <w:rPr>
          <w:rFonts w:ascii="宋体" w:hAnsi="宋体"/>
          <w:color w:val="000000"/>
          <w:highlight w:val="none"/>
        </w:rPr>
        <w:t xml:space="preserve">方便，协助供应商协调好与其他有关</w:t>
      </w:r>
      <w:r>
        <w:rPr>
          <w:rFonts w:hint="eastAsia" w:ascii="宋体" w:hAnsi="宋体"/>
          <w:color w:val="000000"/>
          <w:highlight w:val="none"/>
        </w:rPr>
        <w:t xml:space="preserve">工作</w:t>
      </w:r>
      <w:r>
        <w:rPr>
          <w:rFonts w:ascii="宋体" w:hAnsi="宋体"/>
          <w:color w:val="000000"/>
          <w:highlight w:val="none"/>
        </w:rPr>
        <w:t xml:space="preserve">单位和地方的关系。</w:t>
      </w:r>
      <w:r/>
    </w:p>
    <w:p>
      <w:pPr>
        <w:ind w:firstLine="420"/>
        <w:spacing w:line="400" w:lineRule="exact"/>
        <w:rPr>
          <w:rFonts w:ascii="宋体" w:hAnsi="宋体"/>
          <w:color w:val="000000"/>
          <w:highlight w:val="none"/>
        </w:rPr>
      </w:pPr>
      <w:r>
        <w:rPr>
          <w:rFonts w:ascii="宋体" w:hAnsi="宋体"/>
          <w:color w:val="000000"/>
          <w:highlight w:val="none"/>
        </w:rPr>
        <w:t xml:space="preserve">7、供应商应考虑到本标段现场取水、搬运及</w:t>
      </w:r>
      <w:r>
        <w:rPr>
          <w:rFonts w:hint="eastAsia" w:ascii="宋体" w:hAnsi="宋体"/>
          <w:color w:val="000000"/>
          <w:highlight w:val="none"/>
        </w:rPr>
        <w:t xml:space="preserve">人为影响等不利因素。</w:t>
      </w:r>
      <w:r/>
    </w:p>
    <w:p>
      <w:pPr>
        <w:ind w:firstLine="420"/>
        <w:spacing w:line="400" w:lineRule="exact"/>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t xml:space="preserve">、本</w:t>
      </w:r>
      <w:r>
        <w:rPr>
          <w:rFonts w:hint="eastAsia" w:ascii="宋体" w:hAnsi="宋体"/>
          <w:color w:val="000000"/>
          <w:highlight w:val="none"/>
        </w:rPr>
        <w:t xml:space="preserve">项目</w:t>
      </w:r>
      <w:r>
        <w:rPr>
          <w:rFonts w:ascii="宋体" w:hAnsi="宋体"/>
          <w:color w:val="000000"/>
          <w:highlight w:val="none"/>
        </w:rPr>
        <w:t xml:space="preserve">现场不提供住宿及办公场所，</w:t>
      </w:r>
      <w:r>
        <w:rPr>
          <w:rFonts w:hint="eastAsia" w:ascii="宋体" w:hAnsi="宋体"/>
          <w:color w:val="000000"/>
          <w:highlight w:val="none"/>
        </w:rPr>
        <w:t xml:space="preserve">供应商</w:t>
      </w:r>
      <w:r>
        <w:rPr>
          <w:rFonts w:ascii="宋体" w:hAnsi="宋体"/>
          <w:color w:val="000000"/>
          <w:highlight w:val="none"/>
        </w:rPr>
        <w:t xml:space="preserve">自行解决，该部分费用请在投标报价中综合考虑。</w:t>
      </w:r>
      <w:r/>
    </w:p>
    <w:p>
      <w:pPr>
        <w:ind w:firstLine="420"/>
        <w:spacing w:line="400" w:lineRule="exact"/>
        <w:rPr>
          <w:rFonts w:ascii="宋体" w:hAnsi="宋体"/>
          <w:color w:val="000000"/>
          <w:highlight w:val="none"/>
        </w:rPr>
      </w:pPr>
      <w:r>
        <w:rPr>
          <w:rFonts w:hint="eastAsia" w:ascii="宋体" w:hAnsi="宋体"/>
          <w:color w:val="000000"/>
          <w:highlight w:val="none"/>
        </w:rPr>
        <w:t xml:space="preserve">9</w:t>
      </w:r>
      <w:r>
        <w:rPr>
          <w:rFonts w:ascii="宋体" w:hAnsi="宋体"/>
          <w:color w:val="000000"/>
          <w:highlight w:val="none"/>
        </w:rPr>
        <w:t xml:space="preserve">、</w:t>
      </w:r>
      <w:r>
        <w:rPr>
          <w:rFonts w:hint="eastAsia" w:ascii="宋体" w:hAnsi="宋体"/>
          <w:color w:val="000000"/>
          <w:highlight w:val="none"/>
        </w:rPr>
        <w:t xml:space="preserve">供应商</w:t>
      </w:r>
      <w:r>
        <w:rPr>
          <w:rFonts w:ascii="宋体" w:hAnsi="宋体"/>
          <w:color w:val="000000"/>
          <w:highlight w:val="none"/>
        </w:rPr>
        <w:t xml:space="preserve">应充分考虑在</w:t>
      </w:r>
      <w:r>
        <w:rPr>
          <w:rFonts w:hint="eastAsia" w:ascii="宋体" w:hAnsi="宋体"/>
          <w:color w:val="000000"/>
          <w:highlight w:val="none"/>
        </w:rPr>
        <w:t xml:space="preserve">实施</w:t>
      </w:r>
      <w:r>
        <w:rPr>
          <w:rFonts w:ascii="宋体" w:hAnsi="宋体"/>
          <w:color w:val="000000"/>
          <w:highlight w:val="none"/>
        </w:rPr>
        <w:t xml:space="preserve">期间与市政、电力、自来水等专业单位的配合、协调及相互的</w:t>
      </w:r>
      <w:r>
        <w:rPr>
          <w:rFonts w:hint="eastAsia" w:ascii="宋体" w:hAnsi="宋体"/>
          <w:color w:val="000000"/>
          <w:highlight w:val="none"/>
        </w:rPr>
        <w:t xml:space="preserve">干扰等因素，增加的费用在投标时自行考虑列入投标报价中。</w:t>
      </w:r>
      <w:r/>
    </w:p>
    <w:p>
      <w:pPr>
        <w:ind w:firstLine="420"/>
        <w:spacing w:line="400" w:lineRule="exact"/>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0</w:t>
      </w:r>
      <w:r>
        <w:rPr>
          <w:rFonts w:ascii="宋体" w:hAnsi="宋体"/>
          <w:color w:val="000000"/>
          <w:highlight w:val="none"/>
        </w:rPr>
        <w:t xml:space="preserve">、</w:t>
      </w:r>
      <w:r>
        <w:rPr>
          <w:rFonts w:hint="eastAsia" w:ascii="宋体" w:hAnsi="宋体"/>
          <w:color w:val="000000"/>
          <w:highlight w:val="none"/>
        </w:rPr>
        <w:t xml:space="preserve">采购人</w:t>
      </w:r>
      <w:r>
        <w:rPr>
          <w:rFonts w:ascii="宋体" w:hAnsi="宋体"/>
          <w:color w:val="000000"/>
          <w:highlight w:val="none"/>
        </w:rPr>
        <w:t xml:space="preserve">有权在</w:t>
      </w:r>
      <w:r>
        <w:rPr>
          <w:rFonts w:hint="eastAsia" w:ascii="宋体" w:hAnsi="宋体"/>
          <w:color w:val="000000"/>
          <w:highlight w:val="none"/>
        </w:rPr>
        <w:t xml:space="preserve">实施过程</w:t>
      </w:r>
      <w:r>
        <w:rPr>
          <w:rFonts w:ascii="宋体" w:hAnsi="宋体"/>
          <w:color w:val="000000"/>
          <w:highlight w:val="none"/>
        </w:rPr>
        <w:t xml:space="preserve">中对</w:t>
      </w:r>
      <w:r>
        <w:rPr>
          <w:rFonts w:hint="eastAsia" w:ascii="宋体" w:hAnsi="宋体"/>
          <w:color w:val="000000"/>
          <w:highlight w:val="none"/>
        </w:rPr>
        <w:t xml:space="preserve">工作</w:t>
      </w:r>
      <w:r>
        <w:rPr>
          <w:rFonts w:ascii="宋体" w:hAnsi="宋体"/>
          <w:color w:val="000000"/>
          <w:highlight w:val="none"/>
        </w:rPr>
        <w:t xml:space="preserve">量和</w:t>
      </w:r>
      <w:r>
        <w:rPr>
          <w:rFonts w:hint="eastAsia" w:ascii="宋体" w:hAnsi="宋体"/>
          <w:color w:val="000000"/>
          <w:highlight w:val="none"/>
        </w:rPr>
        <w:t xml:space="preserve">工作</w:t>
      </w:r>
      <w:r>
        <w:rPr>
          <w:rFonts w:ascii="宋体" w:hAnsi="宋体"/>
          <w:color w:val="000000"/>
          <w:highlight w:val="none"/>
        </w:rPr>
        <w:t xml:space="preserve">内容进行调整，供应商应无条件</w:t>
      </w:r>
      <w:r>
        <w:rPr>
          <w:rFonts w:hint="eastAsia" w:ascii="宋体" w:hAnsi="宋体"/>
          <w:color w:val="000000"/>
          <w:highlight w:val="none"/>
        </w:rPr>
        <w:t xml:space="preserve">响</w:t>
      </w:r>
      <w:r>
        <w:rPr>
          <w:rFonts w:ascii="宋体" w:hAnsi="宋体"/>
          <w:color w:val="000000"/>
          <w:highlight w:val="none"/>
        </w:rPr>
        <w:t xml:space="preserve">应，在合同执行中按约定的价格进行调整，并不得</w:t>
      </w:r>
      <w:r>
        <w:rPr>
          <w:rFonts w:hint="eastAsia" w:ascii="宋体" w:hAnsi="宋体"/>
          <w:color w:val="000000"/>
          <w:highlight w:val="none"/>
        </w:rPr>
        <w:t xml:space="preserve">收取违约金</w:t>
      </w:r>
      <w:r>
        <w:rPr>
          <w:rFonts w:ascii="宋体" w:hAnsi="宋体"/>
          <w:color w:val="000000"/>
          <w:highlight w:val="none"/>
        </w:rPr>
        <w:t xml:space="preserve">。</w:t>
      </w:r>
      <w:r/>
    </w:p>
    <w:p>
      <w:pPr>
        <w:ind w:firstLine="420"/>
        <w:spacing w:line="400" w:lineRule="exact"/>
        <w:rPr>
          <w:rFonts w:ascii="宋体" w:hAnsi="宋体"/>
          <w:color w:val="000000"/>
          <w:highlight w:val="none"/>
        </w:rPr>
      </w:pPr>
      <w:r>
        <w:rPr>
          <w:rFonts w:hint="eastAsia" w:ascii="宋体" w:hAnsi="宋体"/>
          <w:color w:val="000000"/>
          <w:highlight w:val="none"/>
        </w:rPr>
        <w:t xml:space="preserve">1.14</w:t>
      </w:r>
      <w:r>
        <w:rPr>
          <w:rFonts w:hint="eastAsia" w:ascii="宋体" w:hAnsi="宋体" w:cs="宋体"/>
          <w:color w:val="000000"/>
          <w:highlight w:val="none"/>
        </w:rPr>
        <w:t xml:space="preserve">本项目设有项目管理人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，管理人在采购人的授权下行使采购人的权利，供应商已充分了解了采购人与管理人签订的项目管理合同中对管理人的授权，管理人根据相关授权行使对应的权利和义务。</w:t>
      </w:r>
      <w:r/>
    </w:p>
    <w:p>
      <w:pPr>
        <w:ind w:firstLine="420"/>
        <w:spacing w:line="400" w:lineRule="exact"/>
        <w:rPr>
          <w:rFonts w:ascii="宋体" w:hAnsi="宋体"/>
          <w:color w:val="000000"/>
          <w:highlight w:val="none"/>
        </w:rPr>
      </w:pPr>
      <w:r>
        <w:rPr>
          <w:rFonts w:hint="eastAsia" w:ascii="宋体" w:hAnsi="宋体"/>
          <w:color w:val="000000"/>
          <w:highlight w:val="none"/>
        </w:rPr>
        <w:t xml:space="preserve">1.15供应商要勤勉对仙林地区所有道路和市政设施的巡查和管理义务，常态化安排固定巡查人员对责任范围市政道路及市政设施开展全范围日常巡查；在重要检查、重大活动期间，供应商需按照采购人和管理方要求，增加巡查人员和巡查频次开展强化巡查。</w:t>
      </w:r>
      <w:r/>
    </w:p>
    <w:p>
      <w:pPr>
        <w:ind w:firstLine="420"/>
        <w:spacing w:line="400" w:lineRule="exact"/>
        <w:rPr>
          <w:rFonts w:ascii="宋体" w:hAnsi="宋体"/>
          <w:color w:val="000000"/>
          <w:highlight w:val="none"/>
        </w:rPr>
      </w:pPr>
      <w:r>
        <w:rPr>
          <w:rFonts w:hint="eastAsia" w:ascii="宋体" w:hAnsi="宋体"/>
          <w:color w:val="000000"/>
          <w:highlight w:val="none"/>
        </w:rPr>
        <w:t xml:space="preserve">1.16巡查发现问题由供应商梳理汇总后于次日将缺陷照片和工作计划上报管理方，经管理方、采购人逐级审批后按审批意见或指令实施；较大缺陷（如大面积沥青维修、道路局部拓宽改造等）需制定专项方案（含计划、安全生产、交通组织等）报管理方、采购人逐级审批；如有改造优化建议，可制定专项方案报管理方和采购人研究审核。</w:t>
      </w:r>
      <w:r/>
    </w:p>
    <w:p>
      <w:pPr>
        <w:ind w:firstLine="420"/>
        <w:spacing w:line="400" w:lineRule="exact"/>
        <w:rPr>
          <w:rFonts w:ascii="宋体" w:hAnsi="宋体"/>
          <w:color w:val="000000"/>
          <w:highlight w:val="none"/>
        </w:rPr>
      </w:pPr>
      <w:r>
        <w:rPr>
          <w:rFonts w:hint="eastAsia" w:ascii="宋体" w:hAnsi="宋体"/>
          <w:color w:val="000000"/>
          <w:highlight w:val="none"/>
        </w:rPr>
        <w:t xml:space="preserve">1.17供应商须严格按照指令或方案审批意见开展工作，服从采购人、管理方和监理方的管理，确保安全、文明和进度、质量达到要求。</w:t>
      </w:r>
      <w:r/>
    </w:p>
    <w:p>
      <w:pPr>
        <w:ind w:firstLine="420"/>
        <w:spacing w:line="400" w:lineRule="exact"/>
        <w:rPr>
          <w:rFonts w:ascii="宋体" w:hAnsi="宋体"/>
          <w:color w:val="000000"/>
          <w:highlight w:val="none"/>
        </w:rPr>
      </w:pPr>
      <w:r>
        <w:rPr>
          <w:rFonts w:hint="eastAsia" w:ascii="宋体" w:hAnsi="宋体"/>
          <w:color w:val="000000"/>
          <w:highlight w:val="none"/>
        </w:rPr>
        <w:t xml:space="preserve">1.18本项目实行月度考核（见附表），考核满分100分。月度考核得分90到100分不做处罚；得分80到89分，扣款2万元；得分60到79分，扣款4万元；得分60分以下为不合格，扣款8万元，并计黄牌一次；招标文件和合同中单独约定的扣款和计牌处罚与考核处罚可并罚。本合同的扣款为违约金。</w:t>
      </w:r>
      <w:r/>
    </w:p>
    <w:p>
      <w:pPr>
        <w:ind w:firstLine="420"/>
        <w:spacing w:line="400" w:lineRule="exact"/>
        <w:rPr>
          <w:rFonts w:ascii="宋体" w:hAnsi="宋体"/>
          <w:color w:val="000000"/>
          <w:highlight w:val="none"/>
        </w:rPr>
      </w:pPr>
      <w:r>
        <w:rPr>
          <w:rFonts w:hint="eastAsia" w:ascii="宋体" w:hAnsi="宋体"/>
          <w:color w:val="000000"/>
          <w:highlight w:val="none"/>
        </w:rPr>
        <w:t xml:space="preserve">1.19供应商在项目过程中存在较大安全文明事故隐患的，计黄牌一次；发生安全生产事故，或不文明工作影响恶劣的，计红牌一次。</w:t>
      </w:r>
      <w:r/>
    </w:p>
    <w:p>
      <w:pPr>
        <w:ind w:firstLine="420"/>
        <w:spacing w:line="400" w:lineRule="exact"/>
        <w:rPr>
          <w:rFonts w:ascii="宋体" w:hAnsi="宋体"/>
          <w:color w:val="000000"/>
          <w:highlight w:val="none"/>
        </w:rPr>
      </w:pPr>
      <w:r>
        <w:rPr>
          <w:rFonts w:hint="eastAsia" w:ascii="宋体" w:hAnsi="宋体"/>
          <w:color w:val="000000"/>
          <w:highlight w:val="none"/>
        </w:rPr>
        <w:t xml:space="preserve">1.20 两次黄牌等同一次红牌，供应商被挂红牌后，采购人有权与供应商终止合同，由此产生的所有损失由供应商承担。</w:t>
      </w:r>
      <w:r/>
    </w:p>
    <w:p>
      <w:pPr>
        <w:ind w:firstLine="420"/>
        <w:spacing w:line="400" w:lineRule="exact"/>
        <w:rPr>
          <w:rFonts w:ascii="宋体" w:hAnsi="宋体"/>
          <w:color w:val="000000"/>
          <w:highlight w:val="none"/>
        </w:rPr>
      </w:pPr>
      <w:r>
        <w:rPr>
          <w:rFonts w:hint="eastAsia" w:ascii="宋体" w:hAnsi="宋体"/>
          <w:color w:val="000000"/>
          <w:highlight w:val="none"/>
        </w:rPr>
        <w:t xml:space="preserve">1.21本项目合同期限为二年，采购人对供应商进行月度考核，月度考核均分为年度考核分值。若供应商经采购人年度考核不合格，则采购人有权终止合同，由此产生的相关费用、给采购人造成的损失由供应商承担，供应商不得对此提出任何费用申请及相关赔偿。</w:t>
      </w:r>
      <w:r/>
    </w:p>
    <w:p>
      <w:pPr>
        <w:ind w:firstLine="420"/>
        <w:spacing w:line="400" w:lineRule="exact"/>
        <w:rPr>
          <w:rFonts w:ascii="宋体" w:hAnsi="宋体"/>
          <w:color w:val="000000"/>
          <w:highlight w:val="none"/>
        </w:rPr>
      </w:pPr>
      <w:r>
        <w:rPr>
          <w:rFonts w:hint="eastAsia" w:ascii="宋体" w:hAnsi="宋体"/>
          <w:color w:val="000000"/>
          <w:highlight w:val="none"/>
        </w:rPr>
        <w:t xml:space="preserve">1.22本项目共分两个包，采购人有权根据项目情况以及对供应商的考核情况，对供应商的承接范围及内容进行调整，供应商须服从采购人安排，不得因承接的工作内容增减而向采购人提出额外的费用申请。</w:t>
      </w:r>
      <w:r/>
    </w:p>
    <w:p>
      <w:pPr>
        <w:ind w:firstLine="480"/>
        <w:jc w:val="center"/>
        <w:spacing w:line="400" w:lineRule="exact"/>
        <w:rPr>
          <w:rFonts w:ascii="宋体" w:hAnsi="宋体" w:cs="方正仿宋_GBK"/>
          <w:b/>
          <w:color w:val="000000"/>
          <w:sz w:val="24"/>
          <w:highlight w:val="none"/>
        </w:rPr>
      </w:pPr>
      <w:r>
        <w:rPr>
          <w:rFonts w:hint="eastAsia" w:ascii="宋体" w:hAnsi="宋体" w:cs="方正仿宋_GBK"/>
          <w:b/>
          <w:color w:val="000000"/>
          <w:sz w:val="24"/>
          <w:highlight w:val="none"/>
        </w:rPr>
        <w:t xml:space="preserve">市政道路及市政设施维护工作月度考核表</w:t>
      </w:r>
      <w:r/>
    </w:p>
    <w:tbl>
      <w:tblPr>
        <w:tblStyle w:val="713"/>
        <w:tblW w:w="0" w:type="auto"/>
        <w:jc w:val="center"/>
        <w:tblLayout w:type="fixed"/>
        <w:tblCellMar>
          <w:left w:w="15" w:type="dxa"/>
          <w:top w:w="15" w:type="dxa"/>
          <w:right w:w="15" w:type="dxa"/>
          <w:bottom w:w="0" w:type="dxa"/>
        </w:tblCellMar>
        <w:tblLook w:val="04A0" w:firstRow="1" w:lastRow="0" w:firstColumn="1" w:lastColumn="0" w:noHBand="0" w:noVBand="1"/>
      </w:tblPr>
      <w:tblGrid>
        <w:gridCol w:w="772"/>
        <w:gridCol w:w="4729"/>
        <w:gridCol w:w="1468"/>
        <w:gridCol w:w="664"/>
        <w:gridCol w:w="682"/>
        <w:gridCol w:w="683"/>
      </w:tblGrid>
      <w:tr>
        <w:trPr>
          <w:jc w:val="center"/>
          <w:trHeight w:val="5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类别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9"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单项扣分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得分</w:t>
            </w:r>
            <w:r/>
          </w:p>
        </w:tc>
      </w:tr>
      <w:tr>
        <w:trPr>
          <w:jc w:val="center"/>
          <w:trHeight w:val="110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restart"/>
            <w:textDirection w:val="lrTb"/>
            <w:noWrap w:val="false"/>
          </w:tcPr>
          <w:p>
            <w:pPr>
              <w:jc w:val="center"/>
              <w:rPr>
                <w:rFonts w:ascii="宋体" w:hAnsi="宋体"/>
                <w:color w:val="000000"/>
                <w:highlight w:val="none"/>
              </w:rPr>
            </w:pPr>
            <w:r>
              <w:rPr>
                <w:rFonts w:ascii="宋体" w:hAnsi="宋体"/>
                <w:color w:val="000000"/>
                <w:highlight w:val="none"/>
              </w:rPr>
              <w:t xml:space="preserve">力量</w:t>
            </w:r>
            <w:r/>
          </w:p>
          <w:p>
            <w:pPr>
              <w:jc w:val="center"/>
              <w:rPr>
                <w:rFonts w:ascii="宋体" w:hAnsi="宋体"/>
                <w:color w:val="000000"/>
                <w:highlight w:val="none"/>
              </w:rPr>
            </w:pPr>
            <w:r>
              <w:rPr>
                <w:rFonts w:ascii="宋体" w:hAnsi="宋体"/>
                <w:color w:val="000000"/>
                <w:highlight w:val="none"/>
              </w:rPr>
              <w:t xml:space="preserve">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9" w:type="dxa"/>
            <w:vAlign w:val="center"/>
            <w:textDirection w:val="lrTb"/>
            <w:noWrap w:val="false"/>
          </w:tcPr>
          <w:p>
            <w:pPr>
              <w:numPr>
                <w:ilvl w:val="0"/>
                <w:numId w:val="5"/>
              </w:numPr>
              <w:rPr>
                <w:rFonts w:ascii="宋体" w:hAnsi="宋体"/>
                <w:color w:val="000000"/>
                <w:highlight w:val="none"/>
              </w:rPr>
            </w:pPr>
            <w:r>
              <w:rPr>
                <w:rFonts w:hint="eastAsia" w:ascii="宋体" w:hAnsi="宋体"/>
                <w:color w:val="000000"/>
                <w:highlight w:val="none"/>
              </w:rPr>
              <w:t xml:space="preserve">管理</w:t>
            </w:r>
            <w:r>
              <w:rPr>
                <w:rFonts w:ascii="宋体" w:hAnsi="宋体"/>
                <w:color w:val="000000"/>
                <w:highlight w:val="none"/>
              </w:rPr>
              <w:t xml:space="preserve">人员</w:t>
            </w:r>
            <w:r>
              <w:rPr>
                <w:rFonts w:hint="eastAsia" w:ascii="宋体" w:hAnsi="宋体"/>
                <w:color w:val="000000"/>
                <w:highlight w:val="none"/>
              </w:rPr>
              <w:t xml:space="preserve">：</w:t>
            </w:r>
            <w:r>
              <w:rPr>
                <w:rFonts w:ascii="宋体" w:hAnsi="宋体"/>
                <w:color w:val="000000"/>
                <w:highlight w:val="none"/>
              </w:rPr>
              <w:t xml:space="preserve">供应商须按投标文件承诺为本项目配备足够的管理人员</w:t>
            </w:r>
            <w:r>
              <w:rPr>
                <w:rFonts w:hint="eastAsia" w:ascii="宋体" w:hAnsi="宋体"/>
                <w:color w:val="000000"/>
                <w:highlight w:val="none"/>
              </w:rPr>
              <w:t xml:space="preserve">，</w:t>
            </w:r>
            <w:r>
              <w:rPr>
                <w:rFonts w:ascii="宋体" w:hAnsi="宋体"/>
                <w:color w:val="000000"/>
                <w:highlight w:val="none"/>
              </w:rPr>
              <w:t xml:space="preserve">现场每个点位须配备一名管理人员和一名专职安全员</w:t>
            </w:r>
            <w:r>
              <w:rPr>
                <w:rFonts w:hint="eastAsia" w:ascii="宋体" w:hAnsi="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人员配备</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38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9" w:type="dxa"/>
            <w:vAlign w:val="center"/>
            <w:textDirection w:val="lrTb"/>
            <w:noWrap w:val="false"/>
          </w:tcPr>
          <w:p>
            <w:pPr>
              <w:numPr>
                <w:ilvl w:val="0"/>
                <w:numId w:val="6"/>
              </w:numPr>
              <w:rPr>
                <w:rFonts w:ascii="宋体" w:hAnsi="宋体"/>
                <w:color w:val="000000"/>
                <w:highlight w:val="none"/>
              </w:rPr>
            </w:pPr>
            <w:r>
              <w:rPr>
                <w:rFonts w:hint="eastAsia" w:ascii="宋体" w:hAnsi="宋体"/>
                <w:color w:val="000000"/>
                <w:highlight w:val="none"/>
              </w:rPr>
              <w:t xml:space="preserve">班组</w:t>
            </w:r>
            <w:r>
              <w:rPr>
                <w:rFonts w:ascii="宋体" w:hAnsi="宋体"/>
                <w:color w:val="000000"/>
                <w:highlight w:val="none"/>
              </w:rPr>
              <w:t xml:space="preserve">配备</w:t>
            </w:r>
            <w:r>
              <w:rPr>
                <w:rFonts w:hint="eastAsia" w:ascii="宋体" w:hAnsi="宋体"/>
                <w:color w:val="000000"/>
                <w:highlight w:val="none"/>
              </w:rPr>
              <w:t xml:space="preserve">：</w:t>
            </w:r>
            <w:r>
              <w:rPr>
                <w:rFonts w:ascii="宋体" w:hAnsi="宋体"/>
                <w:color w:val="000000"/>
                <w:highlight w:val="none"/>
              </w:rPr>
              <w:t xml:space="preserve">供应商每个标段须配备两个固定维修班组和1个机动班组；每个固定班组配备工程车一辆、发电机1台、破碎锤2套、切割机2把、警示牌2套、锥形桶和水马各50个</w:t>
            </w:r>
            <w:r>
              <w:rPr>
                <w:rFonts w:hint="eastAsia" w:ascii="宋体" w:hAnsi="宋体"/>
                <w:color w:val="000000"/>
                <w:highlight w:val="none"/>
              </w:rPr>
              <w:t xml:space="preserve">，</w:t>
            </w:r>
            <w:r>
              <w:rPr>
                <w:rFonts w:ascii="宋体" w:hAnsi="宋体"/>
                <w:color w:val="000000"/>
                <w:highlight w:val="none"/>
              </w:rPr>
              <w:t xml:space="preserve">泥瓦工大工2名、小工4名</w:t>
            </w:r>
            <w:r>
              <w:rPr>
                <w:rFonts w:hint="eastAsia" w:ascii="宋体" w:hAnsi="宋体"/>
                <w:color w:val="000000"/>
                <w:highlight w:val="none"/>
              </w:rPr>
              <w:t xml:space="preserve">，</w:t>
            </w:r>
            <w:r>
              <w:rPr>
                <w:rFonts w:ascii="宋体" w:hAnsi="宋体"/>
                <w:color w:val="000000"/>
                <w:highlight w:val="none"/>
              </w:rPr>
              <w:t xml:space="preserve">机动班组配置要求同固定班组</w:t>
            </w:r>
            <w:r>
              <w:rPr>
                <w:rFonts w:hint="eastAsia" w:ascii="宋体" w:hAnsi="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班组配备</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41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3</w:t>
            </w:r>
            <w:r>
              <w:rPr>
                <w:rFonts w:hint="eastAsia" w:ascii="宋体" w:hAnsi="宋体"/>
                <w:color w:val="000000"/>
                <w:highlight w:val="none"/>
              </w:rPr>
              <w:t xml:space="preserve">、</w:t>
            </w:r>
            <w:r>
              <w:rPr>
                <w:rFonts w:ascii="宋体" w:hAnsi="宋体"/>
                <w:color w:val="000000"/>
                <w:highlight w:val="none"/>
              </w:rPr>
              <w:t xml:space="preserve">材料配备。供应商需储备足量道路维修常规材料（每个型号的花岗岩道板砖、面包砖、路牙、雨水篦、检查井井盖、护栏网、冷补沥青、水泥、黄沙、石子等），不得出现因材料缺失影响维修情况</w:t>
            </w:r>
            <w:r>
              <w:rPr>
                <w:rFonts w:hint="eastAsia" w:ascii="宋体" w:hAnsi="宋体"/>
                <w:color w:val="000000"/>
                <w:highlight w:val="none"/>
              </w:rPr>
              <w:t xml:space="preserve">；</w:t>
            </w:r>
            <w:r>
              <w:rPr>
                <w:rFonts w:ascii="宋体" w:hAnsi="宋体"/>
                <w:color w:val="000000"/>
                <w:highlight w:val="none"/>
              </w:rPr>
              <w:t xml:space="preserve">特殊材料根据</w:t>
            </w:r>
            <w:r>
              <w:rPr>
                <w:rFonts w:hint="eastAsia" w:ascii="宋体" w:hAnsi="宋体"/>
                <w:color w:val="000000"/>
                <w:highlight w:val="none"/>
              </w:rPr>
              <w:t xml:space="preserve">工作</w:t>
            </w:r>
            <w:r>
              <w:rPr>
                <w:rFonts w:ascii="宋体" w:hAnsi="宋体"/>
                <w:color w:val="000000"/>
                <w:highlight w:val="none"/>
              </w:rPr>
              <w:t xml:space="preserve">安排及时采购。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材料配备</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06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restart"/>
            <w:textDirection w:val="lrTb"/>
            <w:noWrap w:val="false"/>
          </w:tcPr>
          <w:p>
            <w:pPr>
              <w:jc w:val="center"/>
              <w:rPr>
                <w:rFonts w:ascii="宋体" w:hAnsi="宋体"/>
                <w:color w:val="000000"/>
                <w:highlight w:val="none"/>
              </w:rPr>
            </w:pPr>
            <w:r>
              <w:rPr>
                <w:rFonts w:ascii="宋体" w:hAnsi="宋体"/>
                <w:color w:val="000000"/>
                <w:highlight w:val="none"/>
              </w:rPr>
              <w:t xml:space="preserve">巡查</w:t>
            </w:r>
            <w:r/>
          </w:p>
          <w:p>
            <w:pPr>
              <w:jc w:val="center"/>
              <w:rPr>
                <w:rFonts w:ascii="宋体" w:hAnsi="宋体"/>
                <w:color w:val="000000"/>
                <w:highlight w:val="none"/>
              </w:rPr>
            </w:pPr>
            <w:r>
              <w:rPr>
                <w:rFonts w:ascii="宋体" w:hAnsi="宋体"/>
                <w:color w:val="000000"/>
                <w:highlight w:val="none"/>
              </w:rPr>
              <w:t xml:space="preserve">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4、巡查人员。每个标段供应商配备的巡查人员不得少于2名，年龄不得大于50岁，身体健康，工作认真细心，且须熟练骑行电动车。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巡查人员</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55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5、巡查频次。供应商</w:t>
            </w:r>
            <w:r>
              <w:rPr>
                <w:rFonts w:hint="eastAsia" w:ascii="宋体" w:hAnsi="宋体"/>
                <w:color w:val="000000"/>
                <w:highlight w:val="none"/>
              </w:rPr>
              <w:t xml:space="preserve">须</w:t>
            </w:r>
            <w:r>
              <w:rPr>
                <w:rFonts w:ascii="宋体" w:hAnsi="宋体"/>
                <w:color w:val="000000"/>
                <w:highlight w:val="none"/>
              </w:rPr>
              <w:t xml:space="preserve">每日</w:t>
            </w:r>
            <w:r>
              <w:rPr>
                <w:rFonts w:hint="eastAsia" w:ascii="宋体" w:hAnsi="宋体"/>
                <w:color w:val="000000"/>
                <w:highlight w:val="none"/>
              </w:rPr>
              <w:t xml:space="preserve">安排巡查人员</w:t>
            </w:r>
            <w:r>
              <w:rPr>
                <w:rFonts w:ascii="宋体" w:hAnsi="宋体"/>
                <w:color w:val="000000"/>
                <w:highlight w:val="none"/>
              </w:rPr>
              <w:t xml:space="preserve">对标段内市政道路及市政设施开展巡查，</w:t>
            </w:r>
            <w:r>
              <w:rPr>
                <w:rFonts w:hint="eastAsia" w:ascii="宋体" w:hAnsi="宋体"/>
                <w:color w:val="000000"/>
                <w:highlight w:val="none"/>
              </w:rPr>
              <w:t xml:space="preserve">并将每日巡查结果</w:t>
            </w:r>
            <w:r>
              <w:rPr>
                <w:rFonts w:ascii="宋体" w:hAnsi="宋体"/>
                <w:color w:val="000000"/>
                <w:highlight w:val="none"/>
              </w:rPr>
              <w:t xml:space="preserve">上报</w:t>
            </w:r>
            <w:r>
              <w:rPr>
                <w:rFonts w:hint="eastAsia" w:ascii="宋体" w:hAnsi="宋体"/>
                <w:color w:val="000000"/>
                <w:highlight w:val="none"/>
              </w:rPr>
              <w:t xml:space="preserve">管理方，由管理方确定维修内容</w:t>
            </w:r>
            <w:r>
              <w:rPr>
                <w:rFonts w:ascii="宋体" w:hAnsi="宋体"/>
                <w:color w:val="000000"/>
                <w:highlight w:val="none"/>
              </w:rPr>
              <w:t xml:space="preserve">；</w:t>
            </w:r>
            <w:r>
              <w:rPr>
                <w:rFonts w:hint="eastAsia" w:ascii="宋体" w:hAnsi="宋体"/>
                <w:color w:val="000000"/>
                <w:highlight w:val="none"/>
              </w:rPr>
              <w:t xml:space="preserve">供应商</w:t>
            </w:r>
            <w:r>
              <w:rPr>
                <w:rFonts w:ascii="宋体" w:hAnsi="宋体"/>
                <w:color w:val="000000"/>
                <w:highlight w:val="none"/>
              </w:rPr>
              <w:t xml:space="preserve">每周须</w:t>
            </w:r>
            <w:r>
              <w:rPr>
                <w:rFonts w:hint="eastAsia" w:ascii="宋体" w:hAnsi="宋体"/>
                <w:color w:val="000000"/>
                <w:highlight w:val="none"/>
              </w:rPr>
              <w:t xml:space="preserve">完成</w:t>
            </w:r>
            <w:r>
              <w:rPr>
                <w:rFonts w:ascii="宋体" w:hAnsi="宋体"/>
                <w:color w:val="000000"/>
                <w:highlight w:val="none"/>
              </w:rPr>
              <w:t xml:space="preserve">标段范围所有</w:t>
            </w:r>
            <w:r>
              <w:rPr>
                <w:rFonts w:hint="eastAsia" w:ascii="宋体" w:hAnsi="宋体"/>
                <w:color w:val="000000"/>
                <w:highlight w:val="none"/>
              </w:rPr>
              <w:t xml:space="preserve">市政</w:t>
            </w:r>
            <w:r>
              <w:rPr>
                <w:rFonts w:ascii="宋体" w:hAnsi="宋体"/>
                <w:color w:val="000000"/>
                <w:highlight w:val="none"/>
              </w:rPr>
              <w:t xml:space="preserve">道路和</w:t>
            </w:r>
            <w:r>
              <w:rPr>
                <w:rFonts w:hint="eastAsia" w:ascii="宋体" w:hAnsi="宋体"/>
                <w:color w:val="000000"/>
                <w:highlight w:val="none"/>
              </w:rPr>
              <w:t xml:space="preserve">市政</w:t>
            </w:r>
            <w:r>
              <w:rPr>
                <w:rFonts w:ascii="宋体" w:hAnsi="宋体"/>
                <w:color w:val="000000"/>
                <w:highlight w:val="none"/>
              </w:rPr>
              <w:t xml:space="preserve">附属设施巡查</w:t>
            </w:r>
            <w:r>
              <w:rPr>
                <w:rFonts w:hint="eastAsia" w:ascii="宋体" w:hAnsi="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日巡未达频次扣</w:t>
            </w:r>
            <w:r>
              <w:rPr>
                <w:rFonts w:ascii="宋体" w:hAnsi="宋体"/>
                <w:color w:val="000000"/>
                <w:highlight w:val="none"/>
              </w:rPr>
              <w:t xml:space="preserve">1分/次</w:t>
            </w:r>
            <w:r/>
          </w:p>
          <w:p>
            <w:pPr>
              <w:jc w:val="center"/>
              <w:rPr>
                <w:rFonts w:ascii="宋体" w:hAnsi="宋体"/>
                <w:color w:val="000000"/>
                <w:highlight w:val="none"/>
              </w:rPr>
            </w:pPr>
            <w:r>
              <w:rPr>
                <w:rFonts w:hint="eastAsia" w:ascii="宋体" w:hAnsi="宋体"/>
                <w:color w:val="000000"/>
                <w:highlight w:val="none"/>
              </w:rPr>
              <w:t xml:space="preserve">周巡未全覆盖</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2分/次</w:t>
            </w:r>
            <w:r/>
          </w:p>
          <w:p>
            <w:pPr>
              <w:jc w:val="center"/>
              <w:rPr>
                <w:rFonts w:ascii="宋体" w:hAnsi="宋体"/>
                <w:color w:val="000000"/>
                <w:highlight w:val="none"/>
              </w:rPr>
            </w:pPr>
            <w:r>
              <w:rPr>
                <w:rFonts w:hint="eastAsia" w:ascii="宋体" w:hAnsi="宋体"/>
                <w:color w:val="000000"/>
                <w:highlight w:val="none"/>
              </w:rPr>
              <w:t xml:space="preserve">巡查结果未报</w:t>
            </w:r>
            <w:r/>
          </w:p>
          <w:p>
            <w:pPr>
              <w:jc w:val="center"/>
              <w:rPr>
                <w:rFonts w:ascii="宋体" w:hAnsi="宋体"/>
                <w:color w:val="000000"/>
                <w:highlight w:val="none"/>
              </w:rPr>
            </w:pPr>
            <w:r>
              <w:rPr>
                <w:rFonts w:hint="eastAsia" w:ascii="宋体" w:hAnsi="宋体"/>
                <w:color w:val="000000"/>
                <w:highlight w:val="none"/>
              </w:rPr>
              <w:t xml:space="preserve">扣1分/次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40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6、巡查漏项。管理方每周组织</w:t>
            </w:r>
            <w:r>
              <w:rPr>
                <w:rFonts w:hint="eastAsia" w:ascii="宋体" w:hAnsi="宋体"/>
                <w:color w:val="000000"/>
                <w:highlight w:val="none"/>
              </w:rPr>
              <w:t xml:space="preserve">供应商</w:t>
            </w:r>
            <w:r>
              <w:rPr>
                <w:rFonts w:ascii="宋体" w:hAnsi="宋体"/>
                <w:color w:val="000000"/>
                <w:highlight w:val="none"/>
              </w:rPr>
              <w:t xml:space="preserve">、监理单位对每个标段巡查情况进行抽查，</w:t>
            </w:r>
            <w:r>
              <w:rPr>
                <w:rFonts w:hint="eastAsia" w:ascii="宋体" w:hAnsi="宋体"/>
                <w:color w:val="000000"/>
                <w:highlight w:val="none"/>
              </w:rPr>
              <w:t xml:space="preserve">每个标段</w:t>
            </w:r>
            <w:r>
              <w:rPr>
                <w:rFonts w:ascii="宋体" w:hAnsi="宋体"/>
                <w:color w:val="000000"/>
                <w:highlight w:val="none"/>
              </w:rPr>
              <w:t xml:space="preserve">抽查道路不少于3条，对照巡查菜单检查是否有漏项；采购人通过抽查、菜单、投诉或其它渠道发现的道路病害问题，对照巡查菜单是检查是否有漏项。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巡查漏项</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566"/>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restart"/>
            <w:textDirection w:val="lrTb"/>
            <w:noWrap w:val="false"/>
          </w:tcPr>
          <w:p>
            <w:pPr>
              <w:jc w:val="center"/>
              <w:rPr>
                <w:rFonts w:ascii="宋体" w:hAnsi="宋体"/>
                <w:color w:val="000000"/>
                <w:highlight w:val="none"/>
              </w:rPr>
            </w:pPr>
            <w:r>
              <w:rPr>
                <w:rFonts w:hint="eastAsia" w:ascii="宋体" w:hAnsi="宋体"/>
                <w:color w:val="000000"/>
                <w:highlight w:val="none"/>
              </w:rPr>
              <w:t xml:space="preserve">工作</w:t>
            </w:r>
            <w:r/>
          </w:p>
          <w:p>
            <w:pPr>
              <w:jc w:val="center"/>
              <w:rPr>
                <w:rFonts w:ascii="宋体" w:hAnsi="宋体"/>
                <w:color w:val="000000"/>
                <w:highlight w:val="none"/>
              </w:rPr>
            </w:pPr>
            <w:r>
              <w:rPr>
                <w:rFonts w:ascii="宋体" w:hAnsi="宋体"/>
                <w:color w:val="000000"/>
                <w:highlight w:val="none"/>
              </w:rPr>
              <w:t xml:space="preserve">管理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7、计划申报。供应商须将</w:t>
            </w:r>
            <w:r>
              <w:rPr>
                <w:rFonts w:hint="eastAsia" w:ascii="宋体" w:hAnsi="宋体"/>
                <w:color w:val="000000"/>
                <w:highlight w:val="none"/>
              </w:rPr>
              <w:t xml:space="preserve">每日</w:t>
            </w:r>
            <w:r>
              <w:rPr>
                <w:rFonts w:ascii="宋体" w:hAnsi="宋体"/>
                <w:color w:val="000000"/>
                <w:highlight w:val="none"/>
              </w:rPr>
              <w:t xml:space="preserve">巡查情况、甲方下达的指令等及时编制成完整、可行的</w:t>
            </w:r>
            <w:r>
              <w:rPr>
                <w:rFonts w:hint="eastAsia" w:ascii="宋体" w:hAnsi="宋体"/>
                <w:color w:val="000000"/>
                <w:highlight w:val="none"/>
              </w:rPr>
              <w:t xml:space="preserve">工作</w:t>
            </w:r>
            <w:r>
              <w:rPr>
                <w:rFonts w:ascii="宋体" w:hAnsi="宋体"/>
                <w:color w:val="000000"/>
                <w:highlight w:val="none"/>
              </w:rPr>
              <w:t xml:space="preserve">计划和方案并上报审批。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计划申报</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14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8、指令落实。供应商须严格按照审批意见实施维修，不得随意更改维修计划和方案，如遇特殊情况无法按计划和方案实施的，需及时向管理方反馈。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指令落实</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00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9、进度</w:t>
            </w:r>
            <w:r>
              <w:rPr>
                <w:rFonts w:hint="eastAsia" w:ascii="宋体" w:hAnsi="宋体"/>
                <w:color w:val="000000"/>
                <w:highlight w:val="none"/>
              </w:rPr>
              <w:t xml:space="preserve">达标</w:t>
            </w:r>
            <w:r>
              <w:rPr>
                <w:rFonts w:ascii="宋体" w:hAnsi="宋体"/>
                <w:color w:val="000000"/>
                <w:highlight w:val="none"/>
              </w:rPr>
              <w:t xml:space="preserve">。供应商须严格按照审批意见实施维修，须在要求的时间内完成，遇不可抗力可顺延。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实施进度</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01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10、质量</w:t>
            </w:r>
            <w:r>
              <w:rPr>
                <w:rFonts w:hint="eastAsia" w:ascii="宋体" w:hAnsi="宋体"/>
                <w:color w:val="000000"/>
                <w:highlight w:val="none"/>
              </w:rPr>
              <w:t xml:space="preserve">达标</w:t>
            </w:r>
            <w:r>
              <w:rPr>
                <w:rFonts w:ascii="宋体" w:hAnsi="宋体"/>
                <w:color w:val="000000"/>
                <w:highlight w:val="none"/>
              </w:rPr>
              <w:t xml:space="preserve">。供应商的所有维修质量必须满足规范、合同、清单要求。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质量</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w:t>
            </w:r>
            <w:r>
              <w:rPr>
                <w:rFonts w:hint="eastAsia" w:ascii="宋体" w:hAnsi="宋体"/>
                <w:color w:val="000000"/>
                <w:highlight w:val="none"/>
              </w:rPr>
              <w:t xml:space="preserve">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10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11、应急响应。遇突发情况，供应商须在接到通知后半小时内赶到现场，零星问题2小时内处理完毕，重大问题无法立即处理的，需编制</w:t>
            </w:r>
            <w:r>
              <w:rPr>
                <w:rFonts w:hint="eastAsia" w:ascii="宋体" w:hAnsi="宋体"/>
                <w:color w:val="000000"/>
                <w:highlight w:val="none"/>
              </w:rPr>
              <w:t xml:space="preserve">工作</w:t>
            </w:r>
            <w:r>
              <w:rPr>
                <w:rFonts w:ascii="宋体" w:hAnsi="宋体"/>
                <w:color w:val="000000"/>
                <w:highlight w:val="none"/>
              </w:rPr>
              <w:t xml:space="preserve">方案和计划的需在当天编制上报。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应急响应</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566"/>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numPr>
                <w:ilvl w:val="0"/>
                <w:numId w:val="7"/>
              </w:numPr>
              <w:rPr>
                <w:rFonts w:ascii="宋体" w:hAnsi="宋体"/>
                <w:color w:val="000000"/>
                <w:highlight w:val="none"/>
              </w:rPr>
            </w:pPr>
            <w:r>
              <w:rPr>
                <w:rFonts w:ascii="宋体" w:hAnsi="宋体"/>
                <w:color w:val="000000"/>
                <w:highlight w:val="none"/>
              </w:rPr>
              <w:t xml:space="preserve">安全教育。供应商须确保做好项目各类安全生产（含防疫）教育和会议，并保留记录和影像资料。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安全教育</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12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13、安全。供应商须确保做好</w:t>
            </w:r>
            <w:r>
              <w:rPr>
                <w:rFonts w:hint="eastAsia" w:ascii="宋体" w:hAnsi="宋体"/>
                <w:color w:val="000000"/>
                <w:highlight w:val="none"/>
              </w:rPr>
              <w:t xml:space="preserve">工作</w:t>
            </w:r>
            <w:r>
              <w:rPr>
                <w:rFonts w:ascii="宋体" w:hAnsi="宋体"/>
                <w:color w:val="000000"/>
                <w:highlight w:val="none"/>
              </w:rPr>
              <w:t xml:space="preserve">前技术交底，特种作业人员持证上岗、规范操作，现场安全措施符合规范、方案和审批要求。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安全风险点</w:t>
            </w:r>
            <w:r/>
          </w:p>
          <w:p>
            <w:pPr>
              <w:jc w:val="center"/>
              <w:rPr>
                <w:rFonts w:ascii="宋体" w:hAnsi="宋体"/>
                <w:color w:val="000000"/>
                <w:highlight w:val="none"/>
              </w:rPr>
            </w:pPr>
            <w:r>
              <w:rPr>
                <w:rFonts w:hint="eastAsia" w:ascii="宋体" w:hAnsi="宋体"/>
                <w:color w:val="000000"/>
                <w:highlight w:val="none"/>
              </w:rPr>
              <w:t xml:space="preserve">扣4</w:t>
            </w:r>
            <w:r>
              <w:rPr>
                <w:rFonts w:ascii="宋体" w:hAnsi="宋体"/>
                <w:color w:val="000000"/>
                <w:highlight w:val="none"/>
              </w:rPr>
              <w:t xml:space="preserve">分/</w:t>
            </w:r>
            <w:r>
              <w:rPr>
                <w:rFonts w:hint="eastAsia" w:ascii="宋体" w:hAnsi="宋体"/>
                <w:color w:val="000000"/>
                <w:highlight w:val="none"/>
              </w:rPr>
              <w:t xml:space="preserve">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17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14、文明</w:t>
            </w:r>
            <w:r>
              <w:rPr>
                <w:rFonts w:hint="eastAsia" w:ascii="宋体" w:hAnsi="宋体"/>
                <w:color w:val="000000"/>
                <w:highlight w:val="none"/>
              </w:rPr>
              <w:t xml:space="preserve">工作</w:t>
            </w:r>
            <w:r>
              <w:rPr>
                <w:rFonts w:ascii="宋体" w:hAnsi="宋体"/>
                <w:color w:val="000000"/>
                <w:highlight w:val="none"/>
              </w:rPr>
              <w:t xml:space="preserve">。供应商需确保现场文明有序，按规范、方案和审批要求设置围挡、做好降尘减噪，合理放置车辆、机械、材料等。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不文明工作</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40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15、档案管理。供应商须在每月7号前（非工作日顺延）将上一个月已完</w:t>
            </w:r>
            <w:r>
              <w:rPr>
                <w:rFonts w:hint="eastAsia" w:ascii="宋体" w:hAnsi="宋体"/>
                <w:color w:val="000000"/>
                <w:highlight w:val="none"/>
              </w:rPr>
              <w:t xml:space="preserve">工作</w:t>
            </w:r>
            <w:r>
              <w:rPr>
                <w:rFonts w:ascii="宋体" w:hAnsi="宋体"/>
                <w:color w:val="000000"/>
                <w:highlight w:val="none"/>
              </w:rPr>
              <w:t xml:space="preserve">的台账、计量整理汇总（资料需完整、齐全，每个部位维修必须有事前、事中、事后的影像资料）上报管理方审核。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档案管理</w:t>
            </w:r>
            <w:r/>
          </w:p>
          <w:p>
            <w:pPr>
              <w:jc w:val="center"/>
              <w:rPr>
                <w:rFonts w:ascii="宋体" w:hAnsi="宋体"/>
                <w:color w:val="000000"/>
                <w:highlight w:val="none"/>
              </w:rPr>
            </w:pPr>
            <w:r>
              <w:rPr>
                <w:rFonts w:hint="eastAsia" w:ascii="宋体" w:hAnsi="宋体"/>
                <w:color w:val="000000"/>
                <w:highlight w:val="none"/>
              </w:rPr>
              <w:t xml:space="preserve">未达要求</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566"/>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restart"/>
            <w:textDirection w:val="lrTb"/>
            <w:noWrap w:val="false"/>
          </w:tcPr>
          <w:p>
            <w:pPr>
              <w:jc w:val="center"/>
              <w:rPr>
                <w:rFonts w:ascii="宋体" w:hAnsi="宋体"/>
                <w:color w:val="000000"/>
                <w:highlight w:val="none"/>
              </w:rPr>
            </w:pPr>
            <w:r>
              <w:rPr>
                <w:rFonts w:ascii="宋体" w:hAnsi="宋体"/>
                <w:color w:val="000000"/>
                <w:highlight w:val="none"/>
              </w:rPr>
              <w:t xml:space="preserve">负面</w:t>
            </w:r>
            <w:r/>
          </w:p>
          <w:p>
            <w:pPr>
              <w:jc w:val="center"/>
              <w:rPr>
                <w:rFonts w:ascii="宋体" w:hAnsi="宋体"/>
                <w:color w:val="000000"/>
                <w:highlight w:val="none"/>
              </w:rPr>
            </w:pPr>
            <w:r>
              <w:rPr>
                <w:rFonts w:ascii="宋体" w:hAnsi="宋体"/>
                <w:color w:val="000000"/>
                <w:highlight w:val="none"/>
              </w:rPr>
              <w:t xml:space="preserve">影响</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16、因供应商</w:t>
            </w:r>
            <w:r>
              <w:rPr>
                <w:rFonts w:hint="eastAsia" w:ascii="宋体" w:hAnsi="宋体"/>
                <w:color w:val="000000"/>
                <w:highlight w:val="none"/>
              </w:rPr>
              <w:t xml:space="preserve">工作</w:t>
            </w:r>
            <w:r>
              <w:rPr>
                <w:rFonts w:ascii="宋体" w:hAnsi="宋体"/>
                <w:color w:val="000000"/>
                <w:highlight w:val="none"/>
              </w:rPr>
              <w:t xml:space="preserve">、管理过失造成12345</w:t>
            </w:r>
            <w:r>
              <w:rPr>
                <w:rFonts w:hint="eastAsia" w:ascii="宋体" w:hAnsi="宋体"/>
                <w:color w:val="000000"/>
                <w:highlight w:val="none"/>
              </w:rPr>
              <w:t xml:space="preserve">等</w:t>
            </w:r>
            <w:r>
              <w:rPr>
                <w:rFonts w:ascii="宋体" w:hAnsi="宋体"/>
                <w:color w:val="000000"/>
                <w:highlight w:val="none"/>
              </w:rPr>
              <w:t xml:space="preserve">有效投诉。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有效投诉</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w:t>
            </w:r>
            <w:r>
              <w:rPr>
                <w:rFonts w:hint="eastAsia" w:ascii="宋体" w:hAnsi="宋体"/>
                <w:color w:val="000000"/>
                <w:highlight w:val="none"/>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566"/>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17、因供应商</w:t>
            </w:r>
            <w:r>
              <w:rPr>
                <w:rFonts w:hint="eastAsia" w:ascii="宋体" w:hAnsi="宋体"/>
                <w:color w:val="000000"/>
                <w:highlight w:val="none"/>
              </w:rPr>
              <w:t xml:space="preserve">工作</w:t>
            </w:r>
            <w:r>
              <w:rPr>
                <w:rFonts w:ascii="宋体" w:hAnsi="宋体"/>
                <w:color w:val="000000"/>
                <w:highlight w:val="none"/>
              </w:rPr>
              <w:t xml:space="preserve">、管理过失造成第三方事故。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第三方事故</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566"/>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18、因供应商</w:t>
            </w:r>
            <w:r>
              <w:rPr>
                <w:rFonts w:hint="eastAsia" w:ascii="宋体" w:hAnsi="宋体"/>
                <w:color w:val="000000"/>
                <w:highlight w:val="none"/>
              </w:rPr>
              <w:t xml:space="preserve">工作</w:t>
            </w:r>
            <w:r>
              <w:rPr>
                <w:rFonts w:ascii="宋体" w:hAnsi="宋体"/>
                <w:color w:val="000000"/>
                <w:highlight w:val="none"/>
              </w:rPr>
              <w:t xml:space="preserve">、管理过失造成媒体负面曝光。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媒体曝光</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818"/>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729" w:type="dxa"/>
            <w:vAlign w:val="center"/>
            <w:textDirection w:val="lrTb"/>
            <w:noWrap w:val="false"/>
          </w:tcPr>
          <w:p>
            <w:pPr>
              <w:rPr>
                <w:rFonts w:ascii="宋体" w:hAnsi="宋体"/>
                <w:color w:val="000000"/>
                <w:highlight w:val="none"/>
              </w:rPr>
            </w:pPr>
            <w:r>
              <w:rPr>
                <w:rFonts w:ascii="宋体" w:hAnsi="宋体"/>
                <w:color w:val="000000"/>
                <w:highlight w:val="none"/>
              </w:rPr>
              <w:t xml:space="preserve">19、因供应商</w:t>
            </w:r>
            <w:r>
              <w:rPr>
                <w:rFonts w:hint="eastAsia" w:ascii="宋体" w:hAnsi="宋体"/>
                <w:color w:val="000000"/>
                <w:highlight w:val="none"/>
              </w:rPr>
              <w:t xml:space="preserve">工作</w:t>
            </w:r>
            <w:r>
              <w:rPr>
                <w:rFonts w:ascii="宋体" w:hAnsi="宋体"/>
                <w:color w:val="000000"/>
                <w:highlight w:val="none"/>
              </w:rPr>
              <w:t xml:space="preserve">、管理过失在各类检查中（如文明典范城市创建</w:t>
            </w:r>
            <w:r>
              <w:rPr>
                <w:rFonts w:hint="eastAsia" w:ascii="宋体" w:hAnsi="宋体"/>
                <w:color w:val="000000"/>
                <w:highlight w:val="none"/>
              </w:rPr>
              <w:t xml:space="preserve">督查</w:t>
            </w:r>
            <w:r>
              <w:rPr>
                <w:rFonts w:ascii="宋体" w:hAnsi="宋体"/>
                <w:color w:val="000000"/>
                <w:highlight w:val="none"/>
              </w:rPr>
              <w:t xml:space="preserve">等）被通报。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问题通报</w:t>
            </w:r>
            <w:r/>
          </w:p>
          <w:p>
            <w:pPr>
              <w:jc w:val="center"/>
              <w:rPr>
                <w:rFonts w:ascii="宋体" w:hAnsi="宋体"/>
                <w:color w:val="000000"/>
                <w:highlight w:val="none"/>
              </w:rPr>
            </w:pPr>
            <w:r>
              <w:rPr>
                <w:rFonts w:hint="eastAsia" w:ascii="宋体" w:hAnsi="宋体"/>
                <w:color w:val="000000"/>
                <w:highlight w:val="none"/>
              </w:rPr>
              <w:t xml:space="preserve">扣</w:t>
            </w:r>
            <w:r>
              <w:rPr>
                <w:rFonts w:ascii="宋体" w:hAnsi="宋体"/>
                <w:color w:val="000000"/>
                <w:highlight w:val="none"/>
              </w:rPr>
              <w:t xml:space="preserve">2分/</w:t>
            </w:r>
            <w:r>
              <w:rPr>
                <w:rFonts w:hint="eastAsia" w:ascii="宋体" w:hAnsi="宋体"/>
                <w:color w:val="000000"/>
                <w:highlight w:val="none"/>
              </w:rPr>
              <w:t xml:space="preserve">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top"/>
            <w:textDirection w:val="lrTb"/>
            <w:noWrap w:val="false"/>
          </w:tcPr>
          <w:p>
            <w:pPr>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 w:type="dxa"/>
            <w:vAlign w:val="top"/>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630"/>
        </w:trPr>
        <w:tc>
          <w:tcPr>
            <w:gridSpan w:val="6"/>
            <w:tcW w:w="8998" w:type="dxa"/>
            <w:vAlign w:val="top"/>
            <w:textDirection w:val="lrTb"/>
            <w:noWrap w:val="false"/>
          </w:tcPr>
          <w:p>
            <w:pPr>
              <w:pStyle w:val="998"/>
              <w:ind w:left="0" w:right="0"/>
              <w:spacing w:before="0" w:after="0" w:line="280" w:lineRule="exact"/>
              <w:rPr>
                <w:rFonts w:ascii="宋体" w:hAnsi="宋体"/>
                <w:color w:val="000000"/>
                <w:sz w:val="21"/>
                <w:szCs w:val="21"/>
                <w:highlight w:val="none"/>
              </w:rPr>
            </w:pPr>
            <w:r>
              <w:rPr>
                <w:rFonts w:ascii="宋体" w:hAnsi="宋体"/>
                <w:color w:val="000000"/>
                <w:sz w:val="21"/>
                <w:szCs w:val="21"/>
                <w:highlight w:val="none"/>
              </w:rPr>
              <w:t xml:space="preserve">备注：</w:t>
            </w:r>
            <w:r/>
          </w:p>
          <w:p>
            <w:pPr>
              <w:pStyle w:val="998"/>
              <w:ind w:left="0" w:right="0"/>
              <w:spacing w:before="0" w:after="0" w:line="280" w:lineRule="exact"/>
              <w:rPr>
                <w:rFonts w:ascii="宋体" w:hAnsi="宋体"/>
                <w:color w:val="000000"/>
                <w:sz w:val="21"/>
                <w:szCs w:val="21"/>
                <w:highlight w:val="none"/>
              </w:rPr>
            </w:pPr>
            <w:r>
              <w:rPr>
                <w:rFonts w:ascii="宋体" w:hAnsi="宋体"/>
                <w:color w:val="000000"/>
                <w:sz w:val="21"/>
                <w:szCs w:val="21"/>
                <w:highlight w:val="none"/>
              </w:rPr>
              <w:t xml:space="preserve">月考核得分90到100分，不做处罚；</w:t>
            </w:r>
            <w:r/>
          </w:p>
          <w:p>
            <w:pPr>
              <w:pStyle w:val="998"/>
              <w:ind w:left="0" w:right="0"/>
              <w:spacing w:before="0" w:after="0" w:line="280" w:lineRule="exact"/>
              <w:rPr>
                <w:rFonts w:ascii="宋体" w:hAnsi="宋体"/>
                <w:color w:val="000000"/>
                <w:sz w:val="21"/>
                <w:szCs w:val="21"/>
                <w:highlight w:val="none"/>
              </w:rPr>
            </w:pPr>
            <w:r>
              <w:rPr>
                <w:rFonts w:ascii="宋体" w:hAnsi="宋体"/>
                <w:color w:val="000000"/>
                <w:sz w:val="21"/>
                <w:szCs w:val="21"/>
                <w:highlight w:val="none"/>
              </w:rPr>
              <w:t xml:space="preserve">月考核得分80到89分，扣款2万元；</w:t>
            </w:r>
            <w:r/>
          </w:p>
          <w:p>
            <w:pPr>
              <w:pStyle w:val="998"/>
              <w:ind w:left="0" w:right="0"/>
              <w:spacing w:before="0" w:after="0" w:line="280" w:lineRule="exact"/>
              <w:rPr>
                <w:rFonts w:ascii="宋体" w:hAnsi="宋体"/>
                <w:color w:val="000000"/>
                <w:sz w:val="21"/>
                <w:szCs w:val="21"/>
                <w:highlight w:val="none"/>
              </w:rPr>
            </w:pPr>
            <w:r>
              <w:rPr>
                <w:rFonts w:ascii="宋体" w:hAnsi="宋体"/>
                <w:color w:val="000000"/>
                <w:sz w:val="21"/>
                <w:szCs w:val="21"/>
                <w:highlight w:val="none"/>
              </w:rPr>
              <w:t xml:space="preserve">月考核得分60到79分，扣款4万元；</w:t>
            </w:r>
            <w:r/>
          </w:p>
          <w:p>
            <w:pPr>
              <w:pStyle w:val="998"/>
              <w:ind w:left="0" w:right="0"/>
              <w:spacing w:before="0" w:after="0" w:line="280" w:lineRule="exact"/>
              <w:rPr>
                <w:rFonts w:ascii="宋体" w:hAnsi="宋体"/>
                <w:color w:val="000000"/>
                <w:sz w:val="21"/>
                <w:szCs w:val="21"/>
                <w:highlight w:val="none"/>
              </w:rPr>
            </w:pPr>
            <w:r>
              <w:rPr>
                <w:rFonts w:ascii="宋体" w:hAnsi="宋体"/>
                <w:color w:val="000000"/>
                <w:sz w:val="21"/>
                <w:szCs w:val="21"/>
                <w:highlight w:val="none"/>
              </w:rPr>
              <w:t xml:space="preserve">月考核得分60分以下为不合格，扣款8万元，并计黄牌一次。</w:t>
            </w:r>
            <w:r/>
          </w:p>
        </w:tc>
      </w:tr>
    </w:tbl>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hint="eastAsia" w:ascii="宋体" w:hAnsi="宋体"/>
          <w:color w:val="000000"/>
          <w:highlight w:val="none"/>
        </w:rPr>
        <w:t xml:space="preserve">采  购  人</w:t>
      </w:r>
      <w:r>
        <w:rPr>
          <w:rFonts w:ascii="宋体" w:hAnsi="宋体"/>
          <w:color w:val="000000"/>
          <w:highlight w:val="none"/>
        </w:rPr>
        <w:t xml:space="preserve">：（盖章）      </w:t>
      </w:r>
      <w:r>
        <w:rPr>
          <w:rFonts w:hint="eastAsia" w:ascii="宋体" w:hAnsi="宋体"/>
          <w:color w:val="000000"/>
          <w:highlight w:val="none"/>
        </w:rPr>
        <w:t xml:space="preserve"> 供  应  商</w:t>
      </w:r>
      <w:r>
        <w:rPr>
          <w:rFonts w:ascii="宋体" w:hAnsi="宋体"/>
          <w:color w:val="000000"/>
          <w:highlight w:val="none"/>
        </w:rPr>
        <w:t xml:space="preserve">：（盖章）      </w:t>
      </w:r>
      <w:r>
        <w:rPr>
          <w:rFonts w:hint="eastAsia" w:ascii="宋体" w:hAnsi="宋体"/>
          <w:color w:val="000000"/>
          <w:highlight w:val="none"/>
        </w:rPr>
        <w:t xml:space="preserve"> </w:t>
      </w:r>
      <w:r>
        <w:rPr>
          <w:rFonts w:ascii="宋体" w:hAnsi="宋体"/>
          <w:color w:val="000000"/>
          <w:highlight w:val="none"/>
        </w:rPr>
        <w:t xml:space="preserve">管  理  人:（盖章）</w:t>
      </w:r>
      <w:r/>
    </w:p>
    <w:p>
      <w:pPr>
        <w:spacing w:line="720" w:lineRule="auto"/>
        <w:rPr>
          <w:rFonts w:ascii="宋体" w:hAnsi="宋体"/>
          <w:color w:val="000000"/>
          <w:highlight w:val="none"/>
        </w:rPr>
      </w:pPr>
      <w:r>
        <w:rPr>
          <w:rFonts w:hint="eastAsia" w:ascii="宋体" w:hAnsi="宋体"/>
          <w:color w:val="000000"/>
          <w:highlight w:val="none"/>
        </w:rPr>
        <w:t xml:space="preserve">法定代表人或</w:t>
      </w:r>
      <w:r>
        <w:rPr>
          <w:rFonts w:ascii="宋体" w:hAnsi="宋体"/>
          <w:color w:val="000000"/>
          <w:highlight w:val="none"/>
        </w:rPr>
        <w:t xml:space="preserve">               法定代表人或               法定代表人或</w:t>
      </w:r>
      <w:r/>
    </w:p>
    <w:p>
      <w:pPr>
        <w:spacing w:line="720" w:lineRule="auto"/>
        <w:rPr>
          <w:rFonts w:ascii="宋体" w:hAnsi="宋体"/>
          <w:color w:val="000000"/>
          <w:highlight w:val="none"/>
        </w:rPr>
      </w:pPr>
      <w:r>
        <w:rPr>
          <w:rFonts w:hint="eastAsia" w:ascii="宋体" w:hAnsi="宋体"/>
          <w:color w:val="000000"/>
          <w:highlight w:val="none"/>
        </w:rPr>
        <w:t xml:space="preserve">授权代理人（签字）：</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授权代理人（签字）：      </w:t>
      </w:r>
      <w:r>
        <w:rPr>
          <w:rFonts w:hint="eastAsia" w:ascii="宋体" w:hAnsi="宋体"/>
          <w:color w:val="000000"/>
          <w:highlight w:val="none"/>
        </w:rPr>
        <w:t xml:space="preserve"> </w:t>
      </w:r>
      <w:r>
        <w:rPr>
          <w:rFonts w:ascii="宋体" w:hAnsi="宋体"/>
          <w:color w:val="000000"/>
          <w:highlight w:val="none"/>
        </w:rPr>
        <w:t xml:space="preserve">授权代理人（签字）：</w:t>
      </w:r>
      <w:r/>
    </w:p>
    <w:p>
      <w:pPr>
        <w:spacing w:line="720" w:lineRule="auto"/>
        <w:rPr>
          <w:rFonts w:ascii="宋体" w:hAnsi="宋体"/>
          <w:color w:val="000000"/>
          <w:highlight w:val="none"/>
        </w:rPr>
      </w:pPr>
      <w:r>
        <w:rPr>
          <w:rFonts w:hint="eastAsia" w:ascii="宋体" w:hAnsi="宋体"/>
          <w:color w:val="000000"/>
          <w:highlight w:val="none"/>
        </w:rPr>
        <w:t xml:space="preserve">部门负责人（签字）：</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部门负责</w:t>
      </w:r>
      <w:r>
        <w:rPr>
          <w:rFonts w:hint="eastAsia" w:ascii="宋体" w:hAnsi="宋体"/>
          <w:color w:val="000000"/>
          <w:highlight w:val="none"/>
        </w:rPr>
        <w:t xml:space="preserve">人（签字）：</w:t>
      </w:r>
      <w:r>
        <w:rPr>
          <w:rFonts w:ascii="宋体" w:hAnsi="宋体"/>
          <w:color w:val="000000"/>
          <w:highlight w:val="none"/>
        </w:rPr>
        <w:t xml:space="preserve">       部门负责人（签字）：</w:t>
      </w:r>
      <w:r/>
    </w:p>
    <w:p>
      <w:pPr>
        <w:pStyle w:val="1001"/>
        <w:jc w:val="center"/>
        <w:spacing w:before="120" w:after="120" w:line="0" w:lineRule="atLeas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
    </w:p>
    <w:p>
      <w:pPr>
        <w:ind w:firstLine="480"/>
        <w:spacing w:line="264" w:lineRule="auto"/>
        <w:rPr>
          <w:rFonts w:hint="eastAsia" w:ascii="黑体" w:hAnsi="黑体" w:eastAsia="黑体" w:cs="黑体"/>
          <w:color w:val="000000"/>
          <w:sz w:val="24"/>
          <w:szCs w:val="24"/>
          <w:highlight w:val="none"/>
        </w:rPr>
      </w:pPr>
      <w:r/>
      <w:bookmarkStart w:id="191" w:name="_Toc26554093"/>
      <w:r/>
      <w:bookmarkStart w:id="192" w:name="_Toc49090575"/>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p>
    <w:p>
      <w:pPr>
        <w:ind w:firstLine="480"/>
        <w:spacing w:line="288"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2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（一）项目背景</w:t>
      </w:r>
      <w:r/>
    </w:p>
    <w:p>
      <w:pPr>
        <w:ind w:firstLine="42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仙林地区市政道路与市政设施因长期使用，需进行相关修补、维护工作。</w:t>
      </w:r>
      <w:r/>
    </w:p>
    <w:p>
      <w:pPr>
        <w:ind w:firstLine="42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（二）项目建设遵循标准</w:t>
      </w:r>
      <w:r/>
    </w:p>
    <w:p>
      <w:pPr>
        <w:ind w:firstLine="42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遵循国家、行业及地方现行的规范和标准。</w:t>
      </w:r>
      <w:r/>
    </w:p>
    <w:p>
      <w:pPr>
        <w:ind w:firstLine="42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（三）各分包服务主要内容：</w:t>
      </w:r>
      <w:r/>
    </w:p>
    <w:p>
      <w:pPr>
        <w:ind w:firstLine="42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沥青路面坑洞、拥包、车辙、沉降、裂缝修补；路牙倒歪调整铺砌、破损更换；人行道坑洞、沉降、凸起、面砖松动和开裂等的修补；检查井破损、沉降更换维修；雨水篦的维修和清理；路基局部硬化处理；新增雨水、污水管道；绿化护栏网的维护和增补；混凝土挡墙；弱电管道增补维修；道闸；进、出口控制器；客户工作站；岗亭、站台灯箱；公交站台；停车场；市政设施的零星维护等。</w:t>
      </w:r>
      <w:r/>
    </w:p>
    <w:p>
      <w:pPr>
        <w:pStyle w:val="987"/>
        <w:rPr>
          <w:rFonts w:hint="eastAsia"/>
          <w:color w:val="000000"/>
          <w:highlight w:val="none"/>
        </w:rPr>
      </w:pPr>
      <w:r>
        <w:rPr>
          <w:rFonts w:hint="eastAsia"/>
          <w:color w:val="000000"/>
          <w:highlight w:val="none"/>
        </w:rPr>
      </w:r>
      <w:r/>
    </w:p>
    <w:p>
      <w:pPr>
        <w:numPr>
          <w:ilvl w:val="0"/>
          <w:numId w:val="8"/>
        </w:numPr>
        <w:ind w:firstLine="480"/>
        <w:spacing w:line="288"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产品清单</w:t>
      </w:r>
      <w:r/>
    </w:p>
    <w:p>
      <w:pPr>
        <w:pStyle w:val="987"/>
        <w:ind w:left="0"/>
        <w:rPr>
          <w:rFonts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分包：1</w:t>
      </w:r>
      <w:r/>
    </w:p>
    <w:tbl>
      <w:tblPr>
        <w:tblStyle w:val="71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1688"/>
        <w:gridCol w:w="627"/>
        <w:gridCol w:w="639"/>
        <w:gridCol w:w="1250"/>
        <w:gridCol w:w="1303"/>
        <w:gridCol w:w="1568"/>
        <w:gridCol w:w="1100"/>
        <w:gridCol w:w="967"/>
      </w:tblGrid>
      <w:tr>
        <w:trPr>
          <w:trHeight w:val="470"/>
        </w:trPr>
        <w:tc>
          <w:tcPr>
            <w:tcW w:w="616"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1688"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名称</w:t>
            </w:r>
            <w:r/>
          </w:p>
        </w:tc>
        <w:tc>
          <w:tcPr>
            <w:tcW w:w="627"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数量</w:t>
            </w:r>
            <w:r/>
          </w:p>
        </w:tc>
        <w:tc>
          <w:tcPr>
            <w:tcW w:w="639"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w:t>
            </w:r>
            <w:r/>
          </w:p>
        </w:tc>
        <w:tc>
          <w:tcPr>
            <w:tcW w:w="1250"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产品类型</w:t>
            </w:r>
            <w:r/>
          </w:p>
        </w:tc>
        <w:tc>
          <w:tcPr>
            <w:tcW w:w="1303"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单价上限（元）</w:t>
            </w:r>
            <w:r/>
          </w:p>
        </w:tc>
        <w:tc>
          <w:tcPr>
            <w:tcW w:w="1568"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所属行业类型</w:t>
            </w:r>
            <w:r/>
          </w:p>
        </w:tc>
        <w:tc>
          <w:tcPr>
            <w:tcW w:w="1100"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产品属性</w:t>
            </w:r>
            <w:r/>
          </w:p>
        </w:tc>
        <w:tc>
          <w:tcPr>
            <w:tcW w:w="967"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备注</w:t>
            </w:r>
            <w:r/>
          </w:p>
        </w:tc>
      </w:tr>
      <w:tr>
        <w:trPr>
          <w:trHeight w:val="597"/>
        </w:trPr>
        <w:tc>
          <w:tcPr>
            <w:tcW w:w="616"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p>
        </w:tc>
        <w:tc>
          <w:tcPr>
            <w:tcW w:w="1688" w:type="dxa"/>
            <w:vAlign w:val="center"/>
            <w:textDirection w:val="lrTb"/>
            <w:noWrap w:val="false"/>
          </w:tcPr>
          <w:p>
            <w:pPr>
              <w:spacing w:line="288" w:lineRule="auto"/>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仙林地区市政道路与市政设施维护（包括但不限于仙鹤片区）</w:t>
            </w:r>
            <w:r/>
          </w:p>
        </w:tc>
        <w:tc>
          <w:tcPr>
            <w:tcW w:w="627"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p>
        </w:tc>
        <w:tc>
          <w:tcPr>
            <w:tcW w:w="639"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p>
        </w:tc>
        <w:tc>
          <w:tcPr>
            <w:tcW w:w="1250"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主要产品</w:t>
            </w:r>
            <w:r/>
          </w:p>
        </w:tc>
        <w:tc>
          <w:tcPr>
            <w:tcW w:w="1303"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详见招标文件</w:t>
            </w:r>
            <w:r/>
          </w:p>
        </w:tc>
        <w:tc>
          <w:tcPr>
            <w:tcW w:w="1568"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建筑业</w:t>
            </w:r>
            <w:r/>
          </w:p>
        </w:tc>
        <w:tc>
          <w:tcPr>
            <w:tcW w:w="1100" w:type="dxa"/>
            <w:vAlign w:val="center"/>
            <w:textDirection w:val="lrTb"/>
            <w:noWrap w:val="false"/>
          </w:tcPr>
          <w:p>
            <w:pPr>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p>
        </w:tc>
        <w:tc>
          <w:tcPr>
            <w:tcW w:w="967"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分包：2</w:t>
      </w:r>
      <w:r/>
    </w:p>
    <w:tbl>
      <w:tblPr>
        <w:tblStyle w:val="71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1688"/>
        <w:gridCol w:w="627"/>
        <w:gridCol w:w="639"/>
        <w:gridCol w:w="1250"/>
        <w:gridCol w:w="1303"/>
        <w:gridCol w:w="1568"/>
        <w:gridCol w:w="1100"/>
        <w:gridCol w:w="967"/>
      </w:tblGrid>
      <w:tr>
        <w:trPr>
          <w:trHeight w:val="470"/>
        </w:trPr>
        <w:tc>
          <w:tcPr>
            <w:tcW w:w="616"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1688"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名称</w:t>
            </w:r>
            <w:r/>
          </w:p>
        </w:tc>
        <w:tc>
          <w:tcPr>
            <w:tcW w:w="627"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数量</w:t>
            </w:r>
            <w:r/>
          </w:p>
        </w:tc>
        <w:tc>
          <w:tcPr>
            <w:tcW w:w="639"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w:t>
            </w:r>
            <w:r/>
          </w:p>
        </w:tc>
        <w:tc>
          <w:tcPr>
            <w:tcW w:w="1250"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产品类型</w:t>
            </w:r>
            <w:r/>
          </w:p>
        </w:tc>
        <w:tc>
          <w:tcPr>
            <w:tcW w:w="1303"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单价上限（元）</w:t>
            </w:r>
            <w:r/>
          </w:p>
        </w:tc>
        <w:tc>
          <w:tcPr>
            <w:tcW w:w="1568"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所属行业类型</w:t>
            </w:r>
            <w:r/>
          </w:p>
        </w:tc>
        <w:tc>
          <w:tcPr>
            <w:tcW w:w="1100"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产品属性</w:t>
            </w:r>
            <w:r/>
          </w:p>
        </w:tc>
        <w:tc>
          <w:tcPr>
            <w:tcW w:w="967"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备注</w:t>
            </w:r>
            <w:r/>
          </w:p>
        </w:tc>
      </w:tr>
      <w:tr>
        <w:trPr>
          <w:trHeight w:val="597"/>
        </w:trPr>
        <w:tc>
          <w:tcPr>
            <w:tcW w:w="616"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p>
        </w:tc>
        <w:tc>
          <w:tcPr>
            <w:tcW w:w="1688" w:type="dxa"/>
            <w:vAlign w:val="center"/>
            <w:textDirection w:val="lrTb"/>
            <w:noWrap w:val="false"/>
          </w:tcPr>
          <w:p>
            <w:pPr>
              <w:spacing w:line="288" w:lineRule="auto"/>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仙林地区市政道路与市政设施维护（包括但不限于白象、青龙片区）</w:t>
            </w:r>
            <w:r/>
          </w:p>
        </w:tc>
        <w:tc>
          <w:tcPr>
            <w:tcW w:w="627"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p>
        </w:tc>
        <w:tc>
          <w:tcPr>
            <w:tcW w:w="639"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p>
        </w:tc>
        <w:tc>
          <w:tcPr>
            <w:tcW w:w="1250"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主要产品</w:t>
            </w:r>
            <w:r/>
          </w:p>
        </w:tc>
        <w:tc>
          <w:tcPr>
            <w:tcW w:w="1303"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详见招标文件</w:t>
            </w:r>
            <w:r/>
          </w:p>
        </w:tc>
        <w:tc>
          <w:tcPr>
            <w:tcW w:w="1568"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建筑业</w:t>
            </w:r>
            <w:r/>
          </w:p>
        </w:tc>
        <w:tc>
          <w:tcPr>
            <w:tcW w:w="1100" w:type="dxa"/>
            <w:vAlign w:val="center"/>
            <w:textDirection w:val="lrTb"/>
            <w:noWrap w:val="false"/>
          </w:tcPr>
          <w:p>
            <w:pPr>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p>
        </w:tc>
        <w:tc>
          <w:tcPr>
            <w:tcW w:w="967"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ind w:firstLine="480"/>
        <w:spacing w:line="288"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spacing w:line="288" w:lineRule="auto"/>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p>
    <w:p>
      <w:pPr>
        <w:ind w:firstLine="480"/>
        <w:spacing w:line="288"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（一）技术要求</w:t>
      </w:r>
      <w:r/>
    </w:p>
    <w:p>
      <w:pPr>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分包1、分包2清单中项目特征描述均能够响应，清单中的单价须在投标分项报价表中如实填写。</w:t>
      </w:r>
      <w:r/>
    </w:p>
    <w:tbl>
      <w:tblPr>
        <w:tblStyle w:val="713"/>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516"/>
        <w:gridCol w:w="1716"/>
        <w:gridCol w:w="4586"/>
        <w:gridCol w:w="709"/>
        <w:gridCol w:w="850"/>
        <w:gridCol w:w="992"/>
        <w:gridCol w:w="709"/>
      </w:tblGrid>
      <w:tr>
        <w:trPr>
          <w:trHeight w:val="1337"/>
        </w:trPr>
        <w:tc>
          <w:tcPr>
            <w:gridSpan w:val="7"/>
            <w:tcBorders>
              <w:top w:val="none" w:color="000000" w:sz="4" w:space="0"/>
              <w:left w:val="none" w:color="000000" w:sz="4" w:space="0"/>
              <w:bottom w:val="none" w:color="000000" w:sz="4" w:space="0"/>
              <w:right w:val="none" w:color="000000" w:sz="4" w:space="0"/>
            </w:tcBorders>
            <w:tcW w:w="1007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32"/>
                <w:szCs w:val="32"/>
                <w:highlight w:val="none"/>
              </w:rPr>
              <w:t xml:space="preserve">仙林地区市政道路与市政设施维护服务包1采购清单</w:t>
            </w:r>
            <w:r/>
          </w:p>
        </w:tc>
      </w:tr>
      <w:tr>
        <w:trPr>
          <w:trHeight w:val="1012"/>
        </w:trPr>
        <w:tc>
          <w:tcPr>
            <w:tcBorders>
              <w:top w:val="single" w:color="000000" w:sz="8"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hint="eastAsia" w:ascii="宋体" w:hAnsi="宋体" w:cs="宋体"/>
                <w:b/>
                <w:bCs/>
                <w:color w:val="000000"/>
                <w:sz w:val="20"/>
                <w:szCs w:val="20"/>
                <w:highlight w:val="none"/>
              </w:rPr>
            </w:pPr>
            <w:r/>
            <w:bookmarkStart w:id="193" w:name="RANGE!A2:G16"/>
            <w:r>
              <w:rPr>
                <w:rFonts w:hint="eastAsia" w:ascii="宋体" w:hAnsi="宋体" w:cs="宋体"/>
                <w:b/>
                <w:bCs/>
                <w:color w:val="000000"/>
                <w:sz w:val="20"/>
                <w:szCs w:val="20"/>
                <w:highlight w:val="none"/>
              </w:rPr>
              <w:t xml:space="preserve">序号</w:t>
            </w:r>
            <w:bookmarkEnd w:id="193"/>
            <w:r/>
            <w:r/>
          </w:p>
        </w:tc>
        <w:tc>
          <w:tcPr>
            <w:tcBorders>
              <w:top w:val="single" w:color="000000" w:sz="8" w:space="0"/>
              <w:left w:val="non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名称</w:t>
            </w:r>
            <w:r/>
          </w:p>
        </w:tc>
        <w:tc>
          <w:tcPr>
            <w:tcBorders>
              <w:top w:val="single" w:color="000000" w:sz="8" w:space="0"/>
              <w:left w:val="none" w:color="000000" w:sz="4" w:space="0"/>
              <w:bottom w:val="single" w:color="000000" w:sz="4" w:space="0"/>
              <w:right w:val="single" w:color="000000" w:sz="4" w:space="0"/>
            </w:tcBorders>
            <w:tcW w:w="4586"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项目特征</w:t>
            </w:r>
            <w:r/>
          </w:p>
        </w:tc>
        <w:tc>
          <w:tcPr>
            <w:tcBorders>
              <w:top w:val="single" w:color="000000" w:sz="8"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单位</w:t>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工程量</w:t>
            </w:r>
            <w:r/>
          </w:p>
        </w:tc>
        <w:tc>
          <w:tcPr>
            <w:tcBorders>
              <w:top w:val="single" w:color="000000" w:sz="8"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单价上限（元）</w:t>
            </w:r>
            <w:r/>
          </w:p>
        </w:tc>
        <w:tc>
          <w:tcPr>
            <w:tcBorders>
              <w:top w:val="single" w:color="000000" w:sz="8"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合价（元）</w:t>
            </w:r>
            <w:r/>
          </w:p>
        </w:tc>
      </w:tr>
      <w:tr>
        <w:trPr>
          <w:trHeight w:val="1012"/>
        </w:trPr>
        <w:tc>
          <w:tcPr>
            <w:tcBorders>
              <w:top w:val="non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铣刨沥青层</w:t>
            </w:r>
            <w:r/>
          </w:p>
        </w:tc>
        <w:tc>
          <w:tcPr>
            <w:tcBorders>
              <w:top w:val="non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1.铣刨沥青层、厚度根据现场实际情况，报价综合考虑（如发生多余扰动原结构层，增加厚度投标人自行考虑，报价综合考虑，结算时不调整）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铣刨清理（铣刨方式由投标人根据项目情况自行考虑，报价综合考虑，结算不调整）、锯缝、装车、倒运、外运（外运距离投标人自行考虑）、弃置（消纳费、弃置费）、保洁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690</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172.11</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拆除沥青层</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1.拆除沥青层、厚度根据现场实际情况，报价综合考虑（如发生多余扰动原结构层，增加厚度投标人自行考虑，报价综合考虑，结算时不调整）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114.06</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拆除二灰碎石基层</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1.拆除二灰碎石基层，厚度根据现场实际情况，报价综合考虑（如发生多余扰动原结构层，增加厚度投标人自行考虑，报价综合考虑，结算时不调整）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89.42</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拆除石灰土底基层</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1.拆除石灰土底基层，厚度根据现场实际情况，报价综合考虑（如发生多余扰动原结构层，增加厚度投标人自行考虑，报价综合考虑，结算时不调整）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33.68</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拆除水泥稳定碎石基层</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1.拆除水泥稳定碎石基层，厚度根据现场实际情况，报价综合考虑（如发生多余扰动原结构层，增加厚度投标人自行考虑，报价综合考虑，结算时不调整）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103.88</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拆除水泥混凝土基层</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1.拆除水泥混凝土基层，厚度根据现场实际情况，报价综合考虑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103.88</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拆除钢筋混凝土（混凝土路面基层面层、构筑物、障碍物）</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1.拆除钢筋混凝土（混凝土路面基层面层、构筑物、障碍物），厚度根据现场实际情况，报价综合考虑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166.67</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166.41</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拆除人行道-花岗岩铺装</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1.材质:人行道板花岗岩面层及座浆拆除，厚度自行踏勘（如发生多余扰动原结构层，增加厚度投标人自行考虑，报价综合考虑，结算时不调整）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14.48</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拆除人行道-预制类铺装</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1.材质:保护性拆除人行道板苏普洛克砖面层及座浆，厚度自行踏勘（如发生多余扰动原结构层，增加厚度投标人自行考虑，报价综合考虑，结算时不调整）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16.59</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树池砌筑拆除</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1、材质:保护性拆除树池，树池现有原始情况投标人自行踏勘现场，根据现场实际情况自行报价，结算时不予调整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2.部分废料处理，含外运等自行考虑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3、报价含拆除（对周边道路及构筑物采取保护性措施）、装车、倒运、外运（外运距离投标人自行考虑）、弃置（消纳费、弃置费）、保洁、由投标人自行考虑决定报价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7.68</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拆除侧石</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1.保护性拆除砼、花岗岩侧石，拆除石材类侧石及侧石基础，侧石现有原始情况投标人自行踏勘现场，根据现场实际情况自行报价，结算时不予调整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3、报价含拆除（对周边道路及构筑物采取保护性措施）、装车、倒运、外运（外运距离投标人自行考虑）、弃置（消纳费、弃置费）、保洁、由投标人自行考虑决定报价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8.19</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拆除平石</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1.保护性拆除砼、花岗岩平石，拆除石材类平石及平石基础，平石现有原始情况投标人自行踏勘现场，根据现场实际情况自行报价，结算时不予调整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3、报价含拆除（对周边道路及构筑物采取保护性措施）、装车、倒运、外运（外运距离投标人自行考虑）、弃置（消纳费、弃置费）、保洁、由投标人自行考虑决定报价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4.满足设计及相关规范要求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7.22</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挖一般土方、石方、淤泥、废渣等</w:t>
            </w:r>
            <w:r/>
          </w:p>
        </w:tc>
        <w:tc>
          <w:tcPr>
            <w:tcBorders>
              <w:top w:val="singl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1.土壤类别:投标人自行勘察现场并综合考虑报价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2.挖土深度:投标人自行考虑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3.其他:含沟槽土方、基坑土方、石方、淤泥、废渣等开挖、装车、平整、清表等所有涉及土方、石方工作内容，开挖方式自行考虑；含人工配合修底、修坡、台阶、整平等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1500</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13.52</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余方弃置</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1.废弃料品种:（含土方、石方、淤泥、废渣等）投标人综合考虑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2.运距:自行考虑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3.场内外环保措施（冲洗、保洁费等）等相关费用包括在此综合单价中</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4.报价含消纳费、弃置费、保洁费等一切费用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81.07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透层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1.沥青品种:乳化沥青PC-2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2.喷油量:0.7~1.5L/m2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3.喷洒方式投标人根据项目情况自行考虑，报价综合考虑，结算不调整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5.28</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封层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1.沥青品种:乳化沥青PC-1</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2.喷油量:0.9~1.0kg/m2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3.喷洒方式投标人根据项目情况自行考虑，报价综合考虑，结算不调整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粘层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1.沥青品种:乳化沥青PC-3</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2.喷油量:0.5~0.7L/m2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3.喷洒方式投标人根据项目情况自行考虑，报价综合考虑，结算不调整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13400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264"/>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高性能聚酯防裂布</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1.高性能聚酯防裂布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2.抗拉强度≥50KN,纵横向延伸率不大于4%</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3.幅间搭接接宽度不小于50cm</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石灰稳定土底基层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1.石灰稳定土底基层,厚度现场确定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2.含灰量:12%，压实度≥98%</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3.分层压实</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4.原地面压实及检验</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192.45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水泥稳定碎石基层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1.水泥稳定碎石基层,厚度现场确定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2.5%水泥稳定碎石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3.分层压实</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599.83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403"/>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二灰结石</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1.二灰结石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2.配合比综合考虑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3.分层压实</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383.52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水泥混凝土</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1.C20混凝土基层，包括浇筑、振捣、灌缝、养护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2.含模板搭拆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726.57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地基注浆（地聚合物材料早强型）</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1.成孔深度、间距:孔径50mm，注浆深度0.8m，间距1.5m梅花型布置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2.浆液种类及配合比:地聚合物混合料（早强型），地聚物材料：水=1：0.32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3.含布孔、钻孔、注浆、封孔等所有施工步骤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263.02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地基注浆（地聚合物材料普通型）</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1.成孔深度、间距:孔径50mm，注浆深度0.8m，间距1.5m梅花型布置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2.浆液种类及配合比:地聚合物混合料（普通型），地聚物材料：水=1：0.32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3.含布孔、钻孔、注浆、封孔等所有施工步骤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186.03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粗粒式沥青混凝土</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1.沥青品种:石油沥青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2.沥青混凝土类型:AC-25C粗粒式石灰岩</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1387.98</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中粒式沥青混凝土</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1.沥青品种:石油沥青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2.沥青混凝土类型:AC-20C中粒式SBS改性玄武岩+0.3%抗车辙剂</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237.5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1883.99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细粒式沥青混凝土</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1.沥青品种:石油沥青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2.沥青混凝土类型:SMA-13细粒式SBS改性玄武岩+0.3%木质纤维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3.压实度符合要求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880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2246.37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细粒式沥青混凝土</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1.沥青品种:石油沥青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2.沥青混凝土类型:AC-13C(玄武岩,SBS改性)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3.压实度符合要求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920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2039.10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就地热再生加铺面层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1.原路面(整形)就地热再生4cm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2.同时加铺2cmSMA-13(玄武岩,SBS改性),一并碾压。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3.压实度符合要求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110.79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老沥青路面裂缝处灌缝</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1.老沥青路面裂缝处灌缝：裂缝清理、鼓风机吹净、风干、沥青油灌缝</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1620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沥青混凝土-柔性路面材料</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1、10cmSFP-13半柔性路面材料，外加剂品种和掺量符合相关要求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2、沾油层：1cm改性乳化沥青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3、老路基层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4、铺筑方式投标人根据项目情况自行考虑，报价综合考虑，结算不调整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244.54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半柔性路面层JGM301灌浆</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1、沥青路面（透水面）灌浆及抹面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2、清单量按沥青混凝土体积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2642.94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半柔性路面木条封边</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1、木条封边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2、封边漏浆处理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101.27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安砌侧（平、缘）石（平石）</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1.C20混凝土基础（含模版），2cm厚1:2砂浆座底，铺设平石，花岗岩材质规格同原材质，不同材质综合考虑，C20混凝土护肩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2.水泥砂浆勾缝</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133.07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安砌侧（平、缘）石（侧石）</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1.C20混凝土基础（含模板），2cm厚1:2砂浆座底，铺设侧石，花岗岩材质规格同原材质，不同材质综合考虑，C20混凝土护肩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2.水泥砂浆勾缝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163.69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36</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安砌平石（100%旧料利用）</w:t>
            </w:r>
            <w:r/>
          </w:p>
        </w:tc>
        <w:tc>
          <w:tcPr>
            <w:tcBorders>
              <w:top w:val="non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1.原平石保护性拆除，C20混凝土基础（含模板），2cm厚1:2砂浆座底，铺设平石，C20混凝土护肩，外运废料，清理场地，投标人自行考虑土场、运距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2.水泥砂浆勾缝</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3.保护性拆除，保证旧料拆除及运输中无新的破碎</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4.如有现场不能利旧的，由采购人仓库或者大学城范围内调配，投标人报价需要考虑石材的运输、搬运等费用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1000</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45.64</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安砌侧石（100%旧料利用）</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1.原侧石保护性拆除，C20混凝土基础（含模板），2cm厚1:2砂浆座底，铺设侧平石，C20混凝土护肩，外运废料，清理场地，投标人自行考虑土场、运距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2.水泥砂浆勾缝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3.保护性拆除，保证旧料拆除及运输中无新的破碎</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4.如有现场不能利旧的，由采购人仓库或者大学城范围内调配，投标人报价需要考虑石材的运输、搬运等费用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52.71</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花岗岩人行道板铺设</w:t>
            </w:r>
            <w:r/>
          </w:p>
        </w:tc>
        <w:tc>
          <w:tcPr>
            <w:tcBorders>
              <w:top w:val="singl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1.3cm厚花岗岩道板铺设，3cm厚1：3干硬性水泥砂浆结合层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2.花岗岩材质规格同原路材质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1600</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190.79</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花岗岩人行道板铺设（利旧）</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numPr>
                <w:ilvl w:val="0"/>
                <w:numId w:val="9"/>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原花岗岩道板砖保护性拆除，道板砖清理背面、清理场地，投标人自行考虑土场</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2、3cm厚花岗岩道板铺设，3cm厚1：3干硬性水泥砂浆结合层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3、花岗岩材质规格同原路材质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4、如有现场不能利旧的，由采购人仓库或者大学城范围内调配，投标人报价需要考虑石材的运输、搬运等费用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81.49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苏普洛克人行道板</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1.苏普洛克道板铺设，3cm厚1：3干硬性水泥砂浆结合层，苏普洛克道板材质规格同原路材质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112.81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41</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花岗岩人行道板铺设</w:t>
            </w:r>
            <w:r/>
          </w:p>
        </w:tc>
        <w:tc>
          <w:tcPr>
            <w:tcBorders>
              <w:top w:val="non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1、3cm厚1：3干硬性水泥砂浆结合层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2、5cm厚花岗岩人行道板铺装层，花岗岩材质规格同原路材质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2983.33</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233.22</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5cm陶瓷砖铺设</w:t>
            </w:r>
            <w:r/>
          </w:p>
        </w:tc>
        <w:tc>
          <w:tcPr>
            <w:tcBorders>
              <w:top w:val="singl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1、3cm厚1：3干硬性水泥砂浆结合层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2、5cm陶瓷砖铺装层，生态仿石透水砖材质规格同原路材质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700</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166.55</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人行道碎石垫层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1.人行道碎石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2.原地面压实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3.5cm厚碎石找平层+碾压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1333.33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24.93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人行道混凝土基层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1.人行道混凝土基层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2.15cm厚C20商品混凝土（含模板）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1333.33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104.48</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树池砌筑（利旧）</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1.5cm厚C20混凝土基础，含模板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2.3cm厚M10水泥砂浆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3.树池边框（利旧）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4.如有现场不能利旧的，由采购人仓库或者大学城范围内调配，投标人报价需要考虑石材的运输、搬运等费用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树池砌筑</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1.5cm厚C20混凝土基础，含模板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2.3cm厚M10水泥砂浆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3.光面花岗岩边框，花岗岩材质规格同原路材质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131.37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70#冷补沥青</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1.70#冷补沥青</w:t>
            </w:r>
            <w:r>
              <w:rPr>
                <w:rFonts w:hint="eastAsia" w:ascii="宋体" w:hAnsi="宋体" w:cs="宋体"/>
                <w:color w:val="000000"/>
                <w:sz w:val="20"/>
                <w:szCs w:val="20"/>
                <w:highlight w:val="none"/>
              </w:rPr>
              <w:br w:type="textWrapping" w:clear="all"/>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3903.64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花岗岩隔离墩</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1.C20砼垫层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2.M15水泥砂浆砌筑花岗岩隔离墩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3.花岗岩隔离墩尺寸直径300mm*高600mm</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533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205.02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3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花岗岩隔离墩</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1.C20砼垫层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2.M15水泥砂浆砌筑花岗岩隔离墩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3.花岗岩隔离墩尺寸直径150mm*高600mm</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106.59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阻车石移位</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numPr>
                <w:ilvl w:val="0"/>
                <w:numId w:val="1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材料品种、规格:花岗岩阻车石直径20cm，高75cm，露出地面45cm</w:t>
            </w:r>
            <w:r/>
          </w:p>
          <w:p>
            <w:pPr>
              <w:numPr>
                <w:ilvl w:val="0"/>
                <w:numId w:val="1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C20砼基础、含模板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拆除原阻车石（保护性拆除，如拆除发生损坏由投标人按照设计要求的阻车石重新购买，报价综合考虑）、阻车石运输（运输距离投标人自行踏勘现场，报价综合考虑、重新安装阻车石，道路恢复（另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118.81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中分带、侧分带岛头异形侧石</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1.C20砼基础（含模版）</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2.异形侧石（花岗岩）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3.20mm厚1:2水泥砂浆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4.规格：异形侧石依据现场调整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187.58</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中分带、侧分带岛头异形平石</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1.C20砼基础（含模版）</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2.异形平石（花岗岩）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3.20mm厚1:2水泥砂浆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4.规格：异形平石依据现场调整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187.58</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铺土工格栅</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1.铺设土工格栅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20.65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悬臂式挡墙</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1.悬臂式挡墙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2.C30砼（含模板）</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834.53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重力式片石挡墙</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1.名称:重力式片石挡墙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2.泄水孔材料品种、规格:满足相关规范要求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3.滤水层要求:满足相关规范要求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4.沉降缝要求:满足相关规范要求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743.89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现浇构件钢筋</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1.钢筋种类:满足相关规范要求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2.钢筋规格:Φ&gt;10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t</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5695.06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现浇构件钢筋</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1.钢筋种类:满足相关规范要求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2.钢筋规格:Φ＜10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t</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6909.49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人行道整形碾压</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1.人行道整形碾压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2.压实度满足相关规范要求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6cm透水砖(20cmX10cmX6cm)</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1.块料品种:陶瓷透水砖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2.规格：20cm*10cm*6cm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3.砂浆厚度等级：3cm1:6干硬性水泥砂浆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174.27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5cmPC砖</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1.块料品种:PC砖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2.规格：20cm*10cm*5cm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3.砂浆厚度等级：3cm1:6干硬性水泥砂浆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66.67</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179.96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7cm透水砼（面层）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1.7cm厚透水砼（含模板），彩色透水水泥混凝土面层顶用无色透明双丙聚氨酯封闭处理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2.颜色由采购人现场确定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3.符合规范要求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72.19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混凝土人行道基础</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1.8cm厚C30透水砼（含模板）</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57.77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级配碎石垫层</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1.20cm厚人行道级配碎石</w:t>
            </w:r>
            <w:r>
              <w:rPr>
                <w:rFonts w:hint="eastAsia" w:ascii="宋体" w:hAnsi="宋体" w:cs="宋体"/>
                <w:color w:val="000000"/>
                <w:sz w:val="20"/>
                <w:szCs w:val="20"/>
                <w:highlight w:val="none"/>
              </w:rPr>
              <w:br w:type="textWrapping" w:clear="all"/>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89.65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人行道花岗岩盲道砖铺设</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1.5cm花岗岩人行道板（含盲道）</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2.3cmM15水泥砂浆垫层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233.96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穿孔盲管</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人行道透水砼底UPVC穿孔盲管（规格综合考虑）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12.61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抗渗混凝土</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绿化带侧石边P8抗渗砼 C20 （含模板）</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644.43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砖砌构筑物</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1、MU15水泥标准砖、M15砂浆砌筑，满足国家和行业相关要求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2、包含砖砌花坛、砖砌挡墙、围墙等砌筑（下部砖基础、上部砖砌体）</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826.61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砖砌台阶、踏步</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1、MU15水泥标准砖、M15砂浆砌筑，满足国家和行业相关要求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2、包含砖砌花坛、砖砌挡墙、围墙等砌筑（下部砖基础、上部砖砌体）</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3、以水平投影面积计量</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320.57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瓷砖贴面</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1.清理及修补基层表面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2.刮底、砂浆配、拌、抹平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3.砍、打及磨光块料边缘</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4.10mm瓷砖贴面、修嵌缝隙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5.除污、打蜡擦亮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6.材料运输及清场等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7.涉及瓷砖贴面的工作内容均需综合考虑，相关一切费用均由投标人自行考虑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198.90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文化砖贴面</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1.清理及修补基层表面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2.刮底、砂浆配、拌、抹平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3.砍、打及磨光块料边缘</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4.3cm文化砖贴面、修嵌缝隙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5.除污、打蜡擦亮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6.材料运输及清场等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7.涉及瓷砖贴面的工作内容均需综合考虑，相关一切费用均由投标人自行考虑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177.40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台阶、踏步铺设花岗岩</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1.3cm厚花岗岩石材（火烧面），3cm厚1：3干硬性水泥砂浆结合层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225.71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不锈钢钢板板凳</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1.不锈钢钢板板凳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2.规格1200*500mm，立柱直径为50mm不锈钢钢管，骨架为40*40*2mm方管。板凳面为1.5mm不锈钢拉丝钢板，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3.含基础、预埋件等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4.具体样式由采购人现场指定</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356.44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金属公园座椅</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1、GY-02大八字金属公园座椅</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2、铸铝椅脚规格：4.1kg/只，配大圆管2根，铝合金椅面规格：30*57mm一套5根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30*92mm一套4根，靠背支架*2根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1188.11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不锈钢栏杆</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1.全304不锈钢材质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2.尺寸及样式 1200mm高，3mm壁厚，具体样式由采购人现场指定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415.85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石质栏杆更换</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1.花岗岩栏杆拆除、更换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2.含旧栏杆外运、渣土清理、内倒集中堆放、场地清理等费用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3.样式同原有桥栏杆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66.67</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702.85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石质栏杆维修</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1.利用原有花岗岩栏杆加固、安装</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2.含渣土清理、内倒集中堆放、场地清理等费用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349.31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镀锌钢喷塑绿化护栏网</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1.高85cm，立柱50*50*1.2mm，横栏25*50*1.0mm，竖栏19*19*1.0mm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2.深绿色</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118.81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绿化护栏网</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立柱70*100*1.2mm，5mm铁丝，网孔70*150mm</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118.81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围墙栏杆-镀锌钢管</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1、镀锌钢管护栏，护栏高2m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2、立柱80mm*80mm*1.3mm、立杆25mm*25mm*0.7mm，间距11cm、横管45mm*45mm*1.0mm，3根横管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3、报价含制作、安装、刷漆、配件等一切费用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247.78</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墙面涂料粉刷</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1.颜色同原有墙面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2.旧墙面涂料，抹灰铲除等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3.找平，抹灰等综合考虑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4.外运废料，清理场地，投标人自行考虑土场及运距</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20.13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反光漆涂刷</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1.红黄黑白四种颜色</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2.基层处理、划线等全部工作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19.43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金属栏杆除锈、刷漆</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1.颜色同原有金属栏杆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2.旧金属栏杆涂料，油漆铲除等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3.刷防锈漆2遍，面层油漆（涂料）2遍等综合考虑，面漆颜色、材质同现有样式</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4.外运废料，清理场地，投标人自行考虑土场及运距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5.以实际展开的油漆表面积计量</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128.54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回行挡非机动车护栏</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1、回行挡非机动车护栏</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2、其他:满足设计及规范要求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3、报价含制作、安装、配件、刷漆等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213.86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不锈钢雨棚</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1.不锈钢雨棚5000*1350mm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2.直径114*4mm不锈钢钢管立柱另计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3.骨架直径50mm不锈钢钢管，面层0.8mm拉丝不锈钢钢板（上下两面），8*1.5mm厚镜面板,6mm厚立板，满足设计及规范要求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142.57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不锈钢钢管立柱</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1.不锈钢钢管立柱</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2.直径114*4mm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3.包含安装焊接，接口处理等全部费用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4.满足采购人要求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225.74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站台灯箱面板拆除更换</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1.规格3804*1800mm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2.更换面层单层透明4.5mmPC板和单层3.0mm乳白色亚克力板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3.具体做法以采购人要求为准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534.65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候车站台名牌箱面层拆除更换</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1.规格1200*2800mm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2.更换面层单层透明4.5mmPC板和单层3.0mm乳白色亚克力板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3.具具体做法以采购人要求为准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356.43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弱电管道沟槽</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1.断面尺寸为700mm深*500mm宽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2.10cm厚C15混凝土垫层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3.含管沟挖填土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4.外运废料，清理场地，投标人自行考虑土场、运距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5.综合机械及人工作业</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45.64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弱电管道</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1.直径100PE管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2.含土方开挖回填等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58.91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弱电管道</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 Φ108mm镀锌钢管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2.含土方开挖回填等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121.03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弱电检查井</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1.尺寸60cm*90cm*深80cm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2.钢筋混凝土井圈和盖板（盖板刻字由采购人定）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3.M15砂浆+标准砖砌筑，1:3砂浆抹面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4.含挖填土及外运，投标人自行考虑土场、运距等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598.79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拉管</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1.直径100mmPE管拉管施工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2.拉管深度根据采购人需要、土质请结合现场自行考虑，包含工作坑和接收坑等全部内容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3.含淤泥清运、含大型机械进退场等全部工作内容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258.65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道闸</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1.工作电压：AC220V±10%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工作温度：-25℃~70℃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储运温度：-30℃~75℃</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相对湿度≤95%，无凝露（常温下），噪音要求≤65分贝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额定功率150W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外壳防护等级IPx4</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直杆0.8s~2.0s可调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4789.69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数字式车辆检测器</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1.环境温度：-25°C~65°C</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2.额定功率：≤500ms</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3.线圈电感：100UH~400UH</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4.含安装及调试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1419.56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进口控制器</w:t>
            </w:r>
            <w:r/>
          </w:p>
        </w:tc>
        <w:tc>
          <w:tcPr>
            <w:tcBorders>
              <w:top w:val="non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1.额定功率:44W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存储温度：-30℃～+75℃工作温度：-25℃～+70℃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相对湿度：10% ～ 95%、无凝露（常温下）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通讯方式：TCP/IP</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LED显示屏：自定义显示内容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外壳防护等级：IPx4</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车辆捕获率：≥99%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车牌识别率：≥99%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内置摄像机规格</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镜头类型: 6 mm定焦镜头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成像元件: 1/3英寸COMS传感器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最低照度: 彩色0.1Lux@F1.2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灯珠数量: 高亮LED灯12颗，功率: 15W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10059.00</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出口控制设备</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1.额定功率:44W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存储温度：-30℃～+75℃</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工作温度：-25℃～+70℃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相对湿度：10% ～ 95%、无凝露（常温下）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通讯方式：TCP/IP</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LED显示屏：自定义显示内容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外壳防护等级：IPx4</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车辆捕获率：≥99%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车牌识别率：≥99%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内置摄像机规格</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镜头类型: 6 mm定焦镜头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成像元件: 1/3英寸COMS传感器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最低照度: 彩色0.1Lux@F1.2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灯珠数量: 高亮LED灯12颗，功率: 15W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10059.01</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97</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抓拍摄像机</w:t>
            </w:r>
            <w:r/>
          </w:p>
        </w:tc>
        <w:tc>
          <w:tcPr>
            <w:tcBorders>
              <w:top w:val="singl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1.抓拍摄像机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2414.14</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剩余车辆显示屏</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1.液晶显示屏</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2.含基础制作安装</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3.含安装及调试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2384.34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客户工作站</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1.客户工作站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2.含显示器2台，主机1台，CPU i7以上，8G内存</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3.含安装及调试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10736.79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KVM控制器</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586.91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车辆控制软件</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1.提供二维码支付服务，并和以后的智慧交通系统做对接，包含所有的次开发费用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10184.31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接入交换机</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1.8口交换机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1036.72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宽带接入费用</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1.3年接入费用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2.含系统试运行及调试费用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3.结算时需提供增值税发票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系统</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2566.31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计日工1</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1.日常工作中不涉及材料，只涉及人工清理、拆除、搬运等工作</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2.按人工计价</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工日</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161.58</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计日工2</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1.扫雪、防汛等应急抢险涉及人工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2.按人工计价</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工日</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161.58</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轮胎式挖掘机</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1.扫雪、防汛等应急抢险中涉及的轮式挖机（含汽柴油、含驾驶员工资）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2.型号满足采购人要求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台班</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829.34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平地机</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1.扫雪、防汛等应急抢险中涉及的平地机（含汽柴油、含驾驶员工资）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2.型号满足采购人要求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台班</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1652.64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装载机</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1.扫雪、防汛等应急抢险中涉及的装载机（含汽柴油、含驾驶员工资）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2.型号满足采购人要求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台班</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1877.63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19"/>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渣土车</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1.扫雪、防汛等应急抢险中涉及的渣土车（含汽柴油、含驾驶员工资）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2.型号满足采购人要求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台班</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1410.79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道路巡查</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在合同履约期内，每天上路巡查，每天巡查人员至少1人，巡查方式自行考虑，需要满足采购人对于巡查的考核要求，每次巡查需提供巡查记录和影像资料，按项计价</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126271.89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3400*1400候车亭钢化玻璃</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3400*1400mm候车亭钢化玻璃，含制作、安装、配件等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2079.20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960*1030候车亭钢化玻璃</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960*1030mm候车亭钢化玻璃，含制作、安装、配件等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831.67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201不锈钢二分类果皮箱</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二分类果皮箱，201不锈钢材质，尺寸940*400*980mm，厚度1mm，含制作、安装、配件等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617.81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果皮箱玻璃钢内胆</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果皮箱内胆，玻璃钢材质，尺寸330*340*480mm，厚度3mm，含制作、安装、配件等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21.39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一体化感应小便冲洗阀</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一体化感应小便冲洗阀，尺寸220*120*80mm，含制作、安装、配件等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2257.40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一体化感应蹲坑冲洗阀</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一体化感应蹲坑冲洗阀，尺寸220*120*100mm，含制作、安装、配件等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2613.84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坐便器（含配件）</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坐便器（含配件），尺寸710*395*680mm，陶瓷材质，含制作、安装、配件等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1306.92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降检查井（降低25cm以内）</w:t>
            </w:r>
            <w:r/>
          </w:p>
        </w:tc>
        <w:tc>
          <w:tcPr>
            <w:tcBorders>
              <w:top w:val="non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1.翻挖拆卸盖座，整理，洗刷接口面，拌制砂浆及混凝土，砖砌墙粉刷，安放盖座，混凝土坞膀，填实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拆除（拆除方式由投标人根据项目情况自行考虑，报价综合考虑，结算不调整）、锯缝、拆卸、重新安装、清理、装车、倒运、外运（外运距离投标人自行考虑）、弃置（消纳费、弃置费）、保洁、对周边道路及构筑物采取保护性措施等，由投标人自行考虑决定报价</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339.36</w:t>
            </w:r>
            <w:r/>
          </w:p>
        </w:tc>
        <w:tc>
          <w:tcPr>
            <w:tcBorders>
              <w:top w:val="non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119</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升检查井（25cm以内）</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1.翻挖拆卸盖座，整理，洗刷接口面，拌制砂浆及混凝土，砖砌墙粉刷，安放盖座，混凝土坞膀，填实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拆除（拆除方式由投标人根据项目情况自行考虑，报价综合考虑，结算不调整）、锯缝、拆卸、重新安装、清理、装车、倒运、外运（外运距离投标人自行考虑）、弃置（消纳费、弃置费）、保洁、对周边道路及构筑物采取保护性措施等，由投标人自行考虑决定报价</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408.36</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降雨水口（降低25cm以内）</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1.翻挖拆卸盖座，整理，洗刷接口面，拌制砂浆及混凝土，砖砌墙粉刷，安放盖座，混凝土坞膀，填实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拆除（拆除方式由投标人根据项目情况自行考虑，报价综合考虑，结算不调整）、锯缝、拆卸、重新安装、清理、装车、倒运、外运（外运距离投标人自行考虑）、弃置（消纳费、弃置费）、保洁、对周边道路及构筑物采取保护性措施等，由投标人自行考虑决定报价</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180.78</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121</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升雨水口（25cm以内）</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1.翻挖拆卸盖座，整理，洗刷接口面，拌制砂浆及混凝土，砖砌墙粉刷，安放盖座，混凝土坞膀，填实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拆除（拆除方式由投标人根据项目情况自行考虑，报价综合考虑，结算不调整）、锯缝、拆卸、重新安装、清理、装车、倒运、外运（外运距离投标人自行考虑）、弃置（消纳费、弃置费）、保洁、对周边道路及构筑物采取保护性措施等，由投标人自行考虑决定报价</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214.36</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122</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自调式防沉降检查井盖更换</w:t>
            </w:r>
            <w:r/>
          </w:p>
        </w:tc>
        <w:tc>
          <w:tcPr>
            <w:tcBorders>
              <w:top w:val="single" w:color="000000" w:sz="4" w:space="0"/>
              <w:left w:val="none" w:color="000000" w:sz="4" w:space="0"/>
              <w:bottom w:val="single" w:color="000000" w:sz="8"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1.自调式防沉降五防井盖，采用 C250 型重型五防球墨铸铁井盖及防沉降盖板。材质为球墨铸铁，荷载满足D400，具体样式由甲方现场指定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2.井内安装防坠装置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原有检查井盖、井框拆除，包含拆除（拆除方式由投标人根据项目情况自行考虑，报价综合考虑，结算不调整）、锯缝、拆卸、安装、清理、装车、倒运、外运（外运距离投标人自行考虑）、弃置（消纳费、弃置费）、保洁、对周边道路及构筑物采取保护性措施等，由投标人自行考虑决定报价</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2380.64</w:t>
            </w:r>
            <w:r/>
          </w:p>
        </w:tc>
        <w:tc>
          <w:tcPr>
            <w:tcBorders>
              <w:top w:val="single" w:color="000000" w:sz="4" w:space="0"/>
              <w:left w:val="none" w:color="000000" w:sz="4" w:space="0"/>
              <w:bottom w:val="single" w:color="000000" w:sz="8"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123</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检查井井盖更换</w:t>
            </w:r>
            <w:r/>
          </w:p>
        </w:tc>
        <w:tc>
          <w:tcPr>
            <w:tcBorders>
              <w:top w:val="singl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1.直径700mm-1000mm材质：钢筋混凝土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2.结合现场实际情况综合考虑井盖（重型、轻型等）并报价</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372.53</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砌检查井</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1.检查井圆形收口，井径700，深度小于2m，井内安装防坠装置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2.整理，洗刷接口面，拌制砂浆及混凝土，砖砌墙粉刷，安放盖座，混凝土坞膀，填实等全部工作，符合规范要求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3.外运废料，清理场地，投标人自行考虑土场、</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运距</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2663.71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雨水篦1</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1.材质：钢筋混凝土（单篦）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3.符合规范要求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141.62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雨水篦2</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1.材质：钢筋混凝土（双篦）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3.符合规范要求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183.05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铸铁雨水篦</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1.铸铁雨水篦，450*750*40重型，抗压D400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2符合规范要求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252.96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混凝土雨水篦更换为铸铁雨水篦</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1.铸铁雨水篦，450*750*40重型，抗压D400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2.井室满足图集要求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3.包括原有雨水篦拆除、外运</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4.符合规范要求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353.90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雨水连接管</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1.垫层、基础材质及厚度 碎石垫层、混泥土包封（含模板）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2.管道材质及规格混凝土，DN300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3.连接形式 胶圈接口</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4.铺设深度 满足规范要求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326.23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盲沟</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1.400*400mm碎石盲沟；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2.DN100塑料透水管，UPVC横向连接管，细石砼包封；</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3.渗水土工布、防水土工布；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4.含土方挖、填、外运、弃置、保洁等所有费用。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120.79</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混凝土管（300）</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1.雨水d300钢筋混凝土II级管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2.承插式连接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3.碎石垫层、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4.C30混凝土满包基础（另计）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5接口方式：橡胶圈接口 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6.铺设深度：按设计要求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8.管道检验及试验要求：按规范要求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240.26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混凝土管（400）</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1.雨水d400钢筋混凝土II级管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2.承插式连接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3.碎石垫层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4.C30混凝土满包基础（另计）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5.接口方式：橡胶圈接口涂851防水涂料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6.铺设深度：按设计要求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8.管道检验及试验要求：按规范要求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303.53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雨水口连接管C30混凝土满包</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1.管道包封，管径综合考虑，C30混凝土满包封</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2.所有材料及工艺必须满足规范要求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3.报价综合考虑完成本项工作的所有费用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650.15</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混凝土管（500）</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雨水d500钢筋混凝土II级管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1.垫层、基础材质及厚度：碎石垫层、180°C30钢筋混凝土基础，C20混凝土垫层100mm厚（含模板）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2.规格：d500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3.接口方式：橡胶圈接口 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4.铺设深度：以现场为准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6.管道检验及试验要求：按规范要求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684.60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混凝土管（600）</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雨水d600钢筋混凝土II级管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1.垫层、基础材质及厚度：碎石垫层、180°C30钢筋混凝土基础，C20混凝土垫层100mm厚（含模板）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2.规格：d600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3.接口方式：橡胶圈接口 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4.铺设深度：以现场为准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6.管道检验及试验要求：按规范要求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830.14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混凝土管（800）</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雨水d800钢筋混凝土II级管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1.垫层、基础材质及厚度：碎石垫层、180°C30钢筋混凝土基础，C20混凝土垫层100mm厚（含模板）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2.规格：d800mm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3.接口方式：橡胶圈接口 涂851防水涂料外包土工布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4.铺设深度：以现场为准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6.管道检验及试验要求：按规范要求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1354.64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砌筑井1</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雨水检查井（圆形井）（D=600）混凝土模块井 （规格1100mm）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1.做法:12S522-21</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2.井盖井座采用球墨铸铁可调式防沉降井盖，承载能力为D400级 直径700mm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3.所有材料及工艺必须按照规范要求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4.报价综合考虑完成本项工作的所有费用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8204.07</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砌筑井2</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雨水检查井（圆形井）（D=800mm）混凝土模块井 （规格1300mm）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1.做法:12S522-21</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2.井盖井座采用球墨铸铁可调式防沉降井盖，承载能力为D400级 直径700mm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3.所有材料及工艺按规范要求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4.报价综合考虑完成本项工作的所有费用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9636.33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砌筑井3</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水检查井（矩形三通井）（D=1000）混凝土模块井 （规格1800*1800mm）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1.做法:12S522-49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2.井盖井座采用球墨铸铁可调式防沉降井盖，承载能力为D400级 直径700mm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3.所有材料及工艺满足规范要求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4.报价综合考虑完成本项工作的所有费用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17724.03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偏沟式双箅雨水口</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1.偏沟式双箅雨水口、砖砌雨水口 承载力D400级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2.具体详见图集16S518-10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3.含球墨铸铁篦盖、座</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1256.50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更换排水检查井盖井座</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1.拆除原有破损井盖，更换排水检查井盖井座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2.球墨铸铁防沉降井盖（含座）、承载力D400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3.报价综合考虑完成本项工作所须的所有费用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908.33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更换排水检查井盖井座</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1.拆除原有破损井盖，更换排水检查井盖井座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2.更换钢纤维混凝土井盖（含座）、承载力c250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3.报价综合考虑完成本项工作所须的所有费用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372.53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隐形井盖</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1.3*50*50cm方钢支柱@150mm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2.6mm厚Q235钢板，Φ10mm钢筋加强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3.10*30mm起吊口</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4.尺寸根据现场井盖尺寸调整，需完全覆盖检查井</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5.上层铺装及破损井盖更换另计入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5.满足相关规范要求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492.42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101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安全防坠网</w:t>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1.成品安全防坠网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2.承载力≥150kg</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3.满足设相关规范要求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4.报价综合考虑完成本项工作所须的所有费用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171.03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r/>
            <w:r/>
          </w:p>
        </w:tc>
      </w:tr>
      <w:tr>
        <w:trPr>
          <w:trHeight w:val="0"/>
        </w:trPr>
        <w:tc>
          <w:tcPr>
            <w:gridSpan w:val="7"/>
            <w:tcBorders>
              <w:top w:val="single" w:color="000000" w:sz="4" w:space="0"/>
              <w:left w:val="single" w:color="000000" w:sz="4" w:space="0"/>
              <w:bottom w:val="single" w:color="000000" w:sz="4" w:space="0"/>
              <w:right w:val="single" w:color="000000" w:sz="4" w:space="0"/>
            </w:tcBorders>
            <w:tcW w:w="1007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包1最高限价：11858721.19元</w:t>
            </w:r>
            <w:r/>
          </w:p>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r>
    </w:tbl>
    <w:p>
      <w:pPr>
        <w:pStyle w:val="987"/>
        <w:rPr>
          <w:rFonts w:hint="eastAsia"/>
          <w:color w:val="000000"/>
          <w:highlight w:val="none"/>
          <w:lang w:val="en-US"/>
        </w:rPr>
      </w:pPr>
      <w:r>
        <w:rPr>
          <w:rFonts w:hint="eastAsia"/>
          <w:color w:val="000000"/>
          <w:highlight w:val="none"/>
          <w:lang w:val="en-US"/>
        </w:rPr>
      </w:r>
      <w:r/>
    </w:p>
    <w:tbl>
      <w:tblPr>
        <w:tblStyle w:val="713"/>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516"/>
        <w:gridCol w:w="1716"/>
        <w:gridCol w:w="3878"/>
        <w:gridCol w:w="992"/>
        <w:gridCol w:w="992"/>
        <w:gridCol w:w="1134"/>
        <w:gridCol w:w="850"/>
      </w:tblGrid>
      <w:tr>
        <w:trPr>
          <w:trHeight w:val="1332"/>
        </w:trPr>
        <w:tc>
          <w:tcPr>
            <w:gridSpan w:val="7"/>
            <w:tcBorders>
              <w:top w:val="none" w:color="000000" w:sz="4" w:space="0"/>
              <w:left w:val="none" w:color="000000" w:sz="4" w:space="0"/>
              <w:bottom w:val="none" w:color="000000" w:sz="4" w:space="0"/>
              <w:right w:val="none" w:color="000000" w:sz="4" w:space="0"/>
            </w:tcBorders>
            <w:tcW w:w="1007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32"/>
                <w:szCs w:val="32"/>
                <w:highlight w:val="none"/>
              </w:rPr>
              <w:t xml:space="preserve">仙林地区市政道路与市政设施维护服务包2采购清单</w:t>
            </w:r>
            <w:r/>
          </w:p>
        </w:tc>
      </w:tr>
      <w:tr>
        <w:trPr>
          <w:trHeight w:val="1008"/>
        </w:trPr>
        <w:tc>
          <w:tcPr>
            <w:tcBorders>
              <w:top w:val="single" w:color="000000" w:sz="8"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序号</w:t>
            </w:r>
            <w:r/>
          </w:p>
        </w:tc>
        <w:tc>
          <w:tcPr>
            <w:tcBorders>
              <w:top w:val="single" w:color="000000" w:sz="8" w:space="0"/>
              <w:left w:val="non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名称</w:t>
            </w:r>
            <w:r/>
          </w:p>
        </w:tc>
        <w:tc>
          <w:tcPr>
            <w:tcBorders>
              <w:top w:val="single" w:color="000000" w:sz="8" w:space="0"/>
              <w:left w:val="none" w:color="000000" w:sz="4" w:space="0"/>
              <w:bottom w:val="single" w:color="000000" w:sz="4" w:space="0"/>
              <w:right w:val="single" w:color="000000" w:sz="4" w:space="0"/>
            </w:tcBorders>
            <w:tcW w:w="387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项目特征</w:t>
            </w:r>
            <w:r/>
          </w:p>
        </w:tc>
        <w:tc>
          <w:tcPr>
            <w:tcBorders>
              <w:top w:val="single" w:color="000000" w:sz="8"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单位</w:t>
            </w:r>
            <w:r/>
          </w:p>
        </w:tc>
        <w:tc>
          <w:tcPr>
            <w:tcBorders>
              <w:top w:val="single" w:color="000000" w:sz="8"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工程量</w:t>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单价（元）</w:t>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合价（元）</w:t>
            </w:r>
            <w:r/>
          </w:p>
        </w:tc>
      </w:tr>
      <w:tr>
        <w:trPr>
          <w:trHeight w:val="1008"/>
        </w:trPr>
        <w:tc>
          <w:tcPr>
            <w:tcBorders>
              <w:top w:val="non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铣刨沥青层</w:t>
            </w:r>
            <w:r/>
          </w:p>
        </w:tc>
        <w:tc>
          <w:tcPr>
            <w:tcBorders>
              <w:top w:val="non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1.铣刨沥青层、厚度根据现场实际情况，报价综合考虑（如发生多余扰动原结构层，增加厚度投标人自行考虑，报价综合考虑，结算时不调整）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铣刨清理（铣刨方式由投标人根据项目情况自行考虑，报价综合考虑，结算不调整）、锯缝、装车、倒运、外运（外运距离投标人自行考虑）、弃置（消纳费、弃置费）、保洁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690</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172.11</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拆除沥青层</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1.拆除沥青层、厚度根据现场实际情况，报价综合考虑（如发生多余扰动原结构层，增加厚度投标人自行考虑，报价综合考虑，结算时不调整）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114.06</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19"/>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拆除二灰碎石基层</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1.拆除二灰碎石基层，厚度根据现场实际情况，报价综合考虑（如发生多余扰动原结构层，增加厚度投标人自行考虑，报价综合考虑，结算时不调整）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89.42</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拆除石灰土底基层</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1.拆除石灰土底基层，厚度根据现场实际情况，报价综合考虑（如发生多余扰动原结构层，增加厚度投标人自行考虑，报价综合考虑，结算时不调整）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33.68</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拆除水泥稳定碎石基层</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1.拆除水泥稳定碎石基层，厚度根据现场实际情况，报价综合考虑（如发生多余扰动原结构层，增加厚度投标人自行考虑，报价综合考虑，结算时不调整）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103.88</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拆除水泥混凝土基层</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1.拆除水泥混凝土基层，厚度根据现场实际情况，报价综合考虑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103.88</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拆除钢筋混凝土（混凝土路面基层面层、构筑物、障碍物）</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1.拆除钢筋混凝土（混凝土路面基层面层、构筑物、障碍物），厚度根据现场实际情况，报价综合考虑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166.67</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166.41</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拆除人行道-花岗岩铺装</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1.材质:人行道板花岗岩面层及座浆拆除，厚度自行踏勘（如发生多余扰动原结构层，增加厚度投标人自行考虑，报价综合考虑，结算时不调整）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14.48</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拆除人行道-预制类铺装</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1.材质:保护性拆除人行道板苏普洛克砖面层及座浆，厚度自行踏勘（如发生多余扰动原结构层，增加厚度投标人自行考虑，报价综合考虑，结算时不调整）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拆除（拆除方式由投标人根据项目情况自行考虑，报价综合考虑，结算不调整）、锯缝、清理、装车、倒运、外运（外运距离投标人自行考虑）、弃置（消纳费、弃置费）、保洁、对周边道路及构筑物采取保护性措施等，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16.59</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树池砌筑拆除</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1、材质:保护性拆除树池，树池现有原始情况投标人自行踏勘现场，根据现场实际情况自行报价，结算时不予调整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2.部分废料处理，含外运等自行考虑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3、报价含拆除（对周边道路及构筑物采取保护性措施）、装车、倒运、外运（外运距离投标人自行考虑）、弃置（消纳费、弃置费）、保洁、由投标人自行考虑决定报价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7.68</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拆除侧石</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1.保护性拆除砼、花岗岩侧石，拆除石材类侧石及侧石基础，侧石现有原始情况投标人自行踏勘现场，根据现场实际情况自行报价，结算时不予调整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3、报价含拆除（对周边道路及构筑物采取保护性措施）、装车、倒运、外运（外运距离投标人自行考虑）、弃置（消纳费、弃置费）、保洁、由投标人自行考虑决定报价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8.19</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拆除平石</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1.保护性拆除砼、花岗岩平石，拆除石材类平石及平石基础，平石现有原始情况投标人自行踏勘现场，根据现场实际情况自行报价，结算时不予调整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3、报价含拆除（对周边道路及构筑物采取保护性措施）、装车、倒运、外运（外运距离投标人自行考虑）、弃置（消纳费、弃置费）、保洁、由投标人自行考虑决定报价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3.工程量以现场实际拆除量为准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4.满足设计及相关规范要求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6.报价含人工、机械（含大型机械进出场及安拆）、施工围挡、交通组织维护费等一切费用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7.22</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挖一般土方、石方、淤泥、废渣等</w:t>
            </w:r>
            <w:r/>
          </w:p>
        </w:tc>
        <w:tc>
          <w:tcPr>
            <w:tcBorders>
              <w:top w:val="singl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1.土壤类别:投标人自行勘察现场并综合考虑报价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2.挖土深度:投标人自行考虑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3.其他:含沟槽土方、基坑土方、石方、淤泥、废渣等开挖、装车、平整、清表等所有涉及土方、石方工作内容，开挖方式自行考虑；含人工配合修底、修坡、台阶、整平等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4.报价含人工、机械（含大型机械进出场及安拆）、施工围挡、交通组织维护费等一切费用</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1500</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13.52</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余方弃置</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1.废弃料品种:（含土方、石方、淤泥、废渣等）投标人综合考虑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2.运距:自行考虑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3.场内外环保措施（冲洗、保洁费等）等相关费用包括在此综合单价中</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4.报价含消纳费、弃置费、保洁费等一切费用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81.07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透层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1.沥青品种:乳化沥青PC-2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2.喷油量:0.7~1.5L/m2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3.喷洒方式投标人根据项目情况自行考虑，报价综合考虑，结算不调整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5.28</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封层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1.沥青品种:乳化沥青PC-1</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2.喷油量:0.9~1.0kg/m2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3.喷洒方式投标人根据项目情况自行考虑，报价综合考虑，结算不调整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粘层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1.沥青品种:乳化沥青PC-3</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2.喷油量:0.5~0.7L/m2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3.喷洒方式投标人根据项目情况自行考虑，报价综合考虑，结算不调整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13400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高性能聚酯防裂布</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1.高性能聚酯防裂布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2.抗拉强度≥50KN,纵横向延伸率不大于4%</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3.幅间搭接接宽度不小于50cm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石灰稳定土底基层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1.石灰稳定土底基层,厚度现场确定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2.含灰量:12%，压实度≥98%</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3.分层压实</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4.原地面压实及检验</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192.45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水泥稳定碎石基层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1.水泥稳定碎石基层,厚度现场确定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2.5%水泥稳定碎石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3.分层压实</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599.83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二灰结石</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1.二灰结石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2.配合比综合考虑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3.分层压实</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383.52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水泥混凝土</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1.C20混凝土基层，包括浇筑、振捣、灌缝、养护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2.含模板搭拆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726.57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地基注浆（地聚合物材料早强型）</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1.成孔深度、间距:孔径50mm，注浆深度0.8m，间距1.5m梅花型布置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2.浆液种类及配合比:地聚合物混合料（早强型），地聚物材料：水=1：0.32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3.含布孔、钻孔、注浆、封孔等所有施工步骤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263.02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地基注浆（地聚合物材料普通型）</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1.成孔深度、间距:孔径50mm，注浆深度0.8m，间距1.5m梅花型布置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2.浆液种类及配合比:地聚合物混合料（普通型），地聚物材料：水=1：0.32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3.含布孔、钻孔、注浆、封孔等所有施工步骤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186.03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粗粒式沥青混凝土</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1.沥青品种:石油沥青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2.沥青混凝土类型:AC-25C粗粒式石灰岩</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1387.98</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中粒式沥青混凝土</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1.沥青品种:石油沥青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2.沥青混凝土类型:AC-20C中粒式SBS改性玄武岩+0.3%抗车辙剂</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237.5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1883.99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细粒式沥青混凝土</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1.沥青品种:石油沥青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2.沥青混凝土类型:SMA-13细粒式SBS改性玄武岩+0.3%木质纤维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3.压实度符合要求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880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2246.37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细粒式沥青混凝土</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1.沥青品种:石油沥青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2.沥青混凝土类型:AC-13C(玄武岩,SBS改性)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3.压实度符合要求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4.厚度现场确定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2039.10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261"/>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就地热再生加铺面层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1.原路面(整形)就地热再生4cm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2.同时加铺2cmSMA-13(玄武岩,SBS改性),一并碾压。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3.压实度符合要求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4.铺筑方式投标人根据项目情况自行考虑，报价综合考虑，结算不调整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110.79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6"/>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老沥青路面裂缝处灌缝</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老沥青路面裂缝处灌缝：裂缝清理、鼓风机吹净、风干、沥青油灌缝</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沥青混凝土-柔性路面材料</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1、10cmSFP-13半柔性路面材料，外加剂品种和掺量符合相关要求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2、沾油层：1cm改性乳化沥青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3、老路基层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4、铺筑方式投标人根据项目情况自行考虑，报价综合考虑，结算不调整</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244.54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半柔性路面层JGM301灌浆</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1、沥青路面（透水面）灌浆及抹面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2、清单量按沥青混凝土体积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2642.94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半柔性路面木条封边</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1、木条封边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2、封边漏浆处理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101.27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安砌侧（平、缘）石（平石）</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1.C20混凝土基础（含模版），2cm厚1:2砂浆座底，铺设平石，花岗岩材质规格同原材质，不同材质综合考虑，C20混凝土护肩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2.水泥砂浆勾缝</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133.07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安砌侧（平、缘）石（侧石）</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1.C20混凝土基础（含模板），2cm厚1:2砂浆座底，铺设侧石，花岗岩材质规格同原材质，不同材质综合考虑，C20混凝土护肩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2.水泥砂浆勾缝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163.69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36</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安砌平石（100%旧料利用）</w:t>
            </w:r>
            <w:r/>
          </w:p>
        </w:tc>
        <w:tc>
          <w:tcPr>
            <w:tcBorders>
              <w:top w:val="non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1.原平石保护性拆除，C20混凝土基础（含模板），2cm厚1:2砂浆座底，铺设平石，C20混凝土护肩，外运废料，清理场地，投标人自行考虑土场、运距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2.水泥砂浆勾缝</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3.保护性拆除，保证旧料拆除及运输中无新的破碎</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4.如有现场不能利旧的，由采购人仓库或者大学城范围内调配，投标人报价需要考虑石材的运输、搬运等费用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1000</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45.64</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安砌侧石（100%旧料利用）</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1.原侧石保护性拆除，C20混凝土基础（含模板），2cm厚1:2砂浆座底，铺设侧平石，C20混凝土护肩，外运废料，清理场地，投标人自行考虑土场、运距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2.水泥砂浆勾缝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3.保护性拆除，保证旧料拆除及运输中无新的破碎</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4.如有现场不能利旧的，由采购人仓库或者大学城范围内调配，投标人报价需要考虑石材的运输、搬运等费用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52.71</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花岗岩人行道板铺设</w:t>
            </w:r>
            <w:r/>
          </w:p>
        </w:tc>
        <w:tc>
          <w:tcPr>
            <w:tcBorders>
              <w:top w:val="singl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1.3cm厚花岗岩道板铺设，3cm厚1：3干硬性水泥砂浆结合层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2.花岗岩材质规格同原路材质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1600</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190.79</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花岗岩人行道板铺设（利旧）</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ind w:left="0" w:firstLine="0"/>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1、原花岗岩道板砖保护性拆除，道板砖清理背面、清理场地，投标人自行考虑土场</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2、3cm厚花岗岩道板铺设，3cm厚1：3干硬性水泥砂浆结合层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3、花岗岩材质规格同原路材质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4、如有现场不能利旧的，由采购人仓库或者大学城范围内调配，投标人报价需要考虑石材的运输、搬运等费用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81.49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苏普洛克人行道板</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1.苏普洛克道板铺设，3cm厚1：3干硬性水泥砂浆结合层，苏普洛克道板材质规格同原路材质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112.81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41</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花岗岩人行道板铺设</w:t>
            </w:r>
            <w:r/>
          </w:p>
        </w:tc>
        <w:tc>
          <w:tcPr>
            <w:tcBorders>
              <w:top w:val="non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1、3cm厚1：3干硬性水泥砂浆结合层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2、5cm厚花岗岩人行道板铺装层，花岗岩材质规格同原路材质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2983.33</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233.22</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5cm陶瓷砖铺设</w:t>
            </w:r>
            <w:r/>
          </w:p>
        </w:tc>
        <w:tc>
          <w:tcPr>
            <w:tcBorders>
              <w:top w:val="singl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1、3cm厚1：3干硬性水泥砂浆结合层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2、5cm陶瓷砖铺装层，生态仿石透水砖材质规格同原路材质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700</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166.55</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人行道碎石垫层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1.人行道碎石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2.原地面压实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3.5cm厚碎石找平层+碾压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1333.33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24.93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人行道混凝土基层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1.人行道混凝土基层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2.15cm厚C20商品混凝土（含模板）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3.报价含人工、材料、机械（含大型机械进出场及安拆）、施工围挡、交通组织维护费等一切费用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1333.33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104.48</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树池砌筑（利旧）</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1.5cm厚C20混凝土基础，含模板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2.3cm厚M10水泥砂浆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3.树池边框（利旧）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4.如有现场不能利旧的，由采购人仓库或者大学城范围内调配，投标人报价需要考虑石材的运输、搬运等费用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13.16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树池砌筑</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1.5cm厚C20混凝土基础，含模板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2.3cm厚M10水泥砂浆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3.光面花岗岩边框，花岗岩材质规格同原路材质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131.37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70#冷补沥青</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70#冷补沥青</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3903.64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8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花岗岩隔离墩</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1.C20砼垫层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2.M15水泥砂浆砌筑花岗岩隔离墩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3.花岗岩隔离墩尺寸直径300mm*高600mm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533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205.02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花岗岩隔离墩</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1.C20砼垫层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2.M15水泥砂浆砌筑花岗岩隔离墩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3.花岗岩隔离墩尺寸直径150mm*高600mm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106.59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阻车石移位</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numPr>
                <w:ilvl w:val="0"/>
                <w:numId w:val="1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材料品种、规格:花岗岩阻车石直径20cm，高75cm，露出地面45cm</w:t>
            </w:r>
            <w:r/>
          </w:p>
          <w:p>
            <w:pPr>
              <w:numPr>
                <w:ilvl w:val="0"/>
                <w:numId w:val="1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C20砼基础、含模板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拆除原阻车石（保护性拆除，如拆除发生损坏由投标人按照设计要求的阻车石重新购买，报价综合考虑）、阻车石运输（运输距离投标人自行踏勘现场，报价综合考虑、重新安装阻车石，道路恢复（另计）</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118.81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中分带、侧分带岛头异形侧石</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1.C20砼基础（含模版）</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2.异形侧石（花岗岩）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3.20mm厚1:2水泥砂浆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4.规格：异形侧石依据现场调整</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187.58</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中分带、侧分带岛头异形平石</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1.C20砼基础（含模版）</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2.异形平石（花岗岩）</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3.20mm厚1:2水泥砂浆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4.规格：异形平石依据现场调整</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187.58</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铺土工格栅</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铺设土工格栅</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20.65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悬臂式挡墙</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1.悬臂式挡墙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2.C30砼（含模板）</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834.53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重力式片石挡墙</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1.名称:重力式片石挡墙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2.泄水孔材料品种、规格:满足相关规范要求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3.滤水层要求:满足相关规范要求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4.沉降缝要求:满足相关规范要求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743.89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现浇构件钢筋</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1.钢筋种类:满足相关规范要求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2.钢筋规格:Φ&gt;10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t</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5695.06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89"/>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现浇构件钢筋</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1.钢筋种类:满足相关规范要求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2.钢筋规格:Φ＜10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t</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6909.49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人行道整形碾压</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1.人行道整形碾压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2.压实度满足相关规范要求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45"/>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6cm透水砖(20cmX10cmX6cm)</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1.块料品种:陶瓷透水砖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2.规格：20cm*10cm*6cm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3.砂浆厚度等级：3cm1:6干硬性水泥砂浆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174.27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261"/>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5cmPC砖</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1.块料品种:PC砖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2.规格：20cm*10cm*5cm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3.砂浆厚度等级：3cm1:6干硬性水泥砂浆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66.67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179.96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7cm透水砼（面层）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1.7cm厚透水砼（含模板），彩色透水水泥混凝土面层顶用无色透明双丙聚氨酯封闭处理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2.颜色由采购人现场确定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3.符合规范要求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72.19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混凝土人行道基础</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8cm厚C30透水砼（含模板）</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57.77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级配碎石垫层</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20cm厚人行道级配碎石</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89.65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人行道花岗岩盲道砖铺设</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1.5cm花岗岩人行道板（含盲道）</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2.3cmM15水泥砂浆垫层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233.96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穿孔盲管</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人行道透水砼底UPVC穿孔盲管（规格综合考虑）</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12.61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53"/>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抗渗混凝土</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绿化带侧石边P8抗渗砼 C20 （含模板）</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644.43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砖砌构筑物</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1、MU15水泥标准砖、M15砂浆砌筑，满足国家和行业相关要求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2、包含砖砌花坛、砖砌挡墙、围墙等砌筑（下部砖基础、上部砖砌体）</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826.61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砖砌台阶、踏步</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1、MU15水泥标准砖、M15砂浆砌筑，满足国家和行业相关要求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2、包含砖砌花坛、砖砌挡墙、围墙等砌筑（下部砖基础、上部砖砌体）</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3、以水平投影面积计量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320.57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瓷砖贴面</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1.清理及修补基层表面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2.刮底、砂浆配、拌、抹平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3.砍、打及磨光块料边缘</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4.10mm瓷砖贴面、修嵌缝隙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5.除污、打蜡擦亮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6.材料运输及清场等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7.涉及瓷砖贴面的工作内容均需综合考虑，相关一切费用均由投标人自行考虑</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198.90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文化砖贴面</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1.清理及修补基层表面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2.刮底、砂浆配、拌、抹平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3.砍、打及磨光块料边缘</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4.3cm文化砖贴面、修嵌缝隙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5.除污、打蜡擦亮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6.材料运输及清场等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7.涉及瓷砖贴面的工作内容均需综合考虑，相关一切费用均由投标人自行考虑</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177.40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台阶、踏步铺设花岗岩</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3cm厚花岗岩石材（火烧面），3cm厚1：3干硬性水泥砂浆结合层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225.71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不锈钢钢板板凳</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1.不锈钢钢板板凳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2.规格1200*500，立柱直径为50不锈钢钢管，骨架为40*40*2方管。板凳面为1.5mm不锈钢拉丝钢板，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3.含基础、预埋件等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4.具体样式由采购人现场指定</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356.44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261"/>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金属公园座椅</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1、GY-02大八字金属公园座椅</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2、铸铝椅脚规格：4.1kg/只，配大圆管2根，铝合金椅面规格：，30*57mm一套5根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30*92mm一套4根，靠背支架*2根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1188.11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不锈钢栏杆</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1.全304不锈钢材质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2.尺寸及样式 1200mm高，3mm壁厚，具体样式由采购人现场指定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415.85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石质栏杆更换</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1.花岗岩栏杆拆除、更换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2.含旧栏杆外运、渣土清理、内倒集中堆放、场地清理等费用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3.样式同原有桥栏杆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66.67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702.85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6"/>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石质栏杆维修</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1.利用原有花岗岩栏杆加固、安装</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2.含渣土清理、内倒集中堆放、场地清理等费用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349.31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镀锌钢喷塑绿化护栏网</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1.高85cm，立柱50*50*1.2mm，横栏25*50*1.0mm，竖栏19*19*1.0mm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2.深绿色</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118.81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绿化护栏网</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立柱70*100*1.2mm，5mm铁丝，网孔70*150mm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118.81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围墙栏杆-镀锌钢管</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1、镀锌钢管护栏，护栏高2m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2、立柱80mm*80mm*1.3mm、立杆25mm*25mm*0.7mm，间距11cm、横管45mm*45mm*1.0mm，3根横管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3、报价含制作、安装、刷漆、配件等一切费用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247.78</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墙面涂料粉刷</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1.颜色同原有墙面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2.旧墙面涂料，抹灰铲除等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3.找平，抹灰等综合考虑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4.外运废料，清理场地，投标人自行考虑土场及运距</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20.13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91"/>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反光漆涂刷</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1.红黄黑白四种颜色</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2.基层处理、划线等全部工作</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19.43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金属栏杆除锈、刷漆</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1.颜色同原有金属栏杆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2.旧金属栏杆涂料，油漆铲除等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3.刷防锈漆2遍，面层油漆（涂料）2遍等综合考虑，面漆颜色、材质同现有样式</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4.外运废料，清理场地，投标人自行考虑土场及运距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5.以实际展开的油漆表面积计量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128.54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回行挡非机动车护栏</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1、回行挡非机动车护栏</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2、其他:满足设计及规范要求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3、报价含制作、安装、配件、刷漆等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213.86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不锈钢雨棚</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1.不锈钢雨棚5000*1350mm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2.直径114*4mm不锈钢钢管立柱另计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3.骨架直径50mm不锈钢钢管，面层0.8mm拉丝不锈钢钢板（上下两面），8*1.5mm厚镜面板,6mm厚立板，满足设计及规范要求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142.57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不锈钢钢管立柱</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1.不锈钢钢管立柱</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2.直径114*4mm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3.包含安装焊接，接口处理等全部费用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4.满足采购人要求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225.74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站台灯箱面板拆除更换</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1.规格3804*1800mm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2.更换面层单层透明4.5mmPC板和单层3.0mm乳白色亚克力板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3.具体做法以采购人要求为准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534.65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候车站台名牌箱面层拆除更换</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1.规格1200*2800mm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2.更换面层单层透明4.5mmPC板和单层3.0mm乳白色亚克力板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3.具具体做法以采购人要求为准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356.43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弱电管道沟槽</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1.断面尺寸为700mm深*500mm宽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2.10cm厚C15混凝土垫层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3.含管沟挖填土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4.外运废料，清理场地，投标人自行考虑土场、运距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5.综合机械及人工作业</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45.64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弱电管道</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1.直径100PE管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2.含土方开挖回填等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58.91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弱电管道</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 Φ108镀锌钢管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2.含土方开挖回填等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121.03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弱电检查井</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1.尺寸60cm*90cm*深80cm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2.钢筋混凝土井圈和盖板（盖板刻字由采购人定）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3.M15砂浆+标准砖砌筑，1:3砂浆抹面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4.含挖填土及外运，投标人自行考虑土场、运距等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598.79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拉管</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1.直径100mmPE管拉管施工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2.拉管深度根据采购人需要、土质请结合现场自行考虑，包含工作坑和接收坑等全部内容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3.含淤泥清运、含大型机械进退场等全部工作内容</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258.65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道闸</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1.工作电压：AC220V±10%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工作温度：-25℃~70℃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储运温度：-30℃~75℃</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相对湿度≤95%，无凝露（常温下），噪音要求≤65分贝</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额定功率150W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外壳防护等级IPx4</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直杆0.8s~2.0s可调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4789.69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数字式车辆检测器</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1.环境温度：-25°C~65°C</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2.额定功率：≤500ms</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3.线圈电感：100UH~400UH</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4.含安装及调试</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1419.56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进口控制器</w:t>
            </w:r>
            <w:r/>
          </w:p>
        </w:tc>
        <w:tc>
          <w:tcPr>
            <w:tcBorders>
              <w:top w:val="non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1.额定功率:44W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存储温度：-30℃～+75℃工作温度：-25℃～+70℃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相对湿度：10% ～ 95%、无凝露（常温下）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通讯方式：TCP/IP</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LED显示屏：自定义显示内容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外壳防护等级：IPx4</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车辆捕获率：≥99%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车牌识别率：≥99%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内置摄像机规格</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镜头类型: 6 mm定焦镜头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成像元件: 1/3英寸COMS传感器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最低照度: 彩色0.1Lux@F1.2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灯珠数量: 高亮LED灯12颗，功率: 15W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10059.00</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出口控制设备</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1.额定功率:44W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存储温度：-30℃～+75℃</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工作温度：-25℃～+70℃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相对湿度：10% ～ 95%、无凝露（常温下）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通讯方式：TCP/IP</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LED显示屏：自定义显示内容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外壳防护等级：IPx4</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车辆捕获率：≥99%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车牌识别率：≥99%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内置摄像机规格</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镜头类型: 6 mm定焦镜头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成像元件: 1/3英寸COMS传感器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最低照度: 彩色0.1Lux@F1.2</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灯珠数量: 高亮LED灯12颗，功率: 15W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10059.01</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84"/>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97</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抓拍摄像机</w:t>
            </w:r>
            <w:r/>
          </w:p>
        </w:tc>
        <w:tc>
          <w:tcPr>
            <w:tcBorders>
              <w:top w:val="singl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1.抓拍摄像机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2414.14</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剩余车辆显示屏</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1.液晶显示屏</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2.含基础制作安装</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3.含安装及调试</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2384.34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客户工作站</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1.客户工作站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2.含显示器2台，主机1台，CPU i7以上，8G内存</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3.含安装及调试</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10736.79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KVM控制器</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586.91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车辆控制软件</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1.提供二维码支付服务，并和以后的智慧交通系统做对接，包含所有的次开发费用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10184.31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接入交换机</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1.8口交换机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2.含安装及调试</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1036.72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宽带接入费用</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1.3年接入费用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2.含系统试运行及调试费用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3.结算时需提供增值税发票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系统</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2566.31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计日工1</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1.日常工作中不涉及材料，只涉及人工清理、拆除、搬运等工作</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2.按人工计价</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工日</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161.58</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计日工2</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1.扫雪、防汛等应急抢险涉及人工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2.按人工计价</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工日</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161.58</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轮胎式挖掘机</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1.扫雪、防汛等应急抢险中涉及的轮式挖机（含汽柴油、含驾驶员工资）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2.型号满足采购人要求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829.34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平地机</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1.扫雪、防汛等应急抢险中涉及的平地机（含汽柴油、含驾驶员工资）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2.型号满足业主要求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1652.64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装载机</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1.扫雪、防汛等应急抢险中涉及的装载机（含汽柴油、含驾驶员工资）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2.型号满足采购人要求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1877.63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83"/>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渣土车</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1.扫雪、防汛等应急抢险中涉及的渣土车（含汽柴油、含驾驶员工资）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2.型号满足采购人要求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1410.79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道路巡查</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在合同履约期内，每天上路巡查，每天巡查人员至少1人，巡查方式自行考虑，需要满足采购人对于巡查的考核要求，每次巡查需提供巡查记录和影像资料，按项计价</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126271.89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3400*1400候车亭钢化玻璃</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3400*1400mm候车亭钢化玻璃，含制作、安装、配件等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2079.20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960*1030候车亭钢化玻璃</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960*1030mm候车亭钢化玻璃，含制作、安装、配件等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831.67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201不锈钢二分类果皮箱</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二分类果皮箱，201不锈钢材质，尺寸940*400*980mm，厚度1mm，含制作、安装、配件等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617.81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果皮箱玻璃钢内胆</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果皮箱内胆，玻璃钢材质，尺寸330*340*480mm，厚度3mm，含制作、安装、配件等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21.39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一体化感应小便冲洗阀</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一体化感应小便冲洗阀，尺寸220*120*80mm，含制作、安装、配件等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2257.40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4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一体化感应蹲坑冲洗阀</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一体化感应蹲坑冲洗阀，尺寸220*120*100mm，含制作、安装、配件等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2613.84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坐便器（含配件）</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坐便器（含配件），尺寸710*395*680mm，陶瓷材质，含制作、安装、配件等</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1306.92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w:t>
            </w:r>
            <w:r/>
          </w:p>
        </w:tc>
        <w:tc>
          <w:tcPr>
            <w:tcBorders>
              <w:top w:val="non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降检查井（降低25cm以内）</w:t>
            </w:r>
            <w:r/>
          </w:p>
        </w:tc>
        <w:tc>
          <w:tcPr>
            <w:tcBorders>
              <w:top w:val="non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1.翻挖拆卸盖座，整理，洗刷接口面，拌制砂浆及混凝土，砖砌墙粉刷，安放盖座，混凝土坞膀，填实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拆除（拆除方式由投标人根据项目情况自行考虑，报价综合考虑，结算不调整）、锯缝、拆卸、重新安装、清理、装车、倒运、外运（外运距离投标人自行考虑）、弃置（消纳费、弃置费）、保洁、对周边道路及构筑物采取保护性措施等，由投标人自行考虑决定报价</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339.36</w:t>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119</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升检查井（25cm以内）</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1.翻挖拆卸盖座，整理，洗刷接口面，拌制砂浆及混凝土，砖砌墙粉刷，安放盖座，混凝土坞膀，填实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拆除（拆除方式由投标人根据项目情况自行考虑，报价综合考虑，结算不调整）、锯缝、拆卸、重新安装、清理、装车、倒运、外运（外运距离投标人自行考虑）、弃置（消纳费、弃置费）、保洁、对周边道路及构筑物采取保护性措施等，由投标人自行考虑决定报价</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408.36</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降雨水口（降低25cm以内）</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1.翻挖拆卸盖座，整理，洗刷接口面，拌制砂浆及混凝土，砖砌墙粉刷，安放盖座，混凝土坞膀，填实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拆除（拆除方式由投标人根据项目情况自行考虑，报价综合考虑，结算不调整）、锯缝、拆卸、重新安装、清理、装车、倒运、外运（外运距离投标人自行考虑）、弃置（消纳费、弃置费）、保洁、对周边道路及构筑物采取保护性措施等，由投标人自行考虑决定报价</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180.78</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121</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升雨水口（25cm以内）</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1.翻挖拆卸盖座，整理，洗刷接口面，拌制砂浆及混凝土，砖砌墙粉刷，安放盖座，混凝土坞膀，填实</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2.尺寸，规格：综合考虑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含拆除（拆除方式由投标人根据项目情况自行考虑，报价综合考虑，结算不调整）、锯缝、拆卸、重新安装、清理、装车、倒运、外运（外运距离投标人自行考虑）、弃置（消纳费、弃置费）、保洁、对周边道路及构筑物采取保护性措施等，由投标人自行考虑决定报价</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214.36</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122</w:t>
            </w:r>
            <w:r/>
          </w:p>
        </w:tc>
        <w:tc>
          <w:tcPr>
            <w:tcBorders>
              <w:top w:val="single" w:color="000000" w:sz="4" w:space="0"/>
              <w:left w:val="none" w:color="000000" w:sz="4" w:space="0"/>
              <w:bottom w:val="single" w:color="000000" w:sz="8"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自调式防沉降检查井盖更换</w:t>
            </w:r>
            <w:r/>
          </w:p>
        </w:tc>
        <w:tc>
          <w:tcPr>
            <w:tcBorders>
              <w:top w:val="single" w:color="000000" w:sz="4" w:space="0"/>
              <w:left w:val="none" w:color="000000" w:sz="4" w:space="0"/>
              <w:bottom w:val="single" w:color="000000" w:sz="8"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1.自调式防沉降五防井盖，采用 C250 型重型五防球墨铸铁井盖及防沉降盖板。材质为球墨铸铁，荷载满足D400，具体样式由甲方现场指定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2.井内安装防坠装置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原有检查井盖、井框拆除，包含拆除（拆除方式由投标人根据项目情况自行考虑，报价综合考虑，结算不调整）、锯缝、拆卸、安装、清理、装车、倒运、外运（外运距离投标人自行考虑）、弃置（消纳费、弃置费）、保洁、对周边道路及构筑物采取保护性措施等，由投标人自行考虑决定报价</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single" w:color="000000" w:sz="4" w:space="0"/>
              <w:left w:val="none" w:color="000000" w:sz="4" w:space="0"/>
              <w:bottom w:val="single" w:color="000000" w:sz="8"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p>
        </w:tc>
        <w:tc>
          <w:tcPr>
            <w:tcBorders>
              <w:top w:val="singl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2380.64</w:t>
            </w:r>
            <w:r/>
          </w:p>
        </w:tc>
        <w:tc>
          <w:tcPr>
            <w:tcBorders>
              <w:top w:val="single" w:color="000000" w:sz="4" w:space="0"/>
              <w:left w:val="none" w:color="000000" w:sz="4" w:space="0"/>
              <w:bottom w:val="single" w:color="000000" w:sz="8" w:space="0"/>
              <w:right w:val="single" w:color="000000" w:sz="4" w:space="0"/>
            </w:tcBorders>
            <w:tcW w:w="850" w:type="dxa"/>
            <w:vAlign w:val="center"/>
            <w:textDirection w:val="lrTb"/>
            <w:noWrap w:val="false"/>
          </w:tcPr>
          <w:p>
            <w:r/>
            <w:r/>
          </w:p>
        </w:tc>
      </w:tr>
      <w:tr>
        <w:trPr>
          <w:trHeight w:val="52"/>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123</w:t>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检查井井盖更换</w:t>
            </w:r>
            <w:r/>
          </w:p>
        </w:tc>
        <w:tc>
          <w:tcPr>
            <w:tcBorders>
              <w:top w:val="singl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1.直径700mm-1000mm材质：钢筋混凝土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2.结合现场实际情况综合考虑井盖（重型、轻型等）并报价</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372.53</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砌检查井</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1.检查井圆形收口，井径700，深度小于2m，井内安装防坠装置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2.整理，洗刷接口面，拌制砂浆及混凝土，砖砌墙粉刷，安放盖座，混凝土坞膀，填实等全部工作，符合规范要求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3.外运废料，清理场地，投标人自行考虑土场、运距</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2663.71</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雨水篦1</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1.材质：钢筋混凝土（单篦）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3.符合规范要求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141.62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21"/>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雨水篦2</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1.材质：钢筋混凝土（双篦）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2.规格：综合考虑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3.符合规范要求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183.05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19"/>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铸铁雨水篦</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1.铸铁雨水篦，450*750*40mm重型，抗压D400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t xml:space="preserve">符合规范要求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252.96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混凝土雨水篦更换为铸铁雨水篦</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1.铸铁雨水篦，450*750*40mm重型，抗压D400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2.井室满足图集要求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3.包括原有雨水篦拆除、外运</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4.符合规范要求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353.90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雨水连接管</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1.垫层、基础材质及厚度 碎石垫层、混泥土包封（含模板）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2.管道材质及规格混凝土，DN300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3.连接形式 胶圈接口</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4.铺设深度 满足规范要求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326.23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盲沟</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1.400*400mm碎石盲沟；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2.DN100塑料透水管，UPVC横向连接管，细石砼包封；</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3.渗水土工布、防水土工布；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4.含土方挖、填、外运、弃置、保洁等所有费用。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120.79</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混凝土管（300）</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1.雨水d300钢筋混凝土II级管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2.承插式连接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3.碎石垫层、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4.C30混凝土满包基础（另计）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5接口方式：橡胶圈接口 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6.铺设深度：按设计要求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8.管道检验及试验要求：按规范要求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240.26</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混凝土管（400）</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1.雨水d400钢筋混凝土II级管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2.承插式连接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3.碎石垫层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4.C30混凝土满包基础（另计）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5.接口方式：橡胶圈接口 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6.铺设深度：按设计要求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8.管道检验及试验要求：按规范要求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303.53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雨水口连接管C30混凝土满包</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1.管道包封，管径综合考虑，C30混凝土满包封</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2.所有材料及工艺必须满足规范要求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3.报价综合考虑完成本项工作的所有费用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m3</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650.15</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混凝土管（500）</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雨水d500钢筋混凝土II级管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1.垫层、基础材质及厚度：碎石垫层、180°C30钢筋混凝土基础，C20混凝土垫层100mm厚（含模板）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2.规格：d500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3.接口方式：橡胶圈接口 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4.铺设深度：以现场为准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6.管道检验及试验要求：按规范要求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684.60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混凝土管（600）</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雨水d600钢筋混凝土II级管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1.垫层、基础材质及厚度：碎石垫层、180°C30钢筋混凝土基础，C20混凝土垫层100mm厚（含模板）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2.规格：d600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3.接口方式：橡胶圈接口 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4.铺设深度：以现场为准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6.管道检验及试验要求：按规范要求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830.14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136</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混凝土管（800）</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雨水d800钢筋混凝土II级管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1.垫层、基础材质及厚度：碎石垫层、180°C30钢筋混凝土基础，C20混凝土垫层100mm厚（含模板）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2.规格：d800mm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3.接口方式：橡胶圈接口 涂851防水涂料 外包土工布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4.铺设深度：以现场为准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5.Ⅱ级钢筋混凝土承插管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6.管道检验及试验要求：按规范要求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1354.64</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137</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砌筑井1</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雨水检查井（圆形井）（D=600）混凝土模块井 （规格1100mm）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1.做法:12S522-21</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2.井盖井座采用球墨铸铁可调式防沉降井盖，承载能力为D400级 直径700mm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3.所有材料及工艺按照规范要求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4.报价综合考虑完成本项工作的所有费用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8204.07</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砌筑井2</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雨水检查井（圆形井）（D=800mm）混凝土模块井 （规格1300mm）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1.做法:12S522-21</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2.井盖井座采用球墨铸铁可调式防沉降井盖，承载能力为D400级直径700mm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3.所有材料及工艺按规范要求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4.报价综合考虑完成本项工作的所有费用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9636.33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139</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砌筑井3</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水检查井（矩形三通井）（D=1000）混凝土模块井 （规格1800*1800mm）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1.做法:12S522-49</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2.井盖井座采用球墨铸铁可调式防沉降井盖，承载能力为D400级 直径700mm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3.所有材料及工艺满足规范要求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4.报价综合考虑完成本项工作的所有费用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17724.03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偏沟式双箅雨水口</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1.偏沟式双箅雨水口、砖砌雨水口承载力D400级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2.具体详见图集16S518-10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3..含球墨铸铁篦盖、座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1256.50</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更换排水检查井盖井座</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1.拆除原有破损井盖，更换排水检查井盖井座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2.球墨铸铁防沉降井盖（含座）、承载力D400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3.报价综合考虑完成本项工作所需的所有费用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908.33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142</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更换排水检查井盖井座</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1.拆除原有破损井盖，更换排水检查井盖井座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2.更换钢纤维混凝土井盖（含座）、承载力c250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3.报价综合考虑完成本项工作所需的所有费用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372.53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143</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隐形井盖</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1.3*50*50cm方钢支柱@150mm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2.6mm厚Q235钢板，Φ10mm钢筋加强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3.10*30mm起吊口</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4.尺寸根据现场井盖尺寸调整，需完全覆盖检查井</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5.上层铺装及破损井盖更换另计入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5.满足相关规范要求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492.42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1008"/>
        </w:trPr>
        <w:tc>
          <w:tcPr>
            <w:tcBorders>
              <w:top w:val="single" w:color="000000" w:sz="4" w:space="0"/>
              <w:left w:val="single" w:color="000000" w:sz="8" w:space="0"/>
              <w:bottom w:val="single" w:color="000000" w:sz="8" w:space="0"/>
              <w:right w:val="single" w:color="000000" w:sz="4" w:space="0"/>
            </w:tcBorders>
            <w:tcW w:w="5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144</w:t>
            </w:r>
            <w:r/>
          </w:p>
        </w:tc>
        <w:tc>
          <w:tcPr>
            <w:tcBorders>
              <w:top w:val="none" w:color="000000" w:sz="4" w:space="0"/>
              <w:left w:val="none" w:color="000000" w:sz="4" w:space="0"/>
              <w:bottom w:val="single" w:color="000000" w:sz="4" w:space="0"/>
              <w:right w:val="single" w:color="000000" w:sz="4" w:space="0"/>
            </w:tcBorders>
            <w:tcW w:w="1716"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安全防坠网</w:t>
            </w:r>
            <w:r/>
          </w:p>
        </w:tc>
        <w:tc>
          <w:tcPr>
            <w:tcBorders>
              <w:top w:val="none" w:color="000000" w:sz="4" w:space="0"/>
              <w:left w:val="none" w:color="000000" w:sz="4" w:space="0"/>
              <w:bottom w:val="single" w:color="000000" w:sz="4" w:space="0"/>
              <w:right w:val="single" w:color="000000" w:sz="4" w:space="0"/>
            </w:tcBorders>
            <w:tcW w:w="387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1.成品安全防坠网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2.承载力≥150kg</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3.满足设相关规范要求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4.报价综合考虑完成本项工作所须的所有费用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171.03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r/>
            <w:r/>
          </w:p>
        </w:tc>
      </w:tr>
      <w:tr>
        <w:trPr>
          <w:trHeight w:val="0"/>
        </w:trPr>
        <w:tc>
          <w:tcPr>
            <w:gridSpan w:val="7"/>
            <w:tcBorders>
              <w:top w:val="single" w:color="000000" w:sz="4" w:space="0"/>
              <w:left w:val="single" w:color="000000" w:sz="4" w:space="0"/>
              <w:bottom w:val="single" w:color="000000" w:sz="4" w:space="0"/>
              <w:right w:val="single" w:color="000000" w:sz="4" w:space="0"/>
            </w:tcBorders>
            <w:tcW w:w="1007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包2最高限价11858721.19元</w:t>
            </w:r>
            <w:r/>
          </w:p>
          <w:p>
            <w:pPr>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r>
    </w:tbl>
    <w:p>
      <w:pPr>
        <w:rPr>
          <w:rFonts w:hint="eastAsia"/>
          <w:color w:val="000000"/>
          <w:highlight w:val="none"/>
        </w:rPr>
      </w:pPr>
      <w:r>
        <w:rPr>
          <w:rFonts w:hint="eastAsia"/>
          <w:color w:val="000000"/>
          <w:highlight w:val="none"/>
        </w:rPr>
      </w:r>
      <w:r/>
    </w:p>
    <w:p>
      <w:pPr>
        <w:ind w:firstLine="480"/>
        <w:spacing w:line="288"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p>
    <w:p>
      <w:pPr>
        <w:ind w:firstLine="48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p>
    <w:p>
      <w:pPr>
        <w:ind w:firstLine="480"/>
        <w:spacing w:line="288"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p>
    <w:p>
      <w:pPr>
        <w:ind w:firstLine="480"/>
        <w:spacing w:line="288"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p>
    <w:p>
      <w:pPr>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确保维护范围内市政道路与市政设施功能完好，通过采购人考核和验收。</w:t>
      </w:r>
      <w:r/>
    </w:p>
    <w:p>
      <w:pPr>
        <w:ind w:firstLine="480"/>
        <w:spacing w:line="288" w:lineRule="auto"/>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质量要求</w:t>
      </w:r>
      <w:r/>
    </w:p>
    <w:p>
      <w:pPr>
        <w:ind w:firstLine="480"/>
        <w:spacing w:line="288"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中标供应商的所有维护质量必须满足国家规范、合同和清单要求。</w:t>
      </w:r>
      <w:r/>
    </w:p>
    <w:p>
      <w:pPr>
        <w:ind w:firstLine="480"/>
        <w:spacing w:line="288"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验收要求</w:t>
      </w:r>
      <w:r/>
    </w:p>
    <w:p>
      <w:pPr>
        <w:ind w:firstLine="480"/>
        <w:spacing w:line="288"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完成履约期内维护工作，维护质量达到规范、合同和清单要求。</w:t>
      </w:r>
      <w:r/>
    </w:p>
    <w:p>
      <w:pPr>
        <w:ind w:firstLine="480"/>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（4）维护期要求</w:t>
      </w:r>
      <w:r/>
    </w:p>
    <w:p>
      <w:pPr>
        <w:ind w:firstLine="480"/>
        <w:spacing w:line="288"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合同签订后两年内履行质量保修义务。</w:t>
      </w:r>
      <w:r/>
    </w:p>
    <w:p>
      <w:pPr>
        <w:ind w:firstLine="480"/>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color w:val="000000"/>
          <w:sz w:val="24"/>
          <w:szCs w:val="24"/>
          <w:highlight w:val="none"/>
        </w:rPr>
        <w:t xml:space="preserve">人员要求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①项目经理1人，保证项目顺利实施，并不受节假日的影响。须驻场服务，不得兼任其他岗位。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②技术负责人1人，为项目提供技术支持和指导、制定合理的养护计划和技术方案。不得兼任且须常驻现场，具有至少5年（含）以上市政道路养护工作经验。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实施人员：不少于5人，负责具体项目的施工管理、对工程质量进行监督和检查、负责施工现场的安全管理工作、负责项目所需材料的保管及发放等工作、负责整理归档各类技术文件资料。具有市政道路养护工作经验，须提供驻场服务。 </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④维护</w:t>
      </w:r>
      <w:r>
        <w:rPr>
          <w:rFonts w:ascii="SimSun" w:hAnsi="SimSun" w:eastAsia="SimSun" w:cs="SimSun"/>
          <w:color w:val="000000"/>
          <w:sz w:val="24"/>
        </w:rPr>
        <w:t xml:space="preserve">团队</w:t>
      </w:r>
      <w:r>
        <w:rPr>
          <w:rFonts w:ascii="SimSun" w:hAnsi="SimSun" w:eastAsia="SimSun" w:cs="SimSun"/>
          <w:color w:val="000000"/>
          <w:sz w:val="24"/>
        </w:rPr>
        <w:t xml:space="preserve">：</w:t>
      </w:r>
      <w:r>
        <w:rPr>
          <w:rFonts w:ascii="SimSun" w:hAnsi="SimSun" w:eastAsia="SimSun" w:cs="SimSun"/>
          <w:color w:val="000000"/>
          <w:sz w:val="24"/>
        </w:rPr>
        <w:t xml:space="preserve">中标供应商</w:t>
      </w:r>
      <w:r>
        <w:rPr>
          <w:rFonts w:ascii="SimSun" w:hAnsi="SimSun" w:eastAsia="SimSun" w:cs="SimSun"/>
          <w:color w:val="000000"/>
          <w:sz w:val="24"/>
        </w:rPr>
        <w:t xml:space="preserve">成立</w:t>
      </w:r>
      <w:r>
        <w:rPr>
          <w:rFonts w:ascii="SimSun" w:hAnsi="SimSun" w:eastAsia="SimSun" w:cs="SimSun"/>
          <w:color w:val="000000"/>
          <w:sz w:val="24"/>
        </w:rPr>
        <w:t xml:space="preserve">维护团队</w:t>
      </w:r>
      <w:r>
        <w:rPr>
          <w:rFonts w:ascii="SimSun" w:hAnsi="SimSun" w:eastAsia="SimSun" w:cs="SimSun"/>
          <w:color w:val="000000"/>
          <w:sz w:val="24"/>
        </w:rPr>
        <w:t xml:space="preserve">，</w:t>
      </w:r>
      <w:r>
        <w:rPr>
          <w:rFonts w:ascii="SimSun" w:hAnsi="SimSun" w:eastAsia="SimSun" w:cs="SimSun"/>
          <w:color w:val="000000"/>
          <w:sz w:val="24"/>
        </w:rPr>
        <w:t xml:space="preserve">负责</w:t>
      </w:r>
      <w:r>
        <w:rPr>
          <w:rFonts w:ascii="SimSun" w:hAnsi="SimSun" w:eastAsia="SimSun" w:cs="SimSun"/>
          <w:color w:val="000000"/>
          <w:sz w:val="24"/>
        </w:rPr>
        <w:t xml:space="preserve">具体</w:t>
      </w:r>
      <w:r>
        <w:rPr>
          <w:rFonts w:ascii="SimSun" w:hAnsi="SimSun" w:eastAsia="SimSun" w:cs="SimSun"/>
          <w:color w:val="000000"/>
          <w:sz w:val="24"/>
        </w:rPr>
        <w:t xml:space="preserve">项目</w:t>
      </w:r>
      <w:r>
        <w:rPr>
          <w:rFonts w:ascii="SimSun" w:hAnsi="SimSun" w:eastAsia="SimSun" w:cs="SimSun"/>
          <w:color w:val="000000"/>
          <w:sz w:val="24"/>
        </w:rPr>
        <w:t xml:space="preserve">的</w:t>
      </w:r>
      <w:r>
        <w:rPr>
          <w:rFonts w:ascii="SimSun" w:hAnsi="SimSun" w:eastAsia="SimSun" w:cs="SimSun"/>
          <w:color w:val="000000"/>
          <w:sz w:val="24"/>
        </w:rPr>
        <w:t xml:space="preserve">维护</w:t>
      </w:r>
      <w:r>
        <w:rPr>
          <w:rFonts w:ascii="SimSun" w:hAnsi="SimSun" w:eastAsia="SimSun" w:cs="SimSun"/>
          <w:color w:val="000000"/>
          <w:sz w:val="24"/>
        </w:rPr>
        <w:t xml:space="preserve">工作</w:t>
      </w:r>
      <w:r>
        <w:rPr>
          <w:rFonts w:ascii="SimSun" w:hAnsi="SimSun" w:eastAsia="SimSun" w:cs="SimSun"/>
          <w:color w:val="000000"/>
          <w:sz w:val="24"/>
        </w:rPr>
        <w:t xml:space="preserve">。</w:t>
      </w:r>
      <w:r>
        <w:rPr>
          <w:rFonts w:ascii="SimSun" w:hAnsi="SimSun" w:eastAsia="SimSun" w:cs="SimSun"/>
          <w:color w:val="000000"/>
          <w:sz w:val="24"/>
        </w:rPr>
        <w:t xml:space="preserve">接到采购人通知后，特殊情况1小时内、一般情况2小时内到达现场，按要求消除安全隐患，完成相应问题排查和维修工作。具有市政道路养护工作经验，须提供驻场服务。 </w:t>
      </w:r>
      <w:r/>
    </w:p>
    <w:p>
      <w:pPr>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项目组所有人员必须为中标供应商正式工作人员，不得兼任其他项目工作，未经采购人同意，人员不得更换。</w:t>
      </w:r>
      <w:r/>
    </w:p>
    <w:p>
      <w:pPr>
        <w:ind w:firstLine="480"/>
        <w:spacing w:line="288"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p>
    <w:p>
      <w:pPr>
        <w:ind w:firstLine="480"/>
        <w:spacing w:line="288"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spacing w:line="288"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p>
    <w:p>
      <w:pPr>
        <w:ind w:firstLine="480"/>
        <w:spacing w:line="288" w:lineRule="auto"/>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服务</w:t>
      </w:r>
      <w:r>
        <w:rPr>
          <w:rFonts w:ascii="宋体" w:hAnsi="宋体" w:cs="宋体"/>
          <w:color w:val="000000"/>
          <w:sz w:val="24"/>
          <w:szCs w:val="24"/>
          <w:highlight w:val="none"/>
        </w:rPr>
        <w:t xml:space="preserve">时间：合同签订后</w:t>
      </w:r>
      <w:r>
        <w:rPr>
          <w:rFonts w:hint="eastAsia" w:ascii="宋体" w:hAnsi="宋体"/>
          <w:color w:val="000000"/>
          <w:sz w:val="24"/>
          <w:szCs w:val="24"/>
          <w:highlight w:val="none"/>
        </w:rPr>
        <w:t xml:space="preserve">两年</w:t>
      </w:r>
      <w:r>
        <w:rPr>
          <w:rFonts w:ascii="宋体" w:hAnsi="宋体" w:cs="宋体"/>
          <w:color w:val="000000"/>
          <w:sz w:val="24"/>
          <w:szCs w:val="24"/>
          <w:highlight w:val="none"/>
        </w:rPr>
        <w:t xml:space="preserve">。</w:t>
      </w:r>
      <w:r/>
    </w:p>
    <w:p>
      <w:pPr>
        <w:ind w:firstLine="480"/>
        <w:spacing w:line="288"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t xml:space="preserve">地点：采购人指定地点</w:t>
      </w:r>
      <w:r>
        <w:rPr>
          <w:rFonts w:hint="eastAsia" w:ascii="宋体" w:hAnsi="宋体" w:cs="宋体"/>
          <w:bCs/>
          <w:color w:val="000000"/>
          <w:sz w:val="24"/>
          <w:szCs w:val="24"/>
          <w:highlight w:val="none"/>
        </w:rPr>
        <w:t xml:space="preserve">。</w:t>
      </w:r>
      <w:r/>
    </w:p>
    <w:p>
      <w:pPr>
        <w:pStyle w:val="987"/>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1"/>
        <w:rPr>
          <w:rFonts w:hint="eastAsia"/>
          <w:color w:val="000000"/>
          <w:highlight w:val="none"/>
        </w:rPr>
      </w:pPr>
      <w:r>
        <w:rPr>
          <w:rFonts w:hint="eastAsia"/>
          <w:color w:val="000000"/>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bookmarkStart w:id="194" w:name="_Toc120614281"/>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spacing w:line="288"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p>
    <w:p>
      <w:pPr>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个分包采用综合评分法，评标结果按评审后得分由高到低顺序排列。得分相同的，按投标报价由低到高顺序排列。每个分包得分且投标报价相同的，按“三、评标标准中2.1、4.1、2.2-2.6、3.1项”得分由高到低顺序排列。每个分包在投标文件满足招标文件全部实质性要求的供应商中，按照评审得分由高到低选取</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p>
    <w:p>
      <w:pPr>
        <w:ind w:firstLine="480"/>
        <w:spacing w:line="288" w:lineRule="auto"/>
        <w:rPr>
          <w:rFonts w:hint="eastAsia"/>
          <w:color w:val="000000"/>
          <w:highlight w:val="none"/>
        </w:rPr>
      </w:pPr>
      <w:r>
        <w:rPr>
          <w:rFonts w:hint="eastAsia" w:ascii="宋体" w:hAnsi="宋体" w:cs="宋体"/>
          <w:color w:val="000000"/>
          <w:sz w:val="24"/>
          <w:szCs w:val="24"/>
          <w:highlight w:val="none"/>
        </w:rPr>
        <w:t xml:space="preserve">关于分包投标、评标说明：苏采云系统中该项目分为分包1和分包2，投标人可以兼投但不允许兼中。（备注：若投标人在包一中被推荐为中标单位的，不得再被推选为包二的中标单位；若后续采购包中有效投标人不满三家的，则该采购包作废/流标处理）。</w:t>
      </w:r>
      <w:r/>
    </w:p>
    <w:p>
      <w:pPr>
        <w:ind w:firstLine="480"/>
        <w:spacing w:line="288"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p>
    <w:p>
      <w:pPr>
        <w:ind w:firstLine="480"/>
        <w:spacing w:line="288"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分包1、分包2均对报价给予</w:t>
      </w:r>
      <w:r>
        <w:rPr>
          <w:rFonts w:hint="eastAsia" w:ascii="宋体" w:hAnsi="宋体"/>
          <w:color w:val="000000"/>
          <w:sz w:val="24"/>
          <w:szCs w:val="24"/>
          <w:highlight w:val="none"/>
          <w:lang w:val="zh-CN"/>
        </w:rPr>
        <w:t xml:space="preserve">10%</w:t>
      </w:r>
      <w:r>
        <w:rPr>
          <w:rFonts w:hint="eastAsia" w:ascii="宋体" w:hAnsi="宋体" w:cs="宋体"/>
          <w:color w:val="000000"/>
          <w:sz w:val="24"/>
          <w:szCs w:val="24"/>
          <w:highlight w:val="none"/>
        </w:rPr>
        <w:t xml:space="preserve">的扣除，用扣除后的价格参与评审。</w:t>
      </w:r>
      <w:r/>
    </w:p>
    <w:p>
      <w:pPr>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p>
    <w:p>
      <w:pPr>
        <w:pStyle w:val="909"/>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三、分包1、分包2评分标准</w:t>
      </w:r>
      <w:r/>
    </w:p>
    <w:tbl>
      <w:tblPr>
        <w:tblStyle w:val="713"/>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vAlign w:val="top"/>
            <w:textDirection w:val="lrTb"/>
            <w:noWrap w:val="false"/>
          </w:tcPr>
          <w:p>
            <w:pPr>
              <w:jc w:val="center"/>
              <w:spacing w:before="264" w:line="288" w:lineRule="auto"/>
              <w:rPr>
                <w:rFonts w:ascii="宋体" w:hAnsi="宋体" w:cs="宋体"/>
                <w:b/>
                <w:bCs/>
                <w:color w:val="000000"/>
                <w:spacing w:val="-2"/>
                <w:highlight w:val="none"/>
              </w:rPr>
            </w:pPr>
            <w:r>
              <w:rPr>
                <w:rFonts w:ascii="宋体" w:hAnsi="宋体" w:cs="宋体"/>
                <w:b/>
                <w:bCs/>
                <w:color w:val="000000"/>
                <w:spacing w:val="-2"/>
                <w:highlight w:val="none"/>
              </w:rPr>
              <w:t xml:space="preserve">序号</w:t>
            </w:r>
            <w:r/>
          </w:p>
        </w:tc>
        <w:tc>
          <w:tcPr>
            <w:tcW w:w="1179" w:type="dxa"/>
            <w:vAlign w:val="top"/>
            <w:textDirection w:val="lrTb"/>
            <w:noWrap w:val="false"/>
          </w:tcPr>
          <w:p>
            <w:pPr>
              <w:jc w:val="center"/>
              <w:spacing w:before="264" w:line="288" w:lineRule="auto"/>
              <w:rPr>
                <w:rFonts w:ascii="宋体" w:hAnsi="宋体" w:cs="宋体"/>
                <w:b/>
                <w:bCs/>
                <w:color w:val="000000"/>
                <w:spacing w:val="-2"/>
                <w:highlight w:val="none"/>
              </w:rPr>
            </w:pPr>
            <w:r>
              <w:rPr>
                <w:rFonts w:ascii="宋体" w:hAnsi="宋体" w:cs="宋体"/>
                <w:b/>
                <w:bCs/>
                <w:color w:val="000000"/>
                <w:spacing w:val="-2"/>
                <w:highlight w:val="none"/>
              </w:rPr>
              <w:t xml:space="preserve">评审因素</w:t>
            </w:r>
            <w:r/>
          </w:p>
        </w:tc>
        <w:tc>
          <w:tcPr>
            <w:tcW w:w="6616" w:type="dxa"/>
            <w:vAlign w:val="top"/>
            <w:textDirection w:val="lrTb"/>
            <w:noWrap w:val="false"/>
          </w:tcPr>
          <w:p>
            <w:pPr>
              <w:jc w:val="center"/>
              <w:spacing w:before="264" w:line="288" w:lineRule="auto"/>
              <w:rPr>
                <w:rFonts w:ascii="宋体" w:hAnsi="宋体" w:cs="宋体"/>
                <w:b/>
                <w:bCs/>
                <w:color w:val="000000"/>
                <w:spacing w:val="-2"/>
                <w:highlight w:val="none"/>
              </w:rPr>
            </w:pPr>
            <w:r>
              <w:rPr>
                <w:rFonts w:ascii="宋体" w:hAnsi="宋体" w:cs="宋体"/>
                <w:b/>
                <w:bCs/>
                <w:color w:val="000000"/>
                <w:spacing w:val="-2"/>
                <w:highlight w:val="none"/>
              </w:rPr>
              <w:t xml:space="preserve">评审细则</w:t>
            </w:r>
            <w:r/>
          </w:p>
        </w:tc>
        <w:tc>
          <w:tcPr>
            <w:tcW w:w="573" w:type="dxa"/>
            <w:vAlign w:val="top"/>
            <w:textDirection w:val="lrTb"/>
            <w:noWrap w:val="false"/>
          </w:tcPr>
          <w:p>
            <w:pPr>
              <w:jc w:val="center"/>
              <w:spacing w:before="264" w:line="288" w:lineRule="auto"/>
              <w:rPr>
                <w:rFonts w:ascii="宋体" w:hAnsi="宋体" w:cs="宋体"/>
                <w:b/>
                <w:bCs/>
                <w:color w:val="000000"/>
                <w:spacing w:val="-2"/>
                <w:highlight w:val="none"/>
              </w:rPr>
            </w:pPr>
            <w:r>
              <w:rPr>
                <w:rFonts w:ascii="宋体" w:hAnsi="宋体" w:cs="宋体"/>
                <w:b/>
                <w:bCs/>
                <w:color w:val="000000"/>
                <w:spacing w:val="-2"/>
                <w:highlight w:val="none"/>
              </w:rPr>
              <w:t xml:space="preserve">分值</w:t>
            </w:r>
            <w:r/>
          </w:p>
        </w:tc>
        <w:tc>
          <w:tcPr>
            <w:tcW w:w="860" w:type="dxa"/>
            <w:vAlign w:val="top"/>
            <w:textDirection w:val="lrTb"/>
            <w:noWrap w:val="false"/>
          </w:tcPr>
          <w:p>
            <w:pPr>
              <w:jc w:val="center"/>
              <w:spacing w:before="264" w:line="288" w:lineRule="auto"/>
              <w:rPr>
                <w:rFonts w:ascii="宋体" w:hAnsi="宋体" w:cs="宋体"/>
                <w:b/>
                <w:bCs/>
                <w:color w:val="000000"/>
                <w:spacing w:val="-2"/>
                <w:highlight w:val="none"/>
              </w:rPr>
            </w:pPr>
            <w:r>
              <w:rPr>
                <w:rFonts w:ascii="宋体" w:hAnsi="宋体" w:cs="宋体"/>
                <w:b/>
                <w:bCs/>
                <w:color w:val="000000"/>
                <w:spacing w:val="-2"/>
                <w:highlight w:val="none"/>
              </w:rPr>
              <w:t xml:space="preserve">类型</w:t>
            </w:r>
            <w:r/>
          </w:p>
        </w:tc>
      </w:tr>
      <w:tr>
        <w:trPr>
          <w:jc w:val="center"/>
          <w:trHeight w:val="460"/>
        </w:trPr>
        <w:tc>
          <w:tcPr>
            <w:gridSpan w:val="5"/>
            <w:tcW w:w="9747" w:type="dxa"/>
            <w:vAlign w:val="top"/>
            <w:textDirection w:val="lrTb"/>
            <w:noWrap w:val="false"/>
          </w:tcPr>
          <w:p>
            <w:pPr>
              <w:ind w:left="114"/>
              <w:spacing w:before="122" w:line="288"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p>
        </w:tc>
      </w:tr>
      <w:tr>
        <w:trPr>
          <w:jc w:val="center"/>
          <w:trHeight w:val="1030"/>
        </w:trPr>
        <w:tc>
          <w:tcPr>
            <w:tcW w:w="519" w:type="dxa"/>
            <w:vAlign w:val="center"/>
            <w:textDirection w:val="lrTb"/>
            <w:noWrap w:val="false"/>
          </w:tcPr>
          <w:p>
            <w:pPr>
              <w:jc w:val="center"/>
              <w:spacing w:before="68" w:line="288"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p>
        </w:tc>
        <w:tc>
          <w:tcPr>
            <w:tcW w:w="1179" w:type="dxa"/>
            <w:vAlign w:val="center"/>
            <w:textDirection w:val="lrTb"/>
            <w:noWrap w:val="false"/>
          </w:tcPr>
          <w:p>
            <w:pPr>
              <w:jc w:val="center"/>
              <w:spacing w:before="68" w:line="288" w:lineRule="auto"/>
              <w:rPr>
                <w:rFonts w:ascii="宋体" w:hAnsi="宋体" w:cs="宋体"/>
                <w:color w:val="000000"/>
                <w:highlight w:val="none"/>
              </w:rPr>
            </w:pPr>
            <w:r>
              <w:rPr>
                <w:rFonts w:ascii="宋体" w:hAnsi="宋体" w:cs="宋体"/>
                <w:color w:val="000000"/>
                <w:spacing w:val="-2"/>
                <w:highlight w:val="none"/>
              </w:rPr>
              <w:t xml:space="preserve">价格分</w:t>
            </w:r>
            <w:r/>
          </w:p>
        </w:tc>
        <w:tc>
          <w:tcPr>
            <w:tcW w:w="6616" w:type="dxa"/>
            <w:vAlign w:val="center"/>
            <w:textDirection w:val="lrTb"/>
            <w:noWrap w:val="false"/>
          </w:tcPr>
          <w:p>
            <w:pPr>
              <w:jc w:val="left"/>
              <w:spacing w:line="288" w:lineRule="auto"/>
              <w:rPr>
                <w:rFonts w:ascii="宋体" w:hAnsi="宋体" w:cs="宋体"/>
                <w:color w:val="000000"/>
                <w:highlight w:val="none"/>
              </w:rPr>
            </w:pPr>
            <w:r>
              <w:rPr>
                <w:rFonts w:ascii="宋体" w:hAnsi="宋体" w:cs="宋体"/>
                <w:color w:val="000000"/>
                <w:spacing w:val="1"/>
                <w:highlight w:val="none"/>
              </w:rPr>
              <w:t xml:space="preserve">采用低价优先</w:t>
            </w:r>
            <w:r>
              <w:rPr>
                <w:rFonts w:ascii="宋体" w:hAnsi="宋体" w:cs="宋体"/>
                <w:color w:val="000000"/>
                <w:highlight w:val="none"/>
              </w:rPr>
              <w:t xml:space="preserve">法计算，即满足招标文件要求且投标价格最低的投标</w:t>
            </w:r>
            <w:r>
              <w:rPr>
                <w:rFonts w:ascii="宋体" w:hAnsi="宋体" w:cs="宋体"/>
                <w:color w:val="000000"/>
                <w:spacing w:val="1"/>
                <w:highlight w:val="none"/>
              </w:rPr>
              <w:t xml:space="preserve">报价为评标基准</w:t>
            </w:r>
            <w:r>
              <w:rPr>
                <w:rFonts w:ascii="宋体" w:hAnsi="宋体" w:cs="宋体"/>
                <w:color w:val="000000"/>
                <w:highlight w:val="none"/>
              </w:rPr>
              <w:t xml:space="preserve">价，其价格分为满分。其他投标人的价格分统一按</w:t>
            </w:r>
            <w:r>
              <w:rPr>
                <w:rFonts w:ascii="宋体" w:hAnsi="宋体" w:cs="宋体"/>
                <w:color w:val="000000"/>
                <w:spacing w:val="-1"/>
                <w:highlight w:val="none"/>
              </w:rPr>
              <w:t xml:space="preserve">照下列公</w:t>
            </w:r>
            <w:r>
              <w:rPr>
                <w:rFonts w:ascii="宋体" w:hAnsi="宋体" w:cs="宋体"/>
                <w:color w:val="000000"/>
                <w:highlight w:val="none"/>
              </w:rPr>
              <w:t xml:space="preserve">式计算：投标报价得分=(评标基准价/投标报价)×</w:t>
            </w:r>
            <w:r>
              <w:rPr>
                <w:rFonts w:hint="eastAsia" w:ascii="宋体" w:hAnsi="宋体" w:cs="宋体"/>
                <w:color w:val="000000"/>
                <w:highlight w:val="none"/>
              </w:rPr>
              <w:t xml:space="preserve">价格分值（小数点保留两位）</w:t>
            </w:r>
            <w:r/>
          </w:p>
        </w:tc>
        <w:tc>
          <w:tcPr>
            <w:tcW w:w="573" w:type="dxa"/>
            <w:vAlign w:val="center"/>
            <w:textDirection w:val="lrTb"/>
            <w:noWrap w:val="false"/>
          </w:tcPr>
          <w:p>
            <w:pPr>
              <w:jc w:val="center"/>
              <w:spacing w:before="68" w:line="288" w:lineRule="auto"/>
              <w:rPr>
                <w:rFonts w:hint="eastAsia" w:ascii="宋体" w:hAnsi="宋体" w:eastAsia="宋体" w:cs="宋体"/>
                <w:color w:val="000000"/>
                <w:spacing w:val="-4"/>
                <w:highlight w:val="none"/>
                <w:lang w:eastAsia="zh-CN"/>
              </w:rPr>
            </w:pPr>
            <w:r>
              <w:rPr>
                <w:rFonts w:hint="eastAsia" w:ascii="宋体" w:hAnsi="宋体" w:cs="宋体"/>
                <w:color w:val="000000"/>
                <w:spacing w:val="-4"/>
                <w:highlight w:val="none"/>
              </w:rPr>
              <w:t xml:space="preserve">17</w:t>
            </w:r>
            <w:r/>
          </w:p>
        </w:tc>
        <w:tc>
          <w:tcPr>
            <w:tcW w:w="860" w:type="dxa"/>
            <w:vAlign w:val="center"/>
            <w:textDirection w:val="lrTb"/>
            <w:noWrap w:val="false"/>
          </w:tcPr>
          <w:p>
            <w:pPr>
              <w:jc w:val="center"/>
              <w:spacing w:before="68" w:line="288" w:lineRule="auto"/>
              <w:rPr>
                <w:rFonts w:hint="eastAsia" w:ascii="宋体" w:hAnsi="宋体" w:cs="宋体"/>
                <w:color w:val="000000"/>
                <w:spacing w:val="-4"/>
                <w:highlight w:val="none"/>
              </w:rPr>
            </w:pPr>
            <w:r>
              <w:rPr>
                <w:rFonts w:hint="eastAsia" w:ascii="宋体" w:hAnsi="宋体" w:cs="宋体"/>
                <w:color w:val="000000"/>
                <w:spacing w:val="-4"/>
                <w:highlight w:val="none"/>
              </w:rPr>
              <w:t xml:space="preserve">价格分</w:t>
            </w:r>
            <w:r/>
          </w:p>
        </w:tc>
      </w:tr>
      <w:tr>
        <w:trPr>
          <w:jc w:val="center"/>
          <w:trHeight w:val="460"/>
        </w:trPr>
        <w:tc>
          <w:tcPr>
            <w:gridSpan w:val="5"/>
            <w:tcW w:w="9747" w:type="dxa"/>
            <w:vAlign w:val="top"/>
            <w:textDirection w:val="lrTb"/>
            <w:noWrap w:val="false"/>
          </w:tcPr>
          <w:p>
            <w:pPr>
              <w:ind w:left="114"/>
              <w:spacing w:before="123" w:line="288" w:lineRule="auto"/>
              <w:rPr>
                <w:rFonts w:ascii="宋体" w:hAnsi="宋体" w:cs="宋体"/>
                <w:color w:val="000000"/>
                <w:highlight w:val="none"/>
              </w:rPr>
            </w:pPr>
            <w:r>
              <w:rPr>
                <w:rFonts w:hint="eastAsia" w:ascii="宋体" w:hAnsi="宋体" w:cs="宋体"/>
                <w:b/>
                <w:bCs/>
                <w:color w:val="000000"/>
                <w:spacing w:val="-3"/>
                <w:highlight w:val="none"/>
              </w:rPr>
              <w:t xml:space="preserve">2服务</w:t>
            </w:r>
            <w:r/>
          </w:p>
        </w:tc>
      </w:tr>
      <w:tr>
        <w:trPr>
          <w:jc w:val="center"/>
          <w:trHeight w:val="891"/>
        </w:trPr>
        <w:tc>
          <w:tcPr>
            <w:tcW w:w="519" w:type="dxa"/>
            <w:vAlign w:val="center"/>
            <w:textDirection w:val="lrTb"/>
            <w:noWrap w:val="false"/>
          </w:tcPr>
          <w:p>
            <w:pPr>
              <w:jc w:val="center"/>
              <w:spacing w:before="68" w:line="288" w:lineRule="auto"/>
              <w:rPr>
                <w:rFonts w:ascii="宋体" w:hAnsi="宋体" w:cs="宋体"/>
                <w:color w:val="000000"/>
                <w:spacing w:val="-2"/>
                <w:highlight w:val="none"/>
              </w:rPr>
            </w:pPr>
            <w:r>
              <w:rPr>
                <w:rFonts w:ascii="宋体" w:hAnsi="宋体" w:cs="宋体"/>
                <w:color w:val="000000"/>
                <w:spacing w:val="-2"/>
                <w:highlight w:val="none"/>
              </w:rPr>
              <w:t xml:space="preserve">2.1</w:t>
            </w:r>
            <w:r/>
          </w:p>
        </w:tc>
        <w:tc>
          <w:tcPr>
            <w:tcW w:w="1179" w:type="dxa"/>
            <w:vAlign w:val="center"/>
            <w:textDirection w:val="lrTb"/>
            <w:noWrap w:val="false"/>
          </w:tcPr>
          <w:p>
            <w:pPr>
              <w:ind w:right="108"/>
              <w:jc w:val="center"/>
              <w:spacing w:before="68" w:line="288" w:lineRule="auto"/>
              <w:rPr>
                <w:rFonts w:ascii="宋体" w:hAnsi="宋体" w:cs="宋体"/>
                <w:color w:val="000000"/>
                <w:spacing w:val="-2"/>
                <w:highlight w:val="none"/>
              </w:rPr>
            </w:pPr>
            <w:r>
              <w:rPr>
                <w:rFonts w:hint="eastAsia" w:ascii="宋体" w:hAnsi="宋体" w:cs="宋体"/>
                <w:color w:val="000000"/>
                <w:spacing w:val="-2"/>
                <w:highlight w:val="none"/>
              </w:rPr>
              <w:t xml:space="preserve">维护服务方案</w:t>
            </w:r>
            <w:r/>
          </w:p>
        </w:tc>
        <w:tc>
          <w:tcPr>
            <w:tcW w:w="6616" w:type="dxa"/>
            <w:vAlign w:val="center"/>
            <w:textDirection w:val="lrTb"/>
            <w:noWrap w:val="false"/>
          </w:tcPr>
          <w:p>
            <w:pPr>
              <w:spacing w:line="288" w:lineRule="auto"/>
              <w:rPr>
                <w:color w:val="000000"/>
                <w:highlight w:val="none"/>
              </w:rPr>
            </w:pPr>
            <w:r>
              <w:rPr>
                <w:rFonts w:hint="eastAsia"/>
                <w:color w:val="000000"/>
                <w:highlight w:val="none"/>
              </w:rPr>
              <w:t xml:space="preserve">评委根据供应商提供的维护服务方案（包含但不限于：土方、道路、排水、弱电管道及安装的相关内容）进行评审：</w:t>
            </w:r>
            <w:r/>
          </w:p>
          <w:p>
            <w:pPr>
              <w:spacing w:line="288" w:lineRule="auto"/>
              <w:rPr>
                <w:color w:val="000000"/>
                <w:highlight w:val="none"/>
              </w:rPr>
            </w:pPr>
            <w:r>
              <w:rPr>
                <w:rFonts w:hint="eastAsia"/>
                <w:color w:val="000000"/>
                <w:highlight w:val="none"/>
              </w:rPr>
              <w:t xml:space="preserve">1、服务方案总体设想详尽、方案针对性强、可行性高的得8分；</w:t>
            </w:r>
            <w:r/>
          </w:p>
          <w:p>
            <w:pPr>
              <w:spacing w:line="288" w:lineRule="auto"/>
              <w:rPr>
                <w:color w:val="000000"/>
                <w:highlight w:val="none"/>
              </w:rPr>
            </w:pPr>
            <w:r>
              <w:rPr>
                <w:rFonts w:hint="eastAsia"/>
                <w:color w:val="000000"/>
                <w:highlight w:val="none"/>
              </w:rPr>
              <w:t xml:space="preserve">2、服务方案总体设想较详尽、方案针对性较强、可行性较高的得5分；</w:t>
            </w:r>
            <w:r/>
          </w:p>
          <w:p>
            <w:pPr>
              <w:spacing w:line="288" w:lineRule="auto"/>
              <w:rPr>
                <w:rFonts w:hint="eastAsia"/>
                <w:color w:val="000000"/>
                <w:highlight w:val="none"/>
              </w:rPr>
            </w:pPr>
            <w:r>
              <w:rPr>
                <w:rFonts w:hint="eastAsia"/>
                <w:color w:val="000000"/>
                <w:highlight w:val="none"/>
              </w:rPr>
              <w:t xml:space="preserve">3、服务方案基本可行的得2分。</w:t>
            </w:r>
            <w:r/>
          </w:p>
          <w:p>
            <w:pPr>
              <w:pStyle w:val="987"/>
              <w:ind w:left="0"/>
              <w:rPr>
                <w:color w:val="000000"/>
                <w:highlight w:val="none"/>
                <w:lang w:val="en-US"/>
              </w:rPr>
            </w:pPr>
            <w:r>
              <w:rPr>
                <w:rFonts w:hint="eastAsia" w:ascii="宋体" w:hAnsi="宋体" w:eastAsia="宋体"/>
                <w:color w:val="000000"/>
                <w:spacing w:val="1"/>
                <w:highlight w:val="none"/>
                <w:lang w:val="en-US"/>
              </w:rPr>
              <w:t xml:space="preserve">4、服务方案不可行或未提供的不得分。</w:t>
            </w:r>
            <w:r/>
          </w:p>
        </w:tc>
        <w:tc>
          <w:tcPr>
            <w:tcW w:w="573" w:type="dxa"/>
            <w:vAlign w:val="center"/>
            <w:textDirection w:val="lrTb"/>
            <w:noWrap w:val="false"/>
          </w:tcPr>
          <w:p>
            <w:pPr>
              <w:jc w:val="center"/>
              <w:spacing w:before="68" w:line="288" w:lineRule="auto"/>
              <w:rPr>
                <w:rFonts w:hint="eastAsia" w:ascii="宋体" w:hAnsi="宋体" w:cs="宋体"/>
                <w:color w:val="000000"/>
                <w:highlight w:val="none"/>
              </w:rPr>
            </w:pPr>
            <w:r>
              <w:rPr>
                <w:rFonts w:hint="eastAsia" w:ascii="宋体" w:hAnsi="宋体" w:cs="宋体"/>
                <w:color w:val="000000"/>
                <w:highlight w:val="none"/>
              </w:rPr>
              <w:t xml:space="preserve">8</w:t>
            </w:r>
            <w:r/>
          </w:p>
        </w:tc>
        <w:tc>
          <w:tcPr>
            <w:tcW w:w="860" w:type="dxa"/>
            <w:vAlign w:val="center"/>
            <w:textDirection w:val="lrTb"/>
            <w:noWrap w:val="false"/>
          </w:tcPr>
          <w:p>
            <w:pPr>
              <w:jc w:val="center"/>
              <w:spacing w:before="68" w:line="288" w:lineRule="auto"/>
              <w:rPr>
                <w:rFonts w:hint="eastAsia"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889"/>
        </w:trPr>
        <w:tc>
          <w:tcPr>
            <w:tcW w:w="519" w:type="dxa"/>
            <w:vAlign w:val="center"/>
            <w:textDirection w:val="lrTb"/>
            <w:noWrap w:val="false"/>
          </w:tcPr>
          <w:p>
            <w:pPr>
              <w:jc w:val="center"/>
              <w:spacing w:before="68" w:line="288" w:lineRule="auto"/>
              <w:rPr>
                <w:rFonts w:ascii="宋体" w:hAnsi="宋体" w:cs="宋体"/>
                <w:color w:val="000000"/>
                <w:spacing w:val="-2"/>
                <w:highlight w:val="none"/>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.2</w:t>
            </w:r>
            <w:r/>
          </w:p>
        </w:tc>
        <w:tc>
          <w:tcPr>
            <w:tcW w:w="1179" w:type="dxa"/>
            <w:vAlign w:val="center"/>
            <w:textDirection w:val="lrTb"/>
            <w:noWrap w:val="false"/>
          </w:tcPr>
          <w:p>
            <w:pPr>
              <w:jc w:val="left"/>
              <w:spacing w:before="260" w:line="288" w:lineRule="auto"/>
              <w:rPr>
                <w:rFonts w:ascii="宋体" w:hAnsi="宋体" w:cs="宋体"/>
                <w:color w:val="000000"/>
                <w:spacing w:val="-2"/>
                <w:highlight w:val="none"/>
              </w:rPr>
            </w:pPr>
            <w:r>
              <w:rPr>
                <w:rFonts w:hint="eastAsia" w:ascii="宋体" w:hAnsi="宋体" w:cs="宋体"/>
                <w:color w:val="000000"/>
                <w:spacing w:val="1"/>
                <w:highlight w:val="none"/>
              </w:rPr>
              <w:t xml:space="preserve">分部分项服务方案</w:t>
            </w:r>
            <w:r/>
          </w:p>
        </w:tc>
        <w:tc>
          <w:tcPr>
            <w:tcW w:w="6616" w:type="dxa"/>
            <w:vAlign w:val="center"/>
            <w:textDirection w:val="lrTb"/>
            <w:noWrap w:val="false"/>
          </w:tcPr>
          <w:p>
            <w:pPr>
              <w:spacing w:line="288" w:lineRule="auto"/>
              <w:rPr>
                <w:color w:val="000000"/>
                <w:highlight w:val="none"/>
              </w:rPr>
            </w:pPr>
            <w:r>
              <w:rPr>
                <w:rFonts w:hint="eastAsia"/>
                <w:color w:val="000000"/>
                <w:highlight w:val="none"/>
              </w:rPr>
              <w:t xml:space="preserve">评委根据供应商提供的分部分项服务方案（包含但不限于：沥青路面修补、检查井更换维修、路基局部硬化处理、绿化护栏网的维护和增补等）进行评审：</w:t>
            </w:r>
            <w:r/>
          </w:p>
          <w:p>
            <w:pPr>
              <w:spacing w:line="288" w:lineRule="auto"/>
              <w:rPr>
                <w:color w:val="000000"/>
                <w:highlight w:val="none"/>
              </w:rPr>
            </w:pPr>
            <w:r>
              <w:rPr>
                <w:rFonts w:hint="eastAsia"/>
                <w:color w:val="000000"/>
                <w:highlight w:val="none"/>
              </w:rPr>
              <w:t xml:space="preserve">1、分部分项方案详尽、合理、可行的得8分；</w:t>
            </w:r>
            <w:r/>
          </w:p>
          <w:p>
            <w:pPr>
              <w:spacing w:line="288" w:lineRule="auto"/>
              <w:rPr>
                <w:color w:val="000000"/>
                <w:highlight w:val="none"/>
              </w:rPr>
            </w:pPr>
            <w:r>
              <w:rPr>
                <w:rFonts w:hint="eastAsia"/>
                <w:color w:val="000000"/>
                <w:highlight w:val="none"/>
              </w:rPr>
              <w:t xml:space="preserve">2、分部分项方案较详尽、可行的得5分； </w:t>
            </w:r>
            <w:r/>
          </w:p>
          <w:p>
            <w:pPr>
              <w:spacing w:line="288" w:lineRule="auto"/>
              <w:rPr>
                <w:color w:val="000000"/>
                <w:highlight w:val="none"/>
              </w:rPr>
            </w:pPr>
            <w:r>
              <w:rPr>
                <w:rFonts w:hint="eastAsia"/>
                <w:color w:val="000000"/>
                <w:highlight w:val="none"/>
              </w:rPr>
              <w:t xml:space="preserve">3、分部分项方案基本可行的得2分；</w:t>
            </w:r>
            <w:r/>
          </w:p>
          <w:p>
            <w:pPr>
              <w:pStyle w:val="951"/>
              <w:ind w:firstLine="0"/>
              <w:rPr>
                <w:rFonts w:hint="eastAsia"/>
                <w:color w:val="000000"/>
                <w:highlight w:val="none"/>
              </w:rPr>
            </w:pPr>
            <w:r>
              <w:rPr>
                <w:rFonts w:hint="eastAsia"/>
                <w:color w:val="000000"/>
                <w:highlight w:val="none"/>
              </w:rPr>
              <w:t xml:space="preserve">4、分部分项方案不可行或未提供的不得分。</w:t>
            </w:r>
            <w:r/>
          </w:p>
        </w:tc>
        <w:tc>
          <w:tcPr>
            <w:tcW w:w="573" w:type="dxa"/>
            <w:vAlign w:val="center"/>
            <w:textDirection w:val="lrTb"/>
            <w:noWrap w:val="false"/>
          </w:tcPr>
          <w:p>
            <w:pPr>
              <w:jc w:val="center"/>
              <w:spacing w:before="68" w:line="288" w:lineRule="auto"/>
              <w:rPr>
                <w:rFonts w:hint="eastAsia" w:ascii="宋体" w:hAnsi="宋体" w:cs="宋体"/>
                <w:color w:val="000000"/>
                <w:highlight w:val="none"/>
              </w:rPr>
            </w:pPr>
            <w:r>
              <w:rPr>
                <w:rFonts w:hint="eastAsia" w:ascii="宋体" w:hAnsi="宋体" w:cs="宋体"/>
                <w:color w:val="000000"/>
                <w:highlight w:val="none"/>
              </w:rPr>
              <w:t xml:space="preserve">8</w:t>
            </w:r>
            <w:r/>
          </w:p>
        </w:tc>
        <w:tc>
          <w:tcPr>
            <w:tcW w:w="860" w:type="dxa"/>
            <w:vAlign w:val="center"/>
            <w:textDirection w:val="lrTb"/>
            <w:noWrap w:val="false"/>
          </w:tcPr>
          <w:p>
            <w:pPr>
              <w:jc w:val="center"/>
              <w:spacing w:before="68" w:line="288"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825"/>
        </w:trPr>
        <w:tc>
          <w:tcPr>
            <w:tcW w:w="519" w:type="dxa"/>
            <w:vAlign w:val="center"/>
            <w:textDirection w:val="lrTb"/>
            <w:noWrap w:val="false"/>
          </w:tcPr>
          <w:p>
            <w:pPr>
              <w:jc w:val="center"/>
              <w:spacing w:before="68" w:line="288" w:lineRule="auto"/>
              <w:rPr>
                <w:rFonts w:ascii="宋体" w:hAnsi="宋体" w:cs="宋体"/>
                <w:color w:val="000000"/>
                <w:spacing w:val="-2"/>
                <w:highlight w:val="none"/>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.3</w:t>
            </w:r>
            <w:r/>
          </w:p>
        </w:tc>
        <w:tc>
          <w:tcPr>
            <w:tcW w:w="1179" w:type="dxa"/>
            <w:vAlign w:val="center"/>
            <w:textDirection w:val="lrTb"/>
            <w:noWrap w:val="false"/>
          </w:tcPr>
          <w:p>
            <w:pPr>
              <w:jc w:val="left"/>
              <w:spacing w:line="288" w:lineRule="auto"/>
              <w:rPr>
                <w:rFonts w:ascii="宋体" w:hAnsi="宋体" w:cs="宋体"/>
                <w:color w:val="000000"/>
                <w:spacing w:val="-2"/>
                <w:highlight w:val="none"/>
              </w:rPr>
            </w:pPr>
            <w:r>
              <w:rPr>
                <w:rFonts w:hint="eastAsia" w:ascii="宋体" w:hAnsi="宋体" w:cs="宋体"/>
                <w:color w:val="000000"/>
                <w:spacing w:val="1"/>
                <w:highlight w:val="none"/>
              </w:rPr>
              <w:t xml:space="preserve">安全文明施工方案</w:t>
            </w:r>
            <w:r/>
          </w:p>
        </w:tc>
        <w:tc>
          <w:tcPr>
            <w:tcW w:w="6616" w:type="dxa"/>
            <w:vAlign w:val="center"/>
            <w:textDirection w:val="lrTb"/>
            <w:noWrap w:val="false"/>
          </w:tcPr>
          <w:p>
            <w:pPr>
              <w:spacing w:line="288" w:lineRule="auto"/>
              <w:rPr>
                <w:rFonts w:ascii="宋体" w:hAnsi="宋体" w:cs="宋体"/>
                <w:color w:val="000000"/>
                <w:spacing w:val="1"/>
                <w:highlight w:val="none"/>
              </w:rPr>
            </w:pPr>
            <w:r>
              <w:rPr>
                <w:rFonts w:hint="eastAsia" w:ascii="宋体" w:hAnsi="宋体" w:cs="宋体"/>
                <w:color w:val="000000"/>
                <w:spacing w:val="1"/>
                <w:highlight w:val="none"/>
              </w:rPr>
              <w:t xml:space="preserve">评委根据供应商提供的安全文明施工方案（包含但不限于：文明施工、夜间施工、环境保护等）进行评审：</w:t>
            </w:r>
            <w:r/>
          </w:p>
          <w:p>
            <w:pPr>
              <w:spacing w:line="288" w:lineRule="auto"/>
              <w:rPr>
                <w:rFonts w:ascii="宋体" w:hAnsi="宋体" w:cs="宋体"/>
                <w:color w:val="000000"/>
                <w:spacing w:val="1"/>
                <w:highlight w:val="none"/>
              </w:rPr>
            </w:pPr>
            <w:r>
              <w:rPr>
                <w:rFonts w:hint="eastAsia" w:ascii="宋体" w:hAnsi="宋体" w:cs="宋体"/>
                <w:color w:val="000000"/>
                <w:spacing w:val="1"/>
                <w:highlight w:val="none"/>
              </w:rPr>
              <w:t xml:space="preserve">1、安全文明施工方案内容详尽，有针对性、可行性高的得8分；</w:t>
            </w:r>
            <w:r/>
          </w:p>
          <w:p>
            <w:pPr>
              <w:spacing w:line="288" w:lineRule="auto"/>
              <w:rPr>
                <w:rFonts w:ascii="宋体" w:hAnsi="宋体" w:cs="宋体"/>
                <w:color w:val="000000"/>
                <w:spacing w:val="1"/>
                <w:highlight w:val="none"/>
              </w:rPr>
            </w:pPr>
            <w:r>
              <w:rPr>
                <w:rFonts w:hint="eastAsia" w:ascii="宋体" w:hAnsi="宋体" w:cs="宋体"/>
                <w:color w:val="000000"/>
                <w:spacing w:val="1"/>
                <w:highlight w:val="none"/>
              </w:rPr>
              <w:t xml:space="preserve">2、安全文明施工方案内容较详尽，较有针对性、可行性较高的得5分； </w:t>
            </w:r>
            <w:r/>
          </w:p>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3、安全文明施工方案基本可行的得2分；</w:t>
            </w:r>
            <w:r/>
          </w:p>
          <w:p>
            <w:pPr>
              <w:spacing w:line="288" w:lineRule="auto"/>
              <w:rPr>
                <w:rFonts w:ascii="宋体" w:hAnsi="宋体" w:cs="宋体"/>
                <w:color w:val="000000"/>
                <w:spacing w:val="1"/>
                <w:highlight w:val="none"/>
              </w:rPr>
            </w:pPr>
            <w:r>
              <w:rPr>
                <w:rFonts w:hint="eastAsia" w:ascii="宋体" w:hAnsi="宋体" w:cs="宋体"/>
                <w:color w:val="000000"/>
                <w:spacing w:val="1"/>
                <w:highlight w:val="none"/>
              </w:rPr>
              <w:t xml:space="preserve">4、安全文明施工</w:t>
            </w:r>
            <w:r>
              <w:rPr>
                <w:rFonts w:hint="eastAsia"/>
                <w:color w:val="000000"/>
                <w:highlight w:val="none"/>
              </w:rPr>
              <w:t xml:space="preserve">方案不可行或未提供的不得分。</w:t>
            </w:r>
            <w:r/>
          </w:p>
        </w:tc>
        <w:tc>
          <w:tcPr>
            <w:tcW w:w="573" w:type="dxa"/>
            <w:vAlign w:val="center"/>
            <w:textDirection w:val="lrTb"/>
            <w:noWrap w:val="false"/>
          </w:tcPr>
          <w:p>
            <w:pPr>
              <w:jc w:val="center"/>
              <w:spacing w:before="68" w:line="288" w:lineRule="auto"/>
              <w:rPr>
                <w:rFonts w:hint="eastAsia" w:ascii="宋体" w:hAnsi="宋体" w:cs="宋体"/>
                <w:color w:val="000000"/>
                <w:highlight w:val="none"/>
              </w:rPr>
            </w:pPr>
            <w:r>
              <w:rPr>
                <w:rFonts w:hint="eastAsia" w:ascii="宋体" w:hAnsi="宋体" w:cs="宋体"/>
                <w:color w:val="000000"/>
                <w:highlight w:val="none"/>
              </w:rPr>
              <w:t xml:space="preserve">8</w:t>
            </w:r>
            <w:r/>
          </w:p>
        </w:tc>
        <w:tc>
          <w:tcPr>
            <w:tcW w:w="860" w:type="dxa"/>
            <w:vAlign w:val="center"/>
            <w:textDirection w:val="lrTb"/>
            <w:noWrap w:val="false"/>
          </w:tcPr>
          <w:p>
            <w:pPr>
              <w:jc w:val="center"/>
              <w:spacing w:before="68" w:line="288"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868"/>
        </w:trPr>
        <w:tc>
          <w:tcPr>
            <w:tcW w:w="519" w:type="dxa"/>
            <w:vAlign w:val="center"/>
            <w:textDirection w:val="lrTb"/>
            <w:noWrap w:val="false"/>
          </w:tcPr>
          <w:p>
            <w:pPr>
              <w:jc w:val="center"/>
              <w:spacing w:before="68" w:line="288" w:lineRule="auto"/>
              <w:rPr>
                <w:rFonts w:ascii="宋体" w:hAnsi="宋体" w:cs="宋体"/>
                <w:color w:val="000000"/>
                <w:spacing w:val="-2"/>
                <w:highlight w:val="none"/>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.4</w:t>
            </w:r>
            <w:r/>
          </w:p>
        </w:tc>
        <w:tc>
          <w:tcPr>
            <w:tcW w:w="1179" w:type="dxa"/>
            <w:vAlign w:val="center"/>
            <w:textDirection w:val="lrTb"/>
            <w:noWrap w:val="false"/>
          </w:tcPr>
          <w:p>
            <w:pPr>
              <w:contextualSpacing/>
              <w:jc w:val="left"/>
              <w:spacing w:line="288" w:lineRule="auto"/>
              <w:rPr>
                <w:rFonts w:ascii="宋体" w:hAnsi="宋体" w:cs="宋体"/>
                <w:color w:val="000000"/>
                <w:highlight w:val="none"/>
              </w:rPr>
            </w:pPr>
            <w:r>
              <w:rPr>
                <w:rFonts w:hint="eastAsia" w:ascii="宋体" w:hAnsi="宋体" w:cs="宋体"/>
                <w:color w:val="000000"/>
                <w:spacing w:val="1"/>
                <w:highlight w:val="none"/>
              </w:rPr>
              <w:t xml:space="preserve">应急抢险方案</w:t>
            </w:r>
            <w:r/>
          </w:p>
        </w:tc>
        <w:tc>
          <w:tcPr>
            <w:tcW w:w="6616" w:type="dxa"/>
            <w:vAlign w:val="center"/>
            <w:textDirection w:val="lrTb"/>
            <w:noWrap w:val="false"/>
          </w:tcPr>
          <w:p>
            <w:pPr>
              <w:spacing w:line="288" w:lineRule="auto"/>
              <w:rPr>
                <w:rFonts w:ascii="宋体" w:hAnsi="宋体" w:cs="宋体"/>
                <w:color w:val="000000"/>
                <w:spacing w:val="1"/>
                <w:highlight w:val="none"/>
              </w:rPr>
            </w:pPr>
            <w:r>
              <w:rPr>
                <w:rFonts w:hint="eastAsia" w:ascii="宋体" w:hAnsi="宋体" w:cs="宋体"/>
                <w:color w:val="000000"/>
                <w:spacing w:val="1"/>
                <w:highlight w:val="none"/>
              </w:rPr>
              <w:t xml:space="preserve">评委根据供应商提供的应急抢险方案（包含但不限于：防汛、防台、扫雪、道路塌陷等）进行评审：</w:t>
            </w:r>
            <w:r/>
          </w:p>
          <w:p>
            <w:pPr>
              <w:spacing w:line="288" w:lineRule="auto"/>
              <w:rPr>
                <w:rFonts w:ascii="宋体" w:hAnsi="宋体" w:cs="宋体"/>
                <w:color w:val="000000"/>
                <w:spacing w:val="1"/>
                <w:highlight w:val="none"/>
              </w:rPr>
            </w:pPr>
            <w:r>
              <w:rPr>
                <w:rFonts w:hint="eastAsia" w:ascii="宋体" w:hAnsi="宋体" w:cs="宋体"/>
                <w:color w:val="000000"/>
                <w:spacing w:val="1"/>
                <w:highlight w:val="none"/>
              </w:rPr>
              <w:t xml:space="preserve">1、应急抢险方案详尽、保证措施可行的得8分；</w:t>
            </w:r>
            <w:r/>
          </w:p>
          <w:p>
            <w:pPr>
              <w:spacing w:line="288" w:lineRule="auto"/>
              <w:rPr>
                <w:rFonts w:ascii="宋体" w:hAnsi="宋体" w:cs="宋体"/>
                <w:color w:val="000000"/>
                <w:spacing w:val="1"/>
                <w:highlight w:val="none"/>
              </w:rPr>
            </w:pPr>
            <w:r>
              <w:rPr>
                <w:rFonts w:hint="eastAsia" w:ascii="宋体" w:hAnsi="宋体" w:cs="宋体"/>
                <w:color w:val="000000"/>
                <w:spacing w:val="1"/>
                <w:highlight w:val="none"/>
              </w:rPr>
              <w:t xml:space="preserve">2、应急抢险方案较详尽、保证措施较为可行的得5分；</w:t>
            </w:r>
            <w:r/>
          </w:p>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3、应急抢险方案基本可行的得2分；</w:t>
            </w:r>
            <w:r/>
          </w:p>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4、应急抢险方案</w:t>
            </w:r>
            <w:r>
              <w:rPr>
                <w:rFonts w:hint="eastAsia"/>
                <w:color w:val="000000"/>
                <w:highlight w:val="none"/>
              </w:rPr>
              <w:t xml:space="preserve">不可行或未提供的不得分。</w:t>
            </w:r>
            <w:r/>
          </w:p>
        </w:tc>
        <w:tc>
          <w:tcPr>
            <w:tcW w:w="573" w:type="dxa"/>
            <w:vAlign w:val="center"/>
            <w:textDirection w:val="lrTb"/>
            <w:noWrap w:val="false"/>
          </w:tcPr>
          <w:p>
            <w:pPr>
              <w:jc w:val="center"/>
              <w:spacing w:before="68" w:line="288" w:lineRule="auto"/>
              <w:rPr>
                <w:rFonts w:hint="eastAsia" w:ascii="宋体" w:hAnsi="宋体" w:cs="宋体"/>
                <w:color w:val="000000"/>
                <w:highlight w:val="none"/>
              </w:rPr>
            </w:pPr>
            <w:r>
              <w:rPr>
                <w:rFonts w:hint="eastAsia" w:ascii="宋体" w:hAnsi="宋体" w:cs="宋体"/>
                <w:color w:val="000000"/>
                <w:highlight w:val="none"/>
              </w:rPr>
              <w:t xml:space="preserve">8</w:t>
            </w:r>
            <w:r/>
          </w:p>
        </w:tc>
        <w:tc>
          <w:tcPr>
            <w:tcW w:w="860" w:type="dxa"/>
            <w:vAlign w:val="center"/>
            <w:textDirection w:val="lrTb"/>
            <w:noWrap w:val="false"/>
          </w:tcPr>
          <w:p>
            <w:pPr>
              <w:jc w:val="center"/>
              <w:spacing w:before="68" w:line="288"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954"/>
        </w:trPr>
        <w:tc>
          <w:tcPr>
            <w:tcW w:w="519" w:type="dxa"/>
            <w:vAlign w:val="center"/>
            <w:textDirection w:val="lrTb"/>
            <w:noWrap w:val="false"/>
          </w:tcPr>
          <w:p>
            <w:pPr>
              <w:jc w:val="center"/>
              <w:spacing w:before="68" w:line="288" w:lineRule="auto"/>
              <w:rPr>
                <w:rFonts w:ascii="宋体" w:hAnsi="宋体" w:cs="宋体"/>
                <w:color w:val="000000"/>
                <w:spacing w:val="-2"/>
                <w:highlight w:val="none"/>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.5</w:t>
            </w:r>
            <w:r/>
          </w:p>
        </w:tc>
        <w:tc>
          <w:tcPr>
            <w:tcW w:w="1179" w:type="dxa"/>
            <w:vAlign w:val="center"/>
            <w:textDirection w:val="lrTb"/>
            <w:noWrap w:val="false"/>
          </w:tcPr>
          <w:p>
            <w:pPr>
              <w:jc w:val="left"/>
              <w:spacing w:before="69" w:line="288" w:lineRule="auto"/>
              <w:rPr>
                <w:rFonts w:ascii="宋体" w:hAnsi="宋体" w:cs="宋体"/>
                <w:color w:val="000000"/>
                <w:spacing w:val="-4"/>
                <w:highlight w:val="none"/>
              </w:rPr>
            </w:pPr>
            <w:r>
              <w:rPr>
                <w:rFonts w:hint="eastAsia" w:ascii="宋体" w:hAnsi="宋体" w:cs="宋体"/>
                <w:color w:val="000000"/>
                <w:spacing w:val="1"/>
                <w:highlight w:val="none"/>
              </w:rPr>
              <w:t xml:space="preserve">安全保证措施</w:t>
            </w:r>
            <w:r/>
          </w:p>
        </w:tc>
        <w:tc>
          <w:tcPr>
            <w:tcW w:w="6616" w:type="dxa"/>
            <w:vAlign w:val="center"/>
            <w:textDirection w:val="lrTb"/>
            <w:noWrap w:val="false"/>
          </w:tcPr>
          <w:p>
            <w:pPr>
              <w:spacing w:line="288" w:lineRule="auto"/>
              <w:rPr>
                <w:color w:val="000000"/>
                <w:highlight w:val="none"/>
              </w:rPr>
            </w:pPr>
            <w:r>
              <w:rPr>
                <w:rFonts w:hint="eastAsia"/>
                <w:color w:val="000000"/>
                <w:highlight w:val="none"/>
              </w:rPr>
              <w:t xml:space="preserve">评委根据供应商提供的安全保证措施（包括组织架构、进度控制、风险控制管理等）进行评审：</w:t>
            </w:r>
            <w:r/>
          </w:p>
          <w:p>
            <w:pPr>
              <w:spacing w:line="288" w:lineRule="auto"/>
              <w:rPr>
                <w:color w:val="000000"/>
                <w:highlight w:val="none"/>
              </w:rPr>
            </w:pPr>
            <w:r>
              <w:rPr>
                <w:rFonts w:hint="eastAsia"/>
                <w:color w:val="000000"/>
                <w:highlight w:val="none"/>
              </w:rPr>
              <w:t xml:space="preserve">1、安全保证措施科学、合理、有针对性的得 8 分；</w:t>
            </w:r>
            <w:r/>
          </w:p>
          <w:p>
            <w:pPr>
              <w:spacing w:line="288" w:lineRule="auto"/>
              <w:rPr>
                <w:color w:val="000000"/>
                <w:highlight w:val="none"/>
              </w:rPr>
            </w:pPr>
            <w:r>
              <w:rPr>
                <w:rFonts w:hint="eastAsia"/>
                <w:color w:val="000000"/>
                <w:highlight w:val="none"/>
              </w:rPr>
              <w:t xml:space="preserve">2、安全保证措施较科学、合理的得 5 分；</w:t>
            </w:r>
            <w:r/>
          </w:p>
          <w:p>
            <w:pPr>
              <w:spacing w:line="288" w:lineRule="auto"/>
              <w:rPr>
                <w:rFonts w:hint="eastAsia"/>
                <w:color w:val="000000"/>
                <w:highlight w:val="none"/>
              </w:rPr>
            </w:pPr>
            <w:r>
              <w:rPr>
                <w:rFonts w:hint="eastAsia"/>
                <w:color w:val="000000"/>
                <w:highlight w:val="none"/>
              </w:rPr>
              <w:t xml:space="preserve">3、安全保证措施基本合理的得2分；</w:t>
            </w:r>
            <w:r/>
          </w:p>
          <w:p>
            <w:pPr>
              <w:spacing w:line="288" w:lineRule="auto"/>
              <w:rPr>
                <w:rFonts w:hint="eastAsia"/>
                <w:color w:val="000000"/>
                <w:highlight w:val="none"/>
              </w:rPr>
            </w:pPr>
            <w:r>
              <w:rPr>
                <w:rFonts w:hint="eastAsia"/>
                <w:color w:val="000000"/>
                <w:highlight w:val="none"/>
              </w:rPr>
              <w:t xml:space="preserve">4、安全保证措施不合理或未提供的不得分。</w:t>
            </w:r>
            <w:r/>
          </w:p>
        </w:tc>
        <w:tc>
          <w:tcPr>
            <w:tcW w:w="573" w:type="dxa"/>
            <w:vAlign w:val="center"/>
            <w:textDirection w:val="lrTb"/>
            <w:noWrap w:val="false"/>
          </w:tcPr>
          <w:p>
            <w:pPr>
              <w:jc w:val="center"/>
              <w:spacing w:before="68" w:line="288" w:lineRule="auto"/>
              <w:rPr>
                <w:rFonts w:hint="eastAsia" w:ascii="宋体" w:hAnsi="宋体" w:cs="宋体"/>
                <w:color w:val="000000"/>
                <w:highlight w:val="none"/>
              </w:rPr>
            </w:pPr>
            <w:r>
              <w:rPr>
                <w:rFonts w:hint="eastAsia" w:ascii="宋体" w:hAnsi="宋体" w:cs="宋体"/>
                <w:color w:val="000000"/>
                <w:highlight w:val="none"/>
              </w:rPr>
              <w:t xml:space="preserve">8</w:t>
            </w:r>
            <w:r/>
          </w:p>
        </w:tc>
        <w:tc>
          <w:tcPr>
            <w:tcW w:w="860" w:type="dxa"/>
            <w:vAlign w:val="center"/>
            <w:textDirection w:val="lrTb"/>
            <w:noWrap w:val="false"/>
          </w:tcPr>
          <w:p>
            <w:pPr>
              <w:jc w:val="center"/>
              <w:spacing w:before="68" w:line="288"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455"/>
        </w:trPr>
        <w:tc>
          <w:tcPr>
            <w:gridSpan w:val="5"/>
            <w:tcW w:w="9747" w:type="dxa"/>
            <w:vAlign w:val="center"/>
            <w:textDirection w:val="lrTb"/>
            <w:noWrap w:val="false"/>
          </w:tcPr>
          <w:p>
            <w:pPr>
              <w:spacing w:line="288" w:lineRule="auto"/>
              <w:rPr>
                <w:rFonts w:ascii="宋体" w:hAnsi="宋体" w:cs="宋体"/>
                <w:color w:val="000000"/>
                <w:highlight w:val="none"/>
              </w:rPr>
            </w:pPr>
            <w:r>
              <w:rPr>
                <w:rFonts w:hint="eastAsia" w:ascii="宋体" w:hAnsi="宋体" w:cs="宋体"/>
                <w:b/>
                <w:bCs/>
                <w:color w:val="000000"/>
                <w:spacing w:val="-3"/>
                <w:highlight w:val="none"/>
              </w:rPr>
              <w:t xml:space="preserve">3业绩</w:t>
            </w:r>
            <w:r/>
          </w:p>
        </w:tc>
      </w:tr>
      <w:tr>
        <w:trPr>
          <w:jc w:val="center"/>
          <w:trHeight w:val="1015"/>
        </w:trPr>
        <w:tc>
          <w:tcPr>
            <w:tcW w:w="519" w:type="dxa"/>
            <w:vAlign w:val="center"/>
            <w:textDirection w:val="lrTb"/>
            <w:noWrap w:val="false"/>
          </w:tcPr>
          <w:p>
            <w:pPr>
              <w:jc w:val="center"/>
              <w:spacing w:before="68" w:line="288" w:lineRule="auto"/>
              <w:rPr>
                <w:rFonts w:ascii="宋体" w:hAnsi="宋体" w:cs="宋体"/>
                <w:color w:val="000000"/>
                <w:spacing w:val="-2"/>
                <w:highlight w:val="none"/>
              </w:rPr>
            </w:pPr>
            <w:r>
              <w:rPr>
                <w:rFonts w:ascii="宋体" w:hAnsi="宋体" w:cs="宋体"/>
                <w:color w:val="000000"/>
                <w:spacing w:val="-2"/>
                <w:highlight w:val="none"/>
              </w:rPr>
              <w:t xml:space="preserve">3.1</w:t>
            </w:r>
            <w:r/>
          </w:p>
        </w:tc>
        <w:tc>
          <w:tcPr>
            <w:tcW w:w="1179" w:type="dxa"/>
            <w:vAlign w:val="center"/>
            <w:textDirection w:val="lrTb"/>
            <w:noWrap w:val="false"/>
          </w:tcPr>
          <w:p>
            <w:pPr>
              <w:spacing w:before="69" w:line="288" w:lineRule="auto"/>
              <w:rPr>
                <w:rFonts w:ascii="宋体" w:hAnsi="宋体" w:cs="宋体"/>
                <w:color w:val="000000"/>
                <w:spacing w:val="-2"/>
                <w:highlight w:val="none"/>
              </w:rPr>
            </w:pPr>
            <w:r>
              <w:rPr>
                <w:rFonts w:hint="eastAsia" w:ascii="宋体" w:hAnsi="宋体" w:cs="宋体"/>
                <w:color w:val="000000"/>
                <w:spacing w:val="-1"/>
                <w:highlight w:val="none"/>
              </w:rPr>
              <w:t xml:space="preserve">供应商</w:t>
            </w:r>
            <w:r>
              <w:rPr>
                <w:rFonts w:ascii="宋体" w:hAnsi="宋体" w:cs="宋体"/>
                <w:color w:val="000000"/>
                <w:spacing w:val="-1"/>
                <w:highlight w:val="none"/>
              </w:rPr>
              <w:t xml:space="preserve">业绩</w:t>
            </w:r>
            <w:r/>
          </w:p>
        </w:tc>
        <w:tc>
          <w:tcPr>
            <w:tcW w:w="6616" w:type="dxa"/>
            <w:vAlign w:val="center"/>
            <w:textDirection w:val="lrTb"/>
            <w:noWrap w:val="false"/>
          </w:tcPr>
          <w:p>
            <w:pPr>
              <w:spacing w:line="288" w:lineRule="auto"/>
              <w:rPr>
                <w:rFonts w:ascii="宋体" w:hAnsi="宋体" w:cs="宋体"/>
                <w:color w:val="000000"/>
                <w:highlight w:val="none"/>
              </w:rPr>
            </w:pPr>
            <w:r>
              <w:rPr>
                <w:rFonts w:hint="eastAsia" w:ascii="宋体" w:hAnsi="宋体" w:cs="宋体"/>
                <w:color w:val="000000"/>
                <w:highlight w:val="none"/>
              </w:rPr>
              <w:t xml:space="preserve">供应商自2019年9月1日以来（以合同签订时间为准）承担过类似市政道路维护（养护）项目，每提供1个得3分，满分9分。（提供合同及验收合格证明，证明材料缺项或未提供的不得分）</w:t>
            </w:r>
            <w:r/>
          </w:p>
        </w:tc>
        <w:tc>
          <w:tcPr>
            <w:tcW w:w="573" w:type="dxa"/>
            <w:vAlign w:val="center"/>
            <w:textDirection w:val="lrTb"/>
            <w:noWrap w:val="false"/>
          </w:tcPr>
          <w:p>
            <w:pPr>
              <w:jc w:val="center"/>
              <w:spacing w:before="68" w:line="288" w:lineRule="auto"/>
              <w:rPr>
                <w:rFonts w:hint="eastAsia" w:ascii="宋体" w:hAnsi="宋体" w:cs="宋体"/>
                <w:color w:val="000000"/>
                <w:highlight w:val="none"/>
              </w:rPr>
            </w:pPr>
            <w:r>
              <w:rPr>
                <w:rFonts w:hint="eastAsia" w:ascii="宋体" w:hAnsi="宋体" w:cs="宋体"/>
                <w:color w:val="000000"/>
                <w:highlight w:val="none"/>
              </w:rPr>
              <w:t xml:space="preserve">9</w:t>
            </w:r>
            <w:r/>
          </w:p>
        </w:tc>
        <w:tc>
          <w:tcPr>
            <w:tcW w:w="860" w:type="dxa"/>
            <w:vAlign w:val="center"/>
            <w:textDirection w:val="lrTb"/>
            <w:noWrap w:val="false"/>
          </w:tcPr>
          <w:p>
            <w:pPr>
              <w:jc w:val="center"/>
              <w:spacing w:before="68" w:line="288"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1015"/>
        </w:trPr>
        <w:tc>
          <w:tcPr>
            <w:tcW w:w="519" w:type="dxa"/>
            <w:vAlign w:val="center"/>
            <w:textDirection w:val="lrTb"/>
            <w:noWrap w:val="false"/>
          </w:tcPr>
          <w:p>
            <w:pPr>
              <w:jc w:val="center"/>
              <w:spacing w:before="68" w:line="288" w:lineRule="auto"/>
              <w:rPr>
                <w:rFonts w:hint="default" w:ascii="宋体" w:hAnsi="宋体" w:eastAsia="宋体" w:cs="宋体"/>
                <w:color w:val="000000"/>
                <w:spacing w:val="-2"/>
                <w:highlight w:val="none"/>
                <w:lang w:val="en-US" w:eastAsia="zh-CN"/>
              </w:rPr>
            </w:pPr>
            <w:r>
              <w:rPr>
                <w:rFonts w:hint="eastAsia" w:ascii="宋体" w:hAnsi="宋体" w:cs="宋体"/>
                <w:color w:val="000000"/>
                <w:spacing w:val="-2"/>
                <w:highlight w:val="none"/>
                <w:lang w:val="en-US" w:eastAsia="zh-CN"/>
              </w:rPr>
              <w:t xml:space="preserve">3.2</w:t>
            </w:r>
            <w:r/>
          </w:p>
        </w:tc>
        <w:tc>
          <w:tcPr>
            <w:tcW w:w="1179" w:type="dxa"/>
            <w:vAlign w:val="center"/>
            <w:textDirection w:val="lrTb"/>
            <w:noWrap w:val="false"/>
          </w:tcPr>
          <w:p>
            <w:pPr>
              <w:spacing w:before="69" w:line="288" w:lineRule="auto"/>
              <w:rPr>
                <w:rFonts w:hint="default" w:ascii="宋体" w:hAnsi="宋体" w:eastAsia="宋体" w:cs="宋体"/>
                <w:color w:val="000000"/>
                <w:spacing w:val="-1"/>
                <w:highlight w:val="none"/>
                <w:lang w:val="en-US" w:eastAsia="zh-CN"/>
              </w:rPr>
            </w:pPr>
            <w:r>
              <w:rPr>
                <w:rFonts w:hint="eastAsia" w:ascii="宋体" w:hAnsi="宋体" w:cs="宋体"/>
                <w:color w:val="000000"/>
                <w:spacing w:val="-1"/>
                <w:highlight w:val="none"/>
                <w:lang w:val="en-US" w:eastAsia="zh-CN"/>
              </w:rPr>
              <w:t xml:space="preserve">项目经理业绩</w:t>
            </w:r>
            <w:r/>
          </w:p>
        </w:tc>
        <w:tc>
          <w:tcPr>
            <w:tcW w:w="6616" w:type="dxa"/>
            <w:vAlign w:val="center"/>
            <w:textDirection w:val="lrTb"/>
            <w:noWrap w:val="false"/>
          </w:tcPr>
          <w:p>
            <w:pPr>
              <w:jc w:val="left"/>
              <w:tabs>
                <w:tab w:val="left" w:pos="1175" w:leader="none"/>
              </w:tabs>
              <w:rPr>
                <w:rFonts w:hint="eastAsia"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投标人拟投入本项目的项目经理自2019年9月1日以来（以合同签订时间为准）承担过类似市政道路维护（养护）项目的项目经理，每提供1个经验得3分，满分6分。（提供合同及验收合格证明，需体现项目经理姓名及岗位，证明材料缺项或未提供的不得分，同一合同供应商业绩与项目经理业绩不兼得）</w:t>
            </w:r>
            <w:r/>
          </w:p>
        </w:tc>
        <w:tc>
          <w:tcPr>
            <w:tcW w:w="573" w:type="dxa"/>
            <w:vAlign w:val="center"/>
            <w:textDirection w:val="lrTb"/>
            <w:noWrap w:val="false"/>
          </w:tcPr>
          <w:p>
            <w:pPr>
              <w:jc w:val="center"/>
              <w:spacing w:before="68" w:line="288"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p>
        </w:tc>
        <w:tc>
          <w:tcPr>
            <w:tcW w:w="860" w:type="dxa"/>
            <w:vAlign w:val="center"/>
            <w:textDirection w:val="lrTb"/>
            <w:noWrap w:val="false"/>
          </w:tcPr>
          <w:p>
            <w:pPr>
              <w:jc w:val="center"/>
              <w:spacing w:before="68" w:line="288" w:lineRule="auto"/>
              <w:rPr>
                <w:rFonts w:hint="eastAsia" w:ascii="宋体" w:hAnsi="宋体" w:cs="宋体"/>
                <w:color w:val="000000"/>
                <w:spacing w:val="-6"/>
                <w:highlight w:val="none"/>
              </w:rPr>
            </w:pPr>
            <w:r>
              <w:rPr>
                <w:rFonts w:hint="eastAsia" w:ascii="宋体" w:hAnsi="宋体" w:cs="宋体"/>
                <w:color w:val="000000"/>
                <w:spacing w:val="-6"/>
                <w:highlight w:val="none"/>
                <w:lang w:val="en-US" w:eastAsia="zh-CN"/>
              </w:rPr>
              <w:t xml:space="preserve">客观分</w:t>
            </w:r>
            <w:r/>
          </w:p>
        </w:tc>
      </w:tr>
      <w:tr>
        <w:trPr>
          <w:jc w:val="center"/>
          <w:trHeight w:val="269"/>
        </w:trPr>
        <w:tc>
          <w:tcPr>
            <w:gridSpan w:val="5"/>
            <w:tcW w:w="9747" w:type="dxa"/>
            <w:vAlign w:val="top"/>
            <w:textDirection w:val="lrTb"/>
            <w:noWrap w:val="false"/>
          </w:tcPr>
          <w:p>
            <w:pPr>
              <w:spacing w:before="123" w:line="288" w:lineRule="auto"/>
              <w:rPr>
                <w:rFonts w:ascii="宋体" w:hAnsi="宋体" w:cs="宋体"/>
                <w:color w:val="000000"/>
                <w:highlight w:val="none"/>
              </w:rPr>
            </w:pPr>
            <w:r>
              <w:rPr>
                <w:rFonts w:hint="eastAsia" w:ascii="宋体" w:hAnsi="宋体" w:cs="宋体"/>
                <w:b/>
                <w:bCs/>
                <w:color w:val="000000"/>
                <w:spacing w:val="-3"/>
                <w:highlight w:val="none"/>
              </w:rPr>
              <w:t xml:space="preserve">4履约能力</w:t>
            </w:r>
            <w:r/>
          </w:p>
        </w:tc>
      </w:tr>
      <w:tr>
        <w:trPr>
          <w:jc w:val="center"/>
          <w:trHeight w:val="792"/>
        </w:trPr>
        <w:tc>
          <w:tcPr>
            <w:tcW w:w="519" w:type="dxa"/>
            <w:vAlign w:val="center"/>
            <w:textDirection w:val="lrTb"/>
            <w:noWrap w:val="false"/>
          </w:tcPr>
          <w:p>
            <w:pPr>
              <w:jc w:val="center"/>
              <w:spacing w:before="68" w:line="288" w:lineRule="auto"/>
              <w:rPr>
                <w:rFonts w:ascii="宋体" w:hAnsi="宋体" w:cs="宋体"/>
                <w:color w:val="000000"/>
                <w:spacing w:val="-2"/>
                <w:highlight w:val="none"/>
              </w:rPr>
            </w:pPr>
            <w:r>
              <w:rPr>
                <w:rFonts w:ascii="宋体" w:hAnsi="宋体" w:cs="宋体"/>
                <w:color w:val="000000"/>
                <w:spacing w:val="-2"/>
                <w:highlight w:val="none"/>
              </w:rPr>
              <w:t xml:space="preserve">4.1</w:t>
            </w:r>
            <w:r/>
          </w:p>
        </w:tc>
        <w:tc>
          <w:tcPr>
            <w:tcW w:w="1179" w:type="dxa"/>
            <w:vAlign w:val="center"/>
            <w:textDirection w:val="lrTb"/>
            <w:noWrap w:val="false"/>
          </w:tcPr>
          <w:p>
            <w:pPr>
              <w:spacing w:before="69" w:line="288" w:lineRule="auto"/>
              <w:rPr>
                <w:rFonts w:ascii="宋体" w:hAnsi="宋体" w:cs="宋体"/>
                <w:color w:val="000000"/>
                <w:spacing w:val="-1"/>
                <w:highlight w:val="none"/>
              </w:rPr>
            </w:pPr>
            <w:r>
              <w:rPr>
                <w:rFonts w:hint="eastAsia" w:ascii="宋体" w:hAnsi="宋体" w:cs="宋体"/>
                <w:b/>
                <w:bCs/>
                <w:color w:val="000000"/>
                <w:spacing w:val="-3"/>
                <w:highlight w:val="none"/>
              </w:rPr>
              <w:t xml:space="preserve">履约能力1</w:t>
            </w:r>
            <w:r/>
          </w:p>
        </w:tc>
        <w:tc>
          <w:tcPr>
            <w:tcW w:w="6616" w:type="dxa"/>
            <w:vAlign w:val="center"/>
            <w:textDirection w:val="lrTb"/>
            <w:noWrap w:val="false"/>
          </w:tcPr>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评委对供应商投入本项目的主要设备进行综合评分：</w:t>
            </w:r>
            <w:r/>
          </w:p>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1、提供工程车，限评2台，供应商自有的每提供一台得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分，最高得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分；供应商租赁的每提供一台得</w:t>
            </w:r>
            <w:r>
              <w:rPr>
                <w:rFonts w:hint="eastAsia" w:ascii="宋体" w:hAnsi="宋体" w:cs="宋体"/>
                <w:color w:val="000000"/>
                <w:spacing w:val="1"/>
                <w:highlight w:val="none"/>
                <w:lang w:val="en-US" w:eastAsia="zh-CN"/>
              </w:rPr>
              <w:t xml:space="preserve">0.5</w:t>
            </w:r>
            <w:r>
              <w:rPr>
                <w:rFonts w:hint="eastAsia" w:ascii="宋体" w:hAnsi="宋体" w:cs="宋体"/>
                <w:color w:val="000000"/>
                <w:spacing w:val="1"/>
                <w:highlight w:val="none"/>
              </w:rPr>
              <w:t xml:space="preserve">分，最高得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分。（工程车的配套设备包含但不限于：小型压路机、发电机、破碎锤、平板夯）</w:t>
            </w:r>
            <w:r/>
          </w:p>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2、提供轮式挖掘机（带破碎锤或功能类似），限评2台，供应商自有的每提供一台得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分，最高得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分；供应商租赁的每提供一台得</w:t>
            </w:r>
            <w:r>
              <w:rPr>
                <w:rFonts w:hint="eastAsia" w:ascii="宋体" w:hAnsi="宋体" w:cs="宋体"/>
                <w:color w:val="000000"/>
                <w:spacing w:val="1"/>
                <w:highlight w:val="none"/>
                <w:lang w:val="en-US" w:eastAsia="zh-CN"/>
              </w:rPr>
              <w:t xml:space="preserve">0.5</w:t>
            </w:r>
            <w:r>
              <w:rPr>
                <w:rFonts w:hint="eastAsia" w:ascii="宋体" w:hAnsi="宋体" w:cs="宋体"/>
                <w:color w:val="000000"/>
                <w:spacing w:val="1"/>
                <w:highlight w:val="none"/>
              </w:rPr>
              <w:t xml:space="preserve">分，最高得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w:t>
            </w:r>
            <w:r/>
          </w:p>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3、提供沥青专业维修设备，限评4台，如修路王、沥青铣刨机、摊铺机或其他功能类似设备，供应商自有的每提供一台得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分，最高得</w:t>
            </w:r>
            <w:r>
              <w:rPr>
                <w:rFonts w:hint="eastAsia" w:ascii="宋体" w:hAnsi="宋体" w:cs="宋体"/>
                <w:color w:val="000000"/>
                <w:spacing w:val="1"/>
                <w:highlight w:val="none"/>
                <w:lang w:val="en-US" w:eastAsia="zh-CN"/>
              </w:rPr>
              <w:t xml:space="preserve">4</w:t>
            </w:r>
            <w:r>
              <w:rPr>
                <w:rFonts w:hint="eastAsia" w:ascii="宋体" w:hAnsi="宋体" w:cs="宋体"/>
                <w:color w:val="000000"/>
                <w:spacing w:val="1"/>
                <w:highlight w:val="none"/>
              </w:rPr>
              <w:t xml:space="preserve">分；供应商租赁的每提供一台得</w:t>
            </w:r>
            <w:r>
              <w:rPr>
                <w:rFonts w:hint="eastAsia" w:ascii="宋体" w:hAnsi="宋体" w:cs="宋体"/>
                <w:color w:val="000000"/>
                <w:spacing w:val="1"/>
                <w:highlight w:val="none"/>
                <w:lang w:val="en-US" w:eastAsia="zh-CN"/>
              </w:rPr>
              <w:t xml:space="preserve">0.5</w:t>
            </w:r>
            <w:r>
              <w:rPr>
                <w:rFonts w:hint="eastAsia" w:ascii="宋体" w:hAnsi="宋体" w:cs="宋体"/>
                <w:color w:val="000000"/>
                <w:spacing w:val="1"/>
                <w:highlight w:val="none"/>
              </w:rPr>
              <w:t xml:space="preserve">分，最高得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分。（同类型产品提供多台，每台可得对应分数）</w:t>
            </w:r>
            <w:r/>
          </w:p>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以上机械设备为自有产权的，供应商需提供购买发票(车辆另需提供行驶证，发票抬头和行驶证单位名称需与供应商名称一致)、照片及反映评分参数要求的证明材料复印件加盖公章随文件递交;以上机械设备为租赁的，供应商需提供购买发票〈车辆另需提供行驶证〉、照片和机械设备的租赁合同(租赁合同乙方需与供应商一致，租赁期限应覆盖本项目服务期)随文件递交，否则不得分。 </w:t>
            </w:r>
            <w:r/>
          </w:p>
          <w:p>
            <w:pPr>
              <w:spacing w:line="288" w:lineRule="auto"/>
              <w:rPr>
                <w:rFonts w:ascii="宋体" w:hAnsi="宋体" w:cs="宋体"/>
                <w:color w:val="000000"/>
                <w:spacing w:val="12"/>
                <w:highlight w:val="none"/>
              </w:rPr>
            </w:pPr>
            <w:r>
              <w:rPr>
                <w:rFonts w:hint="eastAsia" w:ascii="宋体" w:hAnsi="宋体" w:cs="宋体"/>
                <w:color w:val="000000"/>
                <w:spacing w:val="1"/>
                <w:highlight w:val="none"/>
              </w:rPr>
              <w:t xml:space="preserve">注:机械设备名称无需与评分标准给定名称完全一致，但功能需相同；如提供的机械设备名称与评分标准给定名称不同时，应提供功能说明，相应功能应符合采购要求，否则不得分。</w:t>
            </w:r>
            <w:r/>
          </w:p>
        </w:tc>
        <w:tc>
          <w:tcPr>
            <w:tcW w:w="573" w:type="dxa"/>
            <w:vAlign w:val="center"/>
            <w:textDirection w:val="lrTb"/>
            <w:noWrap w:val="false"/>
          </w:tcPr>
          <w:p>
            <w:pPr>
              <w:jc w:val="center"/>
              <w:spacing w:before="68" w:line="288"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8</w:t>
            </w:r>
            <w:r/>
          </w:p>
        </w:tc>
        <w:tc>
          <w:tcPr>
            <w:tcW w:w="860" w:type="dxa"/>
            <w:vAlign w:val="center"/>
            <w:textDirection w:val="lrTb"/>
            <w:noWrap w:val="false"/>
          </w:tcPr>
          <w:p>
            <w:pPr>
              <w:jc w:val="center"/>
              <w:spacing w:before="68" w:line="288"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4165"/>
        </w:trPr>
        <w:tc>
          <w:tcPr>
            <w:tcW w:w="519" w:type="dxa"/>
            <w:vAlign w:val="center"/>
            <w:textDirection w:val="lrTb"/>
            <w:noWrap w:val="false"/>
          </w:tcPr>
          <w:p>
            <w:pPr>
              <w:jc w:val="center"/>
              <w:spacing w:before="68" w:line="288"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.2</w:t>
            </w:r>
            <w:r/>
          </w:p>
        </w:tc>
        <w:tc>
          <w:tcPr>
            <w:tcW w:w="1179" w:type="dxa"/>
            <w:vAlign w:val="center"/>
            <w:textDirection w:val="lrTb"/>
            <w:noWrap w:val="false"/>
          </w:tcPr>
          <w:p>
            <w:pPr>
              <w:spacing w:before="69" w:line="288" w:lineRule="auto"/>
              <w:rPr>
                <w:rFonts w:ascii="宋体" w:hAnsi="宋体" w:cs="宋体"/>
                <w:color w:val="000000"/>
                <w:spacing w:val="-1"/>
                <w:highlight w:val="none"/>
              </w:rPr>
            </w:pPr>
            <w:r>
              <w:rPr>
                <w:rFonts w:hint="eastAsia" w:ascii="宋体" w:hAnsi="宋体" w:cs="宋体"/>
                <w:b/>
                <w:bCs/>
                <w:color w:val="000000"/>
                <w:spacing w:val="-3"/>
                <w:highlight w:val="none"/>
              </w:rPr>
              <w:t xml:space="preserve">履约能力2</w:t>
            </w:r>
            <w:r/>
          </w:p>
        </w:tc>
        <w:tc>
          <w:tcPr>
            <w:tcW w:w="6616" w:type="dxa"/>
            <w:vAlign w:val="center"/>
            <w:textDirection w:val="lrTb"/>
            <w:noWrap w:val="false"/>
          </w:tcPr>
          <w:p>
            <w:pPr>
              <w:numPr>
                <w:ilvl w:val="0"/>
                <w:numId w:val="11"/>
              </w:numPr>
              <w:spacing w:line="288" w:lineRule="auto"/>
              <w:rPr>
                <w:rFonts w:hint="eastAsia"/>
                <w:highlight w:val="none"/>
              </w:rPr>
            </w:pPr>
            <w:r>
              <w:rPr>
                <w:rFonts w:hint="eastAsia" w:ascii="宋体" w:hAnsi="宋体" w:cs="宋体"/>
                <w:color w:val="000000"/>
                <w:spacing w:val="1"/>
                <w:highlight w:val="none"/>
                <w:lang w:val="en-US" w:eastAsia="zh-CN"/>
              </w:rPr>
              <w:t xml:space="preserve">投标人拟投入本项目的</w:t>
            </w:r>
            <w:r>
              <w:rPr>
                <w:rFonts w:hint="eastAsia" w:ascii="宋体" w:hAnsi="宋体" w:cs="宋体"/>
                <w:color w:val="000000"/>
                <w:spacing w:val="1"/>
                <w:highlight w:val="none"/>
              </w:rPr>
              <w:t xml:space="preserve">项目经理具有注册建造师证二级(含)以上，得5分。（提供人员证书及供应商为其缴纳的2024年以来任意1个月社保证明）</w:t>
            </w:r>
            <w:r/>
          </w:p>
          <w:p>
            <w:pPr>
              <w:spacing w:line="288"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投标人拟投入本项目的技术负责人</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lang w:val="en-US" w:eastAsia="zh-CN"/>
              </w:rPr>
              <w:t xml:space="preserve">除</w:t>
            </w:r>
            <w:r>
              <w:rPr>
                <w:rFonts w:hint="eastAsia" w:ascii="宋体" w:hAnsi="宋体" w:cs="宋体"/>
                <w:color w:val="000000"/>
                <w:spacing w:val="1"/>
                <w:highlight w:val="none"/>
                <w:lang w:val="en-US" w:eastAsia="zh-CN"/>
              </w:rPr>
              <w:t xml:space="preserve">项目</w:t>
            </w:r>
            <w:r>
              <w:rPr>
                <w:rFonts w:hint="eastAsia" w:ascii="宋体" w:hAnsi="宋体" w:cs="宋体"/>
                <w:color w:val="000000"/>
                <w:spacing w:val="1"/>
                <w:highlight w:val="none"/>
                <w:lang w:val="en-US" w:eastAsia="zh-CN"/>
              </w:rPr>
              <w:t xml:space="preserve">经理</w:t>
            </w:r>
            <w:r>
              <w:rPr>
                <w:rFonts w:hint="eastAsia" w:ascii="宋体" w:hAnsi="宋体" w:cs="宋体"/>
                <w:color w:val="000000"/>
                <w:spacing w:val="1"/>
                <w:highlight w:val="none"/>
                <w:lang w:val="en-US" w:eastAsia="zh-CN"/>
              </w:rPr>
              <w:t xml:space="preserve">外</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具有注册建造师证二级(含)以上，得</w:t>
            </w:r>
            <w:r>
              <w:rPr>
                <w:rFonts w:hint="eastAsia" w:ascii="宋体" w:hAnsi="宋体" w:cs="宋体"/>
                <w:color w:val="000000"/>
                <w:spacing w:val="1"/>
                <w:highlight w:val="none"/>
                <w:lang w:val="en-US" w:eastAsia="zh-CN"/>
              </w:rPr>
              <w:t xml:space="preserve">5</w:t>
            </w:r>
            <w:r>
              <w:rPr>
                <w:rFonts w:hint="eastAsia" w:ascii="宋体" w:hAnsi="宋体" w:cs="宋体"/>
                <w:color w:val="000000"/>
                <w:spacing w:val="1"/>
                <w:highlight w:val="none"/>
              </w:rPr>
              <w:t xml:space="preserve">分。（提供人员证书及供应商为其缴纳的2024年以来任意1个月社保证明）</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pacing w:val="1"/>
                <w:highlight w:val="none"/>
                <w:lang w:val="en-US" w:eastAsia="zh-CN"/>
              </w:rPr>
              <w:t xml:space="preserve">3、</w:t>
            </w:r>
            <w:r>
              <w:rPr>
                <w:rFonts w:ascii="SimSun" w:hAnsi="SimSun" w:eastAsia="SimSun" w:cs="SimSun"/>
                <w:color w:val="000000"/>
                <w:spacing w:val="1"/>
                <w:sz w:val="21"/>
              </w:rPr>
              <w:t xml:space="preserve">投标人拟投入本项目的项目实施人员（除项目经理、技术负责人外）包含：施工员、质检员、安全员、材料员、资料员，满足得5分，缺员不得分。（提供人员名单、证书及供应商为其缴纳的2024年以来任意1个月社保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r>
            <w:r>
              <w:rPr>
                <w:rFonts w:ascii="SimSun" w:hAnsi="SimSun" w:eastAsia="SimSun" w:cs="SimSun"/>
                <w:color w:val="000000"/>
                <w:spacing w:val="1"/>
                <w:sz w:val="21"/>
              </w:rPr>
              <w:t xml:space="preserve">4、投标人提供的维护</w:t>
            </w:r>
            <w:r>
              <w:rPr>
                <w:rFonts w:ascii="SimSun" w:hAnsi="SimSun" w:eastAsia="SimSun" w:cs="SimSun"/>
                <w:color w:val="000000"/>
                <w:spacing w:val="1"/>
                <w:sz w:val="21"/>
              </w:rPr>
              <w:t xml:space="preserve">团队</w:t>
            </w:r>
            <w:r>
              <w:rPr>
                <w:rFonts w:ascii="SimSun" w:hAnsi="SimSun" w:eastAsia="SimSun" w:cs="SimSun"/>
                <w:color w:val="000000"/>
                <w:spacing w:val="1"/>
                <w:sz w:val="21"/>
              </w:rPr>
              <w:t xml:space="preserve">人员</w:t>
            </w:r>
            <w:r>
              <w:rPr>
                <w:rFonts w:ascii="SimSun" w:hAnsi="SimSun" w:eastAsia="SimSun" w:cs="SimSun"/>
                <w:color w:val="000000"/>
                <w:spacing w:val="1"/>
                <w:sz w:val="21"/>
              </w:rPr>
              <w:t xml:space="preserve">（除项目经理、技术负责人及实施人员外），满足6人</w:t>
            </w:r>
            <w:r>
              <w:rPr>
                <w:rFonts w:ascii="SimSun" w:hAnsi="SimSun" w:eastAsia="SimSun" w:cs="SimSun"/>
                <w:color w:val="000000"/>
                <w:spacing w:val="1"/>
                <w:sz w:val="21"/>
              </w:rPr>
              <w:t xml:space="preserve">得1</w:t>
            </w:r>
            <w:r>
              <w:rPr>
                <w:rFonts w:ascii="SimSun" w:hAnsi="SimSun" w:eastAsia="SimSun" w:cs="SimSun"/>
                <w:color w:val="000000"/>
                <w:spacing w:val="1"/>
                <w:sz w:val="21"/>
              </w:rPr>
              <w:t xml:space="preserve">分</w:t>
            </w:r>
            <w:r>
              <w:rPr>
                <w:rFonts w:ascii="SimSun" w:hAnsi="SimSun" w:eastAsia="SimSun" w:cs="SimSun"/>
                <w:color w:val="000000"/>
                <w:spacing w:val="1"/>
                <w:sz w:val="21"/>
              </w:rPr>
              <w:t xml:space="preserve">，每</w:t>
            </w:r>
            <w:r>
              <w:rPr>
                <w:rFonts w:ascii="SimSun" w:hAnsi="SimSun" w:eastAsia="SimSun" w:cs="SimSun"/>
                <w:color w:val="000000"/>
                <w:spacing w:val="1"/>
                <w:sz w:val="21"/>
              </w:rPr>
              <w:t xml:space="preserve">增加</w:t>
            </w:r>
            <w:r>
              <w:rPr>
                <w:rFonts w:ascii="SimSun" w:hAnsi="SimSun" w:eastAsia="SimSun" w:cs="SimSun"/>
                <w:color w:val="000000"/>
                <w:spacing w:val="1"/>
                <w:sz w:val="21"/>
              </w:rPr>
              <w:t xml:space="preserve">一人</w:t>
            </w:r>
            <w:r>
              <w:rPr>
                <w:rFonts w:ascii="SimSun" w:hAnsi="SimSun" w:eastAsia="SimSun" w:cs="SimSun"/>
                <w:color w:val="000000"/>
                <w:spacing w:val="1"/>
                <w:sz w:val="21"/>
              </w:rPr>
              <w:t xml:space="preserve">加</w:t>
            </w:r>
            <w:r>
              <w:rPr>
                <w:rFonts w:ascii="SimSun" w:hAnsi="SimSun" w:eastAsia="SimSun" w:cs="SimSun"/>
                <w:color w:val="000000"/>
                <w:spacing w:val="1"/>
                <w:sz w:val="21"/>
              </w:rPr>
              <w:t xml:space="preserve">1分，最高得5分。（提供</w:t>
            </w:r>
            <w:r>
              <w:rPr>
                <w:rFonts w:ascii="SimSun" w:hAnsi="SimSun" w:eastAsia="SimSun" w:cs="SimSun"/>
                <w:color w:val="000000"/>
                <w:spacing w:val="1"/>
                <w:sz w:val="21"/>
              </w:rPr>
              <w:t xml:space="preserve">劳动</w:t>
            </w:r>
            <w:r>
              <w:rPr>
                <w:rFonts w:ascii="SimSun" w:hAnsi="SimSun" w:eastAsia="SimSun" w:cs="SimSun"/>
                <w:color w:val="000000"/>
                <w:spacing w:val="1"/>
                <w:sz w:val="21"/>
              </w:rPr>
              <w:t xml:space="preserve">合同及供应商为其缴纳的2024年以来任意1个月社保证明）</w:t>
            </w:r>
            <w:r>
              <w:rPr>
                <w:rFonts w:ascii="SimSun" w:hAnsi="SimSun" w:eastAsia="SimSun" w:cs="SimSun"/>
                <w:color w:val="000000"/>
                <w:spacing w:val="1"/>
                <w:sz w:val="21"/>
              </w:rPr>
            </w:r>
            <w:r/>
          </w:p>
        </w:tc>
        <w:tc>
          <w:tcPr>
            <w:tcW w:w="573" w:type="dxa"/>
            <w:vAlign w:val="center"/>
            <w:textDirection w:val="lrTb"/>
            <w:noWrap w:val="false"/>
          </w:tcPr>
          <w:p>
            <w:pPr>
              <w:jc w:val="center"/>
              <w:spacing w:before="68" w:line="288" w:lineRule="auto"/>
              <w:rPr>
                <w:rFonts w:ascii="宋体" w:hAnsi="宋体" w:cs="宋体"/>
                <w:color w:val="000000"/>
                <w:highlight w:val="none"/>
              </w:rPr>
            </w:pPr>
            <w:r>
              <w:rPr>
                <w:rFonts w:hint="eastAsia" w:ascii="宋体" w:hAnsi="宋体" w:cs="宋体"/>
                <w:color w:val="000000"/>
                <w:highlight w:val="none"/>
              </w:rPr>
              <w:t xml:space="preserve">20</w:t>
            </w:r>
            <w:r/>
          </w:p>
        </w:tc>
        <w:tc>
          <w:tcPr>
            <w:tcW w:w="860" w:type="dxa"/>
            <w:vAlign w:val="center"/>
            <w:textDirection w:val="lrTb"/>
            <w:noWrap w:val="false"/>
          </w:tcPr>
          <w:p>
            <w:pPr>
              <w:jc w:val="center"/>
              <w:spacing w:before="68" w:line="288"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464"/>
        </w:trPr>
        <w:tc>
          <w:tcPr>
            <w:tcW w:w="519" w:type="dxa"/>
            <w:vAlign w:val="center"/>
            <w:textDirection w:val="lrTb"/>
            <w:noWrap w:val="false"/>
          </w:tcPr>
          <w:p>
            <w:pPr>
              <w:jc w:val="center"/>
              <w:spacing w:line="288" w:lineRule="auto"/>
              <w:rPr>
                <w:color w:val="000000"/>
                <w:highlight w:val="none"/>
              </w:rPr>
            </w:pPr>
            <w:r/>
            <w:bookmarkStart w:id="213" w:name="_GoBack"/>
            <w:r/>
            <w:bookmarkEnd w:id="213"/>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p>
        </w:tc>
        <w:tc>
          <w:tcPr>
            <w:gridSpan w:val="2"/>
            <w:tcW w:w="7795" w:type="dxa"/>
            <w:vAlign w:val="center"/>
            <w:textDirection w:val="lrTb"/>
            <w:noWrap w:val="false"/>
          </w:tcPr>
          <w:p>
            <w:pPr>
              <w:ind w:left="172"/>
              <w:jc w:val="center"/>
              <w:spacing w:before="123" w:line="288" w:lineRule="auto"/>
              <w:rPr>
                <w:rFonts w:ascii="宋体" w:hAnsi="宋体" w:cs="宋体"/>
                <w:color w:val="000000"/>
                <w:spacing w:val="-2"/>
                <w:highlight w:val="none"/>
              </w:rPr>
            </w:pPr>
            <w:r>
              <w:rPr>
                <w:rFonts w:ascii="宋体" w:hAnsi="宋体" w:cs="宋体"/>
                <w:color w:val="000000"/>
                <w:spacing w:val="-2"/>
                <w:highlight w:val="none"/>
              </w:rPr>
            </w:r>
            <w:r/>
          </w:p>
        </w:tc>
        <w:tc>
          <w:tcPr>
            <w:gridSpan w:val="2"/>
            <w:tcW w:w="1433" w:type="dxa"/>
            <w:vAlign w:val="center"/>
            <w:textDirection w:val="lrTb"/>
            <w:noWrap w:val="false"/>
          </w:tcPr>
          <w:p>
            <w:pPr>
              <w:jc w:val="center"/>
              <w:spacing w:line="288" w:lineRule="auto"/>
              <w:rPr>
                <w:color w:val="000000"/>
                <w:highlight w:val="none"/>
              </w:rPr>
            </w:pPr>
            <w:r>
              <w:rPr>
                <w:rFonts w:ascii="宋体" w:hAnsi="宋体" w:cs="宋体"/>
                <w:color w:val="000000"/>
                <w:spacing w:val="-11"/>
                <w:highlight w:val="none"/>
              </w:rPr>
              <w:t xml:space="preserve">100分</w:t>
            </w:r>
            <w:r/>
          </w:p>
        </w:tc>
      </w:tr>
    </w:tbl>
    <w:p>
      <w:pPr>
        <w:spacing w:line="288" w:lineRule="auto"/>
        <w:rPr>
          <w:rFonts w:hint="eastAsia"/>
          <w:color w:val="000000"/>
          <w:highlight w:val="none"/>
        </w:rPr>
      </w:pPr>
      <w:r>
        <w:rPr>
          <w:rFonts w:hint="eastAsia"/>
          <w:color w:val="000000"/>
          <w:highlight w:val="none"/>
        </w:rPr>
      </w:r>
      <w:r/>
    </w:p>
    <w:p>
      <w:pPr>
        <w:spacing w:line="288" w:lineRule="auto"/>
        <w:rPr>
          <w:rFonts w:hint="eastAsia"/>
          <w:color w:val="000000"/>
          <w:highlight w:val="none"/>
        </w:rPr>
      </w:pPr>
      <w:r>
        <w:rPr>
          <w:rFonts w:hint="eastAsia"/>
          <w:color w:val="000000"/>
          <w:highlight w:val="none"/>
        </w:rPr>
      </w:r>
      <w:r/>
    </w:p>
    <w:p>
      <w:pPr>
        <w:spacing w:line="288" w:lineRule="auto"/>
        <w:rPr>
          <w:rFonts w:hint="eastAsia"/>
          <w:color w:val="000000"/>
          <w:highlight w:val="none"/>
        </w:rPr>
      </w:pPr>
      <w:r>
        <w:rPr>
          <w:rFonts w:hint="eastAsia"/>
          <w:color w:val="000000"/>
          <w:highlight w:val="none"/>
        </w:rPr>
      </w:r>
      <w:r/>
    </w:p>
    <w:p>
      <w:pPr>
        <w:pStyle w:val="987"/>
        <w:spacing w:line="288" w:lineRule="auto"/>
        <w:rPr>
          <w:rFonts w:hint="eastAsia"/>
          <w:color w:val="000000"/>
          <w:highlight w:val="none"/>
        </w:rPr>
      </w:pPr>
      <w:r>
        <w:rPr>
          <w:rFonts w:hint="eastAsia"/>
          <w:color w:val="000000"/>
          <w:highlight w:val="none"/>
        </w:rPr>
      </w:r>
      <w:r/>
    </w:p>
    <w:p>
      <w:pPr>
        <w:pStyle w:val="951"/>
        <w:rPr>
          <w:rFonts w:hint="eastAsia"/>
          <w:color w:val="000000"/>
          <w:highlight w:val="none"/>
        </w:rPr>
      </w:pPr>
      <w:r>
        <w:rPr>
          <w:rFonts w:hint="eastAsia"/>
          <w:color w:val="000000"/>
          <w:highlight w:val="none"/>
        </w:rPr>
      </w:r>
      <w:r/>
    </w:p>
    <w:p>
      <w:pPr>
        <w:spacing w:line="288"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51"/>
        <w:ind w:firstLine="482"/>
        <w:rPr>
          <w:rFonts w:hint="eastAsia" w:cs="宋体"/>
          <w:b/>
          <w:bCs/>
          <w:color w:val="000000"/>
          <w:sz w:val="24"/>
          <w:szCs w:val="24"/>
          <w:highlight w:val="none"/>
        </w:rPr>
      </w:pPr>
      <w:r>
        <w:rPr>
          <w:rFonts w:hint="eastAsia"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51"/>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14"/>
        <w:rPr>
          <w:rFonts w:hint="eastAsia"/>
          <w:color w:val="000000"/>
          <w:highlight w:val="none"/>
        </w:rPr>
      </w:pPr>
      <w:r>
        <w:rPr>
          <w:rFonts w:hint="eastAsia"/>
          <w:color w:val="000000"/>
          <w:highlight w:val="none"/>
        </w:rPr>
      </w:r>
      <w:r/>
    </w:p>
    <w:p>
      <w:pPr>
        <w:rPr>
          <w:rFonts w:hint="eastAsia"/>
        </w:rPr>
      </w:pPr>
      <w:r>
        <w:rPr>
          <w:rFonts w:hint="eastAsia"/>
        </w:rPr>
      </w:r>
      <w:r/>
    </w:p>
    <w:p>
      <w:pPr>
        <w:rPr>
          <w:rFonts w:hint="eastAsia"/>
        </w:rPr>
      </w:pPr>
      <w:r>
        <w:rPr>
          <w:rFonts w:hint="eastAsia"/>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w:t>
      </w:r>
      <w:bookmarkEnd w:id="191"/>
      <w:r/>
      <w:bookmarkEnd w:id="192"/>
      <w:r/>
      <w:bookmarkEnd w:id="194"/>
      <w:r>
        <w:rPr>
          <w:rFonts w:hint="eastAsia" w:ascii="方正小标宋简体" w:hAnsi="方正小标宋简体" w:eastAsia="方正小标宋简体" w:cs="方正小标宋简体"/>
          <w:color w:val="000000"/>
          <w:sz w:val="36"/>
          <w:szCs w:val="36"/>
          <w:highlight w:val="none"/>
        </w:rPr>
        <w:t xml:space="preserve">文件格式 </w:t>
      </w:r>
      <w:r/>
    </w:p>
    <w:p>
      <w:pPr>
        <w:jc w:val="center"/>
        <w:rPr>
          <w:rFonts w:hint="eastAsia" w:ascii="宋体" w:hAnsi="宋体"/>
          <w:b/>
          <w:color w:val="000000"/>
          <w:sz w:val="72"/>
          <w:highlight w:val="none"/>
        </w:rPr>
      </w:pPr>
      <w:r/>
      <w:bookmarkStart w:id="195" w:name="_Hlt26955039"/>
      <w:r/>
      <w:bookmarkEnd w:id="195"/>
      <w:r/>
      <w:bookmarkStart w:id="196" w:name="_Hlt26671244"/>
      <w:r/>
      <w:bookmarkEnd w:id="196"/>
      <w:r/>
      <w:bookmarkStart w:id="197" w:name="_Toc26554094"/>
      <w:r/>
      <w:bookmarkStart w:id="198" w:name="_Toc120614282"/>
      <w:r/>
      <w:bookmarkStart w:id="199" w:name="_Toc49090576"/>
      <w:r/>
      <w:r/>
    </w:p>
    <w:p>
      <w:pPr>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p>
    <w:p>
      <w:pPr>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highlight w:val="none"/>
        </w:rPr>
      </w:pPr>
      <w:r>
        <w:rPr>
          <w:rFonts w:ascii="宋体" w:hAnsi="宋体"/>
          <w:color w:val="000000"/>
          <w:highlight w:val="none"/>
        </w:rPr>
      </w:r>
      <w:r/>
    </w:p>
    <w:p>
      <w:pPr>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hint="eastAsia" w:ascii="宋体" w:hAnsi="宋体" w:eastAsia="宋体" w:cs="宋体"/>
          <w:color w:val="000000"/>
          <w:sz w:val="28"/>
          <w:szCs w:val="28"/>
          <w:highlight w:val="none"/>
        </w:rPr>
        <w:t xml:space="preserve">（分包1、分包2）</w:t>
      </w:r>
      <w:r/>
    </w:p>
    <w:p>
      <w:pPr>
        <w:ind w:firstLine="560"/>
        <w:spacing w:line="600" w:lineRule="exact"/>
        <w:rPr>
          <w:rFonts w:hint="eastAsia" w:ascii="宋体" w:hAnsi="宋体" w:cs="宋体"/>
          <w:color w:val="000000"/>
          <w:sz w:val="28"/>
          <w:szCs w:val="28"/>
          <w:highlight w:val="none"/>
        </w:rPr>
      </w:pPr>
      <w:r>
        <w:rPr>
          <w:rFonts w:hint="eastAsia" w:ascii="宋体" w:hAnsi="宋体" w:eastAsia="宋体" w:cs="宋体"/>
          <w:color w:val="000000"/>
          <w:sz w:val="28"/>
          <w:szCs w:val="28"/>
          <w:highlight w:val="none"/>
        </w:rPr>
        <w:t xml:space="preserve">六、投标分项报价表（分包1、分包2）</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七、技术要求响应及偏离表</w:t>
      </w:r>
      <w:r>
        <w:rPr>
          <w:rFonts w:hint="eastAsia" w:ascii="宋体" w:hAnsi="宋体" w:eastAsia="宋体" w:cs="宋体"/>
          <w:color w:val="000000"/>
          <w:sz w:val="28"/>
          <w:szCs w:val="28"/>
          <w:highlight w:val="none"/>
        </w:rPr>
        <w:t xml:space="preserve">（分包1、分包2）</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rPr>
          <w:rFonts w:hint="eastAsia" w:ascii="宋体" w:hAnsi="宋体" w:eastAsia="宋体" w:cs="宋体"/>
          <w:color w:val="000000"/>
          <w:sz w:val="28"/>
          <w:szCs w:val="28"/>
          <w:highlight w:val="none"/>
        </w:rPr>
        <w:t xml:space="preserve">（分包1、分包2）</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十一、联合体协议（如有）</w:t>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974"/>
        <w:rPr>
          <w:color w:val="000000"/>
          <w:sz w:val="24"/>
          <w:highlight w:val="none"/>
        </w:rPr>
      </w:pPr>
      <w:r>
        <w:rPr>
          <w:color w:val="000000"/>
          <w:sz w:val="24"/>
          <w:highlight w:val="none"/>
        </w:rPr>
      </w:r>
      <w:r/>
    </w:p>
    <w:p>
      <w:pPr>
        <w:pStyle w:val="974"/>
        <w:rPr>
          <w:color w:val="000000"/>
          <w:sz w:val="24"/>
          <w:highlight w:val="none"/>
        </w:rPr>
      </w:pPr>
      <w:r>
        <w:rPr>
          <w:color w:val="000000"/>
          <w:sz w:val="24"/>
          <w:highlight w:val="none"/>
        </w:rPr>
      </w:r>
      <w:r/>
    </w:p>
    <w:p>
      <w:pPr>
        <w:pStyle w:val="974"/>
        <w:rPr>
          <w:color w:val="000000"/>
          <w:sz w:val="24"/>
          <w:highlight w:val="none"/>
        </w:rPr>
      </w:pPr>
      <w:r>
        <w:rPr>
          <w:color w:val="000000"/>
          <w:sz w:val="24"/>
          <w:highlight w:val="none"/>
        </w:rPr>
      </w:r>
      <w:r/>
    </w:p>
    <w:p>
      <w:pPr>
        <w:pStyle w:val="974"/>
        <w:rPr>
          <w:color w:val="000000"/>
          <w:sz w:val="24"/>
          <w:highlight w:val="none"/>
        </w:rPr>
      </w:pPr>
      <w:r>
        <w:rPr>
          <w:color w:val="000000"/>
          <w:sz w:val="24"/>
          <w:highlight w:val="none"/>
        </w:rPr>
      </w:r>
      <w:r/>
    </w:p>
    <w:p>
      <w:pPr>
        <w:pStyle w:val="974"/>
        <w:rPr>
          <w:color w:val="000000"/>
          <w:sz w:val="24"/>
          <w:highlight w:val="none"/>
        </w:rPr>
      </w:pPr>
      <w:r>
        <w:rPr>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bookmarkEnd w:id="197"/>
      <w:r/>
      <w:bookmarkEnd w:id="198"/>
      <w:r/>
      <w:bookmarkEnd w:id="199"/>
      <w:r/>
      <w:r/>
    </w:p>
    <w:p>
      <w:pPr>
        <w:rPr>
          <w:rFonts w:hint="eastAsia" w:ascii="黑体" w:hAnsi="黑体" w:eastAsia="黑体"/>
          <w:i/>
          <w:color w:val="000000"/>
          <w:sz w:val="32"/>
          <w:szCs w:val="32"/>
          <w:highlight w:val="none"/>
          <w:u w:val="single"/>
        </w:rPr>
      </w:pPr>
      <w:r/>
      <w:bookmarkStart w:id="200" w:name="_Toc120614284"/>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说明：执行南京市财政局《关于在政府采购活动中推行信用承诺制的通知》（宁财购通</w:t>
      </w:r>
      <w:r>
        <w:rPr>
          <w:rFonts w:hint="eastAsia" w:ascii="宋体" w:hAnsi="宋体"/>
          <w:color w:val="000000"/>
          <w:sz w:val="24"/>
          <w:szCs w:val="24"/>
          <w:highlight w:val="none"/>
          <w:lang w:val="zh-CN"/>
        </w:rPr>
        <w:t xml:space="preserve">〔202</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zh-CN"/>
        </w:rPr>
        <w:t xml:space="preserve">〕5号</w:t>
      </w:r>
      <w:r>
        <w:rPr>
          <w:rFonts w:hint="eastAsia" w:ascii="宋体" w:hAnsi="宋体"/>
          <w:color w:val="000000"/>
          <w:sz w:val="24"/>
          <w:szCs w:val="24"/>
          <w:highlight w:val="none"/>
        </w:rPr>
        <w:t xml:space="preserve">）要求。</w:t>
      </w:r>
      <w:r/>
    </w:p>
    <w:p>
      <w:pPr>
        <w:pStyle w:val="968"/>
        <w:rPr>
          <w:rFonts w:hint="eastAsia" w:ascii="宋体" w:hAnsi="宋体"/>
          <w:b/>
          <w:bCs/>
          <w:color w:val="000000"/>
          <w:highlight w:val="none"/>
          <w:lang w:eastAsia="zh-CN"/>
        </w:rPr>
      </w:pPr>
      <w:r>
        <w:rPr>
          <w:rFonts w:hint="eastAsia" w:ascii="宋体" w:hAnsi="宋体"/>
          <w:b/>
          <w:bCs/>
          <w:color w:val="000000"/>
          <w:highlight w:val="none"/>
          <w:lang w:eastAsia="zh-CN"/>
        </w:rPr>
      </w:r>
      <w:r/>
    </w:p>
    <w:p>
      <w:pPr>
        <w:rPr>
          <w:rFonts w:hint="eastAsia"/>
          <w:color w:val="000000"/>
          <w:highlight w:val="none"/>
        </w:rPr>
      </w:pPr>
      <w:r>
        <w:rPr>
          <w:rFonts w:hint="eastAsia"/>
          <w:color w:val="000000"/>
          <w:highlight w:val="none"/>
        </w:rPr>
      </w:r>
      <w:r/>
    </w:p>
    <w:p>
      <w:pPr>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p>
    <w:p>
      <w:pPr>
        <w:pStyle w:val="975"/>
        <w:ind w:firstLine="480"/>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68"/>
        <w:rPr>
          <w:rFonts w:hint="eastAsia"/>
          <w:color w:val="000000"/>
          <w:highlight w:val="none"/>
          <w:lang w:eastAsia="zh-CN"/>
        </w:rPr>
      </w:pPr>
      <w:r>
        <w:rPr>
          <w:rFonts w:hint="eastAsia"/>
          <w:color w:val="000000"/>
          <w:highlight w:val="none"/>
          <w:lang w:eastAsia="zh-CN"/>
        </w:rPr>
      </w:r>
      <w:r/>
    </w:p>
    <w:p>
      <w:pPr>
        <w:rPr>
          <w:rFonts w:hint="eastAsia"/>
          <w:color w:val="000000"/>
          <w:highlight w:val="none"/>
        </w:rPr>
      </w:pPr>
      <w:r>
        <w:rPr>
          <w:rFonts w:hint="eastAsia"/>
          <w:color w:val="000000"/>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法人授权书</w:t>
      </w:r>
      <w:r/>
    </w:p>
    <w:p>
      <w:pPr>
        <w:pStyle w:val="975"/>
        <w:ind w:firstLine="480"/>
        <w:spacing w:line="420" w:lineRule="exact"/>
        <w:rPr>
          <w:rFonts w:hint="eastAsia"/>
          <w:color w:val="000000"/>
          <w:sz w:val="24"/>
          <w:szCs w:val="24"/>
          <w:highlight w:val="none"/>
        </w:rPr>
      </w:pPr>
      <w:r>
        <w:rPr>
          <w:rFonts w:hint="eastAsia"/>
          <w:color w:val="000000"/>
          <w:sz w:val="24"/>
          <w:szCs w:val="24"/>
          <w:highlight w:val="none"/>
        </w:rPr>
      </w:r>
      <w:r/>
    </w:p>
    <w:p>
      <w:pPr>
        <w:pStyle w:val="975"/>
        <w:ind w:firstLine="480"/>
        <w:spacing w:line="480" w:lineRule="exact"/>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p>
    <w:p>
      <w:pPr>
        <w:pStyle w:val="975"/>
        <w:ind w:firstLine="480"/>
        <w:spacing w:line="480" w:lineRule="exact"/>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p>
    <w:p>
      <w:pPr>
        <w:pStyle w:val="975"/>
        <w:ind w:firstLine="480"/>
        <w:spacing w:line="480" w:lineRule="exact"/>
        <w:rPr>
          <w:rFonts w:hint="eastAsia"/>
          <w:color w:val="000000"/>
          <w:sz w:val="24"/>
          <w:szCs w:val="24"/>
          <w:highlight w:val="none"/>
        </w:rPr>
      </w:pPr>
      <w:r>
        <w:rPr>
          <w:rFonts w:hint="eastAsia"/>
          <w:color w:val="000000"/>
          <w:sz w:val="24"/>
          <w:szCs w:val="24"/>
          <w:highlight w:val="none"/>
        </w:rPr>
        <w:t xml:space="preserve">被授权人身份证号码：</w:t>
      </w:r>
      <w:r/>
    </w:p>
    <w:p>
      <w:pPr>
        <w:pStyle w:val="975"/>
        <w:ind w:firstLine="480"/>
        <w:spacing w:line="480" w:lineRule="exact"/>
        <w:rPr>
          <w:rFonts w:hint="eastAsia"/>
          <w:color w:val="000000"/>
          <w:sz w:val="24"/>
          <w:szCs w:val="24"/>
          <w:highlight w:val="none"/>
          <w:u w:val="single"/>
        </w:rPr>
      </w:pPr>
      <w:r>
        <w:rPr>
          <w:rFonts w:hint="eastAsia"/>
          <w:color w:val="000000"/>
          <w:sz w:val="24"/>
          <w:szCs w:val="24"/>
          <w:highlight w:val="none"/>
        </w:rPr>
        <w:t xml:space="preserve">被授权人联系电话：（手机）</w:t>
      </w:r>
      <w:r/>
    </w:p>
    <w:p>
      <w:pPr>
        <w:pStyle w:val="975"/>
        <w:ind w:firstLine="468"/>
        <w:spacing w:line="480" w:lineRule="exact"/>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p>
    <w:p>
      <w:pPr>
        <w:pStyle w:val="975"/>
        <w:ind w:firstLine="480"/>
        <w:spacing w:line="480" w:lineRule="exact"/>
        <w:rPr>
          <w:rFonts w:hint="eastAsia"/>
          <w:color w:val="000000"/>
          <w:sz w:val="24"/>
          <w:szCs w:val="24"/>
          <w:highlight w:val="none"/>
          <w:u w:val="single"/>
        </w:rPr>
      </w:pPr>
      <w:r>
        <w:rPr>
          <w:rFonts w:hint="eastAsia"/>
          <w:color w:val="000000"/>
          <w:sz w:val="24"/>
          <w:szCs w:val="24"/>
          <w:highlight w:val="none"/>
        </w:rPr>
        <w:t xml:space="preserve">单位地址：</w:t>
      </w:r>
      <w:r/>
    </w:p>
    <w:p>
      <w:pPr>
        <w:pStyle w:val="975"/>
        <w:ind w:firstLine="480"/>
        <w:spacing w:line="480" w:lineRule="exact"/>
        <w:rPr>
          <w:rFonts w:hint="eastAsia"/>
          <w:color w:val="000000"/>
          <w:sz w:val="24"/>
          <w:szCs w:val="24"/>
          <w:highlight w:val="none"/>
        </w:rPr>
      </w:pPr>
      <w:r>
        <w:rPr>
          <w:rFonts w:hint="eastAsia"/>
          <w:color w:val="000000"/>
          <w:sz w:val="24"/>
          <w:szCs w:val="24"/>
          <w:highlight w:val="none"/>
        </w:rPr>
        <w:t xml:space="preserve">日    期：</w:t>
      </w:r>
      <w:bookmarkStart w:id="201" w:name="_格式3__银行出具的资信证明"/>
      <w:r/>
      <w:bookmarkEnd w:id="201"/>
      <w:r/>
      <w:bookmarkStart w:id="202" w:name="_Hlt26955070"/>
      <w:r/>
      <w:bookmarkEnd w:id="202"/>
      <w:r/>
      <w:bookmarkStart w:id="203" w:name="_Hlt26671380"/>
      <w:r/>
      <w:bookmarkEnd w:id="203"/>
      <w:r/>
      <w:r/>
    </w:p>
    <w:p>
      <w:pPr>
        <w:pStyle w:val="886"/>
        <w:rPr>
          <w:rFonts w:hint="eastAsia"/>
          <w:i/>
          <w:color w:val="000000"/>
          <w:sz w:val="24"/>
          <w:szCs w:val="24"/>
          <w:highlight w:val="none"/>
          <w:u w:val="single"/>
        </w:rPr>
      </w:pPr>
      <w:r>
        <w:rPr>
          <w:rFonts w:hint="eastAsia"/>
          <w:i/>
          <w:color w:val="000000"/>
          <w:sz w:val="24"/>
          <w:szCs w:val="24"/>
          <w:highlight w:val="none"/>
          <w:u w:val="single"/>
        </w:rPr>
      </w:r>
      <w:r/>
    </w:p>
    <w:p>
      <w:pPr>
        <w:pStyle w:val="886"/>
        <w:rPr>
          <w:rFonts w:hint="eastAsia"/>
          <w:i/>
          <w:color w:val="000000"/>
          <w:sz w:val="24"/>
          <w:szCs w:val="24"/>
          <w:highlight w:val="none"/>
          <w:u w:val="single"/>
        </w:rPr>
      </w:pPr>
      <w:r>
        <w:rPr>
          <w:rFonts w:hint="eastAsia"/>
          <w:i/>
          <w:color w:val="000000"/>
          <w:sz w:val="24"/>
          <w:szCs w:val="24"/>
          <w:highlight w:val="none"/>
          <w:u w:val="single"/>
        </w:rPr>
      </w:r>
      <w:r/>
    </w:p>
    <w:p>
      <w:pPr>
        <w:pStyle w:val="886"/>
        <w:rPr>
          <w:rFonts w:hint="eastAsia"/>
          <w:i/>
          <w:color w:val="000000"/>
          <w:sz w:val="24"/>
          <w:szCs w:val="24"/>
          <w:highlight w:val="none"/>
          <w:u w:val="single"/>
        </w:rPr>
      </w:pPr>
      <w:r>
        <w:rPr>
          <w:rFonts w:hint="eastAsia"/>
          <w:i/>
          <w:color w:val="000000"/>
          <w:sz w:val="24"/>
          <w:szCs w:val="24"/>
          <w:highlight w:val="none"/>
          <w:u w:val="single"/>
        </w:rPr>
      </w:r>
      <w:r/>
    </w:p>
    <w:p>
      <w:pPr>
        <w:pStyle w:val="886"/>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4"/>
        <w:rPr>
          <w:rFonts w:hint="eastAsia"/>
          <w:color w:val="000000"/>
          <w:sz w:val="24"/>
          <w:szCs w:val="24"/>
          <w:highlight w:val="none"/>
        </w:rPr>
      </w:pPr>
      <w:r>
        <w:rPr>
          <w:rFonts w:hint="eastAsia"/>
          <w:color w:val="000000"/>
          <w:sz w:val="24"/>
          <w:szCs w:val="24"/>
          <w:highlight w:val="none"/>
        </w:rPr>
      </w:r>
      <w:r/>
    </w:p>
    <w:p>
      <w:pPr>
        <w:pStyle w:val="974"/>
        <w:rPr>
          <w:rFonts w:hint="eastAsia"/>
          <w:color w:val="000000"/>
          <w:sz w:val="24"/>
          <w:szCs w:val="24"/>
          <w:highlight w:val="none"/>
        </w:rPr>
      </w:pPr>
      <w:r>
        <w:rPr>
          <w:rFonts w:hint="eastAsia"/>
          <w:color w:val="000000"/>
          <w:sz w:val="24"/>
          <w:szCs w:val="24"/>
          <w:highlight w:val="none"/>
        </w:rPr>
      </w:r>
      <w:r/>
    </w:p>
    <w:p>
      <w:pPr>
        <w:pStyle w:val="974"/>
        <w:rPr>
          <w:rFonts w:hint="eastAsia"/>
          <w:color w:val="000000"/>
          <w:sz w:val="24"/>
          <w:szCs w:val="24"/>
          <w:highlight w:val="none"/>
        </w:rPr>
      </w:pPr>
      <w:r>
        <w:rPr>
          <w:rFonts w:hint="eastAsia"/>
          <w:color w:val="000000"/>
          <w:sz w:val="24"/>
          <w:szCs w:val="24"/>
          <w:highlight w:val="none"/>
        </w:rPr>
      </w:r>
      <w:r/>
    </w:p>
    <w:p>
      <w:pPr>
        <w:pStyle w:val="974"/>
        <w:rPr>
          <w:rFonts w:hint="eastAsia"/>
          <w:color w:val="000000"/>
          <w:sz w:val="24"/>
          <w:szCs w:val="24"/>
          <w:highlight w:val="none"/>
        </w:rPr>
      </w:pPr>
      <w:r>
        <w:rPr>
          <w:rFonts w:hint="eastAsia"/>
          <w:color w:val="000000"/>
          <w:sz w:val="24"/>
          <w:szCs w:val="24"/>
          <w:highlight w:val="none"/>
        </w:rPr>
      </w:r>
      <w:r/>
    </w:p>
    <w:p>
      <w:pPr>
        <w:pStyle w:val="974"/>
        <w:rPr>
          <w:rFonts w:hint="eastAsia"/>
          <w:color w:val="000000"/>
          <w:sz w:val="24"/>
          <w:szCs w:val="24"/>
          <w:highlight w:val="none"/>
        </w:rPr>
      </w:pPr>
      <w:r>
        <w:rPr>
          <w:rFonts w:hint="eastAsia"/>
          <w:color w:val="000000"/>
          <w:sz w:val="24"/>
          <w:szCs w:val="24"/>
          <w:highlight w:val="none"/>
        </w:rPr>
      </w:r>
      <w:r/>
    </w:p>
    <w:p>
      <w:pPr>
        <w:pStyle w:val="974"/>
        <w:rPr>
          <w:rFonts w:hint="eastAsia"/>
          <w:color w:val="000000"/>
          <w:sz w:val="24"/>
          <w:szCs w:val="24"/>
          <w:highlight w:val="none"/>
        </w:rPr>
      </w:pPr>
      <w:r>
        <w:rPr>
          <w:rFonts w:hint="eastAsia"/>
          <w:color w:val="000000"/>
          <w:sz w:val="24"/>
          <w:szCs w:val="24"/>
          <w:highlight w:val="none"/>
        </w:rPr>
      </w:r>
      <w:r/>
    </w:p>
    <w:p>
      <w:pPr>
        <w:pStyle w:val="974"/>
        <w:rPr>
          <w:rFonts w:hint="eastAsia"/>
          <w:color w:val="000000"/>
          <w:sz w:val="24"/>
          <w:szCs w:val="24"/>
          <w:highlight w:val="none"/>
        </w:rPr>
      </w:pPr>
      <w:r>
        <w:rPr>
          <w:rFonts w:hint="eastAsia"/>
          <w:color w:val="000000"/>
          <w:sz w:val="24"/>
          <w:szCs w:val="24"/>
          <w:highlight w:val="none"/>
        </w:rPr>
      </w:r>
      <w:r/>
    </w:p>
    <w:p>
      <w:pPr>
        <w:pStyle w:val="974"/>
        <w:rPr>
          <w:rFonts w:hint="eastAsia"/>
          <w:bCs/>
          <w:color w:val="000000"/>
          <w:sz w:val="24"/>
          <w:highlight w:val="none"/>
        </w:rPr>
      </w:pPr>
      <w:r>
        <w:rPr>
          <w:rFonts w:hint="eastAsia"/>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投标函</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p>
    <w:p>
      <w:pPr>
        <w:pStyle w:val="978"/>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p>
    <w:p>
      <w:pPr>
        <w:pStyle w:val="978"/>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p>
    <w:p>
      <w:pPr>
        <w:pStyle w:val="978"/>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p>
    <w:p>
      <w:pPr>
        <w:pStyle w:val="978"/>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97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pStyle w:val="97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7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ind w:firstLine="24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24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五、开标一览表（分包1、分包2）</w:t>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开标一览表</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spacing w:line="480" w:lineRule="auto"/>
        <w:rPr>
          <w:color w:val="000000"/>
          <w:sz w:val="24"/>
          <w:szCs w:val="24"/>
          <w:highlight w:val="none"/>
        </w:rPr>
      </w:pPr>
      <w:r>
        <w:rPr>
          <w:rFonts w:hint="eastAsia" w:ascii="宋体" w:hAnsi="宋体"/>
          <w:color w:val="000000"/>
          <w:sz w:val="24"/>
          <w:szCs w:val="24"/>
          <w:highlight w:val="none"/>
        </w:rPr>
        <w:t xml:space="preserve">项目名称：</w:t>
      </w:r>
      <w:r/>
    </w:p>
    <w:p>
      <w:pPr>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80"/>
        </w:trPr>
        <w:tc>
          <w:tcPr>
            <w:tcW w:w="9748" w:type="dxa"/>
            <w:vAlign w:val="center"/>
            <w:textDirection w:val="lrTb"/>
            <w:noWrap w:val="false"/>
          </w:tcPr>
          <w:p>
            <w:pPr>
              <w:pStyle w:val="978"/>
              <w:ind w:firstLine="0"/>
              <w:spacing w:before="0" w:after="0" w:line="480" w:lineRule="auto"/>
              <w:rPr>
                <w:rFonts w:hint="eastAsia" w:ascii="宋体" w:hAnsi="宋体"/>
                <w:color w:val="000000"/>
                <w:szCs w:val="21"/>
                <w:highlight w:val="none"/>
              </w:rPr>
            </w:pPr>
            <w:r>
              <w:rPr>
                <w:rFonts w:hint="eastAsia" w:ascii="宋体" w:hAnsi="宋体" w:cs="宋体"/>
                <w:color w:val="000000"/>
                <w:highlight w:val="none"/>
              </w:rPr>
              <w:t xml:space="preserve">小写（人民币：元）：                             </w:t>
            </w:r>
            <w:r/>
          </w:p>
        </w:tc>
      </w:tr>
    </w:tbl>
    <w:p>
      <w:pPr>
        <w:spacing w:line="48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jc w:val="center"/>
        <w:spacing w:line="360" w:lineRule="auto"/>
        <w:rPr>
          <w:rFonts w:hint="eastAsia" w:ascii="黑体" w:eastAsia="黑体"/>
          <w:color w:val="000000"/>
          <w:sz w:val="32"/>
          <w:szCs w:val="32"/>
          <w:highlight w:val="none"/>
        </w:rPr>
        <w:outlineLvl w:val="0"/>
      </w:pPr>
      <w:r>
        <w:rPr>
          <w:rFonts w:hint="eastAsia" w:ascii="黑体" w:eastAsia="黑体"/>
          <w:color w:val="000000"/>
          <w:sz w:val="32"/>
          <w:szCs w:val="32"/>
          <w:highlight w:val="none"/>
        </w:rPr>
      </w:r>
      <w:r/>
    </w:p>
    <w:p>
      <w:pPr>
        <w:pStyle w:val="951"/>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51"/>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51"/>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51"/>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51"/>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51"/>
        <w:rPr>
          <w:rFonts w:hint="eastAsia"/>
          <w:color w:val="000000"/>
          <w:highlight w:val="none"/>
        </w:rPr>
      </w:pPr>
      <w:r>
        <w:rPr>
          <w:rFonts w:hint="eastAsia"/>
          <w:color w:val="000000"/>
          <w:highlight w:val="none"/>
        </w:rPr>
      </w:r>
      <w:r/>
    </w:p>
    <w:p>
      <w:pPr>
        <w:pStyle w:val="951"/>
        <w:rPr>
          <w:rFonts w:hint="eastAsia"/>
          <w:color w:val="000000"/>
          <w:highlight w:val="none"/>
        </w:rPr>
      </w:pPr>
      <w:r>
        <w:rPr>
          <w:rFonts w:hint="eastAsia"/>
          <w:color w:val="000000"/>
          <w:highlight w:val="none"/>
        </w:rPr>
      </w:r>
      <w:r/>
    </w:p>
    <w:p>
      <w:pPr>
        <w:pStyle w:val="987"/>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六、投标分项报价表（分包1、分包2）</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投标分项报价表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47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220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0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8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84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10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c>
          <w:tcPr>
            <w:tcW w:w="161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p>
        </w:tc>
      </w:tr>
      <w:tr>
        <w:trPr>
          <w:cantSplit/>
          <w:trHeight w:val="294"/>
        </w:trPr>
        <w:tc>
          <w:tcPr>
            <w:tcW w:w="747"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p>
        </w:tc>
        <w:tc>
          <w:tcPr>
            <w:tcW w:w="220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品牌、规格或型号</w:t>
            </w:r>
            <w:r/>
          </w:p>
        </w:tc>
        <w:tc>
          <w:tcPr>
            <w:tcW w:w="10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p>
        </w:tc>
        <w:tc>
          <w:tcPr>
            <w:tcW w:w="8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4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p>
        </w:tc>
        <w:tc>
          <w:tcPr>
            <w:tcW w:w="10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p>
        </w:tc>
        <w:tc>
          <w:tcPr>
            <w:tcW w:w="161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p>
        </w:tc>
      </w:tr>
      <w:tr>
        <w:trPr>
          <w:cantSplit/>
          <w:trHeight w:val="654"/>
        </w:trPr>
        <w:tc>
          <w:tcPr>
            <w:tcW w:w="7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47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0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4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7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47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0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4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7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47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0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4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747"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1475"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220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4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7"/>
            <w:tcW w:w="8228"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p>
        </w:tc>
        <w:tc>
          <w:tcPr>
            <w:tcW w:w="1619" w:type="dxa"/>
            <w:vAlign w:val="top"/>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5"/>
        <w:jc w:val="both"/>
        <w:spacing w:before="0" w:beforeAutospacing="0" w:after="0" w:afterAutospacing="0"/>
        <w:rPr>
          <w:color w:val="000000"/>
          <w:highlight w:val="none"/>
        </w:rPr>
      </w:pPr>
      <w:r>
        <w:rPr>
          <w:color w:val="000000"/>
          <w:highlight w:val="none"/>
        </w:rPr>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987"/>
        <w:ind w:left="0"/>
        <w:rPr>
          <w:color w:val="000000"/>
          <w:highlight w:val="none"/>
          <w:lang w:val="en-US"/>
        </w:rPr>
      </w:pPr>
      <w:r>
        <w:rPr>
          <w:color w:val="000000"/>
          <w:highlight w:val="none"/>
          <w:lang w:val="en-US"/>
        </w:rPr>
      </w:r>
      <w:r/>
    </w:p>
    <w:p>
      <w:pPr>
        <w:pStyle w:val="945"/>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1.投标报价采用总承包方式，“投标总报价”应包括为完成整个项目所产生的所有费用，招标文件另有规定的除外。</w:t>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2.《投标分项报价表》中“投标总报价”应当与《开标一览表》中“投标总报价”一致。</w:t>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3.供应商所报产品须与“第四章-产品清单”中的产品一一对应，如有缺项、漏项或者超出报价上限的，视为无效投标。</w:t>
      </w:r>
      <w:r/>
    </w:p>
    <w:p>
      <w:pPr>
        <w:pStyle w:val="945"/>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p>
    <w:p>
      <w:pPr>
        <w:jc w:val="center"/>
        <w:spacing w:line="360" w:lineRule="auto"/>
        <w:rPr>
          <w:rFonts w:hint="eastAsia" w:ascii="黑体" w:eastAsia="黑体"/>
          <w:color w:val="000000"/>
          <w:sz w:val="32"/>
          <w:szCs w:val="32"/>
          <w:highlight w:val="none"/>
        </w:rPr>
        <w:outlineLvl w:val="0"/>
      </w:pPr>
      <w:r>
        <w:rPr>
          <w:rFonts w:hint="eastAsia" w:ascii="黑体" w:eastAsia="黑体"/>
          <w:color w:val="000000"/>
          <w:sz w:val="32"/>
          <w:szCs w:val="32"/>
          <w:highlight w:val="none"/>
        </w:rPr>
      </w:r>
      <w:r/>
    </w:p>
    <w:p>
      <w:pPr>
        <w:pStyle w:val="951"/>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87"/>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七、</w:t>
      </w:r>
      <w:bookmarkEnd w:id="46"/>
      <w:r/>
      <w:bookmarkEnd w:id="47"/>
      <w:r/>
      <w:bookmarkEnd w:id="200"/>
      <w:r>
        <w:rPr>
          <w:rFonts w:hint="eastAsia" w:ascii="黑体" w:hAnsi="黑体" w:eastAsia="黑体"/>
          <w:color w:val="000000"/>
          <w:sz w:val="32"/>
          <w:szCs w:val="32"/>
          <w:highlight w:val="none"/>
        </w:rPr>
        <w:t xml:space="preserve">技术要求响应及偏离表（分包1、分包2）</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技术要求响应及偏离表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5"/>
        <w:jc w:val="both"/>
        <w:spacing w:before="0" w:beforeAutospacing="0" w:after="0" w:afterAutospacing="0"/>
        <w:rPr>
          <w:color w:val="000000"/>
          <w:highlight w:val="none"/>
        </w:rPr>
      </w:pPr>
      <w:r>
        <w:rPr>
          <w:color w:val="000000"/>
          <w:highlight w:val="none"/>
        </w:rPr>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5"/>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1.供应商须对招标文件技术要求中的实质性要求（斜体下划线内容或打“★”内容）做出明确响应，供应商未对实质性要求作出明确响应的，视为无效投标。</w:t>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center"/>
        <w:rPr>
          <w:rFonts w:hint="eastAsia" w:ascii="黑体" w:hAnsi="Arial" w:eastAsia="黑体"/>
          <w:b/>
          <w:bCs/>
          <w:color w:val="000000"/>
          <w:sz w:val="36"/>
          <w:szCs w:val="36"/>
          <w:highlight w:val="none"/>
        </w:rPr>
      </w:pPr>
      <w:r>
        <w:rPr>
          <w:rFonts w:hint="eastAsia" w:ascii="黑体" w:hAnsi="Arial" w:eastAsia="黑体"/>
          <w:b/>
          <w:bCs/>
          <w:color w:val="000000"/>
          <w:sz w:val="36"/>
          <w:szCs w:val="36"/>
          <w:highlight w:val="none"/>
        </w:rPr>
      </w:r>
      <w:r/>
    </w:p>
    <w:p>
      <w:pPr>
        <w:jc w:val="center"/>
        <w:rPr>
          <w:rFonts w:hint="eastAsia" w:ascii="黑体" w:hAnsi="Arial" w:eastAsia="黑体"/>
          <w:b/>
          <w:bCs/>
          <w:color w:val="000000"/>
          <w:sz w:val="36"/>
          <w:szCs w:val="36"/>
          <w:highlight w:val="none"/>
        </w:rPr>
      </w:pPr>
      <w:r>
        <w:rPr>
          <w:rFonts w:hint="eastAsia" w:ascii="黑体" w:hAnsi="Arial" w:eastAsia="黑体"/>
          <w:b/>
          <w:bCs/>
          <w:color w:val="000000"/>
          <w:sz w:val="36"/>
          <w:szCs w:val="36"/>
          <w:highlight w:val="none"/>
        </w:rPr>
      </w:r>
      <w:r/>
    </w:p>
    <w:p>
      <w:pPr>
        <w:jc w:val="center"/>
        <w:rPr>
          <w:rFonts w:hint="eastAsia" w:ascii="黑体" w:hAnsi="Arial" w:eastAsia="黑体"/>
          <w:b/>
          <w:bCs/>
          <w:color w:val="000000"/>
          <w:sz w:val="36"/>
          <w:szCs w:val="36"/>
          <w:highlight w:val="none"/>
        </w:rPr>
      </w:pPr>
      <w:r>
        <w:rPr>
          <w:rFonts w:hint="eastAsia" w:ascii="黑体" w:hAnsi="Arial" w:eastAsia="黑体"/>
          <w:b/>
          <w:bCs/>
          <w:color w:val="000000"/>
          <w:sz w:val="36"/>
          <w:szCs w:val="36"/>
          <w:highlight w:val="none"/>
        </w:rPr>
      </w:r>
      <w:r/>
    </w:p>
    <w:p>
      <w:pPr>
        <w:jc w:val="center"/>
        <w:rPr>
          <w:rFonts w:hint="eastAsia" w:ascii="黑体" w:hAnsi="Arial" w:eastAsia="黑体"/>
          <w:b/>
          <w:bCs/>
          <w:color w:val="000000"/>
          <w:sz w:val="36"/>
          <w:szCs w:val="36"/>
          <w:highlight w:val="none"/>
        </w:rPr>
      </w:pPr>
      <w:r>
        <w:rPr>
          <w:rFonts w:hint="eastAsia" w:ascii="黑体" w:hAnsi="Arial" w:eastAsia="黑体"/>
          <w:b/>
          <w:bCs/>
          <w:color w:val="000000"/>
          <w:sz w:val="36"/>
          <w:szCs w:val="36"/>
          <w:highlight w:val="none"/>
        </w:rPr>
      </w:r>
      <w:r/>
    </w:p>
    <w:p>
      <w:pPr>
        <w:rPr>
          <w:rFonts w:hint="eastAsia" w:ascii="黑体" w:hAnsi="黑体" w:eastAsia="黑体"/>
          <w:iCs/>
          <w:color w:val="000000"/>
          <w:sz w:val="32"/>
          <w:szCs w:val="32"/>
          <w:highlight w:val="none"/>
        </w:rPr>
      </w:pPr>
      <w:r/>
      <w:bookmarkStart w:id="204" w:name="_Hlt26955054"/>
      <w:r/>
      <w:bookmarkEnd w:id="204"/>
      <w:r>
        <w:rPr>
          <w:rFonts w:hint="eastAsia" w:ascii="黑体" w:hAnsi="黑体" w:eastAsia="黑体"/>
          <w:iCs/>
          <w:color w:val="000000"/>
          <w:sz w:val="32"/>
          <w:szCs w:val="32"/>
          <w:highlight w:val="none"/>
        </w:rPr>
        <w:t xml:space="preserve">八、商务要求响应及偏离表（分包1、分包2）</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商务要求响应及偏离表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bookmarkStart w:id="205" w:name="_Hlt26955056"/>
            <w:r/>
            <w:bookmarkEnd w:id="205"/>
            <w:r/>
            <w:bookmarkStart w:id="206" w:name="_Hlt26671372"/>
            <w:r/>
            <w:bookmarkEnd w:id="206"/>
            <w:r/>
            <w:bookmarkStart w:id="207" w:name="_Hlt24879081"/>
            <w:r/>
            <w:bookmarkEnd w:id="207"/>
            <w:r/>
            <w:bookmarkStart w:id="208" w:name="_Hlt26580838"/>
            <w:r/>
            <w:bookmarkEnd w:id="208"/>
            <w:r/>
            <w:bookmarkStart w:id="209" w:name="_Hlt26671343"/>
            <w:r/>
            <w:bookmarkEnd w:id="209"/>
            <w:r/>
            <w:bookmarkStart w:id="210" w:name="_Hlt26782999"/>
            <w:r/>
            <w:bookmarkEnd w:id="210"/>
            <w:r/>
            <w:bookmarkStart w:id="211" w:name="_Hlt26955064"/>
            <w:r/>
            <w:bookmarkEnd w:id="211"/>
            <w:r/>
            <w:bookmarkStart w:id="212" w:name="_Hlt26609391"/>
            <w:r/>
            <w:bookmarkEnd w:id="212"/>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5"/>
        <w:jc w:val="both"/>
        <w:spacing w:before="0" w:beforeAutospacing="0" w:after="0" w:afterAutospacing="0"/>
        <w:rPr>
          <w:color w:val="000000"/>
          <w:highlight w:val="none"/>
        </w:rPr>
      </w:pPr>
      <w:r>
        <w:rPr>
          <w:color w:val="000000"/>
          <w:highlight w:val="none"/>
        </w:rPr>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p>
    <w:p>
      <w:pPr>
        <w:pStyle w:val="945"/>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1.供应商须对招标文件商务要求中的实质性要求（斜体下划线内容或打“★”内容）做出明确响应，供应商未对实质性要求作出明确响应的，视为无效投标。</w:t>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中小企业声明函（服务）</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pStyle w:val="98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olor w:val="000000"/>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pStyle w:val="98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p>
    <w:p>
      <w:pPr>
        <w:ind w:firstLine="480"/>
        <w:spacing w:line="48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p>
    <w:p>
      <w:pPr>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p>
    <w:p>
      <w:pPr>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p>
    <w:p>
      <w:pPr>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p>
    <w:p>
      <w:pPr>
        <w:pStyle w:val="951"/>
        <w:ind w:firstLine="480"/>
        <w:rPr>
          <w:rFonts w:hint="eastAsia"/>
          <w:color w:val="000000"/>
          <w:sz w:val="24"/>
          <w:highlight w:val="none"/>
        </w:rPr>
      </w:pPr>
      <w:r>
        <w:rPr>
          <w:rFonts w:hint="eastAsia"/>
          <w:color w:val="000000"/>
          <w:sz w:val="24"/>
          <w:highlight w:val="none"/>
        </w:rPr>
      </w:r>
      <w:r/>
    </w:p>
    <w:p>
      <w:pPr>
        <w:rPr>
          <w:rFonts w:hint="eastAsia"/>
          <w:color w:val="000000"/>
          <w:highlight w:val="none"/>
        </w:rPr>
      </w:pPr>
      <w:r>
        <w:rPr>
          <w:rFonts w:hint="eastAsia"/>
          <w:color w:val="000000"/>
          <w:highlight w:val="none"/>
        </w:rPr>
      </w:r>
      <w:r/>
    </w:p>
    <w:p>
      <w:pPr>
        <w:ind w:firstLine="645"/>
        <w:spacing w:line="560" w:lineRule="exact"/>
        <w:rPr>
          <w:rFonts w:ascii="宋体" w:hAnsi="宋体"/>
          <w:color w:val="000000"/>
          <w:sz w:val="24"/>
          <w:highlight w:val="none"/>
        </w:rPr>
      </w:pPr>
      <w:r>
        <w:rPr>
          <w:rFonts w:ascii="宋体" w:hAnsi="宋体"/>
          <w:color w:val="000000"/>
          <w:sz w:val="24"/>
          <w:highlight w:val="none"/>
        </w:rPr>
      </w:r>
      <w:r/>
    </w:p>
    <w:p>
      <w:pPr>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87"/>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pStyle w:val="987"/>
        <w:rPr>
          <w:rFonts w:hint="eastAsia"/>
          <w:color w:val="000000"/>
          <w:highlight w:val="none"/>
        </w:rPr>
      </w:pPr>
      <w:r>
        <w:rPr>
          <w:rFonts w:hint="eastAsia"/>
          <w:color w:val="000000"/>
          <w:highlight w:val="none"/>
        </w:rPr>
      </w:r>
      <w:r/>
    </w:p>
    <w:p>
      <w:pPr>
        <w:pStyle w:val="987"/>
        <w:rPr>
          <w:rFonts w:hint="eastAsia"/>
          <w:color w:val="000000"/>
          <w:highlight w:val="none"/>
        </w:rPr>
      </w:pPr>
      <w:r>
        <w:rPr>
          <w:rFonts w:hint="eastAsia"/>
          <w:color w:val="000000"/>
          <w:highlight w:val="none"/>
        </w:rPr>
      </w:r>
      <w:r/>
    </w:p>
    <w:p>
      <w:pPr>
        <w:pStyle w:val="987"/>
        <w:rPr>
          <w:rFonts w:hint="eastAsia"/>
          <w:color w:val="000000"/>
          <w:highlight w:val="none"/>
        </w:rPr>
      </w:pPr>
      <w:r>
        <w:rPr>
          <w:rFonts w:hint="eastAsia"/>
          <w:color w:val="000000"/>
          <w:highlight w:val="none"/>
        </w:rPr>
      </w:r>
      <w:r/>
    </w:p>
    <w:p>
      <w:pPr>
        <w:pStyle w:val="987"/>
        <w:rPr>
          <w:rFonts w:hint="eastAsia"/>
          <w:color w:val="000000"/>
          <w:highlight w:val="none"/>
        </w:rPr>
      </w:pPr>
      <w:r>
        <w:rPr>
          <w:rFonts w:hint="eastAsia"/>
          <w:color w:val="000000"/>
          <w:highlight w:val="none"/>
        </w:rPr>
      </w:r>
      <w:r/>
    </w:p>
    <w:p>
      <w:pPr>
        <w:pStyle w:val="987"/>
        <w:rPr>
          <w:rFonts w:hint="eastAsia"/>
          <w:color w:val="000000"/>
          <w:highlight w:val="none"/>
        </w:rPr>
      </w:pPr>
      <w:r>
        <w:rPr>
          <w:rFonts w:hint="eastAsia"/>
          <w:color w:val="000000"/>
          <w:highlight w:val="none"/>
        </w:rPr>
      </w:r>
      <w:r/>
    </w:p>
    <w:p>
      <w:pPr>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分包号：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  期：    </w:t>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3.质疑供应商针对项目的某一分包进行质疑的，《质疑函》中应明确分包号。</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p>
  <w:p>
    <w:pPr>
      <w:pStyle w:val="93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
  </w:num>
  <w:num w:numId="3">
    <w:abstractNumId w:val="8"/>
  </w:num>
  <w:num w:numId="4">
    <w:abstractNumId w:val="4"/>
  </w:num>
  <w:num w:numId="5">
    <w:abstractNumId w:val="5"/>
  </w:num>
  <w:num w:numId="6">
    <w:abstractNumId w:val="3"/>
  </w:num>
  <w:num w:numId="7">
    <w:abstractNumId w:val="2"/>
  </w:num>
  <w:num w:numId="8">
    <w:abstractNumId w:val="0"/>
  </w:num>
  <w:num w:numId="9">
    <w:abstractNumId w:val="7"/>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link w:val="96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6"/>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7"/>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8"/>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4"/>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标题 41"/>
    <w:basedOn w:val="702"/>
    <w:next w:val="702"/>
    <w:link w:val="895"/>
    <w:uiPriority w:val="0"/>
    <w:qFormat/>
    <w:pPr>
      <w:keepLines/>
      <w:keepNext/>
      <w:spacing w:before="280" w:after="290" w:line="376" w:lineRule="auto"/>
      <w:outlineLvl w:val="3"/>
    </w:pPr>
    <w:rPr>
      <w:rFonts w:ascii="Arial" w:hAnsi="Arial" w:eastAsia="黑体" w:cs="Arial"/>
      <w:b/>
      <w:bCs/>
      <w:sz w:val="28"/>
      <w:szCs w:val="28"/>
    </w:rPr>
  </w:style>
  <w:style w:type="paragraph" w:styleId="715">
    <w:name w:val="toc 7"/>
    <w:basedOn w:val="702"/>
    <w:next w:val="702"/>
    <w:uiPriority w:val="39"/>
    <w:unhideWhenUsed/>
    <w:qFormat/>
    <w:pPr>
      <w:ind w:left="1701" w:right="0" w:firstLine="0"/>
      <w:spacing w:after="57"/>
    </w:pPr>
  </w:style>
  <w:style w:type="paragraph" w:styleId="716">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toc 5"/>
    <w:basedOn w:val="702"/>
    <w:next w:val="702"/>
    <w:uiPriority w:val="39"/>
    <w:unhideWhenUsed/>
    <w:qFormat/>
    <w:pPr>
      <w:ind w:left="1134" w:right="0" w:firstLine="0"/>
      <w:spacing w:after="57"/>
    </w:pPr>
  </w:style>
  <w:style w:type="paragraph" w:styleId="718">
    <w:name w:val="toc 3"/>
    <w:basedOn w:val="702"/>
    <w:next w:val="702"/>
    <w:uiPriority w:val="39"/>
    <w:unhideWhenUsed/>
    <w:qFormat/>
    <w:pPr>
      <w:ind w:left="567" w:right="0" w:firstLine="0"/>
      <w:spacing w:after="57"/>
    </w:pPr>
  </w:style>
  <w:style w:type="paragraph" w:styleId="719">
    <w:name w:val="toc 8"/>
    <w:basedOn w:val="702"/>
    <w:next w:val="702"/>
    <w:uiPriority w:val="39"/>
    <w:unhideWhenUsed/>
    <w:qFormat/>
    <w:pPr>
      <w:ind w:left="1984" w:right="0" w:firstLine="0"/>
      <w:spacing w:after="57"/>
    </w:pPr>
  </w:style>
  <w:style w:type="paragraph" w:styleId="720">
    <w:name w:val="endnote text"/>
    <w:basedOn w:val="702"/>
    <w:link w:val="882"/>
    <w:uiPriority w:val="99"/>
    <w:semiHidden/>
    <w:unhideWhenUsed/>
    <w:qFormat/>
    <w:pPr>
      <w:spacing w:after="0" w:line="240" w:lineRule="auto"/>
    </w:pPr>
    <w:rPr>
      <w:sz w:val="20"/>
    </w:rPr>
  </w:style>
  <w:style w:type="paragraph" w:styleId="721">
    <w:name w:val="Footer"/>
    <w:basedOn w:val="702"/>
    <w:link w:val="755"/>
    <w:uiPriority w:val="99"/>
    <w:unhideWhenUsed/>
    <w:pPr>
      <w:spacing w:after="0" w:line="240" w:lineRule="auto"/>
      <w:tabs>
        <w:tab w:val="center" w:pos="7143" w:leader="none"/>
        <w:tab w:val="right" w:pos="14287" w:leader="none"/>
      </w:tabs>
    </w:pPr>
  </w:style>
  <w:style w:type="paragraph" w:styleId="722">
    <w:name w:val="Header"/>
    <w:basedOn w:val="702"/>
    <w:link w:val="753"/>
    <w:uiPriority w:val="99"/>
    <w:unhideWhenUsed/>
    <w:qFormat/>
    <w:pPr>
      <w:spacing w:after="0" w:line="240" w:lineRule="auto"/>
      <w:tabs>
        <w:tab w:val="center" w:pos="7143" w:leader="none"/>
        <w:tab w:val="right" w:pos="14287" w:leader="none"/>
      </w:tabs>
    </w:pPr>
  </w:style>
  <w:style w:type="paragraph" w:styleId="723">
    <w:name w:val="toc 1"/>
    <w:basedOn w:val="702"/>
    <w:next w:val="702"/>
    <w:uiPriority w:val="39"/>
    <w:unhideWhenUsed/>
    <w:qFormat/>
    <w:pPr>
      <w:ind w:left="0" w:right="0" w:firstLine="0"/>
      <w:spacing w:after="57"/>
    </w:pPr>
  </w:style>
  <w:style w:type="paragraph" w:styleId="724">
    <w:name w:val="toc 4"/>
    <w:basedOn w:val="702"/>
    <w:next w:val="702"/>
    <w:uiPriority w:val="39"/>
    <w:unhideWhenUsed/>
    <w:qFormat/>
    <w:pPr>
      <w:ind w:left="850" w:right="0" w:firstLine="0"/>
      <w:spacing w:after="57"/>
    </w:pPr>
  </w:style>
  <w:style w:type="paragraph" w:styleId="725">
    <w:name w:val="Subtitle"/>
    <w:basedOn w:val="702"/>
    <w:next w:val="702"/>
    <w:link w:val="748"/>
    <w:uiPriority w:val="11"/>
    <w:qFormat/>
    <w:pPr>
      <w:spacing w:before="200" w:after="200"/>
    </w:pPr>
    <w:rPr>
      <w:sz w:val="24"/>
      <w:szCs w:val="24"/>
    </w:rPr>
  </w:style>
  <w:style w:type="paragraph" w:styleId="726">
    <w:name w:val="footnote text"/>
    <w:basedOn w:val="702"/>
    <w:link w:val="881"/>
    <w:uiPriority w:val="99"/>
    <w:semiHidden/>
    <w:unhideWhenUsed/>
    <w:qFormat/>
    <w:pPr>
      <w:spacing w:after="40" w:line="240" w:lineRule="auto"/>
    </w:pPr>
    <w:rPr>
      <w:sz w:val="18"/>
    </w:rPr>
  </w:style>
  <w:style w:type="paragraph" w:styleId="727">
    <w:name w:val="toc 6"/>
    <w:basedOn w:val="702"/>
    <w:next w:val="702"/>
    <w:uiPriority w:val="39"/>
    <w:unhideWhenUsed/>
    <w:qFormat/>
    <w:pPr>
      <w:ind w:left="1417" w:right="0" w:firstLine="0"/>
      <w:spacing w:after="57"/>
    </w:pPr>
  </w:style>
  <w:style w:type="paragraph" w:styleId="728">
    <w:name w:val="table of figures"/>
    <w:basedOn w:val="702"/>
    <w:next w:val="702"/>
    <w:uiPriority w:val="99"/>
    <w:unhideWhenUsed/>
    <w:qFormat/>
    <w:pPr>
      <w:spacing w:after="0" w:afterAutospacing="0"/>
    </w:pPr>
  </w:style>
  <w:style w:type="paragraph" w:styleId="729">
    <w:name w:val="toc 2"/>
    <w:basedOn w:val="702"/>
    <w:next w:val="702"/>
    <w:uiPriority w:val="39"/>
    <w:unhideWhenUsed/>
    <w:qFormat/>
    <w:pPr>
      <w:ind w:left="283" w:right="0" w:firstLine="0"/>
      <w:spacing w:after="57"/>
    </w:pPr>
  </w:style>
  <w:style w:type="paragraph" w:styleId="730">
    <w:name w:val="toc 9"/>
    <w:basedOn w:val="702"/>
    <w:next w:val="702"/>
    <w:uiPriority w:val="39"/>
    <w:unhideWhenUsed/>
    <w:qFormat/>
    <w:pPr>
      <w:ind w:left="2268" w:right="0" w:firstLine="0"/>
      <w:spacing w:after="57"/>
    </w:pPr>
  </w:style>
  <w:style w:type="paragraph" w:styleId="731">
    <w:name w:val="Title"/>
    <w:basedOn w:val="702"/>
    <w:next w:val="702"/>
    <w:link w:val="747"/>
    <w:uiPriority w:val="10"/>
    <w:qFormat/>
    <w:pPr>
      <w:contextualSpacing/>
      <w:spacing w:before="300" w:after="200"/>
    </w:pPr>
    <w:rPr>
      <w:sz w:val="48"/>
      <w:szCs w:val="48"/>
    </w:rPr>
  </w:style>
  <w:style w:type="table" w:styleId="732">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character" w:styleId="736" w:customStyle="1">
    <w:name w:val="Heading 1 Char"/>
    <w:link w:val="703"/>
    <w:uiPriority w:val="9"/>
    <w:rPr>
      <w:rFonts w:ascii="Arial" w:hAnsi="Arial" w:eastAsia="Arial" w:cs="Arial"/>
      <w:sz w:val="40"/>
      <w:szCs w:val="40"/>
    </w:rPr>
  </w:style>
  <w:style w:type="character" w:styleId="737" w:customStyle="1">
    <w:name w:val="Heading 2 Char"/>
    <w:link w:val="704"/>
    <w:uiPriority w:val="9"/>
    <w:rPr>
      <w:rFonts w:ascii="Arial" w:hAnsi="Arial" w:eastAsia="Arial" w:cs="Arial"/>
      <w:sz w:val="34"/>
    </w:rPr>
  </w:style>
  <w:style w:type="character" w:styleId="738" w:customStyle="1">
    <w:name w:val="Heading 3 Char"/>
    <w:link w:val="705"/>
    <w:uiPriority w:val="9"/>
    <w:rPr>
      <w:rFonts w:ascii="Arial" w:hAnsi="Arial" w:eastAsia="Arial" w:cs="Arial"/>
      <w:sz w:val="30"/>
      <w:szCs w:val="30"/>
    </w:rPr>
  </w:style>
  <w:style w:type="character" w:styleId="739" w:customStyle="1">
    <w:name w:val="Heading 4 Char"/>
    <w:link w:val="706"/>
    <w:uiPriority w:val="9"/>
    <w:rPr>
      <w:rFonts w:ascii="Arial" w:hAnsi="Arial" w:eastAsia="Arial" w:cs="Arial"/>
      <w:b/>
      <w:bCs/>
      <w:sz w:val="26"/>
      <w:szCs w:val="26"/>
    </w:rPr>
  </w:style>
  <w:style w:type="character" w:styleId="740" w:customStyle="1">
    <w:name w:val="Heading 5 Char"/>
    <w:link w:val="707"/>
    <w:uiPriority w:val="9"/>
    <w:rPr>
      <w:rFonts w:ascii="Arial" w:hAnsi="Arial" w:eastAsia="Arial" w:cs="Arial"/>
      <w:b/>
      <w:bCs/>
      <w:sz w:val="24"/>
      <w:szCs w:val="24"/>
    </w:rPr>
  </w:style>
  <w:style w:type="character" w:styleId="741" w:customStyle="1">
    <w:name w:val="Heading 6 Char"/>
    <w:link w:val="708"/>
    <w:uiPriority w:val="9"/>
    <w:rPr>
      <w:rFonts w:ascii="Arial" w:hAnsi="Arial" w:eastAsia="Arial" w:cs="Arial"/>
      <w:b/>
      <w:bCs/>
      <w:sz w:val="22"/>
      <w:szCs w:val="22"/>
    </w:rPr>
  </w:style>
  <w:style w:type="character" w:styleId="742" w:customStyle="1">
    <w:name w:val="Heading 7 Char"/>
    <w:link w:val="709"/>
    <w:uiPriority w:val="9"/>
    <w:rPr>
      <w:rFonts w:ascii="Arial" w:hAnsi="Arial" w:eastAsia="Arial" w:cs="Arial"/>
      <w:b/>
      <w:bCs/>
      <w:i/>
      <w:iCs/>
      <w:sz w:val="22"/>
      <w:szCs w:val="22"/>
    </w:rPr>
  </w:style>
  <w:style w:type="character" w:styleId="743" w:customStyle="1">
    <w:name w:val="Heading 8 Char"/>
    <w:link w:val="710"/>
    <w:uiPriority w:val="9"/>
    <w:rPr>
      <w:rFonts w:ascii="Arial" w:hAnsi="Arial" w:eastAsia="Arial" w:cs="Arial"/>
      <w:i/>
      <w:iCs/>
      <w:sz w:val="22"/>
      <w:szCs w:val="22"/>
    </w:rPr>
  </w:style>
  <w:style w:type="character" w:styleId="744" w:customStyle="1">
    <w:name w:val="Heading 9 Char"/>
    <w:link w:val="711"/>
    <w:uiPriority w:val="9"/>
    <w:rPr>
      <w:rFonts w:ascii="Arial" w:hAnsi="Arial" w:eastAsia="Arial" w:cs="Arial"/>
      <w:i/>
      <w:iCs/>
      <w:sz w:val="21"/>
      <w:szCs w:val="21"/>
    </w:rPr>
  </w:style>
  <w:style w:type="paragraph" w:styleId="745">
    <w:name w:val="List Paragraph"/>
    <w:basedOn w:val="702"/>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1"/>
    <w:uiPriority w:val="10"/>
    <w:rPr>
      <w:sz w:val="48"/>
      <w:szCs w:val="48"/>
    </w:rPr>
  </w:style>
  <w:style w:type="character" w:styleId="748" w:customStyle="1">
    <w:name w:val="Subtitle Char"/>
    <w:link w:val="725"/>
    <w:uiPriority w:val="11"/>
    <w:rPr>
      <w:sz w:val="24"/>
      <w:szCs w:val="24"/>
    </w:rPr>
  </w:style>
  <w:style w:type="paragraph" w:styleId="749">
    <w:name w:val="Quote"/>
    <w:basedOn w:val="702"/>
    <w:next w:val="702"/>
    <w:link w:val="750"/>
    <w:uiPriority w:val="29"/>
    <w:qFormat/>
    <w:pPr>
      <w:ind w:left="720" w:right="720"/>
    </w:pPr>
    <w:rPr>
      <w:i/>
    </w:rPr>
  </w:style>
  <w:style w:type="character" w:styleId="750" w:customStyle="1">
    <w:name w:val="Quote Char"/>
    <w:link w:val="749"/>
    <w:uiPriority w:val="29"/>
    <w:rPr>
      <w:i/>
    </w:rPr>
  </w:style>
  <w:style w:type="paragraph" w:styleId="751">
    <w:name w:val="Intense Quote"/>
    <w:basedOn w:val="702"/>
    <w:next w:val="702"/>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rPr>
      <w:i/>
    </w:rPr>
  </w:style>
  <w:style w:type="character" w:styleId="753" w:customStyle="1">
    <w:name w:val="Header Char"/>
    <w:link w:val="722"/>
    <w:uiPriority w:val="99"/>
  </w:style>
  <w:style w:type="character" w:styleId="754" w:customStyle="1">
    <w:name w:val="Footer Char"/>
    <w:link w:val="721"/>
    <w:uiPriority w:val="99"/>
    <w:qFormat/>
  </w:style>
  <w:style w:type="character" w:styleId="755" w:customStyle="1">
    <w:name w:val="Caption Char"/>
    <w:link w:val="721"/>
    <w:uiPriority w:val="99"/>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6"/>
    <w:uiPriority w:val="99"/>
    <w:qFormat/>
    <w:rPr>
      <w:sz w:val="18"/>
    </w:rPr>
  </w:style>
  <w:style w:type="character" w:styleId="882" w:customStyle="1">
    <w:name w:val="Endnote Text Char"/>
    <w:link w:val="720"/>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702"/>
    <w:next w:val="702"/>
    <w:link w:val="896"/>
    <w:uiPriority w:val="0"/>
    <w:qFormat/>
    <w:pPr>
      <w:jc w:val="center"/>
      <w:keepNext/>
      <w:outlineLvl w:val="0"/>
    </w:pPr>
    <w:rPr>
      <w:rFonts w:ascii="楷体_GB2312" w:eastAsia="楷体_GB2312"/>
      <w:sz w:val="28"/>
      <w:szCs w:val="28"/>
    </w:rPr>
  </w:style>
  <w:style w:type="paragraph" w:styleId="885" w:customStyle="1">
    <w:name w:val="标题 21"/>
    <w:basedOn w:val="702"/>
    <w:next w:val="88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6" w:customStyle="1">
    <w:name w:val="正文缩进1"/>
    <w:basedOn w:val="702"/>
    <w:link w:val="898"/>
    <w:uiPriority w:val="0"/>
    <w:qFormat/>
    <w:pPr>
      <w:ind w:firstLine="420"/>
    </w:pPr>
  </w:style>
  <w:style w:type="paragraph" w:styleId="887" w:customStyle="1">
    <w:name w:val="标题 31"/>
    <w:basedOn w:val="702"/>
    <w:next w:val="886"/>
    <w:link w:val="899"/>
    <w:uiPriority w:val="0"/>
    <w:qFormat/>
    <w:pPr>
      <w:keepLines/>
      <w:keepNext/>
      <w:spacing w:before="260" w:after="260" w:line="416" w:lineRule="auto"/>
      <w:outlineLvl w:val="2"/>
    </w:pPr>
    <w:rPr>
      <w:b/>
      <w:bCs/>
      <w:sz w:val="32"/>
      <w:szCs w:val="32"/>
    </w:rPr>
  </w:style>
  <w:style w:type="paragraph" w:styleId="888" w:customStyle="1">
    <w:name w:val="标题 51"/>
    <w:basedOn w:val="702"/>
    <w:next w:val="886"/>
    <w:link w:val="900"/>
    <w:uiPriority w:val="0"/>
    <w:qFormat/>
    <w:pPr>
      <w:keepNext/>
      <w:outlineLvl w:val="4"/>
    </w:pPr>
    <w:rPr>
      <w:rFonts w:ascii="宋体"/>
      <w:color w:val="000000"/>
      <w:sz w:val="28"/>
      <w:szCs w:val="28"/>
    </w:rPr>
  </w:style>
  <w:style w:type="paragraph" w:styleId="889" w:customStyle="1">
    <w:name w:val="标题 61"/>
    <w:basedOn w:val="702"/>
    <w:next w:val="702"/>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customStyle="1">
    <w:name w:val="标题 71"/>
    <w:basedOn w:val="702"/>
    <w:next w:val="702"/>
    <w:link w:val="902"/>
    <w:uiPriority w:val="0"/>
    <w:qFormat/>
    <w:pPr>
      <w:numPr>
        <w:ilvl w:val="6"/>
        <w:numId w:val="1"/>
      </w:numPr>
      <w:keepLines/>
      <w:keepNext/>
      <w:spacing w:before="240" w:after="64" w:line="320" w:lineRule="auto"/>
      <w:outlineLvl w:val="6"/>
    </w:pPr>
    <w:rPr>
      <w:b/>
      <w:bCs/>
      <w:sz w:val="24"/>
      <w:szCs w:val="24"/>
    </w:rPr>
  </w:style>
  <w:style w:type="paragraph" w:styleId="891" w:customStyle="1">
    <w:name w:val="标题 81"/>
    <w:basedOn w:val="702"/>
    <w:next w:val="702"/>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2" w:customStyle="1">
    <w:name w:val="标题 91"/>
    <w:basedOn w:val="702"/>
    <w:next w:val="702"/>
    <w:link w:val="904"/>
    <w:uiPriority w:val="0"/>
    <w:qFormat/>
    <w:pPr>
      <w:numPr>
        <w:ilvl w:val="8"/>
        <w:numId w:val="1"/>
      </w:numPr>
      <w:keepLines/>
      <w:keepNext/>
      <w:spacing w:before="240" w:after="64" w:line="320" w:lineRule="auto"/>
      <w:outlineLvl w:val="8"/>
    </w:pPr>
    <w:rPr>
      <w:rFonts w:ascii="Arial" w:hAnsi="Arial" w:eastAsia="黑体"/>
    </w:rPr>
  </w:style>
  <w:style w:type="character" w:styleId="893" w:customStyle="1">
    <w:name w:val="默认段落字体1"/>
    <w:link w:val="702"/>
    <w:uiPriority w:val="1"/>
    <w:unhideWhenUsed/>
    <w:qFormat/>
  </w:style>
  <w:style w:type="table" w:styleId="894" w:customStyle="1">
    <w:name w:val="普通表格11"/>
    <w:uiPriority w:val="99"/>
    <w:unhideWhenUsed/>
    <w:qFormat/>
    <w:tblPr/>
  </w:style>
  <w:style w:type="character" w:styleId="895" w:customStyle="1">
    <w:name w:val="标题 4 字符"/>
    <w:link w:val="714"/>
    <w:uiPriority w:val="0"/>
    <w:qFormat/>
    <w:rPr>
      <w:rFonts w:ascii="Arial" w:hAnsi="Arial" w:eastAsia="黑体" w:cs="Arial"/>
      <w:b/>
      <w:bCs/>
      <w:sz w:val="28"/>
      <w:szCs w:val="28"/>
    </w:rPr>
  </w:style>
  <w:style w:type="character" w:styleId="896" w:customStyle="1">
    <w:name w:val="标题 1 字符"/>
    <w:link w:val="884"/>
    <w:uiPriority w:val="0"/>
    <w:qFormat/>
    <w:rPr>
      <w:rFonts w:ascii="楷体_GB2312" w:hAnsi="Times New Roman" w:eastAsia="楷体_GB2312" w:cs="Times New Roman"/>
      <w:sz w:val="28"/>
      <w:szCs w:val="28"/>
    </w:rPr>
  </w:style>
  <w:style w:type="character" w:styleId="897" w:customStyle="1">
    <w:name w:val="标题 2 字符"/>
    <w:link w:val="885"/>
    <w:uiPriority w:val="0"/>
    <w:qFormat/>
    <w:rPr>
      <w:rFonts w:ascii="Arial" w:hAnsi="Arial" w:eastAsia="幼圆" w:cs="Arial"/>
      <w:b/>
      <w:bCs/>
      <w:sz w:val="44"/>
      <w:szCs w:val="44"/>
    </w:rPr>
  </w:style>
  <w:style w:type="character" w:styleId="898" w:customStyle="1">
    <w:name w:val="正文缩进 字符"/>
    <w:link w:val="886"/>
    <w:uiPriority w:val="0"/>
    <w:qFormat/>
    <w:rPr>
      <w:rFonts w:ascii="Times New Roman" w:hAnsi="Times New Roman" w:eastAsia="宋体" w:cs="Times New Roman"/>
      <w:szCs w:val="21"/>
    </w:rPr>
  </w:style>
  <w:style w:type="character" w:styleId="899" w:customStyle="1">
    <w:name w:val="标题 3 字符"/>
    <w:link w:val="887"/>
    <w:uiPriority w:val="0"/>
    <w:qFormat/>
    <w:rPr>
      <w:rFonts w:ascii="Times New Roman" w:hAnsi="Times New Roman" w:eastAsia="宋体" w:cs="Times New Roman"/>
      <w:b/>
      <w:bCs/>
      <w:sz w:val="32"/>
      <w:szCs w:val="32"/>
    </w:rPr>
  </w:style>
  <w:style w:type="character" w:styleId="900" w:customStyle="1">
    <w:name w:val="标题 5 字符"/>
    <w:link w:val="888"/>
    <w:uiPriority w:val="0"/>
    <w:qFormat/>
    <w:rPr>
      <w:rFonts w:ascii="宋体" w:hAnsi="Times New Roman" w:eastAsia="宋体" w:cs="Times New Roman"/>
      <w:color w:val="000000"/>
      <w:sz w:val="28"/>
      <w:szCs w:val="28"/>
    </w:rPr>
  </w:style>
  <w:style w:type="character" w:styleId="901" w:customStyle="1">
    <w:name w:val="标题 6 字符"/>
    <w:link w:val="889"/>
    <w:uiPriority w:val="0"/>
    <w:qFormat/>
    <w:rPr>
      <w:rFonts w:ascii="Arial" w:hAnsi="Arial" w:eastAsia="黑体" w:cs="Times New Roman"/>
      <w:b/>
      <w:bCs/>
      <w:sz w:val="24"/>
      <w:szCs w:val="24"/>
    </w:rPr>
  </w:style>
  <w:style w:type="character" w:styleId="902" w:customStyle="1">
    <w:name w:val="标题 7 字符"/>
    <w:link w:val="890"/>
    <w:uiPriority w:val="0"/>
    <w:qFormat/>
    <w:rPr>
      <w:rFonts w:ascii="Times New Roman" w:hAnsi="Times New Roman" w:eastAsia="宋体" w:cs="Times New Roman"/>
      <w:b/>
      <w:bCs/>
      <w:sz w:val="24"/>
      <w:szCs w:val="24"/>
    </w:rPr>
  </w:style>
  <w:style w:type="character" w:styleId="903" w:customStyle="1">
    <w:name w:val="标题 8 字符"/>
    <w:link w:val="891"/>
    <w:uiPriority w:val="0"/>
    <w:qFormat/>
    <w:rPr>
      <w:rFonts w:ascii="Arial" w:hAnsi="Arial" w:eastAsia="黑体" w:cs="Times New Roman"/>
      <w:sz w:val="24"/>
      <w:szCs w:val="24"/>
    </w:rPr>
  </w:style>
  <w:style w:type="character" w:styleId="904" w:customStyle="1">
    <w:name w:val="标题 9 字符"/>
    <w:link w:val="892"/>
    <w:uiPriority w:val="0"/>
    <w:qFormat/>
    <w:rPr>
      <w:rFonts w:ascii="Arial" w:hAnsi="Arial" w:eastAsia="黑体" w:cs="Times New Roman"/>
      <w:szCs w:val="21"/>
    </w:rPr>
  </w:style>
  <w:style w:type="paragraph" w:styleId="905" w:customStyle="1">
    <w:name w:val="列表 31"/>
    <w:basedOn w:val="702"/>
    <w:uiPriority w:val="0"/>
    <w:qFormat/>
    <w:pPr>
      <w:ind w:left="100" w:hanging="200"/>
    </w:pPr>
  </w:style>
  <w:style w:type="paragraph" w:styleId="906" w:customStyle="1">
    <w:name w:val="目录 71"/>
    <w:basedOn w:val="702"/>
    <w:next w:val="702"/>
    <w:uiPriority w:val="0"/>
    <w:semiHidden/>
    <w:qFormat/>
    <w:pPr>
      <w:ind w:left="1260"/>
      <w:jc w:val="left"/>
    </w:pPr>
  </w:style>
  <w:style w:type="paragraph" w:styleId="907" w:customStyle="1">
    <w:name w:val="文档结构图1"/>
    <w:basedOn w:val="702"/>
    <w:link w:val="908"/>
    <w:uiPriority w:val="0"/>
    <w:semiHidden/>
    <w:qFormat/>
    <w:pPr>
      <w:shd w:val="clear" w:color="auto" w:fill="000080"/>
    </w:pPr>
  </w:style>
  <w:style w:type="character" w:styleId="908" w:customStyle="1">
    <w:name w:val="文档结构图 字符"/>
    <w:link w:val="907"/>
    <w:uiPriority w:val="0"/>
    <w:semiHidden/>
    <w:qFormat/>
    <w:rPr>
      <w:rFonts w:ascii="Times New Roman" w:hAnsi="Times New Roman" w:eastAsia="宋体" w:cs="Times New Roman"/>
      <w:szCs w:val="21"/>
      <w:shd w:val="clear" w:color="auto" w:fill="000080"/>
    </w:rPr>
  </w:style>
  <w:style w:type="paragraph" w:styleId="909" w:customStyle="1">
    <w:name w:val="批注文字1"/>
    <w:basedOn w:val="702"/>
    <w:link w:val="910"/>
    <w:uiPriority w:val="0"/>
    <w:semiHidden/>
    <w:qFormat/>
    <w:pPr>
      <w:jc w:val="left"/>
    </w:pPr>
  </w:style>
  <w:style w:type="character" w:styleId="910" w:customStyle="1">
    <w:name w:val="批注文字 字符"/>
    <w:link w:val="909"/>
    <w:uiPriority w:val="0"/>
    <w:semiHidden/>
    <w:qFormat/>
    <w:rPr>
      <w:rFonts w:ascii="Times New Roman" w:hAnsi="Times New Roman" w:eastAsia="宋体" w:cs="Times New Roman"/>
      <w:szCs w:val="21"/>
    </w:rPr>
  </w:style>
  <w:style w:type="paragraph" w:styleId="911" w:customStyle="1">
    <w:name w:val="正文文本 31"/>
    <w:basedOn w:val="702"/>
    <w:link w:val="912"/>
    <w:uiPriority w:val="0"/>
    <w:qFormat/>
    <w:rPr>
      <w:rFonts w:ascii="仿宋_GB2312" w:hAnsi="Arial" w:eastAsia="仿宋_GB2312"/>
      <w:sz w:val="32"/>
      <w:szCs w:val="32"/>
    </w:rPr>
  </w:style>
  <w:style w:type="character" w:styleId="912" w:customStyle="1">
    <w:name w:val="正文文本 3 字符"/>
    <w:link w:val="911"/>
    <w:uiPriority w:val="0"/>
    <w:qFormat/>
    <w:rPr>
      <w:rFonts w:ascii="仿宋_GB2312" w:hAnsi="Arial" w:eastAsia="仿宋_GB2312" w:cs="Times New Roman"/>
      <w:sz w:val="32"/>
      <w:szCs w:val="32"/>
    </w:rPr>
  </w:style>
  <w:style w:type="paragraph" w:styleId="913" w:customStyle="1">
    <w:name w:val="正文文本11"/>
    <w:basedOn w:val="702"/>
    <w:link w:val="914"/>
    <w:uiPriority w:val="0"/>
    <w:qFormat/>
    <w:rPr>
      <w:rFonts w:ascii="楷体_GB2312" w:hAnsi="Arial" w:eastAsia="楷体_GB2312"/>
      <w:sz w:val="28"/>
      <w:szCs w:val="28"/>
    </w:rPr>
  </w:style>
  <w:style w:type="character" w:styleId="914" w:customStyle="1">
    <w:name w:val="正文文本 字符"/>
    <w:link w:val="913"/>
    <w:uiPriority w:val="0"/>
    <w:qFormat/>
    <w:rPr>
      <w:rFonts w:ascii="楷体_GB2312" w:hAnsi="Arial" w:eastAsia="楷体_GB2312" w:cs="Times New Roman"/>
      <w:sz w:val="28"/>
      <w:szCs w:val="28"/>
    </w:rPr>
  </w:style>
  <w:style w:type="paragraph" w:styleId="915" w:customStyle="1">
    <w:name w:val="正文文本缩进1"/>
    <w:basedOn w:val="702"/>
    <w:next w:val="916"/>
    <w:link w:val="917"/>
    <w:uiPriority w:val="0"/>
    <w:qFormat/>
    <w:pPr>
      <w:ind w:firstLine="645"/>
    </w:pPr>
    <w:rPr>
      <w:rFonts w:ascii="楷体_GB2312" w:eastAsia="楷体_GB2312"/>
      <w:sz w:val="32"/>
      <w:szCs w:val="32"/>
    </w:rPr>
  </w:style>
  <w:style w:type="paragraph" w:styleId="916" w:customStyle="1">
    <w:name w:val="寄信人地址1"/>
    <w:basedOn w:val="702"/>
    <w:uiPriority w:val="0"/>
    <w:qFormat/>
    <w:rPr>
      <w:rFonts w:ascii="Arial" w:hAnsi="Arial" w:eastAsia="宋体" w:cs="宋体"/>
    </w:rPr>
  </w:style>
  <w:style w:type="character" w:styleId="917" w:customStyle="1">
    <w:name w:val="正文文本缩进 字符"/>
    <w:link w:val="915"/>
    <w:uiPriority w:val="0"/>
    <w:qFormat/>
    <w:rPr>
      <w:rFonts w:ascii="楷体_GB2312" w:hAnsi="Times New Roman" w:eastAsia="楷体_GB2312" w:cs="Times New Roman"/>
      <w:sz w:val="32"/>
      <w:szCs w:val="32"/>
    </w:rPr>
  </w:style>
  <w:style w:type="paragraph" w:styleId="918" w:customStyle="1">
    <w:name w:val="列表 21"/>
    <w:basedOn w:val="702"/>
    <w:uiPriority w:val="0"/>
    <w:qFormat/>
    <w:pPr>
      <w:ind w:left="100" w:hanging="200"/>
    </w:pPr>
  </w:style>
  <w:style w:type="paragraph" w:styleId="919" w:customStyle="1">
    <w:name w:val="目录 51"/>
    <w:basedOn w:val="702"/>
    <w:next w:val="702"/>
    <w:uiPriority w:val="0"/>
    <w:semiHidden/>
    <w:qFormat/>
    <w:pPr>
      <w:ind w:left="840"/>
      <w:jc w:val="left"/>
    </w:pPr>
  </w:style>
  <w:style w:type="paragraph" w:styleId="920" w:customStyle="1">
    <w:name w:val="目录 31"/>
    <w:basedOn w:val="702"/>
    <w:next w:val="702"/>
    <w:uiPriority w:val="0"/>
    <w:semiHidden/>
    <w:qFormat/>
    <w:pPr>
      <w:ind w:left="420"/>
      <w:jc w:val="left"/>
    </w:pPr>
    <w:rPr>
      <w:i/>
      <w:iCs/>
      <w:szCs w:val="24"/>
    </w:rPr>
  </w:style>
  <w:style w:type="paragraph" w:styleId="921" w:customStyle="1">
    <w:name w:val="纯文本11"/>
    <w:basedOn w:val="702"/>
    <w:link w:val="922"/>
    <w:uiPriority w:val="0"/>
    <w:qFormat/>
    <w:rPr>
      <w:rFonts w:ascii="宋体" w:hAnsi="Courier New" w:cs="Courier New"/>
    </w:rPr>
  </w:style>
  <w:style w:type="character" w:styleId="922" w:customStyle="1">
    <w:name w:val="纯文本 字符"/>
    <w:link w:val="921"/>
    <w:uiPriority w:val="0"/>
    <w:qFormat/>
    <w:rPr>
      <w:rFonts w:ascii="宋体" w:hAnsi="Courier New" w:eastAsia="宋体" w:cs="Courier New"/>
      <w:szCs w:val="21"/>
    </w:rPr>
  </w:style>
  <w:style w:type="paragraph" w:styleId="923" w:customStyle="1">
    <w:name w:val="目录 81"/>
    <w:basedOn w:val="702"/>
    <w:next w:val="702"/>
    <w:uiPriority w:val="0"/>
    <w:semiHidden/>
    <w:qFormat/>
    <w:pPr>
      <w:ind w:left="1470"/>
      <w:jc w:val="left"/>
    </w:pPr>
  </w:style>
  <w:style w:type="paragraph" w:styleId="924" w:customStyle="1">
    <w:name w:val="日期1"/>
    <w:basedOn w:val="702"/>
    <w:next w:val="702"/>
    <w:link w:val="925"/>
    <w:uiPriority w:val="0"/>
    <w:qFormat/>
    <w:rPr>
      <w:sz w:val="24"/>
      <w:szCs w:val="24"/>
    </w:rPr>
  </w:style>
  <w:style w:type="character" w:styleId="925" w:customStyle="1">
    <w:name w:val="日期 字符"/>
    <w:link w:val="924"/>
    <w:uiPriority w:val="0"/>
    <w:qFormat/>
    <w:rPr>
      <w:rFonts w:ascii="Times New Roman" w:hAnsi="Times New Roman" w:eastAsia="宋体" w:cs="Times New Roman"/>
      <w:sz w:val="24"/>
      <w:szCs w:val="24"/>
    </w:rPr>
  </w:style>
  <w:style w:type="paragraph" w:styleId="926" w:customStyle="1">
    <w:name w:val="正文文本缩进 21"/>
    <w:basedOn w:val="702"/>
    <w:link w:val="927"/>
    <w:uiPriority w:val="0"/>
    <w:qFormat/>
    <w:pPr>
      <w:ind w:left="630" w:firstLine="645"/>
    </w:pPr>
    <w:rPr>
      <w:rFonts w:ascii="Arial" w:hAnsi="Arial" w:eastAsia="仿宋_GB2312" w:cs="Arial"/>
      <w:sz w:val="32"/>
      <w:szCs w:val="32"/>
    </w:rPr>
  </w:style>
  <w:style w:type="character" w:styleId="927" w:customStyle="1">
    <w:name w:val="正文文本缩进 2 字符"/>
    <w:link w:val="926"/>
    <w:uiPriority w:val="0"/>
    <w:qFormat/>
    <w:rPr>
      <w:rFonts w:ascii="Arial" w:hAnsi="Arial" w:eastAsia="仿宋_GB2312" w:cs="Arial"/>
      <w:sz w:val="32"/>
      <w:szCs w:val="32"/>
    </w:rPr>
  </w:style>
  <w:style w:type="paragraph" w:styleId="928" w:customStyle="1">
    <w:name w:val="批注框文本1"/>
    <w:basedOn w:val="702"/>
    <w:link w:val="929"/>
    <w:uiPriority w:val="0"/>
    <w:semiHidden/>
    <w:qFormat/>
    <w:rPr>
      <w:sz w:val="18"/>
      <w:szCs w:val="18"/>
    </w:rPr>
  </w:style>
  <w:style w:type="character" w:styleId="929" w:customStyle="1">
    <w:name w:val="批注框文本 字符"/>
    <w:link w:val="928"/>
    <w:uiPriority w:val="0"/>
    <w:semiHidden/>
    <w:qFormat/>
    <w:rPr>
      <w:rFonts w:ascii="Times New Roman" w:hAnsi="Times New Roman" w:eastAsia="宋体" w:cs="Times New Roman"/>
      <w:sz w:val="18"/>
      <w:szCs w:val="18"/>
    </w:rPr>
  </w:style>
  <w:style w:type="paragraph" w:styleId="930" w:customStyle="1">
    <w:name w:val="页脚1"/>
    <w:basedOn w:val="702"/>
    <w:link w:val="931"/>
    <w:uiPriority w:val="0"/>
    <w:qFormat/>
    <w:pPr>
      <w:jc w:val="left"/>
      <w:tabs>
        <w:tab w:val="center" w:pos="4153" w:leader="none"/>
        <w:tab w:val="right" w:pos="8306" w:leader="none"/>
      </w:tabs>
    </w:pPr>
    <w:rPr>
      <w:sz w:val="18"/>
      <w:szCs w:val="18"/>
    </w:rPr>
  </w:style>
  <w:style w:type="character" w:styleId="931" w:customStyle="1">
    <w:name w:val="页脚 字符"/>
    <w:link w:val="930"/>
    <w:uiPriority w:val="0"/>
    <w:qFormat/>
    <w:rPr>
      <w:rFonts w:ascii="Times New Roman" w:hAnsi="Times New Roman" w:eastAsia="宋体" w:cs="Times New Roman"/>
      <w:sz w:val="18"/>
      <w:szCs w:val="18"/>
    </w:rPr>
  </w:style>
  <w:style w:type="paragraph" w:styleId="932" w:customStyle="1">
    <w:name w:val="页眉1"/>
    <w:basedOn w:val="702"/>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字符"/>
    <w:link w:val="932"/>
    <w:uiPriority w:val="0"/>
    <w:qFormat/>
    <w:rPr>
      <w:rFonts w:ascii="Times New Roman" w:hAnsi="Times New Roman" w:eastAsia="宋体" w:cs="Times New Roman"/>
      <w:sz w:val="18"/>
      <w:szCs w:val="18"/>
    </w:rPr>
  </w:style>
  <w:style w:type="paragraph" w:styleId="934"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935" w:customStyle="1">
    <w:name w:val="目录 41"/>
    <w:basedOn w:val="702"/>
    <w:next w:val="702"/>
    <w:uiPriority w:val="0"/>
    <w:semiHidden/>
    <w:qFormat/>
    <w:pPr>
      <w:ind w:left="630"/>
      <w:jc w:val="left"/>
    </w:pPr>
  </w:style>
  <w:style w:type="paragraph" w:styleId="936" w:customStyle="1">
    <w:name w:val="列表1"/>
    <w:basedOn w:val="702"/>
    <w:uiPriority w:val="0"/>
    <w:qFormat/>
    <w:pPr>
      <w:ind w:left="200" w:hanging="200"/>
    </w:pPr>
  </w:style>
  <w:style w:type="paragraph" w:styleId="937" w:customStyle="1">
    <w:name w:val="目录 61"/>
    <w:basedOn w:val="702"/>
    <w:next w:val="702"/>
    <w:uiPriority w:val="0"/>
    <w:semiHidden/>
    <w:qFormat/>
    <w:pPr>
      <w:ind w:left="1050"/>
      <w:jc w:val="left"/>
    </w:pPr>
  </w:style>
  <w:style w:type="paragraph" w:styleId="938" w:customStyle="1">
    <w:name w:val="正文文本缩进 31"/>
    <w:basedOn w:val="702"/>
    <w:link w:val="939"/>
    <w:uiPriority w:val="0"/>
    <w:qFormat/>
    <w:pPr>
      <w:ind w:left="645" w:firstLine="645"/>
    </w:pPr>
    <w:rPr>
      <w:rFonts w:ascii="Arial" w:hAnsi="Arial" w:eastAsia="仿宋_GB2312" w:cs="Arial"/>
      <w:color w:val="ffff00"/>
      <w:sz w:val="32"/>
      <w:szCs w:val="32"/>
    </w:rPr>
  </w:style>
  <w:style w:type="character" w:styleId="939" w:customStyle="1">
    <w:name w:val="正文文本缩进 3 字符"/>
    <w:link w:val="938"/>
    <w:uiPriority w:val="0"/>
    <w:qFormat/>
    <w:rPr>
      <w:rFonts w:ascii="Arial" w:hAnsi="Arial" w:eastAsia="仿宋_GB2312" w:cs="Arial"/>
      <w:color w:val="ffff00"/>
      <w:sz w:val="32"/>
      <w:szCs w:val="32"/>
    </w:rPr>
  </w:style>
  <w:style w:type="paragraph" w:styleId="940" w:customStyle="1">
    <w:name w:val="图表目录1"/>
    <w:basedOn w:val="702"/>
    <w:next w:val="702"/>
    <w:uiPriority w:val="0"/>
    <w:semiHidden/>
    <w:qFormat/>
    <w:pPr>
      <w:ind w:left="840" w:hanging="420"/>
    </w:pPr>
  </w:style>
  <w:style w:type="paragraph" w:styleId="941" w:customStyle="1">
    <w:name w:val="目录 21"/>
    <w:basedOn w:val="702"/>
    <w:next w:val="702"/>
    <w:uiPriority w:val="0"/>
    <w:semiHidden/>
    <w:qFormat/>
    <w:pPr>
      <w:ind w:left="210"/>
      <w:jc w:val="left"/>
    </w:pPr>
    <w:rPr>
      <w:smallCaps/>
      <w:szCs w:val="24"/>
    </w:rPr>
  </w:style>
  <w:style w:type="paragraph" w:styleId="942" w:customStyle="1">
    <w:name w:val="目录 91"/>
    <w:basedOn w:val="702"/>
    <w:next w:val="702"/>
    <w:uiPriority w:val="0"/>
    <w:semiHidden/>
    <w:qFormat/>
    <w:pPr>
      <w:ind w:left="1680"/>
      <w:jc w:val="left"/>
    </w:pPr>
  </w:style>
  <w:style w:type="paragraph" w:styleId="943" w:customStyle="1">
    <w:name w:val="正文文本 21"/>
    <w:basedOn w:val="702"/>
    <w:link w:val="944"/>
    <w:uiPriority w:val="0"/>
    <w:qFormat/>
    <w:pPr>
      <w:jc w:val="center"/>
      <w:widowControl/>
    </w:pPr>
    <w:rPr>
      <w:rFonts w:ascii="楷体_GB2312" w:eastAsia="楷体_GB2312"/>
      <w:sz w:val="28"/>
      <w:szCs w:val="28"/>
    </w:rPr>
  </w:style>
  <w:style w:type="character" w:styleId="944" w:customStyle="1">
    <w:name w:val="正文文本 2 字符"/>
    <w:link w:val="943"/>
    <w:uiPriority w:val="0"/>
    <w:qFormat/>
    <w:rPr>
      <w:rFonts w:ascii="楷体_GB2312" w:hAnsi="Times New Roman" w:eastAsia="楷体_GB2312" w:cs="Times New Roman"/>
      <w:sz w:val="28"/>
      <w:szCs w:val="28"/>
    </w:rPr>
  </w:style>
  <w:style w:type="paragraph" w:styleId="945" w:customStyle="1">
    <w:name w:val="普通(网站)1"/>
    <w:basedOn w:val="702"/>
    <w:uiPriority w:val="99"/>
    <w:qFormat/>
    <w:pPr>
      <w:jc w:val="left"/>
      <w:spacing w:before="100" w:beforeAutospacing="1" w:after="100" w:afterAutospacing="1"/>
      <w:widowControl/>
    </w:pPr>
    <w:rPr>
      <w:rFonts w:ascii="宋体" w:hAnsi="宋体" w:cs="宋体"/>
      <w:sz w:val="24"/>
      <w:szCs w:val="24"/>
    </w:rPr>
  </w:style>
  <w:style w:type="paragraph" w:styleId="946" w:customStyle="1">
    <w:name w:val="索引 11"/>
    <w:basedOn w:val="702"/>
    <w:next w:val="702"/>
    <w:uiPriority w:val="0"/>
    <w:semiHidden/>
    <w:qFormat/>
    <w:pPr>
      <w:spacing w:line="240" w:lineRule="atLeast"/>
    </w:pPr>
    <w:rPr>
      <w:b/>
      <w:bCs/>
    </w:rPr>
  </w:style>
  <w:style w:type="paragraph" w:styleId="947" w:customStyle="1">
    <w:name w:val="批注主题1"/>
    <w:basedOn w:val="909"/>
    <w:next w:val="909"/>
    <w:link w:val="948"/>
    <w:uiPriority w:val="0"/>
    <w:semiHidden/>
    <w:qFormat/>
    <w:rPr>
      <w:b/>
      <w:bCs/>
    </w:rPr>
  </w:style>
  <w:style w:type="character" w:styleId="948" w:customStyle="1">
    <w:name w:val="批注主题 字符"/>
    <w:link w:val="947"/>
    <w:uiPriority w:val="0"/>
    <w:semiHidden/>
    <w:qFormat/>
    <w:rPr>
      <w:rFonts w:ascii="Times New Roman" w:hAnsi="Times New Roman" w:eastAsia="宋体" w:cs="Times New Roman"/>
      <w:b/>
      <w:bCs/>
      <w:szCs w:val="21"/>
    </w:rPr>
  </w:style>
  <w:style w:type="paragraph" w:styleId="949" w:customStyle="1">
    <w:name w:val="正文首行缩进1"/>
    <w:basedOn w:val="702"/>
    <w:link w:val="950"/>
    <w:uiPriority w:val="0"/>
    <w:qFormat/>
    <w:pPr>
      <w:ind w:firstLine="200"/>
      <w:spacing w:line="360" w:lineRule="auto"/>
    </w:pPr>
    <w:rPr>
      <w:rFonts w:ascii="仿宋_GB2312" w:eastAsia="仿宋_GB2312"/>
      <w:sz w:val="30"/>
      <w:szCs w:val="30"/>
    </w:rPr>
  </w:style>
  <w:style w:type="character" w:styleId="950" w:customStyle="1">
    <w:name w:val="正文文本首行缩进 字符"/>
    <w:link w:val="949"/>
    <w:uiPriority w:val="0"/>
    <w:qFormat/>
    <w:rPr>
      <w:rFonts w:ascii="仿宋_GB2312" w:hAnsi="Times New Roman" w:eastAsia="仿宋_GB2312" w:cs="Times New Roman"/>
      <w:sz w:val="30"/>
      <w:szCs w:val="30"/>
    </w:rPr>
  </w:style>
  <w:style w:type="paragraph" w:styleId="951" w:customStyle="1">
    <w:name w:val="正文首行缩进 21"/>
    <w:basedOn w:val="915"/>
    <w:next w:val="702"/>
    <w:link w:val="952"/>
    <w:uiPriority w:val="0"/>
    <w:qFormat/>
    <w:pPr>
      <w:ind w:firstLine="420"/>
      <w:spacing w:line="360" w:lineRule="auto"/>
    </w:pPr>
    <w:rPr>
      <w:rFonts w:ascii="宋体" w:hAnsi="宋体" w:eastAsia="宋体"/>
      <w:sz w:val="21"/>
      <w:szCs w:val="20"/>
    </w:rPr>
  </w:style>
  <w:style w:type="character" w:styleId="952" w:customStyle="1">
    <w:name w:val="正文文本首行缩进 2 字符"/>
    <w:link w:val="951"/>
    <w:uiPriority w:val="0"/>
    <w:qFormat/>
    <w:rPr>
      <w:rFonts w:ascii="宋体" w:hAnsi="宋体" w:eastAsia="宋体" w:cs="Times New Roman"/>
      <w:sz w:val="32"/>
      <w:szCs w:val="20"/>
    </w:rPr>
  </w:style>
  <w:style w:type="table" w:styleId="953" w:customStyle="1">
    <w:name w:val="网格型11"/>
    <w:basedOn w:val="894"/>
    <w:uiPriority w:val="0"/>
    <w:qFormat/>
    <w:pPr>
      <w:jc w:val="both"/>
      <w:widowControl w:val="off"/>
    </w:pPr>
    <w:rPr>
      <w:rFonts w:ascii="Times New Roman" w:hAnsi="Times New Roman" w:eastAsia="宋体" w:cs="Times New Roman"/>
      <w:sz w:val="20"/>
      <w:szCs w:val="20"/>
    </w:rPr>
    <w:tblPr/>
  </w:style>
  <w:style w:type="character" w:styleId="954" w:customStyle="1">
    <w:name w:val="要点1"/>
    <w:link w:val="702"/>
    <w:uiPriority w:val="0"/>
    <w:qFormat/>
    <w:rPr>
      <w:b/>
      <w:bCs/>
    </w:rPr>
  </w:style>
  <w:style w:type="character" w:styleId="955" w:customStyle="1">
    <w:name w:val="页码1"/>
    <w:link w:val="702"/>
    <w:uiPriority w:val="0"/>
    <w:qFormat/>
  </w:style>
  <w:style w:type="character" w:styleId="956" w:customStyle="1">
    <w:name w:val="已访问的超链接1"/>
    <w:link w:val="702"/>
    <w:uiPriority w:val="0"/>
    <w:qFormat/>
    <w:rPr>
      <w:color w:val="800080"/>
      <w:u w:val="single"/>
    </w:rPr>
  </w:style>
  <w:style w:type="character" w:styleId="957" w:customStyle="1">
    <w:name w:val="超链接1"/>
    <w:link w:val="702"/>
    <w:uiPriority w:val="0"/>
    <w:qFormat/>
    <w:rPr>
      <w:color w:val="0000ff"/>
      <w:u w:val="single"/>
    </w:rPr>
  </w:style>
  <w:style w:type="character" w:styleId="958" w:customStyle="1">
    <w:name w:val="批注引用1"/>
    <w:link w:val="702"/>
    <w:uiPriority w:val="0"/>
    <w:semiHidden/>
    <w:qFormat/>
    <w:rPr>
      <w:sz w:val="21"/>
      <w:szCs w:val="21"/>
    </w:rPr>
  </w:style>
  <w:style w:type="character" w:styleId="959" w:customStyle="1">
    <w:name w:val="二级目录 Char"/>
    <w:link w:val="960"/>
    <w:uiPriority w:val="0"/>
    <w:qFormat/>
    <w:rPr>
      <w:b/>
      <w:sz w:val="30"/>
      <w:szCs w:val="28"/>
    </w:rPr>
  </w:style>
  <w:style w:type="paragraph" w:styleId="960" w:customStyle="1">
    <w:name w:val="二级目录"/>
    <w:next w:val="702"/>
    <w:link w:val="95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702"/>
    <w:link w:val="961"/>
    <w:uiPriority w:val="0"/>
    <w:qFormat/>
    <w:pPr>
      <w:contextualSpacing/>
      <w:ind w:left="720"/>
      <w:jc w:val="left"/>
      <w:widowControl/>
    </w:pPr>
    <w:rPr>
      <w:rFonts w:ascii="Calibri" w:hAnsi="Calibri" w:eastAsia="宋体" w:cs="Times New Roman"/>
      <w:sz w:val="24"/>
      <w:szCs w:val="24"/>
      <w:lang w:eastAsia="en-US" w:bidi="en-US"/>
    </w:rPr>
  </w:style>
  <w:style w:type="character" w:styleId="963" w:customStyle="1">
    <w:name w:val="font5 Char"/>
    <w:link w:val="702"/>
    <w:uiPriority w:val="0"/>
    <w:qFormat/>
    <w:rPr>
      <w:rFonts w:ascii="宋体" w:hAnsi="宋体" w:eastAsia="宋体"/>
      <w:sz w:val="28"/>
      <w:szCs w:val="28"/>
      <w:lang w:val="en-US" w:eastAsia="zh-CN" w:bidi="ar-SA"/>
    </w:rPr>
  </w:style>
  <w:style w:type="paragraph" w:styleId="964" w:customStyle="1">
    <w:name w:val="列出段落3"/>
    <w:basedOn w:val="702"/>
    <w:uiPriority w:val="34"/>
    <w:qFormat/>
    <w:pPr>
      <w:ind w:firstLine="420"/>
    </w:pPr>
    <w:rPr>
      <w:rFonts w:ascii="等线" w:hAnsi="等线" w:eastAsia="等线"/>
      <w:szCs w:val="22"/>
    </w:rPr>
  </w:style>
  <w:style w:type="paragraph" w:styleId="965" w:customStyle="1">
    <w:name w:val="Char Char Char Char"/>
    <w:basedOn w:val="907"/>
    <w:uiPriority w:val="0"/>
    <w:qFormat/>
    <w:pPr>
      <w:spacing w:line="360" w:lineRule="auto"/>
    </w:pPr>
    <w:rPr>
      <w:rFonts w:ascii="Tahoma" w:hAnsi="Tahoma"/>
      <w:sz w:val="24"/>
      <w:szCs w:val="24"/>
    </w:rPr>
  </w:style>
  <w:style w:type="paragraph" w:styleId="96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7" w:customStyle="1">
    <w:name w:val="table_lines"/>
    <w:basedOn w:val="702"/>
    <w:uiPriority w:val="0"/>
    <w:qFormat/>
    <w:pPr>
      <w:jc w:val="left"/>
      <w:widowControl/>
    </w:pPr>
    <w:rPr>
      <w:sz w:val="20"/>
      <w:szCs w:val="20"/>
      <w:lang w:val="de-DE" w:eastAsia="de-DE"/>
    </w:rPr>
  </w:style>
  <w:style w:type="paragraph" w:styleId="968" w:customStyle="1">
    <w:name w:val="正文文本1"/>
    <w:basedOn w:val="702"/>
    <w:next w:val="702"/>
    <w:uiPriority w:val="0"/>
    <w:semiHidden/>
    <w:qFormat/>
    <w:rPr>
      <w:rFonts w:ascii="Arial" w:hAnsi="Arial" w:eastAsia="Arial" w:cs="Arial"/>
      <w:sz w:val="21"/>
      <w:szCs w:val="21"/>
      <w:lang w:val="en-US" w:eastAsia="en-US" w:bidi="ar-SA"/>
    </w:rPr>
  </w:style>
  <w:style w:type="paragraph" w:styleId="9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71" w:customStyle="1">
    <w:name w:val="4"/>
    <w:basedOn w:val="702"/>
    <w:next w:val="938"/>
    <w:uiPriority w:val="0"/>
    <w:qFormat/>
    <w:pPr>
      <w:ind w:firstLine="420"/>
      <w:spacing w:line="360" w:lineRule="auto"/>
    </w:pPr>
    <w:rPr>
      <w:color w:val="ff0000"/>
      <w:sz w:val="24"/>
      <w:szCs w:val="24"/>
    </w:rPr>
  </w:style>
  <w:style w:type="paragraph" w:styleId="972"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3" w:customStyle="1">
    <w:name w:val="table_1stline"/>
    <w:basedOn w:val="702"/>
    <w:uiPriority w:val="0"/>
    <w:qFormat/>
    <w:pPr>
      <w:jc w:val="left"/>
      <w:spacing w:before="120"/>
      <w:widowControl/>
    </w:pPr>
    <w:rPr>
      <w:bCs/>
      <w:sz w:val="20"/>
      <w:szCs w:val="20"/>
      <w:lang w:val="de-DE" w:eastAsia="de-DE"/>
    </w:rPr>
  </w:style>
  <w:style w:type="paragraph" w:styleId="974" w:customStyle="1">
    <w:name w:val="正文文本12"/>
    <w:basedOn w:val="702"/>
    <w:uiPriority w:val="1"/>
    <w:qFormat/>
    <w:pPr>
      <w:ind w:left="120"/>
    </w:pPr>
    <w:rPr>
      <w:rFonts w:ascii="宋体" w:hAnsi="宋体" w:eastAsia="宋体" w:cs="宋体"/>
      <w:sz w:val="21"/>
      <w:szCs w:val="21"/>
      <w:lang w:val="zh-CN" w:eastAsia="zh-CN" w:bidi="zh-CN"/>
    </w:rPr>
  </w:style>
  <w:style w:type="paragraph" w:styleId="975" w:customStyle="1">
    <w:name w:val="Char"/>
    <w:basedOn w:val="702"/>
    <w:uiPriority w:val="0"/>
    <w:qFormat/>
    <w:pPr>
      <w:ind w:firstLine="200"/>
      <w:tabs>
        <w:tab w:val="left" w:pos="360" w:leader="none"/>
      </w:tabs>
    </w:pPr>
    <w:rPr>
      <w:sz w:val="28"/>
      <w:szCs w:val="30"/>
    </w:rPr>
  </w:style>
  <w:style w:type="paragraph" w:styleId="976"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77"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9"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8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2"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3"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4"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列表段落"/>
    <w:basedOn w:val="702"/>
    <w:uiPriority w:val="0"/>
    <w:qFormat/>
    <w:pPr>
      <w:contextualSpacing/>
      <w:ind w:left="720"/>
      <w:jc w:val="left"/>
      <w:widowControl/>
    </w:pPr>
    <w:rPr>
      <w:rFonts w:ascii="Calibri" w:hAnsi="Calibri"/>
      <w:sz w:val="24"/>
      <w:szCs w:val="24"/>
      <w:lang w:eastAsia="en-US" w:bidi="en-US"/>
    </w:rPr>
  </w:style>
  <w:style w:type="paragraph" w:styleId="987" w:customStyle="1">
    <w:name w:val="索引 41"/>
    <w:basedOn w:val="702"/>
    <w:next w:val="702"/>
    <w:uiPriority w:val="0"/>
    <w:semiHidden/>
    <w:qFormat/>
    <w:pPr>
      <w:ind w:left="1260"/>
    </w:pPr>
    <w:rPr>
      <w:rFonts w:ascii="Calibri" w:hAnsi="Calibri" w:eastAsia="Calibri" w:cs="宋体"/>
      <w:sz w:val="20"/>
      <w:lang w:val="zh-CN"/>
    </w:rPr>
  </w:style>
  <w:style w:type="paragraph" w:styleId="988" w:customStyle="1">
    <w:name w:val=" Char Char Char Char"/>
    <w:basedOn w:val="907"/>
    <w:uiPriority w:val="0"/>
    <w:qFormat/>
    <w:pPr>
      <w:spacing w:line="360" w:lineRule="auto"/>
    </w:pPr>
    <w:rPr>
      <w:rFonts w:ascii="Tahoma" w:hAnsi="Tahoma"/>
      <w:sz w:val="24"/>
      <w:szCs w:val="24"/>
    </w:rPr>
  </w:style>
  <w:style w:type="paragraph" w:styleId="989" w:customStyle="1">
    <w:name w:val=" Char"/>
    <w:basedOn w:val="907"/>
    <w:uiPriority w:val="0"/>
    <w:qFormat/>
    <w:rPr>
      <w:rFonts w:ascii="Tahoma" w:hAnsi="Tahoma"/>
      <w:sz w:val="24"/>
      <w:szCs w:val="24"/>
    </w:rPr>
  </w:style>
  <w:style w:type="paragraph" w:styleId="990"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91" w:customStyle="1">
    <w:name w:val=" Char Char Char Char Char Char Char Char Char Char"/>
    <w:basedOn w:val="702"/>
    <w:uiPriority w:val="0"/>
    <w:qFormat/>
    <w:pPr>
      <w:spacing w:line="360" w:lineRule="auto"/>
    </w:pPr>
    <w:rPr>
      <w:sz w:val="24"/>
      <w:szCs w:val="20"/>
    </w:rPr>
  </w:style>
  <w:style w:type="paragraph" w:styleId="992"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Body Text(ch)"/>
    <w:basedOn w:val="702"/>
    <w:next w:val="913"/>
    <w:uiPriority w:val="0"/>
    <w:qFormat/>
    <w:pPr>
      <w:spacing w:after="120"/>
    </w:pPr>
    <w:rPr>
      <w:rFonts w:ascii="宋体" w:hAnsi="Arial"/>
      <w:bCs/>
      <w:iCs/>
      <w:szCs w:val="24"/>
    </w:rPr>
  </w:style>
  <w:style w:type="paragraph" w:styleId="995" w:customStyle="1">
    <w:name w:val="正文文本 211"/>
    <w:basedOn w:val="702"/>
    <w:uiPriority w:val="99"/>
    <w:qFormat/>
    <w:pPr>
      <w:jc w:val="center"/>
    </w:pPr>
    <w:rPr>
      <w:b/>
      <w:bCs/>
      <w:sz w:val="20"/>
      <w:szCs w:val="20"/>
    </w:rPr>
  </w:style>
  <w:style w:type="paragraph" w:styleId="996"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97"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8" w:customStyle="1">
    <w:name w:val="Blockquote"/>
    <w:basedOn w:val="702"/>
    <w:uiPriority w:val="0"/>
    <w:qFormat/>
    <w:pPr>
      <w:ind w:left="360" w:right="360"/>
      <w:spacing w:before="100" w:after="100"/>
    </w:pPr>
    <w:rPr>
      <w:rFonts w:ascii="Calibri" w:hAnsi="Calibri"/>
      <w:sz w:val="24"/>
      <w:szCs w:val="24"/>
    </w:rPr>
  </w:style>
  <w:style w:type="paragraph" w:styleId="999"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customStyle="1">
    <w:name w:val="样式1"/>
    <w:basedOn w:val="702"/>
    <w:uiPriority w:val="0"/>
    <w:qFormat/>
    <w:pPr>
      <w:numPr>
        <w:ilvl w:val="0"/>
        <w:numId w:val="3"/>
      </w:numPr>
    </w:pPr>
    <w:rPr>
      <w:rFonts w:ascii="宋体" w:hAnsi="宋体"/>
    </w:rPr>
  </w:style>
  <w:style w:type="paragraph" w:styleId="1001" w:customStyle="1">
    <w:name w:val="纯文本1"/>
    <w:basedOn w:val="702"/>
    <w:uiPriority w:val="0"/>
    <w:qFormat/>
    <w:rPr>
      <w:rFonts w:ascii="宋体" w:hAnsi="Courier New" w:cs="Courier New"/>
    </w:rPr>
  </w:style>
  <w:style w:type="table" w:styleId="1002" w:customStyle="1">
    <w:name w:val="Table Normal"/>
    <w:uiPriority w:val="0"/>
    <w:qFormat/>
    <w:rPr>
      <w:lang w:val="en-US" w:eastAsia="zh-CN" w:bidi="ar-SA"/>
    </w:rPr>
    <w:tblPr/>
  </w:style>
  <w:style w:type="table" w:styleId="1003" w:customStyle="1">
    <w:name w:val="网格型1"/>
    <w:basedOn w:val="1004"/>
    <w:uiPriority w:val="0"/>
    <w:qFormat/>
    <w:pPr>
      <w:jc w:val="both"/>
      <w:widowControl w:val="off"/>
    </w:pPr>
    <w:tblPr/>
  </w:style>
  <w:style w:type="table" w:styleId="1004" w:customStyle="1">
    <w:name w:val="普通表格1"/>
    <w:uiPriority w:val="99"/>
    <w:unhideWhenUsed/>
    <w:qFormat/>
    <w:rPr>
      <w:lang w:val="en-US" w:eastAsia="zh-CN" w:bidi="ar-SA"/>
    </w:rPr>
    <w:tbl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dc:creator>
  <cp:lastModifiedBy>徐振新</cp:lastModifiedBy>
  <cp:revision>19</cp:revision>
  <dcterms:created xsi:type="dcterms:W3CDTF">2023-03-16T02:16:00Z</dcterms:created>
  <dcterms:modified xsi:type="dcterms:W3CDTF">2025-01-07T01:27:35Z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02B023299EDA4BB6B18A5053EA5C52CD</vt:lpwstr>
  </property>
</Properties>
</file>