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sz w:val="72"/>
          <w:szCs w:val="72"/>
          <w:highlight w:val="none"/>
        </w:rPr>
      </w:pPr>
      <w:r>
        <w:rPr>
          <w:color w:val="auto"/>
          <w:sz w:val="72"/>
          <w:szCs w:val="72"/>
          <w:highlight w:val="none"/>
        </w:rPr>
      </w:r>
      <w:r/>
    </w:p>
    <w:p>
      <w:pPr>
        <w:jc w:val="center"/>
        <w:rPr>
          <w:color w:val="auto"/>
          <w:sz w:val="72"/>
          <w:szCs w:val="72"/>
          <w:highlight w:val="none"/>
        </w:rPr>
      </w:pPr>
      <w:r>
        <w:rPr>
          <w:color w:val="auto"/>
          <w:sz w:val="72"/>
          <w:szCs w:val="72"/>
          <w:highlight w:val="none"/>
        </w:rPr>
      </w:r>
      <w:r/>
    </w:p>
    <w:p>
      <w:pPr>
        <w:jc w:val="center"/>
        <w:rPr>
          <w:color w:val="auto"/>
          <w:sz w:val="72"/>
          <w:szCs w:val="72"/>
          <w:highlight w:val="none"/>
        </w:rPr>
      </w:pPr>
      <w:r>
        <w:rPr>
          <w:rFonts w:hint="eastAsia"/>
          <w:color w:val="auto"/>
          <w:sz w:val="72"/>
          <w:szCs w:val="72"/>
          <w:highlight w:val="none"/>
        </w:rPr>
        <w:t xml:space="preserve">磋商文件</w:t>
      </w:r>
      <w:r/>
    </w:p>
    <w:p>
      <w:pPr>
        <w:spacing w:before="114" w:line="212" w:lineRule="auto"/>
        <w:rPr>
          <w:rFonts w:ascii="宋体" w:hAnsi="宋体" w:eastAsia="宋体" w:cs="宋体"/>
          <w:b/>
          <w:bCs/>
          <w:color w:val="auto"/>
          <w:spacing w:val="-6"/>
          <w:sz w:val="35"/>
          <w:szCs w:val="35"/>
          <w:highlight w:val="none"/>
        </w:rPr>
      </w:pPr>
      <w:r>
        <w:rPr>
          <w:rFonts w:ascii="宋体" w:hAnsi="宋体" w:eastAsia="宋体" w:cs="宋体"/>
          <w:b/>
          <w:bCs/>
          <w:color w:val="auto"/>
          <w:spacing w:val="-6"/>
          <w:sz w:val="35"/>
          <w:szCs w:val="35"/>
          <w:highlight w:val="none"/>
        </w:rPr>
      </w:r>
      <w:r/>
    </w:p>
    <w:p>
      <w:pPr>
        <w:pStyle w:val="1578"/>
        <w:rPr>
          <w:color w:val="auto"/>
          <w:highlight w:val="none"/>
        </w:rPr>
      </w:pPr>
      <w:r>
        <w:rPr>
          <w:color w:val="auto"/>
          <w:highlight w:val="none"/>
        </w:rPr>
      </w:r>
      <w:r/>
    </w:p>
    <w:p>
      <w:pPr>
        <w:spacing w:before="114" w:line="212" w:lineRule="auto"/>
        <w:rPr>
          <w:rFonts w:hint="eastAsia" w:ascii="宋体" w:hAnsi="宋体" w:eastAsia="宋体" w:cs="宋体"/>
          <w:color w:val="auto"/>
          <w:sz w:val="35"/>
          <w:szCs w:val="35"/>
          <w:highlight w:val="none"/>
          <w:lang w:eastAsia="zh-CN"/>
        </w:rPr>
      </w:pPr>
      <w:r>
        <w:rPr>
          <w:rFonts w:ascii="宋体" w:hAnsi="宋体" w:eastAsia="宋体" w:cs="宋体"/>
          <w:b/>
          <w:bCs/>
          <w:color w:val="auto"/>
          <w:spacing w:val="-6"/>
          <w:sz w:val="35"/>
          <w:szCs w:val="35"/>
          <w:highlight w:val="none"/>
        </w:rPr>
        <w:t xml:space="preserve">项目编号：</w:t>
      </w:r>
      <w:r>
        <w:rPr>
          <w:rFonts w:hint="eastAsia" w:ascii="宋体" w:hAnsi="宋体" w:eastAsia="宋体" w:cs="宋体"/>
          <w:color w:val="auto"/>
          <w:spacing w:val="7"/>
          <w:sz w:val="35"/>
          <w:szCs w:val="35"/>
          <w:highlight w:val="none"/>
          <w:lang w:eastAsia="zh-CN"/>
        </w:rPr>
        <w:t xml:space="preserve">JSZC-321100-ZCJS-C2025-0002</w:t>
      </w:r>
      <w:r/>
    </w:p>
    <w:p>
      <w:pPr>
        <w:spacing w:line="249" w:lineRule="auto"/>
        <w:rPr>
          <w:rFonts w:ascii="Arial"/>
          <w:color w:val="auto"/>
          <w:highlight w:val="none"/>
        </w:rPr>
      </w:pPr>
      <w:r>
        <w:rPr>
          <w:rFonts w:ascii="Arial"/>
          <w:color w:val="auto"/>
          <w:highlight w:val="none"/>
        </w:rPr>
      </w:r>
      <w:r/>
    </w:p>
    <w:p>
      <w:pPr>
        <w:spacing w:line="250" w:lineRule="auto"/>
        <w:rPr>
          <w:rFonts w:ascii="Arial"/>
          <w:color w:val="auto"/>
          <w:highlight w:val="none"/>
        </w:rPr>
      </w:pPr>
      <w:r>
        <w:rPr>
          <w:rFonts w:ascii="Arial"/>
          <w:color w:val="auto"/>
          <w:highlight w:val="none"/>
        </w:rPr>
      </w:r>
      <w:r/>
    </w:p>
    <w:p>
      <w:pPr>
        <w:spacing w:line="250" w:lineRule="auto"/>
        <w:rPr>
          <w:rFonts w:ascii="Arial"/>
          <w:color w:val="auto"/>
          <w:highlight w:val="none"/>
        </w:rPr>
      </w:pPr>
      <w:r>
        <w:rPr>
          <w:rFonts w:ascii="Arial"/>
          <w:color w:val="auto"/>
          <w:highlight w:val="none"/>
        </w:rPr>
      </w:r>
      <w:r/>
    </w:p>
    <w:p>
      <w:pPr>
        <w:rPr>
          <w:rFonts w:hint="eastAsia" w:ascii="宋体" w:hAnsi="宋体" w:eastAsia="宋体" w:cs="宋体"/>
          <w:color w:val="auto"/>
          <w:spacing w:val="7"/>
          <w:sz w:val="35"/>
          <w:szCs w:val="35"/>
          <w:highlight w:val="none"/>
          <w:lang w:eastAsia="zh-CN"/>
        </w:rPr>
      </w:pPr>
      <w:r>
        <w:rPr>
          <w:rFonts w:ascii="宋体" w:hAnsi="宋体" w:eastAsia="宋体" w:cs="宋体"/>
          <w:b/>
          <w:bCs/>
          <w:color w:val="auto"/>
          <w:spacing w:val="-7"/>
          <w:sz w:val="35"/>
          <w:szCs w:val="35"/>
          <w:highlight w:val="none"/>
        </w:rPr>
        <w:t xml:space="preserve">项目名称：</w:t>
      </w:r>
      <w:r>
        <w:rPr>
          <w:rFonts w:hint="eastAsia" w:ascii="宋体" w:hAnsi="宋体" w:eastAsia="宋体" w:cs="宋体"/>
          <w:color w:val="auto"/>
          <w:spacing w:val="7"/>
          <w:sz w:val="35"/>
          <w:szCs w:val="35"/>
          <w:highlight w:val="none"/>
          <w:lang w:eastAsia="zh-CN"/>
        </w:rPr>
        <w:t xml:space="preserve">镇江市公安局UPS系统升级改造服务项目</w:t>
      </w:r>
      <w:r/>
    </w:p>
    <w:p>
      <w:pPr>
        <w:rPr>
          <w:rFonts w:ascii="宋体" w:hAnsi="宋体" w:eastAsia="宋体" w:cs="宋体"/>
          <w:color w:val="auto"/>
          <w:spacing w:val="7"/>
          <w:sz w:val="35"/>
          <w:szCs w:val="35"/>
          <w:highlight w:val="none"/>
        </w:rPr>
      </w:pPr>
      <w:r>
        <w:rPr>
          <w:rFonts w:ascii="宋体" w:hAnsi="宋体" w:eastAsia="宋体" w:cs="宋体"/>
          <w:color w:val="auto"/>
          <w:spacing w:val="7"/>
          <w:sz w:val="35"/>
          <w:szCs w:val="35"/>
          <w:highlight w:val="none"/>
        </w:rPr>
      </w:r>
      <w:r/>
    </w:p>
    <w:p>
      <w:pPr>
        <w:pStyle w:val="1578"/>
        <w:rPr>
          <w:rFonts w:ascii="宋体" w:hAnsi="宋体" w:eastAsia="宋体" w:cs="宋体"/>
          <w:color w:val="auto"/>
          <w:spacing w:val="7"/>
          <w:sz w:val="35"/>
          <w:szCs w:val="35"/>
          <w:highlight w:val="none"/>
        </w:rPr>
      </w:pPr>
      <w:r>
        <w:rPr>
          <w:rFonts w:ascii="宋体" w:hAnsi="宋体" w:eastAsia="宋体" w:cs="宋体"/>
          <w:color w:val="auto"/>
          <w:spacing w:val="7"/>
          <w:sz w:val="35"/>
          <w:szCs w:val="35"/>
          <w:highlight w:val="none"/>
        </w:rPr>
      </w:r>
      <w:r/>
    </w:p>
    <w:p>
      <w:pPr>
        <w:pStyle w:val="1583"/>
        <w:rPr>
          <w:rFonts w:ascii="宋体" w:hAnsi="宋体" w:eastAsia="宋体" w:cs="宋体"/>
          <w:color w:val="auto"/>
          <w:spacing w:val="7"/>
          <w:sz w:val="35"/>
          <w:szCs w:val="35"/>
          <w:highlight w:val="none"/>
        </w:rPr>
      </w:pPr>
      <w:r>
        <w:rPr>
          <w:rFonts w:ascii="宋体" w:hAnsi="宋体" w:eastAsia="宋体" w:cs="宋体"/>
          <w:color w:val="auto"/>
          <w:spacing w:val="7"/>
          <w:sz w:val="35"/>
          <w:szCs w:val="35"/>
          <w:highlight w:val="none"/>
        </w:rPr>
      </w:r>
      <w:r/>
    </w:p>
    <w:p>
      <w:pPr>
        <w:pStyle w:val="1583"/>
        <w:rPr>
          <w:rFonts w:ascii="宋体" w:hAnsi="宋体" w:eastAsia="宋体" w:cs="宋体"/>
          <w:color w:val="auto"/>
          <w:spacing w:val="7"/>
          <w:sz w:val="35"/>
          <w:szCs w:val="35"/>
          <w:highlight w:val="none"/>
        </w:rPr>
      </w:pPr>
      <w:r>
        <w:rPr>
          <w:rFonts w:ascii="宋体" w:hAnsi="宋体" w:eastAsia="宋体" w:cs="宋体"/>
          <w:color w:val="auto"/>
          <w:spacing w:val="7"/>
          <w:sz w:val="35"/>
          <w:szCs w:val="35"/>
          <w:highlight w:val="none"/>
        </w:rPr>
      </w:r>
      <w:r/>
    </w:p>
    <w:p>
      <w:pPr>
        <w:pStyle w:val="1583"/>
        <w:rPr>
          <w:rFonts w:ascii="宋体" w:hAnsi="宋体" w:eastAsia="宋体" w:cs="宋体"/>
          <w:color w:val="auto"/>
          <w:spacing w:val="7"/>
          <w:sz w:val="35"/>
          <w:szCs w:val="35"/>
          <w:highlight w:val="none"/>
        </w:rPr>
      </w:pPr>
      <w:r>
        <w:rPr>
          <w:rFonts w:ascii="宋体" w:hAnsi="宋体" w:eastAsia="宋体" w:cs="宋体"/>
          <w:color w:val="auto"/>
          <w:spacing w:val="7"/>
          <w:sz w:val="35"/>
          <w:szCs w:val="35"/>
          <w:highlight w:val="none"/>
        </w:rPr>
      </w:r>
      <w:r/>
    </w:p>
    <w:p>
      <w:pPr>
        <w:pStyle w:val="1583"/>
        <w:rPr>
          <w:rFonts w:ascii="宋体" w:hAnsi="宋体" w:eastAsia="宋体" w:cs="宋体"/>
          <w:color w:val="auto"/>
          <w:spacing w:val="7"/>
          <w:sz w:val="35"/>
          <w:szCs w:val="35"/>
          <w:highlight w:val="none"/>
        </w:rPr>
      </w:pPr>
      <w:r>
        <w:rPr>
          <w:rFonts w:ascii="宋体" w:hAnsi="宋体" w:eastAsia="宋体" w:cs="宋体"/>
          <w:color w:val="auto"/>
          <w:spacing w:val="7"/>
          <w:sz w:val="35"/>
          <w:szCs w:val="35"/>
          <w:highlight w:val="none"/>
        </w:rPr>
      </w:r>
      <w:r/>
    </w:p>
    <w:p>
      <w:pPr>
        <w:pStyle w:val="1583"/>
        <w:jc w:val="center"/>
        <w:rPr>
          <w:rFonts w:hint="eastAsia" w:ascii="宋体" w:hAnsi="宋体" w:eastAsia="宋体" w:cs="宋体"/>
          <w:color w:val="auto"/>
          <w:spacing w:val="7"/>
          <w:sz w:val="35"/>
          <w:szCs w:val="35"/>
          <w:highlight w:val="none"/>
          <w:lang w:eastAsia="zh-CN"/>
        </w:rPr>
      </w:pPr>
      <w:r>
        <w:rPr>
          <w:rFonts w:hint="eastAsia" w:ascii="宋体" w:hAnsi="宋体" w:eastAsia="宋体" w:cs="宋体"/>
          <w:color w:val="auto"/>
          <w:spacing w:val="7"/>
          <w:sz w:val="35"/>
          <w:szCs w:val="35"/>
          <w:highlight w:val="none"/>
          <w:lang w:eastAsia="zh-CN"/>
        </w:rPr>
        <w:t xml:space="preserve">江苏正诚项目管理有限公司</w:t>
      </w:r>
      <w:r/>
    </w:p>
    <w:p>
      <w:pPr>
        <w:pStyle w:val="1583"/>
        <w:jc w:val="center"/>
        <w:rPr>
          <w:rFonts w:hint="default" w:ascii="宋体" w:hAnsi="宋体" w:eastAsia="宋体" w:cs="宋体"/>
          <w:color w:val="auto"/>
          <w:spacing w:val="7"/>
          <w:sz w:val="35"/>
          <w:szCs w:val="35"/>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pacing w:val="7"/>
          <w:sz w:val="35"/>
          <w:szCs w:val="35"/>
          <w:highlight w:val="none"/>
        </w:rPr>
        <w:t xml:space="preserve">202</w:t>
      </w:r>
      <w:r>
        <w:rPr>
          <w:rFonts w:hint="eastAsia" w:ascii="宋体" w:hAnsi="宋体" w:eastAsia="宋体" w:cs="宋体"/>
          <w:color w:val="auto"/>
          <w:spacing w:val="7"/>
          <w:sz w:val="35"/>
          <w:szCs w:val="35"/>
          <w:highlight w:val="none"/>
          <w:lang w:val="en-US" w:eastAsia="zh-CN"/>
        </w:rPr>
        <w:t xml:space="preserve">5</w:t>
      </w:r>
      <w:r>
        <w:rPr>
          <w:rFonts w:hint="eastAsia" w:ascii="宋体" w:hAnsi="宋体" w:eastAsia="宋体" w:cs="宋体"/>
          <w:color w:val="auto"/>
          <w:spacing w:val="7"/>
          <w:sz w:val="35"/>
          <w:szCs w:val="35"/>
          <w:highlight w:val="none"/>
        </w:rPr>
        <w:t xml:space="preserve">-</w:t>
      </w:r>
      <w:r>
        <w:rPr>
          <w:rFonts w:hint="eastAsia" w:ascii="宋体" w:hAnsi="宋体" w:eastAsia="宋体" w:cs="宋体"/>
          <w:color w:val="auto"/>
          <w:spacing w:val="7"/>
          <w:sz w:val="35"/>
          <w:szCs w:val="35"/>
          <w:highlight w:val="none"/>
          <w:lang w:val="en-US" w:eastAsia="zh-CN"/>
        </w:rPr>
        <w:t xml:space="preserve">12</w:t>
      </w:r>
      <w:r>
        <w:rPr>
          <w:rFonts w:hint="eastAsia" w:ascii="宋体" w:hAnsi="宋体" w:eastAsia="宋体" w:cs="宋体"/>
          <w:color w:val="auto"/>
          <w:spacing w:val="7"/>
          <w:sz w:val="35"/>
          <w:szCs w:val="35"/>
          <w:highlight w:val="none"/>
        </w:rPr>
        <w:t xml:space="preserve">-</w:t>
      </w:r>
      <w:r>
        <w:rPr>
          <w:rFonts w:hint="eastAsia" w:ascii="宋体" w:hAnsi="宋体" w:eastAsia="宋体" w:cs="宋体"/>
          <w:color w:val="auto"/>
          <w:spacing w:val="7"/>
          <w:sz w:val="35"/>
          <w:szCs w:val="35"/>
          <w:highlight w:val="none"/>
          <w:lang w:val="en-US" w:eastAsia="zh-CN"/>
        </w:rPr>
        <w:t xml:space="preserve">12</w:t>
      </w:r>
      <w:r/>
    </w:p>
    <w:p>
      <w:pPr>
        <w:jc w:val="center"/>
        <w:rPr>
          <w:b/>
          <w:bCs/>
          <w:color w:val="auto"/>
          <w:sz w:val="32"/>
          <w:szCs w:val="32"/>
          <w:highlight w:val="none"/>
        </w:rPr>
      </w:pPr>
      <w:r>
        <w:rPr>
          <w:rFonts w:hint="eastAsia" w:ascii="宋体" w:hAnsi="宋体" w:eastAsia="宋体"/>
          <w:b/>
          <w:bCs/>
          <w:color w:val="auto"/>
          <w:sz w:val="32"/>
          <w:szCs w:val="32"/>
          <w:highlight w:val="none"/>
        </w:rPr>
        <w:t xml:space="preserve">磋 商 </w:t>
      </w:r>
      <w:r>
        <w:rPr>
          <w:rFonts w:ascii="宋体" w:hAnsi="宋体" w:eastAsia="宋体"/>
          <w:b/>
          <w:bCs/>
          <w:color w:val="auto"/>
          <w:sz w:val="32"/>
          <w:szCs w:val="32"/>
          <w:highlight w:val="none"/>
        </w:rPr>
        <w:t xml:space="preserve">目录</w:t>
      </w:r>
      <w:r/>
    </w:p>
    <w:sdt>
      <w:sdtPr>
        <w15:appearance w15:val="boundingBox"/>
        <w:id w:val="147476342"/>
        <w:docPartObj>
          <w:docPartGallery w:val="Table of Contents"/>
          <w:docPartUnique w:val="true"/>
        </w:docPartObj>
        <w:rPr>
          <w:rFonts w:ascii="宋体" w:hAnsi="宋体" w:eastAsia="宋体"/>
          <w:color w:val="auto"/>
          <w:szCs w:val="20"/>
          <w:highlight w:val="none"/>
        </w:rPr>
      </w:sdtPr>
      <w:sdtContent>
        <w:p>
          <w:pPr>
            <w:jc w:val="center"/>
            <w:rPr>
              <w:color w:val="auto"/>
              <w:highlight w:val="none"/>
            </w:rPr>
          </w:pPr>
          <w:r>
            <w:rPr>
              <w:color w:val="auto"/>
              <w:highlight w:val="none"/>
            </w:rPr>
          </w:r>
          <w:r/>
        </w:p>
        <w:p>
          <w:pPr>
            <w:pStyle w:val="1591"/>
            <w:tabs>
              <w:tab w:val="right" w:pos="8306" w:leader="dot"/>
            </w:tabs>
            <w:rPr>
              <w:color w:val="auto"/>
              <w:highlight w:val="none"/>
            </w:rPr>
          </w:pPr>
          <w:r>
            <w:rPr>
              <w:rFonts w:ascii="宋体" w:hAnsi="宋体" w:eastAsia="宋体" w:cs="宋体"/>
              <w:color w:val="auto"/>
              <w:spacing w:val="7"/>
              <w:sz w:val="35"/>
              <w:szCs w:val="35"/>
              <w:highlight w:val="none"/>
            </w:rPr>
            <w:fldChar w:fldCharType="begin"/>
          </w:r>
          <w:r>
            <w:rPr>
              <w:rFonts w:ascii="宋体" w:hAnsi="宋体" w:eastAsia="宋体" w:cs="宋体"/>
              <w:color w:val="auto"/>
              <w:spacing w:val="7"/>
              <w:sz w:val="35"/>
              <w:szCs w:val="35"/>
              <w:highlight w:val="none"/>
            </w:rPr>
            <w:instrText xml:space="preserve">TOC \o "1-3" \h \u </w:instrText>
          </w:r>
          <w:r>
            <w:rPr>
              <w:rFonts w:ascii="宋体" w:hAnsi="宋体" w:eastAsia="宋体" w:cs="宋体"/>
              <w:color w:val="auto"/>
              <w:spacing w:val="7"/>
              <w:sz w:val="35"/>
              <w:szCs w:val="35"/>
              <w:highlight w:val="none"/>
            </w:rPr>
            <w:fldChar w:fldCharType="separate"/>
          </w: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_Toc28991 </w:instrText>
          </w:r>
          <w:r>
            <w:rPr>
              <w:rFonts w:ascii="宋体" w:hAnsi="宋体" w:eastAsia="宋体" w:cs="宋体"/>
              <w:color w:val="auto"/>
              <w:spacing w:val="7"/>
              <w:szCs w:val="35"/>
              <w:highlight w:val="none"/>
            </w:rPr>
            <w:fldChar w:fldCharType="separate"/>
          </w:r>
          <w:r>
            <w:rPr>
              <w:rFonts w:hint="eastAsia"/>
              <w:color w:val="auto"/>
              <w:highlight w:val="none"/>
            </w:rPr>
            <w:t xml:space="preserve">第一部分磋商邀请</w:t>
          </w:r>
          <w:r>
            <w:rPr>
              <w:color w:val="auto"/>
              <w:highlight w:val="none"/>
            </w:rPr>
            <w:tab/>
          </w:r>
          <w:r>
            <w:rPr>
              <w:color w:val="auto"/>
              <w:highlight w:val="none"/>
            </w:rPr>
            <w:fldChar w:fldCharType="begin"/>
          </w:r>
          <w:r>
            <w:rPr>
              <w:color w:val="auto"/>
              <w:highlight w:val="none"/>
            </w:rPr>
            <w:instrText xml:space="preserve"> PAGEREF _Toc28991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_Toc174 </w:instrText>
          </w:r>
          <w:r>
            <w:rPr>
              <w:rFonts w:ascii="宋体" w:hAnsi="宋体" w:eastAsia="宋体" w:cs="宋体"/>
              <w:color w:val="auto"/>
              <w:spacing w:val="7"/>
              <w:szCs w:val="35"/>
              <w:highlight w:val="none"/>
            </w:rPr>
            <w:fldChar w:fldCharType="separate"/>
          </w:r>
          <w:r>
            <w:rPr>
              <w:color w:val="auto"/>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_Toc174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_Toc4923 </w:instrText>
          </w:r>
          <w:r>
            <w:rPr>
              <w:rFonts w:ascii="宋体" w:hAnsi="宋体" w:eastAsia="宋体" w:cs="宋体"/>
              <w:color w:val="auto"/>
              <w:spacing w:val="7"/>
              <w:szCs w:val="35"/>
              <w:highlight w:val="none"/>
            </w:rPr>
            <w:fldChar w:fldCharType="separate"/>
          </w:r>
          <w:r>
            <w:rPr>
              <w:rFonts w:hint="eastAsia"/>
              <w:color w:val="auto"/>
              <w:highlight w:val="none"/>
            </w:rPr>
            <w:t xml:space="preserve">二</w:t>
          </w:r>
          <w:r>
            <w:rPr>
              <w:color w:val="auto"/>
              <w:highlight w:val="none"/>
            </w:rPr>
            <w:t xml:space="preserve">、申请人的资格要求：</w:t>
          </w:r>
          <w:r>
            <w:rPr>
              <w:color w:val="auto"/>
              <w:highlight w:val="none"/>
            </w:rPr>
            <w:tab/>
          </w:r>
          <w:r>
            <w:rPr>
              <w:color w:val="auto"/>
              <w:highlight w:val="none"/>
            </w:rPr>
            <w:fldChar w:fldCharType="begin"/>
          </w:r>
          <w:r>
            <w:rPr>
              <w:color w:val="auto"/>
              <w:highlight w:val="none"/>
            </w:rPr>
            <w:instrText xml:space="preserve"> PAGEREF _Toc4923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_Toc13625 </w:instrText>
          </w:r>
          <w:r>
            <w:rPr>
              <w:rFonts w:ascii="宋体" w:hAnsi="宋体" w:eastAsia="宋体" w:cs="宋体"/>
              <w:color w:val="auto"/>
              <w:spacing w:val="7"/>
              <w:szCs w:val="35"/>
              <w:highlight w:val="none"/>
            </w:rPr>
            <w:fldChar w:fldCharType="separate"/>
          </w:r>
          <w:r>
            <w:rPr>
              <w:rFonts w:ascii="宋体" w:hAnsi="宋体" w:eastAsia="宋体" w:cs="宋体"/>
              <w:color w:val="auto"/>
              <w:spacing w:val="-14"/>
              <w:highlight w:val="none"/>
            </w:rPr>
            <w:t xml:space="preserve">1.满足《中华人民共和国政府采购法》第二十二条规定；</w:t>
          </w:r>
          <w:r>
            <w:rPr>
              <w:color w:val="auto"/>
              <w:highlight w:val="none"/>
            </w:rPr>
            <w:tab/>
          </w:r>
          <w:r>
            <w:rPr>
              <w:color w:val="auto"/>
              <w:highlight w:val="none"/>
            </w:rPr>
            <w:fldChar w:fldCharType="begin"/>
          </w:r>
          <w:r>
            <w:rPr>
              <w:color w:val="auto"/>
              <w:highlight w:val="none"/>
            </w:rPr>
            <w:instrText xml:space="preserve"> PAGEREF _Toc13625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_Toc11713 </w:instrText>
          </w:r>
          <w:r>
            <w:rPr>
              <w:rFonts w:ascii="宋体" w:hAnsi="宋体" w:eastAsia="宋体" w:cs="宋体"/>
              <w:color w:val="auto"/>
              <w:spacing w:val="7"/>
              <w:szCs w:val="35"/>
              <w:highlight w:val="none"/>
            </w:rPr>
            <w:fldChar w:fldCharType="separate"/>
          </w:r>
          <w:r>
            <w:rPr>
              <w:rFonts w:hint="eastAsia" w:ascii="宋体" w:hAnsi="宋体" w:eastAsia="宋体" w:cs="宋体"/>
              <w:color w:val="auto"/>
              <w:spacing w:val="-14"/>
              <w:highlight w:val="none"/>
            </w:rPr>
            <w:t xml:space="preserve">2.落实政府采购政策需满足的资格要求：</w:t>
          </w:r>
          <w:r>
            <w:rPr>
              <w:color w:val="auto"/>
              <w:highlight w:val="none"/>
            </w:rPr>
            <w:tab/>
          </w:r>
          <w:r>
            <w:rPr>
              <w:color w:val="auto"/>
              <w:highlight w:val="none"/>
            </w:rPr>
            <w:fldChar w:fldCharType="begin"/>
          </w:r>
          <w:r>
            <w:rPr>
              <w:color w:val="auto"/>
              <w:highlight w:val="none"/>
            </w:rPr>
            <w:instrText xml:space="preserve"> PAGEREF _Toc11713 \h </w:instrText>
          </w:r>
          <w:r>
            <w:rPr>
              <w:color w:val="auto"/>
              <w:highlight w:val="none"/>
            </w:rPr>
            <w:fldChar w:fldCharType="separate"/>
          </w:r>
          <w:r>
            <w:rPr>
              <w:color w:val="auto"/>
              <w:highlight w:val="none"/>
            </w:rPr>
            <w:t xml:space="preserve">6</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_Toc9806 </w:instrText>
          </w:r>
          <w:r>
            <w:rPr>
              <w:rFonts w:ascii="宋体" w:hAnsi="宋体" w:eastAsia="宋体" w:cs="宋体"/>
              <w:color w:val="auto"/>
              <w:spacing w:val="7"/>
              <w:szCs w:val="35"/>
              <w:highlight w:val="none"/>
            </w:rPr>
            <w:fldChar w:fldCharType="separate"/>
          </w:r>
          <w:r>
            <w:rPr>
              <w:rFonts w:hint="eastAsia" w:ascii="宋体" w:hAnsi="宋体" w:eastAsia="宋体" w:cs="宋体"/>
              <w:color w:val="auto"/>
              <w:spacing w:val="-14"/>
              <w:highlight w:val="none"/>
            </w:rPr>
            <w:t xml:space="preserve">3.本项目的特定资格要求：无</w:t>
          </w:r>
          <w:r>
            <w:rPr>
              <w:color w:val="auto"/>
              <w:highlight w:val="none"/>
            </w:rPr>
            <w:tab/>
          </w:r>
          <w:r>
            <w:rPr>
              <w:color w:val="auto"/>
              <w:highlight w:val="none"/>
            </w:rPr>
            <w:fldChar w:fldCharType="begin"/>
          </w:r>
          <w:r>
            <w:rPr>
              <w:color w:val="auto"/>
              <w:highlight w:val="none"/>
            </w:rPr>
            <w:instrText xml:space="preserve"> PAGEREF _Toc9806 \h </w:instrText>
          </w:r>
          <w:r>
            <w:rPr>
              <w:color w:val="auto"/>
              <w:highlight w:val="none"/>
            </w:rPr>
            <w:fldChar w:fldCharType="separate"/>
          </w:r>
          <w:r>
            <w:rPr>
              <w:color w:val="auto"/>
              <w:highlight w:val="none"/>
            </w:rPr>
            <w:t xml:space="preserve">6</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_Toc23848 </w:instrText>
          </w:r>
          <w:r>
            <w:rPr>
              <w:rFonts w:ascii="宋体" w:hAnsi="宋体" w:eastAsia="宋体" w:cs="宋体"/>
              <w:color w:val="auto"/>
              <w:spacing w:val="7"/>
              <w:szCs w:val="35"/>
              <w:highlight w:val="none"/>
            </w:rPr>
            <w:fldChar w:fldCharType="separate"/>
          </w:r>
          <w:r>
            <w:rPr>
              <w:color w:val="auto"/>
              <w:highlight w:val="none"/>
            </w:rPr>
            <w:t xml:space="preserve">三、获取磋商文件</w:t>
          </w:r>
          <w:r>
            <w:rPr>
              <w:rFonts w:hint="eastAsia"/>
              <w:color w:val="auto"/>
              <w:highlight w:val="none"/>
            </w:rPr>
            <w:t xml:space="preserve">：本项目采用网上注册登记方式</w:t>
          </w:r>
          <w:r>
            <w:rPr>
              <w:color w:val="auto"/>
              <w:highlight w:val="none"/>
            </w:rPr>
            <w:tab/>
          </w:r>
          <w:r>
            <w:rPr>
              <w:color w:val="auto"/>
              <w:highlight w:val="none"/>
            </w:rPr>
            <w:fldChar w:fldCharType="begin"/>
          </w:r>
          <w:r>
            <w:rPr>
              <w:color w:val="auto"/>
              <w:highlight w:val="none"/>
            </w:rPr>
            <w:instrText xml:space="preserve"> PAGEREF _Toc23848 \h </w:instrText>
          </w:r>
          <w:r>
            <w:rPr>
              <w:color w:val="auto"/>
              <w:highlight w:val="none"/>
            </w:rPr>
            <w:fldChar w:fldCharType="separate"/>
          </w:r>
          <w:r>
            <w:rPr>
              <w:color w:val="auto"/>
              <w:highlight w:val="none"/>
            </w:rPr>
            <w:t xml:space="preserve">6</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_Toc16968 </w:instrText>
          </w:r>
          <w:r>
            <w:rPr>
              <w:rFonts w:ascii="宋体" w:hAnsi="宋体" w:eastAsia="宋体" w:cs="宋体"/>
              <w:color w:val="auto"/>
              <w:spacing w:val="7"/>
              <w:szCs w:val="35"/>
              <w:highlight w:val="none"/>
            </w:rPr>
            <w:fldChar w:fldCharType="separate"/>
          </w:r>
          <w:r>
            <w:rPr>
              <w:color w:val="auto"/>
              <w:highlight w:val="none"/>
            </w:rPr>
            <w:t xml:space="preserve">四、</w:t>
          </w:r>
          <w:r>
            <w:rPr>
              <w:rFonts w:hint="eastAsia"/>
              <w:color w:val="auto"/>
              <w:highlight w:val="none"/>
            </w:rPr>
            <w:t xml:space="preserve">提交磋商响应文件截止时间、开标时间和地点</w:t>
          </w:r>
          <w:r>
            <w:rPr>
              <w:color w:val="auto"/>
              <w:highlight w:val="none"/>
            </w:rPr>
            <w:tab/>
          </w:r>
          <w:r>
            <w:rPr>
              <w:color w:val="auto"/>
              <w:highlight w:val="none"/>
            </w:rPr>
            <w:fldChar w:fldCharType="begin"/>
          </w:r>
          <w:r>
            <w:rPr>
              <w:color w:val="auto"/>
              <w:highlight w:val="none"/>
            </w:rPr>
            <w:instrText xml:space="preserve"> PAGEREF _Toc16968 \h </w:instrText>
          </w:r>
          <w:r>
            <w:rPr>
              <w:color w:val="auto"/>
              <w:highlight w:val="none"/>
            </w:rPr>
            <w:fldChar w:fldCharType="separate"/>
          </w:r>
          <w:r>
            <w:rPr>
              <w:color w:val="auto"/>
              <w:highlight w:val="none"/>
            </w:rPr>
            <w:t xml:space="preserve">6</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_Toc29776 </w:instrText>
          </w:r>
          <w:r>
            <w:rPr>
              <w:rFonts w:ascii="宋体" w:hAnsi="宋体" w:eastAsia="宋体" w:cs="宋体"/>
              <w:color w:val="auto"/>
              <w:spacing w:val="7"/>
              <w:szCs w:val="35"/>
              <w:highlight w:val="none"/>
            </w:rPr>
            <w:fldChar w:fldCharType="separate"/>
          </w:r>
          <w:r>
            <w:rPr>
              <w:rFonts w:hint="eastAsia"/>
              <w:color w:val="auto"/>
              <w:highlight w:val="none"/>
            </w:rPr>
            <w:t xml:space="preserve">五</w:t>
          </w:r>
          <w:r>
            <w:rPr>
              <w:color w:val="auto"/>
              <w:highlight w:val="none"/>
            </w:rPr>
            <w:t xml:space="preserve">、公告期限</w:t>
          </w:r>
          <w:r>
            <w:rPr>
              <w:color w:val="auto"/>
              <w:highlight w:val="none"/>
            </w:rPr>
            <w:tab/>
          </w:r>
          <w:r>
            <w:rPr>
              <w:color w:val="auto"/>
              <w:highlight w:val="none"/>
            </w:rPr>
            <w:fldChar w:fldCharType="begin"/>
          </w:r>
          <w:r>
            <w:rPr>
              <w:color w:val="auto"/>
              <w:highlight w:val="none"/>
            </w:rPr>
            <w:instrText xml:space="preserve"> PAGEREF _Toc29776 \h </w:instrText>
          </w:r>
          <w:r>
            <w:rPr>
              <w:color w:val="auto"/>
              <w:highlight w:val="none"/>
            </w:rPr>
            <w:fldChar w:fldCharType="separate"/>
          </w:r>
          <w:r>
            <w:rPr>
              <w:color w:val="auto"/>
              <w:highlight w:val="none"/>
            </w:rPr>
            <w:t xml:space="preserve">7</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_Toc32429 </w:instrText>
          </w:r>
          <w:r>
            <w:rPr>
              <w:rFonts w:ascii="宋体" w:hAnsi="宋体" w:eastAsia="宋体" w:cs="宋体"/>
              <w:color w:val="auto"/>
              <w:spacing w:val="7"/>
              <w:szCs w:val="35"/>
              <w:highlight w:val="none"/>
            </w:rPr>
            <w:fldChar w:fldCharType="separate"/>
          </w:r>
          <w:r>
            <w:rPr>
              <w:rFonts w:hint="eastAsia"/>
              <w:color w:val="auto"/>
              <w:highlight w:val="none"/>
            </w:rPr>
            <w:t xml:space="preserve">六</w:t>
          </w:r>
          <w:r>
            <w:rPr>
              <w:color w:val="auto"/>
              <w:highlight w:val="none"/>
            </w:rPr>
            <w:t xml:space="preserve">、其他补充事宜</w:t>
          </w:r>
          <w:r>
            <w:rPr>
              <w:color w:val="auto"/>
              <w:highlight w:val="none"/>
            </w:rPr>
            <w:tab/>
          </w:r>
          <w:r>
            <w:rPr>
              <w:color w:val="auto"/>
              <w:highlight w:val="none"/>
            </w:rPr>
            <w:fldChar w:fldCharType="begin"/>
          </w:r>
          <w:r>
            <w:rPr>
              <w:color w:val="auto"/>
              <w:highlight w:val="none"/>
            </w:rPr>
            <w:instrText xml:space="preserve"> PAGEREF _Toc32429 \h </w:instrText>
          </w:r>
          <w:r>
            <w:rPr>
              <w:color w:val="auto"/>
              <w:highlight w:val="none"/>
            </w:rPr>
            <w:fldChar w:fldCharType="separate"/>
          </w:r>
          <w:r>
            <w:rPr>
              <w:color w:val="auto"/>
              <w:highlight w:val="none"/>
            </w:rPr>
            <w:t xml:space="preserve">7</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_Toc28715 </w:instrText>
          </w:r>
          <w:r>
            <w:rPr>
              <w:rFonts w:ascii="宋体" w:hAnsi="宋体" w:eastAsia="宋体" w:cs="宋体"/>
              <w:color w:val="auto"/>
              <w:spacing w:val="7"/>
              <w:szCs w:val="35"/>
              <w:highlight w:val="none"/>
            </w:rPr>
            <w:fldChar w:fldCharType="separate"/>
          </w:r>
          <w:r>
            <w:rPr>
              <w:rFonts w:hint="eastAsia"/>
              <w:color w:val="auto"/>
              <w:highlight w:val="none"/>
            </w:rPr>
            <w:t xml:space="preserve">七</w:t>
          </w:r>
          <w:r>
            <w:rPr>
              <w:color w:val="auto"/>
              <w:highlight w:val="none"/>
            </w:rPr>
            <w:t xml:space="preserve">、对本次磋商提出询问，请按以下方式联系。</w:t>
          </w:r>
          <w:r>
            <w:rPr>
              <w:color w:val="auto"/>
              <w:highlight w:val="none"/>
            </w:rPr>
            <w:tab/>
          </w:r>
          <w:r>
            <w:rPr>
              <w:color w:val="auto"/>
              <w:highlight w:val="none"/>
            </w:rPr>
            <w:fldChar w:fldCharType="begin"/>
          </w:r>
          <w:r>
            <w:rPr>
              <w:color w:val="auto"/>
              <w:highlight w:val="none"/>
            </w:rPr>
            <w:instrText xml:space="preserve"> PAGEREF _Toc28715 \h </w:instrText>
          </w:r>
          <w:r>
            <w:rPr>
              <w:color w:val="auto"/>
              <w:highlight w:val="none"/>
            </w:rPr>
            <w:fldChar w:fldCharType="separate"/>
          </w:r>
          <w:r>
            <w:rPr>
              <w:color w:val="auto"/>
              <w:highlight w:val="none"/>
            </w:rPr>
            <w:t xml:space="preserve">8</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_Toc21537 </w:instrText>
          </w:r>
          <w:r>
            <w:rPr>
              <w:rFonts w:ascii="宋体" w:hAnsi="宋体" w:eastAsia="宋体" w:cs="宋体"/>
              <w:color w:val="auto"/>
              <w:spacing w:val="7"/>
              <w:szCs w:val="35"/>
              <w:highlight w:val="none"/>
            </w:rPr>
            <w:fldChar w:fldCharType="separate"/>
          </w:r>
          <w:r>
            <w:rPr>
              <w:rFonts w:ascii="宋体" w:hAnsi="宋体" w:eastAsia="宋体" w:cs="宋体"/>
              <w:color w:val="auto"/>
              <w:highlight w:val="none"/>
            </w:rPr>
            <w:t xml:space="preserve">1.采购人信息</w:t>
          </w:r>
          <w:r>
            <w:rPr>
              <w:color w:val="auto"/>
              <w:highlight w:val="none"/>
            </w:rPr>
            <w:tab/>
          </w:r>
          <w:r>
            <w:rPr>
              <w:color w:val="auto"/>
              <w:highlight w:val="none"/>
            </w:rPr>
            <w:fldChar w:fldCharType="begin"/>
          </w:r>
          <w:r>
            <w:rPr>
              <w:color w:val="auto"/>
              <w:highlight w:val="none"/>
            </w:rPr>
            <w:instrText xml:space="preserve"> PAGEREF _Toc21537 \h </w:instrText>
          </w:r>
          <w:r>
            <w:rPr>
              <w:color w:val="auto"/>
              <w:highlight w:val="none"/>
            </w:rPr>
            <w:fldChar w:fldCharType="separate"/>
          </w:r>
          <w:r>
            <w:rPr>
              <w:color w:val="auto"/>
              <w:highlight w:val="none"/>
            </w:rPr>
            <w:t xml:space="preserve">8</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_Toc92 </w:instrText>
          </w:r>
          <w:r>
            <w:rPr>
              <w:rFonts w:ascii="宋体" w:hAnsi="宋体" w:eastAsia="宋体" w:cs="宋体"/>
              <w:color w:val="auto"/>
              <w:spacing w:val="7"/>
              <w:szCs w:val="35"/>
              <w:highlight w:val="none"/>
            </w:rPr>
            <w:fldChar w:fldCharType="separate"/>
          </w:r>
          <w:r>
            <w:rPr>
              <w:rFonts w:ascii="宋体" w:hAnsi="宋体" w:eastAsia="宋体" w:cs="宋体"/>
              <w:color w:val="auto"/>
              <w:highlight w:val="none"/>
            </w:rPr>
            <w:t xml:space="preserve">2.采购代理机构信息</w:t>
          </w:r>
          <w:r>
            <w:rPr>
              <w:color w:val="auto"/>
              <w:highlight w:val="none"/>
            </w:rPr>
            <w:tab/>
          </w:r>
          <w:r>
            <w:rPr>
              <w:color w:val="auto"/>
              <w:highlight w:val="none"/>
            </w:rPr>
            <w:fldChar w:fldCharType="begin"/>
          </w:r>
          <w:r>
            <w:rPr>
              <w:color w:val="auto"/>
              <w:highlight w:val="none"/>
            </w:rPr>
            <w:instrText xml:space="preserve"> PAGEREF _Toc92 \h </w:instrText>
          </w:r>
          <w:r>
            <w:rPr>
              <w:color w:val="auto"/>
              <w:highlight w:val="none"/>
            </w:rPr>
            <w:fldChar w:fldCharType="separate"/>
          </w:r>
          <w:r>
            <w:rPr>
              <w:color w:val="auto"/>
              <w:highlight w:val="none"/>
            </w:rPr>
            <w:t xml:space="preserve">8</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_Toc12039 </w:instrText>
          </w:r>
          <w:r>
            <w:rPr>
              <w:rFonts w:ascii="宋体" w:hAnsi="宋体" w:eastAsia="宋体" w:cs="宋体"/>
              <w:color w:val="auto"/>
              <w:spacing w:val="7"/>
              <w:szCs w:val="35"/>
              <w:highlight w:val="none"/>
            </w:rPr>
            <w:fldChar w:fldCharType="separate"/>
          </w:r>
          <w:r>
            <w:rPr>
              <w:rFonts w:ascii="宋体" w:hAnsi="宋体" w:eastAsia="宋体" w:cs="宋体"/>
              <w:color w:val="auto"/>
              <w:highlight w:val="none"/>
            </w:rPr>
            <w:t xml:space="preserve">3.项目联系方式</w:t>
          </w:r>
          <w:r>
            <w:rPr>
              <w:color w:val="auto"/>
              <w:highlight w:val="none"/>
            </w:rPr>
            <w:tab/>
          </w:r>
          <w:r>
            <w:rPr>
              <w:color w:val="auto"/>
              <w:highlight w:val="none"/>
            </w:rPr>
            <w:fldChar w:fldCharType="begin"/>
          </w:r>
          <w:r>
            <w:rPr>
              <w:color w:val="auto"/>
              <w:highlight w:val="none"/>
            </w:rPr>
            <w:instrText xml:space="preserve"> PAGEREF _Toc12039 \h </w:instrText>
          </w:r>
          <w:r>
            <w:rPr>
              <w:color w:val="auto"/>
              <w:highlight w:val="none"/>
            </w:rPr>
            <w:fldChar w:fldCharType="separate"/>
          </w:r>
          <w:r>
            <w:rPr>
              <w:color w:val="auto"/>
              <w:highlight w:val="none"/>
            </w:rPr>
            <w:t xml:space="preserve">8</w:t>
          </w:r>
          <w:r>
            <w:rPr>
              <w:color w:val="auto"/>
              <w:highlight w:val="none"/>
            </w:rPr>
            <w:fldChar w:fldCharType="end"/>
          </w:r>
          <w:r>
            <w:rPr>
              <w:rFonts w:ascii="宋体" w:hAnsi="宋体" w:eastAsia="宋体" w:cs="宋体"/>
              <w:color w:val="auto"/>
              <w:spacing w:val="7"/>
              <w:szCs w:val="35"/>
              <w:highlight w:val="none"/>
            </w:rPr>
            <w:fldChar w:fldCharType="end"/>
          </w:r>
          <w:r/>
        </w:p>
        <w:p>
          <w:pPr>
            <w:pStyle w:val="1591"/>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_Toc5596 </w:instrText>
          </w:r>
          <w:r>
            <w:rPr>
              <w:rFonts w:ascii="宋体" w:hAnsi="宋体" w:eastAsia="宋体" w:cs="宋体"/>
              <w:color w:val="auto"/>
              <w:spacing w:val="7"/>
              <w:szCs w:val="35"/>
              <w:highlight w:val="none"/>
            </w:rPr>
            <w:fldChar w:fldCharType="separate"/>
          </w:r>
          <w:r>
            <w:rPr>
              <w:rFonts w:hint="eastAsia"/>
              <w:color w:val="auto"/>
              <w:highlight w:val="none"/>
            </w:rPr>
            <w:t xml:space="preserve">第二部分供应商须知</w:t>
          </w:r>
          <w:r>
            <w:rPr>
              <w:color w:val="auto"/>
              <w:highlight w:val="none"/>
            </w:rPr>
            <w:tab/>
          </w:r>
          <w:r>
            <w:rPr>
              <w:color w:val="auto"/>
              <w:highlight w:val="none"/>
            </w:rPr>
            <w:fldChar w:fldCharType="begin"/>
          </w:r>
          <w:r>
            <w:rPr>
              <w:color w:val="auto"/>
              <w:highlight w:val="none"/>
            </w:rPr>
            <w:instrText xml:space="preserve"> PAGEREF _Toc5596 \h </w:instrText>
          </w:r>
          <w:r>
            <w:rPr>
              <w:color w:val="auto"/>
              <w:highlight w:val="none"/>
            </w:rPr>
            <w:fldChar w:fldCharType="separate"/>
          </w:r>
          <w:r>
            <w:rPr>
              <w:color w:val="auto"/>
              <w:highlight w:val="none"/>
            </w:rPr>
            <w:t xml:space="preserve">9</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_Toc8721 </w:instrText>
          </w:r>
          <w:r>
            <w:rPr>
              <w:rFonts w:ascii="宋体" w:hAnsi="宋体" w:eastAsia="宋体" w:cs="宋体"/>
              <w:color w:val="auto"/>
              <w:spacing w:val="7"/>
              <w:szCs w:val="35"/>
              <w:highlight w:val="none"/>
            </w:rPr>
            <w:fldChar w:fldCharType="separate"/>
          </w:r>
          <w:r>
            <w:rPr>
              <w:color w:val="auto"/>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_Toc8721 \h </w:instrText>
          </w:r>
          <w:r>
            <w:rPr>
              <w:color w:val="auto"/>
              <w:highlight w:val="none"/>
            </w:rPr>
            <w:fldChar w:fldCharType="separate"/>
          </w:r>
          <w:r>
            <w:rPr>
              <w:color w:val="auto"/>
              <w:highlight w:val="none"/>
            </w:rPr>
            <w:t xml:space="preserve">9</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_Toc12234 </w:instrText>
          </w:r>
          <w:r>
            <w:rPr>
              <w:rFonts w:ascii="宋体" w:hAnsi="宋体" w:eastAsia="宋体" w:cs="宋体"/>
              <w:color w:val="auto"/>
              <w:spacing w:val="7"/>
              <w:szCs w:val="35"/>
              <w:highlight w:val="none"/>
            </w:rPr>
            <w:fldChar w:fldCharType="separate"/>
          </w:r>
          <w:r>
            <w:rPr>
              <w:color w:val="auto"/>
              <w:highlight w:val="none"/>
            </w:rPr>
            <w:t xml:space="preserve">1.适用范围</w:t>
          </w:r>
          <w:r>
            <w:rPr>
              <w:color w:val="auto"/>
              <w:highlight w:val="none"/>
            </w:rPr>
            <w:tab/>
          </w:r>
          <w:r>
            <w:rPr>
              <w:color w:val="auto"/>
              <w:highlight w:val="none"/>
            </w:rPr>
            <w:fldChar w:fldCharType="begin"/>
          </w:r>
          <w:r>
            <w:rPr>
              <w:color w:val="auto"/>
              <w:highlight w:val="none"/>
            </w:rPr>
            <w:instrText xml:space="preserve"> PAGEREF _Toc12234 \h </w:instrText>
          </w:r>
          <w:r>
            <w:rPr>
              <w:color w:val="auto"/>
              <w:highlight w:val="none"/>
            </w:rPr>
            <w:fldChar w:fldCharType="separate"/>
          </w:r>
          <w:r>
            <w:rPr>
              <w:color w:val="auto"/>
              <w:highlight w:val="none"/>
            </w:rPr>
            <w:t xml:space="preserve">9</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_Toc21058 </w:instrText>
          </w:r>
          <w:r>
            <w:rPr>
              <w:rFonts w:ascii="宋体" w:hAnsi="宋体" w:eastAsia="宋体" w:cs="宋体"/>
              <w:color w:val="auto"/>
              <w:spacing w:val="7"/>
              <w:szCs w:val="35"/>
              <w:highlight w:val="none"/>
            </w:rPr>
            <w:fldChar w:fldCharType="separate"/>
          </w:r>
          <w:r>
            <w:rPr>
              <w:color w:val="auto"/>
              <w:highlight w:val="none"/>
            </w:rPr>
            <w:t xml:space="preserve">2.定义</w:t>
          </w:r>
          <w:r>
            <w:rPr>
              <w:color w:val="auto"/>
              <w:highlight w:val="none"/>
            </w:rPr>
            <w:tab/>
          </w:r>
          <w:r>
            <w:rPr>
              <w:color w:val="auto"/>
              <w:highlight w:val="none"/>
            </w:rPr>
            <w:fldChar w:fldCharType="begin"/>
          </w:r>
          <w:r>
            <w:rPr>
              <w:color w:val="auto"/>
              <w:highlight w:val="none"/>
            </w:rPr>
            <w:instrText xml:space="preserve"> PAGEREF _Toc21058 \h </w:instrText>
          </w:r>
          <w:r>
            <w:rPr>
              <w:color w:val="auto"/>
              <w:highlight w:val="none"/>
            </w:rPr>
            <w:fldChar w:fldCharType="separate"/>
          </w:r>
          <w:r>
            <w:rPr>
              <w:color w:val="auto"/>
              <w:highlight w:val="none"/>
            </w:rPr>
            <w:t xml:space="preserve">9</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_Toc8155 </w:instrText>
          </w:r>
          <w:r>
            <w:rPr>
              <w:rFonts w:ascii="宋体" w:hAnsi="宋体" w:eastAsia="宋体" w:cs="宋体"/>
              <w:color w:val="auto"/>
              <w:spacing w:val="7"/>
              <w:szCs w:val="35"/>
              <w:highlight w:val="none"/>
            </w:rPr>
            <w:fldChar w:fldCharType="separate"/>
          </w:r>
          <w:r>
            <w:rPr>
              <w:rFonts w:ascii="Times New Roman" w:hAnsi="Times New Roman" w:cs="Times New Roman"/>
              <w:color w:val="auto"/>
              <w:highlight w:val="none"/>
            </w:rPr>
            <w:t xml:space="preserve">3.本次采购方式</w:t>
          </w:r>
          <w:r>
            <w:rPr>
              <w:color w:val="auto"/>
              <w:highlight w:val="none"/>
            </w:rPr>
            <w:tab/>
          </w:r>
          <w:r>
            <w:rPr>
              <w:color w:val="auto"/>
              <w:highlight w:val="none"/>
            </w:rPr>
            <w:fldChar w:fldCharType="begin"/>
          </w:r>
          <w:r>
            <w:rPr>
              <w:color w:val="auto"/>
              <w:highlight w:val="none"/>
            </w:rPr>
            <w:instrText xml:space="preserve"> PAGEREF _Toc8155 \h </w:instrText>
          </w:r>
          <w:r>
            <w:rPr>
              <w:color w:val="auto"/>
              <w:highlight w:val="none"/>
            </w:rPr>
            <w:fldChar w:fldCharType="separate"/>
          </w:r>
          <w:r>
            <w:rPr>
              <w:color w:val="auto"/>
              <w:highlight w:val="none"/>
            </w:rPr>
            <w:t xml:space="preserve">9</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_Toc4160 </w:instrText>
          </w:r>
          <w:r>
            <w:rPr>
              <w:rFonts w:ascii="宋体" w:hAnsi="宋体" w:eastAsia="宋体" w:cs="宋体"/>
              <w:color w:val="auto"/>
              <w:spacing w:val="7"/>
              <w:szCs w:val="35"/>
              <w:highlight w:val="none"/>
            </w:rPr>
            <w:fldChar w:fldCharType="separate"/>
          </w:r>
          <w:r>
            <w:rPr>
              <w:rFonts w:ascii="Times New Roman" w:hAnsi="Times New Roman" w:cs="Times New Roman"/>
              <w:color w:val="auto"/>
              <w:highlight w:val="none"/>
            </w:rPr>
            <w:t xml:space="preserve">4.磋商费用</w:t>
          </w:r>
          <w:r>
            <w:rPr>
              <w:color w:val="auto"/>
              <w:highlight w:val="none"/>
            </w:rPr>
            <w:tab/>
          </w:r>
          <w:r>
            <w:rPr>
              <w:color w:val="auto"/>
              <w:highlight w:val="none"/>
            </w:rPr>
            <w:fldChar w:fldCharType="begin"/>
          </w:r>
          <w:r>
            <w:rPr>
              <w:color w:val="auto"/>
              <w:highlight w:val="none"/>
            </w:rPr>
            <w:instrText xml:space="preserve"> PAGEREF _Toc4160 \h </w:instrText>
          </w:r>
          <w:r>
            <w:rPr>
              <w:color w:val="auto"/>
              <w:highlight w:val="none"/>
            </w:rPr>
            <w:fldChar w:fldCharType="separate"/>
          </w:r>
          <w:r>
            <w:rPr>
              <w:color w:val="auto"/>
              <w:highlight w:val="none"/>
            </w:rPr>
            <w:t xml:space="preserve">9</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_Toc2805 </w:instrText>
          </w:r>
          <w:r>
            <w:rPr>
              <w:rFonts w:ascii="宋体" w:hAnsi="宋体" w:eastAsia="宋体" w:cs="宋体"/>
              <w:color w:val="auto"/>
              <w:spacing w:val="7"/>
              <w:szCs w:val="35"/>
              <w:highlight w:val="none"/>
            </w:rPr>
            <w:fldChar w:fldCharType="separate"/>
          </w:r>
          <w:r>
            <w:rPr>
              <w:rFonts w:ascii="Times New Roman" w:hAnsi="Times New Roman" w:cs="Times New Roman"/>
              <w:color w:val="auto"/>
              <w:highlight w:val="none"/>
            </w:rPr>
            <w:t xml:space="preserve">5.政策功能</w:t>
          </w:r>
          <w:r>
            <w:rPr>
              <w:color w:val="auto"/>
              <w:highlight w:val="none"/>
            </w:rPr>
            <w:tab/>
          </w:r>
          <w:r>
            <w:rPr>
              <w:color w:val="auto"/>
              <w:highlight w:val="none"/>
            </w:rPr>
            <w:fldChar w:fldCharType="begin"/>
          </w:r>
          <w:r>
            <w:rPr>
              <w:color w:val="auto"/>
              <w:highlight w:val="none"/>
            </w:rPr>
            <w:instrText xml:space="preserve"> PAGEREF _Toc2805 \h </w:instrText>
          </w:r>
          <w:r>
            <w:rPr>
              <w:color w:val="auto"/>
              <w:highlight w:val="none"/>
            </w:rPr>
            <w:fldChar w:fldCharType="separate"/>
          </w:r>
          <w:r>
            <w:rPr>
              <w:color w:val="auto"/>
              <w:highlight w:val="none"/>
            </w:rPr>
            <w:t xml:space="preserve">10</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_Toc28892 </w:instrText>
          </w:r>
          <w:r>
            <w:rPr>
              <w:rFonts w:ascii="宋体" w:hAnsi="宋体" w:eastAsia="宋体" w:cs="宋体"/>
              <w:color w:val="auto"/>
              <w:spacing w:val="7"/>
              <w:szCs w:val="35"/>
              <w:highlight w:val="none"/>
            </w:rPr>
            <w:fldChar w:fldCharType="separate"/>
          </w:r>
          <w:r>
            <w:rPr>
              <w:color w:val="auto"/>
              <w:highlight w:val="none"/>
            </w:rPr>
            <w:t xml:space="preserve">二、磋商文件</w:t>
          </w:r>
          <w:r>
            <w:rPr>
              <w:color w:val="auto"/>
              <w:highlight w:val="none"/>
            </w:rPr>
            <w:tab/>
          </w:r>
          <w:r>
            <w:rPr>
              <w:color w:val="auto"/>
              <w:highlight w:val="none"/>
            </w:rPr>
            <w:fldChar w:fldCharType="begin"/>
          </w:r>
          <w:r>
            <w:rPr>
              <w:color w:val="auto"/>
              <w:highlight w:val="none"/>
            </w:rPr>
            <w:instrText xml:space="preserve"> PAGEREF _Toc28892 \h </w:instrText>
          </w:r>
          <w:r>
            <w:rPr>
              <w:color w:val="auto"/>
              <w:highlight w:val="none"/>
            </w:rPr>
            <w:fldChar w:fldCharType="separate"/>
          </w:r>
          <w:r>
            <w:rPr>
              <w:color w:val="auto"/>
              <w:highlight w:val="none"/>
            </w:rPr>
            <w:t xml:space="preserve">11</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_Toc20478 </w:instrText>
          </w:r>
          <w:r>
            <w:rPr>
              <w:rFonts w:ascii="宋体" w:hAnsi="宋体" w:eastAsia="宋体" w:cs="宋体"/>
              <w:color w:val="auto"/>
              <w:spacing w:val="7"/>
              <w:szCs w:val="35"/>
              <w:highlight w:val="none"/>
            </w:rPr>
            <w:fldChar w:fldCharType="separate"/>
          </w:r>
          <w:r>
            <w:rPr>
              <w:rFonts w:ascii="宋体" w:hAnsi="宋体" w:eastAsia="宋体" w:cs="宋体"/>
              <w:color w:val="auto"/>
              <w:highlight w:val="none"/>
            </w:rPr>
            <w:t xml:space="preserve">6.磋商文件组成</w:t>
          </w:r>
          <w:r>
            <w:rPr>
              <w:color w:val="auto"/>
              <w:highlight w:val="none"/>
            </w:rPr>
            <w:tab/>
          </w:r>
          <w:r>
            <w:rPr>
              <w:color w:val="auto"/>
              <w:highlight w:val="none"/>
            </w:rPr>
            <w:fldChar w:fldCharType="begin"/>
          </w:r>
          <w:r>
            <w:rPr>
              <w:color w:val="auto"/>
              <w:highlight w:val="none"/>
            </w:rPr>
            <w:instrText xml:space="preserve"> PAGEREF _Toc20478 \h </w:instrText>
          </w:r>
          <w:r>
            <w:rPr>
              <w:color w:val="auto"/>
              <w:highlight w:val="none"/>
            </w:rPr>
            <w:fldChar w:fldCharType="separate"/>
          </w:r>
          <w:r>
            <w:rPr>
              <w:color w:val="auto"/>
              <w:highlight w:val="none"/>
            </w:rPr>
            <w:t xml:space="preserve">11</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_Toc1856 </w:instrText>
          </w:r>
          <w:r>
            <w:rPr>
              <w:rFonts w:ascii="宋体" w:hAnsi="宋体" w:eastAsia="宋体" w:cs="宋体"/>
              <w:color w:val="auto"/>
              <w:spacing w:val="7"/>
              <w:szCs w:val="35"/>
              <w:highlight w:val="none"/>
            </w:rPr>
            <w:fldChar w:fldCharType="separate"/>
          </w:r>
          <w:r>
            <w:rPr>
              <w:rFonts w:ascii="宋体" w:hAnsi="宋体" w:eastAsia="宋体" w:cs="宋体"/>
              <w:color w:val="auto"/>
              <w:highlight w:val="none"/>
            </w:rPr>
            <w:t xml:space="preserve">7.磋商文件的澄清和修改</w:t>
          </w:r>
          <w:r>
            <w:rPr>
              <w:color w:val="auto"/>
              <w:highlight w:val="none"/>
            </w:rPr>
            <w:tab/>
          </w:r>
          <w:r>
            <w:rPr>
              <w:color w:val="auto"/>
              <w:highlight w:val="none"/>
            </w:rPr>
            <w:fldChar w:fldCharType="begin"/>
          </w:r>
          <w:r>
            <w:rPr>
              <w:color w:val="auto"/>
              <w:highlight w:val="none"/>
            </w:rPr>
            <w:instrText xml:space="preserve"> PAGEREF _Toc1856 \h </w:instrText>
          </w:r>
          <w:r>
            <w:rPr>
              <w:color w:val="auto"/>
              <w:highlight w:val="none"/>
            </w:rPr>
            <w:fldChar w:fldCharType="separate"/>
          </w:r>
          <w:r>
            <w:rPr>
              <w:color w:val="auto"/>
              <w:highlight w:val="none"/>
            </w:rPr>
            <w:t xml:space="preserve">11</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_Toc3571 </w:instrText>
          </w:r>
          <w:r>
            <w:rPr>
              <w:rFonts w:ascii="宋体" w:hAnsi="宋体" w:eastAsia="宋体" w:cs="宋体"/>
              <w:color w:val="auto"/>
              <w:spacing w:val="7"/>
              <w:szCs w:val="35"/>
              <w:highlight w:val="none"/>
            </w:rPr>
            <w:fldChar w:fldCharType="separate"/>
          </w:r>
          <w:r>
            <w:rPr>
              <w:color w:val="auto"/>
              <w:highlight w:val="none"/>
            </w:rPr>
            <w:t xml:space="preserve">三、磋商响应文件</w:t>
          </w:r>
          <w:r>
            <w:rPr>
              <w:color w:val="auto"/>
              <w:highlight w:val="none"/>
            </w:rPr>
            <w:tab/>
          </w:r>
          <w:r>
            <w:rPr>
              <w:color w:val="auto"/>
              <w:highlight w:val="none"/>
            </w:rPr>
            <w:fldChar w:fldCharType="begin"/>
          </w:r>
          <w:r>
            <w:rPr>
              <w:color w:val="auto"/>
              <w:highlight w:val="none"/>
            </w:rPr>
            <w:instrText xml:space="preserve"> PAGEREF _Toc3571 \h </w:instrText>
          </w:r>
          <w:r>
            <w:rPr>
              <w:color w:val="auto"/>
              <w:highlight w:val="none"/>
            </w:rPr>
            <w:fldChar w:fldCharType="separate"/>
          </w:r>
          <w:r>
            <w:rPr>
              <w:color w:val="auto"/>
              <w:highlight w:val="none"/>
            </w:rPr>
            <w:t xml:space="preserve">12</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_Toc13603 </w:instrText>
          </w:r>
          <w:r>
            <w:rPr>
              <w:rFonts w:ascii="宋体" w:hAnsi="宋体" w:eastAsia="宋体" w:cs="宋体"/>
              <w:color w:val="auto"/>
              <w:spacing w:val="7"/>
              <w:szCs w:val="35"/>
              <w:highlight w:val="none"/>
            </w:rPr>
            <w:fldChar w:fldCharType="separate"/>
          </w:r>
          <w:r>
            <w:rPr>
              <w:rFonts w:ascii="宋体" w:hAnsi="宋体" w:eastAsia="宋体" w:cs="宋体"/>
              <w:color w:val="auto"/>
              <w:highlight w:val="none"/>
            </w:rPr>
            <w:t xml:space="preserve">8.编制响应文件的工具</w:t>
          </w:r>
          <w:r>
            <w:rPr>
              <w:color w:val="auto"/>
              <w:highlight w:val="none"/>
            </w:rPr>
            <w:tab/>
          </w:r>
          <w:r>
            <w:rPr>
              <w:color w:val="auto"/>
              <w:highlight w:val="none"/>
            </w:rPr>
            <w:fldChar w:fldCharType="begin"/>
          </w:r>
          <w:r>
            <w:rPr>
              <w:color w:val="auto"/>
              <w:highlight w:val="none"/>
            </w:rPr>
            <w:instrText xml:space="preserve"> PAGEREF _Toc13603 \h </w:instrText>
          </w:r>
          <w:r>
            <w:rPr>
              <w:color w:val="auto"/>
              <w:highlight w:val="none"/>
            </w:rPr>
            <w:fldChar w:fldCharType="separate"/>
          </w:r>
          <w:r>
            <w:rPr>
              <w:color w:val="auto"/>
              <w:highlight w:val="none"/>
            </w:rPr>
            <w:t xml:space="preserve">12</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_Toc2991 </w:instrText>
          </w:r>
          <w:r>
            <w:rPr>
              <w:rFonts w:ascii="宋体" w:hAnsi="宋体" w:eastAsia="宋体" w:cs="宋体"/>
              <w:color w:val="auto"/>
              <w:spacing w:val="7"/>
              <w:szCs w:val="35"/>
              <w:highlight w:val="none"/>
            </w:rPr>
            <w:fldChar w:fldCharType="separate"/>
          </w:r>
          <w:r>
            <w:rPr>
              <w:rFonts w:ascii="宋体" w:hAnsi="宋体" w:eastAsia="宋体" w:cs="宋体"/>
              <w:color w:val="auto"/>
              <w:highlight w:val="none"/>
            </w:rPr>
            <w:t xml:space="preserve">9.响应文件语言及度量衡单位</w:t>
          </w:r>
          <w:r>
            <w:rPr>
              <w:color w:val="auto"/>
              <w:highlight w:val="none"/>
            </w:rPr>
            <w:tab/>
          </w:r>
          <w:r>
            <w:rPr>
              <w:color w:val="auto"/>
              <w:highlight w:val="none"/>
            </w:rPr>
            <w:fldChar w:fldCharType="begin"/>
          </w:r>
          <w:r>
            <w:rPr>
              <w:color w:val="auto"/>
              <w:highlight w:val="none"/>
            </w:rPr>
            <w:instrText xml:space="preserve"> PAGEREF _Toc2991 \h </w:instrText>
          </w:r>
          <w:r>
            <w:rPr>
              <w:color w:val="auto"/>
              <w:highlight w:val="none"/>
            </w:rPr>
            <w:fldChar w:fldCharType="separate"/>
          </w:r>
          <w:r>
            <w:rPr>
              <w:color w:val="auto"/>
              <w:highlight w:val="none"/>
            </w:rPr>
            <w:t xml:space="preserve">12</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_Toc27111 </w:instrText>
          </w:r>
          <w:r>
            <w:rPr>
              <w:rFonts w:ascii="宋体" w:hAnsi="宋体" w:eastAsia="宋体" w:cs="宋体"/>
              <w:color w:val="auto"/>
              <w:spacing w:val="7"/>
              <w:szCs w:val="35"/>
              <w:highlight w:val="none"/>
            </w:rPr>
            <w:fldChar w:fldCharType="separate"/>
          </w:r>
          <w:r>
            <w:rPr>
              <w:rFonts w:ascii="宋体" w:hAnsi="宋体" w:eastAsia="宋体" w:cs="宋体"/>
              <w:color w:val="auto"/>
              <w:highlight w:val="none"/>
            </w:rPr>
            <w:t xml:space="preserve">10.响应文件的构成</w:t>
          </w:r>
          <w:r>
            <w:rPr>
              <w:color w:val="auto"/>
              <w:highlight w:val="none"/>
            </w:rPr>
            <w:tab/>
          </w:r>
          <w:r>
            <w:rPr>
              <w:color w:val="auto"/>
              <w:highlight w:val="none"/>
            </w:rPr>
            <w:fldChar w:fldCharType="begin"/>
          </w:r>
          <w:r>
            <w:rPr>
              <w:color w:val="auto"/>
              <w:highlight w:val="none"/>
            </w:rPr>
            <w:instrText xml:space="preserve"> PAGEREF _Toc27111 \h </w:instrText>
          </w:r>
          <w:r>
            <w:rPr>
              <w:color w:val="auto"/>
              <w:highlight w:val="none"/>
            </w:rPr>
            <w:fldChar w:fldCharType="separate"/>
          </w:r>
          <w:r>
            <w:rPr>
              <w:color w:val="auto"/>
              <w:highlight w:val="none"/>
            </w:rPr>
            <w:t xml:space="preserve">12</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_Toc5913 </w:instrText>
          </w:r>
          <w:r>
            <w:rPr>
              <w:rFonts w:ascii="宋体" w:hAnsi="宋体" w:eastAsia="宋体" w:cs="宋体"/>
              <w:color w:val="auto"/>
              <w:spacing w:val="7"/>
              <w:szCs w:val="35"/>
              <w:highlight w:val="none"/>
            </w:rPr>
            <w:fldChar w:fldCharType="separate"/>
          </w:r>
          <w:r>
            <w:rPr>
              <w:rFonts w:ascii="宋体" w:hAnsi="宋体" w:eastAsia="宋体" w:cs="宋体"/>
              <w:color w:val="auto"/>
              <w:highlight w:val="none"/>
            </w:rPr>
            <w:t xml:space="preserve">11.响应文件的编写</w:t>
          </w:r>
          <w:r>
            <w:rPr>
              <w:color w:val="auto"/>
              <w:highlight w:val="none"/>
            </w:rPr>
            <w:tab/>
          </w:r>
          <w:r>
            <w:rPr>
              <w:color w:val="auto"/>
              <w:highlight w:val="none"/>
            </w:rPr>
            <w:fldChar w:fldCharType="begin"/>
          </w:r>
          <w:r>
            <w:rPr>
              <w:color w:val="auto"/>
              <w:highlight w:val="none"/>
            </w:rPr>
            <w:instrText xml:space="preserve"> PAGEREF _Toc5913 \h </w:instrText>
          </w:r>
          <w:r>
            <w:rPr>
              <w:color w:val="auto"/>
              <w:highlight w:val="none"/>
            </w:rPr>
            <w:fldChar w:fldCharType="separate"/>
          </w:r>
          <w:r>
            <w:rPr>
              <w:color w:val="auto"/>
              <w:highlight w:val="none"/>
            </w:rPr>
            <w:t xml:space="preserve">13</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_Toc12196 </w:instrText>
          </w:r>
          <w:r>
            <w:rPr>
              <w:rFonts w:ascii="宋体" w:hAnsi="宋体" w:eastAsia="宋体" w:cs="宋体"/>
              <w:color w:val="auto"/>
              <w:spacing w:val="7"/>
              <w:szCs w:val="35"/>
              <w:highlight w:val="none"/>
            </w:rPr>
            <w:fldChar w:fldCharType="separate"/>
          </w:r>
          <w:r>
            <w:rPr>
              <w:rFonts w:ascii="宋体" w:hAnsi="宋体" w:eastAsia="宋体" w:cs="宋体"/>
              <w:color w:val="auto"/>
              <w:highlight w:val="none"/>
            </w:rPr>
            <w:t xml:space="preserve">12.响应报价</w:t>
          </w:r>
          <w:r>
            <w:rPr>
              <w:color w:val="auto"/>
              <w:highlight w:val="none"/>
            </w:rPr>
            <w:tab/>
          </w:r>
          <w:r>
            <w:rPr>
              <w:color w:val="auto"/>
              <w:highlight w:val="none"/>
            </w:rPr>
            <w:fldChar w:fldCharType="begin"/>
          </w:r>
          <w:r>
            <w:rPr>
              <w:color w:val="auto"/>
              <w:highlight w:val="none"/>
            </w:rPr>
            <w:instrText xml:space="preserve"> PAGEREF _Toc12196 \h </w:instrText>
          </w:r>
          <w:r>
            <w:rPr>
              <w:color w:val="auto"/>
              <w:highlight w:val="none"/>
            </w:rPr>
            <w:fldChar w:fldCharType="separate"/>
          </w:r>
          <w:r>
            <w:rPr>
              <w:color w:val="auto"/>
              <w:highlight w:val="none"/>
            </w:rPr>
            <w:t xml:space="preserve">13</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_Toc24207 </w:instrText>
          </w:r>
          <w:r>
            <w:rPr>
              <w:rFonts w:ascii="宋体" w:hAnsi="宋体" w:eastAsia="宋体" w:cs="宋体"/>
              <w:color w:val="auto"/>
              <w:spacing w:val="7"/>
              <w:szCs w:val="35"/>
              <w:highlight w:val="none"/>
            </w:rPr>
            <w:fldChar w:fldCharType="separate"/>
          </w:r>
          <w:r>
            <w:rPr>
              <w:rFonts w:ascii="宋体" w:hAnsi="宋体" w:eastAsia="宋体" w:cs="宋体"/>
              <w:color w:val="auto"/>
              <w:highlight w:val="none"/>
            </w:rPr>
            <w:t xml:space="preserve">13.磋商保证金</w:t>
          </w:r>
          <w:r>
            <w:rPr>
              <w:color w:val="auto"/>
              <w:highlight w:val="none"/>
            </w:rPr>
            <w:tab/>
          </w:r>
          <w:r>
            <w:rPr>
              <w:color w:val="auto"/>
              <w:highlight w:val="none"/>
            </w:rPr>
            <w:fldChar w:fldCharType="begin"/>
          </w:r>
          <w:r>
            <w:rPr>
              <w:color w:val="auto"/>
              <w:highlight w:val="none"/>
            </w:rPr>
            <w:instrText xml:space="preserve"> PAGEREF _Toc24207 \h </w:instrText>
          </w:r>
          <w:r>
            <w:rPr>
              <w:color w:val="auto"/>
              <w:highlight w:val="none"/>
            </w:rPr>
            <w:fldChar w:fldCharType="separate"/>
          </w:r>
          <w:r>
            <w:rPr>
              <w:color w:val="auto"/>
              <w:highlight w:val="none"/>
            </w:rPr>
            <w:t xml:space="preserve">14</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_Toc7514 </w:instrText>
          </w:r>
          <w:r>
            <w:rPr>
              <w:rFonts w:ascii="宋体" w:hAnsi="宋体" w:eastAsia="宋体" w:cs="宋体"/>
              <w:color w:val="auto"/>
              <w:spacing w:val="7"/>
              <w:szCs w:val="35"/>
              <w:highlight w:val="none"/>
            </w:rPr>
            <w:fldChar w:fldCharType="separate"/>
          </w:r>
          <w:r>
            <w:rPr>
              <w:rFonts w:ascii="宋体" w:hAnsi="宋体" w:eastAsia="宋体" w:cs="宋体"/>
              <w:color w:val="auto"/>
              <w:highlight w:val="none"/>
            </w:rPr>
            <w:t xml:space="preserve">14.磋商响应有效期</w:t>
          </w:r>
          <w:r>
            <w:rPr>
              <w:color w:val="auto"/>
              <w:highlight w:val="none"/>
            </w:rPr>
            <w:tab/>
          </w:r>
          <w:r>
            <w:rPr>
              <w:color w:val="auto"/>
              <w:highlight w:val="none"/>
            </w:rPr>
            <w:fldChar w:fldCharType="begin"/>
          </w:r>
          <w:r>
            <w:rPr>
              <w:color w:val="auto"/>
              <w:highlight w:val="none"/>
            </w:rPr>
            <w:instrText xml:space="preserve"> PAGEREF _Toc7514 \h </w:instrText>
          </w:r>
          <w:r>
            <w:rPr>
              <w:color w:val="auto"/>
              <w:highlight w:val="none"/>
            </w:rPr>
            <w:fldChar w:fldCharType="separate"/>
          </w:r>
          <w:r>
            <w:rPr>
              <w:color w:val="auto"/>
              <w:highlight w:val="none"/>
            </w:rPr>
            <w:t xml:space="preserve">14</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_Toc7873 </w:instrText>
          </w:r>
          <w:r>
            <w:rPr>
              <w:rFonts w:ascii="宋体" w:hAnsi="宋体" w:eastAsia="宋体" w:cs="宋体"/>
              <w:color w:val="auto"/>
              <w:spacing w:val="7"/>
              <w:szCs w:val="35"/>
              <w:highlight w:val="none"/>
            </w:rPr>
            <w:fldChar w:fldCharType="separate"/>
          </w:r>
          <w:r>
            <w:rPr>
              <w:rFonts w:ascii="宋体" w:hAnsi="宋体" w:eastAsia="宋体" w:cs="宋体"/>
              <w:color w:val="auto"/>
              <w:highlight w:val="none"/>
            </w:rPr>
            <w:t xml:space="preserve">15.响应文件的式样和签署</w:t>
          </w:r>
          <w:r>
            <w:rPr>
              <w:color w:val="auto"/>
              <w:highlight w:val="none"/>
            </w:rPr>
            <w:tab/>
          </w:r>
          <w:r>
            <w:rPr>
              <w:color w:val="auto"/>
              <w:highlight w:val="none"/>
            </w:rPr>
            <w:fldChar w:fldCharType="begin"/>
          </w:r>
          <w:r>
            <w:rPr>
              <w:color w:val="auto"/>
              <w:highlight w:val="none"/>
            </w:rPr>
            <w:instrText xml:space="preserve"> PAGEREF _Toc7873 \h </w:instrText>
          </w:r>
          <w:r>
            <w:rPr>
              <w:color w:val="auto"/>
              <w:highlight w:val="none"/>
            </w:rPr>
            <w:fldChar w:fldCharType="separate"/>
          </w:r>
          <w:r>
            <w:rPr>
              <w:color w:val="auto"/>
              <w:highlight w:val="none"/>
            </w:rPr>
            <w:t xml:space="preserve">14</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_Toc16357 </w:instrText>
          </w:r>
          <w:r>
            <w:rPr>
              <w:rFonts w:ascii="宋体" w:hAnsi="宋体" w:eastAsia="宋体" w:cs="宋体"/>
              <w:color w:val="auto"/>
              <w:spacing w:val="7"/>
              <w:szCs w:val="35"/>
              <w:highlight w:val="none"/>
            </w:rPr>
            <w:fldChar w:fldCharType="separate"/>
          </w:r>
          <w:r>
            <w:rPr>
              <w:rFonts w:ascii="宋体" w:hAnsi="宋体" w:eastAsia="宋体" w:cs="宋体"/>
              <w:color w:val="auto"/>
              <w:highlight w:val="none"/>
            </w:rPr>
            <w:t xml:space="preserve">16.响应文件的提交</w:t>
          </w:r>
          <w:r>
            <w:rPr>
              <w:color w:val="auto"/>
              <w:highlight w:val="none"/>
            </w:rPr>
            <w:tab/>
          </w:r>
          <w:r>
            <w:rPr>
              <w:color w:val="auto"/>
              <w:highlight w:val="none"/>
            </w:rPr>
            <w:fldChar w:fldCharType="begin"/>
          </w:r>
          <w:r>
            <w:rPr>
              <w:color w:val="auto"/>
              <w:highlight w:val="none"/>
            </w:rPr>
            <w:instrText xml:space="preserve"> PAGEREF _Toc16357 \h </w:instrText>
          </w:r>
          <w:r>
            <w:rPr>
              <w:color w:val="auto"/>
              <w:highlight w:val="none"/>
            </w:rPr>
            <w:fldChar w:fldCharType="separate"/>
          </w:r>
          <w:r>
            <w:rPr>
              <w:color w:val="auto"/>
              <w:highlight w:val="none"/>
            </w:rPr>
            <w:t xml:space="preserve">14</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_Toc4192 </w:instrText>
          </w:r>
          <w:r>
            <w:rPr>
              <w:rFonts w:ascii="宋体" w:hAnsi="宋体" w:eastAsia="宋体" w:cs="宋体"/>
              <w:color w:val="auto"/>
              <w:spacing w:val="7"/>
              <w:szCs w:val="35"/>
              <w:highlight w:val="none"/>
            </w:rPr>
            <w:fldChar w:fldCharType="separate"/>
          </w:r>
          <w:r>
            <w:rPr>
              <w:rFonts w:ascii="宋体" w:hAnsi="宋体" w:eastAsia="宋体" w:cs="宋体"/>
              <w:color w:val="auto"/>
              <w:highlight w:val="none"/>
            </w:rPr>
            <w:t xml:space="preserve">17.响应文件的补充、修改或者撤回</w:t>
          </w:r>
          <w:r>
            <w:rPr>
              <w:color w:val="auto"/>
              <w:highlight w:val="none"/>
            </w:rPr>
            <w:tab/>
          </w:r>
          <w:r>
            <w:rPr>
              <w:color w:val="auto"/>
              <w:highlight w:val="none"/>
            </w:rPr>
            <w:fldChar w:fldCharType="begin"/>
          </w:r>
          <w:r>
            <w:rPr>
              <w:color w:val="auto"/>
              <w:highlight w:val="none"/>
            </w:rPr>
            <w:instrText xml:space="preserve"> PAGEREF _Toc4192 \h </w:instrText>
          </w:r>
          <w:r>
            <w:rPr>
              <w:color w:val="auto"/>
              <w:highlight w:val="none"/>
            </w:rPr>
            <w:fldChar w:fldCharType="separate"/>
          </w:r>
          <w:r>
            <w:rPr>
              <w:color w:val="auto"/>
              <w:highlight w:val="none"/>
            </w:rPr>
            <w:t xml:space="preserve">15</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_Toc22379 </w:instrText>
          </w:r>
          <w:r>
            <w:rPr>
              <w:rFonts w:ascii="宋体" w:hAnsi="宋体" w:eastAsia="宋体" w:cs="宋体"/>
              <w:color w:val="auto"/>
              <w:spacing w:val="7"/>
              <w:szCs w:val="35"/>
              <w:highlight w:val="none"/>
            </w:rPr>
            <w:fldChar w:fldCharType="separate"/>
          </w:r>
          <w:r>
            <w:rPr>
              <w:color w:val="auto"/>
              <w:highlight w:val="none"/>
            </w:rPr>
            <w:t xml:space="preserve">四、磋商与评审</w:t>
          </w:r>
          <w:r>
            <w:rPr>
              <w:color w:val="auto"/>
              <w:highlight w:val="none"/>
            </w:rPr>
            <w:tab/>
          </w:r>
          <w:r>
            <w:rPr>
              <w:color w:val="auto"/>
              <w:highlight w:val="none"/>
            </w:rPr>
            <w:fldChar w:fldCharType="begin"/>
          </w:r>
          <w:r>
            <w:rPr>
              <w:color w:val="auto"/>
              <w:highlight w:val="none"/>
            </w:rPr>
            <w:instrText xml:space="preserve"> PAGEREF _Toc22379 \h </w:instrText>
          </w:r>
          <w:r>
            <w:rPr>
              <w:color w:val="auto"/>
              <w:highlight w:val="none"/>
            </w:rPr>
            <w:fldChar w:fldCharType="separate"/>
          </w:r>
          <w:r>
            <w:rPr>
              <w:color w:val="auto"/>
              <w:highlight w:val="none"/>
            </w:rPr>
            <w:t xml:space="preserve">15</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_Toc7242 </w:instrText>
          </w:r>
          <w:r>
            <w:rPr>
              <w:rFonts w:ascii="宋体" w:hAnsi="宋体" w:eastAsia="宋体" w:cs="宋体"/>
              <w:color w:val="auto"/>
              <w:spacing w:val="7"/>
              <w:szCs w:val="35"/>
              <w:highlight w:val="none"/>
            </w:rPr>
            <w:fldChar w:fldCharType="separate"/>
          </w:r>
          <w:r>
            <w:rPr>
              <w:rFonts w:ascii="宋体" w:hAnsi="宋体" w:eastAsia="宋体" w:cs="宋体"/>
              <w:color w:val="auto"/>
              <w:highlight w:val="none"/>
            </w:rPr>
            <w:t xml:space="preserve">18.磋商</w:t>
          </w:r>
          <w:r>
            <w:rPr>
              <w:color w:val="auto"/>
              <w:highlight w:val="none"/>
            </w:rPr>
            <w:tab/>
          </w:r>
          <w:r>
            <w:rPr>
              <w:color w:val="auto"/>
              <w:highlight w:val="none"/>
            </w:rPr>
            <w:fldChar w:fldCharType="begin"/>
          </w:r>
          <w:r>
            <w:rPr>
              <w:color w:val="auto"/>
              <w:highlight w:val="none"/>
            </w:rPr>
            <w:instrText xml:space="preserve"> PAGEREF _Toc7242 \h </w:instrText>
          </w:r>
          <w:r>
            <w:rPr>
              <w:color w:val="auto"/>
              <w:highlight w:val="none"/>
            </w:rPr>
            <w:fldChar w:fldCharType="separate"/>
          </w:r>
          <w:r>
            <w:rPr>
              <w:color w:val="auto"/>
              <w:highlight w:val="none"/>
            </w:rPr>
            <w:t xml:space="preserve">15</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_Toc30039 </w:instrText>
          </w:r>
          <w:r>
            <w:rPr>
              <w:rFonts w:ascii="宋体" w:hAnsi="宋体" w:eastAsia="宋体" w:cs="宋体"/>
              <w:color w:val="auto"/>
              <w:spacing w:val="7"/>
              <w:szCs w:val="35"/>
              <w:highlight w:val="none"/>
            </w:rPr>
            <w:fldChar w:fldCharType="separate"/>
          </w:r>
          <w:r>
            <w:rPr>
              <w:rFonts w:ascii="宋体" w:hAnsi="宋体" w:eastAsia="宋体" w:cs="宋体"/>
              <w:color w:val="auto"/>
              <w:highlight w:val="none"/>
            </w:rPr>
            <w:t xml:space="preserve">19.磋商小组组成</w:t>
          </w:r>
          <w:r>
            <w:rPr>
              <w:color w:val="auto"/>
              <w:highlight w:val="none"/>
            </w:rPr>
            <w:tab/>
          </w:r>
          <w:r>
            <w:rPr>
              <w:color w:val="auto"/>
              <w:highlight w:val="none"/>
            </w:rPr>
            <w:fldChar w:fldCharType="begin"/>
          </w:r>
          <w:r>
            <w:rPr>
              <w:color w:val="auto"/>
              <w:highlight w:val="none"/>
            </w:rPr>
            <w:instrText xml:space="preserve"> PAGEREF _Toc30039 \h </w:instrText>
          </w:r>
          <w:r>
            <w:rPr>
              <w:color w:val="auto"/>
              <w:highlight w:val="none"/>
            </w:rPr>
            <w:fldChar w:fldCharType="separate"/>
          </w:r>
          <w:r>
            <w:rPr>
              <w:color w:val="auto"/>
              <w:highlight w:val="none"/>
            </w:rPr>
            <w:t xml:space="preserve">15</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_Toc21025 </w:instrText>
          </w:r>
          <w:r>
            <w:rPr>
              <w:rFonts w:ascii="宋体" w:hAnsi="宋体" w:eastAsia="宋体" w:cs="宋体"/>
              <w:color w:val="auto"/>
              <w:spacing w:val="7"/>
              <w:szCs w:val="35"/>
              <w:highlight w:val="none"/>
            </w:rPr>
            <w:fldChar w:fldCharType="separate"/>
          </w:r>
          <w:r>
            <w:rPr>
              <w:rFonts w:ascii="宋体" w:hAnsi="宋体" w:eastAsia="宋体" w:cs="宋体"/>
              <w:color w:val="auto"/>
              <w:highlight w:val="none"/>
            </w:rPr>
            <w:t xml:space="preserve">20.无效磋商的情形</w:t>
          </w:r>
          <w:r>
            <w:rPr>
              <w:color w:val="auto"/>
              <w:highlight w:val="none"/>
            </w:rPr>
            <w:tab/>
          </w:r>
          <w:r>
            <w:rPr>
              <w:color w:val="auto"/>
              <w:highlight w:val="none"/>
            </w:rPr>
            <w:fldChar w:fldCharType="begin"/>
          </w:r>
          <w:r>
            <w:rPr>
              <w:color w:val="auto"/>
              <w:highlight w:val="none"/>
            </w:rPr>
            <w:instrText xml:space="preserve"> PAGEREF _Toc21025 \h </w:instrText>
          </w:r>
          <w:r>
            <w:rPr>
              <w:color w:val="auto"/>
              <w:highlight w:val="none"/>
            </w:rPr>
            <w:fldChar w:fldCharType="separate"/>
          </w:r>
          <w:r>
            <w:rPr>
              <w:color w:val="auto"/>
              <w:highlight w:val="none"/>
            </w:rPr>
            <w:t xml:space="preserve">16</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_Toc10021 </w:instrText>
          </w:r>
          <w:r>
            <w:rPr>
              <w:rFonts w:ascii="宋体" w:hAnsi="宋体" w:eastAsia="宋体" w:cs="宋体"/>
              <w:color w:val="auto"/>
              <w:spacing w:val="7"/>
              <w:szCs w:val="35"/>
              <w:highlight w:val="none"/>
            </w:rPr>
            <w:fldChar w:fldCharType="separate"/>
          </w:r>
          <w:r>
            <w:rPr>
              <w:rFonts w:hint="eastAsia" w:ascii="宋体" w:hAnsi="宋体" w:eastAsia="宋体" w:cs="宋体"/>
              <w:color w:val="auto"/>
              <w:highlight w:val="none"/>
            </w:rPr>
            <w:t xml:space="preserve">21.串通磋商的情形</w:t>
          </w:r>
          <w:r>
            <w:rPr>
              <w:color w:val="auto"/>
              <w:highlight w:val="none"/>
            </w:rPr>
            <w:tab/>
          </w:r>
          <w:r>
            <w:rPr>
              <w:color w:val="auto"/>
              <w:highlight w:val="none"/>
            </w:rPr>
            <w:fldChar w:fldCharType="begin"/>
          </w:r>
          <w:r>
            <w:rPr>
              <w:color w:val="auto"/>
              <w:highlight w:val="none"/>
            </w:rPr>
            <w:instrText xml:space="preserve"> PAGEREF _Toc10021 \h </w:instrText>
          </w:r>
          <w:r>
            <w:rPr>
              <w:color w:val="auto"/>
              <w:highlight w:val="none"/>
            </w:rPr>
            <w:fldChar w:fldCharType="separate"/>
          </w:r>
          <w:r>
            <w:rPr>
              <w:color w:val="auto"/>
              <w:highlight w:val="none"/>
            </w:rPr>
            <w:t xml:space="preserve">16</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_Toc15457 </w:instrText>
          </w:r>
          <w:r>
            <w:rPr>
              <w:rFonts w:ascii="宋体" w:hAnsi="宋体" w:eastAsia="宋体" w:cs="宋体"/>
              <w:color w:val="auto"/>
              <w:spacing w:val="7"/>
              <w:szCs w:val="35"/>
              <w:highlight w:val="none"/>
            </w:rPr>
            <w:fldChar w:fldCharType="separate"/>
          </w:r>
          <w:r>
            <w:rPr>
              <w:rFonts w:hint="eastAsia" w:ascii="宋体" w:hAnsi="宋体" w:eastAsia="宋体" w:cs="宋体"/>
              <w:color w:val="auto"/>
              <w:highlight w:val="none"/>
            </w:rPr>
            <w:t xml:space="preserve">22.响应文件的澄清</w:t>
          </w:r>
          <w:r>
            <w:rPr>
              <w:color w:val="auto"/>
              <w:highlight w:val="none"/>
            </w:rPr>
            <w:tab/>
          </w:r>
          <w:r>
            <w:rPr>
              <w:color w:val="auto"/>
              <w:highlight w:val="none"/>
            </w:rPr>
            <w:fldChar w:fldCharType="begin"/>
          </w:r>
          <w:r>
            <w:rPr>
              <w:color w:val="auto"/>
              <w:highlight w:val="none"/>
            </w:rPr>
            <w:instrText xml:space="preserve"> PAGEREF _Toc15457 \h </w:instrText>
          </w:r>
          <w:r>
            <w:rPr>
              <w:color w:val="auto"/>
              <w:highlight w:val="none"/>
            </w:rPr>
            <w:fldChar w:fldCharType="separate"/>
          </w:r>
          <w:r>
            <w:rPr>
              <w:color w:val="auto"/>
              <w:highlight w:val="none"/>
            </w:rPr>
            <w:t xml:space="preserve">17</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_Toc31878 </w:instrText>
          </w:r>
          <w:r>
            <w:rPr>
              <w:rFonts w:ascii="宋体" w:hAnsi="宋体" w:eastAsia="宋体" w:cs="宋体"/>
              <w:color w:val="auto"/>
              <w:spacing w:val="7"/>
              <w:szCs w:val="35"/>
              <w:highlight w:val="none"/>
            </w:rPr>
            <w:fldChar w:fldCharType="separate"/>
          </w:r>
          <w:r>
            <w:rPr>
              <w:rFonts w:hint="eastAsia" w:ascii="宋体" w:hAnsi="宋体" w:eastAsia="宋体" w:cs="宋体"/>
              <w:color w:val="auto"/>
              <w:highlight w:val="none"/>
            </w:rPr>
            <w:t xml:space="preserve">23.磋商内容</w:t>
          </w:r>
          <w:r>
            <w:rPr>
              <w:color w:val="auto"/>
              <w:highlight w:val="none"/>
            </w:rPr>
            <w:tab/>
          </w:r>
          <w:r>
            <w:rPr>
              <w:color w:val="auto"/>
              <w:highlight w:val="none"/>
            </w:rPr>
            <w:fldChar w:fldCharType="begin"/>
          </w:r>
          <w:r>
            <w:rPr>
              <w:color w:val="auto"/>
              <w:highlight w:val="none"/>
            </w:rPr>
            <w:instrText xml:space="preserve"> PAGEREF _Toc31878 \h </w:instrText>
          </w:r>
          <w:r>
            <w:rPr>
              <w:color w:val="auto"/>
              <w:highlight w:val="none"/>
            </w:rPr>
            <w:fldChar w:fldCharType="separate"/>
          </w:r>
          <w:r>
            <w:rPr>
              <w:color w:val="auto"/>
              <w:highlight w:val="none"/>
            </w:rPr>
            <w:t xml:space="preserve">17</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_Toc18042 </w:instrText>
          </w:r>
          <w:r>
            <w:rPr>
              <w:rFonts w:ascii="宋体" w:hAnsi="宋体" w:eastAsia="宋体" w:cs="宋体"/>
              <w:color w:val="auto"/>
              <w:spacing w:val="7"/>
              <w:szCs w:val="35"/>
              <w:highlight w:val="none"/>
            </w:rPr>
            <w:fldChar w:fldCharType="separate"/>
          </w:r>
          <w:r>
            <w:rPr>
              <w:rFonts w:hint="eastAsia" w:ascii="宋体" w:hAnsi="宋体" w:eastAsia="宋体" w:cs="宋体"/>
              <w:color w:val="auto"/>
              <w:highlight w:val="none"/>
            </w:rPr>
            <w:t xml:space="preserve">24.最后报价的提交</w:t>
          </w:r>
          <w:r>
            <w:rPr>
              <w:color w:val="auto"/>
              <w:highlight w:val="none"/>
            </w:rPr>
            <w:tab/>
          </w:r>
          <w:r>
            <w:rPr>
              <w:color w:val="auto"/>
              <w:highlight w:val="none"/>
            </w:rPr>
            <w:fldChar w:fldCharType="begin"/>
          </w:r>
          <w:r>
            <w:rPr>
              <w:color w:val="auto"/>
              <w:highlight w:val="none"/>
            </w:rPr>
            <w:instrText xml:space="preserve"> PAGEREF _Toc18042 \h </w:instrText>
          </w:r>
          <w:r>
            <w:rPr>
              <w:color w:val="auto"/>
              <w:highlight w:val="none"/>
            </w:rPr>
            <w:fldChar w:fldCharType="separate"/>
          </w:r>
          <w:r>
            <w:rPr>
              <w:color w:val="auto"/>
              <w:highlight w:val="none"/>
            </w:rPr>
            <w:t xml:space="preserve">17</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_Toc27556 </w:instrText>
          </w:r>
          <w:r>
            <w:rPr>
              <w:rFonts w:ascii="宋体" w:hAnsi="宋体" w:eastAsia="宋体" w:cs="宋体"/>
              <w:color w:val="auto"/>
              <w:spacing w:val="7"/>
              <w:szCs w:val="35"/>
              <w:highlight w:val="none"/>
            </w:rPr>
            <w:fldChar w:fldCharType="separate"/>
          </w:r>
          <w:r>
            <w:rPr>
              <w:rFonts w:hint="eastAsia" w:ascii="宋体" w:hAnsi="宋体" w:eastAsia="宋体" w:cs="宋体"/>
              <w:color w:val="auto"/>
              <w:highlight w:val="none"/>
            </w:rPr>
            <w:t xml:space="preserve">25.竞争性磋商特殊情况处理</w:t>
          </w:r>
          <w:r>
            <w:rPr>
              <w:color w:val="auto"/>
              <w:highlight w:val="none"/>
            </w:rPr>
            <w:tab/>
          </w:r>
          <w:r>
            <w:rPr>
              <w:color w:val="auto"/>
              <w:highlight w:val="none"/>
            </w:rPr>
            <w:fldChar w:fldCharType="begin"/>
          </w:r>
          <w:r>
            <w:rPr>
              <w:color w:val="auto"/>
              <w:highlight w:val="none"/>
            </w:rPr>
            <w:instrText xml:space="preserve"> PAGEREF _Toc27556 \h </w:instrText>
          </w:r>
          <w:r>
            <w:rPr>
              <w:color w:val="auto"/>
              <w:highlight w:val="none"/>
            </w:rPr>
            <w:fldChar w:fldCharType="separate"/>
          </w:r>
          <w:r>
            <w:rPr>
              <w:color w:val="auto"/>
              <w:highlight w:val="none"/>
            </w:rPr>
            <w:t xml:space="preserve">18</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_Toc19583 </w:instrText>
          </w:r>
          <w:r>
            <w:rPr>
              <w:rFonts w:ascii="宋体" w:hAnsi="宋体" w:eastAsia="宋体" w:cs="宋体"/>
              <w:color w:val="auto"/>
              <w:spacing w:val="7"/>
              <w:szCs w:val="35"/>
              <w:highlight w:val="none"/>
            </w:rPr>
            <w:fldChar w:fldCharType="separate"/>
          </w:r>
          <w:r>
            <w:rPr>
              <w:rFonts w:hint="eastAsia"/>
              <w:color w:val="auto"/>
              <w:highlight w:val="none"/>
            </w:rPr>
            <w:t xml:space="preserve">五、确定成交结果</w:t>
          </w:r>
          <w:r>
            <w:rPr>
              <w:color w:val="auto"/>
              <w:highlight w:val="none"/>
            </w:rPr>
            <w:tab/>
          </w:r>
          <w:r>
            <w:rPr>
              <w:color w:val="auto"/>
              <w:highlight w:val="none"/>
            </w:rPr>
            <w:fldChar w:fldCharType="begin"/>
          </w:r>
          <w:r>
            <w:rPr>
              <w:color w:val="auto"/>
              <w:highlight w:val="none"/>
            </w:rPr>
            <w:instrText xml:space="preserve"> PAGEREF _Toc19583 \h </w:instrText>
          </w:r>
          <w:r>
            <w:rPr>
              <w:color w:val="auto"/>
              <w:highlight w:val="none"/>
            </w:rPr>
            <w:fldChar w:fldCharType="separate"/>
          </w:r>
          <w:r>
            <w:rPr>
              <w:color w:val="auto"/>
              <w:highlight w:val="none"/>
            </w:rPr>
            <w:t xml:space="preserve">19</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_Toc27795 </w:instrText>
          </w:r>
          <w:r>
            <w:rPr>
              <w:rFonts w:ascii="宋体" w:hAnsi="宋体" w:eastAsia="宋体" w:cs="宋体"/>
              <w:color w:val="auto"/>
              <w:spacing w:val="7"/>
              <w:szCs w:val="35"/>
              <w:highlight w:val="none"/>
            </w:rPr>
            <w:fldChar w:fldCharType="separate"/>
          </w:r>
          <w:r>
            <w:rPr>
              <w:rFonts w:hint="eastAsia" w:ascii="宋体" w:hAnsi="宋体" w:eastAsia="宋体" w:cs="宋体"/>
              <w:color w:val="auto"/>
              <w:highlight w:val="none"/>
            </w:rPr>
            <w:t xml:space="preserve">26.确定成交供应商</w:t>
          </w:r>
          <w:r>
            <w:rPr>
              <w:color w:val="auto"/>
              <w:highlight w:val="none"/>
            </w:rPr>
            <w:tab/>
          </w:r>
          <w:r>
            <w:rPr>
              <w:color w:val="auto"/>
              <w:highlight w:val="none"/>
            </w:rPr>
            <w:fldChar w:fldCharType="begin"/>
          </w:r>
          <w:r>
            <w:rPr>
              <w:color w:val="auto"/>
              <w:highlight w:val="none"/>
            </w:rPr>
            <w:instrText xml:space="preserve"> PAGEREF _Toc27795 \h </w:instrText>
          </w:r>
          <w:r>
            <w:rPr>
              <w:color w:val="auto"/>
              <w:highlight w:val="none"/>
            </w:rPr>
            <w:fldChar w:fldCharType="separate"/>
          </w:r>
          <w:r>
            <w:rPr>
              <w:color w:val="auto"/>
              <w:highlight w:val="none"/>
            </w:rPr>
            <w:t xml:space="preserve">19</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_Toc26971 </w:instrText>
          </w:r>
          <w:r>
            <w:rPr>
              <w:rFonts w:ascii="宋体" w:hAnsi="宋体" w:eastAsia="宋体" w:cs="宋体"/>
              <w:color w:val="auto"/>
              <w:spacing w:val="7"/>
              <w:szCs w:val="35"/>
              <w:highlight w:val="none"/>
            </w:rPr>
            <w:fldChar w:fldCharType="separate"/>
          </w:r>
          <w:r>
            <w:rPr>
              <w:rFonts w:hint="eastAsia"/>
              <w:color w:val="auto"/>
              <w:highlight w:val="none"/>
            </w:rPr>
            <w:t xml:space="preserve">六、授予合同</w:t>
          </w:r>
          <w:r>
            <w:rPr>
              <w:color w:val="auto"/>
              <w:highlight w:val="none"/>
            </w:rPr>
            <w:tab/>
          </w:r>
          <w:r>
            <w:rPr>
              <w:color w:val="auto"/>
              <w:highlight w:val="none"/>
            </w:rPr>
            <w:fldChar w:fldCharType="begin"/>
          </w:r>
          <w:r>
            <w:rPr>
              <w:color w:val="auto"/>
              <w:highlight w:val="none"/>
            </w:rPr>
            <w:instrText xml:space="preserve"> PAGEREF _Toc26971 \h </w:instrText>
          </w:r>
          <w:r>
            <w:rPr>
              <w:color w:val="auto"/>
              <w:highlight w:val="none"/>
            </w:rPr>
            <w:fldChar w:fldCharType="separate"/>
          </w:r>
          <w:r>
            <w:rPr>
              <w:color w:val="auto"/>
              <w:highlight w:val="none"/>
            </w:rPr>
            <w:t xml:space="preserve">19</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_Toc11563 </w:instrText>
          </w:r>
          <w:r>
            <w:rPr>
              <w:rFonts w:ascii="宋体" w:hAnsi="宋体" w:eastAsia="宋体" w:cs="宋体"/>
              <w:color w:val="auto"/>
              <w:spacing w:val="7"/>
              <w:szCs w:val="35"/>
              <w:highlight w:val="none"/>
            </w:rPr>
            <w:fldChar w:fldCharType="separate"/>
          </w:r>
          <w:r>
            <w:rPr>
              <w:rFonts w:hint="eastAsia" w:ascii="宋体" w:hAnsi="宋体" w:eastAsia="宋体" w:cs="宋体"/>
              <w:color w:val="auto"/>
              <w:highlight w:val="none"/>
            </w:rPr>
            <w:t xml:space="preserve">27.磋商组织方接受和拒绝任何或所有响应的权利</w:t>
          </w:r>
          <w:r>
            <w:rPr>
              <w:color w:val="auto"/>
              <w:highlight w:val="none"/>
            </w:rPr>
            <w:tab/>
          </w:r>
          <w:r>
            <w:rPr>
              <w:color w:val="auto"/>
              <w:highlight w:val="none"/>
            </w:rPr>
            <w:fldChar w:fldCharType="begin"/>
          </w:r>
          <w:r>
            <w:rPr>
              <w:color w:val="auto"/>
              <w:highlight w:val="none"/>
            </w:rPr>
            <w:instrText xml:space="preserve"> PAGEREF _Toc11563 \h </w:instrText>
          </w:r>
          <w:r>
            <w:rPr>
              <w:color w:val="auto"/>
              <w:highlight w:val="none"/>
            </w:rPr>
            <w:fldChar w:fldCharType="separate"/>
          </w:r>
          <w:r>
            <w:rPr>
              <w:color w:val="auto"/>
              <w:highlight w:val="none"/>
            </w:rPr>
            <w:t xml:space="preserve">19</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_Toc32691 </w:instrText>
          </w:r>
          <w:r>
            <w:rPr>
              <w:rFonts w:ascii="宋体" w:hAnsi="宋体" w:eastAsia="宋体" w:cs="宋体"/>
              <w:color w:val="auto"/>
              <w:spacing w:val="7"/>
              <w:szCs w:val="35"/>
              <w:highlight w:val="none"/>
            </w:rPr>
            <w:fldChar w:fldCharType="separate"/>
          </w:r>
          <w:r>
            <w:rPr>
              <w:rFonts w:hint="eastAsia" w:ascii="宋体" w:hAnsi="宋体" w:eastAsia="宋体" w:cs="宋体"/>
              <w:color w:val="auto"/>
              <w:highlight w:val="none"/>
            </w:rPr>
            <w:t xml:space="preserve">28.成交通知书</w:t>
          </w:r>
          <w:r>
            <w:rPr>
              <w:color w:val="auto"/>
              <w:highlight w:val="none"/>
            </w:rPr>
            <w:tab/>
          </w:r>
          <w:r>
            <w:rPr>
              <w:color w:val="auto"/>
              <w:highlight w:val="none"/>
            </w:rPr>
            <w:fldChar w:fldCharType="begin"/>
          </w:r>
          <w:r>
            <w:rPr>
              <w:color w:val="auto"/>
              <w:highlight w:val="none"/>
            </w:rPr>
            <w:instrText xml:space="preserve"> PAGEREF _Toc32691 \h </w:instrText>
          </w:r>
          <w:r>
            <w:rPr>
              <w:color w:val="auto"/>
              <w:highlight w:val="none"/>
            </w:rPr>
            <w:fldChar w:fldCharType="separate"/>
          </w:r>
          <w:r>
            <w:rPr>
              <w:color w:val="auto"/>
              <w:highlight w:val="none"/>
            </w:rPr>
            <w:t xml:space="preserve">19</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_Toc2276 </w:instrText>
          </w:r>
          <w:r>
            <w:rPr>
              <w:rFonts w:ascii="宋体" w:hAnsi="宋体" w:eastAsia="宋体" w:cs="宋体"/>
              <w:color w:val="auto"/>
              <w:spacing w:val="7"/>
              <w:szCs w:val="35"/>
              <w:highlight w:val="none"/>
            </w:rPr>
            <w:fldChar w:fldCharType="separate"/>
          </w:r>
          <w:r>
            <w:rPr>
              <w:rFonts w:hint="eastAsia" w:ascii="宋体" w:hAnsi="宋体" w:eastAsia="宋体" w:cs="宋体"/>
              <w:color w:val="auto"/>
              <w:highlight w:val="none"/>
            </w:rPr>
            <w:t xml:space="preserve">29.签订合同</w:t>
          </w:r>
          <w:r>
            <w:rPr>
              <w:color w:val="auto"/>
              <w:highlight w:val="none"/>
            </w:rPr>
            <w:tab/>
          </w:r>
          <w:r>
            <w:rPr>
              <w:color w:val="auto"/>
              <w:highlight w:val="none"/>
            </w:rPr>
            <w:fldChar w:fldCharType="begin"/>
          </w:r>
          <w:r>
            <w:rPr>
              <w:color w:val="auto"/>
              <w:highlight w:val="none"/>
            </w:rPr>
            <w:instrText xml:space="preserve"> PAGEREF _Toc2276 \h </w:instrText>
          </w:r>
          <w:r>
            <w:rPr>
              <w:color w:val="auto"/>
              <w:highlight w:val="none"/>
            </w:rPr>
            <w:fldChar w:fldCharType="separate"/>
          </w:r>
          <w:r>
            <w:rPr>
              <w:color w:val="auto"/>
              <w:highlight w:val="none"/>
            </w:rPr>
            <w:t xml:space="preserve">19</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_Toc6881 </w:instrText>
          </w:r>
          <w:r>
            <w:rPr>
              <w:rFonts w:ascii="宋体" w:hAnsi="宋体" w:eastAsia="宋体" w:cs="宋体"/>
              <w:color w:val="auto"/>
              <w:spacing w:val="7"/>
              <w:szCs w:val="35"/>
              <w:highlight w:val="none"/>
            </w:rPr>
            <w:fldChar w:fldCharType="separate"/>
          </w:r>
          <w:r>
            <w:rPr>
              <w:rFonts w:hint="eastAsia" w:ascii="宋体" w:hAnsi="宋体" w:eastAsia="宋体" w:cs="宋体"/>
              <w:color w:val="auto"/>
              <w:highlight w:val="none"/>
            </w:rPr>
            <w:t xml:space="preserve">30.履约保证金</w:t>
          </w:r>
          <w:r>
            <w:rPr>
              <w:color w:val="auto"/>
              <w:highlight w:val="none"/>
            </w:rPr>
            <w:tab/>
          </w:r>
          <w:r>
            <w:rPr>
              <w:color w:val="auto"/>
              <w:highlight w:val="none"/>
            </w:rPr>
            <w:fldChar w:fldCharType="begin"/>
          </w:r>
          <w:r>
            <w:rPr>
              <w:color w:val="auto"/>
              <w:highlight w:val="none"/>
            </w:rPr>
            <w:instrText xml:space="preserve"> PAGEREF _Toc6881 \h </w:instrText>
          </w:r>
          <w:r>
            <w:rPr>
              <w:color w:val="auto"/>
              <w:highlight w:val="none"/>
            </w:rPr>
            <w:fldChar w:fldCharType="separate"/>
          </w:r>
          <w:r>
            <w:rPr>
              <w:color w:val="auto"/>
              <w:highlight w:val="none"/>
            </w:rPr>
            <w:t xml:space="preserve">20</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_Toc3184 </w:instrText>
          </w:r>
          <w:r>
            <w:rPr>
              <w:rFonts w:ascii="宋体" w:hAnsi="宋体" w:eastAsia="宋体" w:cs="宋体"/>
              <w:color w:val="auto"/>
              <w:spacing w:val="7"/>
              <w:szCs w:val="35"/>
              <w:highlight w:val="none"/>
            </w:rPr>
            <w:fldChar w:fldCharType="separate"/>
          </w:r>
          <w:r>
            <w:rPr>
              <w:rFonts w:hint="eastAsia"/>
              <w:color w:val="auto"/>
              <w:highlight w:val="none"/>
            </w:rPr>
            <w:t xml:space="preserve">七、询问、质疑、投诉</w:t>
          </w:r>
          <w:r>
            <w:rPr>
              <w:color w:val="auto"/>
              <w:highlight w:val="none"/>
            </w:rPr>
            <w:tab/>
          </w:r>
          <w:r>
            <w:rPr>
              <w:color w:val="auto"/>
              <w:highlight w:val="none"/>
            </w:rPr>
            <w:fldChar w:fldCharType="begin"/>
          </w:r>
          <w:r>
            <w:rPr>
              <w:color w:val="auto"/>
              <w:highlight w:val="none"/>
            </w:rPr>
            <w:instrText xml:space="preserve"> PAGEREF _Toc3184 \h </w:instrText>
          </w:r>
          <w:r>
            <w:rPr>
              <w:color w:val="auto"/>
              <w:highlight w:val="none"/>
            </w:rPr>
            <w:fldChar w:fldCharType="separate"/>
          </w:r>
          <w:r>
            <w:rPr>
              <w:color w:val="auto"/>
              <w:highlight w:val="none"/>
            </w:rPr>
            <w:t xml:space="preserve">20</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_Toc28834 </w:instrText>
          </w:r>
          <w:r>
            <w:rPr>
              <w:rFonts w:ascii="宋体" w:hAnsi="宋体" w:eastAsia="宋体" w:cs="宋体"/>
              <w:color w:val="auto"/>
              <w:spacing w:val="7"/>
              <w:szCs w:val="35"/>
              <w:highlight w:val="none"/>
            </w:rPr>
            <w:fldChar w:fldCharType="separate"/>
          </w:r>
          <w:r>
            <w:rPr>
              <w:rFonts w:hint="eastAsia" w:ascii="宋体" w:hAnsi="宋体" w:eastAsia="宋体" w:cs="宋体"/>
              <w:color w:val="auto"/>
              <w:highlight w:val="none"/>
            </w:rPr>
            <w:t xml:space="preserve">31.询问</w:t>
          </w:r>
          <w:r>
            <w:rPr>
              <w:color w:val="auto"/>
              <w:highlight w:val="none"/>
            </w:rPr>
            <w:tab/>
          </w:r>
          <w:r>
            <w:rPr>
              <w:color w:val="auto"/>
              <w:highlight w:val="none"/>
            </w:rPr>
            <w:fldChar w:fldCharType="begin"/>
          </w:r>
          <w:r>
            <w:rPr>
              <w:color w:val="auto"/>
              <w:highlight w:val="none"/>
            </w:rPr>
            <w:instrText xml:space="preserve"> PAGEREF _Toc28834 \h </w:instrText>
          </w:r>
          <w:r>
            <w:rPr>
              <w:color w:val="auto"/>
              <w:highlight w:val="none"/>
            </w:rPr>
            <w:fldChar w:fldCharType="separate"/>
          </w:r>
          <w:r>
            <w:rPr>
              <w:color w:val="auto"/>
              <w:highlight w:val="none"/>
            </w:rPr>
            <w:t xml:space="preserve">20</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_Toc19226 </w:instrText>
          </w:r>
          <w:r>
            <w:rPr>
              <w:rFonts w:ascii="宋体" w:hAnsi="宋体" w:eastAsia="宋体" w:cs="宋体"/>
              <w:color w:val="auto"/>
              <w:spacing w:val="7"/>
              <w:szCs w:val="35"/>
              <w:highlight w:val="none"/>
            </w:rPr>
            <w:fldChar w:fldCharType="separate"/>
          </w:r>
          <w:r>
            <w:rPr>
              <w:rFonts w:hint="eastAsia" w:ascii="宋体" w:hAnsi="宋体" w:eastAsia="宋体" w:cs="宋体"/>
              <w:color w:val="auto"/>
              <w:highlight w:val="none"/>
            </w:rPr>
            <w:t xml:space="preserve">32.质疑</w:t>
          </w:r>
          <w:r>
            <w:rPr>
              <w:color w:val="auto"/>
              <w:highlight w:val="none"/>
            </w:rPr>
            <w:tab/>
          </w:r>
          <w:r>
            <w:rPr>
              <w:color w:val="auto"/>
              <w:highlight w:val="none"/>
            </w:rPr>
            <w:fldChar w:fldCharType="begin"/>
          </w:r>
          <w:r>
            <w:rPr>
              <w:color w:val="auto"/>
              <w:highlight w:val="none"/>
            </w:rPr>
            <w:instrText xml:space="preserve"> PAGEREF _Toc19226 \h </w:instrText>
          </w:r>
          <w:r>
            <w:rPr>
              <w:color w:val="auto"/>
              <w:highlight w:val="none"/>
            </w:rPr>
            <w:fldChar w:fldCharType="separate"/>
          </w:r>
          <w:r>
            <w:rPr>
              <w:color w:val="auto"/>
              <w:highlight w:val="none"/>
            </w:rPr>
            <w:t xml:space="preserve">20</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_Toc20857 </w:instrText>
          </w:r>
          <w:r>
            <w:rPr>
              <w:rFonts w:ascii="宋体" w:hAnsi="宋体" w:eastAsia="宋体" w:cs="宋体"/>
              <w:color w:val="auto"/>
              <w:spacing w:val="7"/>
              <w:szCs w:val="35"/>
              <w:highlight w:val="none"/>
            </w:rPr>
            <w:fldChar w:fldCharType="separate"/>
          </w:r>
          <w:r>
            <w:rPr>
              <w:rFonts w:hint="eastAsia" w:ascii="宋体" w:hAnsi="宋体" w:eastAsia="宋体" w:cs="宋体"/>
              <w:color w:val="auto"/>
              <w:highlight w:val="none"/>
            </w:rPr>
            <w:t xml:space="preserve">33.投诉</w:t>
          </w:r>
          <w:r>
            <w:rPr>
              <w:color w:val="auto"/>
              <w:highlight w:val="none"/>
            </w:rPr>
            <w:tab/>
          </w:r>
          <w:r>
            <w:rPr>
              <w:color w:val="auto"/>
              <w:highlight w:val="none"/>
            </w:rPr>
            <w:fldChar w:fldCharType="begin"/>
          </w:r>
          <w:r>
            <w:rPr>
              <w:color w:val="auto"/>
              <w:highlight w:val="none"/>
            </w:rPr>
            <w:instrText xml:space="preserve"> PAGEREF _Toc20857 \h </w:instrText>
          </w:r>
          <w:r>
            <w:rPr>
              <w:color w:val="auto"/>
              <w:highlight w:val="none"/>
            </w:rPr>
            <w:fldChar w:fldCharType="separate"/>
          </w:r>
          <w:r>
            <w:rPr>
              <w:color w:val="auto"/>
              <w:highlight w:val="none"/>
            </w:rPr>
            <w:t xml:space="preserve">21</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_Toc15418 </w:instrText>
          </w:r>
          <w:r>
            <w:rPr>
              <w:rFonts w:ascii="宋体" w:hAnsi="宋体" w:eastAsia="宋体" w:cs="宋体"/>
              <w:color w:val="auto"/>
              <w:spacing w:val="7"/>
              <w:szCs w:val="35"/>
              <w:highlight w:val="none"/>
            </w:rPr>
            <w:fldChar w:fldCharType="separate"/>
          </w:r>
          <w:r>
            <w:rPr>
              <w:rFonts w:hint="eastAsia"/>
              <w:color w:val="auto"/>
              <w:highlight w:val="none"/>
            </w:rPr>
            <w:t xml:space="preserve">八、诚实信用和解释权</w:t>
          </w:r>
          <w:r>
            <w:rPr>
              <w:color w:val="auto"/>
              <w:highlight w:val="none"/>
            </w:rPr>
            <w:tab/>
          </w:r>
          <w:r>
            <w:rPr>
              <w:color w:val="auto"/>
              <w:highlight w:val="none"/>
            </w:rPr>
            <w:fldChar w:fldCharType="begin"/>
          </w:r>
          <w:r>
            <w:rPr>
              <w:color w:val="auto"/>
              <w:highlight w:val="none"/>
            </w:rPr>
            <w:instrText xml:space="preserve"> PAGEREF _Toc15418 \h </w:instrText>
          </w:r>
          <w:r>
            <w:rPr>
              <w:color w:val="auto"/>
              <w:highlight w:val="none"/>
            </w:rPr>
            <w:fldChar w:fldCharType="separate"/>
          </w:r>
          <w:r>
            <w:rPr>
              <w:color w:val="auto"/>
              <w:highlight w:val="none"/>
            </w:rPr>
            <w:t xml:space="preserve">21</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_Toc1228 </w:instrText>
          </w:r>
          <w:r>
            <w:rPr>
              <w:rFonts w:ascii="宋体" w:hAnsi="宋体" w:eastAsia="宋体" w:cs="宋体"/>
              <w:color w:val="auto"/>
              <w:spacing w:val="7"/>
              <w:szCs w:val="35"/>
              <w:highlight w:val="none"/>
            </w:rPr>
            <w:fldChar w:fldCharType="separate"/>
          </w:r>
          <w:r>
            <w:rPr>
              <w:rFonts w:hint="eastAsia" w:ascii="宋体" w:hAnsi="宋体" w:eastAsia="宋体" w:cs="宋体"/>
              <w:color w:val="auto"/>
              <w:highlight w:val="none"/>
            </w:rPr>
            <w:t xml:space="preserve">34.诚实信用</w:t>
          </w:r>
          <w:r>
            <w:rPr>
              <w:color w:val="auto"/>
              <w:highlight w:val="none"/>
            </w:rPr>
            <w:tab/>
          </w:r>
          <w:r>
            <w:rPr>
              <w:color w:val="auto"/>
              <w:highlight w:val="none"/>
            </w:rPr>
            <w:fldChar w:fldCharType="begin"/>
          </w:r>
          <w:r>
            <w:rPr>
              <w:color w:val="auto"/>
              <w:highlight w:val="none"/>
            </w:rPr>
            <w:instrText xml:space="preserve"> PAGEREF _Toc1228 \h </w:instrText>
          </w:r>
          <w:r>
            <w:rPr>
              <w:color w:val="auto"/>
              <w:highlight w:val="none"/>
            </w:rPr>
            <w:fldChar w:fldCharType="separate"/>
          </w:r>
          <w:r>
            <w:rPr>
              <w:color w:val="auto"/>
              <w:highlight w:val="none"/>
            </w:rPr>
            <w:t xml:space="preserve">21</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_Toc18755 </w:instrText>
          </w:r>
          <w:r>
            <w:rPr>
              <w:rFonts w:ascii="宋体" w:hAnsi="宋体" w:eastAsia="宋体" w:cs="宋体"/>
              <w:color w:val="auto"/>
              <w:spacing w:val="7"/>
              <w:szCs w:val="35"/>
              <w:highlight w:val="none"/>
            </w:rPr>
            <w:fldChar w:fldCharType="separate"/>
          </w:r>
          <w:r>
            <w:rPr>
              <w:rFonts w:hint="eastAsia" w:ascii="宋体" w:hAnsi="宋体" w:eastAsia="宋体" w:cs="宋体"/>
              <w:color w:val="auto"/>
              <w:highlight w:val="none"/>
            </w:rPr>
            <w:t xml:space="preserve">35.解释权</w:t>
          </w:r>
          <w:r>
            <w:rPr>
              <w:color w:val="auto"/>
              <w:highlight w:val="none"/>
            </w:rPr>
            <w:tab/>
          </w:r>
          <w:r>
            <w:rPr>
              <w:color w:val="auto"/>
              <w:highlight w:val="none"/>
            </w:rPr>
            <w:fldChar w:fldCharType="begin"/>
          </w:r>
          <w:r>
            <w:rPr>
              <w:color w:val="auto"/>
              <w:highlight w:val="none"/>
            </w:rPr>
            <w:instrText xml:space="preserve"> PAGEREF _Toc18755 \h </w:instrText>
          </w:r>
          <w:r>
            <w:rPr>
              <w:color w:val="auto"/>
              <w:highlight w:val="none"/>
            </w:rPr>
            <w:fldChar w:fldCharType="separate"/>
          </w:r>
          <w:r>
            <w:rPr>
              <w:color w:val="auto"/>
              <w:highlight w:val="none"/>
            </w:rPr>
            <w:t xml:space="preserve">22</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_Toc14151 </w:instrText>
          </w:r>
          <w:r>
            <w:rPr>
              <w:rFonts w:ascii="宋体" w:hAnsi="宋体" w:eastAsia="宋体" w:cs="宋体"/>
              <w:color w:val="auto"/>
              <w:spacing w:val="7"/>
              <w:szCs w:val="35"/>
              <w:highlight w:val="none"/>
            </w:rPr>
            <w:fldChar w:fldCharType="separate"/>
          </w:r>
          <w:r>
            <w:rPr>
              <w:rFonts w:hint="eastAsia" w:ascii="宋体" w:hAnsi="宋体" w:eastAsia="宋体" w:cs="宋体"/>
              <w:color w:val="auto"/>
              <w:highlight w:val="none"/>
            </w:rPr>
            <w:t xml:space="preserve">36.适用法律及约束力</w:t>
          </w:r>
          <w:r>
            <w:rPr>
              <w:color w:val="auto"/>
              <w:highlight w:val="none"/>
            </w:rPr>
            <w:tab/>
          </w:r>
          <w:r>
            <w:rPr>
              <w:color w:val="auto"/>
              <w:highlight w:val="none"/>
            </w:rPr>
            <w:fldChar w:fldCharType="begin"/>
          </w:r>
          <w:r>
            <w:rPr>
              <w:color w:val="auto"/>
              <w:highlight w:val="none"/>
            </w:rPr>
            <w:instrText xml:space="preserve"> PAGEREF _Toc14151 \h </w:instrText>
          </w:r>
          <w:r>
            <w:rPr>
              <w:color w:val="auto"/>
              <w:highlight w:val="none"/>
            </w:rPr>
            <w:fldChar w:fldCharType="separate"/>
          </w:r>
          <w:r>
            <w:rPr>
              <w:color w:val="auto"/>
              <w:highlight w:val="none"/>
            </w:rPr>
            <w:t xml:space="preserve">22</w:t>
          </w:r>
          <w:r>
            <w:rPr>
              <w:color w:val="auto"/>
              <w:highlight w:val="none"/>
            </w:rPr>
            <w:fldChar w:fldCharType="end"/>
          </w:r>
          <w:r>
            <w:rPr>
              <w:rFonts w:ascii="宋体" w:hAnsi="宋体" w:eastAsia="宋体" w:cs="宋体"/>
              <w:color w:val="auto"/>
              <w:spacing w:val="7"/>
              <w:szCs w:val="35"/>
              <w:highlight w:val="none"/>
            </w:rPr>
            <w:fldChar w:fldCharType="end"/>
          </w:r>
          <w:r/>
        </w:p>
        <w:p>
          <w:pPr>
            <w:pStyle w:val="1591"/>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_Toc14638 </w:instrText>
          </w:r>
          <w:r>
            <w:rPr>
              <w:rFonts w:ascii="宋体" w:hAnsi="宋体" w:eastAsia="宋体" w:cs="宋体"/>
              <w:color w:val="auto"/>
              <w:spacing w:val="7"/>
              <w:szCs w:val="35"/>
              <w:highlight w:val="none"/>
            </w:rPr>
            <w:fldChar w:fldCharType="separate"/>
          </w:r>
          <w:r>
            <w:rPr>
              <w:rFonts w:hint="eastAsia"/>
              <w:color w:val="auto"/>
              <w:highlight w:val="none"/>
            </w:rPr>
            <w:t xml:space="preserve">第三部分    </w:t>
          </w:r>
          <w:r>
            <w:rPr>
              <w:color w:val="auto"/>
              <w:highlight w:val="none"/>
            </w:rPr>
            <w:t xml:space="preserve">合同</w:t>
          </w:r>
          <w:r>
            <w:rPr>
              <w:color w:val="auto"/>
              <w:highlight w:val="none"/>
            </w:rPr>
            <w:tab/>
          </w:r>
          <w:r>
            <w:rPr>
              <w:color w:val="auto"/>
              <w:highlight w:val="none"/>
            </w:rPr>
            <w:fldChar w:fldCharType="begin"/>
          </w:r>
          <w:r>
            <w:rPr>
              <w:color w:val="auto"/>
              <w:highlight w:val="none"/>
            </w:rPr>
            <w:instrText xml:space="preserve"> PAGEREF _Toc14638 \h </w:instrText>
          </w:r>
          <w:r>
            <w:rPr>
              <w:color w:val="auto"/>
              <w:highlight w:val="none"/>
            </w:rPr>
            <w:fldChar w:fldCharType="separate"/>
          </w:r>
          <w:r>
            <w:rPr>
              <w:color w:val="auto"/>
              <w:highlight w:val="none"/>
            </w:rPr>
            <w:t xml:space="preserve">23</w:t>
          </w:r>
          <w:r>
            <w:rPr>
              <w:color w:val="auto"/>
              <w:highlight w:val="none"/>
            </w:rPr>
            <w:fldChar w:fldCharType="end"/>
          </w:r>
          <w:r>
            <w:rPr>
              <w:rFonts w:ascii="宋体" w:hAnsi="宋体" w:eastAsia="宋体" w:cs="宋体"/>
              <w:color w:val="auto"/>
              <w:spacing w:val="7"/>
              <w:szCs w:val="35"/>
              <w:highlight w:val="none"/>
            </w:rPr>
            <w:fldChar w:fldCharType="end"/>
          </w:r>
          <w:r/>
        </w:p>
        <w:p>
          <w:pPr>
            <w:pStyle w:val="1591"/>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_Toc5393 </w:instrText>
          </w:r>
          <w:r>
            <w:rPr>
              <w:rFonts w:ascii="宋体" w:hAnsi="宋体" w:eastAsia="宋体" w:cs="宋体"/>
              <w:color w:val="auto"/>
              <w:spacing w:val="7"/>
              <w:szCs w:val="35"/>
              <w:highlight w:val="none"/>
            </w:rPr>
            <w:fldChar w:fldCharType="separate"/>
          </w:r>
          <w:r>
            <w:rPr>
              <w:rFonts w:hint="eastAsia"/>
              <w:color w:val="auto"/>
              <w:highlight w:val="none"/>
            </w:rPr>
            <w:t xml:space="preserve">第四部分采购需求</w:t>
          </w:r>
          <w:r>
            <w:rPr>
              <w:color w:val="auto"/>
              <w:highlight w:val="none"/>
            </w:rPr>
            <w:tab/>
          </w:r>
          <w:r>
            <w:rPr>
              <w:color w:val="auto"/>
              <w:highlight w:val="none"/>
            </w:rPr>
            <w:fldChar w:fldCharType="begin"/>
          </w:r>
          <w:r>
            <w:rPr>
              <w:color w:val="auto"/>
              <w:highlight w:val="none"/>
            </w:rPr>
            <w:instrText xml:space="preserve"> PAGEREF _Toc5393 \h </w:instrText>
          </w:r>
          <w:r>
            <w:rPr>
              <w:color w:val="auto"/>
              <w:highlight w:val="none"/>
            </w:rPr>
            <w:fldChar w:fldCharType="separate"/>
          </w:r>
          <w:r>
            <w:rPr>
              <w:color w:val="auto"/>
              <w:highlight w:val="none"/>
            </w:rPr>
            <w:t xml:space="preserve">31</w:t>
          </w:r>
          <w:r>
            <w:rPr>
              <w:color w:val="auto"/>
              <w:highlight w:val="none"/>
            </w:rPr>
            <w:fldChar w:fldCharType="end"/>
          </w:r>
          <w:r>
            <w:rPr>
              <w:rFonts w:ascii="宋体" w:hAnsi="宋体" w:eastAsia="宋体" w:cs="宋体"/>
              <w:color w:val="auto"/>
              <w:spacing w:val="7"/>
              <w:szCs w:val="35"/>
              <w:highlight w:val="none"/>
            </w:rPr>
            <w:fldChar w:fldCharType="end"/>
          </w:r>
          <w:r/>
        </w:p>
        <w:p>
          <w:pPr>
            <w:pStyle w:val="1591"/>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_Toc19537 </w:instrText>
          </w:r>
          <w:r>
            <w:rPr>
              <w:rFonts w:ascii="宋体" w:hAnsi="宋体" w:eastAsia="宋体" w:cs="宋体"/>
              <w:color w:val="auto"/>
              <w:spacing w:val="7"/>
              <w:szCs w:val="35"/>
              <w:highlight w:val="none"/>
            </w:rPr>
            <w:fldChar w:fldCharType="separate"/>
          </w:r>
          <w:r>
            <w:rPr>
              <w:rFonts w:hint="eastAsia"/>
              <w:color w:val="auto"/>
              <w:highlight w:val="none"/>
            </w:rPr>
            <w:t xml:space="preserve">第五部分磋商及评审</w:t>
          </w:r>
          <w:r>
            <w:rPr>
              <w:color w:val="auto"/>
              <w:highlight w:val="none"/>
            </w:rPr>
            <w:tab/>
          </w:r>
          <w:r>
            <w:rPr>
              <w:color w:val="auto"/>
              <w:highlight w:val="none"/>
            </w:rPr>
            <w:fldChar w:fldCharType="begin"/>
          </w:r>
          <w:r>
            <w:rPr>
              <w:color w:val="auto"/>
              <w:highlight w:val="none"/>
            </w:rPr>
            <w:instrText xml:space="preserve"> PAGEREF _Toc19537 \h </w:instrText>
          </w:r>
          <w:r>
            <w:rPr>
              <w:color w:val="auto"/>
              <w:highlight w:val="none"/>
            </w:rPr>
            <w:fldChar w:fldCharType="separate"/>
          </w:r>
          <w:r>
            <w:rPr>
              <w:color w:val="auto"/>
              <w:highlight w:val="none"/>
            </w:rPr>
            <w:t xml:space="preserve">43</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_Toc14025 </w:instrText>
          </w:r>
          <w:r>
            <w:rPr>
              <w:rFonts w:ascii="宋体" w:hAnsi="宋体" w:eastAsia="宋体" w:cs="宋体"/>
              <w:color w:val="auto"/>
              <w:spacing w:val="7"/>
              <w:szCs w:val="35"/>
              <w:highlight w:val="none"/>
            </w:rPr>
            <w:fldChar w:fldCharType="separate"/>
          </w:r>
          <w:r>
            <w:rPr>
              <w:rFonts w:hint="eastAsia"/>
              <w:color w:val="auto"/>
              <w:highlight w:val="none"/>
            </w:rPr>
            <w:t xml:space="preserve">一、磋商小组职责</w:t>
          </w:r>
          <w:r>
            <w:rPr>
              <w:color w:val="auto"/>
              <w:highlight w:val="none"/>
            </w:rPr>
            <w:tab/>
          </w:r>
          <w:r>
            <w:rPr>
              <w:color w:val="auto"/>
              <w:highlight w:val="none"/>
            </w:rPr>
            <w:fldChar w:fldCharType="begin"/>
          </w:r>
          <w:r>
            <w:rPr>
              <w:color w:val="auto"/>
              <w:highlight w:val="none"/>
            </w:rPr>
            <w:instrText xml:space="preserve"> PAGEREF _Toc14025 \h </w:instrText>
          </w:r>
          <w:r>
            <w:rPr>
              <w:color w:val="auto"/>
              <w:highlight w:val="none"/>
            </w:rPr>
            <w:fldChar w:fldCharType="separate"/>
          </w:r>
          <w:r>
            <w:rPr>
              <w:color w:val="auto"/>
              <w:highlight w:val="none"/>
            </w:rPr>
            <w:t xml:space="preserve">43</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_Toc13286 </w:instrText>
          </w:r>
          <w:r>
            <w:rPr>
              <w:rFonts w:ascii="宋体" w:hAnsi="宋体" w:eastAsia="宋体" w:cs="宋体"/>
              <w:color w:val="auto"/>
              <w:spacing w:val="7"/>
              <w:szCs w:val="35"/>
              <w:highlight w:val="none"/>
            </w:rPr>
            <w:fldChar w:fldCharType="separate"/>
          </w:r>
          <w:r>
            <w:rPr>
              <w:rFonts w:hint="eastAsia"/>
              <w:color w:val="auto"/>
              <w:highlight w:val="none"/>
            </w:rPr>
            <w:t xml:space="preserve">二、磋商及评审程序</w:t>
          </w:r>
          <w:r>
            <w:rPr>
              <w:color w:val="auto"/>
              <w:highlight w:val="none"/>
            </w:rPr>
            <w:tab/>
          </w:r>
          <w:r>
            <w:rPr>
              <w:color w:val="auto"/>
              <w:highlight w:val="none"/>
            </w:rPr>
            <w:fldChar w:fldCharType="begin"/>
          </w:r>
          <w:r>
            <w:rPr>
              <w:color w:val="auto"/>
              <w:highlight w:val="none"/>
            </w:rPr>
            <w:instrText xml:space="preserve"> PAGEREF _Toc13286 \h </w:instrText>
          </w:r>
          <w:r>
            <w:rPr>
              <w:color w:val="auto"/>
              <w:highlight w:val="none"/>
            </w:rPr>
            <w:fldChar w:fldCharType="separate"/>
          </w:r>
          <w:r>
            <w:rPr>
              <w:color w:val="auto"/>
              <w:highlight w:val="none"/>
            </w:rPr>
            <w:t xml:space="preserve">43</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_Toc32627 </w:instrText>
          </w:r>
          <w:r>
            <w:rPr>
              <w:rFonts w:ascii="宋体" w:hAnsi="宋体" w:eastAsia="宋体" w:cs="宋体"/>
              <w:color w:val="auto"/>
              <w:spacing w:val="7"/>
              <w:szCs w:val="35"/>
              <w:highlight w:val="none"/>
            </w:rPr>
            <w:fldChar w:fldCharType="separate"/>
          </w:r>
          <w:r>
            <w:rPr>
              <w:rFonts w:hint="eastAsia"/>
              <w:color w:val="auto"/>
              <w:highlight w:val="none"/>
            </w:rPr>
            <w:t xml:space="preserve">三、供应商资格审查</w:t>
          </w:r>
          <w:r>
            <w:rPr>
              <w:color w:val="auto"/>
              <w:highlight w:val="none"/>
            </w:rPr>
            <w:tab/>
          </w:r>
          <w:r>
            <w:rPr>
              <w:color w:val="auto"/>
              <w:highlight w:val="none"/>
            </w:rPr>
            <w:fldChar w:fldCharType="begin"/>
          </w:r>
          <w:r>
            <w:rPr>
              <w:color w:val="auto"/>
              <w:highlight w:val="none"/>
            </w:rPr>
            <w:instrText xml:space="preserve"> PAGEREF _Toc32627 \h </w:instrText>
          </w:r>
          <w:r>
            <w:rPr>
              <w:color w:val="auto"/>
              <w:highlight w:val="none"/>
            </w:rPr>
            <w:fldChar w:fldCharType="separate"/>
          </w:r>
          <w:r>
            <w:rPr>
              <w:color w:val="auto"/>
              <w:highlight w:val="none"/>
            </w:rPr>
            <w:t xml:space="preserve">44</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_Toc10956 </w:instrText>
          </w:r>
          <w:r>
            <w:rPr>
              <w:rFonts w:ascii="宋体" w:hAnsi="宋体" w:eastAsia="宋体" w:cs="宋体"/>
              <w:color w:val="auto"/>
              <w:spacing w:val="7"/>
              <w:szCs w:val="35"/>
              <w:highlight w:val="none"/>
            </w:rPr>
            <w:fldChar w:fldCharType="separate"/>
          </w:r>
          <w:r>
            <w:rPr>
              <w:rFonts w:hint="eastAsia"/>
              <w:color w:val="auto"/>
              <w:highlight w:val="none"/>
            </w:rPr>
            <w:t xml:space="preserve">四、磋商响应文件的有效性、完整性和响应程度审查</w:t>
          </w:r>
          <w:r>
            <w:rPr>
              <w:color w:val="auto"/>
              <w:highlight w:val="none"/>
            </w:rPr>
            <w:tab/>
          </w:r>
          <w:r>
            <w:rPr>
              <w:color w:val="auto"/>
              <w:highlight w:val="none"/>
            </w:rPr>
            <w:fldChar w:fldCharType="begin"/>
          </w:r>
          <w:r>
            <w:rPr>
              <w:color w:val="auto"/>
              <w:highlight w:val="none"/>
            </w:rPr>
            <w:instrText xml:space="preserve"> PAGEREF _Toc10956 \h </w:instrText>
          </w:r>
          <w:r>
            <w:rPr>
              <w:color w:val="auto"/>
              <w:highlight w:val="none"/>
            </w:rPr>
            <w:fldChar w:fldCharType="separate"/>
          </w:r>
          <w:r>
            <w:rPr>
              <w:color w:val="auto"/>
              <w:highlight w:val="none"/>
            </w:rPr>
            <w:t xml:space="preserve">45</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_Toc15031 </w:instrText>
          </w:r>
          <w:r>
            <w:rPr>
              <w:rFonts w:ascii="宋体" w:hAnsi="宋体" w:eastAsia="宋体" w:cs="宋体"/>
              <w:color w:val="auto"/>
              <w:spacing w:val="7"/>
              <w:szCs w:val="35"/>
              <w:highlight w:val="none"/>
            </w:rPr>
            <w:fldChar w:fldCharType="separate"/>
          </w:r>
          <w:r>
            <w:rPr>
              <w:rFonts w:hint="eastAsia"/>
              <w:color w:val="auto"/>
              <w:highlight w:val="none"/>
            </w:rPr>
            <w:t xml:space="preserve">五、磋商记录</w:t>
          </w:r>
          <w:r>
            <w:rPr>
              <w:color w:val="auto"/>
              <w:highlight w:val="none"/>
            </w:rPr>
            <w:tab/>
          </w:r>
          <w:r>
            <w:rPr>
              <w:color w:val="auto"/>
              <w:highlight w:val="none"/>
            </w:rPr>
            <w:fldChar w:fldCharType="begin"/>
          </w:r>
          <w:r>
            <w:rPr>
              <w:color w:val="auto"/>
              <w:highlight w:val="none"/>
            </w:rPr>
            <w:instrText xml:space="preserve"> PAGEREF _Toc15031 \h </w:instrText>
          </w:r>
          <w:r>
            <w:rPr>
              <w:color w:val="auto"/>
              <w:highlight w:val="none"/>
            </w:rPr>
            <w:fldChar w:fldCharType="separate"/>
          </w:r>
          <w:r>
            <w:rPr>
              <w:color w:val="auto"/>
              <w:highlight w:val="none"/>
            </w:rPr>
            <w:t xml:space="preserve">45</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_Toc24900 </w:instrText>
          </w:r>
          <w:r>
            <w:rPr>
              <w:rFonts w:ascii="宋体" w:hAnsi="宋体" w:eastAsia="宋体" w:cs="宋体"/>
              <w:color w:val="auto"/>
              <w:spacing w:val="7"/>
              <w:szCs w:val="35"/>
              <w:highlight w:val="none"/>
            </w:rPr>
            <w:fldChar w:fldCharType="separate"/>
          </w:r>
          <w:r>
            <w:rPr>
              <w:rFonts w:hint="eastAsia"/>
              <w:color w:val="auto"/>
              <w:highlight w:val="none"/>
            </w:rPr>
            <w:t xml:space="preserve">六、综合评分</w:t>
          </w:r>
          <w:r>
            <w:rPr>
              <w:color w:val="auto"/>
              <w:highlight w:val="none"/>
            </w:rPr>
            <w:tab/>
          </w:r>
          <w:r>
            <w:rPr>
              <w:color w:val="auto"/>
              <w:highlight w:val="none"/>
            </w:rPr>
            <w:fldChar w:fldCharType="begin"/>
          </w:r>
          <w:r>
            <w:rPr>
              <w:color w:val="auto"/>
              <w:highlight w:val="none"/>
            </w:rPr>
            <w:instrText xml:space="preserve"> PAGEREF _Toc24900 \h </w:instrText>
          </w:r>
          <w:r>
            <w:rPr>
              <w:color w:val="auto"/>
              <w:highlight w:val="none"/>
            </w:rPr>
            <w:fldChar w:fldCharType="separate"/>
          </w:r>
          <w:r>
            <w:rPr>
              <w:color w:val="auto"/>
              <w:highlight w:val="none"/>
            </w:rPr>
            <w:t xml:space="preserve">45</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_Toc1565 </w:instrText>
          </w:r>
          <w:r>
            <w:rPr>
              <w:rFonts w:ascii="宋体" w:hAnsi="宋体" w:eastAsia="宋体" w:cs="宋体"/>
              <w:color w:val="auto"/>
              <w:spacing w:val="7"/>
              <w:szCs w:val="35"/>
              <w:highlight w:val="none"/>
            </w:rPr>
            <w:fldChar w:fldCharType="separate"/>
          </w:r>
          <w:r>
            <w:rPr>
              <w:rFonts w:hint="eastAsia"/>
              <w:color w:val="auto"/>
              <w:highlight w:val="none"/>
            </w:rPr>
            <w:t xml:space="preserve">（一） 技术评估</w:t>
          </w:r>
          <w:r>
            <w:rPr>
              <w:color w:val="auto"/>
              <w:highlight w:val="none"/>
            </w:rPr>
            <w:tab/>
          </w:r>
          <w:r>
            <w:rPr>
              <w:color w:val="auto"/>
              <w:highlight w:val="none"/>
            </w:rPr>
            <w:fldChar w:fldCharType="begin"/>
          </w:r>
          <w:r>
            <w:rPr>
              <w:color w:val="auto"/>
              <w:highlight w:val="none"/>
            </w:rPr>
            <w:instrText xml:space="preserve"> PAGEREF _Toc1565 \h </w:instrText>
          </w:r>
          <w:r>
            <w:rPr>
              <w:color w:val="auto"/>
              <w:highlight w:val="none"/>
            </w:rPr>
            <w:fldChar w:fldCharType="separate"/>
          </w:r>
          <w:r>
            <w:rPr>
              <w:color w:val="auto"/>
              <w:highlight w:val="none"/>
            </w:rPr>
            <w:t xml:space="preserve">45</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_Toc15299 </w:instrText>
          </w:r>
          <w:r>
            <w:rPr>
              <w:rFonts w:ascii="宋体" w:hAnsi="宋体" w:eastAsia="宋体" w:cs="宋体"/>
              <w:color w:val="auto"/>
              <w:spacing w:val="7"/>
              <w:szCs w:val="35"/>
              <w:highlight w:val="none"/>
            </w:rPr>
            <w:fldChar w:fldCharType="separate"/>
          </w:r>
          <w:r>
            <w:rPr>
              <w:rFonts w:hint="eastAsia"/>
              <w:color w:val="auto"/>
              <w:highlight w:val="none"/>
            </w:rPr>
            <w:t xml:space="preserve">（二） 商务评估</w:t>
          </w:r>
          <w:r>
            <w:rPr>
              <w:color w:val="auto"/>
              <w:highlight w:val="none"/>
            </w:rPr>
            <w:tab/>
          </w:r>
          <w:r>
            <w:rPr>
              <w:color w:val="auto"/>
              <w:highlight w:val="none"/>
            </w:rPr>
            <w:fldChar w:fldCharType="begin"/>
          </w:r>
          <w:r>
            <w:rPr>
              <w:color w:val="auto"/>
              <w:highlight w:val="none"/>
            </w:rPr>
            <w:instrText xml:space="preserve"> PAGEREF _Toc15299 \h </w:instrText>
          </w:r>
          <w:r>
            <w:rPr>
              <w:color w:val="auto"/>
              <w:highlight w:val="none"/>
            </w:rPr>
            <w:fldChar w:fldCharType="separate"/>
          </w:r>
          <w:r>
            <w:rPr>
              <w:color w:val="auto"/>
              <w:highlight w:val="none"/>
            </w:rPr>
            <w:t xml:space="preserve">47</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_Toc9518 </w:instrText>
          </w:r>
          <w:r>
            <w:rPr>
              <w:rFonts w:ascii="宋体" w:hAnsi="宋体" w:eastAsia="宋体" w:cs="宋体"/>
              <w:color w:val="auto"/>
              <w:spacing w:val="7"/>
              <w:szCs w:val="35"/>
              <w:highlight w:val="none"/>
            </w:rPr>
            <w:fldChar w:fldCharType="separate"/>
          </w:r>
          <w:r>
            <w:rPr>
              <w:rFonts w:hint="eastAsia"/>
              <w:color w:val="auto"/>
              <w:highlight w:val="none"/>
            </w:rPr>
            <w:t xml:space="preserve">（三） 价格评估</w:t>
          </w:r>
          <w:r>
            <w:rPr>
              <w:color w:val="auto"/>
              <w:highlight w:val="none"/>
            </w:rPr>
            <w:tab/>
          </w:r>
          <w:r>
            <w:rPr>
              <w:color w:val="auto"/>
              <w:highlight w:val="none"/>
            </w:rPr>
            <w:fldChar w:fldCharType="begin"/>
          </w:r>
          <w:r>
            <w:rPr>
              <w:color w:val="auto"/>
              <w:highlight w:val="none"/>
            </w:rPr>
            <w:instrText xml:space="preserve"> PAGEREF _Toc9518 \h </w:instrText>
          </w:r>
          <w:r>
            <w:rPr>
              <w:color w:val="auto"/>
              <w:highlight w:val="none"/>
            </w:rPr>
            <w:fldChar w:fldCharType="separate"/>
          </w:r>
          <w:r>
            <w:rPr>
              <w:color w:val="auto"/>
              <w:highlight w:val="none"/>
            </w:rPr>
            <w:t xml:space="preserve">47</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_Toc9478 </w:instrText>
          </w:r>
          <w:r>
            <w:rPr>
              <w:rFonts w:ascii="宋体" w:hAnsi="宋体" w:eastAsia="宋体" w:cs="宋体"/>
              <w:color w:val="auto"/>
              <w:spacing w:val="7"/>
              <w:szCs w:val="35"/>
              <w:highlight w:val="none"/>
            </w:rPr>
            <w:fldChar w:fldCharType="separate"/>
          </w:r>
          <w:r>
            <w:rPr>
              <w:rFonts w:hint="eastAsia"/>
              <w:color w:val="auto"/>
              <w:highlight w:val="none"/>
            </w:rPr>
            <w:t xml:space="preserve">七、推荐成交供应商</w:t>
          </w:r>
          <w:r>
            <w:rPr>
              <w:color w:val="auto"/>
              <w:highlight w:val="none"/>
            </w:rPr>
            <w:tab/>
          </w:r>
          <w:r>
            <w:rPr>
              <w:color w:val="auto"/>
              <w:highlight w:val="none"/>
            </w:rPr>
            <w:fldChar w:fldCharType="begin"/>
          </w:r>
          <w:r>
            <w:rPr>
              <w:color w:val="auto"/>
              <w:highlight w:val="none"/>
            </w:rPr>
            <w:instrText xml:space="preserve"> PAGEREF _Toc9478 \h </w:instrText>
          </w:r>
          <w:r>
            <w:rPr>
              <w:color w:val="auto"/>
              <w:highlight w:val="none"/>
            </w:rPr>
            <w:fldChar w:fldCharType="separate"/>
          </w:r>
          <w:r>
            <w:rPr>
              <w:color w:val="auto"/>
              <w:highlight w:val="none"/>
            </w:rPr>
            <w:t xml:space="preserve">47</w:t>
          </w:r>
          <w:r>
            <w:rPr>
              <w:color w:val="auto"/>
              <w:highlight w:val="none"/>
            </w:rPr>
            <w:fldChar w:fldCharType="end"/>
          </w:r>
          <w:r>
            <w:rPr>
              <w:rFonts w:ascii="宋体" w:hAnsi="宋体" w:eastAsia="宋体" w:cs="宋体"/>
              <w:color w:val="auto"/>
              <w:spacing w:val="7"/>
              <w:szCs w:val="35"/>
              <w:highlight w:val="none"/>
            </w:rPr>
            <w:fldChar w:fldCharType="end"/>
          </w:r>
          <w:r/>
        </w:p>
        <w:p>
          <w:pPr>
            <w:pStyle w:val="1591"/>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_Toc8101 </w:instrText>
          </w:r>
          <w:r>
            <w:rPr>
              <w:rFonts w:ascii="宋体" w:hAnsi="宋体" w:eastAsia="宋体" w:cs="宋体"/>
              <w:color w:val="auto"/>
              <w:spacing w:val="7"/>
              <w:szCs w:val="35"/>
              <w:highlight w:val="none"/>
            </w:rPr>
            <w:fldChar w:fldCharType="separate"/>
          </w:r>
          <w:r>
            <w:rPr>
              <w:rFonts w:hint="eastAsia"/>
              <w:color w:val="auto"/>
              <w:highlight w:val="none"/>
            </w:rPr>
            <w:t xml:space="preserve">第六部分磋商响应文件(格式)</w:t>
          </w:r>
          <w:r>
            <w:rPr>
              <w:color w:val="auto"/>
              <w:highlight w:val="none"/>
            </w:rPr>
            <w:tab/>
          </w:r>
          <w:r>
            <w:rPr>
              <w:color w:val="auto"/>
              <w:highlight w:val="none"/>
            </w:rPr>
            <w:fldChar w:fldCharType="begin"/>
          </w:r>
          <w:r>
            <w:rPr>
              <w:color w:val="auto"/>
              <w:highlight w:val="none"/>
            </w:rPr>
            <w:instrText xml:space="preserve"> PAGEREF _Toc8101 \h </w:instrText>
          </w:r>
          <w:r>
            <w:rPr>
              <w:color w:val="auto"/>
              <w:highlight w:val="none"/>
            </w:rPr>
            <w:fldChar w:fldCharType="separate"/>
          </w:r>
          <w:r>
            <w:rPr>
              <w:color w:val="auto"/>
              <w:highlight w:val="none"/>
            </w:rPr>
            <w:t xml:space="preserve">48</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_Toc30216 </w:instrText>
          </w:r>
          <w:r>
            <w:rPr>
              <w:rFonts w:ascii="宋体" w:hAnsi="宋体" w:eastAsia="宋体" w:cs="宋体"/>
              <w:color w:val="auto"/>
              <w:spacing w:val="7"/>
              <w:szCs w:val="35"/>
              <w:highlight w:val="none"/>
            </w:rPr>
            <w:fldChar w:fldCharType="separate"/>
          </w:r>
          <w:r>
            <w:rPr>
              <w:bCs/>
              <w:color w:val="auto"/>
              <w:szCs w:val="44"/>
              <w:highlight w:val="none"/>
            </w:rPr>
            <w:t xml:space="preserve">磋商响应文件</w:t>
          </w:r>
          <w:r>
            <w:rPr>
              <w:color w:val="auto"/>
              <w:highlight w:val="none"/>
            </w:rPr>
            <w:tab/>
          </w:r>
          <w:r>
            <w:rPr>
              <w:color w:val="auto"/>
              <w:highlight w:val="none"/>
            </w:rPr>
            <w:fldChar w:fldCharType="begin"/>
          </w:r>
          <w:r>
            <w:rPr>
              <w:color w:val="auto"/>
              <w:highlight w:val="none"/>
            </w:rPr>
            <w:instrText xml:space="preserve"> PAGEREF _Toc30216 \h </w:instrText>
          </w:r>
          <w:r>
            <w:rPr>
              <w:color w:val="auto"/>
              <w:highlight w:val="none"/>
            </w:rPr>
            <w:fldChar w:fldCharType="separate"/>
          </w:r>
          <w:r>
            <w:rPr>
              <w:color w:val="auto"/>
              <w:highlight w:val="none"/>
            </w:rPr>
            <w:t xml:space="preserve">48</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_Toc16910 </w:instrText>
          </w:r>
          <w:r>
            <w:rPr>
              <w:rFonts w:ascii="宋体" w:hAnsi="宋体" w:eastAsia="宋体" w:cs="宋体"/>
              <w:color w:val="auto"/>
              <w:spacing w:val="7"/>
              <w:szCs w:val="35"/>
              <w:highlight w:val="none"/>
            </w:rPr>
            <w:fldChar w:fldCharType="separate"/>
          </w:r>
          <w:r>
            <w:rPr>
              <w:rFonts w:hint="eastAsia"/>
              <w:color w:val="auto"/>
              <w:highlight w:val="none"/>
            </w:rPr>
            <w:t xml:space="preserve">一、资格部分</w:t>
          </w:r>
          <w:r>
            <w:rPr>
              <w:color w:val="auto"/>
              <w:highlight w:val="none"/>
            </w:rPr>
            <w:tab/>
          </w:r>
          <w:r>
            <w:rPr>
              <w:color w:val="auto"/>
              <w:highlight w:val="none"/>
            </w:rPr>
            <w:fldChar w:fldCharType="begin"/>
          </w:r>
          <w:r>
            <w:rPr>
              <w:color w:val="auto"/>
              <w:highlight w:val="none"/>
            </w:rPr>
            <w:instrText xml:space="preserve"> PAGEREF _Toc16910 \h </w:instrText>
          </w:r>
          <w:r>
            <w:rPr>
              <w:color w:val="auto"/>
              <w:highlight w:val="none"/>
            </w:rPr>
            <w:fldChar w:fldCharType="separate"/>
          </w:r>
          <w:r>
            <w:rPr>
              <w:color w:val="auto"/>
              <w:highlight w:val="none"/>
            </w:rPr>
            <w:t xml:space="preserve">49</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_Toc19098 </w:instrText>
          </w:r>
          <w:r>
            <w:rPr>
              <w:rFonts w:ascii="宋体" w:hAnsi="宋体" w:eastAsia="宋体" w:cs="宋体"/>
              <w:color w:val="auto"/>
              <w:spacing w:val="7"/>
              <w:szCs w:val="35"/>
              <w:highlight w:val="none"/>
            </w:rPr>
            <w:fldChar w:fldCharType="separate"/>
          </w:r>
          <w:r>
            <w:rPr>
              <w:rFonts w:hint="eastAsia" w:ascii="Times New Roman" w:hAnsi="Times New Roman" w:eastAsia="宋体" w:cs="Times New Roman"/>
              <w:color w:val="auto"/>
              <w:szCs w:val="28"/>
              <w:highlight w:val="none"/>
            </w:rPr>
            <w:t xml:space="preserve">（一）</w:t>
          </w:r>
          <w:r>
            <w:rPr>
              <w:rFonts w:ascii="Times New Roman" w:hAnsi="Times New Roman" w:eastAsia="宋体" w:cs="Times New Roman"/>
              <w:color w:val="auto"/>
              <w:szCs w:val="28"/>
              <w:highlight w:val="none"/>
            </w:rPr>
            <w:t xml:space="preserve">磋商承诺函</w:t>
          </w:r>
          <w:r>
            <w:rPr>
              <w:color w:val="auto"/>
              <w:highlight w:val="none"/>
            </w:rPr>
            <w:tab/>
          </w:r>
          <w:r>
            <w:rPr>
              <w:color w:val="auto"/>
              <w:highlight w:val="none"/>
            </w:rPr>
            <w:fldChar w:fldCharType="begin"/>
          </w:r>
          <w:r>
            <w:rPr>
              <w:color w:val="auto"/>
              <w:highlight w:val="none"/>
            </w:rPr>
            <w:instrText xml:space="preserve"> PAGEREF _Toc19098 \h </w:instrText>
          </w:r>
          <w:r>
            <w:rPr>
              <w:color w:val="auto"/>
              <w:highlight w:val="none"/>
            </w:rPr>
            <w:fldChar w:fldCharType="separate"/>
          </w:r>
          <w:r>
            <w:rPr>
              <w:color w:val="auto"/>
              <w:highlight w:val="none"/>
            </w:rPr>
            <w:t xml:space="preserve">50</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_Toc7310 </w:instrText>
          </w:r>
          <w:r>
            <w:rPr>
              <w:rFonts w:ascii="宋体" w:hAnsi="宋体" w:eastAsia="宋体" w:cs="宋体"/>
              <w:color w:val="auto"/>
              <w:spacing w:val="7"/>
              <w:szCs w:val="35"/>
              <w:highlight w:val="none"/>
            </w:rPr>
            <w:fldChar w:fldCharType="separate"/>
          </w:r>
          <w:r>
            <w:rPr>
              <w:rFonts w:hint="eastAsia" w:ascii="Times New Roman" w:hAnsi="Times New Roman" w:eastAsia="宋体" w:cs="Times New Roman"/>
              <w:color w:val="auto"/>
              <w:szCs w:val="28"/>
              <w:highlight w:val="none"/>
            </w:rPr>
            <w:t xml:space="preserve">（二）</w:t>
          </w:r>
          <w:r>
            <w:rPr>
              <w:rFonts w:ascii="Times New Roman" w:hAnsi="Times New Roman" w:eastAsia="宋体" w:cs="Times New Roman"/>
              <w:color w:val="auto"/>
              <w:szCs w:val="28"/>
              <w:highlight w:val="none"/>
            </w:rPr>
            <w:t xml:space="preserve">独立承担民事责任的能力</w:t>
          </w:r>
          <w:r>
            <w:rPr>
              <w:color w:val="auto"/>
              <w:highlight w:val="none"/>
            </w:rPr>
            <w:tab/>
          </w:r>
          <w:r>
            <w:rPr>
              <w:color w:val="auto"/>
              <w:highlight w:val="none"/>
            </w:rPr>
            <w:fldChar w:fldCharType="begin"/>
          </w:r>
          <w:r>
            <w:rPr>
              <w:color w:val="auto"/>
              <w:highlight w:val="none"/>
            </w:rPr>
            <w:instrText xml:space="preserve"> PAGEREF _Toc7310 \h </w:instrText>
          </w:r>
          <w:r>
            <w:rPr>
              <w:color w:val="auto"/>
              <w:highlight w:val="none"/>
            </w:rPr>
            <w:fldChar w:fldCharType="separate"/>
          </w:r>
          <w:r>
            <w:rPr>
              <w:color w:val="auto"/>
              <w:highlight w:val="none"/>
            </w:rPr>
            <w:t xml:space="preserve">51</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_Toc3997 </w:instrText>
          </w:r>
          <w:r>
            <w:rPr>
              <w:rFonts w:ascii="宋体" w:hAnsi="宋体" w:eastAsia="宋体" w:cs="宋体"/>
              <w:color w:val="auto"/>
              <w:spacing w:val="7"/>
              <w:szCs w:val="35"/>
              <w:highlight w:val="none"/>
            </w:rPr>
            <w:fldChar w:fldCharType="separate"/>
          </w:r>
          <w:r>
            <w:rPr>
              <w:rFonts w:hint="eastAsia" w:ascii="Times New Roman" w:hAnsi="Times New Roman" w:eastAsia="宋体" w:cs="Times New Roman"/>
              <w:color w:val="auto"/>
              <w:szCs w:val="28"/>
              <w:highlight w:val="none"/>
            </w:rPr>
            <w:t xml:space="preserve">（三）</w:t>
          </w:r>
          <w:r>
            <w:rPr>
              <w:rFonts w:ascii="Times New Roman" w:hAnsi="Times New Roman" w:eastAsia="宋体" w:cs="Times New Roman"/>
              <w:color w:val="auto"/>
              <w:szCs w:val="28"/>
              <w:highlight w:val="none"/>
            </w:rPr>
            <w:t xml:space="preserve">良好的商业信誉和健全的财务会计制度</w:t>
          </w:r>
          <w:r>
            <w:rPr>
              <w:color w:val="auto"/>
              <w:highlight w:val="none"/>
            </w:rPr>
            <w:tab/>
          </w:r>
          <w:r>
            <w:rPr>
              <w:color w:val="auto"/>
              <w:highlight w:val="none"/>
            </w:rPr>
            <w:fldChar w:fldCharType="begin"/>
          </w:r>
          <w:r>
            <w:rPr>
              <w:color w:val="auto"/>
              <w:highlight w:val="none"/>
            </w:rPr>
            <w:instrText xml:space="preserve"> PAGEREF _Toc3997 \h </w:instrText>
          </w:r>
          <w:r>
            <w:rPr>
              <w:color w:val="auto"/>
              <w:highlight w:val="none"/>
            </w:rPr>
            <w:fldChar w:fldCharType="separate"/>
          </w:r>
          <w:r>
            <w:rPr>
              <w:color w:val="auto"/>
              <w:highlight w:val="none"/>
            </w:rPr>
            <w:t xml:space="preserve">52</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_Toc14497 </w:instrText>
          </w:r>
          <w:r>
            <w:rPr>
              <w:rFonts w:ascii="宋体" w:hAnsi="宋体" w:eastAsia="宋体" w:cs="宋体"/>
              <w:color w:val="auto"/>
              <w:spacing w:val="7"/>
              <w:szCs w:val="35"/>
              <w:highlight w:val="none"/>
            </w:rPr>
            <w:fldChar w:fldCharType="separate"/>
          </w:r>
          <w:r>
            <w:rPr>
              <w:rFonts w:hint="eastAsia" w:ascii="Times New Roman" w:hAnsi="Times New Roman" w:eastAsia="宋体" w:cs="Times New Roman"/>
              <w:color w:val="auto"/>
              <w:szCs w:val="28"/>
              <w:highlight w:val="none"/>
            </w:rPr>
            <w:t xml:space="preserve">（四）</w:t>
          </w:r>
          <w:r>
            <w:rPr>
              <w:rFonts w:ascii="Times New Roman" w:hAnsi="Times New Roman" w:eastAsia="宋体" w:cs="Times New Roman"/>
              <w:color w:val="auto"/>
              <w:szCs w:val="28"/>
              <w:highlight w:val="none"/>
            </w:rPr>
            <w:t xml:space="preserve">履行合同所必需的设备和专业技术能力</w:t>
          </w:r>
          <w:r>
            <w:rPr>
              <w:color w:val="auto"/>
              <w:highlight w:val="none"/>
            </w:rPr>
            <w:tab/>
          </w:r>
          <w:r>
            <w:rPr>
              <w:color w:val="auto"/>
              <w:highlight w:val="none"/>
            </w:rPr>
            <w:fldChar w:fldCharType="begin"/>
          </w:r>
          <w:r>
            <w:rPr>
              <w:color w:val="auto"/>
              <w:highlight w:val="none"/>
            </w:rPr>
            <w:instrText xml:space="preserve"> PAGEREF _Toc14497 \h </w:instrText>
          </w:r>
          <w:r>
            <w:rPr>
              <w:color w:val="auto"/>
              <w:highlight w:val="none"/>
            </w:rPr>
            <w:fldChar w:fldCharType="separate"/>
          </w:r>
          <w:r>
            <w:rPr>
              <w:color w:val="auto"/>
              <w:highlight w:val="none"/>
            </w:rPr>
            <w:t xml:space="preserve">53</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_Toc16435 </w:instrText>
          </w:r>
          <w:r>
            <w:rPr>
              <w:rFonts w:ascii="宋体" w:hAnsi="宋体" w:eastAsia="宋体" w:cs="宋体"/>
              <w:color w:val="auto"/>
              <w:spacing w:val="7"/>
              <w:szCs w:val="35"/>
              <w:highlight w:val="none"/>
            </w:rPr>
            <w:fldChar w:fldCharType="separate"/>
          </w:r>
          <w:r>
            <w:rPr>
              <w:rFonts w:hint="eastAsia" w:ascii="Times New Roman" w:hAnsi="Times New Roman" w:eastAsia="宋体" w:cs="Times New Roman"/>
              <w:color w:val="auto"/>
              <w:szCs w:val="28"/>
              <w:highlight w:val="none"/>
            </w:rPr>
            <w:t xml:space="preserve">（五）</w:t>
          </w:r>
          <w:r>
            <w:rPr>
              <w:rFonts w:ascii="Times New Roman" w:hAnsi="Times New Roman" w:eastAsia="宋体" w:cs="Times New Roman"/>
              <w:color w:val="auto"/>
              <w:szCs w:val="28"/>
              <w:highlight w:val="none"/>
            </w:rPr>
            <w:t xml:space="preserve">依法缴纳税收和社会保障资金的良好记录</w:t>
          </w:r>
          <w:r>
            <w:rPr>
              <w:color w:val="auto"/>
              <w:highlight w:val="none"/>
            </w:rPr>
            <w:tab/>
          </w:r>
          <w:r>
            <w:rPr>
              <w:color w:val="auto"/>
              <w:highlight w:val="none"/>
            </w:rPr>
            <w:fldChar w:fldCharType="begin"/>
          </w:r>
          <w:r>
            <w:rPr>
              <w:color w:val="auto"/>
              <w:highlight w:val="none"/>
            </w:rPr>
            <w:instrText xml:space="preserve"> PAGEREF _Toc16435 \h </w:instrText>
          </w:r>
          <w:r>
            <w:rPr>
              <w:color w:val="auto"/>
              <w:highlight w:val="none"/>
            </w:rPr>
            <w:fldChar w:fldCharType="separate"/>
          </w:r>
          <w:r>
            <w:rPr>
              <w:color w:val="auto"/>
              <w:highlight w:val="none"/>
            </w:rPr>
            <w:t xml:space="preserve">54</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_Toc17937 </w:instrText>
          </w:r>
          <w:r>
            <w:rPr>
              <w:rFonts w:ascii="宋体" w:hAnsi="宋体" w:eastAsia="宋体" w:cs="宋体"/>
              <w:color w:val="auto"/>
              <w:spacing w:val="7"/>
              <w:szCs w:val="35"/>
              <w:highlight w:val="none"/>
            </w:rPr>
            <w:fldChar w:fldCharType="separate"/>
          </w:r>
          <w:r>
            <w:rPr>
              <w:rFonts w:hint="eastAsia" w:ascii="Times New Roman" w:hAnsi="Times New Roman" w:eastAsia="宋体" w:cs="Times New Roman"/>
              <w:color w:val="auto"/>
              <w:szCs w:val="28"/>
              <w:highlight w:val="none"/>
            </w:rPr>
            <w:t xml:space="preserve">（六）</w:t>
          </w:r>
          <w:r>
            <w:rPr>
              <w:rFonts w:ascii="Times New Roman" w:hAnsi="Times New Roman" w:eastAsia="宋体" w:cs="Times New Roman"/>
              <w:color w:val="auto"/>
              <w:szCs w:val="28"/>
              <w:highlight w:val="none"/>
            </w:rPr>
            <w:t xml:space="preserve">本项目的特定资格要求</w:t>
          </w:r>
          <w:r>
            <w:rPr>
              <w:color w:val="auto"/>
              <w:highlight w:val="none"/>
            </w:rPr>
            <w:tab/>
          </w:r>
          <w:r>
            <w:rPr>
              <w:color w:val="auto"/>
              <w:highlight w:val="none"/>
            </w:rPr>
            <w:fldChar w:fldCharType="begin"/>
          </w:r>
          <w:r>
            <w:rPr>
              <w:color w:val="auto"/>
              <w:highlight w:val="none"/>
            </w:rPr>
            <w:instrText xml:space="preserve"> PAGEREF _Toc17937 \h </w:instrText>
          </w:r>
          <w:r>
            <w:rPr>
              <w:color w:val="auto"/>
              <w:highlight w:val="none"/>
            </w:rPr>
            <w:fldChar w:fldCharType="separate"/>
          </w:r>
          <w:r>
            <w:rPr>
              <w:color w:val="auto"/>
              <w:highlight w:val="none"/>
            </w:rPr>
            <w:t xml:space="preserve">55</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_Toc12649 </w:instrText>
          </w:r>
          <w:r>
            <w:rPr>
              <w:rFonts w:ascii="宋体" w:hAnsi="宋体" w:eastAsia="宋体" w:cs="宋体"/>
              <w:color w:val="auto"/>
              <w:spacing w:val="7"/>
              <w:szCs w:val="35"/>
              <w:highlight w:val="none"/>
            </w:rPr>
            <w:fldChar w:fldCharType="separate"/>
          </w:r>
          <w:r>
            <w:rPr>
              <w:rFonts w:hint="eastAsia" w:ascii="Times New Roman" w:hAnsi="Times New Roman" w:eastAsia="宋体" w:cs="Times New Roman"/>
              <w:color w:val="auto"/>
              <w:szCs w:val="28"/>
              <w:highlight w:val="none"/>
            </w:rPr>
            <w:t xml:space="preserve">（七）</w:t>
          </w:r>
          <w:r>
            <w:rPr>
              <w:rFonts w:ascii="Times New Roman" w:hAnsi="Times New Roman" w:eastAsia="宋体" w:cs="Times New Roman"/>
              <w:color w:val="auto"/>
              <w:szCs w:val="28"/>
              <w:highlight w:val="none"/>
            </w:rPr>
            <w:t xml:space="preserve">法定代表人(负责人)身份证明书</w:t>
          </w:r>
          <w:r>
            <w:rPr>
              <w:color w:val="auto"/>
              <w:highlight w:val="none"/>
            </w:rPr>
            <w:tab/>
          </w:r>
          <w:r>
            <w:rPr>
              <w:color w:val="auto"/>
              <w:highlight w:val="none"/>
            </w:rPr>
            <w:fldChar w:fldCharType="begin"/>
          </w:r>
          <w:r>
            <w:rPr>
              <w:color w:val="auto"/>
              <w:highlight w:val="none"/>
            </w:rPr>
            <w:instrText xml:space="preserve"> PAGEREF _Toc12649 \h </w:instrText>
          </w:r>
          <w:r>
            <w:rPr>
              <w:color w:val="auto"/>
              <w:highlight w:val="none"/>
            </w:rPr>
            <w:fldChar w:fldCharType="separate"/>
          </w:r>
          <w:r>
            <w:rPr>
              <w:color w:val="auto"/>
              <w:highlight w:val="none"/>
            </w:rPr>
            <w:t xml:space="preserve">56</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_Toc16509 </w:instrText>
          </w:r>
          <w:r>
            <w:rPr>
              <w:rFonts w:ascii="宋体" w:hAnsi="宋体" w:eastAsia="宋体" w:cs="宋体"/>
              <w:color w:val="auto"/>
              <w:spacing w:val="7"/>
              <w:szCs w:val="35"/>
              <w:highlight w:val="none"/>
            </w:rPr>
            <w:fldChar w:fldCharType="separate"/>
          </w:r>
          <w:r>
            <w:rPr>
              <w:rFonts w:hint="eastAsia" w:ascii="Times New Roman" w:hAnsi="Times New Roman" w:eastAsia="宋体" w:cs="Times New Roman"/>
              <w:color w:val="auto"/>
              <w:szCs w:val="28"/>
              <w:highlight w:val="none"/>
            </w:rPr>
            <w:t xml:space="preserve">（八）</w:t>
          </w:r>
          <w:r>
            <w:rPr>
              <w:rFonts w:ascii="Times New Roman" w:hAnsi="Times New Roman" w:eastAsia="宋体" w:cs="Times New Roman"/>
              <w:color w:val="auto"/>
              <w:szCs w:val="28"/>
              <w:highlight w:val="none"/>
            </w:rPr>
            <w:t xml:space="preserve">法定代表人(负责人)授权委托书</w:t>
          </w:r>
          <w:r>
            <w:rPr>
              <w:color w:val="auto"/>
              <w:highlight w:val="none"/>
            </w:rPr>
            <w:tab/>
          </w:r>
          <w:r>
            <w:rPr>
              <w:color w:val="auto"/>
              <w:highlight w:val="none"/>
            </w:rPr>
            <w:fldChar w:fldCharType="begin"/>
          </w:r>
          <w:r>
            <w:rPr>
              <w:color w:val="auto"/>
              <w:highlight w:val="none"/>
            </w:rPr>
            <w:instrText xml:space="preserve"> PAGEREF _Toc16509 \h </w:instrText>
          </w:r>
          <w:r>
            <w:rPr>
              <w:color w:val="auto"/>
              <w:highlight w:val="none"/>
            </w:rPr>
            <w:fldChar w:fldCharType="separate"/>
          </w:r>
          <w:r>
            <w:rPr>
              <w:color w:val="auto"/>
              <w:highlight w:val="none"/>
            </w:rPr>
            <w:t xml:space="preserve">57</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_Toc2076 </w:instrText>
          </w:r>
          <w:r>
            <w:rPr>
              <w:rFonts w:ascii="宋体" w:hAnsi="宋体" w:eastAsia="宋体" w:cs="宋体"/>
              <w:color w:val="auto"/>
              <w:spacing w:val="7"/>
              <w:szCs w:val="35"/>
              <w:highlight w:val="none"/>
            </w:rPr>
            <w:fldChar w:fldCharType="separate"/>
          </w:r>
          <w:r>
            <w:rPr>
              <w:rFonts w:hint="eastAsia"/>
              <w:color w:val="auto"/>
              <w:highlight w:val="none"/>
            </w:rPr>
            <w:t xml:space="preserve">二、 技术部分</w:t>
          </w:r>
          <w:r>
            <w:rPr>
              <w:color w:val="auto"/>
              <w:highlight w:val="none"/>
            </w:rPr>
            <w:tab/>
          </w:r>
          <w:r>
            <w:rPr>
              <w:color w:val="auto"/>
              <w:highlight w:val="none"/>
            </w:rPr>
            <w:fldChar w:fldCharType="begin"/>
          </w:r>
          <w:r>
            <w:rPr>
              <w:color w:val="auto"/>
              <w:highlight w:val="none"/>
            </w:rPr>
            <w:instrText xml:space="preserve"> PAGEREF _Toc2076 \h </w:instrText>
          </w:r>
          <w:r>
            <w:rPr>
              <w:color w:val="auto"/>
              <w:highlight w:val="none"/>
            </w:rPr>
            <w:fldChar w:fldCharType="separate"/>
          </w:r>
          <w:r>
            <w:rPr>
              <w:color w:val="auto"/>
              <w:highlight w:val="none"/>
            </w:rPr>
            <w:t xml:space="preserve">58</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_Toc23068 </w:instrText>
          </w:r>
          <w:r>
            <w:rPr>
              <w:rFonts w:ascii="宋体" w:hAnsi="宋体" w:eastAsia="宋体" w:cs="宋体"/>
              <w:color w:val="auto"/>
              <w:spacing w:val="7"/>
              <w:szCs w:val="35"/>
              <w:highlight w:val="none"/>
            </w:rPr>
            <w:fldChar w:fldCharType="separate"/>
          </w:r>
          <w:r>
            <w:rPr>
              <w:rFonts w:hint="eastAsia" w:ascii="Times New Roman" w:hAnsi="Times New Roman" w:eastAsia="宋体" w:cs="Times New Roman"/>
              <w:color w:val="auto"/>
              <w:szCs w:val="28"/>
              <w:highlight w:val="none"/>
            </w:rPr>
            <w:t xml:space="preserve">（一）</w:t>
          </w:r>
          <w:r>
            <w:rPr>
              <w:rFonts w:ascii="Times New Roman" w:hAnsi="Times New Roman" w:eastAsia="宋体" w:cs="Times New Roman"/>
              <w:color w:val="auto"/>
              <w:szCs w:val="28"/>
              <w:highlight w:val="none"/>
            </w:rPr>
            <w:t xml:space="preserve">技术方案</w:t>
          </w:r>
          <w:r>
            <w:rPr>
              <w:color w:val="auto"/>
              <w:highlight w:val="none"/>
            </w:rPr>
            <w:tab/>
          </w:r>
          <w:r>
            <w:rPr>
              <w:color w:val="auto"/>
              <w:highlight w:val="none"/>
            </w:rPr>
            <w:fldChar w:fldCharType="begin"/>
          </w:r>
          <w:r>
            <w:rPr>
              <w:color w:val="auto"/>
              <w:highlight w:val="none"/>
            </w:rPr>
            <w:instrText xml:space="preserve"> PAGEREF _Toc23068 \h </w:instrText>
          </w:r>
          <w:r>
            <w:rPr>
              <w:color w:val="auto"/>
              <w:highlight w:val="none"/>
            </w:rPr>
            <w:fldChar w:fldCharType="separate"/>
          </w:r>
          <w:r>
            <w:rPr>
              <w:color w:val="auto"/>
              <w:highlight w:val="none"/>
            </w:rPr>
            <w:t xml:space="preserve">59</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_Toc4911 </w:instrText>
          </w:r>
          <w:r>
            <w:rPr>
              <w:rFonts w:ascii="宋体" w:hAnsi="宋体" w:eastAsia="宋体" w:cs="宋体"/>
              <w:color w:val="auto"/>
              <w:spacing w:val="7"/>
              <w:szCs w:val="35"/>
              <w:highlight w:val="none"/>
            </w:rPr>
            <w:fldChar w:fldCharType="separate"/>
          </w:r>
          <w:r>
            <w:rPr>
              <w:rFonts w:hint="eastAsia"/>
              <w:color w:val="auto"/>
              <w:highlight w:val="none"/>
            </w:rPr>
            <w:t xml:space="preserve">三、 商务部分</w:t>
          </w:r>
          <w:r>
            <w:rPr>
              <w:color w:val="auto"/>
              <w:highlight w:val="none"/>
            </w:rPr>
            <w:tab/>
          </w:r>
          <w:r>
            <w:rPr>
              <w:color w:val="auto"/>
              <w:highlight w:val="none"/>
            </w:rPr>
            <w:fldChar w:fldCharType="begin"/>
          </w:r>
          <w:r>
            <w:rPr>
              <w:color w:val="auto"/>
              <w:highlight w:val="none"/>
            </w:rPr>
            <w:instrText xml:space="preserve"> PAGEREF _Toc4911 \h </w:instrText>
          </w:r>
          <w:r>
            <w:rPr>
              <w:color w:val="auto"/>
              <w:highlight w:val="none"/>
            </w:rPr>
            <w:fldChar w:fldCharType="separate"/>
          </w:r>
          <w:r>
            <w:rPr>
              <w:color w:val="auto"/>
              <w:highlight w:val="none"/>
            </w:rPr>
            <w:t xml:space="preserve">60</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_Toc7595 </w:instrText>
          </w:r>
          <w:r>
            <w:rPr>
              <w:rFonts w:ascii="宋体" w:hAnsi="宋体" w:eastAsia="宋体" w:cs="宋体"/>
              <w:color w:val="auto"/>
              <w:spacing w:val="7"/>
              <w:szCs w:val="35"/>
              <w:highlight w:val="none"/>
            </w:rPr>
            <w:fldChar w:fldCharType="separate"/>
          </w:r>
          <w:r>
            <w:rPr>
              <w:rFonts w:hint="eastAsia" w:ascii="Times New Roman" w:hAnsi="Times New Roman" w:eastAsia="宋体" w:cs="Times New Roman"/>
              <w:color w:val="auto"/>
              <w:szCs w:val="28"/>
              <w:highlight w:val="none"/>
            </w:rPr>
            <w:t xml:space="preserve">（一） 供应商能力</w:t>
          </w:r>
          <w:r>
            <w:rPr>
              <w:color w:val="auto"/>
              <w:highlight w:val="none"/>
            </w:rPr>
            <w:tab/>
          </w:r>
          <w:r>
            <w:rPr>
              <w:color w:val="auto"/>
              <w:highlight w:val="none"/>
            </w:rPr>
            <w:fldChar w:fldCharType="begin"/>
          </w:r>
          <w:r>
            <w:rPr>
              <w:color w:val="auto"/>
              <w:highlight w:val="none"/>
            </w:rPr>
            <w:instrText xml:space="preserve"> PAGEREF _Toc7595 \h </w:instrText>
          </w:r>
          <w:r>
            <w:rPr>
              <w:color w:val="auto"/>
              <w:highlight w:val="none"/>
            </w:rPr>
            <w:fldChar w:fldCharType="separate"/>
          </w:r>
          <w:r>
            <w:rPr>
              <w:color w:val="auto"/>
              <w:highlight w:val="none"/>
            </w:rPr>
            <w:t xml:space="preserve">61</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_Toc21581 </w:instrText>
          </w:r>
          <w:r>
            <w:rPr>
              <w:rFonts w:ascii="宋体" w:hAnsi="宋体" w:eastAsia="宋体" w:cs="宋体"/>
              <w:color w:val="auto"/>
              <w:spacing w:val="7"/>
              <w:szCs w:val="35"/>
              <w:highlight w:val="none"/>
            </w:rPr>
            <w:fldChar w:fldCharType="separate"/>
          </w:r>
          <w:r>
            <w:rPr>
              <w:rFonts w:hint="eastAsia" w:ascii="Times New Roman" w:hAnsi="Times New Roman" w:eastAsia="宋体" w:cs="Times New Roman"/>
              <w:color w:val="auto"/>
              <w:szCs w:val="28"/>
              <w:highlight w:val="none"/>
            </w:rPr>
            <w:t xml:space="preserve">（二） 经验</w:t>
          </w:r>
          <w:r>
            <w:rPr>
              <w:color w:val="auto"/>
              <w:highlight w:val="none"/>
            </w:rPr>
            <w:tab/>
          </w:r>
          <w:r>
            <w:rPr>
              <w:color w:val="auto"/>
              <w:highlight w:val="none"/>
            </w:rPr>
            <w:fldChar w:fldCharType="begin"/>
          </w:r>
          <w:r>
            <w:rPr>
              <w:color w:val="auto"/>
              <w:highlight w:val="none"/>
            </w:rPr>
            <w:instrText xml:space="preserve"> PAGEREF _Toc21581 \h </w:instrText>
          </w:r>
          <w:r>
            <w:rPr>
              <w:color w:val="auto"/>
              <w:highlight w:val="none"/>
            </w:rPr>
            <w:fldChar w:fldCharType="separate"/>
          </w:r>
          <w:r>
            <w:rPr>
              <w:color w:val="auto"/>
              <w:highlight w:val="none"/>
            </w:rPr>
            <w:t xml:space="preserve">62</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_Toc2204 </w:instrText>
          </w:r>
          <w:r>
            <w:rPr>
              <w:rFonts w:ascii="宋体" w:hAnsi="宋体" w:eastAsia="宋体" w:cs="宋体"/>
              <w:color w:val="auto"/>
              <w:spacing w:val="7"/>
              <w:szCs w:val="35"/>
              <w:highlight w:val="none"/>
            </w:rPr>
            <w:fldChar w:fldCharType="separate"/>
          </w:r>
          <w:r>
            <w:rPr>
              <w:rFonts w:hint="eastAsia" w:ascii="Times New Roman" w:hAnsi="Times New Roman" w:eastAsia="宋体" w:cs="Times New Roman"/>
              <w:color w:val="auto"/>
              <w:szCs w:val="28"/>
              <w:highlight w:val="none"/>
            </w:rPr>
            <w:t xml:space="preserve">（三） 项目负责人资格</w:t>
          </w:r>
          <w:r>
            <w:rPr>
              <w:color w:val="auto"/>
              <w:highlight w:val="none"/>
            </w:rPr>
            <w:tab/>
          </w:r>
          <w:r>
            <w:rPr>
              <w:color w:val="auto"/>
              <w:highlight w:val="none"/>
            </w:rPr>
            <w:fldChar w:fldCharType="begin"/>
          </w:r>
          <w:r>
            <w:rPr>
              <w:color w:val="auto"/>
              <w:highlight w:val="none"/>
            </w:rPr>
            <w:instrText xml:space="preserve"> PAGEREF _Toc2204 \h </w:instrText>
          </w:r>
          <w:r>
            <w:rPr>
              <w:color w:val="auto"/>
              <w:highlight w:val="none"/>
            </w:rPr>
            <w:fldChar w:fldCharType="separate"/>
          </w:r>
          <w:r>
            <w:rPr>
              <w:color w:val="auto"/>
              <w:highlight w:val="none"/>
            </w:rPr>
            <w:t xml:space="preserve">63</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_Toc5057 </w:instrText>
          </w:r>
          <w:r>
            <w:rPr>
              <w:rFonts w:ascii="宋体" w:hAnsi="宋体" w:eastAsia="宋体" w:cs="宋体"/>
              <w:color w:val="auto"/>
              <w:spacing w:val="7"/>
              <w:szCs w:val="35"/>
              <w:highlight w:val="none"/>
            </w:rPr>
            <w:fldChar w:fldCharType="separate"/>
          </w:r>
          <w:r>
            <w:rPr>
              <w:rFonts w:hint="eastAsia" w:ascii="Times New Roman" w:hAnsi="Times New Roman" w:eastAsia="宋体" w:cs="Times New Roman"/>
              <w:color w:val="auto"/>
              <w:szCs w:val="28"/>
              <w:highlight w:val="none"/>
            </w:rPr>
            <w:t xml:space="preserve">（四） 项目实施人员能力</w:t>
          </w:r>
          <w:r>
            <w:rPr>
              <w:color w:val="auto"/>
              <w:highlight w:val="none"/>
            </w:rPr>
            <w:tab/>
          </w:r>
          <w:r>
            <w:rPr>
              <w:color w:val="auto"/>
              <w:highlight w:val="none"/>
            </w:rPr>
            <w:fldChar w:fldCharType="begin"/>
          </w:r>
          <w:r>
            <w:rPr>
              <w:color w:val="auto"/>
              <w:highlight w:val="none"/>
            </w:rPr>
            <w:instrText xml:space="preserve"> PAGEREF _Toc5057 \h </w:instrText>
          </w:r>
          <w:r>
            <w:rPr>
              <w:color w:val="auto"/>
              <w:highlight w:val="none"/>
            </w:rPr>
            <w:fldChar w:fldCharType="separate"/>
          </w:r>
          <w:r>
            <w:rPr>
              <w:color w:val="auto"/>
              <w:highlight w:val="none"/>
            </w:rPr>
            <w:t xml:space="preserve">64</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_Toc10248 </w:instrText>
          </w:r>
          <w:r>
            <w:rPr>
              <w:rFonts w:ascii="宋体" w:hAnsi="宋体" w:eastAsia="宋体" w:cs="宋体"/>
              <w:color w:val="auto"/>
              <w:spacing w:val="7"/>
              <w:szCs w:val="35"/>
              <w:highlight w:val="none"/>
            </w:rPr>
            <w:fldChar w:fldCharType="separate"/>
          </w:r>
          <w:r>
            <w:rPr>
              <w:rFonts w:hint="eastAsia" w:ascii="Times New Roman" w:hAnsi="Times New Roman" w:eastAsia="宋体" w:cs="Times New Roman"/>
              <w:color w:val="auto"/>
              <w:szCs w:val="28"/>
              <w:highlight w:val="none"/>
            </w:rPr>
            <w:t xml:space="preserve">（五） 诚实守信</w:t>
          </w:r>
          <w:r>
            <w:rPr>
              <w:color w:val="auto"/>
              <w:highlight w:val="none"/>
            </w:rPr>
            <w:tab/>
          </w:r>
          <w:r>
            <w:rPr>
              <w:color w:val="auto"/>
              <w:highlight w:val="none"/>
            </w:rPr>
            <w:fldChar w:fldCharType="begin"/>
          </w:r>
          <w:r>
            <w:rPr>
              <w:color w:val="auto"/>
              <w:highlight w:val="none"/>
            </w:rPr>
            <w:instrText xml:space="preserve"> PAGEREF _Toc10248 \h </w:instrText>
          </w:r>
          <w:r>
            <w:rPr>
              <w:color w:val="auto"/>
              <w:highlight w:val="none"/>
            </w:rPr>
            <w:fldChar w:fldCharType="separate"/>
          </w:r>
          <w:r>
            <w:rPr>
              <w:color w:val="auto"/>
              <w:highlight w:val="none"/>
            </w:rPr>
            <w:t xml:space="preserve">65</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_Toc60 </w:instrText>
          </w:r>
          <w:r>
            <w:rPr>
              <w:rFonts w:ascii="宋体" w:hAnsi="宋体" w:eastAsia="宋体" w:cs="宋体"/>
              <w:color w:val="auto"/>
              <w:spacing w:val="7"/>
              <w:szCs w:val="35"/>
              <w:highlight w:val="none"/>
            </w:rPr>
            <w:fldChar w:fldCharType="separate"/>
          </w:r>
          <w:r>
            <w:rPr>
              <w:rFonts w:hint="eastAsia" w:ascii="Times New Roman" w:hAnsi="Times New Roman" w:eastAsia="宋体" w:cs="Times New Roman"/>
              <w:color w:val="auto"/>
              <w:szCs w:val="28"/>
              <w:highlight w:val="none"/>
            </w:rPr>
            <w:t xml:space="preserve">（六） 首次报价一览表</w:t>
          </w:r>
          <w:r>
            <w:rPr>
              <w:color w:val="auto"/>
              <w:highlight w:val="none"/>
            </w:rPr>
            <w:tab/>
          </w:r>
          <w:r>
            <w:rPr>
              <w:color w:val="auto"/>
              <w:highlight w:val="none"/>
            </w:rPr>
            <w:fldChar w:fldCharType="begin"/>
          </w:r>
          <w:r>
            <w:rPr>
              <w:color w:val="auto"/>
              <w:highlight w:val="none"/>
            </w:rPr>
            <w:instrText xml:space="preserve"> PAGEREF _Toc60 \h </w:instrText>
          </w:r>
          <w:r>
            <w:rPr>
              <w:color w:val="auto"/>
              <w:highlight w:val="none"/>
            </w:rPr>
            <w:fldChar w:fldCharType="separate"/>
          </w:r>
          <w:r>
            <w:rPr>
              <w:color w:val="auto"/>
              <w:highlight w:val="none"/>
            </w:rPr>
            <w:t xml:space="preserve">66</w:t>
          </w:r>
          <w:r>
            <w:rPr>
              <w:color w:val="auto"/>
              <w:highlight w:val="none"/>
            </w:rPr>
            <w:fldChar w:fldCharType="end"/>
          </w:r>
          <w:r>
            <w:rPr>
              <w:rFonts w:ascii="宋体" w:hAnsi="宋体" w:eastAsia="宋体" w:cs="宋体"/>
              <w:color w:val="auto"/>
              <w:spacing w:val="7"/>
              <w:szCs w:val="35"/>
              <w:highlight w:val="none"/>
            </w:rPr>
            <w:fldChar w:fldCharType="end"/>
          </w:r>
          <w:r/>
        </w:p>
        <w:p>
          <w:pPr>
            <w:pStyle w:val="1592"/>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_Toc22008 </w:instrText>
          </w:r>
          <w:r>
            <w:rPr>
              <w:rFonts w:ascii="宋体" w:hAnsi="宋体" w:eastAsia="宋体" w:cs="宋体"/>
              <w:color w:val="auto"/>
              <w:spacing w:val="7"/>
              <w:szCs w:val="35"/>
              <w:highlight w:val="none"/>
            </w:rPr>
            <w:fldChar w:fldCharType="separate"/>
          </w:r>
          <w:r>
            <w:rPr>
              <w:rFonts w:hint="eastAsia"/>
              <w:color w:val="auto"/>
              <w:highlight w:val="none"/>
            </w:rPr>
            <w:t xml:space="preserve">四、 其它部分</w:t>
          </w:r>
          <w:r>
            <w:rPr>
              <w:color w:val="auto"/>
              <w:highlight w:val="none"/>
            </w:rPr>
            <w:tab/>
          </w:r>
          <w:r>
            <w:rPr>
              <w:color w:val="auto"/>
              <w:highlight w:val="none"/>
            </w:rPr>
            <w:fldChar w:fldCharType="begin"/>
          </w:r>
          <w:r>
            <w:rPr>
              <w:color w:val="auto"/>
              <w:highlight w:val="none"/>
            </w:rPr>
            <w:instrText xml:space="preserve"> PAGEREF _Toc22008 \h </w:instrText>
          </w:r>
          <w:r>
            <w:rPr>
              <w:color w:val="auto"/>
              <w:highlight w:val="none"/>
            </w:rPr>
            <w:fldChar w:fldCharType="separate"/>
          </w:r>
          <w:r>
            <w:rPr>
              <w:color w:val="auto"/>
              <w:highlight w:val="none"/>
            </w:rPr>
            <w:t xml:space="preserve">67</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_Toc8561 </w:instrText>
          </w:r>
          <w:r>
            <w:rPr>
              <w:rFonts w:ascii="宋体" w:hAnsi="宋体" w:eastAsia="宋体" w:cs="宋体"/>
              <w:color w:val="auto"/>
              <w:spacing w:val="7"/>
              <w:szCs w:val="35"/>
              <w:highlight w:val="none"/>
            </w:rPr>
            <w:fldChar w:fldCharType="separate"/>
          </w:r>
          <w:r>
            <w:rPr>
              <w:rFonts w:hint="eastAsia" w:ascii="Times New Roman" w:hAnsi="Times New Roman" w:eastAsia="宋体" w:cs="Times New Roman"/>
              <w:color w:val="auto"/>
              <w:szCs w:val="28"/>
              <w:highlight w:val="none"/>
            </w:rPr>
            <w:t xml:space="preserve">(一)中小企业声明函</w:t>
          </w:r>
          <w:r>
            <w:rPr>
              <w:color w:val="auto"/>
              <w:highlight w:val="none"/>
            </w:rPr>
            <w:tab/>
          </w:r>
          <w:r>
            <w:rPr>
              <w:color w:val="auto"/>
              <w:highlight w:val="none"/>
            </w:rPr>
            <w:fldChar w:fldCharType="begin"/>
          </w:r>
          <w:r>
            <w:rPr>
              <w:color w:val="auto"/>
              <w:highlight w:val="none"/>
            </w:rPr>
            <w:instrText xml:space="preserve"> PAGEREF _Toc8561 \h </w:instrText>
          </w:r>
          <w:r>
            <w:rPr>
              <w:color w:val="auto"/>
              <w:highlight w:val="none"/>
            </w:rPr>
            <w:fldChar w:fldCharType="separate"/>
          </w:r>
          <w:r>
            <w:rPr>
              <w:color w:val="auto"/>
              <w:highlight w:val="none"/>
            </w:rPr>
            <w:t xml:space="preserve">68</w:t>
          </w:r>
          <w:r>
            <w:rPr>
              <w:color w:val="auto"/>
              <w:highlight w:val="none"/>
            </w:rPr>
            <w:fldChar w:fldCharType="end"/>
          </w:r>
          <w:r>
            <w:rPr>
              <w:rFonts w:ascii="宋体" w:hAnsi="宋体" w:eastAsia="宋体" w:cs="宋体"/>
              <w:color w:val="auto"/>
              <w:spacing w:val="7"/>
              <w:szCs w:val="35"/>
              <w:highlight w:val="none"/>
            </w:rPr>
            <w:fldChar w:fldCharType="end"/>
          </w:r>
          <w:r/>
        </w:p>
        <w:p>
          <w:pPr>
            <w:pStyle w:val="1587"/>
            <w:tabs>
              <w:tab w:val="right" w:pos="8306" w:leader="dot"/>
            </w:tabs>
            <w:rPr>
              <w:color w:val="auto"/>
              <w:highlight w:val="none"/>
            </w:rPr>
          </w:pPr>
          <w:r>
            <w:rPr>
              <w:rFonts w:ascii="宋体" w:hAnsi="宋体" w:eastAsia="宋体" w:cs="宋体"/>
              <w:color w:val="auto"/>
              <w:spacing w:val="7"/>
              <w:szCs w:val="35"/>
              <w:highlight w:val="none"/>
            </w:rPr>
            <w:fldChar w:fldCharType="begin"/>
          </w:r>
          <w:r>
            <w:rPr>
              <w:rFonts w:ascii="宋体" w:hAnsi="宋体" w:eastAsia="宋体" w:cs="宋体"/>
              <w:color w:val="auto"/>
              <w:spacing w:val="7"/>
              <w:szCs w:val="35"/>
              <w:highlight w:val="none"/>
            </w:rPr>
            <w:instrText xml:space="preserve"> HYPERLINK \l _Toc25068 </w:instrText>
          </w:r>
          <w:r>
            <w:rPr>
              <w:rFonts w:ascii="宋体" w:hAnsi="宋体" w:eastAsia="宋体" w:cs="宋体"/>
              <w:color w:val="auto"/>
              <w:spacing w:val="7"/>
              <w:szCs w:val="35"/>
              <w:highlight w:val="none"/>
            </w:rPr>
            <w:fldChar w:fldCharType="separate"/>
          </w:r>
          <w:r>
            <w:rPr>
              <w:rFonts w:hint="eastAsia" w:ascii="Times New Roman" w:hAnsi="Times New Roman" w:eastAsia="宋体" w:cs="Times New Roman"/>
              <w:color w:val="auto"/>
              <w:szCs w:val="28"/>
              <w:highlight w:val="none"/>
            </w:rPr>
            <w:t xml:space="preserve">(二)按磋商文件要求供应商所能提供的其他文件</w:t>
          </w:r>
          <w:r>
            <w:rPr>
              <w:color w:val="auto"/>
              <w:highlight w:val="none"/>
            </w:rPr>
            <w:tab/>
          </w:r>
          <w:r>
            <w:rPr>
              <w:color w:val="auto"/>
              <w:highlight w:val="none"/>
            </w:rPr>
            <w:fldChar w:fldCharType="begin"/>
          </w:r>
          <w:r>
            <w:rPr>
              <w:color w:val="auto"/>
              <w:highlight w:val="none"/>
            </w:rPr>
            <w:instrText xml:space="preserve"> PAGEREF _Toc25068 \h </w:instrText>
          </w:r>
          <w:r>
            <w:rPr>
              <w:color w:val="auto"/>
              <w:highlight w:val="none"/>
            </w:rPr>
            <w:fldChar w:fldCharType="separate"/>
          </w:r>
          <w:r>
            <w:rPr>
              <w:color w:val="auto"/>
              <w:highlight w:val="none"/>
            </w:rPr>
            <w:t xml:space="preserve">69</w:t>
          </w:r>
          <w:r>
            <w:rPr>
              <w:color w:val="auto"/>
              <w:highlight w:val="none"/>
            </w:rPr>
            <w:fldChar w:fldCharType="end"/>
          </w:r>
          <w:r>
            <w:rPr>
              <w:rFonts w:ascii="宋体" w:hAnsi="宋体" w:eastAsia="宋体" w:cs="宋体"/>
              <w:color w:val="auto"/>
              <w:spacing w:val="7"/>
              <w:szCs w:val="35"/>
              <w:highlight w:val="none"/>
            </w:rPr>
            <w:fldChar w:fldCharType="end"/>
          </w:r>
          <w:r/>
        </w:p>
        <w:p>
          <w:pPr>
            <w:pStyle w:val="1583"/>
            <w:jc w:val="center"/>
            <w:rPr>
              <w:rFonts w:ascii="宋体" w:hAnsi="宋体" w:eastAsia="宋体" w:cs="宋体"/>
              <w:color w:val="auto"/>
              <w:spacing w:val="7"/>
              <w:sz w:val="35"/>
              <w:szCs w:val="35"/>
              <w:highlight w:val="none"/>
            </w:rPr>
          </w:pPr>
          <w:r>
            <w:rPr>
              <w:rFonts w:ascii="宋体" w:hAnsi="宋体" w:eastAsia="宋体" w:cs="宋体"/>
              <w:color w:val="auto"/>
              <w:spacing w:val="7"/>
              <w:szCs w:val="35"/>
              <w:highlight w:val="none"/>
            </w:rPr>
            <w:fldChar w:fldCharType="end"/>
          </w:r>
          <w:r/>
        </w:p>
      </w:sdtContent>
    </w:sdt>
    <w:p>
      <w:pPr>
        <w:rPr>
          <w:rFonts w:ascii="宋体" w:hAnsi="宋体" w:eastAsia="宋体" w:cs="宋体"/>
          <w:color w:val="auto"/>
          <w:spacing w:val="7"/>
          <w:sz w:val="35"/>
          <w:szCs w:val="35"/>
          <w:highlight w:val="none"/>
        </w:rPr>
      </w:pPr>
      <w:r>
        <w:rPr>
          <w:rFonts w:ascii="宋体" w:hAnsi="宋体" w:eastAsia="宋体" w:cs="宋体"/>
          <w:color w:val="auto"/>
          <w:spacing w:val="7"/>
          <w:sz w:val="35"/>
          <w:szCs w:val="35"/>
          <w:highlight w:val="none"/>
        </w:rPr>
      </w:r>
      <w:r/>
    </w:p>
    <w:p>
      <w:pPr>
        <w:rPr>
          <w:rFonts w:ascii="宋体" w:hAnsi="宋体" w:eastAsia="宋体" w:cs="宋体"/>
          <w:color w:val="auto"/>
          <w:spacing w:val="7"/>
          <w:sz w:val="35"/>
          <w:szCs w:val="35"/>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color w:val="auto"/>
          <w:spacing w:val="7"/>
          <w:sz w:val="35"/>
          <w:szCs w:val="35"/>
          <w:highlight w:val="none"/>
        </w:rPr>
      </w:r>
      <w:r/>
    </w:p>
    <w:p>
      <w:pPr>
        <w:pStyle w:val="1577"/>
        <w:jc w:val="center"/>
        <w:spacing w:line="360" w:lineRule="auto"/>
        <w:rPr>
          <w:color w:val="auto"/>
          <w:highlight w:val="none"/>
        </w:rPr>
      </w:pPr>
      <w:r/>
      <w:bookmarkStart w:id="0" w:name="_Toc28991"/>
      <w:r>
        <w:rPr>
          <w:rFonts w:hint="eastAsia"/>
          <w:color w:val="auto"/>
          <w:highlight w:val="none"/>
        </w:rPr>
        <w:t xml:space="preserve">第一部分磋商邀请</w:t>
      </w:r>
      <w:bookmarkEnd w:id="0"/>
      <w:r/>
      <w:r/>
    </w:p>
    <w:tbl>
      <w:tblPr>
        <w:tblStyle w:val="1600"/>
        <w:tblW w:w="9634" w:type="dxa"/>
        <w:tblInd w:w="2" w:type="dxa"/>
        <w:tblBorders>
          <w:top w:val="single" w:color="000000" w:sz="2" w:space="0"/>
          <w:left w:val="single" w:color="000000" w:sz="2" w:space="0"/>
          <w:bottom w:val="single" w:color="000000" w:sz="4"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634"/>
      </w:tblGrid>
      <w:tr>
        <w:trPr>
          <w:trHeight w:val="2081"/>
        </w:trPr>
        <w:tc>
          <w:tcPr>
            <w:tcW w:w="9634" w:type="dxa"/>
            <w:textDirection w:val="lrTb"/>
            <w:noWrap w:val="false"/>
          </w:tcPr>
          <w:p>
            <w:pPr>
              <w:ind w:left="624"/>
              <w:spacing w:before="155" w:line="219" w:lineRule="auto"/>
              <w:rPr>
                <w:rFonts w:ascii="宋体" w:hAnsi="宋体" w:eastAsia="宋体" w:cs="宋体"/>
                <w:color w:val="auto"/>
                <w:sz w:val="24"/>
                <w:highlight w:val="none"/>
              </w:rPr>
            </w:pPr>
            <w:r/>
            <w:bookmarkStart w:id="1" w:name="_Hlk142300563"/>
            <w:r>
              <w:rPr>
                <w:rFonts w:ascii="宋体" w:hAnsi="宋体" w:eastAsia="宋体" w:cs="宋体"/>
                <w:color w:val="auto"/>
                <w:spacing w:val="-3"/>
                <w:sz w:val="24"/>
                <w:highlight w:val="none"/>
              </w:rPr>
              <w:t xml:space="preserve">项目概况</w:t>
            </w:r>
            <w:r/>
          </w:p>
          <w:p>
            <w:pPr>
              <w:ind w:left="144" w:right="167" w:firstLine="480"/>
              <w:spacing w:before="183" w:line="362" w:lineRule="auto"/>
              <w:rPr>
                <w:rFonts w:ascii="宋体" w:hAnsi="宋体" w:eastAsia="宋体" w:cs="宋体"/>
                <w:color w:val="auto"/>
                <w:sz w:val="24"/>
                <w:highlight w:val="none"/>
              </w:rPr>
            </w:pPr>
            <w:r>
              <w:rPr>
                <w:rFonts w:hint="eastAsia" w:ascii="宋体" w:hAnsi="宋体" w:eastAsia="宋体" w:cs="宋体"/>
                <w:color w:val="auto"/>
                <w:spacing w:val="2"/>
                <w:sz w:val="24"/>
                <w:highlight w:val="none"/>
                <w:u w:val="single"/>
                <w:lang w:eastAsia="zh-CN"/>
              </w:rPr>
              <w:t xml:space="preserve">镇江市公安局UPS系统升级改造服务项目</w:t>
            </w:r>
            <w:r>
              <w:rPr>
                <w:rFonts w:ascii="宋体" w:hAnsi="宋体" w:eastAsia="宋体" w:cs="宋体"/>
                <w:color w:val="auto"/>
                <w:spacing w:val="2"/>
                <w:sz w:val="24"/>
                <w:highlight w:val="none"/>
              </w:rPr>
              <w:t xml:space="preserve">项目的潜在供应商应</w:t>
            </w:r>
            <w:r>
              <w:rPr>
                <w:rFonts w:ascii="宋体" w:hAnsi="宋体" w:eastAsia="宋体" w:cs="宋体"/>
                <w:color w:val="auto"/>
                <w:spacing w:val="2"/>
                <w:sz w:val="24"/>
                <w:highlight w:val="none"/>
                <w:u w:val="single"/>
              </w:rPr>
              <w:t xml:space="preserve">在</w:t>
            </w:r>
            <w:r>
              <w:rPr>
                <w:rFonts w:hint="eastAsia" w:ascii="宋体" w:hAnsi="宋体"/>
                <w:color w:val="auto"/>
                <w:sz w:val="24"/>
                <w:szCs w:val="28"/>
                <w:highlight w:val="none"/>
                <w:u w:val="single"/>
              </w:rPr>
              <w:t xml:space="preserve">苏采云（政府采购一体化平台）http://jszfcg.jscz.gov.cn/jszc/login</w:t>
            </w:r>
            <w:r>
              <w:rPr>
                <w:rFonts w:ascii="宋体" w:hAnsi="宋体" w:eastAsia="宋体" w:cs="宋体"/>
                <w:color w:val="auto"/>
                <w:spacing w:val="-1"/>
                <w:sz w:val="24"/>
                <w:highlight w:val="none"/>
              </w:rPr>
              <w:t xml:space="preserve">获取磋商文</w:t>
            </w:r>
            <w:r>
              <w:rPr>
                <w:rFonts w:ascii="宋体" w:hAnsi="宋体" w:eastAsia="宋体" w:cs="宋体"/>
                <w:color w:val="auto"/>
                <w:spacing w:val="3"/>
                <w:sz w:val="24"/>
                <w:highlight w:val="none"/>
              </w:rPr>
              <w:t xml:space="preserve">件，并于</w:t>
            </w:r>
            <w:r>
              <w:rPr>
                <w:rFonts w:hint="eastAsia" w:ascii="宋体" w:hAnsi="宋体" w:eastAsia="宋体" w:cs="宋体"/>
                <w:color w:val="auto"/>
                <w:spacing w:val="3"/>
                <w:sz w:val="24"/>
                <w:highlight w:val="none"/>
                <w:lang w:val="en-US" w:eastAsia="zh-CN"/>
              </w:rPr>
              <w:t xml:space="preserve">2025年12月25日</w:t>
            </w:r>
            <w:r>
              <w:rPr>
                <w:rFonts w:ascii="Times New Roman" w:hAnsi="Times New Roman" w:eastAsia="Times New Roman" w:cs="Times New Roman"/>
                <w:color w:val="auto"/>
                <w:spacing w:val="3"/>
                <w:sz w:val="24"/>
                <w:highlight w:val="none"/>
              </w:rPr>
              <w:t xml:space="preserve">09:30</w:t>
            </w:r>
            <w:r>
              <w:rPr>
                <w:rFonts w:ascii="宋体" w:hAnsi="宋体" w:eastAsia="宋体" w:cs="宋体"/>
                <w:color w:val="auto"/>
                <w:spacing w:val="3"/>
                <w:sz w:val="24"/>
                <w:highlight w:val="none"/>
              </w:rPr>
              <w:t xml:space="preserve">(北京时间)前递交</w:t>
            </w:r>
            <w:r>
              <w:rPr>
                <w:rFonts w:ascii="宋体" w:hAnsi="宋体" w:eastAsia="宋体" w:cs="宋体"/>
                <w:color w:val="auto"/>
                <w:spacing w:val="2"/>
                <w:sz w:val="24"/>
                <w:highlight w:val="none"/>
              </w:rPr>
              <w:t xml:space="preserve">响应文件。</w:t>
            </w:r>
            <w:r/>
          </w:p>
        </w:tc>
      </w:tr>
    </w:tbl>
    <w:p>
      <w:pPr>
        <w:rPr>
          <w:color w:val="auto"/>
          <w:highlight w:val="none"/>
        </w:rPr>
      </w:pPr>
      <w:r>
        <w:rPr>
          <w:color w:val="auto"/>
          <w:highlight w:val="none"/>
        </w:rPr>
      </w:r>
      <w:r/>
    </w:p>
    <w:p>
      <w:pPr>
        <w:pStyle w:val="1578"/>
        <w:jc w:val="left"/>
        <w:spacing w:line="360" w:lineRule="auto"/>
        <w:rPr>
          <w:color w:val="auto"/>
          <w:highlight w:val="none"/>
        </w:rPr>
      </w:pPr>
      <w:r/>
      <w:bookmarkStart w:id="2" w:name="_Toc174"/>
      <w:r>
        <w:rPr>
          <w:color w:val="auto"/>
          <w:highlight w:val="none"/>
        </w:rPr>
        <w:t xml:space="preserve">一、项目基本情况</w:t>
      </w:r>
      <w:bookmarkEnd w:id="2"/>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rPr>
        <w:t xml:space="preserve">项目编号：</w:t>
      </w:r>
      <w:r>
        <w:rPr>
          <w:rFonts w:hint="eastAsia" w:ascii="Times New Roman" w:hAnsi="Times New Roman" w:eastAsia="宋体" w:cs="Times New Roman"/>
          <w:color w:val="auto"/>
          <w:sz w:val="24"/>
          <w:highlight w:val="none"/>
          <w:lang w:eastAsia="zh-CN"/>
        </w:rPr>
        <w:t xml:space="preserve">JSZC-321100-ZCJS-C2025-0002</w:t>
      </w:r>
      <w:r/>
    </w:p>
    <w:p>
      <w:pPr>
        <w:ind w:firstLine="480"/>
        <w:spacing w:line="360" w:lineRule="auto"/>
        <w:rPr>
          <w:rFonts w:hint="eastAsia" w:ascii="Times New Roman" w:hAnsi="Times New Roman" w:eastAsia="宋体" w:cs="Times New Roman"/>
          <w:color w:val="auto"/>
          <w:sz w:val="24"/>
          <w:highlight w:val="none"/>
          <w:lang w:eastAsia="zh-CN"/>
        </w:rPr>
      </w:pPr>
      <w:r>
        <w:rPr>
          <w:rFonts w:ascii="Times New Roman" w:hAnsi="Times New Roman" w:eastAsia="宋体" w:cs="Times New Roman"/>
          <w:color w:val="auto"/>
          <w:sz w:val="24"/>
          <w:highlight w:val="none"/>
        </w:rPr>
        <w:t xml:space="preserve">项目名称：</w:t>
      </w:r>
      <w:r>
        <w:rPr>
          <w:rFonts w:hint="eastAsia" w:ascii="Times New Roman" w:hAnsi="Times New Roman" w:eastAsia="宋体" w:cs="Times New Roman"/>
          <w:color w:val="auto"/>
          <w:sz w:val="24"/>
          <w:highlight w:val="none"/>
          <w:lang w:eastAsia="zh-CN"/>
        </w:rPr>
        <w:t xml:space="preserve">镇江市公安局UPS系统升级改造服务项目</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预算金额：</w:t>
      </w:r>
      <w:r>
        <w:rPr>
          <w:rFonts w:hint="eastAsia" w:ascii="Times New Roman" w:hAnsi="Times New Roman" w:eastAsia="宋体" w:cs="Times New Roman"/>
          <w:color w:val="auto"/>
          <w:sz w:val="24"/>
          <w:highlight w:val="none"/>
          <w:lang w:val="en-US" w:eastAsia="zh-CN"/>
        </w:rPr>
        <w:t xml:space="preserve">50.00万</w:t>
      </w:r>
      <w:r>
        <w:rPr>
          <w:rFonts w:ascii="Times New Roman" w:hAnsi="Times New Roman" w:eastAsia="宋体" w:cs="Times New Roman"/>
          <w:color w:val="auto"/>
          <w:sz w:val="24"/>
          <w:highlight w:val="none"/>
        </w:rPr>
        <w:t xml:space="preserve">元</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最高限价：</w:t>
      </w:r>
      <w:r>
        <w:rPr>
          <w:rFonts w:hint="eastAsia" w:ascii="Times New Roman" w:hAnsi="Times New Roman" w:eastAsia="宋体" w:cs="Times New Roman"/>
          <w:color w:val="auto"/>
          <w:sz w:val="24"/>
          <w:highlight w:val="none"/>
          <w:lang w:val="en-US" w:eastAsia="zh-CN"/>
        </w:rPr>
        <w:t xml:space="preserve">50.00万</w:t>
      </w:r>
      <w:r>
        <w:rPr>
          <w:rFonts w:ascii="Times New Roman" w:hAnsi="Times New Roman" w:eastAsia="宋体" w:cs="Times New Roman"/>
          <w:color w:val="auto"/>
          <w:sz w:val="24"/>
          <w:highlight w:val="none"/>
        </w:rPr>
        <w:t xml:space="preserve">元</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采购需求：</w:t>
      </w:r>
      <w:r>
        <w:rPr>
          <w:rFonts w:ascii="Times New Roman" w:hAnsi="Times New Roman" w:eastAsia="宋体" w:cs="Times New Roman"/>
          <w:color w:val="auto"/>
          <w:sz w:val="24"/>
          <w:highlight w:val="none"/>
        </w:rPr>
        <w:t xml:space="preserve">详细内容及要求见</w:t>
      </w:r>
      <w:r>
        <w:rPr>
          <w:rFonts w:hint="eastAsia" w:ascii="Times New Roman" w:hAnsi="Times New Roman" w:eastAsia="宋体" w:cs="Times New Roman"/>
          <w:color w:val="auto"/>
          <w:sz w:val="24"/>
          <w:highlight w:val="none"/>
          <w:lang w:val="en-US" w:eastAsia="zh-CN"/>
        </w:rPr>
        <w:t xml:space="preserve">第四部分</w:t>
      </w:r>
      <w:r>
        <w:rPr>
          <w:rFonts w:ascii="Times New Roman" w:hAnsi="Times New Roman" w:eastAsia="宋体" w:cs="Times New Roman"/>
          <w:color w:val="auto"/>
          <w:sz w:val="24"/>
          <w:highlight w:val="none"/>
        </w:rPr>
        <w:t xml:space="preserve">采购需求。</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合同履行期限：</w:t>
      </w:r>
      <w:r>
        <w:rPr>
          <w:rFonts w:hint="eastAsia" w:ascii="Times New Roman" w:hAnsi="Times New Roman" w:eastAsia="宋体" w:cs="Times New Roman"/>
          <w:color w:val="auto"/>
          <w:sz w:val="24"/>
          <w:highlight w:val="none"/>
          <w:lang w:eastAsia="zh-CN"/>
        </w:rPr>
        <w:t xml:space="preserve">合同签订后60个日历天内完成全部设备供货、安装、调试等工作。</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本项目是否接受联合体：</w:t>
      </w:r>
      <w:r>
        <w:rPr>
          <w:rFonts w:ascii="Times New Roman" w:hAnsi="Times New Roman" w:eastAsia="宋体" w:cs="Times New Roman"/>
          <w:color w:val="auto"/>
          <w:sz w:val="24"/>
          <w:highlight w:val="none"/>
        </w:rPr>
        <w:t xml:space="preserve">不接受</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本项目供应商邀请方式：</w:t>
      </w:r>
      <w:r>
        <w:rPr>
          <w:rFonts w:ascii="Times New Roman" w:hAnsi="Times New Roman" w:eastAsia="宋体" w:cs="Times New Roman"/>
          <w:color w:val="auto"/>
          <w:sz w:val="24"/>
          <w:highlight w:val="none"/>
        </w:rPr>
        <w:t xml:space="preserve">发布公告</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本次采购确定的成交供应商数量：1名</w:t>
      </w:r>
      <w:r/>
    </w:p>
    <w:p>
      <w:pPr>
        <w:pStyle w:val="1578"/>
        <w:jc w:val="left"/>
        <w:spacing w:line="360" w:lineRule="auto"/>
        <w:rPr>
          <w:color w:val="auto"/>
          <w:highlight w:val="none"/>
        </w:rPr>
      </w:pPr>
      <w:r/>
      <w:bookmarkStart w:id="3" w:name="_Toc4923"/>
      <w:r>
        <w:rPr>
          <w:rFonts w:hint="eastAsia"/>
          <w:color w:val="auto"/>
          <w:highlight w:val="none"/>
        </w:rPr>
        <w:t xml:space="preserve">二</w:t>
      </w:r>
      <w:r>
        <w:rPr>
          <w:color w:val="auto"/>
          <w:highlight w:val="none"/>
        </w:rPr>
        <w:t xml:space="preserve">、申请人的资格要求：</w:t>
      </w:r>
      <w:bookmarkEnd w:id="3"/>
      <w:r/>
      <w:r/>
    </w:p>
    <w:p>
      <w:pPr>
        <w:spacing w:line="360" w:lineRule="auto"/>
        <w:rPr>
          <w:rFonts w:ascii="宋体" w:hAnsi="宋体" w:eastAsia="宋体" w:cs="宋体"/>
          <w:color w:val="auto"/>
          <w:spacing w:val="-14"/>
          <w:sz w:val="24"/>
          <w:highlight w:val="none"/>
        </w:rPr>
      </w:pPr>
      <w:r>
        <w:rPr>
          <w:rFonts w:ascii="宋体" w:hAnsi="宋体" w:eastAsia="宋体" w:cs="宋体"/>
          <w:color w:val="auto"/>
          <w:spacing w:val="-14"/>
          <w:sz w:val="24"/>
          <w:highlight w:val="none"/>
        </w:rPr>
      </w:r>
      <w:r/>
    </w:p>
    <w:p>
      <w:pPr>
        <w:ind w:firstLine="424"/>
        <w:spacing w:line="360" w:lineRule="auto"/>
        <w:rPr>
          <w:rFonts w:ascii="宋体" w:hAnsi="宋体" w:eastAsia="宋体" w:cs="宋体"/>
          <w:color w:val="auto"/>
          <w:spacing w:val="-14"/>
          <w:sz w:val="24"/>
          <w:highlight w:val="none"/>
        </w:rPr>
        <w:outlineLvl w:val="2"/>
      </w:pPr>
      <w:r/>
      <w:bookmarkStart w:id="4" w:name="_Toc13625"/>
      <w:r>
        <w:rPr>
          <w:rFonts w:ascii="宋体" w:hAnsi="宋体" w:eastAsia="宋体" w:cs="宋体"/>
          <w:color w:val="auto"/>
          <w:spacing w:val="-14"/>
          <w:sz w:val="24"/>
          <w:highlight w:val="none"/>
        </w:rPr>
        <w:t xml:space="preserve">1.满足《中华人民共和国政府采购法》第二十二条规定；</w:t>
      </w:r>
      <w:bookmarkEnd w:id="4"/>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1、具有独立承担民事责任的能力(提供法人或者其他组织的营业执照等证明文件，自然人的身份证明);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2、具有良好的商业信誉和健全的财务会计制度(提供202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年度财务报告(成立不满一年的提供至少一个月)，或银行出具的资信证明，或财政部门认可的政府采购专业担保机构出具的谈判担保函等，或提供资格承诺函);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3、具备履行合同所必需的设备和专业技术能力(提供资格承诺函);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4、有依法缴纳税收和职工社会保障资金的良好记录(提供参加本次政府采购活动前半年内(至少一个月) 依法缴纳税收和社会保障资金的相关材料,或提供资格承诺函);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5、参加政府采购活动前3年内在经营活动中没有重大违法记录(提供资格承诺函);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6、法律、行政法规规定的其他条件(信用记录查询证明)。</w:t>
      </w:r>
      <w:r/>
    </w:p>
    <w:p>
      <w:pPr>
        <w:ind w:firstLine="424"/>
        <w:spacing w:line="360" w:lineRule="auto"/>
        <w:rPr>
          <w:rFonts w:ascii="宋体" w:hAnsi="宋体" w:eastAsia="宋体" w:cs="宋体"/>
          <w:color w:val="auto"/>
          <w:spacing w:val="-14"/>
          <w:sz w:val="24"/>
          <w:highlight w:val="none"/>
        </w:rPr>
        <w:outlineLvl w:val="2"/>
      </w:pPr>
      <w:r/>
      <w:bookmarkStart w:id="5" w:name="_Toc11713"/>
      <w:r>
        <w:rPr>
          <w:rFonts w:hint="eastAsia" w:ascii="宋体" w:hAnsi="宋体" w:eastAsia="宋体" w:cs="宋体"/>
          <w:color w:val="auto"/>
          <w:spacing w:val="-14"/>
          <w:sz w:val="24"/>
          <w:highlight w:val="none"/>
        </w:rPr>
        <w:t xml:space="preserve">2.落实政府采购政策需满足的资格要求：</w:t>
      </w:r>
      <w:bookmarkEnd w:id="5"/>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属于服务类采购。根据财政部、工业和信息化部关于印发《政府采购促进中小企业发展管理办法》的通知及苏财购【2022】45号的相关规定，本项目专门面向中小微企业采购。中小企业划分标准见《工业和信息化部、国家统计局、国家发展和改革委员会、财政部关于印发中小企业划型标准规定的通知》(工信部联企业[2011]300号)(所属行业:</w:t>
      </w:r>
      <w:r>
        <w:rPr>
          <w:rFonts w:hint="eastAsia" w:ascii="宋体" w:hAnsi="宋体" w:eastAsia="宋体" w:cs="宋体"/>
          <w:color w:val="auto"/>
          <w:sz w:val="24"/>
          <w:highlight w:val="none"/>
          <w:lang w:eastAsia="zh-CN"/>
        </w:rPr>
        <w:t xml:space="preserve">其他未列明行业</w:t>
      </w:r>
      <w:r>
        <w:rPr>
          <w:rFonts w:hint="eastAsia" w:ascii="宋体" w:hAnsi="宋体" w:eastAsia="宋体" w:cs="宋体"/>
          <w:color w:val="auto"/>
          <w:sz w:val="24"/>
          <w:highlight w:val="none"/>
        </w:rPr>
        <w:t xml:space="preserve">)</w:t>
      </w:r>
      <w:r/>
    </w:p>
    <w:p>
      <w:pPr>
        <w:ind w:firstLine="424"/>
        <w:spacing w:line="360" w:lineRule="auto"/>
        <w:rPr>
          <w:rFonts w:ascii="宋体" w:hAnsi="宋体" w:eastAsia="宋体" w:cs="宋体"/>
          <w:color w:val="auto"/>
          <w:sz w:val="24"/>
          <w:highlight w:val="none"/>
        </w:rPr>
        <w:outlineLvl w:val="2"/>
      </w:pPr>
      <w:r/>
      <w:bookmarkStart w:id="6" w:name="_Toc9806"/>
      <w:r>
        <w:rPr>
          <w:rFonts w:hint="eastAsia" w:ascii="宋体" w:hAnsi="宋体" w:eastAsia="宋体" w:cs="宋体"/>
          <w:color w:val="auto"/>
          <w:spacing w:val="-14"/>
          <w:sz w:val="24"/>
          <w:highlight w:val="none"/>
        </w:rPr>
        <w:t xml:space="preserve">3.本项目的特定资格要求：无</w:t>
      </w:r>
      <w:bookmarkEnd w:id="6"/>
      <w:r/>
      <w:r/>
    </w:p>
    <w:p>
      <w:pPr>
        <w:pStyle w:val="1578"/>
        <w:jc w:val="left"/>
        <w:spacing w:line="360" w:lineRule="auto"/>
        <w:rPr>
          <w:color w:val="auto"/>
          <w:highlight w:val="none"/>
        </w:rPr>
      </w:pPr>
      <w:r/>
      <w:bookmarkStart w:id="7" w:name="_Toc23848"/>
      <w:r>
        <w:rPr>
          <w:color w:val="auto"/>
          <w:highlight w:val="none"/>
        </w:rPr>
        <w:t xml:space="preserve">三、获取磋商文件</w:t>
      </w:r>
      <w:r>
        <w:rPr>
          <w:rFonts w:hint="eastAsia"/>
          <w:color w:val="auto"/>
          <w:highlight w:val="none"/>
        </w:rPr>
        <w:t xml:space="preserve">：本项目采用网上注册登记方式</w:t>
      </w:r>
      <w:bookmarkEnd w:id="7"/>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获取时间：</w:t>
      </w:r>
      <w:r>
        <w:rPr>
          <w:rFonts w:hint="eastAsia" w:ascii="宋体" w:hAnsi="宋体"/>
          <w:color w:val="auto"/>
          <w:sz w:val="24"/>
          <w:szCs w:val="28"/>
          <w:highlight w:val="none"/>
        </w:rPr>
        <w:t xml:space="preserve">公告之时起至</w:t>
      </w:r>
      <w:bookmarkStart w:id="8" w:name="EB5b76785362f44756aa7e3ae9a42cd84a"/>
      <w:r>
        <w:rPr>
          <w:rFonts w:hint="eastAsia" w:ascii="宋体" w:hAnsi="宋体"/>
          <w:color w:val="auto"/>
          <w:sz w:val="24"/>
          <w:szCs w:val="28"/>
          <w:highlight w:val="none"/>
        </w:rPr>
        <w:t xml:space="preserve">202</w:t>
      </w:r>
      <w:r>
        <w:rPr>
          <w:rFonts w:hint="eastAsia" w:ascii="宋体" w:hAnsi="宋体"/>
          <w:color w:val="auto"/>
          <w:sz w:val="24"/>
          <w:szCs w:val="28"/>
          <w:highlight w:val="none"/>
          <w:lang w:val="en-US" w:eastAsia="zh-CN"/>
        </w:rPr>
        <w:t xml:space="preserve">5</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12</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19 23</w:t>
      </w:r>
      <w:r>
        <w:rPr>
          <w:rFonts w:hint="eastAsia" w:ascii="宋体" w:hAnsi="宋体"/>
          <w:color w:val="auto"/>
          <w:sz w:val="24"/>
          <w:szCs w:val="28"/>
          <w:highlight w:val="none"/>
        </w:rPr>
        <w:t xml:space="preserve">:</w:t>
      </w:r>
      <w:bookmarkEnd w:id="8"/>
      <w:r>
        <w:rPr>
          <w:rFonts w:hint="eastAsia" w:ascii="宋体" w:hAnsi="宋体"/>
          <w:color w:val="auto"/>
          <w:sz w:val="24"/>
          <w:szCs w:val="28"/>
          <w:highlight w:val="none"/>
          <w:lang w:val="en-US" w:eastAsia="zh-CN"/>
        </w:rPr>
        <w:t xml:space="preserve">59</w:t>
      </w:r>
      <w:r>
        <w:rPr>
          <w:rFonts w:hint="eastAsia" w:ascii="宋体" w:hAnsi="宋体"/>
          <w:color w:val="auto"/>
          <w:sz w:val="24"/>
          <w:szCs w:val="28"/>
          <w:highlight w:val="none"/>
        </w:rPr>
        <w:t xml:space="preserve">（北京时间）</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获取方式：</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（1）登录http://jszfcg.jscz.gov.cn/jszc/login首页点击“苏采云”进入系统。</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（2）获取磋商文件的方式：</w:t>
      </w:r>
      <w:r/>
    </w:p>
    <w:p>
      <w:pPr>
        <w:ind w:firstLine="480"/>
        <w:spacing w:line="360" w:lineRule="auto"/>
        <w:rPr>
          <w:rFonts w:ascii="宋体" w:hAnsi="宋体" w:cs="Times New Roman"/>
          <w:color w:val="auto"/>
          <w:sz w:val="24"/>
          <w:szCs w:val="28"/>
          <w:highlight w:val="none"/>
        </w:rPr>
      </w:pPr>
      <w:r>
        <w:rPr>
          <w:rFonts w:hint="eastAsia" w:ascii="宋体" w:hAnsi="宋体"/>
          <w:color w:val="auto"/>
          <w:sz w:val="24"/>
          <w:szCs w:val="28"/>
          <w:highlight w:val="none"/>
        </w:rPr>
        <w:t xml:space="preserve">“苏采云”系统用户注册--获取“CA数字证书”--CA绑定与登录--网上报名--下载磋商文件(后缀名为.kedt”)。</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采购文件售价：</w:t>
      </w:r>
      <w:bookmarkStart w:id="9" w:name="EB263751bfbe2d462f84f54b87d73fe0c3"/>
      <w:r>
        <w:rPr>
          <w:rFonts w:hint="eastAsia" w:ascii="宋体" w:hAnsi="宋体"/>
          <w:color w:val="auto"/>
          <w:sz w:val="24"/>
          <w:szCs w:val="28"/>
          <w:highlight w:val="none"/>
        </w:rPr>
        <w:t xml:space="preserve">免费</w:t>
      </w:r>
      <w:bookmarkEnd w:id="9"/>
      <w:r/>
      <w:r/>
    </w:p>
    <w:p>
      <w:pPr>
        <w:ind w:firstLine="480"/>
        <w:spacing w:line="360" w:lineRule="auto"/>
        <w:rPr>
          <w:rFonts w:ascii="宋体" w:hAnsi="宋体" w:eastAsia="宋体" w:cs="宋体"/>
          <w:color w:val="auto"/>
          <w:sz w:val="24"/>
          <w:highlight w:val="none"/>
        </w:rPr>
      </w:pPr>
      <w:r>
        <w:rPr>
          <w:rFonts w:hint="eastAsia" w:ascii="宋体" w:hAnsi="宋体" w:cs="Times New Roman"/>
          <w:color w:val="auto"/>
          <w:sz w:val="24"/>
          <w:szCs w:val="28"/>
          <w:highlight w:val="none"/>
        </w:rPr>
        <w:t xml:space="preserve">采购代理机构将数据电文形式的磋商文件加载至电子招标投标交易平台，供潜在供应商下载或者查阅，</w:t>
      </w:r>
      <w:r>
        <w:rPr>
          <w:rFonts w:hint="eastAsia" w:ascii="宋体" w:hAnsi="宋体" w:cs="Times New Roman"/>
          <w:b/>
          <w:bCs/>
          <w:color w:val="auto"/>
          <w:sz w:val="24"/>
          <w:szCs w:val="28"/>
          <w:highlight w:val="none"/>
        </w:rPr>
        <w:t xml:space="preserve">各投标人应在规定的时间内完成磋商文件的下载，逾期可能会造成磋商文件无法下载以及磋商响应文件无法上传的情形，由此导致的后果由各投标人自行承担。</w:t>
      </w:r>
      <w:r/>
    </w:p>
    <w:p>
      <w:pPr>
        <w:pStyle w:val="1578"/>
        <w:jc w:val="left"/>
        <w:spacing w:line="360" w:lineRule="auto"/>
        <w:rPr>
          <w:color w:val="auto"/>
          <w:highlight w:val="none"/>
        </w:rPr>
      </w:pPr>
      <w:r/>
      <w:bookmarkStart w:id="10" w:name="_Toc16968"/>
      <w:r>
        <w:rPr>
          <w:color w:val="auto"/>
          <w:highlight w:val="none"/>
        </w:rPr>
        <w:t xml:space="preserve">四、</w:t>
      </w:r>
      <w:r>
        <w:rPr>
          <w:rFonts w:hint="eastAsia"/>
          <w:color w:val="auto"/>
          <w:highlight w:val="none"/>
        </w:rPr>
        <w:t xml:space="preserve">提交磋商响应文件截止时间、开标时间和地点</w:t>
      </w:r>
      <w:bookmarkEnd w:id="10"/>
      <w:r/>
      <w:r/>
    </w:p>
    <w:p>
      <w:pPr>
        <w:spacing w:line="360" w:lineRule="auto"/>
        <w:rPr>
          <w:rFonts w:ascii="宋体" w:hAnsi="宋体" w:eastAsia="宋体" w:cs="宋体"/>
          <w:color w:val="auto"/>
          <w:spacing w:val="-14"/>
          <w:sz w:val="24"/>
          <w:highlight w:val="none"/>
        </w:rPr>
      </w:pPr>
      <w:r>
        <w:rPr>
          <w:rFonts w:ascii="宋体" w:hAnsi="宋体" w:eastAsia="宋体" w:cs="宋体"/>
          <w:color w:val="auto"/>
          <w:spacing w:val="-14"/>
          <w:sz w:val="24"/>
          <w:highlight w:val="none"/>
        </w:rPr>
      </w:r>
      <w:r/>
    </w:p>
    <w:p>
      <w:pPr>
        <w:ind w:firstLine="482"/>
        <w:spacing w:line="360" w:lineRule="auto"/>
        <w:rPr>
          <w:rFonts w:ascii="宋体" w:hAnsi="宋体"/>
          <w:bCs/>
          <w:color w:val="auto"/>
          <w:sz w:val="24"/>
          <w:szCs w:val="28"/>
          <w:highlight w:val="none"/>
        </w:rPr>
      </w:pPr>
      <w:r>
        <w:rPr>
          <w:rFonts w:hint="eastAsia" w:ascii="宋体" w:hAnsi="宋体"/>
          <w:b/>
          <w:color w:val="auto"/>
          <w:sz w:val="24"/>
          <w:szCs w:val="28"/>
          <w:highlight w:val="none"/>
        </w:rPr>
        <w:t xml:space="preserve">提交截止时间及开标时间</w:t>
      </w:r>
      <w:r>
        <w:rPr>
          <w:rFonts w:hint="eastAsia" w:ascii="宋体" w:hAnsi="宋体"/>
          <w:bCs/>
          <w:color w:val="auto"/>
          <w:sz w:val="24"/>
          <w:szCs w:val="28"/>
          <w:highlight w:val="none"/>
        </w:rPr>
        <w:t xml:space="preserve">：</w:t>
      </w:r>
      <w:bookmarkStart w:id="11" w:name="EB428f87493181411b9a39d0ec7414e136"/>
      <w:r>
        <w:rPr>
          <w:rFonts w:hint="eastAsia" w:ascii="宋体" w:hAnsi="宋体"/>
          <w:bCs/>
          <w:color w:val="auto"/>
          <w:sz w:val="24"/>
          <w:szCs w:val="28"/>
          <w:highlight w:val="none"/>
        </w:rPr>
        <w:t xml:space="preserve">202</w:t>
      </w:r>
      <w:r>
        <w:rPr>
          <w:rFonts w:hint="eastAsia" w:ascii="宋体" w:hAnsi="宋体"/>
          <w:bCs/>
          <w:color w:val="auto"/>
          <w:sz w:val="24"/>
          <w:szCs w:val="28"/>
          <w:highlight w:val="none"/>
          <w:lang w:val="en-US" w:eastAsia="zh-CN"/>
        </w:rPr>
        <w:t xml:space="preserve">5</w:t>
      </w:r>
      <w:r>
        <w:rPr>
          <w:rFonts w:hint="eastAsia" w:ascii="宋体" w:hAnsi="宋体"/>
          <w:bCs/>
          <w:color w:val="auto"/>
          <w:sz w:val="24"/>
          <w:szCs w:val="28"/>
          <w:highlight w:val="none"/>
        </w:rPr>
        <w:t xml:space="preserve">-</w:t>
      </w:r>
      <w:r>
        <w:rPr>
          <w:rFonts w:hint="eastAsia" w:ascii="宋体" w:hAnsi="宋体"/>
          <w:bCs/>
          <w:color w:val="auto"/>
          <w:sz w:val="24"/>
          <w:szCs w:val="28"/>
          <w:highlight w:val="none"/>
          <w:lang w:val="en-US" w:eastAsia="zh-CN"/>
        </w:rPr>
        <w:t xml:space="preserve">12</w:t>
      </w:r>
      <w:r>
        <w:rPr>
          <w:rFonts w:hint="eastAsia" w:ascii="宋体" w:hAnsi="宋体"/>
          <w:bCs/>
          <w:color w:val="auto"/>
          <w:sz w:val="24"/>
          <w:szCs w:val="28"/>
          <w:highlight w:val="none"/>
        </w:rPr>
        <w:t xml:space="preserve">-</w:t>
      </w:r>
      <w:r>
        <w:rPr>
          <w:rFonts w:hint="eastAsia" w:ascii="宋体" w:hAnsi="宋体"/>
          <w:bCs/>
          <w:color w:val="auto"/>
          <w:sz w:val="24"/>
          <w:szCs w:val="28"/>
          <w:highlight w:val="none"/>
          <w:lang w:val="en-US" w:eastAsia="zh-CN"/>
        </w:rPr>
        <w:t xml:space="preserve">25 </w:t>
      </w:r>
      <w:r>
        <w:rPr>
          <w:rFonts w:hint="eastAsia" w:ascii="宋体" w:hAnsi="宋体"/>
          <w:bCs/>
          <w:color w:val="auto"/>
          <w:sz w:val="24"/>
          <w:szCs w:val="28"/>
          <w:highlight w:val="none"/>
        </w:rPr>
        <w:t xml:space="preserve">09:30</w:t>
      </w:r>
      <w:bookmarkEnd w:id="11"/>
      <w:r>
        <w:rPr>
          <w:rFonts w:hint="eastAsia" w:ascii="宋体" w:hAnsi="宋体"/>
          <w:bCs/>
          <w:color w:val="auto"/>
          <w:sz w:val="24"/>
          <w:szCs w:val="28"/>
          <w:highlight w:val="none"/>
        </w:rPr>
        <w:t xml:space="preserve">（北京时间）</w:t>
      </w:r>
      <w:r>
        <w:rPr>
          <w:rFonts w:hint="eastAsia" w:ascii="宋体" w:hAnsi="宋体"/>
          <w:bCs/>
          <w:color w:val="auto"/>
          <w:sz w:val="24"/>
          <w:szCs w:val="28"/>
          <w:highlight w:val="none"/>
        </w:rPr>
        <w:t xml:space="preserve">，在截止时间后送达及上传至“苏采云”系统的磋商响应文件为无效文件，将被拒收。</w:t>
      </w:r>
      <w:r/>
    </w:p>
    <w:p>
      <w:pPr>
        <w:ind w:firstLine="482"/>
        <w:spacing w:line="360" w:lineRule="auto"/>
        <w:rPr>
          <w:rFonts w:ascii="宋体" w:hAnsi="宋体" w:cs="Times New Roman"/>
          <w:bCs/>
          <w:color w:val="auto"/>
          <w:sz w:val="24"/>
          <w:szCs w:val="28"/>
          <w:highlight w:val="none"/>
        </w:rPr>
      </w:pPr>
      <w:r>
        <w:rPr>
          <w:rFonts w:hint="eastAsia" w:ascii="宋体" w:hAnsi="宋体" w:cs="Times New Roman"/>
          <w:b/>
          <w:color w:val="auto"/>
          <w:sz w:val="24"/>
          <w:szCs w:val="28"/>
          <w:highlight w:val="none"/>
        </w:rPr>
        <w:t xml:space="preserve">提交首次磋商响应文件地点</w:t>
      </w:r>
      <w:r>
        <w:rPr>
          <w:rFonts w:hint="eastAsia" w:ascii="宋体" w:hAnsi="宋体" w:cs="Times New Roman"/>
          <w:bCs/>
          <w:color w:val="auto"/>
          <w:sz w:val="24"/>
          <w:szCs w:val="28"/>
          <w:highlight w:val="none"/>
        </w:rPr>
        <w:t xml:space="preserve">：</w:t>
      </w:r>
      <w:r/>
    </w:p>
    <w:p>
      <w:pPr>
        <w:ind w:firstLine="480"/>
        <w:spacing w:line="360" w:lineRule="auto"/>
        <w:rPr>
          <w:rFonts w:ascii="宋体" w:hAnsi="宋体" w:cs="Times New Roman"/>
          <w:bCs/>
          <w:color w:val="auto"/>
          <w:sz w:val="24"/>
          <w:szCs w:val="28"/>
          <w:highlight w:val="none"/>
        </w:rPr>
      </w:pPr>
      <w:r>
        <w:rPr>
          <w:rFonts w:hint="eastAsia" w:ascii="宋体" w:hAnsi="宋体" w:cs="Times New Roman"/>
          <w:bCs/>
          <w:color w:val="auto"/>
          <w:sz w:val="24"/>
          <w:szCs w:val="28"/>
          <w:highlight w:val="none"/>
        </w:rPr>
        <w:t xml:space="preserve">线上地点：将后缀名为“.kedt”的磋商响应文件导入政府采购客户端工具--制作磋商响应文件--导出加密的磋商响应文件(后缀名为zip)--通过“苏采云”系统上传磋商响应文件。具体详见《江苏省政府采购管理交易系统(苏采云)供应商操作指南》。</w:t>
      </w:r>
      <w:r/>
    </w:p>
    <w:p>
      <w:pPr>
        <w:ind w:firstLine="482"/>
        <w:spacing w:line="360" w:lineRule="auto"/>
        <w:rPr>
          <w:rFonts w:ascii="宋体" w:hAnsi="宋体" w:cs="宋体"/>
          <w:color w:val="auto"/>
          <w:sz w:val="24"/>
          <w:highlight w:val="none"/>
        </w:rPr>
      </w:pPr>
      <w:r>
        <w:rPr>
          <w:rFonts w:hint="eastAsia" w:ascii="宋体" w:hAnsi="宋体"/>
          <w:b/>
          <w:bCs/>
          <w:color w:val="auto"/>
          <w:sz w:val="24"/>
          <w:szCs w:val="28"/>
          <w:highlight w:val="none"/>
        </w:rPr>
        <w:t xml:space="preserve">开标地点</w:t>
      </w:r>
      <w:r>
        <w:rPr>
          <w:rFonts w:hint="eastAsia" w:ascii="宋体" w:hAnsi="宋体"/>
          <w:color w:val="auto"/>
          <w:sz w:val="24"/>
          <w:szCs w:val="28"/>
          <w:highlight w:val="none"/>
        </w:rPr>
        <w:t xml:space="preserve">：</w:t>
      </w:r>
      <w:r>
        <w:rPr>
          <w:rFonts w:hint="eastAsia" w:ascii="宋体" w:hAnsi="宋体"/>
          <w:color w:val="auto"/>
          <w:sz w:val="24"/>
          <w:szCs w:val="28"/>
          <w:highlight w:val="none"/>
        </w:rPr>
        <w:t xml:space="preserve">“苏采云”系统（网址：http://jszfcg.jsczt.cn/）“开标大厅”进入系统“开标大厅”。（</w:t>
      </w:r>
      <w:r>
        <w:rPr>
          <w:rFonts w:hint="eastAsia" w:ascii="宋体" w:hAnsi="宋体" w:eastAsia="宋体" w:cs="宋体"/>
          <w:color w:val="auto"/>
          <w:sz w:val="24"/>
          <w:highlight w:val="none"/>
        </w:rPr>
        <w:t xml:space="preserve">苏采云系统使用</w:t>
      </w:r>
      <w:r>
        <w:rPr>
          <w:rFonts w:hint="eastAsia" w:ascii="宋体" w:hAnsi="宋体" w:cs="宋体"/>
          <w:color w:val="auto"/>
          <w:sz w:val="24"/>
          <w:highlight w:val="none"/>
        </w:rPr>
        <w:t xml:space="preserve">稳定</w:t>
      </w:r>
      <w:r>
        <w:rPr>
          <w:rFonts w:hint="eastAsia" w:ascii="宋体" w:hAnsi="宋体" w:eastAsia="宋体" w:cs="宋体"/>
          <w:color w:val="auto"/>
          <w:sz w:val="24"/>
          <w:highlight w:val="none"/>
        </w:rPr>
        <w:t xml:space="preserve">谷歌浏览器</w:t>
      </w:r>
      <w:r>
        <w:rPr>
          <w:rFonts w:hint="eastAsia" w:ascii="宋体" w:hAnsi="宋体" w:cs="宋体"/>
          <w:color w:val="auto"/>
          <w:sz w:val="24"/>
          <w:highlight w:val="none"/>
        </w:rPr>
        <w:t xml:space="preserve">（100版本以下）或360安全浏览器（极速模式）</w:t>
      </w:r>
      <w:r>
        <w:rPr>
          <w:rFonts w:hint="eastAsia" w:ascii="宋体" w:hAnsi="宋体" w:eastAsia="宋体" w:cs="宋体"/>
          <w:color w:val="auto"/>
          <w:sz w:val="24"/>
          <w:highlight w:val="none"/>
        </w:rPr>
        <w:t xml:space="preserve">参与不见面开标</w:t>
      </w:r>
      <w:r>
        <w:rPr>
          <w:rFonts w:hint="eastAsia" w:ascii="宋体" w:hAnsi="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本项目采用</w:t>
      </w:r>
      <w:r>
        <w:rPr>
          <w:rFonts w:hint="eastAsia" w:ascii="宋体" w:hAnsi="宋体" w:eastAsia="宋体" w:cs="宋体"/>
          <w:b/>
          <w:bCs/>
          <w:color w:val="auto"/>
          <w:sz w:val="24"/>
          <w:highlight w:val="none"/>
        </w:rPr>
        <w:t xml:space="preserve">远程不见面交易</w:t>
      </w:r>
      <w:r>
        <w:rPr>
          <w:rFonts w:hint="eastAsia" w:ascii="宋体" w:hAnsi="宋体" w:eastAsia="宋体" w:cs="宋体"/>
          <w:color w:val="auto"/>
          <w:sz w:val="24"/>
          <w:highlight w:val="none"/>
        </w:rPr>
        <w:t xml:space="preserve">模式，通过不见面交易系统及相应的配套硬件设备（摄像头、话筒、麦克风等）完成远程解密、开标现场异议及回复、开标唱标等交互环节。</w:t>
      </w:r>
      <w:r/>
    </w:p>
    <w:p>
      <w:pPr>
        <w:ind w:firstLine="480"/>
        <w:spacing w:line="360" w:lineRule="auto"/>
        <w:rPr>
          <w:color w:val="auto"/>
          <w:sz w:val="24"/>
          <w:highlight w:val="none"/>
        </w:rPr>
      </w:pPr>
      <w:r>
        <w:rPr>
          <w:rFonts w:hint="eastAsia"/>
          <w:color w:val="auto"/>
          <w:sz w:val="24"/>
          <w:highlight w:val="none"/>
        </w:rPr>
        <w:t xml:space="preserve">不见面交易相关要求和说明如下：</w:t>
      </w:r>
      <w:r/>
    </w:p>
    <w:p>
      <w:pPr>
        <w:ind w:firstLine="480"/>
        <w:spacing w:line="360" w:lineRule="auto"/>
        <w:rPr>
          <w:color w:val="auto"/>
          <w:sz w:val="24"/>
          <w:highlight w:val="none"/>
        </w:rPr>
      </w:pPr>
      <w:r>
        <w:rPr>
          <w:rFonts w:hint="eastAsia"/>
          <w:color w:val="auto"/>
          <w:sz w:val="24"/>
          <w:highlight w:val="none"/>
        </w:rPr>
        <w:t xml:space="preserve">（1）不见面开标项目的时间均以国家授时中心发布的时间为准；</w:t>
      </w:r>
      <w:r/>
    </w:p>
    <w:p>
      <w:pPr>
        <w:ind w:firstLine="480"/>
        <w:spacing w:line="360" w:lineRule="auto"/>
        <w:rPr>
          <w:color w:val="auto"/>
          <w:sz w:val="24"/>
          <w:highlight w:val="none"/>
        </w:rPr>
      </w:pPr>
      <w:r>
        <w:rPr>
          <w:rFonts w:hint="eastAsia"/>
          <w:color w:val="auto"/>
          <w:sz w:val="24"/>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color w:val="auto"/>
          <w:sz w:val="24"/>
          <w:highlight w:val="none"/>
        </w:rPr>
      </w:pPr>
      <w:r>
        <w:rPr>
          <w:rFonts w:hint="eastAsia"/>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color w:val="auto"/>
          <w:sz w:val="24"/>
          <w:highlight w:val="none"/>
        </w:rPr>
      </w:pPr>
      <w:r>
        <w:rPr>
          <w:rFonts w:hint="eastAsia"/>
          <w:color w:val="auto"/>
          <w:sz w:val="24"/>
          <w:highlight w:val="none"/>
        </w:rPr>
        <w:t xml:space="preserve">（4）磋商响应文件递交截止时间后，采购人或采购代理机构将在系统内公布投标人名单然后通过开标会议区发出磋商响应文件解密的指令，投标人在各自地点按规定时间自行实施远程解密，投标人解密限定在投</w:t>
      </w:r>
      <w:r>
        <w:rPr>
          <w:rFonts w:hint="eastAsia"/>
          <w:color w:val="auto"/>
          <w:sz w:val="24"/>
          <w:highlight w:val="none"/>
        </w:rPr>
        <w:t xml:space="preserve">标截止时间后30分钟之间完成。因投标人网络与电源不稳定、未按操作手册要求配置软硬件、解密锁发生故障或用错、故意不在要求时限内完成解密等自身原因，导致磋商响应文件在规定时间内未能解密、解密失败或解密超时，视为投标人撤销其磋商响应文件；因网上平台发生故障，导致无法按时完成磋商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color w:val="auto"/>
          <w:sz w:val="24"/>
          <w:highlight w:val="none"/>
        </w:rPr>
      </w:pPr>
      <w:r>
        <w:rPr>
          <w:rFonts w:hint="eastAsia"/>
          <w:color w:val="auto"/>
          <w:sz w:val="24"/>
          <w:highlight w:val="none"/>
        </w:rPr>
        <w:t xml:space="preserve">（5）因投标人自身软硬件配备不齐全或发生故障等问题而导致在交互过程中出现不稳定或中断等情况的，由投标人自身承担一切后果。</w:t>
      </w:r>
      <w:r/>
    </w:p>
    <w:p>
      <w:pPr>
        <w:pStyle w:val="1578"/>
        <w:jc w:val="left"/>
        <w:spacing w:line="360" w:lineRule="auto"/>
        <w:rPr>
          <w:color w:val="auto"/>
          <w:highlight w:val="none"/>
        </w:rPr>
      </w:pPr>
      <w:r/>
      <w:bookmarkStart w:id="12" w:name="_Toc29776"/>
      <w:r>
        <w:rPr>
          <w:rFonts w:hint="eastAsia"/>
          <w:color w:val="auto"/>
          <w:highlight w:val="none"/>
        </w:rPr>
        <w:t xml:space="preserve">五</w:t>
      </w:r>
      <w:r>
        <w:rPr>
          <w:color w:val="auto"/>
          <w:highlight w:val="none"/>
        </w:rPr>
        <w:t xml:space="preserve">、公告期限</w:t>
      </w:r>
      <w:bookmarkEnd w:id="12"/>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自本公告发布之日起5个工作日。</w:t>
      </w:r>
      <w:r/>
    </w:p>
    <w:p>
      <w:pPr>
        <w:pStyle w:val="1578"/>
        <w:jc w:val="left"/>
        <w:spacing w:line="360" w:lineRule="auto"/>
        <w:rPr>
          <w:color w:val="auto"/>
          <w:highlight w:val="none"/>
        </w:rPr>
      </w:pPr>
      <w:r/>
      <w:bookmarkStart w:id="13" w:name="_Toc32429"/>
      <w:r>
        <w:rPr>
          <w:rFonts w:hint="eastAsia"/>
          <w:color w:val="auto"/>
          <w:highlight w:val="none"/>
        </w:rPr>
        <w:t xml:space="preserve">六</w:t>
      </w:r>
      <w:r>
        <w:rPr>
          <w:color w:val="auto"/>
          <w:highlight w:val="none"/>
        </w:rPr>
        <w:t xml:space="preserve">、其他补充事宜</w:t>
      </w:r>
      <w:bookmarkEnd w:id="13"/>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1、现场踏勘：采购人不统一组织现场查勘和答疑，供应商可自行联系采购人查勘</w:t>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和答疑。</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ascii="宋体" w:hAnsi="宋体" w:eastAsia="宋体" w:cs="宋体"/>
          <w:color w:val="auto"/>
          <w:sz w:val="24"/>
          <w:highlight w:val="none"/>
        </w:rPr>
        <w:t xml:space="preserve">本项目无需缴纳磋商保证金。</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项目支持和适用支持中小微企业（工信部联企业[2011]300号）、财库</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2020</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46 号、苏财购</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2021</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34号；支持监狱企业（财库〔2014〕68号）；促进残疾人就业（财库〔2017〕141号）的政策。</w:t>
      </w:r>
      <w:r/>
    </w:p>
    <w:p>
      <w:pPr>
        <w:ind w:firstLine="480"/>
        <w:spacing w:line="360" w:lineRule="auto"/>
        <w:rPr>
          <w:rFonts w:ascii="宋体" w:hAnsi="宋体"/>
          <w:color w:val="auto"/>
          <w:sz w:val="24"/>
          <w:szCs w:val="28"/>
          <w:highlight w:val="none"/>
        </w:rPr>
      </w:pPr>
      <w:r>
        <w:rPr>
          <w:rFonts w:hint="eastAsia" w:ascii="宋体" w:hAnsi="宋体" w:cs="宋体"/>
          <w:color w:val="auto"/>
          <w:sz w:val="24"/>
          <w:highlight w:val="none"/>
        </w:rPr>
        <w:t xml:space="preserve">4.</w:t>
      </w:r>
      <w:r>
        <w:rPr>
          <w:rFonts w:hint="eastAsia" w:ascii="宋体" w:hAnsi="宋体"/>
          <w:color w:val="auto"/>
          <w:sz w:val="24"/>
          <w:szCs w:val="28"/>
          <w:highlight w:val="none"/>
        </w:rPr>
        <w:t xml:space="preserve">“CA数字证书”的获取</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投标人需办理CA锁，“苏采云”系统目前仅支持“苏采云”系统下的政务CA（意源CA）、方正签章，省内各地区办理的“苏采云”系统下的政务CA（意源CA）、方正签章全省通用。（办理指南网址：</w:t>
      </w:r>
      <w:r>
        <w:rPr>
          <w:rFonts w:ascii="宋体" w:hAnsi="宋体" w:eastAsia="宋体" w:cs="宋体"/>
          <w:color w:val="auto"/>
          <w:sz w:val="24"/>
          <w:highlight w:val="none"/>
        </w:rPr>
        <w:fldChar w:fldCharType="begin"/>
      </w:r>
      <w:r>
        <w:rPr>
          <w:rFonts w:ascii="宋体" w:hAnsi="宋体" w:eastAsia="宋体" w:cs="宋体"/>
          <w:color w:val="auto"/>
          <w:sz w:val="24"/>
          <w:highlight w:val="none"/>
        </w:rPr>
        <w:instrText xml:space="preserve"> HYPERLINK "http://jsxcmm.com/help/help.html" </w:instrText>
      </w:r>
      <w:r>
        <w:rPr>
          <w:rFonts w:ascii="宋体" w:hAnsi="宋体" w:eastAsia="宋体" w:cs="宋体"/>
          <w:color w:val="auto"/>
          <w:sz w:val="24"/>
          <w:highlight w:val="none"/>
        </w:rPr>
        <w:fldChar w:fldCharType="separate"/>
      </w:r>
      <w:r>
        <w:rPr>
          <w:rFonts w:ascii="宋体" w:hAnsi="宋体" w:eastAsia="宋体" w:cs="宋体"/>
          <w:color w:val="auto"/>
          <w:sz w:val="24"/>
          <w:highlight w:val="none"/>
        </w:rPr>
        <w:t xml:space="preserve">http://jsxcmm.com/help/help.html</w:t>
      </w:r>
      <w:r>
        <w:rPr>
          <w:rFonts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“苏采云”系统供应商操作指南详见江苏省政府采购网—办事指南—资料下载《江苏省政府采购管理交易系统 (苏采云)供应商操作指南》。</w:t>
      </w:r>
      <w:r/>
    </w:p>
    <w:p>
      <w:pPr>
        <w:pStyle w:val="1578"/>
        <w:jc w:val="left"/>
        <w:spacing w:line="360" w:lineRule="auto"/>
        <w:rPr>
          <w:color w:val="auto"/>
          <w:highlight w:val="none"/>
        </w:rPr>
      </w:pPr>
      <w:r/>
      <w:bookmarkStart w:id="14" w:name="_Toc28715"/>
      <w:r>
        <w:rPr>
          <w:rFonts w:hint="eastAsia"/>
          <w:color w:val="auto"/>
          <w:highlight w:val="none"/>
        </w:rPr>
        <w:t xml:space="preserve">七</w:t>
      </w:r>
      <w:r>
        <w:rPr>
          <w:color w:val="auto"/>
          <w:highlight w:val="none"/>
        </w:rPr>
        <w:t xml:space="preserve">、对本次磋商提出询问，请按以下方式联系。</w:t>
      </w:r>
      <w:bookmarkEnd w:id="14"/>
      <w:r/>
      <w:r/>
    </w:p>
    <w:p>
      <w:pPr>
        <w:ind w:firstLine="480"/>
        <w:spacing w:line="360" w:lineRule="auto"/>
        <w:rPr>
          <w:rFonts w:ascii="宋体" w:hAnsi="宋体" w:eastAsia="宋体" w:cs="宋体"/>
          <w:color w:val="auto"/>
          <w:sz w:val="24"/>
          <w:highlight w:val="none"/>
        </w:rPr>
        <w:outlineLvl w:val="2"/>
      </w:pPr>
      <w:r/>
      <w:bookmarkStart w:id="15" w:name="_Toc21537"/>
      <w:r>
        <w:rPr>
          <w:rFonts w:ascii="宋体" w:hAnsi="宋体" w:eastAsia="宋体" w:cs="宋体"/>
          <w:color w:val="auto"/>
          <w:sz w:val="24"/>
          <w:highlight w:val="none"/>
        </w:rPr>
        <w:t xml:space="preserve">1.采购人信息</w:t>
      </w:r>
      <w:bookmarkEnd w:id="15"/>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镇江市公安局</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lang w:eastAsia="zh-CN"/>
        </w:rPr>
        <w:t xml:space="preserve">润州区九华山南路9号</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rPr>
        <w:t xml:space="preserve">18051277916</w:t>
      </w:r>
      <w:r>
        <w:rPr>
          <w:rFonts w:hint="eastAsia"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outlineLvl w:val="2"/>
      </w:pPr>
      <w:r/>
      <w:bookmarkStart w:id="16" w:name="_Toc92"/>
      <w:r>
        <w:rPr>
          <w:rFonts w:ascii="宋体" w:hAnsi="宋体" w:eastAsia="宋体" w:cs="宋体"/>
          <w:color w:val="auto"/>
          <w:sz w:val="24"/>
          <w:highlight w:val="none"/>
        </w:rPr>
        <w:t xml:space="preserve">2.采购代理机构信息</w:t>
      </w:r>
      <w:bookmarkEnd w:id="16"/>
      <w:r/>
      <w:r/>
    </w:p>
    <w:p>
      <w:pPr>
        <w:ind w:firstLine="480"/>
        <w:spacing w:line="360" w:lineRule="auto"/>
        <w:rPr>
          <w:rFonts w:hint="eastAsia" w:ascii="宋体" w:hAnsi="宋体" w:eastAsia="宋体" w:cs="宋体"/>
          <w:color w:val="auto"/>
          <w:sz w:val="24"/>
          <w:highlight w:val="none"/>
          <w:lang w:eastAsia="zh-CN"/>
        </w:rPr>
      </w:pPr>
      <w:r>
        <w:rPr>
          <w:rFonts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江苏正诚项目管理有限公司</w:t>
      </w:r>
      <w:r/>
    </w:p>
    <w:p>
      <w:pPr>
        <w:ind w:firstLine="480"/>
        <w:spacing w:line="360" w:lineRule="auto"/>
        <w:rPr>
          <w:rFonts w:hint="eastAsia" w:ascii="宋体" w:hAnsi="宋体" w:eastAsia="宋体" w:cs="宋体"/>
          <w:color w:val="auto"/>
          <w:sz w:val="24"/>
          <w:highlight w:val="none"/>
          <w:lang w:eastAsia="zh-CN"/>
        </w:rPr>
      </w:pPr>
      <w:r>
        <w:rPr>
          <w:rFonts w:ascii="宋体" w:hAnsi="宋体" w:eastAsia="宋体" w:cs="宋体"/>
          <w:color w:val="auto"/>
          <w:sz w:val="24"/>
          <w:highlight w:val="none"/>
        </w:rPr>
        <w:t xml:space="preserve">地址：</w:t>
      </w:r>
      <w:r>
        <w:rPr>
          <w:rFonts w:hint="eastAsia" w:ascii="宋体" w:hAnsi="宋体" w:eastAsia="宋体"/>
          <w:color w:val="auto"/>
          <w:sz w:val="24"/>
          <w:szCs w:val="21"/>
          <w:highlight w:val="none"/>
          <w:lang w:eastAsia="zh-CN"/>
        </w:rPr>
        <w:t xml:space="preserve">镇江市润州区南徐大道62号3幢A区C栋1717室</w:t>
      </w:r>
      <w:bookmarkEnd w:id="1"/>
      <w:r/>
      <w:r/>
    </w:p>
    <w:p>
      <w:pPr>
        <w:ind w:firstLine="480"/>
        <w:spacing w:line="360" w:lineRule="auto"/>
        <w:rPr>
          <w:rFonts w:hint="default" w:ascii="宋体" w:hAnsi="宋体" w:eastAsia="宋体" w:cs="宋体"/>
          <w:color w:val="auto"/>
          <w:sz w:val="24"/>
          <w:highlight w:val="none"/>
          <w:lang w:val="en-US" w:eastAsia="zh-CN"/>
        </w:rPr>
      </w:pPr>
      <w:r>
        <w:rPr>
          <w:rFonts w:ascii="宋体" w:hAnsi="宋体" w:eastAsia="宋体" w:cs="宋体"/>
          <w:color w:val="auto"/>
          <w:sz w:val="24"/>
          <w:highlight w:val="none"/>
        </w:rPr>
        <w:t xml:space="preserve">联系方式：</w:t>
      </w:r>
      <w:r>
        <w:rPr>
          <w:rFonts w:hint="eastAsia" w:ascii="宋体" w:hAnsi="宋体" w:eastAsia="宋体" w:cs="宋体"/>
          <w:color w:val="auto"/>
          <w:sz w:val="24"/>
          <w:highlight w:val="none"/>
          <w:lang w:val="en-US" w:eastAsia="zh-CN"/>
        </w:rPr>
        <w:t xml:space="preserve">18952896988 </w:t>
      </w:r>
      <w:r/>
    </w:p>
    <w:p>
      <w:pPr>
        <w:ind w:firstLine="480"/>
        <w:spacing w:line="360" w:lineRule="auto"/>
        <w:rPr>
          <w:rFonts w:ascii="宋体" w:hAnsi="宋体" w:eastAsia="宋体" w:cs="宋体"/>
          <w:color w:val="auto"/>
          <w:sz w:val="24"/>
          <w:highlight w:val="none"/>
        </w:rPr>
        <w:outlineLvl w:val="2"/>
      </w:pPr>
      <w:r/>
      <w:bookmarkStart w:id="17" w:name="_Toc12039"/>
      <w:r>
        <w:rPr>
          <w:rFonts w:ascii="宋体" w:hAnsi="宋体" w:eastAsia="宋体" w:cs="宋体"/>
          <w:color w:val="auto"/>
          <w:sz w:val="24"/>
          <w:highlight w:val="none"/>
        </w:rPr>
        <w:t xml:space="preserve">3.项目联系方式</w:t>
      </w:r>
      <w:bookmarkEnd w:id="17"/>
      <w:r/>
      <w:r/>
    </w:p>
    <w:p>
      <w:pPr>
        <w:ind w:firstLine="480"/>
        <w:spacing w:line="360" w:lineRule="auto"/>
        <w:rPr>
          <w:rFonts w:hint="default" w:ascii="宋体" w:hAnsi="宋体" w:eastAsia="宋体" w:cs="宋体"/>
          <w:color w:val="auto"/>
          <w:sz w:val="24"/>
          <w:highlight w:val="none"/>
          <w:lang w:val="en-US" w:eastAsia="zh-CN"/>
        </w:rPr>
      </w:pPr>
      <w:r>
        <w:rPr>
          <w:rFonts w:ascii="宋体" w:hAnsi="宋体" w:eastAsia="宋体" w:cs="宋体"/>
          <w:color w:val="auto"/>
          <w:sz w:val="24"/>
          <w:highlight w:val="none"/>
        </w:rPr>
        <w:t xml:space="preserve">项目联系人：</w:t>
      </w:r>
      <w:r>
        <w:rPr>
          <w:rFonts w:hint="eastAsia" w:ascii="宋体" w:hAnsi="宋体" w:eastAsia="宋体" w:cs="宋体"/>
          <w:color w:val="auto"/>
          <w:sz w:val="24"/>
          <w:highlight w:val="none"/>
          <w:lang w:val="en-US" w:eastAsia="zh-CN"/>
        </w:rPr>
        <w:t xml:space="preserve">徐工</w:t>
      </w:r>
      <w:r/>
    </w:p>
    <w:p>
      <w:pPr>
        <w:ind w:firstLine="480"/>
        <w:spacing w:line="360" w:lineRule="auto"/>
        <w:rPr>
          <w:rFonts w:hint="default" w:ascii="宋体" w:hAnsi="宋体" w:eastAsia="宋体" w:cs="宋体"/>
          <w:color w:val="auto"/>
          <w:sz w:val="24"/>
          <w:highlight w:val="none"/>
          <w:lang w:val="en-US" w:eastAsia="zh-CN"/>
        </w:rPr>
      </w:pPr>
      <w:r>
        <w:rPr>
          <w:rFonts w:ascii="宋体" w:hAnsi="宋体" w:eastAsia="宋体" w:cs="宋体"/>
          <w:color w:val="auto"/>
          <w:sz w:val="24"/>
          <w:highlight w:val="none"/>
        </w:rPr>
        <w:t xml:space="preserve">电话：</w:t>
      </w:r>
      <w:r>
        <w:rPr>
          <w:rFonts w:hint="eastAsia" w:ascii="宋体" w:hAnsi="宋体" w:eastAsia="宋体" w:cs="宋体"/>
          <w:color w:val="auto"/>
          <w:sz w:val="24"/>
          <w:highlight w:val="none"/>
        </w:rPr>
        <w:t xml:space="preserve">18952896988</w:t>
      </w:r>
      <w:r/>
    </w:p>
    <w:p>
      <w:pPr>
        <w:rPr>
          <w:color w:val="auto"/>
          <w:highlight w:val="none"/>
        </w:rPr>
      </w:pPr>
      <w:r>
        <w:rPr>
          <w:rFonts w:hint="eastAsia"/>
          <w:color w:val="auto"/>
          <w:highlight w:val="none"/>
        </w:rPr>
        <w:br w:type="page" w:clear="all"/>
      </w:r>
      <w:r/>
    </w:p>
    <w:p>
      <w:pPr>
        <w:pStyle w:val="1577"/>
        <w:jc w:val="center"/>
        <w:spacing w:line="360" w:lineRule="auto"/>
        <w:rPr>
          <w:color w:val="auto"/>
          <w:highlight w:val="none"/>
        </w:rPr>
      </w:pPr>
      <w:r/>
      <w:bookmarkStart w:id="18" w:name="_Toc5596"/>
      <w:r>
        <w:rPr>
          <w:rFonts w:hint="eastAsia"/>
          <w:color w:val="auto"/>
          <w:highlight w:val="none"/>
        </w:rPr>
        <w:t xml:space="preserve">第二部分 供应商须知</w:t>
      </w:r>
      <w:bookmarkEnd w:id="18"/>
      <w:r/>
      <w:r/>
    </w:p>
    <w:p>
      <w:pPr>
        <w:pStyle w:val="1578"/>
        <w:jc w:val="center"/>
        <w:spacing w:line="360" w:lineRule="auto"/>
        <w:rPr>
          <w:color w:val="auto"/>
          <w:highlight w:val="none"/>
        </w:rPr>
      </w:pPr>
      <w:r/>
      <w:bookmarkStart w:id="19" w:name="_Toc8721"/>
      <w:r>
        <w:rPr>
          <w:color w:val="auto"/>
          <w:highlight w:val="none"/>
        </w:rPr>
        <w:t xml:space="preserve">一、总则</w:t>
      </w:r>
      <w:bookmarkEnd w:id="19"/>
      <w:r/>
      <w:r/>
    </w:p>
    <w:p>
      <w:pPr>
        <w:pStyle w:val="1579"/>
        <w:spacing w:line="360" w:lineRule="auto"/>
        <w:rPr>
          <w:color w:val="auto"/>
          <w:highlight w:val="none"/>
        </w:rPr>
      </w:pPr>
      <w:r/>
      <w:bookmarkStart w:id="20" w:name="_Toc12234"/>
      <w:r>
        <w:rPr>
          <w:color w:val="auto"/>
          <w:highlight w:val="none"/>
        </w:rPr>
        <w:t xml:space="preserve">1.适用范围</w:t>
      </w:r>
      <w:bookmarkEnd w:id="20"/>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1.1本磋商文件仅适用于</w:t>
      </w:r>
      <w:r>
        <w:rPr>
          <w:rFonts w:hint="eastAsia" w:ascii="Times New Roman" w:hAnsi="Times New Roman" w:eastAsia="宋体" w:cs="Times New Roman"/>
          <w:color w:val="auto"/>
          <w:sz w:val="24"/>
          <w:highlight w:val="none"/>
          <w:lang w:eastAsia="zh-CN"/>
        </w:rPr>
        <w:t xml:space="preserve">镇江市公安局UPS系统升级改造服务项目</w:t>
      </w:r>
      <w:r>
        <w:rPr>
          <w:rFonts w:ascii="宋体" w:hAnsi="宋体" w:eastAsia="宋体" w:cs="宋体"/>
          <w:color w:val="auto"/>
          <w:sz w:val="24"/>
          <w:highlight w:val="none"/>
        </w:rPr>
        <w:t xml:space="preserve">项目。</w:t>
      </w:r>
      <w:r/>
    </w:p>
    <w:p>
      <w:pPr>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color w:val="auto"/>
          <w:highlight w:val="none"/>
        </w:rPr>
      </w:pPr>
      <w:r/>
      <w:bookmarkStart w:id="21" w:name="_Toc21058"/>
      <w:r>
        <w:rPr>
          <w:color w:val="auto"/>
          <w:highlight w:val="none"/>
        </w:rPr>
        <w:t xml:space="preserve">2.定义</w:t>
      </w:r>
      <w:bookmarkEnd w:id="21"/>
      <w:r/>
      <w:r/>
    </w:p>
    <w:p>
      <w:pPr>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磋商文件中下列术语应解释为：</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2.1“磋商组织方”系指采购代理机构或采购单位，即：</w:t>
      </w:r>
      <w:r>
        <w:rPr>
          <w:rFonts w:hint="eastAsia" w:ascii="Times New Roman" w:hAnsi="Times New Roman" w:eastAsia="宋体" w:cs="Times New Roman"/>
          <w:color w:val="auto"/>
          <w:sz w:val="24"/>
          <w:highlight w:val="none"/>
          <w:lang w:eastAsia="zh-CN"/>
        </w:rPr>
        <w:t xml:space="preserve">江苏正诚项目管理有限公司</w:t>
      </w:r>
      <w:r>
        <w:rPr>
          <w:rFonts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2.2“采购人”系指依法进行政府采购的国家机关、事业单位、团体组织，即：</w:t>
      </w:r>
      <w:r>
        <w:rPr>
          <w:rFonts w:hint="eastAsia" w:ascii="Times New Roman" w:hAnsi="Times New Roman" w:eastAsia="宋体" w:cs="Times New Roman"/>
          <w:color w:val="auto"/>
          <w:sz w:val="24"/>
          <w:highlight w:val="none"/>
          <w:lang w:eastAsia="zh-CN"/>
        </w:rPr>
        <w:t xml:space="preserve">镇江市公安局</w:t>
      </w:r>
      <w:r>
        <w:rPr>
          <w:rFonts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2.3“供应商”系指向采购人提供货物、工程或者服务的法人、其他组织或者自然人。</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2.4“服务”系指本磋商文件所述采购标的，即</w:t>
      </w:r>
      <w:r>
        <w:rPr>
          <w:rFonts w:hint="eastAsia" w:ascii="Times New Roman" w:hAnsi="Times New Roman" w:eastAsia="宋体" w:cs="Times New Roman"/>
          <w:color w:val="auto"/>
          <w:sz w:val="24"/>
          <w:highlight w:val="none"/>
          <w:lang w:eastAsia="zh-CN"/>
        </w:rPr>
        <w:t xml:space="preserve">镇江市公安局UPS系统升级改造服务项目</w:t>
      </w:r>
      <w:r>
        <w:rPr>
          <w:rFonts w:ascii="宋体" w:hAnsi="宋体" w:eastAsia="宋体" w:cs="宋体"/>
          <w:color w:val="auto"/>
          <w:sz w:val="24"/>
          <w:highlight w:val="none"/>
        </w:rPr>
        <w:t xml:space="preserve">，亦包括磋商文件中特别描述的其它形式的服务。</w:t>
      </w:r>
      <w:r/>
    </w:p>
    <w:p>
      <w:pPr>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Times New Roman" w:hAnsi="Times New Roman" w:cs="Times New Roman"/>
          <w:color w:val="auto"/>
          <w:highlight w:val="none"/>
        </w:rPr>
      </w:pPr>
      <w:r/>
      <w:bookmarkStart w:id="22" w:name="_Toc8155"/>
      <w:r>
        <w:rPr>
          <w:rFonts w:ascii="Times New Roman" w:hAnsi="Times New Roman" w:cs="Times New Roman"/>
          <w:color w:val="auto"/>
          <w:highlight w:val="none"/>
        </w:rPr>
        <w:t xml:space="preserve">3.本次采购方式</w:t>
      </w:r>
      <w:bookmarkEnd w:id="22"/>
      <w:r/>
      <w:r/>
    </w:p>
    <w:p>
      <w:pPr>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3.1本次采购采取竞争性磋商采购方式：综合评分法。</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3.2是否接受进口产品：☑否</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3.3本项目资格审查方式：☑资格后审</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3.4本次采购确定的成交人数量：1名</w:t>
      </w:r>
      <w:r/>
    </w:p>
    <w:p>
      <w:pPr>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Times New Roman" w:hAnsi="Times New Roman" w:cs="Times New Roman"/>
          <w:color w:val="auto"/>
          <w:highlight w:val="none"/>
        </w:rPr>
      </w:pPr>
      <w:r/>
      <w:bookmarkStart w:id="23" w:name="_Toc4160"/>
      <w:r>
        <w:rPr>
          <w:rFonts w:ascii="Times New Roman" w:hAnsi="Times New Roman" w:cs="Times New Roman"/>
          <w:color w:val="auto"/>
          <w:highlight w:val="none"/>
        </w:rPr>
        <w:t xml:space="preserve">4.磋商费用</w:t>
      </w:r>
      <w:bookmarkEnd w:id="23"/>
      <w:r/>
      <w:r/>
    </w:p>
    <w:p>
      <w:pPr>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4.1供应商应自行承担所有与参加磋商有关的费用。</w:t>
      </w:r>
      <w:r/>
    </w:p>
    <w:p>
      <w:pPr>
        <w:ind w:firstLine="950"/>
        <w:spacing w:line="360" w:lineRule="auto"/>
        <w:rPr>
          <w:rFonts w:ascii="宋体" w:hAnsi="宋体"/>
          <w:color w:val="auto"/>
          <w:sz w:val="24"/>
          <w:highlight w:val="none"/>
        </w:rPr>
      </w:pPr>
      <w:r/>
      <w:bookmarkStart w:id="24" w:name="EB34ad687dc71a4eccb674aca5ca301def"/>
      <w:r>
        <w:rPr>
          <w:rFonts w:ascii="Segoe UI Symbol" w:hAnsi="Segoe UI Symbol" w:cs="Segoe UI Symbol"/>
          <w:color w:val="auto"/>
          <w:sz w:val="24"/>
          <w:highlight w:val="none"/>
        </w:rPr>
        <w:t xml:space="preserve">☑</w:t>
      </w:r>
      <w:bookmarkEnd w:id="24"/>
      <w:r>
        <w:rPr>
          <w:rFonts w:hint="eastAsia" w:ascii="宋体" w:hAnsi="宋体"/>
          <w:color w:val="auto"/>
          <w:sz w:val="24"/>
          <w:highlight w:val="none"/>
        </w:rPr>
        <w:t xml:space="preserve">中标人需向代理机构缴纳</w:t>
      </w:r>
      <w:r>
        <w:rPr>
          <w:rFonts w:hint="eastAsia" w:ascii="宋体" w:hAnsi="宋体"/>
          <w:color w:val="auto"/>
          <w:sz w:val="24"/>
          <w:highlight w:val="none"/>
          <w:lang w:val="en-US" w:eastAsia="zh-CN"/>
        </w:rPr>
        <w:t xml:space="preserve">5250</w:t>
      </w:r>
      <w:r>
        <w:rPr>
          <w:rFonts w:hint="eastAsia" w:ascii="宋体" w:hAnsi="宋体"/>
          <w:color w:val="auto"/>
          <w:sz w:val="24"/>
          <w:highlight w:val="none"/>
        </w:rPr>
        <w:t xml:space="preserve">元服务费。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收费标准：按“苏服采服务类网上商城”本项目采购代理服务确定的收费金额，向项目中标供应商收取采购代理服务费5250元（伍仟贰佰伍拾元人民币整）。由采购代理机构开具发票与中标供应商结算。</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招标代理费用收款信息：</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收款单位：江苏正诚项目管理有限公司</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开户银行：中国建设银行股份有限公司镇江团山路支行</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账    号：32050175970000000708</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4.2不论磋商的结果如何，磋商组织方在任何情况下均无义务和责任承担上述费用。</w:t>
      </w:r>
      <w:r/>
    </w:p>
    <w:p>
      <w:pPr>
        <w:pStyle w:val="1579"/>
        <w:spacing w:line="360" w:lineRule="auto"/>
        <w:rPr>
          <w:rFonts w:ascii="宋体" w:hAnsi="宋体" w:eastAsia="宋体" w:cs="宋体"/>
          <w:color w:val="auto"/>
          <w:sz w:val="24"/>
          <w:highlight w:val="none"/>
        </w:rPr>
      </w:pPr>
      <w:r/>
      <w:bookmarkStart w:id="25" w:name="_Toc2805"/>
      <w:r>
        <w:rPr>
          <w:rFonts w:ascii="Times New Roman" w:hAnsi="Times New Roman" w:cs="Times New Roman"/>
          <w:color w:val="auto"/>
          <w:highlight w:val="none"/>
        </w:rPr>
        <w:t xml:space="preserve">5.政策功能</w:t>
      </w:r>
      <w:bookmarkEnd w:id="25"/>
      <w:r/>
      <w:r/>
    </w:p>
    <w:p>
      <w:pPr>
        <w:pStyle w:val="1583"/>
        <w:ind w:firstLine="480"/>
        <w:spacing w:line="360" w:lineRule="auto"/>
        <w:rPr>
          <w:rFonts w:hint="eastAsia" w:ascii="宋体" w:hAnsi="宋体" w:eastAsia="宋体" w:cs="宋体"/>
          <w:color w:val="auto"/>
          <w:sz w:val="24"/>
          <w:highlight w:val="none"/>
        </w:rPr>
      </w:pPr>
      <w:r/>
      <w:bookmarkStart w:id="26" w:name="_Toc28892"/>
      <w:r>
        <w:rPr>
          <w:rFonts w:hint="eastAsia" w:ascii="宋体" w:hAnsi="宋体" w:eastAsia="宋体" w:cs="宋体"/>
          <w:color w:val="auto"/>
          <w:sz w:val="24"/>
          <w:highlight w:val="none"/>
        </w:rPr>
        <w:t xml:space="preserve">5.1支持中小企业发展</w:t>
      </w:r>
      <w:r/>
    </w:p>
    <w:p>
      <w:pPr>
        <w:pStyle w:val="158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158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符合中小企业划分标准的个体工商户，在政府采购活动中视同中小企业。</w:t>
      </w:r>
      <w:r/>
    </w:p>
    <w:p>
      <w:pPr>
        <w:pStyle w:val="158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158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5.1.2.1在货物采购项目中，货物由中小企业制造，即货物由中小企业生产且使用该中小企业商号或者注册商标；</w:t>
      </w:r>
      <w:r/>
    </w:p>
    <w:p>
      <w:pPr>
        <w:pStyle w:val="158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5.1.2.2在工程采购项目中，工程由中小企业承建，即工程施工单位为中小企业；</w:t>
      </w:r>
      <w:r/>
    </w:p>
    <w:p>
      <w:pPr>
        <w:pStyle w:val="158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5.1.2.3在服务采购项目中，服务由中小企业承接，即提供服务的人员为中小企业依照《中华人民共和国劳动合同法》订立劳动合同的从业人员。</w:t>
      </w:r>
      <w:r/>
    </w:p>
    <w:p>
      <w:pPr>
        <w:pStyle w:val="158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在货物采购项目中，投标人提供的货物既有中小企业制造货物，也有大型企业制造货物的，不享受中小企业扶持政策。</w:t>
      </w:r>
      <w:r/>
    </w:p>
    <w:p>
      <w:pPr>
        <w:pStyle w:val="158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5.1.3根据《政府采购促进中小企业发展管理办法》要求，</w:t>
      </w:r>
      <w:r>
        <w:rPr>
          <w:rFonts w:hint="eastAsia" w:ascii="宋体" w:hAnsi="宋体" w:eastAsia="宋体" w:cs="宋体"/>
          <w:color w:val="auto"/>
          <w:sz w:val="24"/>
          <w:highlight w:val="none"/>
          <w:lang w:eastAsia="zh-CN"/>
        </w:rPr>
        <w:t xml:space="preserve">对于</w:t>
      </w:r>
      <w:r>
        <w:rPr>
          <w:rFonts w:hint="eastAsia" w:ascii="宋体" w:hAnsi="宋体" w:eastAsia="宋体" w:cs="宋体"/>
          <w:color w:val="auto"/>
          <w:sz w:val="24"/>
          <w:highlight w:val="none"/>
        </w:rPr>
        <w:t xml:space="preserve">专门面向中小微企业的项目，投标人应按照</w:t>
      </w:r>
      <w:r>
        <w:rPr>
          <w:rFonts w:hint="eastAsia" w:ascii="宋体" w:hAnsi="宋体" w:eastAsia="宋体" w:cs="宋体"/>
          <w:color w:val="auto"/>
          <w:sz w:val="24"/>
          <w:highlight w:val="none"/>
          <w:lang w:eastAsia="zh-CN"/>
        </w:rPr>
        <w:t xml:space="preserve">采购文件</w:t>
      </w:r>
      <w:r>
        <w:rPr>
          <w:rFonts w:hint="eastAsia" w:ascii="宋体" w:hAnsi="宋体" w:eastAsia="宋体" w:cs="宋体"/>
          <w:color w:val="auto"/>
          <w:sz w:val="24"/>
          <w:highlight w:val="none"/>
        </w:rPr>
        <w:t xml:space="preserve">格式要求提供《中小企业声明函》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对于未预留份额专门面向中小企业的政府采购货物或服务项目，以及预留份额政府采购货物或服务项目中的非预留部分标项，对小型和微型企业的投标报价给予</w:t>
      </w:r>
      <w:bookmarkStart w:id="27" w:name="_Hlk132637972"/>
      <w:r>
        <w:rPr>
          <w:rFonts w:hint="eastAsia" w:ascii="宋体" w:hAnsi="宋体" w:eastAsia="宋体" w:cs="宋体"/>
          <w:iCs/>
          <w:color w:val="auto"/>
          <w:sz w:val="24"/>
          <w:highlight w:val="none"/>
        </w:rPr>
        <w:t xml:space="preserve">10%-20%</w:t>
      </w:r>
      <w:bookmarkEnd w:id="27"/>
      <w:r>
        <w:rPr>
          <w:rFonts w:hint="eastAsia" w:ascii="宋体" w:hAnsi="宋体" w:eastAsia="宋体" w:cs="宋体"/>
          <w:color w:val="auto"/>
          <w:sz w:val="24"/>
          <w:highlight w:val="none"/>
        </w:rPr>
        <w:t xml:space="preserve">的扣除，</w:t>
      </w:r>
      <w:bookmarkStart w:id="28" w:name="_Hlk132637893"/>
      <w:r>
        <w:rPr>
          <w:rFonts w:hint="eastAsia" w:ascii="宋体" w:hAnsi="宋体" w:eastAsia="宋体" w:cs="宋体"/>
          <w:color w:val="auto"/>
          <w:sz w:val="24"/>
          <w:highlight w:val="none"/>
        </w:rPr>
        <w:t xml:space="preserve">用扣除后的价格参与评审</w:t>
      </w:r>
      <w:bookmarkEnd w:id="28"/>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color w:val="auto"/>
          <w:sz w:val="24"/>
          <w:highlight w:val="none"/>
        </w:rPr>
        <w:t xml:space="preserve">约定小型、微型企业的协议合同金额占到合同总金额30%以上的，给予联合体</w:t>
      </w:r>
      <w:r>
        <w:rPr>
          <w:rFonts w:hint="eastAsia" w:ascii="宋体" w:hAnsi="宋体" w:eastAsia="宋体" w:cs="宋体"/>
          <w:bCs/>
          <w:iCs/>
          <w:color w:val="auto"/>
          <w:sz w:val="24"/>
          <w:highlight w:val="none"/>
        </w:rPr>
        <w:t xml:space="preserve">4%-6%</w:t>
      </w:r>
      <w:r>
        <w:rPr>
          <w:rFonts w:hint="eastAsia" w:ascii="宋体" w:hAnsi="宋体" w:eastAsia="宋体" w:cs="宋体"/>
          <w:bCs/>
          <w:color w:val="auto"/>
          <w:sz w:val="24"/>
          <w:highlight w:val="none"/>
        </w:rPr>
        <w:t xml:space="preserve">的价格扣除。联合体各方均为小型、微型企业的，联合体视同为小型、微型企业享受</w:t>
      </w:r>
      <w:r>
        <w:rPr>
          <w:rFonts w:hint="eastAsia" w:ascii="宋体" w:hAnsi="宋体" w:eastAsia="宋体" w:cs="宋体"/>
          <w:iCs/>
          <w:color w:val="auto"/>
          <w:sz w:val="24"/>
          <w:highlight w:val="none"/>
        </w:rPr>
        <w:t xml:space="preserve">10%-20%</w:t>
      </w:r>
      <w:r>
        <w:rPr>
          <w:rFonts w:hint="eastAsia" w:ascii="宋体" w:hAnsi="宋体" w:eastAsia="宋体" w:cs="宋体"/>
          <w:bCs/>
          <w:color w:val="auto"/>
          <w:sz w:val="24"/>
          <w:highlight w:val="none"/>
        </w:rPr>
        <w:t xml:space="preserve">的价格扣除，</w:t>
      </w:r>
      <w:r>
        <w:rPr>
          <w:rFonts w:hint="eastAsia" w:ascii="宋体" w:hAnsi="宋体" w:eastAsia="宋体" w:cs="宋体"/>
          <w:color w:val="auto"/>
          <w:sz w:val="24"/>
          <w:highlight w:val="none"/>
        </w:rPr>
        <w:t xml:space="preserve">用扣除后的价格参与评审</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可享受中小企业扶持政策的投标人应按照</w:t>
      </w:r>
      <w:r>
        <w:rPr>
          <w:rFonts w:hint="eastAsia" w:ascii="宋体" w:hAnsi="宋体" w:eastAsia="宋体" w:cs="宋体"/>
          <w:color w:val="auto"/>
          <w:sz w:val="24"/>
          <w:highlight w:val="none"/>
          <w:lang w:eastAsia="zh-CN"/>
        </w:rPr>
        <w:t xml:space="preserve">采购文件</w:t>
      </w:r>
      <w:r>
        <w:rPr>
          <w:rFonts w:hint="eastAsia" w:ascii="宋体" w:hAnsi="宋体" w:eastAsia="宋体" w:cs="宋体"/>
          <w:color w:val="auto"/>
          <w:sz w:val="24"/>
          <w:highlight w:val="none"/>
        </w:rPr>
        <w:t xml:space="preserve">格式要求提供《中小企业声明函》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1583"/>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5.1.4</w:t>
      </w:r>
      <w:r>
        <w:rPr>
          <w:rFonts w:hint="eastAsia" w:ascii="宋体" w:hAnsi="宋体" w:eastAsia="宋体" w:cs="宋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5.2强制采购信息安全产品</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5.3支持绿色发展</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5.3.2本项目中涉及商品包装和快递包装的，参考《财政部办公厅关于印发《商品包装政府采购需求标准（试行）》、《快递包装政府采购需求标准（试行）》的通知》</w:t>
      </w:r>
      <w:bookmarkStart w:id="29" w:name="_Hlk132634610"/>
      <w:r>
        <w:rPr>
          <w:rFonts w:hint="eastAsia" w:ascii="宋体" w:hAnsi="宋体" w:eastAsia="宋体" w:cs="宋体"/>
          <w:color w:val="auto"/>
          <w:sz w:val="24"/>
          <w:highlight w:val="none"/>
        </w:rPr>
        <w:t xml:space="preserve">（财办库〔2020〕123号）</w:t>
      </w:r>
      <w:bookmarkEnd w:id="29"/>
      <w:r>
        <w:rPr>
          <w:rFonts w:hint="eastAsia" w:ascii="宋体" w:hAnsi="宋体" w:eastAsia="宋体" w:cs="宋体"/>
          <w:color w:val="auto"/>
          <w:sz w:val="24"/>
          <w:highlight w:val="none"/>
        </w:rPr>
        <w:t xml:space="preserve">规定的包装需求标准。</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7"/>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5.3.5</w:t>
      </w:r>
      <w:r>
        <w:rPr>
          <w:rFonts w:hint="eastAsia" w:ascii="宋体" w:hAnsi="宋体" w:eastAsia="宋体" w:cs="宋体"/>
          <w:color w:val="auto"/>
          <w:sz w:val="24"/>
          <w:highlight w:val="none"/>
        </w:rPr>
        <w:t xml:space="preserve">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5.5支持创新发展</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5.5.1采购人优先采购被认定为重点推广应用、首台（套）重大装备、重点领域首版次软件的自主创新产品。</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5.6平等对待内外资企业和符合条件的破产重整企业</w:t>
      </w:r>
      <w:r/>
    </w:p>
    <w:p>
      <w:pPr>
        <w:ind w:firstLine="47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5.6.1平等对待内外资企业和符合条件的破产重整企业，切实保障企业公平竞争，平等维护企业的合法利益。</w:t>
      </w:r>
      <w:r/>
    </w:p>
    <w:p>
      <w:pPr>
        <w:pStyle w:val="1578"/>
        <w:jc w:val="center"/>
        <w:spacing w:line="360" w:lineRule="auto"/>
        <w:rPr>
          <w:color w:val="auto"/>
          <w:highlight w:val="none"/>
        </w:rPr>
      </w:pPr>
      <w:r>
        <w:rPr>
          <w:color w:val="auto"/>
          <w:highlight w:val="none"/>
        </w:rPr>
        <w:t xml:space="preserve">二、磋商文件</w:t>
      </w:r>
      <w:bookmarkEnd w:id="26"/>
      <w:r/>
      <w:r/>
    </w:p>
    <w:p>
      <w:pPr>
        <w:pStyle w:val="1579"/>
        <w:spacing w:line="360" w:lineRule="auto"/>
        <w:rPr>
          <w:rFonts w:ascii="宋体" w:hAnsi="宋体" w:eastAsia="宋体" w:cs="宋体"/>
          <w:color w:val="auto"/>
          <w:sz w:val="24"/>
          <w:highlight w:val="none"/>
        </w:rPr>
      </w:pPr>
      <w:r/>
      <w:bookmarkStart w:id="30" w:name="_Toc20478"/>
      <w:r>
        <w:rPr>
          <w:rFonts w:ascii="宋体" w:hAnsi="宋体" w:eastAsia="宋体" w:cs="宋体"/>
          <w:color w:val="auto"/>
          <w:sz w:val="24"/>
          <w:highlight w:val="none"/>
        </w:rPr>
        <w:t xml:space="preserve">6.磋商文件组成</w:t>
      </w:r>
      <w:bookmarkEnd w:id="30"/>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6.1磋商文件包括：</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(1)磋商邀请</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(2)供应商须知</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(3)合同</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(4)采购需求</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(5)评审办法和标准</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(6)磋商响应文件(格式)</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6.2供应商获取本文件后，应认真阅读本文件中所有的事项、格式条款和规范等要求。</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6.3</w:t>
      </w:r>
      <w:r>
        <w:rPr>
          <w:rFonts w:ascii="宋体" w:hAnsi="宋体" w:eastAsia="宋体" w:cs="宋体"/>
          <w:b/>
          <w:bCs/>
          <w:color w:val="auto"/>
          <w:sz w:val="24"/>
          <w:highlight w:val="none"/>
          <w:u w:val="single"/>
        </w:rPr>
        <w:t xml:space="preserve">除非有特殊要求，磋商文件不单独提供标的所在地自然环境、气象条件、公用设施等情况，供应商被视为熟悉上述与签订和履行合同有关的一切情况。</w:t>
      </w:r>
      <w:r/>
    </w:p>
    <w:p>
      <w:pPr>
        <w:rPr>
          <w:color w:val="auto"/>
          <w:highlight w:val="none"/>
        </w:rPr>
      </w:pPr>
      <w:r>
        <w:rPr>
          <w:color w:val="auto"/>
          <w:highlight w:val="none"/>
        </w:rPr>
      </w:r>
      <w:r/>
    </w:p>
    <w:p>
      <w:pPr>
        <w:pStyle w:val="1579"/>
        <w:spacing w:line="360" w:lineRule="auto"/>
        <w:rPr>
          <w:rFonts w:ascii="宋体" w:hAnsi="宋体" w:eastAsia="宋体" w:cs="宋体"/>
          <w:color w:val="auto"/>
          <w:sz w:val="24"/>
          <w:highlight w:val="none"/>
        </w:rPr>
      </w:pPr>
      <w:r/>
      <w:bookmarkStart w:id="31" w:name="_Toc1856"/>
      <w:r>
        <w:rPr>
          <w:rFonts w:ascii="宋体" w:hAnsi="宋体" w:eastAsia="宋体" w:cs="宋体"/>
          <w:color w:val="auto"/>
          <w:sz w:val="24"/>
          <w:highlight w:val="none"/>
        </w:rPr>
        <w:t xml:space="preserve">7.磋商文件的澄清和修改</w:t>
      </w:r>
      <w:bookmarkEnd w:id="31"/>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7.1任何要求对磋商文件进行澄清的供应商，应及时联系项目联系人。</w:t>
      </w:r>
      <w:r/>
    </w:p>
    <w:p>
      <w:pPr>
        <w:ind w:firstLine="482"/>
        <w:jc w:val="left"/>
        <w:spacing w:line="360" w:lineRule="auto"/>
        <w:rPr>
          <w:rFonts w:ascii="宋体" w:hAnsi="宋体" w:eastAsia="宋体" w:cs="宋体"/>
          <w:color w:val="auto"/>
          <w:sz w:val="24"/>
          <w:highlight w:val="none"/>
        </w:rPr>
      </w:pPr>
      <w:r>
        <w:rPr>
          <w:rFonts w:ascii="宋体" w:hAnsi="宋体" w:eastAsia="宋体" w:cs="宋体"/>
          <w:b/>
          <w:bCs/>
          <w:color w:val="auto"/>
          <w:sz w:val="24"/>
          <w:highlight w:val="none"/>
        </w:rPr>
        <w:t xml:space="preserve">7.2按照权责相一致原则，供应商提出的对于磋商文件主要商务、技术指标的相关澄清、修改要求，由采购人负责答复并视情况作出澄清或修改的决定。</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7.3磋商组织方可以对已发出的磋商文件进行必要的澄清或者修改。澄清或者修改将在“</w:t>
      </w:r>
      <w:r>
        <w:rPr>
          <w:rFonts w:hint="eastAsia" w:ascii="宋体" w:hAnsi="宋体" w:eastAsia="宋体" w:cs="宋体"/>
          <w:color w:val="auto"/>
          <w:sz w:val="24"/>
          <w:highlight w:val="none"/>
        </w:rPr>
        <w:t xml:space="preserve">江苏省政府采购网</w:t>
      </w:r>
      <w:r>
        <w:rPr>
          <w:rFonts w:ascii="宋体" w:hAnsi="宋体" w:eastAsia="宋体" w:cs="宋体"/>
          <w:color w:val="auto"/>
          <w:sz w:val="24"/>
          <w:highlight w:val="none"/>
        </w:rPr>
        <w:t xml:space="preserve">”网站上发布澄清公告。澄清或者修改的内容为磋商文件的组成部分。</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7.4澄清或者修改的内容可能影响磋商响应文件编制的，磋商组织方将在磋商截止时间至少5日前，在系统中以书面形式通知所有已获取磋商文件的潜在供应商，供应商请登录系统查看相应内容；不足5日的，磋商组织方将顺延提交首次磋商响应文件的截止时间。</w:t>
      </w:r>
      <w:r/>
    </w:p>
    <w:p>
      <w:pPr>
        <w:ind w:firstLine="482"/>
        <w:jc w:val="left"/>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rPr>
        <w:t xml:space="preserve">7.5如澄清或修改公告有重新发布电子磋商文件的，供应商应下载最新发布的电子磋商文件制作响应文件。因供应商自身原因未能及时获取的，一切后果由供应商自行承担。</w:t>
      </w:r>
      <w:r/>
    </w:p>
    <w:p>
      <w:pPr>
        <w:pStyle w:val="1578"/>
        <w:jc w:val="center"/>
        <w:spacing w:line="360" w:lineRule="auto"/>
        <w:rPr>
          <w:color w:val="auto"/>
          <w:highlight w:val="none"/>
        </w:rPr>
      </w:pPr>
      <w:r/>
      <w:bookmarkStart w:id="32" w:name="_Toc3571"/>
      <w:r>
        <w:rPr>
          <w:color w:val="auto"/>
          <w:highlight w:val="none"/>
        </w:rPr>
        <w:t xml:space="preserve">三、磋商响应文件</w:t>
      </w:r>
      <w:bookmarkEnd w:id="32"/>
      <w:r/>
      <w:r/>
    </w:p>
    <w:p>
      <w:pPr>
        <w:pStyle w:val="1579"/>
        <w:spacing w:line="360" w:lineRule="auto"/>
        <w:rPr>
          <w:rFonts w:ascii="宋体" w:hAnsi="宋体" w:eastAsia="宋体" w:cs="宋体"/>
          <w:color w:val="auto"/>
          <w:sz w:val="24"/>
          <w:highlight w:val="none"/>
        </w:rPr>
      </w:pPr>
      <w:r/>
      <w:bookmarkStart w:id="33" w:name="_Toc13603"/>
      <w:r>
        <w:rPr>
          <w:rFonts w:ascii="宋体" w:hAnsi="宋体" w:eastAsia="宋体" w:cs="宋体"/>
          <w:color w:val="auto"/>
          <w:sz w:val="24"/>
          <w:highlight w:val="none"/>
        </w:rPr>
        <w:t xml:space="preserve">8.编制响应文件的工具</w:t>
      </w:r>
      <w:bookmarkEnd w:id="33"/>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8.1供应商须通过</w:t>
      </w:r>
      <w:r>
        <w:rPr>
          <w:color w:val="auto"/>
          <w:sz w:val="24"/>
          <w:highlight w:val="none"/>
        </w:rPr>
        <w:t xml:space="preserve">“苏采云</w:t>
      </w:r>
      <w:r>
        <w:rPr>
          <w:rFonts w:hint="eastAsia"/>
          <w:color w:val="auto"/>
          <w:sz w:val="24"/>
          <w:highlight w:val="none"/>
        </w:rPr>
        <w:t xml:space="preserve">（政府采购一体化平台）</w:t>
      </w:r>
      <w:r>
        <w:rPr>
          <w:color w:val="auto"/>
          <w:sz w:val="24"/>
          <w:highlight w:val="none"/>
        </w:rPr>
        <w:t xml:space="preserve">”</w:t>
      </w:r>
      <w:r>
        <w:rPr>
          <w:rFonts w:ascii="宋体" w:hAnsi="宋体" w:eastAsia="宋体" w:cs="宋体"/>
          <w:color w:val="auto"/>
          <w:sz w:val="24"/>
          <w:highlight w:val="none"/>
        </w:rPr>
        <w:t xml:space="preserve">提供的最新响应文件制作软件编制响应文件。</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宋体" w:hAnsi="宋体" w:eastAsia="宋体" w:cs="宋体"/>
          <w:color w:val="auto"/>
          <w:sz w:val="24"/>
          <w:highlight w:val="none"/>
        </w:rPr>
      </w:pPr>
      <w:r/>
      <w:bookmarkStart w:id="34" w:name="_Toc2991"/>
      <w:r>
        <w:rPr>
          <w:rFonts w:ascii="宋体" w:hAnsi="宋体" w:eastAsia="宋体" w:cs="宋体"/>
          <w:color w:val="auto"/>
          <w:sz w:val="24"/>
          <w:highlight w:val="none"/>
        </w:rPr>
        <w:t xml:space="preserve">9.响应文件语言及度量衡单位</w:t>
      </w:r>
      <w:bookmarkEnd w:id="34"/>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9.2响应文件中所使用的计量单位除磋商文件中另有特殊规定外，一律使用法定计量单位。</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宋体" w:hAnsi="宋体" w:eastAsia="宋体" w:cs="宋体"/>
          <w:color w:val="auto"/>
          <w:sz w:val="24"/>
          <w:highlight w:val="none"/>
        </w:rPr>
      </w:pPr>
      <w:r/>
      <w:bookmarkStart w:id="35" w:name="_Toc27111"/>
      <w:r>
        <w:rPr>
          <w:rFonts w:ascii="宋体" w:hAnsi="宋体" w:eastAsia="宋体" w:cs="宋体"/>
          <w:color w:val="auto"/>
          <w:sz w:val="24"/>
          <w:highlight w:val="none"/>
        </w:rPr>
        <w:t xml:space="preserve">10.响应文件的构成</w:t>
      </w:r>
      <w:bookmarkEnd w:id="35"/>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10.1响应文件分为资格部分、商务部分和技术部分。</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10.2资格部分系指供应商提交的证明其有资格参加磋商的文件。</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10.3商务部分系指供应商提交的证明其成交后有能力履行合同的文件。</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10.4技术部分系指供应商提交的能够证明其提供的服务(货物)符合磋商文件规定的文件。</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10.5具体填写格式详见磋商文件第六部分。</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宋体" w:hAnsi="宋体" w:eastAsia="宋体" w:cs="宋体"/>
          <w:color w:val="auto"/>
          <w:sz w:val="24"/>
          <w:highlight w:val="none"/>
        </w:rPr>
      </w:pPr>
      <w:r/>
      <w:bookmarkStart w:id="36" w:name="_Toc5913"/>
      <w:r>
        <w:rPr>
          <w:rFonts w:ascii="宋体" w:hAnsi="宋体" w:eastAsia="宋体" w:cs="宋体"/>
          <w:color w:val="auto"/>
          <w:sz w:val="24"/>
          <w:highlight w:val="none"/>
        </w:rPr>
        <w:t xml:space="preserve">11.响应文件的编写</w:t>
      </w:r>
      <w:bookmarkEnd w:id="36"/>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11.1供应商应仔细阅读磋商文件，按照磋商文件的要求编制响应文件。响应文件应当对磋商文件提出的要求和条件作出明确响应。</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11.2供应商在编制响应文件时，各模块内容须填写或提交到对应位置，无相应内容可填的项应填写“无”、“没有相应指标”等明确的回答文字。</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11.3响应文件编排混乱、文字表达不清或上传资料内容模糊所引起的不利后果，由供应商自行承担。</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11.4供应商必须保证响应文件所提供的全部资料合法、真实、可靠。</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宋体" w:hAnsi="宋体" w:eastAsia="宋体" w:cs="宋体"/>
          <w:color w:val="auto"/>
          <w:sz w:val="24"/>
          <w:highlight w:val="none"/>
        </w:rPr>
      </w:pPr>
      <w:r/>
      <w:bookmarkStart w:id="37" w:name="_Toc12196"/>
      <w:r>
        <w:rPr>
          <w:rFonts w:ascii="宋体" w:hAnsi="宋体" w:eastAsia="宋体" w:cs="宋体"/>
          <w:color w:val="auto"/>
          <w:sz w:val="24"/>
          <w:highlight w:val="none"/>
        </w:rPr>
        <w:t xml:space="preserve">12.响应报价</w:t>
      </w:r>
      <w:bookmarkEnd w:id="37"/>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12.1磋商应以人民币报价(保留至小数点后2位，四舍五入)。</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12.2供应商应按磋商文件所提供的各报价表格式报价。</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12.3供应商对本项目应报出最具有竞争力的价格，应包括本次磋商要求提供货物(服务)已支付或将支付的所有费用。</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12.4供应商应按磋商文件的要求在响应文件里提供磋商首轮报价，并根据首轮报价在所附的首轮明细报价表上列明所提供货物及服务的明细报价。供应商需根据项目需求及自身经验填写明细报价。</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12.5在磋商过程中未对磋商内容作出实质性变更、修改的情况下，如最后报价超过首轮报价，则最后报价无效，以其首轮报价作为最终报价。</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12.6最低磋商报价不能作为成交的唯一保证。</w:t>
      </w:r>
      <w:r/>
    </w:p>
    <w:p>
      <w:pPr>
        <w:ind w:firstLine="480"/>
        <w:jc w:val="left"/>
        <w:spacing w:line="360" w:lineRule="auto"/>
        <w:rPr>
          <w:rFonts w:hint="eastAsia" w:ascii="宋体" w:hAnsi="宋体" w:eastAsia="宋体" w:cs="宋体"/>
          <w:color w:val="auto"/>
          <w:sz w:val="24"/>
          <w:highlight w:val="none"/>
        </w:rPr>
      </w:pPr>
      <w:r>
        <w:rPr>
          <w:rFonts w:ascii="宋体" w:hAnsi="宋体" w:eastAsia="宋体" w:cs="宋体"/>
          <w:color w:val="auto"/>
          <w:sz w:val="24"/>
          <w:highlight w:val="none"/>
        </w:rPr>
        <w:t xml:space="preserve">12.7磋商最后报价即为合同签约价。</w:t>
      </w:r>
      <w:r/>
    </w:p>
    <w:p>
      <w:pPr>
        <w:rPr>
          <w:color w:val="auto"/>
          <w:highlight w:val="none"/>
        </w:rPr>
      </w:pPr>
      <w:r>
        <w:rPr>
          <w:color w:val="auto"/>
          <w:highlight w:val="none"/>
        </w:rPr>
      </w:r>
      <w:r/>
    </w:p>
    <w:p>
      <w:pPr>
        <w:pStyle w:val="1579"/>
        <w:spacing w:line="360" w:lineRule="auto"/>
        <w:rPr>
          <w:rFonts w:ascii="宋体" w:hAnsi="宋体" w:eastAsia="宋体" w:cs="宋体"/>
          <w:color w:val="auto"/>
          <w:sz w:val="24"/>
          <w:highlight w:val="none"/>
        </w:rPr>
      </w:pPr>
      <w:r/>
      <w:bookmarkStart w:id="38" w:name="_Toc24207"/>
      <w:r>
        <w:rPr>
          <w:rFonts w:ascii="宋体" w:hAnsi="宋体" w:eastAsia="宋体" w:cs="宋体"/>
          <w:color w:val="auto"/>
          <w:sz w:val="24"/>
          <w:highlight w:val="none"/>
        </w:rPr>
        <w:t xml:space="preserve">13.磋商保证金</w:t>
      </w:r>
      <w:bookmarkEnd w:id="38"/>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13.1本项目不收磋商保证金。</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宋体" w:hAnsi="宋体" w:eastAsia="宋体" w:cs="宋体"/>
          <w:color w:val="auto"/>
          <w:sz w:val="24"/>
          <w:highlight w:val="none"/>
        </w:rPr>
      </w:pPr>
      <w:r/>
      <w:bookmarkStart w:id="39" w:name="_Toc7514"/>
      <w:r>
        <w:rPr>
          <w:rFonts w:ascii="宋体" w:hAnsi="宋体" w:eastAsia="宋体" w:cs="宋体"/>
          <w:color w:val="auto"/>
          <w:sz w:val="24"/>
          <w:highlight w:val="none"/>
        </w:rPr>
        <w:t xml:space="preserve">14.磋商响应有效期</w:t>
      </w:r>
      <w:bookmarkEnd w:id="39"/>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14.1磋商有效期为：磋商响应文件自磋商之日起45天内有效。供应商一旦领取了本</w:t>
      </w:r>
      <w:r/>
    </w:p>
    <w:p>
      <w:pPr>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磋商文件并参加磋商，即被认为接受了磋商有效期的约定。</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宋体" w:hAnsi="宋体" w:eastAsia="宋体" w:cs="宋体"/>
          <w:color w:val="auto"/>
          <w:sz w:val="24"/>
          <w:highlight w:val="none"/>
        </w:rPr>
      </w:pPr>
      <w:r/>
      <w:bookmarkStart w:id="40" w:name="_Toc7873"/>
      <w:r>
        <w:rPr>
          <w:rFonts w:ascii="宋体" w:hAnsi="宋体" w:eastAsia="宋体" w:cs="宋体"/>
          <w:color w:val="auto"/>
          <w:sz w:val="24"/>
          <w:highlight w:val="none"/>
        </w:rPr>
        <w:t xml:space="preserve">15.响应文件的式样和签署</w:t>
      </w:r>
      <w:bookmarkEnd w:id="40"/>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15.1供应商应通过响应文件制作软件使用数字认证证书对响应文件进行合成、电子签章及加密打包。</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宋体" w:hAnsi="宋体" w:eastAsia="宋体" w:cs="宋体"/>
          <w:color w:val="auto"/>
          <w:sz w:val="24"/>
          <w:highlight w:val="none"/>
        </w:rPr>
      </w:pPr>
      <w:r/>
      <w:bookmarkStart w:id="41" w:name="_Toc16357"/>
      <w:r>
        <w:rPr>
          <w:rFonts w:ascii="宋体" w:hAnsi="宋体" w:eastAsia="宋体" w:cs="宋体"/>
          <w:color w:val="auto"/>
          <w:sz w:val="24"/>
          <w:highlight w:val="none"/>
        </w:rPr>
        <w:t xml:space="preserve">16.响应文件的提交</w:t>
      </w:r>
      <w:bookmarkEnd w:id="41"/>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16.1响应文件提交</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16.1.1供应商须在磋商文件规定的截止时间前，通过响应文件编制软件或登录电子交易平台在规定时间内完成提交，提交成功后系统将发送回执。</w:t>
      </w:r>
      <w:r>
        <w:rPr>
          <w:rFonts w:ascii="宋体" w:hAnsi="宋体" w:eastAsia="宋体" w:cs="宋体"/>
          <w:b/>
          <w:bCs/>
          <w:color w:val="auto"/>
          <w:sz w:val="24"/>
          <w:highlight w:val="none"/>
          <w:u w:val="single"/>
        </w:rPr>
        <w:t xml:space="preserve">时间以电子交易平台时间为准</w:t>
      </w:r>
      <w:r>
        <w:rPr>
          <w:rFonts w:ascii="宋体" w:hAnsi="宋体" w:eastAsia="宋体" w:cs="宋体"/>
          <w:color w:val="auto"/>
          <w:sz w:val="24"/>
          <w:highlight w:val="none"/>
        </w:rPr>
        <w:t xml:space="preserve">。</w:t>
      </w:r>
      <w:r/>
    </w:p>
    <w:p>
      <w:pPr>
        <w:ind w:firstLine="482"/>
        <w:jc w:val="left"/>
        <w:spacing w:line="360" w:lineRule="auto"/>
        <w:rPr>
          <w:rFonts w:ascii="宋体" w:hAnsi="宋体" w:eastAsia="宋体" w:cs="宋体"/>
          <w:b/>
          <w:bCs/>
          <w:color w:val="auto"/>
          <w:sz w:val="24"/>
          <w:highlight w:val="none"/>
          <w:u w:val="single"/>
        </w:rPr>
      </w:pPr>
      <w:r>
        <w:rPr>
          <w:rFonts w:ascii="宋体" w:hAnsi="宋体" w:eastAsia="宋体" w:cs="宋体"/>
          <w:b/>
          <w:bCs/>
          <w:color w:val="auto"/>
          <w:sz w:val="24"/>
          <w:highlight w:val="none"/>
          <w:u w:val="single"/>
        </w:rPr>
        <w:t xml:space="preserve">16.1.2截止时间以后传输的响应文件，电子交易平台将拒绝接收。供应商应充分考虑网络环境、网络带宽等风险因素。</w:t>
      </w:r>
      <w:r/>
    </w:p>
    <w:p>
      <w:pPr>
        <w:ind w:firstLine="482"/>
        <w:jc w:val="left"/>
        <w:spacing w:line="360" w:lineRule="auto"/>
        <w:rPr>
          <w:rFonts w:ascii="宋体" w:hAnsi="宋体" w:eastAsia="宋体" w:cs="宋体"/>
          <w:b/>
          <w:bCs/>
          <w:color w:val="auto"/>
          <w:sz w:val="24"/>
          <w:highlight w:val="none"/>
          <w:u w:val="single"/>
        </w:rPr>
      </w:pPr>
      <w:r>
        <w:rPr>
          <w:rFonts w:ascii="宋体" w:hAnsi="宋体" w:eastAsia="宋体" w:cs="宋体"/>
          <w:b/>
          <w:bCs/>
          <w:color w:val="auto"/>
          <w:sz w:val="24"/>
          <w:highlight w:val="none"/>
          <w:u w:val="single"/>
        </w:rPr>
        <w:t xml:space="preserve">16.1.3提交完成后至解密前，供应商不能对加密响应文件时所使用的数字认证证书进行更新、续费，否则可能引起的响应文件解密失败等相关后果由供应商自行承担。</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16.1.4因不可抗力事件造成的响应文件的损坏、丢失的，磋商组织方不承担责任。</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16.2磋商组织方可以通过修改磋商文件自行酌情延长截止时间，在此情况下，推迟提交截止时间将以书面形式通知已获取磋商文件的潜在供应商，并在“</w:t>
      </w:r>
      <w:r>
        <w:rPr>
          <w:rFonts w:hint="eastAsia" w:ascii="宋体" w:hAnsi="宋体"/>
          <w:color w:val="auto"/>
          <w:sz w:val="24"/>
          <w:highlight w:val="none"/>
        </w:rPr>
        <w:t xml:space="preserve">江苏省政府采购网</w:t>
      </w:r>
      <w:r>
        <w:rPr>
          <w:rFonts w:ascii="宋体" w:hAnsi="宋体" w:eastAsia="宋体" w:cs="宋体"/>
          <w:color w:val="auto"/>
          <w:sz w:val="24"/>
          <w:highlight w:val="none"/>
        </w:rPr>
        <w:t xml:space="preserve">"上发布公告。供应商应及时自行登录系统查看相应内容。</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宋体" w:hAnsi="宋体" w:eastAsia="宋体" w:cs="宋体"/>
          <w:color w:val="auto"/>
          <w:sz w:val="24"/>
          <w:highlight w:val="none"/>
        </w:rPr>
      </w:pPr>
      <w:r/>
      <w:bookmarkStart w:id="42" w:name="_Toc4192"/>
      <w:r>
        <w:rPr>
          <w:rFonts w:ascii="宋体" w:hAnsi="宋体" w:eastAsia="宋体" w:cs="宋体"/>
          <w:color w:val="auto"/>
          <w:sz w:val="24"/>
          <w:highlight w:val="none"/>
        </w:rPr>
        <w:t xml:space="preserve">17.响应文件的补充、修改或者撤回</w:t>
      </w:r>
      <w:bookmarkEnd w:id="42"/>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17.1在提交截止时间前，供应商可以</w:t>
      </w:r>
      <w:r>
        <w:rPr>
          <w:rFonts w:hint="eastAsia" w:ascii="宋体" w:hAnsi="宋体" w:eastAsia="宋体" w:cs="宋体"/>
          <w:color w:val="auto"/>
          <w:sz w:val="24"/>
          <w:highlight w:val="none"/>
        </w:rPr>
        <w:t xml:space="preserve">重新上传电子响应文件或</w:t>
      </w:r>
      <w:r>
        <w:rPr>
          <w:rFonts w:ascii="宋体" w:hAnsi="宋体" w:eastAsia="宋体" w:cs="宋体"/>
          <w:color w:val="auto"/>
          <w:sz w:val="24"/>
          <w:highlight w:val="none"/>
        </w:rPr>
        <w:t xml:space="preserve">对所提交的电子响应文件进行撤回。</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17.2在提交截止时间之后，供应商不得对其响应文件作任何修改或撤回。</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17.3在提交截止时间至磋商文件中规定的磋商有效期满之间，供应商不得撤回其响应</w:t>
      </w:r>
      <w:r>
        <w:rPr>
          <w:rFonts w:hint="eastAsia" w:ascii="宋体" w:hAnsi="宋体" w:eastAsia="宋体" w:cs="宋体"/>
          <w:color w:val="auto"/>
          <w:sz w:val="24"/>
          <w:highlight w:val="none"/>
        </w:rPr>
        <w:t xml:space="preserve">文件</w:t>
      </w:r>
      <w:r>
        <w:rPr>
          <w:rFonts w:ascii="宋体" w:hAnsi="宋体" w:eastAsia="宋体" w:cs="宋体"/>
          <w:color w:val="auto"/>
          <w:sz w:val="24"/>
          <w:highlight w:val="none"/>
        </w:rPr>
        <w:t xml:space="preserve">。</w:t>
      </w:r>
      <w:r/>
    </w:p>
    <w:p>
      <w:pPr>
        <w:pStyle w:val="1578"/>
        <w:jc w:val="center"/>
        <w:spacing w:line="360" w:lineRule="auto"/>
        <w:rPr>
          <w:color w:val="auto"/>
          <w:highlight w:val="none"/>
        </w:rPr>
      </w:pPr>
      <w:r/>
      <w:bookmarkStart w:id="43" w:name="_Toc22379"/>
      <w:r>
        <w:rPr>
          <w:color w:val="auto"/>
          <w:highlight w:val="none"/>
        </w:rPr>
        <w:t xml:space="preserve">四、磋商与评审</w:t>
      </w:r>
      <w:bookmarkEnd w:id="43"/>
      <w:r/>
      <w:r/>
    </w:p>
    <w:p>
      <w:pPr>
        <w:pStyle w:val="1579"/>
        <w:spacing w:line="360" w:lineRule="auto"/>
        <w:rPr>
          <w:rFonts w:ascii="宋体" w:hAnsi="宋体" w:eastAsia="宋体" w:cs="宋体"/>
          <w:color w:val="auto"/>
          <w:sz w:val="24"/>
          <w:highlight w:val="none"/>
        </w:rPr>
      </w:pPr>
      <w:r/>
      <w:bookmarkStart w:id="44" w:name="_Toc7242"/>
      <w:r>
        <w:rPr>
          <w:rFonts w:ascii="宋体" w:hAnsi="宋体" w:eastAsia="宋体" w:cs="宋体"/>
          <w:color w:val="auto"/>
          <w:sz w:val="24"/>
          <w:highlight w:val="none"/>
        </w:rPr>
        <w:t xml:space="preserve">18.磋商</w:t>
      </w:r>
      <w:bookmarkEnd w:id="44"/>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18.1供应商应当在磋商前做好充分准备，携带CA数字证书准时参加磋商。</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18.2供应商不足3家，不进入解密程序。</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18.3磋商时，磋商组织方将在系统内公布供应商名单，发出解密的指令，供应商自行实施解密，限定在主持人发布解密指令后</w:t>
      </w:r>
      <w:r>
        <w:rPr>
          <w:rFonts w:hint="eastAsia" w:ascii="宋体" w:hAnsi="宋体" w:eastAsia="宋体" w:cs="宋体"/>
          <w:color w:val="auto"/>
          <w:sz w:val="24"/>
          <w:highlight w:val="none"/>
          <w:lang w:val="en-US" w:eastAsia="zh-CN"/>
        </w:rPr>
        <w:t xml:space="preserve">30</w:t>
      </w:r>
      <w:r>
        <w:rPr>
          <w:rFonts w:ascii="宋体" w:hAnsi="宋体" w:eastAsia="宋体" w:cs="宋体"/>
          <w:color w:val="auto"/>
          <w:sz w:val="24"/>
          <w:highlight w:val="none"/>
        </w:rPr>
        <w:t xml:space="preserve">分钟</w:t>
      </w:r>
      <w:r>
        <w:rPr>
          <w:rFonts w:ascii="宋体" w:hAnsi="宋体" w:eastAsia="宋体" w:cs="宋体"/>
          <w:color w:val="auto"/>
          <w:sz w:val="24"/>
          <w:highlight w:val="none"/>
        </w:rPr>
        <w:t xml:space="preserve">内完成。解密时，供应商必须使用与制作响应文件时同一数字认证证书对响应文件进行解密，否则解密将会失败。</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18.4因供应商原因造成响应文件未解密或解密失败或无法正常打开响应文件的，磋商组织方将拒绝其响应。部分供应商的响应文件未解密或解密失败的，程序可以继续进行。若解密成功的供应商不足三家，不进入后续程序。</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18.5本项目在限定的解密时间内，只要有任一家供应商解密成功，即视为电子交易平台运行无故障。</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18.6供应商须配合磋商工作，否则自行承担后果。</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宋体" w:hAnsi="宋体" w:eastAsia="宋体" w:cs="宋体"/>
          <w:color w:val="auto"/>
          <w:sz w:val="24"/>
          <w:highlight w:val="none"/>
        </w:rPr>
      </w:pPr>
      <w:r/>
      <w:bookmarkStart w:id="45" w:name="_Toc30039"/>
      <w:r>
        <w:rPr>
          <w:rFonts w:ascii="宋体" w:hAnsi="宋体" w:eastAsia="宋体" w:cs="宋体"/>
          <w:color w:val="auto"/>
          <w:sz w:val="24"/>
          <w:highlight w:val="none"/>
        </w:rPr>
        <w:t xml:space="preserve">19.磋商小组组成</w:t>
      </w:r>
      <w:bookmarkEnd w:id="45"/>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19.1磋商小组将由采购人代表和评审专家组成，成员人数为3人或3人以上单数。</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宋体" w:hAnsi="宋体" w:eastAsia="宋体" w:cs="宋体"/>
          <w:color w:val="auto"/>
          <w:sz w:val="24"/>
          <w:highlight w:val="none"/>
        </w:rPr>
      </w:pPr>
      <w:r/>
      <w:bookmarkStart w:id="46" w:name="_Toc21025"/>
      <w:r>
        <w:rPr>
          <w:rFonts w:ascii="宋体" w:hAnsi="宋体" w:eastAsia="宋体" w:cs="宋体"/>
          <w:color w:val="auto"/>
          <w:sz w:val="24"/>
          <w:highlight w:val="none"/>
        </w:rPr>
        <w:t xml:space="preserve">20.无效磋商的情形</w:t>
      </w:r>
      <w:bookmarkEnd w:id="46"/>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供应商存在下列情况之一的，其磋商无效：</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(1)响应文件未按磋商文件要求签署、盖章的；</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(2)不具备磋商文件中规定的资格要求的；</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(3)在磋商过程中未对磋商内容作出实质性变更、修改的情况下，首轮报价或最终报价超过磋商文件中规定的预算金额或最高限价的；</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(4)响应文件含有采购人不能接受的附加条件的；</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(5)不符合法律、法规和磋商文件规定的其它实质性条款(须经磋商小组半数以上同意)</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(6)不同供应商的单位负责人为同一人或者存在直接控股、管理关系的；</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(7)“信用中国”网站</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www.creditchina.gov.cn</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、中国政府采购网</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www.ccgp.gov.cn)、“信用江苏”网站</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http://www.jscredit.gov.cn</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查询结果为失信被执行人名单、重大税收违法案件当事人名单、政府采购严重违法失信行为名单的；</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(8)磋商小组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(9)响应文件中提供了虚假或失实资料的；</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(10)不同供应商的响应文件出现了磋商小组认为不应当雷同的；</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(11)供应商存在串通磋商情形的；</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(12)未在提交截止时间前提交有效加密文件的；由于供应商原因，未在规定时间内对响应文件进行有效解密的；</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(13)项目服务期有负偏离的</w:t>
      </w:r>
      <w:r>
        <w:rPr>
          <w:rFonts w:hint="eastAsia" w:ascii="宋体" w:hAnsi="宋体" w:eastAsia="宋体" w:cs="宋体"/>
          <w:color w:val="auto"/>
          <w:sz w:val="24"/>
          <w:highlight w:val="none"/>
        </w:rPr>
        <w:t xml:space="preserve">。</w:t>
      </w:r>
      <w:r/>
    </w:p>
    <w:p>
      <w:pPr>
        <w:rPr>
          <w:color w:val="auto"/>
          <w:highlight w:val="none"/>
        </w:rPr>
      </w:pPr>
      <w:r>
        <w:rPr>
          <w:color w:val="auto"/>
          <w:highlight w:val="none"/>
        </w:rPr>
      </w:r>
      <w:r/>
    </w:p>
    <w:p>
      <w:pPr>
        <w:pStyle w:val="1579"/>
        <w:spacing w:line="360" w:lineRule="auto"/>
        <w:rPr>
          <w:rFonts w:ascii="宋体" w:hAnsi="宋体" w:eastAsia="宋体" w:cs="宋体"/>
          <w:color w:val="auto"/>
          <w:sz w:val="24"/>
          <w:highlight w:val="none"/>
        </w:rPr>
      </w:pPr>
      <w:r/>
      <w:bookmarkStart w:id="47" w:name="_Toc10021"/>
      <w:r>
        <w:rPr>
          <w:rFonts w:hint="eastAsia" w:ascii="宋体" w:hAnsi="宋体" w:eastAsia="宋体" w:cs="宋体"/>
          <w:color w:val="auto"/>
          <w:sz w:val="24"/>
          <w:highlight w:val="none"/>
        </w:rPr>
        <w:t xml:space="preserve">21.串通磋商的情形</w:t>
      </w:r>
      <w:bookmarkEnd w:id="47"/>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有下列情形之一的，视为供应商串通磋商，磋商无效：</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(1)不同供应商的响应文件由同一单位或者个人编制；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(2)不同供应商委托同一单位或者个人办理磋商事宜；</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(3)不同供应商的响应文件载明的项目管理成员或者联系人员为同一人；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(4)不同供应商的响应文件异常一致或者磋商报价呈规律性差异；</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(5)不同供应商的响应文件相互混装。</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宋体" w:hAnsi="宋体" w:eastAsia="宋体" w:cs="宋体"/>
          <w:color w:val="auto"/>
          <w:sz w:val="24"/>
          <w:highlight w:val="none"/>
        </w:rPr>
      </w:pPr>
      <w:r/>
      <w:bookmarkStart w:id="48" w:name="_Toc15457"/>
      <w:r>
        <w:rPr>
          <w:rFonts w:hint="eastAsia" w:ascii="宋体" w:hAnsi="宋体" w:eastAsia="宋体" w:cs="宋体"/>
          <w:color w:val="auto"/>
          <w:sz w:val="24"/>
          <w:highlight w:val="none"/>
        </w:rPr>
        <w:t xml:space="preserve">22.响应文件的澄清</w:t>
      </w:r>
      <w:bookmarkEnd w:id="48"/>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rPr>
          <w:rFonts w:ascii="宋体" w:hAnsi="宋体"/>
          <w:color w:val="auto"/>
          <w:sz w:val="24"/>
          <w:highlight w:val="none"/>
        </w:rPr>
      </w:pPr>
      <w:r/>
      <w:bookmarkStart w:id="49" w:name="EBc9267927ab09462cb2a1dad891272a2f"/>
      <w:r>
        <w:rPr>
          <w:rFonts w:ascii="Segoe UI Symbol" w:hAnsi="Segoe UI Symbol" w:cs="Segoe UI Symbol"/>
          <w:color w:val="auto"/>
          <w:sz w:val="24"/>
          <w:highlight w:val="none"/>
        </w:rPr>
        <w:t xml:space="preserve">☑</w:t>
      </w:r>
      <w:bookmarkEnd w:id="49"/>
      <w:r/>
      <w:bookmarkStart w:id="50" w:name="EB840788620d844f9da51ffe49f1f6c40e"/>
      <w:r>
        <w:rPr>
          <w:rFonts w:hint="eastAsia" w:ascii="宋体" w:hAnsi="宋体" w:eastAsia="宋体" w:cs="宋体"/>
          <w:color w:val="auto"/>
          <w:sz w:val="24"/>
          <w:highlight w:val="none"/>
        </w:rPr>
        <w:t xml:space="preserve">投标人可登录电子交易平台进入“</w:t>
      </w:r>
      <w:r>
        <w:rPr>
          <w:rFonts w:hint="eastAsia" w:ascii="宋体" w:hAnsi="宋体"/>
          <w:color w:val="auto"/>
          <w:sz w:val="24"/>
          <w:highlight w:val="none"/>
        </w:rPr>
        <w:t xml:space="preserve">答疑澄清-点击反馈”进行在线澄清，操作指南详见http://ggzy.zhenjiang.gov.cn/zjzc/cgzn/013003/（“苏采云”系统供应商操作手册）。</w:t>
      </w:r>
      <w:bookmarkEnd w:id="50"/>
      <w:r/>
      <w:r/>
    </w:p>
    <w:p>
      <w:pPr>
        <w:pStyle w:val="1578"/>
        <w:rPr>
          <w:color w:val="auto"/>
          <w:highlight w:val="none"/>
        </w:rPr>
      </w:pPr>
      <w:r>
        <w:rPr>
          <w:color w:val="auto"/>
          <w:highlight w:val="none"/>
        </w:rPr>
      </w:r>
      <w:r/>
    </w:p>
    <w:p>
      <w:pPr>
        <w:pStyle w:val="1579"/>
        <w:spacing w:line="360" w:lineRule="auto"/>
        <w:rPr>
          <w:rFonts w:ascii="宋体" w:hAnsi="宋体" w:eastAsia="宋体" w:cs="宋体"/>
          <w:color w:val="auto"/>
          <w:sz w:val="24"/>
          <w:highlight w:val="none"/>
        </w:rPr>
      </w:pPr>
      <w:r/>
      <w:bookmarkStart w:id="51" w:name="_Toc31878"/>
      <w:r>
        <w:rPr>
          <w:rFonts w:hint="eastAsia" w:ascii="宋体" w:hAnsi="宋体" w:eastAsia="宋体" w:cs="宋体"/>
          <w:color w:val="auto"/>
          <w:sz w:val="24"/>
          <w:highlight w:val="none"/>
        </w:rPr>
        <w:t xml:space="preserve">23.磋商内容</w:t>
      </w:r>
      <w:bookmarkEnd w:id="51"/>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23.1磋商小组与符合条件的供应商就磋商文件中的技术、服务要求及合同草案条款等进行磋商。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根据磋商文件和磋商情况作出的实质性变动是磋商文件的有效组成部分，磋商小组将及时以书面形式同时通知所有参加磋商的供应商。</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宋体" w:hAnsi="宋体" w:eastAsia="宋体" w:cs="宋体"/>
          <w:color w:val="auto"/>
          <w:sz w:val="24"/>
          <w:highlight w:val="none"/>
        </w:rPr>
      </w:pPr>
      <w:r/>
      <w:bookmarkStart w:id="52" w:name="_Toc18042"/>
      <w:r>
        <w:rPr>
          <w:rFonts w:hint="eastAsia" w:ascii="宋体" w:hAnsi="宋体" w:eastAsia="宋体" w:cs="宋体"/>
          <w:color w:val="auto"/>
          <w:sz w:val="24"/>
          <w:highlight w:val="none"/>
        </w:rPr>
        <w:t xml:space="preserve">24.最后报价的提交</w:t>
      </w:r>
      <w:bookmarkEnd w:id="52"/>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最后报价是供应商响应文件的有效组成部分。符合《政府采购竞争性磋商采购方式管理暂行办法》第三条第四项及本须知第25.2项情形的，提交最后报价的供应商可以为2家。</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宋体" w:hAnsi="宋体" w:eastAsia="宋体" w:cs="宋体"/>
          <w:color w:val="auto"/>
          <w:sz w:val="24"/>
          <w:highlight w:val="none"/>
        </w:rPr>
      </w:pPr>
      <w:r/>
      <w:bookmarkStart w:id="53" w:name="_Toc27556"/>
      <w:r>
        <w:rPr>
          <w:rFonts w:hint="eastAsia" w:ascii="宋体" w:hAnsi="宋体" w:eastAsia="宋体" w:cs="宋体"/>
          <w:color w:val="auto"/>
          <w:sz w:val="24"/>
          <w:highlight w:val="none"/>
        </w:rPr>
        <w:t xml:space="preserve">25.竞争性磋商特殊情况处理</w:t>
      </w:r>
      <w:bookmarkEnd w:id="53"/>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25.1出现下列情形之一的，应当终止竞争性磋商采购活动，发布项目终止公告并说明原因，重新开展采购活动：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(1)因情况变化，不再符合规定的竞争性磋商采购方式适用情形的；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2"/>
        <w:jc w:val="left"/>
        <w:spacing w:line="360" w:lineRule="auto"/>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25.3因重大变故，采购任务取消的则该磋商活动取消，采购人应当将取消理由通知所有供应商。</w:t>
      </w:r>
      <w:r/>
    </w:p>
    <w:p>
      <w:pPr>
        <w:pStyle w:val="1578"/>
        <w:jc w:val="center"/>
        <w:spacing w:line="360" w:lineRule="auto"/>
        <w:rPr>
          <w:color w:val="auto"/>
          <w:highlight w:val="none"/>
        </w:rPr>
      </w:pPr>
      <w:r/>
      <w:bookmarkStart w:id="54" w:name="_Toc19583"/>
      <w:r>
        <w:rPr>
          <w:rFonts w:hint="eastAsia"/>
          <w:color w:val="auto"/>
          <w:highlight w:val="none"/>
        </w:rPr>
        <w:t xml:space="preserve">五、确定成交结果</w:t>
      </w:r>
      <w:bookmarkEnd w:id="54"/>
      <w:r/>
      <w:r/>
    </w:p>
    <w:p>
      <w:pPr>
        <w:pStyle w:val="1579"/>
        <w:spacing w:line="360" w:lineRule="auto"/>
        <w:rPr>
          <w:rFonts w:ascii="宋体" w:hAnsi="宋体" w:eastAsia="宋体" w:cs="宋体"/>
          <w:color w:val="auto"/>
          <w:sz w:val="24"/>
          <w:highlight w:val="none"/>
        </w:rPr>
      </w:pPr>
      <w:r/>
      <w:bookmarkStart w:id="55" w:name="_Toc27795"/>
      <w:r>
        <w:rPr>
          <w:rFonts w:hint="eastAsia" w:ascii="宋体" w:hAnsi="宋体" w:eastAsia="宋体" w:cs="宋体"/>
          <w:color w:val="auto"/>
          <w:sz w:val="24"/>
          <w:highlight w:val="none"/>
        </w:rPr>
        <w:t xml:space="preserve">26.确定成交供应商</w:t>
      </w:r>
      <w:bookmarkEnd w:id="55"/>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26.1采购人从评审报告提出的成交候选供应商中，按照排序由高到低的原则确定成交供应商。</w:t>
      </w:r>
      <w:r/>
    </w:p>
    <w:p>
      <w:pPr>
        <w:pStyle w:val="1578"/>
        <w:jc w:val="center"/>
        <w:spacing w:line="360" w:lineRule="auto"/>
        <w:rPr>
          <w:color w:val="auto"/>
          <w:highlight w:val="none"/>
        </w:rPr>
      </w:pPr>
      <w:r/>
      <w:bookmarkStart w:id="56" w:name="_Toc26971"/>
      <w:r>
        <w:rPr>
          <w:rFonts w:hint="eastAsia"/>
          <w:color w:val="auto"/>
          <w:highlight w:val="none"/>
        </w:rPr>
        <w:t xml:space="preserve">六、授予合同</w:t>
      </w:r>
      <w:bookmarkEnd w:id="56"/>
      <w:r/>
      <w:r/>
    </w:p>
    <w:p>
      <w:pPr>
        <w:pStyle w:val="1579"/>
        <w:spacing w:line="360" w:lineRule="auto"/>
        <w:rPr>
          <w:rFonts w:ascii="宋体" w:hAnsi="宋体" w:eastAsia="宋体" w:cs="宋体"/>
          <w:color w:val="auto"/>
          <w:sz w:val="24"/>
          <w:highlight w:val="none"/>
        </w:rPr>
      </w:pPr>
      <w:r/>
      <w:bookmarkStart w:id="57" w:name="_Toc11563"/>
      <w:r>
        <w:rPr>
          <w:rFonts w:hint="eastAsia" w:ascii="宋体" w:hAnsi="宋体" w:eastAsia="宋体" w:cs="宋体"/>
          <w:color w:val="auto"/>
          <w:sz w:val="24"/>
          <w:highlight w:val="none"/>
        </w:rPr>
        <w:t xml:space="preserve">27.磋商组织方接受和拒绝任何或所有响应的权利</w:t>
      </w:r>
      <w:bookmarkEnd w:id="57"/>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27.1为维护国家和社会公共利益，磋商组织方保留在授标之前任何时候接受或拒绝任何供应商成交的权利，且对受影响的供应商不承担任何责任。</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27.2因不可抗力或成交供应商不能履约等情形，磋商组织方保留与其他候选供应商签订合同的权利。</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宋体" w:hAnsi="宋体" w:eastAsia="宋体" w:cs="宋体"/>
          <w:color w:val="auto"/>
          <w:sz w:val="24"/>
          <w:highlight w:val="none"/>
        </w:rPr>
      </w:pPr>
      <w:r/>
      <w:bookmarkStart w:id="58" w:name="_Toc32691"/>
      <w:r>
        <w:rPr>
          <w:rFonts w:hint="eastAsia" w:ascii="宋体" w:hAnsi="宋体" w:eastAsia="宋体" w:cs="宋体"/>
          <w:color w:val="auto"/>
          <w:sz w:val="24"/>
          <w:highlight w:val="none"/>
        </w:rPr>
        <w:t xml:space="preserve">28.成交通知书</w:t>
      </w:r>
      <w:bookmarkEnd w:id="58"/>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28.2成交通知书发出后，采购人不得违法改变成交结果，成交供应商无正当理由不得放弃成交。</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宋体" w:hAnsi="宋体" w:eastAsia="宋体" w:cs="宋体"/>
          <w:color w:val="auto"/>
          <w:sz w:val="24"/>
          <w:highlight w:val="none"/>
        </w:rPr>
      </w:pPr>
      <w:r/>
      <w:bookmarkStart w:id="59" w:name="_Toc2276"/>
      <w:r>
        <w:rPr>
          <w:rFonts w:hint="eastAsia" w:ascii="宋体" w:hAnsi="宋体" w:eastAsia="宋体" w:cs="宋体"/>
          <w:color w:val="auto"/>
          <w:sz w:val="24"/>
          <w:highlight w:val="none"/>
        </w:rPr>
        <w:t xml:space="preserve">29.签订合同</w:t>
      </w:r>
      <w:bookmarkEnd w:id="59"/>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29.1采购人应当自成交通知书发出之日起</w:t>
      </w:r>
      <w:r>
        <w:rPr>
          <w:rFonts w:hint="eastAsia" w:ascii="宋体" w:hAnsi="宋体" w:eastAsia="宋体" w:cs="宋体"/>
          <w:color w:val="auto"/>
          <w:sz w:val="24"/>
          <w:highlight w:val="none"/>
        </w:rPr>
        <w:t xml:space="preserve">15日</w:t>
      </w:r>
      <w:r>
        <w:rPr>
          <w:rFonts w:hint="eastAsia" w:ascii="宋体" w:hAnsi="宋体" w:eastAsia="宋体" w:cs="宋体"/>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29.2政府采购合同应当包括采购人与成交人的名称和住所、标的、数量、质量、价款或者报酬、履行期限及地点和方式、验收要求、违约责任、解决争议的方法等内容。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29.5采购人与成交人应当根据合同的约定依法履行合同义务。政府采购合同的履行、违约责任和解决争议的方法等适用</w:t>
      </w:r>
      <w:r>
        <w:rPr>
          <w:rFonts w:hint="eastAsia" w:ascii="宋体" w:hAnsi="宋体" w:eastAsia="宋体" w:cs="宋体"/>
          <w:color w:val="auto"/>
          <w:sz w:val="24"/>
          <w:highlight w:val="none"/>
        </w:rPr>
        <w:t xml:space="preserve">《中华人民共和国民法典》</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宋体" w:hAnsi="宋体" w:eastAsia="宋体" w:cs="宋体"/>
          <w:color w:val="auto"/>
          <w:sz w:val="24"/>
          <w:highlight w:val="none"/>
        </w:rPr>
      </w:pPr>
      <w:r/>
      <w:bookmarkStart w:id="60" w:name="_Toc6881"/>
      <w:r>
        <w:rPr>
          <w:rFonts w:hint="eastAsia" w:ascii="宋体" w:hAnsi="宋体" w:eastAsia="宋体" w:cs="宋体"/>
          <w:color w:val="auto"/>
          <w:sz w:val="24"/>
          <w:highlight w:val="none"/>
        </w:rPr>
        <w:t xml:space="preserve">30.履约保证金</w:t>
      </w:r>
      <w:bookmarkEnd w:id="60"/>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30.1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☑本项目不收取履约保证金。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1578"/>
        <w:jc w:val="center"/>
        <w:spacing w:line="360" w:lineRule="auto"/>
        <w:rPr>
          <w:color w:val="auto"/>
          <w:highlight w:val="none"/>
        </w:rPr>
      </w:pPr>
      <w:r>
        <w:rPr>
          <w:highlight w:val="none"/>
        </w:rPr>
      </w:r>
      <w:r>
        <w:rPr>
          <w:highlight w:val="none"/>
        </w:rPr>
      </w:r>
      <w:r/>
    </w:p>
    <w:p>
      <w:pPr>
        <w:pStyle w:val="1578"/>
        <w:jc w:val="center"/>
        <w:spacing w:line="360" w:lineRule="auto"/>
        <w:rPr>
          <w:highlight w:val="none"/>
        </w:rPr>
      </w:pPr>
      <w:r/>
      <w:bookmarkStart w:id="61" w:name="_Toc3184"/>
      <w:r>
        <w:rPr>
          <w:rFonts w:hint="eastAsia"/>
          <w:color w:val="auto"/>
          <w:highlight w:val="none"/>
        </w:rPr>
        <w:t xml:space="preserve">七、询问、质疑、投诉</w:t>
      </w:r>
      <w:bookmarkEnd w:id="61"/>
      <w:r/>
      <w:r/>
    </w:p>
    <w:p>
      <w:pPr>
        <w:pStyle w:val="1579"/>
        <w:spacing w:line="360" w:lineRule="auto"/>
        <w:rPr>
          <w:rFonts w:ascii="宋体" w:hAnsi="宋体" w:eastAsia="宋体" w:cs="宋体"/>
          <w:color w:val="auto"/>
          <w:sz w:val="24"/>
          <w:highlight w:val="none"/>
        </w:rPr>
      </w:pPr>
      <w:r/>
      <w:bookmarkStart w:id="62" w:name="_Toc28834"/>
      <w:r>
        <w:rPr>
          <w:rFonts w:hint="eastAsia" w:ascii="宋体" w:hAnsi="宋体" w:eastAsia="宋体" w:cs="宋体"/>
          <w:color w:val="auto"/>
          <w:sz w:val="24"/>
          <w:highlight w:val="none"/>
        </w:rPr>
        <w:t xml:space="preserve">31.询问</w:t>
      </w:r>
      <w:bookmarkEnd w:id="62"/>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供应商对磋商活动事项有疑问的，可以向采购人或磋商组织方提出询问，采购人或磋商组织方将依法作出答复，但答复的内容不得涉及商业秘密。</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宋体" w:hAnsi="宋体" w:eastAsia="宋体" w:cs="宋体"/>
          <w:color w:val="auto"/>
          <w:sz w:val="24"/>
          <w:highlight w:val="none"/>
        </w:rPr>
      </w:pPr>
      <w:r/>
      <w:bookmarkStart w:id="63" w:name="_Toc19226"/>
      <w:r>
        <w:rPr>
          <w:rFonts w:hint="eastAsia" w:ascii="宋体" w:hAnsi="宋体" w:eastAsia="宋体" w:cs="宋体"/>
          <w:color w:val="auto"/>
          <w:sz w:val="24"/>
          <w:highlight w:val="none"/>
        </w:rPr>
        <w:t xml:space="preserve">32.质疑</w:t>
      </w:r>
      <w:bookmarkEnd w:id="63"/>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以上规定的供应商应知其权益受到损害之日，是指：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(1)对可以质疑的磋商文件提出质疑的，为收到磋商文件之日或者磋商文件公告期限</w:t>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届满之日；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(3)对成交结果提出质疑的，为结果公告期限届满之日。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bCs/>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eastAsia="宋体" w:cs="宋体"/>
          <w:color w:val="auto"/>
          <w:sz w:val="24"/>
          <w:highlight w:val="none"/>
        </w:rPr>
        <w:t xml:space="preserve">32.4</w:t>
      </w:r>
      <w:bookmarkStart w:id="64" w:name="EB5edbbd8b303840bdb3b55af5a67538d7"/>
      <w:r>
        <w:rPr>
          <w:rFonts w:hint="eastAsia" w:ascii="宋体" w:hAnsi="宋体"/>
          <w:color w:val="auto"/>
          <w:sz w:val="24"/>
          <w:highlight w:val="none"/>
        </w:rPr>
        <w:t xml:space="preserve">项目质疑流程及注意事项见“江苏政府采购网”网站首页-办事指南-投诉处理流程</w:t>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（http://www.ccgp-jiangsu.gov.cn/jiangsu/tscllc/d1/d1d413a089cf47be917aa230fbf052c4.html）。</w:t>
      </w:r>
      <w:bookmarkEnd w:id="64"/>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宋体" w:hAnsi="宋体" w:eastAsia="宋体" w:cs="宋体"/>
          <w:color w:val="auto"/>
          <w:sz w:val="24"/>
          <w:highlight w:val="none"/>
        </w:rPr>
      </w:pPr>
      <w:r/>
      <w:bookmarkStart w:id="65" w:name="_Toc20857"/>
      <w:r>
        <w:rPr>
          <w:rFonts w:hint="eastAsia" w:ascii="宋体" w:hAnsi="宋体" w:eastAsia="宋体" w:cs="宋体"/>
          <w:color w:val="auto"/>
          <w:sz w:val="24"/>
          <w:highlight w:val="none"/>
        </w:rPr>
        <w:t xml:space="preserve">33.投诉</w:t>
      </w:r>
      <w:bookmarkEnd w:id="65"/>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1578"/>
        <w:jc w:val="center"/>
        <w:spacing w:line="360" w:lineRule="auto"/>
        <w:rPr>
          <w:color w:val="auto"/>
          <w:highlight w:val="none"/>
        </w:rPr>
      </w:pPr>
      <w:r>
        <w:rPr>
          <w:highlight w:val="none"/>
        </w:rPr>
      </w:r>
      <w:r>
        <w:rPr>
          <w:highlight w:val="none"/>
        </w:rPr>
      </w:r>
      <w:r/>
    </w:p>
    <w:p>
      <w:pPr>
        <w:pStyle w:val="1578"/>
        <w:jc w:val="center"/>
        <w:spacing w:line="360" w:lineRule="auto"/>
        <w:rPr>
          <w:highlight w:val="none"/>
        </w:rPr>
      </w:pPr>
      <w:r/>
      <w:bookmarkStart w:id="66" w:name="_Toc15418"/>
      <w:r>
        <w:rPr>
          <w:rFonts w:hint="eastAsia"/>
          <w:color w:val="auto"/>
          <w:highlight w:val="none"/>
        </w:rPr>
        <w:t xml:space="preserve">八、诚实信用和解释权</w:t>
      </w:r>
      <w:bookmarkEnd w:id="66"/>
      <w:r/>
      <w:r/>
    </w:p>
    <w:p>
      <w:pPr>
        <w:pStyle w:val="1579"/>
        <w:spacing w:line="360" w:lineRule="auto"/>
        <w:rPr>
          <w:rFonts w:ascii="宋体" w:hAnsi="宋体" w:eastAsia="宋体" w:cs="宋体"/>
          <w:color w:val="auto"/>
          <w:sz w:val="24"/>
          <w:highlight w:val="none"/>
        </w:rPr>
      </w:pPr>
      <w:r/>
      <w:bookmarkStart w:id="67" w:name="_Toc1228"/>
      <w:r>
        <w:rPr>
          <w:rFonts w:hint="eastAsia" w:ascii="宋体" w:hAnsi="宋体" w:eastAsia="宋体" w:cs="宋体"/>
          <w:color w:val="auto"/>
          <w:sz w:val="24"/>
          <w:highlight w:val="none"/>
        </w:rPr>
        <w:t xml:space="preserve">34.诚实信用</w:t>
      </w:r>
      <w:bookmarkEnd w:id="67"/>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34.1供应商之间不得相互串通磋商报价，不得妨碍其他供应商的公平竞争，不得损害采购人和其他供应商的合法权益。</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34.2供应商不得以向磋商组织方工作人员、磋商小组成员行贿或者采取其他不正当手段谋取成交。经查实供应商有此行为的，将在“镇江市公共资源交易服务平台-政府采购”网站公告，政府采购管理部门将供应商列入不良行为记录名单，按照政府采购有关规定处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34.3供应商不得虚假承诺，否则，按照提供虚假材料谋取中标/成交处理。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34.4供应商应自觉遵守磋商纪律，扰乱磋商现场秩序的，属于失信行为，根据《江苏省政府采购供应商监督管理暂行办法》,失信行为将被记入供应商诚信档案。</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eastAsia="宋体" w:cs="宋体"/>
          <w:color w:val="auto"/>
          <w:sz w:val="24"/>
          <w:highlight w:val="none"/>
        </w:rPr>
        <w:t xml:space="preserve">询，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宋体" w:hAnsi="宋体" w:eastAsia="宋体" w:cs="宋体"/>
          <w:color w:val="auto"/>
          <w:sz w:val="24"/>
          <w:highlight w:val="none"/>
        </w:rPr>
      </w:pPr>
      <w:r/>
      <w:bookmarkStart w:id="68" w:name="_Toc18755"/>
      <w:r>
        <w:rPr>
          <w:rFonts w:hint="eastAsia" w:ascii="宋体" w:hAnsi="宋体" w:eastAsia="宋体" w:cs="宋体"/>
          <w:color w:val="auto"/>
          <w:sz w:val="24"/>
          <w:highlight w:val="none"/>
        </w:rPr>
        <w:t xml:space="preserve">35.解释权</w:t>
      </w:r>
      <w:bookmarkEnd w:id="68"/>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35.1除相关法律、法规规定外，本磋商文件的解释权归</w:t>
      </w:r>
      <w:r>
        <w:rPr>
          <w:rFonts w:hint="eastAsia" w:ascii="宋体" w:hAnsi="宋体" w:eastAsia="宋体" w:cs="宋体"/>
          <w:color w:val="auto"/>
          <w:sz w:val="24"/>
          <w:highlight w:val="none"/>
          <w:lang w:eastAsia="zh-CN"/>
        </w:rPr>
        <w:t xml:space="preserve">江苏正诚项目管理有限公司</w:t>
      </w:r>
      <w:r>
        <w:rPr>
          <w:rFonts w:hint="eastAsia" w:ascii="宋体" w:hAnsi="宋体" w:eastAsia="宋体" w:cs="宋体"/>
          <w:color w:val="auto"/>
          <w:sz w:val="24"/>
          <w:highlight w:val="none"/>
        </w:rPr>
        <w:t xml:space="preserve">所有。</w:t>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579"/>
        <w:spacing w:line="360" w:lineRule="auto"/>
        <w:rPr>
          <w:rFonts w:ascii="宋体" w:hAnsi="宋体" w:eastAsia="宋体" w:cs="宋体"/>
          <w:color w:val="auto"/>
          <w:sz w:val="24"/>
          <w:highlight w:val="none"/>
        </w:rPr>
      </w:pPr>
      <w:r/>
      <w:bookmarkStart w:id="69" w:name="_Toc14151"/>
      <w:r>
        <w:rPr>
          <w:rFonts w:hint="eastAsia" w:ascii="宋体" w:hAnsi="宋体" w:eastAsia="宋体" w:cs="宋体"/>
          <w:color w:val="auto"/>
          <w:sz w:val="24"/>
          <w:highlight w:val="none"/>
        </w:rPr>
        <w:t xml:space="preserve">36.适用法律及约束力</w:t>
      </w:r>
      <w:bookmarkEnd w:id="69"/>
      <w:r/>
      <w:r/>
    </w:p>
    <w:p>
      <w:pPr>
        <w:ind w:firstLine="480"/>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36.1供应商一旦获取了本磋商文件并参加磋商，即被认为接受了本磋商文件的规定和约束。</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36.2本次采购及由本次采购产生的合同受中华人民共和国法律制约和保护。</w:t>
      </w:r>
      <w:r/>
    </w:p>
    <w:p>
      <w:pPr>
        <w:ind w:firstLine="480"/>
        <w:jc w:val="left"/>
        <w:spacing w:line="360" w:lineRule="auto"/>
        <w:rPr>
          <w:rFonts w:ascii="宋体" w:hAnsi="宋体" w:eastAsia="宋体" w:cs="宋体"/>
          <w:color w:val="auto"/>
          <w:sz w:val="24"/>
          <w:highlight w:val="none"/>
        </w:rPr>
        <w:sectPr>
          <w:headerReference w:type="default" r:id="rId9"/>
          <w:footerReference w:type="default" r:id="rId21"/>
          <w:footnotePr/>
          <w:endnotePr/>
          <w:type w:val="nextPage"/>
          <w:pgSz w:w="11906" w:h="16838" w:orient="portrait"/>
          <w:pgMar w:top="1440" w:right="1242" w:bottom="1440" w:left="1242" w:header="851" w:footer="992" w:gutter="0"/>
          <w:cols w:num="1" w:sep="0" w:space="425" w:equalWidth="1"/>
          <w:docGrid w:linePitch="360"/>
        </w:sectPr>
      </w:pPr>
      <w:r>
        <w:rPr>
          <w:rFonts w:ascii="宋体" w:hAnsi="宋体" w:eastAsia="宋体" w:cs="宋体"/>
          <w:color w:val="auto"/>
          <w:sz w:val="24"/>
          <w:highlight w:val="none"/>
        </w:rPr>
      </w:r>
      <w:r/>
    </w:p>
    <w:p>
      <w:pPr>
        <w:jc w:val="center"/>
        <w:spacing w:line="360" w:lineRule="auto"/>
        <w:widowControl/>
        <w:rPr>
          <w:rFonts w:ascii="楷体" w:hAnsi="楷体" w:eastAsia="楷体"/>
          <w:b/>
          <w:color w:val="auto"/>
          <w:sz w:val="30"/>
          <w:highlight w:val="none"/>
        </w:rPr>
      </w:pPr>
      <w:r/>
      <w:bookmarkStart w:id="70" w:name="_Toc14638"/>
      <w:r>
        <w:rPr>
          <w:rFonts w:hint="eastAsia"/>
          <w:color w:val="auto"/>
          <w:sz w:val="24"/>
          <w:szCs w:val="32"/>
          <w:highlight w:val="none"/>
        </w:rPr>
        <w:t xml:space="preserve">第三部分</w:t>
      </w:r>
      <w:r>
        <w:rPr>
          <w:rFonts w:hint="eastAsia"/>
          <w:color w:val="auto"/>
          <w:highlight w:val="none"/>
        </w:rPr>
        <w:t xml:space="preserve">    </w:t>
      </w:r>
      <w:bookmarkEnd w:id="70"/>
      <w:r>
        <w:rPr>
          <w:rFonts w:hint="eastAsia" w:ascii="楷体" w:hAnsi="楷体" w:eastAsia="楷体"/>
          <w:b/>
          <w:color w:val="auto"/>
          <w:sz w:val="30"/>
          <w:highlight w:val="none"/>
        </w:rPr>
        <w:t xml:space="preserve">拟签订的合同文本（货物、服务类）</w:t>
      </w:r>
      <w:r/>
    </w:p>
    <w:p>
      <w:pPr>
        <w:ind w:left="62" w:right="47" w:firstLine="483"/>
        <w:spacing w:before="183" w:line="360" w:lineRule="auto"/>
        <w:rPr>
          <w:rFonts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u w:val="single"/>
          <w:lang w:val="en-US" w:eastAsia="zh-CN"/>
        </w:rPr>
        <w:t xml:space="preserve">镇江市公安局 </w:t>
      </w:r>
      <w:r>
        <w:rPr>
          <w:rFonts w:ascii="宋体" w:hAnsi="宋体" w:eastAsia="宋体" w:cs="宋体"/>
          <w:color w:val="auto"/>
          <w:spacing w:val="-4"/>
          <w:sz w:val="24"/>
          <w:szCs w:val="24"/>
          <w:highlight w:val="none"/>
        </w:rPr>
        <w:t xml:space="preserve"> </w:t>
      </w:r>
      <w:r>
        <w:rPr>
          <w:rFonts w:ascii="宋体" w:hAnsi="宋体" w:eastAsia="宋体" w:cs="宋体"/>
          <w:color w:val="auto"/>
          <w:spacing w:val="-4"/>
          <w:sz w:val="24"/>
          <w:szCs w:val="24"/>
          <w:highlight w:val="none"/>
        </w:rPr>
        <w:t xml:space="preserve">(采购人，以下简称“甲方”)和 </w:t>
      </w:r>
      <w:r>
        <w:rPr>
          <w:rFonts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ascii="宋体" w:hAnsi="宋体" w:eastAsia="宋体" w:cs="宋体"/>
          <w:color w:val="auto"/>
          <w:spacing w:val="-4"/>
          <w:sz w:val="24"/>
          <w:szCs w:val="24"/>
          <w:highlight w:val="none"/>
        </w:rPr>
        <w:t xml:space="preserve"> </w:t>
      </w:r>
      <w:r>
        <w:rPr>
          <w:rFonts w:ascii="宋体" w:hAnsi="宋体" w:eastAsia="宋体" w:cs="宋体"/>
          <w:color w:val="auto"/>
          <w:spacing w:val="-4"/>
          <w:sz w:val="24"/>
          <w:szCs w:val="24"/>
          <w:highlight w:val="none"/>
        </w:rPr>
        <w:t xml:space="preserve">(供应商，以下简称“乙方”)</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 xml:space="preserve">同意按下述条款和条件签订本合同(以下简称“合同”)</w:t>
      </w:r>
      <w:r>
        <w:rPr>
          <w:rFonts w:ascii="宋体" w:hAnsi="宋体" w:eastAsia="宋体" w:cs="宋体"/>
          <w:color w:val="auto"/>
          <w:spacing w:val="1"/>
          <w:sz w:val="24"/>
          <w:szCs w:val="24"/>
          <w:highlight w:val="none"/>
        </w:rPr>
        <w:t xml:space="preserve">：</w:t>
      </w:r>
      <w:r/>
    </w:p>
    <w:p>
      <w:pPr>
        <w:ind w:left="536"/>
        <w:spacing w:line="219"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1</w:t>
      </w:r>
      <w:r>
        <w:rPr>
          <w:rFonts w:ascii="宋体" w:hAnsi="宋体" w:eastAsia="宋体" w:cs="宋体"/>
          <w:color w:val="auto"/>
          <w:spacing w:val="-4"/>
          <w:sz w:val="24"/>
          <w:szCs w:val="24"/>
          <w:highlight w:val="none"/>
        </w:rPr>
        <w:t xml:space="preserve">.合同文件</w:t>
      </w:r>
      <w:r/>
    </w:p>
    <w:p>
      <w:pPr>
        <w:ind w:left="38" w:right="29" w:firstLine="487"/>
        <w:spacing w:before="182" w:line="366"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下列关于</w:t>
      </w:r>
      <w:r>
        <w:rPr>
          <w:rFonts w:ascii="宋体" w:hAnsi="宋体" w:eastAsia="宋体" w:cs="宋体"/>
          <w:color w:val="auto"/>
          <w:sz w:val="24"/>
          <w:szCs w:val="24"/>
          <w:highlight w:val="none"/>
          <w:u w:val="single"/>
        </w:rPr>
        <w:t xml:space="preserve">(项目名称) (项目编号)</w:t>
      </w:r>
      <w:r>
        <w:rPr>
          <w:rFonts w:ascii="宋体" w:hAnsi="宋体" w:eastAsia="宋体" w:cs="宋体"/>
          <w:color w:val="auto"/>
          <w:sz w:val="24"/>
          <w:szCs w:val="24"/>
          <w:highlight w:val="none"/>
        </w:rPr>
        <w:t xml:space="preserve">的采购文件、乙方提交的响应</w:t>
      </w:r>
      <w:r>
        <w:rPr>
          <w:rFonts w:ascii="宋体" w:hAnsi="宋体" w:eastAsia="宋体" w:cs="宋体"/>
          <w:color w:val="auto"/>
          <w:spacing w:val="-6"/>
          <w:sz w:val="24"/>
          <w:szCs w:val="24"/>
          <w:highlight w:val="none"/>
        </w:rPr>
        <w:t xml:space="preserve">文件， 以及与本采购活动相关的文件是构成本合同不可分割的部分，与本合同具有同等</w:t>
      </w:r>
      <w:r>
        <w:rPr>
          <w:rFonts w:ascii="宋体" w:hAnsi="宋体" w:eastAsia="宋体" w:cs="宋体"/>
          <w:color w:val="auto"/>
          <w:spacing w:val="-3"/>
          <w:sz w:val="24"/>
          <w:szCs w:val="24"/>
          <w:highlight w:val="none"/>
        </w:rPr>
        <w:t xml:space="preserve">法</w:t>
      </w:r>
      <w:r>
        <w:rPr>
          <w:rFonts w:ascii="宋体" w:hAnsi="宋体" w:eastAsia="宋体" w:cs="宋体"/>
          <w:color w:val="auto"/>
          <w:spacing w:val="-5"/>
          <w:sz w:val="24"/>
          <w:szCs w:val="24"/>
          <w:highlight w:val="none"/>
        </w:rPr>
        <w:t xml:space="preserve">律</w:t>
      </w:r>
      <w:r>
        <w:rPr>
          <w:rFonts w:ascii="宋体" w:hAnsi="宋体" w:eastAsia="宋体" w:cs="宋体"/>
          <w:color w:val="auto"/>
          <w:spacing w:val="-4"/>
          <w:sz w:val="24"/>
          <w:szCs w:val="24"/>
          <w:highlight w:val="none"/>
        </w:rPr>
        <w:t xml:space="preserve">效力，这些文件包括但不限于：</w:t>
      </w:r>
      <w:r/>
    </w:p>
    <w:p>
      <w:pPr>
        <w:ind w:left="525"/>
        <w:spacing w:before="73" w:line="220" w:lineRule="auto"/>
        <w:rPr>
          <w:rFonts w:ascii="宋体" w:hAnsi="宋体" w:eastAsia="宋体" w:cs="宋体"/>
          <w:color w:val="auto"/>
          <w:sz w:val="24"/>
          <w:szCs w:val="24"/>
          <w:highlight w:val="none"/>
        </w:rPr>
      </w:pPr>
      <w:r>
        <w:rPr>
          <w:rFonts w:ascii="宋体" w:hAnsi="宋体" w:eastAsia="宋体" w:cs="宋体"/>
          <w:color w:val="auto"/>
          <w:spacing w:val="21"/>
          <w:sz w:val="24"/>
          <w:szCs w:val="24"/>
          <w:highlight w:val="none"/>
        </w:rPr>
        <w:t xml:space="preserve">(1)合同条款；</w:t>
      </w:r>
      <w:r/>
    </w:p>
    <w:p>
      <w:pPr>
        <w:ind w:left="525"/>
        <w:spacing w:before="235" w:line="220" w:lineRule="auto"/>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 xml:space="preserve">(2)磋商响应函</w:t>
      </w:r>
      <w:r>
        <w:rPr>
          <w:rFonts w:ascii="宋体" w:hAnsi="宋体" w:eastAsia="宋体" w:cs="宋体"/>
          <w:color w:val="auto"/>
          <w:spacing w:val="6"/>
          <w:sz w:val="24"/>
          <w:szCs w:val="24"/>
          <w:highlight w:val="none"/>
        </w:rPr>
        <w:t xml:space="preserve">；</w:t>
      </w:r>
      <w:r/>
    </w:p>
    <w:p>
      <w:pPr>
        <w:ind w:left="525"/>
        <w:spacing w:before="233" w:line="218" w:lineRule="auto"/>
        <w:rPr>
          <w:rFonts w:ascii="宋体" w:hAnsi="宋体" w:eastAsia="宋体" w:cs="宋体"/>
          <w:color w:val="auto"/>
          <w:sz w:val="24"/>
          <w:szCs w:val="24"/>
          <w:highlight w:val="none"/>
        </w:rPr>
      </w:pPr>
      <w:r>
        <w:rPr>
          <w:rFonts w:ascii="宋体" w:hAnsi="宋体" w:eastAsia="宋体" w:cs="宋体"/>
          <w:color w:val="auto"/>
          <w:spacing w:val="14"/>
          <w:sz w:val="24"/>
          <w:szCs w:val="24"/>
          <w:highlight w:val="none"/>
        </w:rPr>
        <w:t xml:space="preserve">(</w:t>
      </w:r>
      <w:r>
        <w:rPr>
          <w:rFonts w:ascii="宋体" w:hAnsi="宋体" w:eastAsia="宋体" w:cs="宋体"/>
          <w:color w:val="auto"/>
          <w:spacing w:val="10"/>
          <w:sz w:val="24"/>
          <w:szCs w:val="24"/>
          <w:highlight w:val="none"/>
        </w:rPr>
        <w:t xml:space="preserve">3)最终报价表；</w:t>
      </w:r>
      <w:r/>
    </w:p>
    <w:p>
      <w:pPr>
        <w:ind w:left="525"/>
        <w:spacing w:before="237" w:line="219" w:lineRule="auto"/>
        <w:rPr>
          <w:rFonts w:ascii="宋体" w:hAnsi="宋体" w:eastAsia="宋体" w:cs="宋体"/>
          <w:color w:val="auto"/>
          <w:sz w:val="24"/>
          <w:szCs w:val="24"/>
          <w:highlight w:val="none"/>
        </w:rPr>
      </w:pPr>
      <w:r>
        <w:rPr>
          <w:rFonts w:ascii="宋体" w:hAnsi="宋体" w:eastAsia="宋体" w:cs="宋体"/>
          <w:color w:val="auto"/>
          <w:spacing w:val="24"/>
          <w:sz w:val="24"/>
          <w:szCs w:val="24"/>
          <w:highlight w:val="none"/>
        </w:rPr>
        <w:t xml:space="preserve">(</w:t>
      </w:r>
      <w:r>
        <w:rPr>
          <w:rFonts w:ascii="宋体" w:hAnsi="宋体" w:eastAsia="宋体" w:cs="宋体"/>
          <w:color w:val="auto"/>
          <w:spacing w:val="18"/>
          <w:sz w:val="24"/>
          <w:szCs w:val="24"/>
          <w:highlight w:val="none"/>
        </w:rPr>
        <w:t xml:space="preserve">4)成交通知书；</w:t>
      </w:r>
      <w:r/>
    </w:p>
    <w:p>
      <w:pPr>
        <w:ind w:left="641" w:right="4751" w:hanging="116"/>
        <w:spacing w:before="237" w:line="309" w:lineRule="auto"/>
        <w:rPr>
          <w:rFonts w:ascii="宋体" w:hAnsi="宋体" w:eastAsia="宋体" w:cs="宋体"/>
          <w:color w:val="auto"/>
          <w:sz w:val="24"/>
          <w:szCs w:val="24"/>
          <w:highlight w:val="none"/>
        </w:rPr>
      </w:pPr>
      <w:r>
        <w:rPr>
          <w:rFonts w:ascii="宋体" w:hAnsi="宋体" w:eastAsia="宋体" w:cs="宋体"/>
          <w:color w:val="auto"/>
          <w:spacing w:val="20"/>
          <w:sz w:val="24"/>
          <w:szCs w:val="24"/>
          <w:highlight w:val="none"/>
        </w:rPr>
        <w:t xml:space="preserve">(</w:t>
      </w:r>
      <w:r>
        <w:rPr>
          <w:rFonts w:ascii="宋体" w:hAnsi="宋体" w:eastAsia="宋体" w:cs="宋体"/>
          <w:color w:val="auto"/>
          <w:spacing w:val="10"/>
          <w:sz w:val="24"/>
          <w:szCs w:val="24"/>
          <w:highlight w:val="none"/>
        </w:rPr>
        <w:t xml:space="preserve">5)甲方、乙方商定的其他必要文件。</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 xml:space="preserve">2.合同范围和条件</w:t>
      </w:r>
      <w:r/>
    </w:p>
    <w:p>
      <w:pPr>
        <w:ind w:left="593"/>
        <w:spacing w:before="235"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本合同的范围和条件应与上述合同文件的规</w:t>
      </w:r>
      <w:r>
        <w:rPr>
          <w:rFonts w:ascii="宋体" w:hAnsi="宋体" w:eastAsia="宋体" w:cs="宋体"/>
          <w:color w:val="auto"/>
          <w:spacing w:val="-1"/>
          <w:sz w:val="24"/>
          <w:szCs w:val="24"/>
          <w:highlight w:val="none"/>
        </w:rPr>
        <w:t xml:space="preserve">定相一致。</w:t>
      </w:r>
      <w:r/>
    </w:p>
    <w:p>
      <w:pPr>
        <w:ind w:left="643"/>
        <w:spacing w:before="237"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3.标的物</w:t>
      </w:r>
      <w:r/>
    </w:p>
    <w:p>
      <w:pPr>
        <w:ind w:left="39" w:right="28" w:firstLine="554"/>
        <w:spacing w:before="232" w:line="40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本合同所提供</w:t>
      </w:r>
      <w:r>
        <w:rPr>
          <w:rFonts w:ascii="宋体" w:hAnsi="宋体" w:eastAsia="宋体" w:cs="宋体"/>
          <w:color w:val="auto"/>
          <w:spacing w:val="1"/>
          <w:sz w:val="24"/>
          <w:szCs w:val="24"/>
          <w:highlight w:val="none"/>
        </w:rPr>
        <w:t xml:space="preserve">的标的物详见“项目清单及明细报价表”  (本项目为交钥匙项目，乙</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 xml:space="preserve">方必须完</w:t>
      </w:r>
      <w:r>
        <w:rPr>
          <w:rFonts w:ascii="宋体" w:hAnsi="宋体" w:eastAsia="宋体" w:cs="宋体"/>
          <w:color w:val="auto"/>
          <w:sz w:val="24"/>
          <w:szCs w:val="24"/>
          <w:highlight w:val="none"/>
        </w:rPr>
        <w:t xml:space="preserve">全实现磋商文件中的采购需求，如有不足或缺陷，由乙方自行负责弥补，甲方不 </w:t>
      </w:r>
      <w:r>
        <w:rPr>
          <w:rFonts w:ascii="宋体" w:hAnsi="宋体" w:eastAsia="宋体" w:cs="宋体"/>
          <w:color w:val="auto"/>
          <w:spacing w:val="7"/>
          <w:sz w:val="24"/>
          <w:szCs w:val="24"/>
          <w:highlight w:val="none"/>
        </w:rPr>
        <w:t xml:space="preserve">再承担任何相关费用)</w:t>
      </w:r>
      <w:r>
        <w:rPr>
          <w:rFonts w:ascii="宋体" w:hAnsi="宋体" w:eastAsia="宋体" w:cs="宋体"/>
          <w:color w:val="auto"/>
          <w:spacing w:val="5"/>
          <w:sz w:val="24"/>
          <w:szCs w:val="24"/>
          <w:highlight w:val="none"/>
        </w:rPr>
        <w:t xml:space="preserve">。</w:t>
      </w:r>
      <w:r/>
    </w:p>
    <w:p>
      <w:pPr>
        <w:ind w:left="637"/>
        <w:spacing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4.合</w:t>
      </w:r>
      <w:r>
        <w:rPr>
          <w:rFonts w:ascii="宋体" w:hAnsi="宋体" w:eastAsia="宋体" w:cs="宋体"/>
          <w:color w:val="auto"/>
          <w:spacing w:val="-1"/>
          <w:sz w:val="24"/>
          <w:szCs w:val="24"/>
          <w:highlight w:val="none"/>
        </w:rPr>
        <w:t xml:space="preserve">同金额</w:t>
      </w:r>
      <w:r/>
    </w:p>
    <w:p>
      <w:pPr>
        <w:ind w:left="39" w:right="28" w:firstLine="554"/>
        <w:spacing w:before="232" w:line="40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 xml:space="preserve">根据上述合同文件要求，合同总金额(大写) 为人民币</w:t>
      </w:r>
      <w:r>
        <w:rPr>
          <w:rFonts w:ascii="宋体" w:hAnsi="宋体" w:eastAsia="宋体" w:cs="宋体"/>
          <w:color w:val="auto"/>
          <w:spacing w:val="2"/>
          <w:sz w:val="24"/>
          <w:szCs w:val="24"/>
          <w:highlight w:val="none"/>
          <w:u w:val="single"/>
        </w:rPr>
        <w:t xml:space="preserve">     </w:t>
      </w:r>
      <w:r>
        <w:rPr>
          <w:rFonts w:ascii="宋体" w:hAnsi="宋体" w:eastAsia="宋体" w:cs="宋体"/>
          <w:color w:val="auto"/>
          <w:spacing w:val="2"/>
          <w:sz w:val="24"/>
          <w:szCs w:val="24"/>
          <w:highlight w:val="none"/>
        </w:rPr>
        <w:t xml:space="preserve">元整 ，</w:t>
      </w:r>
      <w:r>
        <w:rPr>
          <w:rFonts w:hint="eastAsia" w:ascii="宋体" w:hAnsi="宋体" w:eastAsia="宋体" w:cs="宋体"/>
          <w:color w:val="auto"/>
          <w:spacing w:val="2"/>
          <w:sz w:val="24"/>
          <w:szCs w:val="24"/>
          <w:highlight w:val="none"/>
          <w:lang w:val="en-US" w:eastAsia="zh-CN"/>
        </w:rPr>
        <w:t xml:space="preserve">¥</w:t>
      </w:r>
      <w:r>
        <w:rPr>
          <w:rFonts w:ascii="宋体" w:hAnsi="宋体" w:eastAsia="宋体" w:cs="宋体"/>
          <w:color w:val="auto"/>
          <w:spacing w:val="2"/>
          <w:sz w:val="24"/>
          <w:szCs w:val="24"/>
          <w:highlight w:val="none"/>
          <w:u w:val="single"/>
        </w:rPr>
        <w:t xml:space="preserve">       </w:t>
      </w:r>
      <w:r>
        <w:rPr>
          <w:rFonts w:ascii="宋体" w:hAnsi="宋体" w:eastAsia="宋体" w:cs="宋体"/>
          <w:color w:val="auto"/>
          <w:spacing w:val="2"/>
          <w:sz w:val="24"/>
          <w:szCs w:val="24"/>
          <w:highlight w:val="none"/>
        </w:rPr>
        <w:t xml:space="preserve">元，分项价格在乙方提交的报价表中有明确规定。</w:t>
      </w:r>
      <w:r/>
    </w:p>
    <w:p>
      <w:pPr>
        <w:ind w:left="637"/>
        <w:spacing w:line="219" w:lineRule="auto"/>
        <w:rPr>
          <w:rFonts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 xml:space="preserve">5.付款方式</w:t>
      </w:r>
      <w:r/>
    </w:p>
    <w:p>
      <w:pPr>
        <w:ind w:left="39" w:right="28" w:firstLine="554"/>
        <w:spacing w:before="232"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（1）在签订合同后，收到乙方发票后</w:t>
      </w:r>
      <w:r>
        <w:rPr>
          <w:rFonts w:hint="eastAsia" w:ascii="宋体" w:hAnsi="宋体" w:eastAsia="宋体" w:cs="宋体"/>
          <w:color w:val="auto"/>
          <w:sz w:val="24"/>
          <w:szCs w:val="24"/>
          <w:highlight w:val="none"/>
          <w:lang w:val="en-US" w:eastAsia="zh-CN"/>
        </w:rPr>
        <w:t xml:space="preserve">10个工作日</w:t>
      </w:r>
      <w:r>
        <w:rPr>
          <w:rFonts w:hint="eastAsia" w:ascii="宋体" w:hAnsi="宋体" w:eastAsia="宋体" w:cs="宋体"/>
          <w:color w:val="auto"/>
          <w:sz w:val="24"/>
          <w:szCs w:val="24"/>
          <w:highlight w:val="none"/>
        </w:rPr>
        <w:t xml:space="preserve">内，甲方向乙方支付合同金额的30%。</w:t>
      </w:r>
      <w:r/>
    </w:p>
    <w:p>
      <w:pPr>
        <w:ind w:left="39" w:right="28" w:firstLine="554"/>
        <w:spacing w:before="232"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经双方确认后进行试运行15天，试运行结束后可进行初验，初验合格后，</w:t>
      </w:r>
      <w:r>
        <w:rPr>
          <w:rFonts w:hint="eastAsia" w:ascii="宋体" w:hAnsi="宋体" w:eastAsia="宋体" w:cs="宋体"/>
          <w:color w:val="auto"/>
          <w:sz w:val="24"/>
          <w:szCs w:val="24"/>
          <w:highlight w:val="none"/>
        </w:rPr>
        <w:t xml:space="preserve">收到乙方发票后</w:t>
      </w:r>
      <w:r>
        <w:rPr>
          <w:rFonts w:hint="eastAsia" w:ascii="宋体" w:hAnsi="宋体" w:eastAsia="宋体" w:cs="宋体"/>
          <w:color w:val="auto"/>
          <w:sz w:val="24"/>
          <w:szCs w:val="24"/>
          <w:highlight w:val="none"/>
          <w:lang w:val="en-US" w:eastAsia="zh-CN"/>
        </w:rPr>
        <w:t xml:space="preserve">10个工作日</w:t>
      </w:r>
      <w:r>
        <w:rPr>
          <w:rFonts w:hint="eastAsia" w:ascii="宋体" w:hAnsi="宋体" w:eastAsia="宋体" w:cs="宋体"/>
          <w:color w:val="auto"/>
          <w:sz w:val="24"/>
          <w:szCs w:val="24"/>
          <w:highlight w:val="none"/>
        </w:rPr>
        <w:t xml:space="preserve">内，支付至合同金额的70%。</w:t>
      </w:r>
      <w:r/>
    </w:p>
    <w:p>
      <w:pPr>
        <w:ind w:left="39" w:right="28" w:firstLine="554"/>
        <w:spacing w:before="232"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初验后，针对相关问题进行全面整改，方可进行终验，</w:t>
      </w:r>
      <w:r>
        <w:rPr>
          <w:rFonts w:hint="eastAsia" w:ascii="宋体" w:hAnsi="宋体" w:eastAsia="宋体" w:cs="宋体"/>
          <w:color w:val="auto"/>
          <w:sz w:val="24"/>
          <w:szCs w:val="24"/>
          <w:highlight w:val="none"/>
        </w:rPr>
        <w:t xml:space="preserve">项目终验合格经审计后，收到乙方发票后</w:t>
      </w:r>
      <w:r>
        <w:rPr>
          <w:rFonts w:hint="eastAsia" w:ascii="宋体" w:hAnsi="宋体" w:eastAsia="宋体" w:cs="宋体"/>
          <w:color w:val="auto"/>
          <w:sz w:val="24"/>
          <w:szCs w:val="24"/>
          <w:highlight w:val="none"/>
          <w:lang w:val="en-US" w:eastAsia="zh-CN"/>
        </w:rPr>
        <w:t xml:space="preserve">10个工作日</w:t>
      </w:r>
      <w:r>
        <w:rPr>
          <w:rFonts w:hint="eastAsia" w:ascii="宋体" w:hAnsi="宋体" w:eastAsia="宋体" w:cs="宋体"/>
          <w:color w:val="auto"/>
          <w:sz w:val="24"/>
          <w:szCs w:val="24"/>
          <w:highlight w:val="none"/>
        </w:rPr>
        <w:t xml:space="preserve">内，支付至审定金额的100%；</w:t>
      </w:r>
      <w:r>
        <w:rPr>
          <w:rFonts w:ascii="宋体" w:hAnsi="宋体" w:eastAsia="宋体" w:cs="宋体"/>
          <w:color w:val="auto"/>
          <w:sz w:val="24"/>
          <w:szCs w:val="24"/>
          <w:highlight w:val="none"/>
        </w:rPr>
        <w:t xml:space="preserve"> </w:t>
      </w:r>
      <w:r/>
    </w:p>
    <w:p>
      <w:pPr>
        <w:ind w:left="39" w:right="28" w:firstLine="554"/>
        <w:spacing w:before="232" w:line="40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6</w:t>
      </w:r>
      <w:r>
        <w:rPr>
          <w:rFonts w:ascii="宋体" w:hAnsi="宋体" w:eastAsia="宋体" w:cs="宋体"/>
          <w:color w:val="auto"/>
          <w:spacing w:val="-1"/>
          <w:sz w:val="24"/>
          <w:szCs w:val="24"/>
          <w:highlight w:val="none"/>
        </w:rPr>
        <w:t xml:space="preserve">.交货时间和地点</w:t>
      </w:r>
      <w:r/>
    </w:p>
    <w:p>
      <w:pPr>
        <w:ind w:left="39" w:right="29" w:firstLine="479"/>
        <w:spacing w:before="1" w:line="40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本合同</w:t>
      </w:r>
      <w:r>
        <w:rPr>
          <w:rFonts w:ascii="宋体" w:hAnsi="宋体" w:eastAsia="宋体" w:cs="宋体"/>
          <w:color w:val="auto"/>
          <w:sz w:val="24"/>
          <w:szCs w:val="24"/>
          <w:highlight w:val="none"/>
        </w:rPr>
        <w:t xml:space="preserve">标的交付时间在乙方提交的响应文件中有明确规定，软硬件设备交货地点由甲 </w:t>
      </w:r>
      <w:r>
        <w:rPr>
          <w:rFonts w:ascii="宋体" w:hAnsi="宋体" w:eastAsia="宋体" w:cs="宋体"/>
          <w:color w:val="auto"/>
          <w:spacing w:val="-10"/>
          <w:sz w:val="24"/>
          <w:szCs w:val="24"/>
          <w:highlight w:val="none"/>
        </w:rPr>
        <w:t xml:space="preserve">方</w:t>
      </w:r>
      <w:r>
        <w:rPr>
          <w:rFonts w:ascii="宋体" w:hAnsi="宋体" w:eastAsia="宋体" w:cs="宋体"/>
          <w:color w:val="auto"/>
          <w:spacing w:val="-8"/>
          <w:sz w:val="24"/>
          <w:szCs w:val="24"/>
          <w:highlight w:val="none"/>
        </w:rPr>
        <w:t xml:space="preserve">指定。</w:t>
      </w:r>
      <w:r/>
    </w:p>
    <w:p>
      <w:pPr>
        <w:ind w:left="524"/>
        <w:spacing w:before="1" w:line="23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7.合同纠纷</w:t>
      </w:r>
      <w:r>
        <w:rPr>
          <w:rFonts w:ascii="宋体" w:hAnsi="宋体" w:eastAsia="宋体" w:cs="宋体"/>
          <w:color w:val="auto"/>
          <w:spacing w:val="-1"/>
          <w:sz w:val="24"/>
          <w:szCs w:val="24"/>
          <w:highlight w:val="none"/>
        </w:rPr>
        <w:t xml:space="preserve">处理</w:t>
      </w:r>
      <w:r/>
    </w:p>
    <w:p>
      <w:pPr>
        <w:ind w:left="519" w:right="1031"/>
        <w:spacing w:before="206" w:line="401"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本合同软硬件交付验收使用</w:t>
      </w:r>
      <w:r>
        <w:rPr>
          <w:rFonts w:ascii="宋体" w:hAnsi="宋体" w:eastAsia="宋体" w:cs="宋体"/>
          <w:color w:val="auto"/>
          <w:spacing w:val="-1"/>
          <w:sz w:val="24"/>
          <w:szCs w:val="24"/>
          <w:highlight w:val="none"/>
        </w:rPr>
        <w:t xml:space="preserve">后所发生的合同纠纷，由甲方与乙方进行处理。</w:t>
      </w:r>
      <w:r>
        <w:rPr>
          <w:rFonts w:ascii="宋体" w:hAnsi="宋体" w:eastAsia="宋体" w:cs="宋体"/>
          <w:color w:val="auto"/>
          <w:sz w:val="24"/>
          <w:szCs w:val="24"/>
          <w:highlight w:val="none"/>
        </w:rPr>
        <w:t xml:space="preserve"> </w:t>
      </w:r>
      <w:r/>
    </w:p>
    <w:p>
      <w:pPr>
        <w:ind w:left="519" w:right="1031"/>
        <w:spacing w:before="206" w:line="401"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8.合同生效及其它</w:t>
      </w:r>
      <w:r/>
    </w:p>
    <w:p>
      <w:pPr>
        <w:ind w:left="519"/>
        <w:spacing w:before="1" w:line="218"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本</w:t>
      </w:r>
      <w:r>
        <w:rPr>
          <w:rFonts w:ascii="宋体" w:hAnsi="宋体" w:eastAsia="宋体" w:cs="宋体"/>
          <w:color w:val="auto"/>
          <w:spacing w:val="-2"/>
          <w:sz w:val="24"/>
          <w:szCs w:val="24"/>
          <w:highlight w:val="none"/>
        </w:rPr>
        <w:t xml:space="preserve">合同经甲方、乙方签章后生效。</w:t>
      </w:r>
      <w:r/>
    </w:p>
    <w:p>
      <w:pPr>
        <w:spacing w:line="336" w:lineRule="auto"/>
        <w:rPr>
          <w:rFonts w:ascii="Arial"/>
          <w:color w:val="auto"/>
          <w:sz w:val="21"/>
          <w:highlight w:val="none"/>
        </w:rPr>
      </w:pPr>
      <w:r>
        <w:rPr>
          <w:rFonts w:ascii="Arial"/>
          <w:color w:val="auto"/>
          <w:sz w:val="21"/>
          <w:highlight w:val="none"/>
        </w:rPr>
      </w:r>
      <w:r/>
    </w:p>
    <w:p>
      <w:pPr>
        <w:spacing w:line="337" w:lineRule="auto"/>
        <w:rPr>
          <w:rFonts w:ascii="Arial"/>
          <w:color w:val="auto"/>
          <w:sz w:val="21"/>
          <w:highlight w:val="none"/>
        </w:rPr>
      </w:pPr>
      <w:r>
        <w:rPr>
          <w:rFonts w:ascii="Arial"/>
          <w:color w:val="auto"/>
          <w:sz w:val="21"/>
          <w:highlight w:val="none"/>
        </w:rPr>
      </w:r>
      <w:r/>
    </w:p>
    <w:p>
      <w:pPr>
        <w:ind w:left="549"/>
        <w:spacing w:before="78" w:line="521" w:lineRule="exact"/>
        <w:rPr>
          <w:rFonts w:ascii="宋体" w:hAnsi="宋体" w:eastAsia="宋体" w:cs="宋体"/>
          <w:color w:val="auto"/>
          <w:sz w:val="24"/>
          <w:szCs w:val="24"/>
          <w:highlight w:val="none"/>
        </w:rPr>
      </w:pPr>
      <w:r>
        <w:rPr>
          <w:rFonts w:ascii="宋体" w:hAnsi="宋体" w:eastAsia="宋体" w:cs="宋体"/>
          <w:color w:val="auto"/>
          <w:spacing w:val="16"/>
          <w:position w:val="21"/>
          <w:sz w:val="24"/>
          <w:szCs w:val="24"/>
          <w:highlight w:val="none"/>
        </w:rPr>
        <w:t xml:space="preserve">甲方(单位盖章)：</w:t>
      </w:r>
      <w:r/>
    </w:p>
    <w:p>
      <w:pPr>
        <w:ind w:left="518"/>
        <w:spacing w:before="1" w:line="228"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地</w:t>
      </w:r>
      <w:r>
        <w:rPr>
          <w:rFonts w:ascii="宋体" w:hAnsi="宋体" w:eastAsia="宋体" w:cs="宋体"/>
          <w:color w:val="auto"/>
          <w:spacing w:val="-4"/>
          <w:sz w:val="24"/>
          <w:szCs w:val="24"/>
          <w:highlight w:val="none"/>
        </w:rPr>
        <w:t xml:space="preserve">    址：</w:t>
      </w:r>
      <w:r/>
    </w:p>
    <w:p>
      <w:pPr>
        <w:ind w:left="519"/>
        <w:spacing w:before="220" w:line="521" w:lineRule="exact"/>
        <w:rPr>
          <w:rFonts w:ascii="宋体" w:hAnsi="宋体" w:eastAsia="宋体" w:cs="宋体"/>
          <w:color w:val="auto"/>
          <w:sz w:val="24"/>
          <w:szCs w:val="24"/>
          <w:highlight w:val="none"/>
        </w:rPr>
      </w:pPr>
      <w:r>
        <w:rPr>
          <w:rFonts w:ascii="宋体" w:hAnsi="宋体" w:eastAsia="宋体" w:cs="宋体"/>
          <w:color w:val="auto"/>
          <w:spacing w:val="-13"/>
          <w:position w:val="21"/>
          <w:sz w:val="24"/>
          <w:szCs w:val="24"/>
          <w:highlight w:val="none"/>
        </w:rPr>
        <w:t xml:space="preserve">联</w:t>
      </w:r>
      <w:r>
        <w:rPr>
          <w:rFonts w:ascii="宋体" w:hAnsi="宋体" w:eastAsia="宋体" w:cs="宋体"/>
          <w:color w:val="auto"/>
          <w:spacing w:val="-10"/>
          <w:position w:val="21"/>
          <w:sz w:val="24"/>
          <w:szCs w:val="24"/>
          <w:highlight w:val="none"/>
        </w:rPr>
        <w:t xml:space="preserve">系电话：</w:t>
      </w:r>
      <w:r/>
    </w:p>
    <w:p>
      <w:pPr>
        <w:ind w:left="517"/>
        <w:spacing w:before="1" w:line="219" w:lineRule="auto"/>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 xml:space="preserve">代</w:t>
      </w:r>
      <w:r>
        <w:rPr>
          <w:rFonts w:ascii="宋体" w:hAnsi="宋体" w:eastAsia="宋体" w:cs="宋体"/>
          <w:color w:val="auto"/>
          <w:spacing w:val="-10"/>
          <w:sz w:val="24"/>
          <w:szCs w:val="24"/>
          <w:highlight w:val="none"/>
        </w:rPr>
        <w:t xml:space="preserve">表签字：</w:t>
      </w:r>
      <w:r/>
    </w:p>
    <w:p>
      <w:pPr>
        <w:spacing w:line="335" w:lineRule="auto"/>
        <w:rPr>
          <w:rFonts w:ascii="Arial"/>
          <w:color w:val="auto"/>
          <w:sz w:val="21"/>
          <w:highlight w:val="none"/>
        </w:rPr>
      </w:pPr>
      <w:r>
        <w:rPr>
          <w:rFonts w:ascii="Arial"/>
          <w:color w:val="auto"/>
          <w:sz w:val="21"/>
          <w:highlight w:val="none"/>
        </w:rPr>
      </w:r>
      <w:r/>
    </w:p>
    <w:p>
      <w:pPr>
        <w:spacing w:line="336" w:lineRule="auto"/>
        <w:rPr>
          <w:rFonts w:ascii="Arial"/>
          <w:color w:val="auto"/>
          <w:sz w:val="21"/>
          <w:highlight w:val="none"/>
        </w:rPr>
      </w:pPr>
      <w:r>
        <w:rPr>
          <w:rFonts w:ascii="Arial"/>
          <w:color w:val="auto"/>
          <w:sz w:val="21"/>
          <w:highlight w:val="none"/>
        </w:rPr>
      </w:r>
      <w:r/>
    </w:p>
    <w:p>
      <w:pPr>
        <w:ind w:left="538"/>
        <w:spacing w:before="79" w:line="521" w:lineRule="exact"/>
        <w:rPr>
          <w:rFonts w:ascii="宋体" w:hAnsi="宋体" w:eastAsia="宋体" w:cs="宋体"/>
          <w:color w:val="auto"/>
          <w:sz w:val="24"/>
          <w:szCs w:val="24"/>
          <w:highlight w:val="none"/>
        </w:rPr>
      </w:pPr>
      <w:r>
        <w:rPr>
          <w:rFonts w:ascii="宋体" w:hAnsi="宋体" w:eastAsia="宋体" w:cs="宋体"/>
          <w:color w:val="auto"/>
          <w:spacing w:val="19"/>
          <w:position w:val="21"/>
          <w:sz w:val="24"/>
          <w:szCs w:val="24"/>
          <w:highlight w:val="none"/>
        </w:rPr>
        <w:t xml:space="preserve">乙</w:t>
      </w:r>
      <w:r>
        <w:rPr>
          <w:rFonts w:ascii="宋体" w:hAnsi="宋体" w:eastAsia="宋体" w:cs="宋体"/>
          <w:color w:val="auto"/>
          <w:spacing w:val="17"/>
          <w:position w:val="21"/>
          <w:sz w:val="24"/>
          <w:szCs w:val="24"/>
          <w:highlight w:val="none"/>
        </w:rPr>
        <w:t xml:space="preserve">方(单位盖章)：</w:t>
      </w:r>
      <w:r/>
    </w:p>
    <w:p>
      <w:pPr>
        <w:ind w:left="518"/>
        <w:spacing w:before="1" w:line="228"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地</w:t>
      </w:r>
      <w:r>
        <w:rPr>
          <w:rFonts w:ascii="宋体" w:hAnsi="宋体" w:eastAsia="宋体" w:cs="宋体"/>
          <w:color w:val="auto"/>
          <w:spacing w:val="-4"/>
          <w:sz w:val="24"/>
          <w:szCs w:val="24"/>
          <w:highlight w:val="none"/>
        </w:rPr>
        <w:t xml:space="preserve">    址：</w:t>
      </w:r>
      <w:r/>
    </w:p>
    <w:p>
      <w:pPr>
        <w:ind w:left="519"/>
        <w:spacing w:before="223" w:line="519" w:lineRule="exact"/>
        <w:rPr>
          <w:rFonts w:ascii="宋体" w:hAnsi="宋体" w:eastAsia="宋体" w:cs="宋体"/>
          <w:color w:val="auto"/>
          <w:sz w:val="24"/>
          <w:szCs w:val="24"/>
          <w:highlight w:val="none"/>
        </w:rPr>
      </w:pPr>
      <w:r>
        <w:rPr>
          <w:rFonts w:ascii="宋体" w:hAnsi="宋体" w:eastAsia="宋体" w:cs="宋体"/>
          <w:color w:val="auto"/>
          <w:spacing w:val="-13"/>
          <w:position w:val="21"/>
          <w:sz w:val="24"/>
          <w:szCs w:val="24"/>
          <w:highlight w:val="none"/>
        </w:rPr>
        <w:t xml:space="preserve">联</w:t>
      </w:r>
      <w:r>
        <w:rPr>
          <w:rFonts w:ascii="宋体" w:hAnsi="宋体" w:eastAsia="宋体" w:cs="宋体"/>
          <w:color w:val="auto"/>
          <w:spacing w:val="-10"/>
          <w:position w:val="21"/>
          <w:sz w:val="24"/>
          <w:szCs w:val="24"/>
          <w:highlight w:val="none"/>
        </w:rPr>
        <w:t xml:space="preserve">系电话：</w:t>
      </w:r>
      <w:r/>
    </w:p>
    <w:p>
      <w:pPr>
        <w:ind w:left="517"/>
        <w:spacing w:line="219" w:lineRule="auto"/>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 xml:space="preserve">代</w:t>
      </w:r>
      <w:r>
        <w:rPr>
          <w:rFonts w:ascii="宋体" w:hAnsi="宋体" w:eastAsia="宋体" w:cs="宋体"/>
          <w:color w:val="auto"/>
          <w:spacing w:val="-10"/>
          <w:sz w:val="24"/>
          <w:szCs w:val="24"/>
          <w:highlight w:val="none"/>
        </w:rPr>
        <w:t xml:space="preserve">表签字：</w:t>
      </w:r>
      <w:r/>
    </w:p>
    <w:p>
      <w:pPr>
        <w:spacing w:line="337" w:lineRule="auto"/>
        <w:rPr>
          <w:rFonts w:ascii="Arial"/>
          <w:color w:val="auto"/>
          <w:sz w:val="21"/>
          <w:highlight w:val="none"/>
        </w:rPr>
      </w:pPr>
      <w:r>
        <w:rPr>
          <w:rFonts w:ascii="Arial"/>
          <w:color w:val="auto"/>
          <w:sz w:val="21"/>
          <w:highlight w:val="none"/>
        </w:rPr>
      </w:r>
      <w:r/>
    </w:p>
    <w:p>
      <w:pPr>
        <w:spacing w:line="337" w:lineRule="auto"/>
        <w:rPr>
          <w:rFonts w:ascii="Arial"/>
          <w:color w:val="auto"/>
          <w:sz w:val="21"/>
          <w:highlight w:val="none"/>
        </w:rPr>
      </w:pPr>
      <w:r>
        <w:rPr>
          <w:rFonts w:ascii="Arial"/>
          <w:color w:val="auto"/>
          <w:sz w:val="21"/>
          <w:highlight w:val="none"/>
        </w:rPr>
      </w:r>
      <w:r/>
    </w:p>
    <w:p>
      <w:pPr>
        <w:spacing w:line="297" w:lineRule="auto"/>
        <w:rPr>
          <w:rFonts w:ascii="Arial"/>
          <w:color w:val="auto"/>
          <w:sz w:val="21"/>
          <w:highlight w:val="none"/>
        </w:rPr>
      </w:pPr>
      <w:r>
        <w:rPr>
          <w:rFonts w:ascii="Arial"/>
          <w:color w:val="auto"/>
          <w:sz w:val="21"/>
          <w:highlight w:val="none"/>
        </w:rPr>
      </w:r>
      <w:r/>
    </w:p>
    <w:p>
      <w:pPr>
        <w:spacing w:line="297" w:lineRule="auto"/>
        <w:rPr>
          <w:rFonts w:ascii="Arial"/>
          <w:color w:val="auto"/>
          <w:sz w:val="21"/>
          <w:highlight w:val="none"/>
        </w:rPr>
      </w:pPr>
      <w:r>
        <w:rPr>
          <w:rFonts w:ascii="Arial"/>
          <w:color w:val="auto"/>
          <w:sz w:val="21"/>
          <w:highlight w:val="none"/>
        </w:rPr>
      </w:r>
      <w:r/>
    </w:p>
    <w:p>
      <w:pPr>
        <w:jc w:val="right"/>
        <w:spacing w:before="79" w:line="220" w:lineRule="auto"/>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 xml:space="preserve">合</w:t>
      </w:r>
      <w:r>
        <w:rPr>
          <w:rFonts w:ascii="宋体" w:hAnsi="宋体" w:eastAsia="宋体" w:cs="宋体"/>
          <w:color w:val="auto"/>
          <w:spacing w:val="-6"/>
          <w:sz w:val="24"/>
          <w:szCs w:val="24"/>
          <w:highlight w:val="none"/>
        </w:rPr>
        <w:t xml:space="preserve">同签订日期：     年   月   日</w:t>
      </w:r>
      <w:r/>
    </w:p>
    <w:p>
      <w:pPr>
        <w:rPr>
          <w:color w:val="auto"/>
          <w:highlight w:val="none"/>
        </w:rPr>
        <w:sectPr>
          <w:footerReference w:type="default" r:id="rId22"/>
          <w:footnotePr/>
          <w:endnotePr/>
          <w:type w:val="nextPage"/>
          <w:pgSz w:w="11907" w:h="16839" w:orient="portrait"/>
          <w:pgMar w:top="1125" w:right="1238" w:bottom="1392" w:left="1240" w:header="1111" w:footer="1229" w:gutter="0"/>
          <w:cols w:num="1" w:sep="0" w:space="720" w:equalWidth="1"/>
          <w:docGrid w:linePitch="360"/>
        </w:sectPr>
      </w:pPr>
      <w:r>
        <w:rPr>
          <w:color w:val="auto"/>
          <w:highlight w:val="none"/>
        </w:rPr>
      </w:r>
      <w:r/>
    </w:p>
    <w:p>
      <w:pPr>
        <w:spacing w:line="346" w:lineRule="auto"/>
        <w:rPr>
          <w:rFonts w:ascii="Arial"/>
          <w:color w:val="auto"/>
          <w:sz w:val="21"/>
          <w:highlight w:val="none"/>
        </w:rPr>
      </w:pPr>
      <w:r>
        <w:rPr>
          <w:rFonts w:ascii="Arial"/>
          <w:color w:val="auto"/>
          <w:sz w:val="21"/>
          <w:highlight w:val="none"/>
        </w:rPr>
      </w:r>
      <w:r/>
    </w:p>
    <w:p>
      <w:pPr>
        <w:ind w:left="4060"/>
        <w:spacing w:before="78"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合 同 </w:t>
      </w:r>
      <w:r>
        <w:rPr>
          <w:rFonts w:ascii="宋体" w:hAnsi="宋体" w:eastAsia="宋体" w:cs="宋体"/>
          <w:color w:val="auto"/>
          <w:sz w:val="24"/>
          <w:szCs w:val="24"/>
          <w:highlight w:val="none"/>
        </w:rPr>
        <w:t xml:space="preserve">条 款</w:t>
      </w:r>
      <w:r/>
    </w:p>
    <w:p>
      <w:pPr>
        <w:ind w:left="538"/>
        <w:spacing w:before="183" w:line="23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1.定义</w:t>
      </w:r>
      <w:r/>
    </w:p>
    <w:p>
      <w:pPr>
        <w:ind w:left="519"/>
        <w:spacing w:before="157" w:line="219"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本</w:t>
      </w:r>
      <w:r>
        <w:rPr>
          <w:rFonts w:ascii="宋体" w:hAnsi="宋体" w:eastAsia="宋体" w:cs="宋体"/>
          <w:color w:val="auto"/>
          <w:spacing w:val="-5"/>
          <w:sz w:val="24"/>
          <w:szCs w:val="24"/>
          <w:highlight w:val="none"/>
        </w:rPr>
        <w:t xml:space="preserve">合</w:t>
      </w:r>
      <w:r>
        <w:rPr>
          <w:rFonts w:ascii="宋体" w:hAnsi="宋体" w:eastAsia="宋体" w:cs="宋体"/>
          <w:color w:val="auto"/>
          <w:spacing w:val="-4"/>
          <w:sz w:val="24"/>
          <w:szCs w:val="24"/>
          <w:highlight w:val="none"/>
        </w:rPr>
        <w:t xml:space="preserve">同中的下列术语应解释为：</w:t>
      </w:r>
      <w:r/>
    </w:p>
    <w:p>
      <w:pPr>
        <w:ind w:left="536"/>
        <w:spacing w:before="183"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1.1 “甲方”系指购买货物和服务的采购人，即</w:t>
      </w:r>
      <w:r>
        <w:rPr>
          <w:rFonts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镇江市公安局</w:t>
      </w:r>
      <w:r>
        <w:rPr>
          <w:rFonts w:ascii="宋体" w:hAnsi="宋体" w:eastAsia="宋体" w:cs="宋体"/>
          <w:color w:val="auto"/>
          <w:spacing w:val="-2"/>
          <w:sz w:val="24"/>
          <w:szCs w:val="24"/>
          <w:highlight w:val="none"/>
        </w:rPr>
        <w:t xml:space="preserve">。</w:t>
      </w:r>
      <w:r/>
    </w:p>
    <w:p>
      <w:pPr>
        <w:ind w:left="536"/>
        <w:spacing w:before="183"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1.2 “乙方”系指提供货物和服务的供应商，即</w:t>
      </w:r>
      <w:r>
        <w:rPr>
          <w:rFonts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             </w:t>
      </w:r>
      <w:r>
        <w:rPr>
          <w:rFonts w:ascii="宋体" w:hAnsi="宋体" w:eastAsia="宋体" w:cs="宋体"/>
          <w:color w:val="auto"/>
          <w:spacing w:val="-2"/>
          <w:sz w:val="24"/>
          <w:szCs w:val="24"/>
          <w:highlight w:val="none"/>
        </w:rPr>
        <w:t xml:space="preserve">。</w:t>
      </w:r>
      <w:r/>
    </w:p>
    <w:p>
      <w:pPr>
        <w:ind w:left="534"/>
        <w:spacing w:before="183" w:line="219"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1.3</w:t>
      </w:r>
      <w:r>
        <w:rPr>
          <w:rFonts w:ascii="宋体" w:hAnsi="宋体" w:eastAsia="宋体" w:cs="宋体"/>
          <w:color w:val="auto"/>
          <w:spacing w:val="-4"/>
          <w:sz w:val="24"/>
          <w:szCs w:val="24"/>
          <w:highlight w:val="none"/>
        </w:rPr>
        <w:t xml:space="preserve"> “货物”系指乙方提供的软硬件设备、材料、备件、工具、成套技术资料及手册。</w:t>
      </w:r>
      <w:r/>
    </w:p>
    <w:p>
      <w:pPr>
        <w:ind w:left="41" w:right="98" w:firstLine="494"/>
        <w:spacing w:before="183"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1.4 “服务”系指合同规定乙方必须供货安装、设备调试、系统集成</w:t>
      </w:r>
      <w:r>
        <w:rPr>
          <w:rFonts w:ascii="宋体" w:hAnsi="宋体" w:eastAsia="宋体" w:cs="宋体"/>
          <w:color w:val="auto"/>
          <w:sz w:val="24"/>
          <w:szCs w:val="24"/>
          <w:highlight w:val="none"/>
        </w:rPr>
        <w:t xml:space="preserve">、技术指导、培</w:t>
      </w:r>
      <w:r>
        <w:rPr>
          <w:rFonts w:ascii="宋体" w:hAnsi="宋体" w:eastAsia="宋体" w:cs="宋体"/>
          <w:color w:val="auto"/>
          <w:spacing w:val="-2"/>
          <w:sz w:val="24"/>
          <w:szCs w:val="24"/>
          <w:highlight w:val="none"/>
        </w:rPr>
        <w:t xml:space="preserve">训、升级以及</w:t>
      </w:r>
      <w:r>
        <w:rPr>
          <w:rFonts w:ascii="宋体" w:hAnsi="宋体" w:eastAsia="宋体" w:cs="宋体"/>
          <w:color w:val="auto"/>
          <w:spacing w:val="-1"/>
          <w:sz w:val="24"/>
          <w:szCs w:val="24"/>
          <w:highlight w:val="none"/>
        </w:rPr>
        <w:t xml:space="preserve">其它的伴随服务，服务亦包括磋商文件中特别描述的其它形式的服务。</w:t>
      </w:r>
      <w:r/>
    </w:p>
    <w:p>
      <w:pPr>
        <w:ind w:left="38" w:right="137" w:firstLine="497"/>
        <w:spacing w:line="36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1.5 “合同”系指甲方与乙方签署的、合同格式中载明的甲方与乙方所达成的</w:t>
      </w:r>
      <w:r>
        <w:rPr>
          <w:rFonts w:ascii="宋体" w:hAnsi="宋体" w:eastAsia="宋体" w:cs="宋体"/>
          <w:color w:val="auto"/>
          <w:sz w:val="24"/>
          <w:szCs w:val="24"/>
          <w:highlight w:val="none"/>
        </w:rPr>
        <w:t xml:space="preserve">协议， </w:t>
      </w:r>
      <w:r>
        <w:rPr>
          <w:rFonts w:ascii="宋体" w:hAnsi="宋体" w:eastAsia="宋体" w:cs="宋体"/>
          <w:color w:val="auto"/>
          <w:spacing w:val="-2"/>
          <w:sz w:val="24"/>
          <w:szCs w:val="24"/>
          <w:highlight w:val="none"/>
        </w:rPr>
        <w:t xml:space="preserve">包括采购文件、响应文件、附件</w:t>
      </w:r>
      <w:r>
        <w:rPr>
          <w:rFonts w:ascii="宋体" w:hAnsi="宋体" w:eastAsia="宋体" w:cs="宋体"/>
          <w:color w:val="auto"/>
          <w:spacing w:val="-1"/>
          <w:sz w:val="24"/>
          <w:szCs w:val="24"/>
          <w:highlight w:val="none"/>
        </w:rPr>
        <w:t xml:space="preserve">、附录和构成合同的所有文件。</w:t>
      </w:r>
      <w:r/>
    </w:p>
    <w:p>
      <w:pPr>
        <w:ind w:left="58" w:right="86" w:firstLine="478"/>
        <w:spacing w:before="3" w:line="35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1.6 “合同价”系指根据合同规定，乙方在</w:t>
      </w:r>
      <w:r>
        <w:rPr>
          <w:rFonts w:ascii="宋体" w:hAnsi="宋体" w:eastAsia="宋体" w:cs="宋体"/>
          <w:color w:val="auto"/>
          <w:sz w:val="24"/>
          <w:szCs w:val="24"/>
          <w:highlight w:val="none"/>
        </w:rPr>
        <w:t xml:space="preserve">正确地完全履行合同义务后甲方应支付给 </w:t>
      </w:r>
      <w:r>
        <w:rPr>
          <w:rFonts w:ascii="宋体" w:hAnsi="宋体" w:eastAsia="宋体" w:cs="宋体"/>
          <w:color w:val="auto"/>
          <w:spacing w:val="-13"/>
          <w:sz w:val="24"/>
          <w:szCs w:val="24"/>
          <w:highlight w:val="none"/>
        </w:rPr>
        <w:t xml:space="preserve">乙</w:t>
      </w:r>
      <w:r>
        <w:rPr>
          <w:rFonts w:ascii="宋体" w:hAnsi="宋体" w:eastAsia="宋体" w:cs="宋体"/>
          <w:color w:val="auto"/>
          <w:spacing w:val="-8"/>
          <w:sz w:val="24"/>
          <w:szCs w:val="24"/>
          <w:highlight w:val="none"/>
        </w:rPr>
        <w:t xml:space="preserve">方的价格。</w:t>
      </w:r>
      <w:r/>
    </w:p>
    <w:p>
      <w:pPr>
        <w:ind w:left="523"/>
        <w:spacing w:before="1"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w:t>
      </w:r>
      <w:r>
        <w:rPr>
          <w:rFonts w:ascii="宋体" w:hAnsi="宋体" w:eastAsia="宋体" w:cs="宋体"/>
          <w:color w:val="auto"/>
          <w:spacing w:val="-1"/>
          <w:sz w:val="24"/>
          <w:szCs w:val="24"/>
          <w:highlight w:val="none"/>
        </w:rPr>
        <w:t xml:space="preserve">技术性能</w:t>
      </w:r>
      <w:r/>
    </w:p>
    <w:p>
      <w:pPr>
        <w:ind w:left="40" w:right="85" w:firstLine="480"/>
        <w:spacing w:before="182"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2.1 乙</w:t>
      </w:r>
      <w:r>
        <w:rPr>
          <w:rFonts w:ascii="宋体" w:hAnsi="宋体" w:eastAsia="宋体" w:cs="宋体"/>
          <w:color w:val="auto"/>
          <w:sz w:val="24"/>
          <w:szCs w:val="24"/>
          <w:highlight w:val="none"/>
        </w:rPr>
        <w:t xml:space="preserve">方所提供服务和货物的技术规格、规范应与磋商文件规定的技术规格、规范相 </w:t>
      </w:r>
      <w:r>
        <w:rPr>
          <w:rFonts w:ascii="宋体" w:hAnsi="宋体" w:eastAsia="宋体" w:cs="宋体"/>
          <w:color w:val="auto"/>
          <w:spacing w:val="-1"/>
          <w:sz w:val="24"/>
          <w:szCs w:val="24"/>
          <w:highlight w:val="none"/>
        </w:rPr>
        <w:t xml:space="preserve">一致；若技</w:t>
      </w:r>
      <w:r>
        <w:rPr>
          <w:rFonts w:ascii="宋体" w:hAnsi="宋体" w:eastAsia="宋体" w:cs="宋体"/>
          <w:color w:val="auto"/>
          <w:sz w:val="24"/>
          <w:szCs w:val="24"/>
          <w:highlight w:val="none"/>
        </w:rPr>
        <w:t xml:space="preserve">术性能无相应说明或相应技术规范更新的，则按国家、有关部门最新颁布的标 </w:t>
      </w:r>
      <w:r>
        <w:rPr>
          <w:rFonts w:ascii="宋体" w:hAnsi="宋体" w:eastAsia="宋体" w:cs="宋体"/>
          <w:color w:val="auto"/>
          <w:spacing w:val="-9"/>
          <w:sz w:val="24"/>
          <w:szCs w:val="24"/>
          <w:highlight w:val="none"/>
        </w:rPr>
        <w:t xml:space="preserve">准</w:t>
      </w:r>
      <w:r>
        <w:rPr>
          <w:rFonts w:ascii="宋体" w:hAnsi="宋体" w:eastAsia="宋体" w:cs="宋体"/>
          <w:color w:val="auto"/>
          <w:spacing w:val="-5"/>
          <w:sz w:val="24"/>
          <w:szCs w:val="24"/>
          <w:highlight w:val="none"/>
        </w:rPr>
        <w:t xml:space="preserve">及规范为准。</w:t>
      </w:r>
      <w:r/>
    </w:p>
    <w:p>
      <w:pPr>
        <w:ind w:left="525"/>
        <w:spacing w:before="1" w:line="23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3.知识</w:t>
      </w:r>
      <w:r>
        <w:rPr>
          <w:rFonts w:ascii="宋体" w:hAnsi="宋体" w:eastAsia="宋体" w:cs="宋体"/>
          <w:color w:val="auto"/>
          <w:spacing w:val="-1"/>
          <w:sz w:val="24"/>
          <w:szCs w:val="24"/>
          <w:highlight w:val="none"/>
        </w:rPr>
        <w:t xml:space="preserve">产权</w:t>
      </w:r>
      <w:r/>
    </w:p>
    <w:p>
      <w:pPr>
        <w:ind w:left="39" w:right="85" w:firstLine="483"/>
        <w:spacing w:before="158"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3.1 乙方应保</w:t>
      </w:r>
      <w:r>
        <w:rPr>
          <w:rFonts w:ascii="宋体" w:hAnsi="宋体" w:eastAsia="宋体" w:cs="宋体"/>
          <w:color w:val="auto"/>
          <w:sz w:val="24"/>
          <w:szCs w:val="24"/>
          <w:highlight w:val="none"/>
        </w:rPr>
        <w:t xml:space="preserve">证甲方在使用该服务、货物或其任何一部分时不受第三方提出侵犯其专 </w:t>
      </w:r>
      <w:r>
        <w:rPr>
          <w:rFonts w:ascii="宋体" w:hAnsi="宋体" w:eastAsia="宋体" w:cs="宋体"/>
          <w:color w:val="auto"/>
          <w:spacing w:val="-1"/>
          <w:sz w:val="24"/>
          <w:szCs w:val="24"/>
          <w:highlight w:val="none"/>
        </w:rPr>
        <w:t xml:space="preserve">利权、商</w:t>
      </w:r>
      <w:r>
        <w:rPr>
          <w:rFonts w:ascii="宋体" w:hAnsi="宋体" w:eastAsia="宋体" w:cs="宋体"/>
          <w:color w:val="auto"/>
          <w:sz w:val="24"/>
          <w:szCs w:val="24"/>
          <w:highlight w:val="none"/>
        </w:rPr>
        <w:t xml:space="preserve">标权和工业设计权的起诉。如果任何第三方提出侵权指控或赔偿要求，乙方必须 </w:t>
      </w:r>
      <w:r>
        <w:rPr>
          <w:rFonts w:ascii="宋体" w:hAnsi="宋体" w:eastAsia="宋体" w:cs="宋体"/>
          <w:color w:val="auto"/>
          <w:spacing w:val="-1"/>
          <w:sz w:val="24"/>
          <w:szCs w:val="24"/>
          <w:highlight w:val="none"/>
        </w:rPr>
        <w:t xml:space="preserve">与第三</w:t>
      </w:r>
      <w:r>
        <w:rPr>
          <w:rFonts w:ascii="宋体" w:hAnsi="宋体" w:eastAsia="宋体" w:cs="宋体"/>
          <w:color w:val="auto"/>
          <w:sz w:val="24"/>
          <w:szCs w:val="24"/>
          <w:highlight w:val="none"/>
        </w:rPr>
        <w:t xml:space="preserve">方交涉，并承担发生和可能发生的一切损失、费用和法律责任。如由于乙方不积极 </w:t>
      </w:r>
      <w:r>
        <w:rPr>
          <w:rFonts w:ascii="宋体" w:hAnsi="宋体" w:eastAsia="宋体" w:cs="宋体"/>
          <w:color w:val="auto"/>
          <w:spacing w:val="-2"/>
          <w:sz w:val="24"/>
          <w:szCs w:val="24"/>
          <w:highlight w:val="none"/>
        </w:rPr>
        <w:t xml:space="preserve">与第三方交涉，甲方有权</w:t>
      </w:r>
      <w:r>
        <w:rPr>
          <w:rFonts w:ascii="宋体" w:hAnsi="宋体" w:eastAsia="宋体" w:cs="宋体"/>
          <w:color w:val="auto"/>
          <w:spacing w:val="-1"/>
          <w:sz w:val="24"/>
          <w:szCs w:val="24"/>
          <w:highlight w:val="none"/>
        </w:rPr>
        <w:t xml:space="preserve">应诉或进行和解，其发生的费用由乙方承担。</w:t>
      </w:r>
      <w:r/>
    </w:p>
    <w:p>
      <w:pPr>
        <w:ind w:left="520"/>
        <w:spacing w:before="1" w:line="23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4.软件</w:t>
      </w:r>
      <w:r>
        <w:rPr>
          <w:rFonts w:ascii="宋体" w:hAnsi="宋体" w:eastAsia="宋体" w:cs="宋体"/>
          <w:color w:val="auto"/>
          <w:sz w:val="24"/>
          <w:szCs w:val="24"/>
          <w:highlight w:val="none"/>
        </w:rPr>
        <w:t xml:space="preserve">要求</w:t>
      </w:r>
      <w:r/>
    </w:p>
    <w:p>
      <w:pPr>
        <w:ind w:left="517"/>
        <w:spacing w:before="157"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4.1 合法</w:t>
      </w:r>
      <w:r>
        <w:rPr>
          <w:rFonts w:ascii="宋体" w:hAnsi="宋体" w:eastAsia="宋体" w:cs="宋体"/>
          <w:color w:val="auto"/>
          <w:sz w:val="24"/>
          <w:szCs w:val="24"/>
          <w:highlight w:val="none"/>
        </w:rPr>
        <w:t xml:space="preserve">软件</w:t>
      </w:r>
      <w:r/>
    </w:p>
    <w:p>
      <w:pPr>
        <w:ind w:left="44" w:right="96" w:firstLine="473"/>
        <w:spacing w:before="183" w:line="360"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4.1.1 乙方所提供的定制软件必须符合国家有关软件产品方面的规定和软件标准</w:t>
      </w:r>
      <w:r>
        <w:rPr>
          <w:rFonts w:ascii="宋体" w:hAnsi="宋体" w:eastAsia="宋体" w:cs="宋体"/>
          <w:color w:val="auto"/>
          <w:sz w:val="24"/>
          <w:szCs w:val="24"/>
          <w:highlight w:val="none"/>
        </w:rPr>
        <w:t xml:space="preserve">规 </w:t>
      </w:r>
      <w:r>
        <w:rPr>
          <w:rFonts w:ascii="宋体" w:hAnsi="宋体" w:eastAsia="宋体" w:cs="宋体"/>
          <w:color w:val="auto"/>
          <w:spacing w:val="-2"/>
          <w:sz w:val="24"/>
          <w:szCs w:val="24"/>
          <w:highlight w:val="none"/>
        </w:rPr>
        <w:t xml:space="preserve">范，没有侵犯第三方的合法权利和涉及第三方的诉讼</w:t>
      </w:r>
      <w:r>
        <w:rPr>
          <w:rFonts w:ascii="宋体" w:hAnsi="宋体" w:eastAsia="宋体" w:cs="宋体"/>
          <w:color w:val="auto"/>
          <w:spacing w:val="-1"/>
          <w:sz w:val="24"/>
          <w:szCs w:val="24"/>
          <w:highlight w:val="none"/>
        </w:rPr>
        <w:t xml:space="preserve">。</w:t>
      </w:r>
      <w:r/>
    </w:p>
    <w:p>
      <w:pPr>
        <w:ind w:left="58" w:right="86" w:firstLine="459"/>
        <w:spacing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4.1</w:t>
      </w:r>
      <w:r>
        <w:rPr>
          <w:rFonts w:ascii="宋体" w:hAnsi="宋体" w:eastAsia="宋体" w:cs="宋体"/>
          <w:color w:val="auto"/>
          <w:sz w:val="24"/>
          <w:szCs w:val="24"/>
          <w:highlight w:val="none"/>
        </w:rPr>
        <w:t xml:space="preserve">.2 乙方所交付和许可甲方使用的软件需经国家有关部门登记、备案、审批或许可 </w:t>
      </w:r>
      <w:r>
        <w:rPr>
          <w:rFonts w:ascii="宋体" w:hAnsi="宋体" w:eastAsia="宋体" w:cs="宋体"/>
          <w:color w:val="auto"/>
          <w:spacing w:val="-4"/>
          <w:sz w:val="24"/>
          <w:szCs w:val="24"/>
          <w:highlight w:val="none"/>
        </w:rPr>
        <w:t xml:space="preserve">的，乙</w:t>
      </w:r>
      <w:r>
        <w:rPr>
          <w:rFonts w:ascii="宋体" w:hAnsi="宋体" w:eastAsia="宋体" w:cs="宋体"/>
          <w:color w:val="auto"/>
          <w:spacing w:val="-3"/>
          <w:sz w:val="24"/>
          <w:szCs w:val="24"/>
          <w:highlight w:val="none"/>
        </w:rPr>
        <w:t xml:space="preserve">方</w:t>
      </w:r>
      <w:r>
        <w:rPr>
          <w:rFonts w:ascii="宋体" w:hAnsi="宋体" w:eastAsia="宋体" w:cs="宋体"/>
          <w:color w:val="auto"/>
          <w:spacing w:val="-2"/>
          <w:sz w:val="24"/>
          <w:szCs w:val="24"/>
          <w:highlight w:val="none"/>
        </w:rPr>
        <w:t xml:space="preserve">应保证在交付和许可甲方使用时已完成了上述手续。</w:t>
      </w:r>
      <w:r/>
    </w:p>
    <w:p>
      <w:pPr>
        <w:ind w:left="44" w:right="86" w:firstLine="473"/>
        <w:spacing w:before="2" w:line="36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4.</w:t>
      </w:r>
      <w:r>
        <w:rPr>
          <w:rFonts w:ascii="宋体" w:hAnsi="宋体" w:eastAsia="宋体" w:cs="宋体"/>
          <w:color w:val="auto"/>
          <w:sz w:val="24"/>
          <w:szCs w:val="24"/>
          <w:highlight w:val="none"/>
        </w:rPr>
        <w:t xml:space="preserve">1.3 在乙方所交付和许可甲方使用的软件系统中，不含任何可以自动终止或妨碍系 </w:t>
      </w:r>
      <w:r>
        <w:rPr>
          <w:rFonts w:ascii="宋体" w:hAnsi="宋体" w:eastAsia="宋体" w:cs="宋体"/>
          <w:color w:val="auto"/>
          <w:spacing w:val="-6"/>
          <w:sz w:val="24"/>
          <w:szCs w:val="24"/>
          <w:highlight w:val="none"/>
        </w:rPr>
        <w:t xml:space="preserve">统运作的软件。</w:t>
      </w:r>
      <w:r/>
    </w:p>
    <w:p>
      <w:pPr>
        <w:rPr>
          <w:color w:val="auto"/>
          <w:highlight w:val="none"/>
        </w:rPr>
        <w:sectPr>
          <w:headerReference w:type="default" r:id="rId10"/>
          <w:footerReference w:type="default" r:id="rId23"/>
          <w:footnotePr/>
          <w:endnotePr/>
          <w:type w:val="nextPage"/>
          <w:pgSz w:w="11907" w:h="16839" w:orient="portrait"/>
          <w:pgMar w:top="1125" w:right="1183" w:bottom="1392" w:left="1240" w:header="1111" w:footer="1229" w:gutter="0"/>
          <w:cols w:num="1" w:sep="0" w:space="720" w:equalWidth="1"/>
          <w:docGrid w:linePitch="360"/>
        </w:sectPr>
      </w:pPr>
      <w:r>
        <w:rPr>
          <w:color w:val="auto"/>
          <w:highlight w:val="none"/>
        </w:rPr>
      </w:r>
      <w:r/>
    </w:p>
    <w:p>
      <w:pPr>
        <w:spacing w:line="346" w:lineRule="auto"/>
        <w:rPr>
          <w:rFonts w:ascii="Arial"/>
          <w:color w:val="auto"/>
          <w:sz w:val="21"/>
          <w:highlight w:val="none"/>
        </w:rPr>
      </w:pPr>
      <w:r>
        <w:rPr>
          <w:rFonts w:ascii="Arial"/>
          <w:color w:val="auto"/>
          <w:sz w:val="21"/>
          <w:highlight w:val="none"/>
        </w:rPr>
      </w:r>
      <w:r/>
    </w:p>
    <w:p>
      <w:pPr>
        <w:ind w:left="517"/>
        <w:spacing w:before="78"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4.2 侵权</w:t>
      </w:r>
      <w:r>
        <w:rPr>
          <w:rFonts w:ascii="宋体" w:hAnsi="宋体" w:eastAsia="宋体" w:cs="宋体"/>
          <w:color w:val="auto"/>
          <w:sz w:val="24"/>
          <w:szCs w:val="24"/>
          <w:highlight w:val="none"/>
        </w:rPr>
        <w:t xml:space="preserve">责任</w:t>
      </w:r>
      <w:r/>
    </w:p>
    <w:p>
      <w:pPr>
        <w:ind w:left="39" w:right="70" w:firstLine="478"/>
        <w:spacing w:before="183" w:line="36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4.2.1 乙方承诺，如本项</w:t>
      </w:r>
      <w:r>
        <w:rPr>
          <w:rFonts w:ascii="宋体" w:hAnsi="宋体" w:eastAsia="宋体" w:cs="宋体"/>
          <w:color w:val="auto"/>
          <w:spacing w:val="-1"/>
          <w:sz w:val="24"/>
          <w:szCs w:val="24"/>
          <w:highlight w:val="none"/>
        </w:rPr>
        <w:t xml:space="preserve">目软件或其任何部分被依法认定为侵犯第三人的合法权利，</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 xml:space="preserve">或</w:t>
      </w:r>
      <w:r>
        <w:rPr>
          <w:rFonts w:ascii="宋体" w:hAnsi="宋体" w:eastAsia="宋体" w:cs="宋体"/>
          <w:color w:val="auto"/>
          <w:spacing w:val="-4"/>
          <w:sz w:val="24"/>
          <w:szCs w:val="24"/>
          <w:highlight w:val="none"/>
        </w:rPr>
        <w:t xml:space="preserve">甲</w:t>
      </w:r>
      <w:r>
        <w:rPr>
          <w:rFonts w:ascii="宋体" w:hAnsi="宋体" w:eastAsia="宋体" w:cs="宋体"/>
          <w:color w:val="auto"/>
          <w:spacing w:val="-3"/>
          <w:sz w:val="24"/>
          <w:szCs w:val="24"/>
          <w:highlight w:val="none"/>
        </w:rPr>
        <w:t xml:space="preserve">方任何依约定使用或行使任何由乙方授予的权利被认定为侵权， 乙方应尽力用相等功</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 xml:space="preserve">能的且非</w:t>
      </w:r>
      <w:r>
        <w:rPr>
          <w:rFonts w:ascii="宋体" w:hAnsi="宋体" w:eastAsia="宋体" w:cs="宋体"/>
          <w:color w:val="auto"/>
          <w:sz w:val="24"/>
          <w:szCs w:val="24"/>
          <w:highlight w:val="none"/>
        </w:rPr>
        <w:t xml:space="preserve">侵权的软件或其任何部分来进行替换，或取得相关授权，以使甲方能够继续享有 </w:t>
      </w:r>
      <w:r>
        <w:rPr>
          <w:rFonts w:ascii="宋体" w:hAnsi="宋体" w:eastAsia="宋体" w:cs="宋体"/>
          <w:color w:val="auto"/>
          <w:spacing w:val="-2"/>
          <w:sz w:val="24"/>
          <w:szCs w:val="24"/>
          <w:highlight w:val="none"/>
        </w:rPr>
        <w:t xml:space="preserve">本合同所规定的各项权利，并负责</w:t>
      </w:r>
      <w:r>
        <w:rPr>
          <w:rFonts w:ascii="宋体" w:hAnsi="宋体" w:eastAsia="宋体" w:cs="宋体"/>
          <w:color w:val="auto"/>
          <w:spacing w:val="-1"/>
          <w:sz w:val="24"/>
          <w:szCs w:val="24"/>
          <w:highlight w:val="none"/>
        </w:rPr>
        <w:t xml:space="preserve">赔偿甲方因此而造成的损失。</w:t>
      </w:r>
      <w:r/>
    </w:p>
    <w:p>
      <w:pPr>
        <w:ind w:left="38" w:firstLine="479"/>
        <w:spacing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4.2</w:t>
      </w:r>
      <w:r>
        <w:rPr>
          <w:rFonts w:ascii="宋体" w:hAnsi="宋体" w:eastAsia="宋体" w:cs="宋体"/>
          <w:color w:val="auto"/>
          <w:sz w:val="24"/>
          <w:szCs w:val="24"/>
          <w:highlight w:val="none"/>
        </w:rPr>
        <w:t xml:space="preserve">.2 如果乙方经合理和具有事实根据的判断，认为本软件或其任何部分可能被依法 </w:t>
      </w:r>
      <w:r>
        <w:rPr>
          <w:rFonts w:ascii="宋体" w:hAnsi="宋体" w:eastAsia="宋体" w:cs="宋体"/>
          <w:color w:val="auto"/>
          <w:spacing w:val="-13"/>
          <w:sz w:val="24"/>
          <w:szCs w:val="24"/>
          <w:highlight w:val="none"/>
        </w:rPr>
        <w:t xml:space="preserve">认</w:t>
      </w:r>
      <w:r>
        <w:rPr>
          <w:rFonts w:ascii="宋体" w:hAnsi="宋体" w:eastAsia="宋体" w:cs="宋体"/>
          <w:color w:val="auto"/>
          <w:spacing w:val="-7"/>
          <w:sz w:val="24"/>
          <w:szCs w:val="24"/>
          <w:highlight w:val="none"/>
        </w:rPr>
        <w:t xml:space="preserve">定为侵犯第三人合法权利的， 或甲方使用或行使由乙方授予的权利可能被认定为侵权的，</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 xml:space="preserve">乙方可</w:t>
      </w:r>
      <w:r>
        <w:rPr>
          <w:rFonts w:ascii="宋体" w:hAnsi="宋体" w:eastAsia="宋体" w:cs="宋体"/>
          <w:color w:val="auto"/>
          <w:sz w:val="24"/>
          <w:szCs w:val="24"/>
          <w:highlight w:val="none"/>
        </w:rPr>
        <w:t xml:space="preserve">以用非侵权的具有相同功能的来进行替换，或尽力取得必要的相关授权，以使甲方 </w:t>
      </w:r>
      <w:r>
        <w:rPr>
          <w:rFonts w:ascii="宋体" w:hAnsi="宋体" w:eastAsia="宋体" w:cs="宋体"/>
          <w:color w:val="auto"/>
          <w:spacing w:val="-4"/>
          <w:sz w:val="24"/>
          <w:szCs w:val="24"/>
          <w:highlight w:val="none"/>
        </w:rPr>
        <w:t xml:space="preserve">能够</w:t>
      </w:r>
      <w:r>
        <w:rPr>
          <w:rFonts w:ascii="宋体" w:hAnsi="宋体" w:eastAsia="宋体" w:cs="宋体"/>
          <w:color w:val="auto"/>
          <w:spacing w:val="-3"/>
          <w:sz w:val="24"/>
          <w:szCs w:val="24"/>
          <w:highlight w:val="none"/>
        </w:rPr>
        <w:t xml:space="preserve">继</w:t>
      </w:r>
      <w:r>
        <w:rPr>
          <w:rFonts w:ascii="宋体" w:hAnsi="宋体" w:eastAsia="宋体" w:cs="宋体"/>
          <w:color w:val="auto"/>
          <w:spacing w:val="-2"/>
          <w:sz w:val="24"/>
          <w:szCs w:val="24"/>
          <w:highlight w:val="none"/>
        </w:rPr>
        <w:t xml:space="preserve">续享有本合同所规定的各项权利。</w:t>
      </w:r>
      <w:r/>
    </w:p>
    <w:p>
      <w:pPr>
        <w:ind w:left="525"/>
        <w:spacing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5.付款</w:t>
      </w:r>
      <w:r>
        <w:rPr>
          <w:rFonts w:ascii="宋体" w:hAnsi="宋体" w:eastAsia="宋体" w:cs="宋体"/>
          <w:color w:val="auto"/>
          <w:spacing w:val="-1"/>
          <w:sz w:val="24"/>
          <w:szCs w:val="24"/>
          <w:highlight w:val="none"/>
        </w:rPr>
        <w:t xml:space="preserve">方式</w:t>
      </w:r>
      <w:r/>
    </w:p>
    <w:p>
      <w:pPr>
        <w:ind w:left="523"/>
        <w:spacing w:before="182"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5</w:t>
      </w:r>
      <w:r>
        <w:rPr>
          <w:rFonts w:ascii="宋体" w:hAnsi="宋体" w:eastAsia="宋体" w:cs="宋体"/>
          <w:color w:val="auto"/>
          <w:spacing w:val="-1"/>
          <w:sz w:val="24"/>
          <w:szCs w:val="24"/>
          <w:highlight w:val="none"/>
        </w:rPr>
        <w:t xml:space="preserve">.1 本合同以人民币付款</w:t>
      </w:r>
      <w:r/>
    </w:p>
    <w:p>
      <w:pPr>
        <w:ind w:left="523"/>
        <w:spacing w:before="183"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5.2 付款方式：现行银行结</w:t>
      </w:r>
      <w:r>
        <w:rPr>
          <w:rFonts w:ascii="宋体" w:hAnsi="宋体" w:eastAsia="宋体" w:cs="宋体"/>
          <w:color w:val="auto"/>
          <w:sz w:val="24"/>
          <w:szCs w:val="24"/>
          <w:highlight w:val="none"/>
        </w:rPr>
        <w:t xml:space="preserve">算方式</w:t>
      </w:r>
      <w:r/>
    </w:p>
    <w:p>
      <w:pPr>
        <w:ind w:left="522"/>
        <w:spacing w:before="182" w:line="23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6</w:t>
      </w:r>
      <w:r>
        <w:rPr>
          <w:rFonts w:ascii="宋体" w:hAnsi="宋体" w:eastAsia="宋体" w:cs="宋体"/>
          <w:color w:val="auto"/>
          <w:spacing w:val="-1"/>
          <w:sz w:val="24"/>
          <w:szCs w:val="24"/>
          <w:highlight w:val="none"/>
        </w:rPr>
        <w:t xml:space="preserve">.附随服务</w:t>
      </w:r>
      <w:r/>
    </w:p>
    <w:p>
      <w:pPr>
        <w:ind w:left="520"/>
        <w:spacing w:before="157"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6.1 乙方应按照国</w:t>
      </w:r>
      <w:r>
        <w:rPr>
          <w:rFonts w:ascii="宋体" w:hAnsi="宋体" w:eastAsia="宋体" w:cs="宋体"/>
          <w:color w:val="auto"/>
          <w:spacing w:val="-1"/>
          <w:sz w:val="24"/>
          <w:szCs w:val="24"/>
          <w:highlight w:val="none"/>
        </w:rPr>
        <w:t xml:space="preserve">家“新三包”规定和合同中所附的服务承诺提供服务。</w:t>
      </w:r>
      <w:r/>
    </w:p>
    <w:p>
      <w:pPr>
        <w:ind w:left="520"/>
        <w:spacing w:before="184" w:line="219" w:lineRule="auto"/>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 xml:space="preserve">6.2</w:t>
      </w:r>
      <w:r>
        <w:rPr>
          <w:rFonts w:ascii="宋体" w:hAnsi="宋体" w:eastAsia="宋体" w:cs="宋体"/>
          <w:color w:val="auto"/>
          <w:spacing w:val="-9"/>
          <w:sz w:val="24"/>
          <w:szCs w:val="24"/>
          <w:highlight w:val="none"/>
        </w:rPr>
        <w:t xml:space="preserve"> </w:t>
      </w:r>
      <w:r>
        <w:rPr>
          <w:rFonts w:ascii="宋体" w:hAnsi="宋体" w:eastAsia="宋体" w:cs="宋体"/>
          <w:color w:val="auto"/>
          <w:spacing w:val="-6"/>
          <w:sz w:val="24"/>
          <w:szCs w:val="24"/>
          <w:highlight w:val="none"/>
        </w:rPr>
        <w:t xml:space="preserve">除第 6.1 条规定外，乙方还应提供下列服务：</w:t>
      </w:r>
      <w:r/>
    </w:p>
    <w:p>
      <w:pPr>
        <w:ind w:left="520"/>
        <w:spacing w:before="183"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6</w:t>
      </w:r>
      <w:r>
        <w:rPr>
          <w:rFonts w:ascii="宋体" w:hAnsi="宋体" w:eastAsia="宋体" w:cs="宋体"/>
          <w:color w:val="auto"/>
          <w:spacing w:val="-5"/>
          <w:sz w:val="24"/>
          <w:szCs w:val="24"/>
          <w:highlight w:val="none"/>
        </w:rPr>
        <w:t xml:space="preserve">.</w:t>
      </w:r>
      <w:r>
        <w:rPr>
          <w:rFonts w:ascii="宋体" w:hAnsi="宋体" w:eastAsia="宋体" w:cs="宋体"/>
          <w:color w:val="auto"/>
          <w:spacing w:val="-3"/>
          <w:sz w:val="24"/>
          <w:szCs w:val="24"/>
          <w:highlight w:val="none"/>
        </w:rPr>
        <w:t xml:space="preserve">2.1 磋商文件中的“服务要求”所规定的服务内容以及乙方提供的其他服务内容；</w:t>
      </w:r>
      <w:r/>
    </w:p>
    <w:p>
      <w:pPr>
        <w:ind w:left="520"/>
        <w:spacing w:before="183"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6</w:t>
      </w:r>
      <w:r>
        <w:rPr>
          <w:rFonts w:ascii="宋体" w:hAnsi="宋体" w:eastAsia="宋体" w:cs="宋体"/>
          <w:color w:val="auto"/>
          <w:spacing w:val="-5"/>
          <w:sz w:val="24"/>
          <w:szCs w:val="24"/>
          <w:highlight w:val="none"/>
        </w:rPr>
        <w:t xml:space="preserve">.</w:t>
      </w:r>
      <w:r>
        <w:rPr>
          <w:rFonts w:ascii="宋体" w:hAnsi="宋体" w:eastAsia="宋体" w:cs="宋体"/>
          <w:color w:val="auto"/>
          <w:spacing w:val="-3"/>
          <w:sz w:val="24"/>
          <w:szCs w:val="24"/>
          <w:highlight w:val="none"/>
        </w:rPr>
        <w:t xml:space="preserve">2.2 货物的现场安装和启动监督；</w:t>
      </w:r>
      <w:r/>
    </w:p>
    <w:p>
      <w:pPr>
        <w:ind w:left="520"/>
        <w:spacing w:before="184" w:line="219"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6.2</w:t>
      </w:r>
      <w:r>
        <w:rPr>
          <w:rFonts w:ascii="宋体" w:hAnsi="宋体" w:eastAsia="宋体" w:cs="宋体"/>
          <w:color w:val="auto"/>
          <w:spacing w:val="-7"/>
          <w:sz w:val="24"/>
          <w:szCs w:val="24"/>
          <w:highlight w:val="none"/>
        </w:rPr>
        <w:t xml:space="preserve">.</w:t>
      </w:r>
      <w:r>
        <w:rPr>
          <w:rFonts w:ascii="宋体" w:hAnsi="宋体" w:eastAsia="宋体" w:cs="宋体"/>
          <w:color w:val="auto"/>
          <w:spacing w:val="-4"/>
          <w:sz w:val="24"/>
          <w:szCs w:val="24"/>
          <w:highlight w:val="none"/>
        </w:rPr>
        <w:t xml:space="preserve">3 提供货物组装和维修所需的工具；</w:t>
      </w:r>
      <w:r/>
    </w:p>
    <w:p>
      <w:pPr>
        <w:ind w:left="42" w:right="82" w:firstLine="478"/>
        <w:spacing w:before="184"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6.2.4 在合同中乙方承诺的期限内</w:t>
      </w:r>
      <w:r>
        <w:rPr>
          <w:rFonts w:ascii="宋体" w:hAnsi="宋体" w:eastAsia="宋体" w:cs="宋体"/>
          <w:color w:val="auto"/>
          <w:sz w:val="24"/>
          <w:szCs w:val="24"/>
          <w:highlight w:val="none"/>
        </w:rPr>
        <w:t xml:space="preserve">对所提供货物实施运行监督、维修，但前提条件是 </w:t>
      </w:r>
      <w:r>
        <w:rPr>
          <w:rFonts w:ascii="宋体" w:hAnsi="宋体" w:eastAsia="宋体" w:cs="宋体"/>
          <w:color w:val="auto"/>
          <w:spacing w:val="-4"/>
          <w:sz w:val="24"/>
          <w:szCs w:val="24"/>
          <w:highlight w:val="none"/>
        </w:rPr>
        <w:t xml:space="preserve">该服务并不能免除乙</w:t>
      </w:r>
      <w:r>
        <w:rPr>
          <w:rFonts w:ascii="宋体" w:hAnsi="宋体" w:eastAsia="宋体" w:cs="宋体"/>
          <w:color w:val="auto"/>
          <w:spacing w:val="-2"/>
          <w:sz w:val="24"/>
          <w:szCs w:val="24"/>
          <w:highlight w:val="none"/>
        </w:rPr>
        <w:t xml:space="preserve">方在质量保证期内应承担的义务；</w:t>
      </w:r>
      <w:r/>
    </w:p>
    <w:p>
      <w:pPr>
        <w:ind w:left="520"/>
        <w:spacing w:before="1" w:line="21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6.2.5 在货物交货现场就设</w:t>
      </w:r>
      <w:r>
        <w:rPr>
          <w:rFonts w:ascii="宋体" w:hAnsi="宋体" w:eastAsia="宋体" w:cs="宋体"/>
          <w:color w:val="auto"/>
          <w:spacing w:val="-1"/>
          <w:sz w:val="24"/>
          <w:szCs w:val="24"/>
          <w:highlight w:val="none"/>
        </w:rPr>
        <w:t xml:space="preserve">备的安装、启动、运行、维护等对甲方人员进行培训.</w:t>
      </w:r>
      <w:r/>
    </w:p>
    <w:p>
      <w:pPr>
        <w:ind w:left="520"/>
        <w:spacing w:before="183" w:line="21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6.3 伴随服务的费用应含在合同价</w:t>
      </w:r>
      <w:r>
        <w:rPr>
          <w:rFonts w:ascii="宋体" w:hAnsi="宋体" w:eastAsia="宋体" w:cs="宋体"/>
          <w:color w:val="auto"/>
          <w:spacing w:val="-1"/>
          <w:sz w:val="24"/>
          <w:szCs w:val="24"/>
          <w:highlight w:val="none"/>
        </w:rPr>
        <w:t xml:space="preserve">中，不单独进行支付。</w:t>
      </w:r>
      <w:r/>
    </w:p>
    <w:p>
      <w:pPr>
        <w:ind w:left="526"/>
        <w:spacing w:before="185"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7.供货及货物</w:t>
      </w:r>
      <w:r>
        <w:rPr>
          <w:rFonts w:ascii="宋体" w:hAnsi="宋体" w:eastAsia="宋体" w:cs="宋体"/>
          <w:color w:val="auto"/>
          <w:sz w:val="24"/>
          <w:szCs w:val="24"/>
          <w:highlight w:val="none"/>
        </w:rPr>
        <w:t xml:space="preserve">质量保证</w:t>
      </w:r>
      <w:r/>
    </w:p>
    <w:p>
      <w:pPr>
        <w:ind w:left="38" w:right="70" w:firstLine="485"/>
        <w:spacing w:before="184"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7.1 乙方负责提</w:t>
      </w:r>
      <w:r>
        <w:rPr>
          <w:rFonts w:ascii="宋体" w:hAnsi="宋体" w:eastAsia="宋体" w:cs="宋体"/>
          <w:color w:val="auto"/>
          <w:sz w:val="24"/>
          <w:szCs w:val="24"/>
          <w:highlight w:val="none"/>
        </w:rPr>
        <w:t xml:space="preserve">供本采购范围内所使用的所有货物、装置的原产地证明、质保文件和 </w:t>
      </w:r>
      <w:r>
        <w:rPr>
          <w:rFonts w:ascii="宋体" w:hAnsi="宋体" w:eastAsia="宋体" w:cs="宋体"/>
          <w:color w:val="auto"/>
          <w:spacing w:val="-2"/>
          <w:sz w:val="24"/>
          <w:szCs w:val="24"/>
          <w:highlight w:val="none"/>
        </w:rPr>
        <w:t xml:space="preserve">相应的等级标准证明并承诺向甲</w:t>
      </w:r>
      <w:r>
        <w:rPr>
          <w:rFonts w:ascii="宋体" w:hAnsi="宋体" w:eastAsia="宋体" w:cs="宋体"/>
          <w:color w:val="auto"/>
          <w:spacing w:val="-1"/>
          <w:sz w:val="24"/>
          <w:szCs w:val="24"/>
          <w:highlight w:val="none"/>
        </w:rPr>
        <w:t xml:space="preserve">方提供有关制造商的质保证明。</w:t>
      </w:r>
      <w:r/>
    </w:p>
    <w:p>
      <w:pPr>
        <w:ind w:left="39" w:right="70" w:firstLine="484"/>
        <w:spacing w:line="364"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7.2 货物、材料</w:t>
      </w:r>
      <w:r>
        <w:rPr>
          <w:rFonts w:ascii="宋体" w:hAnsi="宋体" w:eastAsia="宋体" w:cs="宋体"/>
          <w:color w:val="auto"/>
          <w:sz w:val="24"/>
          <w:szCs w:val="24"/>
          <w:highlight w:val="none"/>
        </w:rPr>
        <w:t xml:space="preserve">运抵现场后，在甲方或甲方聘请的监理、质检人员在场的情况下进行 </w:t>
      </w:r>
      <w:r>
        <w:rPr>
          <w:rFonts w:ascii="宋体" w:hAnsi="宋体" w:eastAsia="宋体" w:cs="宋体"/>
          <w:color w:val="auto"/>
          <w:spacing w:val="-1"/>
          <w:sz w:val="24"/>
          <w:szCs w:val="24"/>
          <w:highlight w:val="none"/>
        </w:rPr>
        <w:t xml:space="preserve">开箱检验</w:t>
      </w:r>
      <w:r>
        <w:rPr>
          <w:rFonts w:ascii="宋体" w:hAnsi="宋体" w:eastAsia="宋体" w:cs="宋体"/>
          <w:color w:val="auto"/>
          <w:sz w:val="24"/>
          <w:szCs w:val="24"/>
          <w:highlight w:val="none"/>
        </w:rPr>
        <w:t xml:space="preserve">后由甲方负责保管。必要时甲方可要求将有关货物和材料送质检部门检验，检验 </w:t>
      </w:r>
      <w:r>
        <w:rPr>
          <w:rFonts w:ascii="宋体" w:hAnsi="宋体" w:eastAsia="宋体" w:cs="宋体"/>
          <w:color w:val="auto"/>
          <w:spacing w:val="-1"/>
          <w:sz w:val="24"/>
          <w:szCs w:val="24"/>
          <w:highlight w:val="none"/>
        </w:rPr>
        <w:t xml:space="preserve">费由乙方</w:t>
      </w:r>
      <w:r>
        <w:rPr>
          <w:rFonts w:ascii="宋体" w:hAnsi="宋体" w:eastAsia="宋体" w:cs="宋体"/>
          <w:color w:val="auto"/>
          <w:sz w:val="24"/>
          <w:szCs w:val="24"/>
          <w:highlight w:val="none"/>
        </w:rPr>
        <w:t xml:space="preserve">负担。甲方对货物、材料的品牌、型号、数量、产地等进行检查和清点，各主要 </w:t>
      </w:r>
      <w:r>
        <w:rPr>
          <w:rFonts w:ascii="宋体" w:hAnsi="宋体" w:eastAsia="宋体" w:cs="宋体"/>
          <w:color w:val="auto"/>
          <w:spacing w:val="-1"/>
          <w:sz w:val="24"/>
          <w:szCs w:val="24"/>
          <w:highlight w:val="none"/>
        </w:rPr>
        <w:t xml:space="preserve">子系统应</w:t>
      </w:r>
      <w:r>
        <w:rPr>
          <w:rFonts w:ascii="宋体" w:hAnsi="宋体" w:eastAsia="宋体" w:cs="宋体"/>
          <w:color w:val="auto"/>
          <w:sz w:val="24"/>
          <w:szCs w:val="24"/>
          <w:highlight w:val="none"/>
        </w:rPr>
        <w:t xml:space="preserve">属同一制造商的同一地产品。如检验中发现短缺、损坏或假冒伪劣商品，乙方应</w:t>
      </w:r>
      <w:r/>
    </w:p>
    <w:p>
      <w:pPr>
        <w:rPr>
          <w:color w:val="auto"/>
          <w:highlight w:val="none"/>
        </w:rPr>
        <w:sectPr>
          <w:headerReference w:type="default" r:id="rId11"/>
          <w:footerReference w:type="default" r:id="rId24"/>
          <w:footnotePr/>
          <w:endnotePr/>
          <w:type w:val="nextPage"/>
          <w:pgSz w:w="11907" w:h="16839" w:orient="portrait"/>
          <w:pgMar w:top="1125" w:right="1199" w:bottom="1392" w:left="1240" w:header="1111" w:footer="1229" w:gutter="0"/>
          <w:cols w:num="1" w:sep="0" w:space="720" w:equalWidth="1"/>
          <w:docGrid w:linePitch="360"/>
        </w:sectPr>
      </w:pPr>
      <w:r>
        <w:rPr>
          <w:color w:val="auto"/>
          <w:highlight w:val="none"/>
        </w:rPr>
      </w:r>
      <w:r/>
    </w:p>
    <w:p>
      <w:pPr>
        <w:spacing w:line="347" w:lineRule="auto"/>
        <w:rPr>
          <w:rFonts w:ascii="Arial"/>
          <w:color w:val="auto"/>
          <w:sz w:val="21"/>
          <w:highlight w:val="none"/>
        </w:rPr>
      </w:pPr>
      <w:r>
        <w:rPr>
          <w:rFonts w:ascii="Arial"/>
          <w:color w:val="auto"/>
          <w:sz w:val="21"/>
          <w:highlight w:val="none"/>
        </w:rPr>
      </w:r>
      <w:r/>
    </w:p>
    <w:p>
      <w:pPr>
        <w:ind w:left="38"/>
        <w:spacing w:before="78"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立即采取补救措施，不得因</w:t>
      </w:r>
      <w:r>
        <w:rPr>
          <w:rFonts w:ascii="宋体" w:hAnsi="宋体" w:eastAsia="宋体" w:cs="宋体"/>
          <w:color w:val="auto"/>
          <w:spacing w:val="-1"/>
          <w:sz w:val="24"/>
          <w:szCs w:val="24"/>
          <w:highlight w:val="none"/>
        </w:rPr>
        <w:t xml:space="preserve">此影响施工，否则一切损失由乙方负责。</w:t>
      </w:r>
      <w:r/>
    </w:p>
    <w:p>
      <w:pPr>
        <w:ind w:left="38" w:firstLine="485"/>
        <w:spacing w:before="183"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7.3 乙方应保证</w:t>
      </w:r>
      <w:r>
        <w:rPr>
          <w:rFonts w:ascii="宋体" w:hAnsi="宋体" w:eastAsia="宋体" w:cs="宋体"/>
          <w:color w:val="auto"/>
          <w:sz w:val="24"/>
          <w:szCs w:val="24"/>
          <w:highlight w:val="none"/>
        </w:rPr>
        <w:t xml:space="preserve">货物是全新、未使用过的，是用一流的工艺和最佳材料制造的、合法</w:t>
      </w:r>
      <w:r>
        <w:rPr>
          <w:rFonts w:ascii="宋体" w:hAnsi="宋体" w:eastAsia="宋体" w:cs="宋体"/>
          <w:color w:val="auto"/>
          <w:spacing w:val="-1"/>
          <w:sz w:val="24"/>
          <w:szCs w:val="24"/>
          <w:highlight w:val="none"/>
        </w:rPr>
        <w:t xml:space="preserve">渠道进</w:t>
      </w:r>
      <w:r>
        <w:rPr>
          <w:rFonts w:ascii="宋体" w:hAnsi="宋体" w:eastAsia="宋体" w:cs="宋体"/>
          <w:color w:val="auto"/>
          <w:sz w:val="24"/>
          <w:szCs w:val="24"/>
          <w:highlight w:val="none"/>
        </w:rPr>
        <w:t xml:space="preserve">货的正宗、原装合格正品，并完全符合合同规定的质量、规格和性能的要求。乙方</w:t>
      </w:r>
      <w:r>
        <w:rPr>
          <w:rFonts w:ascii="宋体" w:hAnsi="宋体" w:eastAsia="宋体" w:cs="宋体"/>
          <w:color w:val="auto"/>
          <w:spacing w:val="-12"/>
          <w:sz w:val="24"/>
          <w:szCs w:val="24"/>
          <w:highlight w:val="none"/>
        </w:rPr>
        <w:t xml:space="preserve">应保证其货</w:t>
      </w:r>
      <w:r>
        <w:rPr>
          <w:rFonts w:ascii="宋体" w:hAnsi="宋体" w:eastAsia="宋体" w:cs="宋体"/>
          <w:color w:val="auto"/>
          <w:spacing w:val="-7"/>
          <w:sz w:val="24"/>
          <w:szCs w:val="24"/>
          <w:highlight w:val="none"/>
        </w:rPr>
        <w:t xml:space="preserve">物</w:t>
      </w:r>
      <w:r>
        <w:rPr>
          <w:rFonts w:ascii="宋体" w:hAnsi="宋体" w:eastAsia="宋体" w:cs="宋体"/>
          <w:color w:val="auto"/>
          <w:spacing w:val="-6"/>
          <w:sz w:val="24"/>
          <w:szCs w:val="24"/>
          <w:highlight w:val="none"/>
        </w:rPr>
        <w:t xml:space="preserve">在正确安装、正常使用和保养条件下， 在其使用寿命期内应具有满意的性能。</w:t>
      </w:r>
      <w:r>
        <w:rPr>
          <w:rFonts w:ascii="宋体" w:hAnsi="宋体" w:eastAsia="宋体" w:cs="宋体"/>
          <w:color w:val="auto"/>
          <w:spacing w:val="-1"/>
          <w:sz w:val="24"/>
          <w:szCs w:val="24"/>
          <w:highlight w:val="none"/>
        </w:rPr>
        <w:t xml:space="preserve">货物最</w:t>
      </w:r>
      <w:r>
        <w:rPr>
          <w:rFonts w:ascii="宋体" w:hAnsi="宋体" w:eastAsia="宋体" w:cs="宋体"/>
          <w:color w:val="auto"/>
          <w:sz w:val="24"/>
          <w:szCs w:val="24"/>
          <w:highlight w:val="none"/>
        </w:rPr>
        <w:t xml:space="preserve">终验收后，在质量保证期内，乙方应对由于设计、工艺或材料的缺陷而发生的任何</w:t>
      </w:r>
      <w:r>
        <w:rPr>
          <w:rFonts w:ascii="宋体" w:hAnsi="宋体" w:eastAsia="宋体" w:cs="宋体"/>
          <w:color w:val="auto"/>
          <w:spacing w:val="-4"/>
          <w:sz w:val="24"/>
          <w:szCs w:val="24"/>
          <w:highlight w:val="none"/>
        </w:rPr>
        <w:t xml:space="preserve">不足或故</w:t>
      </w:r>
      <w:r>
        <w:rPr>
          <w:rFonts w:ascii="宋体" w:hAnsi="宋体" w:eastAsia="宋体" w:cs="宋体"/>
          <w:color w:val="auto"/>
          <w:spacing w:val="-3"/>
          <w:sz w:val="24"/>
          <w:szCs w:val="24"/>
          <w:highlight w:val="none"/>
        </w:rPr>
        <w:t xml:space="preserve">障</w:t>
      </w:r>
      <w:r>
        <w:rPr>
          <w:rFonts w:ascii="宋体" w:hAnsi="宋体" w:eastAsia="宋体" w:cs="宋体"/>
          <w:color w:val="auto"/>
          <w:spacing w:val="-2"/>
          <w:sz w:val="24"/>
          <w:szCs w:val="24"/>
          <w:highlight w:val="none"/>
        </w:rPr>
        <w:t xml:space="preserve">负责，费用由乙方负担。</w:t>
      </w:r>
      <w:r/>
    </w:p>
    <w:p>
      <w:pPr>
        <w:ind w:left="38" w:right="85" w:firstLine="485"/>
        <w:spacing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7.4 根据市级以</w:t>
      </w:r>
      <w:r>
        <w:rPr>
          <w:rFonts w:ascii="宋体" w:hAnsi="宋体" w:eastAsia="宋体" w:cs="宋体"/>
          <w:color w:val="auto"/>
          <w:sz w:val="24"/>
          <w:szCs w:val="24"/>
          <w:highlight w:val="none"/>
        </w:rPr>
        <w:t xml:space="preserve">上质量检验部门检验结果或者在质量保证期内，如果货物的数量、质 </w:t>
      </w:r>
      <w:r>
        <w:rPr>
          <w:rFonts w:ascii="宋体" w:hAnsi="宋体" w:eastAsia="宋体" w:cs="宋体"/>
          <w:color w:val="auto"/>
          <w:spacing w:val="-6"/>
          <w:sz w:val="24"/>
          <w:szCs w:val="24"/>
          <w:highlight w:val="none"/>
        </w:rPr>
        <w:t xml:space="preserve">量</w:t>
      </w:r>
      <w:r>
        <w:rPr>
          <w:rFonts w:ascii="宋体" w:hAnsi="宋体" w:eastAsia="宋体" w:cs="宋体"/>
          <w:color w:val="auto"/>
          <w:spacing w:val="-3"/>
          <w:sz w:val="24"/>
          <w:szCs w:val="24"/>
          <w:highlight w:val="none"/>
        </w:rPr>
        <w:t xml:space="preserve">或规格与合同不符， 或证明货物是有缺陷的，包括潜在的缺陷或使用不符合要求的材料</w:t>
      </w:r>
      <w:r>
        <w:rPr>
          <w:rFonts w:ascii="宋体" w:hAnsi="宋体" w:eastAsia="宋体" w:cs="宋体"/>
          <w:color w:val="auto"/>
          <w:spacing w:val="-1"/>
          <w:sz w:val="24"/>
          <w:szCs w:val="24"/>
          <w:highlight w:val="none"/>
        </w:rPr>
        <w:t xml:space="preserve">等，甲方以书面形式向乙方提</w:t>
      </w:r>
      <w:r>
        <w:rPr>
          <w:rFonts w:ascii="宋体" w:hAnsi="宋体" w:eastAsia="宋体" w:cs="宋体"/>
          <w:color w:val="auto"/>
          <w:sz w:val="24"/>
          <w:szCs w:val="24"/>
          <w:highlight w:val="none"/>
        </w:rPr>
        <w:t xml:space="preserve">出本合同下的索赔。乙方在收到通知后，应在合同中所附服</w:t>
      </w:r>
      <w:r>
        <w:rPr>
          <w:rFonts w:ascii="宋体" w:hAnsi="宋体" w:eastAsia="宋体" w:cs="宋体"/>
          <w:color w:val="auto"/>
          <w:spacing w:val="-1"/>
          <w:sz w:val="24"/>
          <w:szCs w:val="24"/>
          <w:highlight w:val="none"/>
        </w:rPr>
        <w:t xml:space="preserve">务承诺</w:t>
      </w:r>
      <w:r>
        <w:rPr>
          <w:rFonts w:ascii="宋体" w:hAnsi="宋体" w:eastAsia="宋体" w:cs="宋体"/>
          <w:color w:val="auto"/>
          <w:sz w:val="24"/>
          <w:szCs w:val="24"/>
          <w:highlight w:val="none"/>
        </w:rPr>
        <w:t xml:space="preserve">约定的时间内必须主动协助甲方对货物免费维修、更换有缺陷的货物或部件。如果</w:t>
      </w:r>
      <w:r>
        <w:rPr>
          <w:rFonts w:ascii="宋体" w:hAnsi="宋体" w:eastAsia="宋体" w:cs="宋体"/>
          <w:color w:val="auto"/>
          <w:spacing w:val="-1"/>
          <w:sz w:val="24"/>
          <w:szCs w:val="24"/>
          <w:highlight w:val="none"/>
        </w:rPr>
        <w:t xml:space="preserve">乙方在</w:t>
      </w:r>
      <w:r>
        <w:rPr>
          <w:rFonts w:ascii="宋体" w:hAnsi="宋体" w:eastAsia="宋体" w:cs="宋体"/>
          <w:color w:val="auto"/>
          <w:sz w:val="24"/>
          <w:szCs w:val="24"/>
          <w:highlight w:val="none"/>
        </w:rPr>
        <w:t xml:space="preserve">收到通知后，在合同中所附服务承诺约定的时间内没有弥补缺陷，甲方可采取必要</w:t>
      </w:r>
      <w:r>
        <w:rPr>
          <w:rFonts w:ascii="宋体" w:hAnsi="宋体" w:eastAsia="宋体" w:cs="宋体"/>
          <w:color w:val="auto"/>
          <w:spacing w:val="-4"/>
          <w:sz w:val="24"/>
          <w:szCs w:val="24"/>
          <w:highlight w:val="none"/>
        </w:rPr>
        <w:t xml:space="preserve">的补</w:t>
      </w:r>
      <w:r>
        <w:rPr>
          <w:rFonts w:ascii="宋体" w:hAnsi="宋体" w:eastAsia="宋体" w:cs="宋体"/>
          <w:color w:val="auto"/>
          <w:spacing w:val="-2"/>
          <w:sz w:val="24"/>
          <w:szCs w:val="24"/>
          <w:highlight w:val="none"/>
        </w:rPr>
        <w:t xml:space="preserve">救措施，但风险和费用将由乙方承担。</w:t>
      </w:r>
      <w:r/>
    </w:p>
    <w:p>
      <w:pPr>
        <w:ind w:left="521"/>
        <w:spacing w:before="1" w:line="23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8.项目实</w:t>
      </w:r>
      <w:r>
        <w:rPr>
          <w:rFonts w:ascii="宋体" w:hAnsi="宋体" w:eastAsia="宋体" w:cs="宋体"/>
          <w:color w:val="auto"/>
          <w:sz w:val="24"/>
          <w:szCs w:val="24"/>
          <w:highlight w:val="none"/>
        </w:rPr>
        <w:t xml:space="preserve">施、供货、调试、验收及集成</w:t>
      </w:r>
      <w:r/>
    </w:p>
    <w:p>
      <w:pPr>
        <w:ind w:left="519"/>
        <w:spacing w:before="157"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8.1 项目实施要</w:t>
      </w:r>
      <w:r>
        <w:rPr>
          <w:rFonts w:ascii="宋体" w:hAnsi="宋体" w:eastAsia="宋体" w:cs="宋体"/>
          <w:color w:val="auto"/>
          <w:sz w:val="24"/>
          <w:szCs w:val="24"/>
          <w:highlight w:val="none"/>
        </w:rPr>
        <w:t xml:space="preserve">求</w:t>
      </w:r>
      <w:r/>
    </w:p>
    <w:p>
      <w:pPr>
        <w:ind w:left="40" w:right="86" w:firstLine="479"/>
        <w:spacing w:before="182"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8.1.</w:t>
      </w:r>
      <w:r>
        <w:rPr>
          <w:rFonts w:ascii="宋体" w:hAnsi="宋体" w:eastAsia="宋体" w:cs="宋体"/>
          <w:color w:val="auto"/>
          <w:sz w:val="24"/>
          <w:szCs w:val="24"/>
          <w:highlight w:val="none"/>
        </w:rPr>
        <w:t xml:space="preserve">1 本项目以采购需求为准；乙方提供所有需要的配套设备、缆线等需配齐，以构</w:t>
      </w:r>
      <w:r>
        <w:rPr>
          <w:rFonts w:ascii="宋体" w:hAnsi="宋体" w:eastAsia="宋体" w:cs="宋体"/>
          <w:color w:val="auto"/>
          <w:spacing w:val="-2"/>
          <w:sz w:val="24"/>
          <w:szCs w:val="24"/>
          <w:highlight w:val="none"/>
        </w:rPr>
        <w:t xml:space="preserve">成完整实用的系统；所需经费均</w:t>
      </w:r>
      <w:r>
        <w:rPr>
          <w:rFonts w:ascii="宋体" w:hAnsi="宋体" w:eastAsia="宋体" w:cs="宋体"/>
          <w:color w:val="auto"/>
          <w:spacing w:val="-1"/>
          <w:sz w:val="24"/>
          <w:szCs w:val="24"/>
          <w:highlight w:val="none"/>
        </w:rPr>
        <w:t xml:space="preserve">含在乙方报价中，中标后不再增补。</w:t>
      </w:r>
      <w:r/>
    </w:p>
    <w:p>
      <w:pPr>
        <w:ind w:left="40" w:right="86" w:firstLine="479"/>
        <w:spacing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8.1.</w:t>
      </w:r>
      <w:r>
        <w:rPr>
          <w:rFonts w:ascii="宋体" w:hAnsi="宋体" w:eastAsia="宋体" w:cs="宋体"/>
          <w:color w:val="auto"/>
          <w:sz w:val="24"/>
          <w:szCs w:val="24"/>
          <w:highlight w:val="none"/>
        </w:rPr>
        <w:t xml:space="preserve">2 乙方应根据甲方的需要，在规定的时间内，保证质量完成投标所提供设备的使 </w:t>
      </w:r>
      <w:r>
        <w:rPr>
          <w:rFonts w:ascii="宋体" w:hAnsi="宋体" w:eastAsia="宋体" w:cs="宋体"/>
          <w:color w:val="auto"/>
          <w:spacing w:val="-3"/>
          <w:sz w:val="24"/>
          <w:szCs w:val="24"/>
          <w:highlight w:val="none"/>
        </w:rPr>
        <w:t xml:space="preserve">用规划、安装、调试及投入运行</w:t>
      </w:r>
      <w:r>
        <w:rPr>
          <w:rFonts w:ascii="宋体" w:hAnsi="宋体" w:eastAsia="宋体" w:cs="宋体"/>
          <w:color w:val="auto"/>
          <w:spacing w:val="-1"/>
          <w:sz w:val="24"/>
          <w:szCs w:val="24"/>
          <w:highlight w:val="none"/>
        </w:rPr>
        <w:t xml:space="preserve">。</w:t>
      </w:r>
      <w:r/>
    </w:p>
    <w:p>
      <w:pPr>
        <w:ind w:left="42" w:right="99" w:firstLine="477"/>
        <w:spacing w:line="360"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8.1.3</w:t>
      </w:r>
      <w:r>
        <w:rPr>
          <w:rFonts w:ascii="宋体" w:hAnsi="宋体" w:eastAsia="宋体" w:cs="宋体"/>
          <w:color w:val="auto"/>
          <w:spacing w:val="-3"/>
          <w:sz w:val="24"/>
          <w:szCs w:val="24"/>
          <w:highlight w:val="none"/>
        </w:rPr>
        <w:t xml:space="preserve"> 乙方需要在项目实施前进行充分调研， 以满足综合实施的要求。乙方应在施工</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 xml:space="preserve">前</w:t>
      </w:r>
      <w:r>
        <w:rPr>
          <w:rFonts w:ascii="宋体" w:hAnsi="宋体" w:eastAsia="宋体" w:cs="宋体"/>
          <w:color w:val="auto"/>
          <w:spacing w:val="-3"/>
          <w:sz w:val="24"/>
          <w:szCs w:val="24"/>
          <w:highlight w:val="none"/>
        </w:rPr>
        <w:t xml:space="preserve">再</w:t>
      </w:r>
      <w:r>
        <w:rPr>
          <w:rFonts w:ascii="宋体" w:hAnsi="宋体" w:eastAsia="宋体" w:cs="宋体"/>
          <w:color w:val="auto"/>
          <w:spacing w:val="-2"/>
          <w:sz w:val="24"/>
          <w:szCs w:val="24"/>
          <w:highlight w:val="none"/>
        </w:rPr>
        <w:t xml:space="preserve">次提供详细的施工方案，并提交甲方认可。</w:t>
      </w:r>
      <w:r/>
    </w:p>
    <w:p>
      <w:pPr>
        <w:ind w:left="38" w:right="94" w:firstLine="480"/>
        <w:spacing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8.1.4 设备安装、调试</w:t>
      </w:r>
      <w:r>
        <w:rPr>
          <w:rFonts w:ascii="宋体" w:hAnsi="宋体" w:eastAsia="宋体" w:cs="宋体"/>
          <w:color w:val="auto"/>
          <w:sz w:val="24"/>
          <w:szCs w:val="24"/>
          <w:highlight w:val="none"/>
        </w:rPr>
        <w:t xml:space="preserve">所需的工具、仪表及安装材料由乙方自行解决。施工过程应严</w:t>
      </w:r>
      <w:r>
        <w:rPr>
          <w:rFonts w:ascii="宋体" w:hAnsi="宋体" w:eastAsia="宋体" w:cs="宋体"/>
          <w:color w:val="auto"/>
          <w:spacing w:val="-2"/>
          <w:sz w:val="24"/>
          <w:szCs w:val="24"/>
          <w:highlight w:val="none"/>
        </w:rPr>
        <w:t xml:space="preserve">格执行相关的强弱电施工规范，并保证施工安全</w:t>
      </w:r>
      <w:r>
        <w:rPr>
          <w:rFonts w:ascii="宋体" w:hAnsi="宋体" w:eastAsia="宋体" w:cs="宋体"/>
          <w:color w:val="auto"/>
          <w:sz w:val="24"/>
          <w:szCs w:val="24"/>
          <w:highlight w:val="none"/>
        </w:rPr>
        <w:t xml:space="preserve">。</w:t>
      </w:r>
      <w:r/>
    </w:p>
    <w:p>
      <w:pPr>
        <w:ind w:left="38" w:right="86" w:firstLine="480"/>
        <w:spacing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8.1.</w:t>
      </w:r>
      <w:r>
        <w:rPr>
          <w:rFonts w:ascii="宋体" w:hAnsi="宋体" w:eastAsia="宋体" w:cs="宋体"/>
          <w:color w:val="auto"/>
          <w:sz w:val="24"/>
          <w:szCs w:val="24"/>
          <w:highlight w:val="none"/>
        </w:rPr>
        <w:t xml:space="preserve">5 乙方应向甲方提交测试内容和方法。测试计划和技术内容由乙方拟定，经甲方 </w:t>
      </w:r>
      <w:r>
        <w:rPr>
          <w:rFonts w:ascii="宋体" w:hAnsi="宋体" w:eastAsia="宋体" w:cs="宋体"/>
          <w:color w:val="auto"/>
          <w:spacing w:val="-11"/>
          <w:sz w:val="24"/>
          <w:szCs w:val="24"/>
          <w:highlight w:val="none"/>
        </w:rPr>
        <w:t xml:space="preserve">确</w:t>
      </w:r>
      <w:r>
        <w:rPr>
          <w:rFonts w:ascii="宋体" w:hAnsi="宋体" w:eastAsia="宋体" w:cs="宋体"/>
          <w:color w:val="auto"/>
          <w:spacing w:val="-9"/>
          <w:sz w:val="24"/>
          <w:szCs w:val="24"/>
          <w:highlight w:val="none"/>
        </w:rPr>
        <w:t xml:space="preserve">认。</w:t>
      </w:r>
      <w:r/>
    </w:p>
    <w:p>
      <w:pPr>
        <w:ind w:left="519"/>
        <w:spacing w:before="1" w:line="218" w:lineRule="auto"/>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 xml:space="preserve">8.2 供货</w:t>
      </w:r>
      <w:r/>
    </w:p>
    <w:p>
      <w:pPr>
        <w:ind w:left="38" w:right="85" w:firstLine="480"/>
        <w:spacing w:before="186" w:line="364"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8.2.</w:t>
      </w:r>
      <w:r>
        <w:rPr>
          <w:rFonts w:ascii="宋体" w:hAnsi="宋体" w:eastAsia="宋体" w:cs="宋体"/>
          <w:color w:val="auto"/>
          <w:sz w:val="24"/>
          <w:szCs w:val="24"/>
          <w:highlight w:val="none"/>
        </w:rPr>
        <w:t xml:space="preserve">1 乙方应确保其技术建议以及所提供的软硬件设备的完整性、实用性，保证全部 </w:t>
      </w:r>
      <w:r>
        <w:rPr>
          <w:rFonts w:ascii="宋体" w:hAnsi="宋体" w:eastAsia="宋体" w:cs="宋体"/>
          <w:color w:val="auto"/>
          <w:spacing w:val="-1"/>
          <w:sz w:val="24"/>
          <w:szCs w:val="24"/>
          <w:highlight w:val="none"/>
        </w:rPr>
        <w:t xml:space="preserve">系统及</w:t>
      </w:r>
      <w:r>
        <w:rPr>
          <w:rFonts w:ascii="宋体" w:hAnsi="宋体" w:eastAsia="宋体" w:cs="宋体"/>
          <w:color w:val="auto"/>
          <w:sz w:val="24"/>
          <w:szCs w:val="24"/>
          <w:highlight w:val="none"/>
        </w:rPr>
        <w:t xml:space="preserve">时投入正常运行。所有施工材料应符合绿色、环保要求，并满足施工工期、施工安</w:t>
      </w:r>
      <w:r>
        <w:rPr>
          <w:rFonts w:ascii="宋体" w:hAnsi="宋体" w:eastAsia="宋体" w:cs="宋体"/>
          <w:color w:val="auto"/>
          <w:spacing w:val="-1"/>
          <w:sz w:val="24"/>
          <w:szCs w:val="24"/>
          <w:highlight w:val="none"/>
        </w:rPr>
        <w:t xml:space="preserve">全的需</w:t>
      </w:r>
      <w:r>
        <w:rPr>
          <w:rFonts w:ascii="宋体" w:hAnsi="宋体" w:eastAsia="宋体" w:cs="宋体"/>
          <w:color w:val="auto"/>
          <w:sz w:val="24"/>
          <w:szCs w:val="24"/>
          <w:highlight w:val="none"/>
        </w:rPr>
        <w:t xml:space="preserve">要；若出现因乙方提供的软硬件设备不满足要求、不合理，或者其所提供的技术支</w:t>
      </w:r>
      <w:r>
        <w:rPr>
          <w:rFonts w:ascii="宋体" w:hAnsi="宋体" w:eastAsia="宋体" w:cs="宋体"/>
          <w:color w:val="auto"/>
          <w:spacing w:val="-2"/>
          <w:sz w:val="24"/>
          <w:szCs w:val="24"/>
          <w:highlight w:val="none"/>
        </w:rPr>
        <w:t xml:space="preserve">持和服务不全</w:t>
      </w:r>
      <w:r>
        <w:rPr>
          <w:rFonts w:ascii="宋体" w:hAnsi="宋体" w:eastAsia="宋体" w:cs="宋体"/>
          <w:color w:val="auto"/>
          <w:spacing w:val="-1"/>
          <w:sz w:val="24"/>
          <w:szCs w:val="24"/>
          <w:highlight w:val="none"/>
        </w:rPr>
        <w:t xml:space="preserve">面，而导致系统无法实现或不能完全实现的状况，乙方负全部责任。</w:t>
      </w:r>
      <w:r/>
    </w:p>
    <w:p>
      <w:pPr>
        <w:rPr>
          <w:color w:val="auto"/>
          <w:highlight w:val="none"/>
        </w:rPr>
        <w:sectPr>
          <w:headerReference w:type="default" r:id="rId12"/>
          <w:footerReference w:type="default" r:id="rId25"/>
          <w:footnotePr/>
          <w:endnotePr/>
          <w:type w:val="nextPage"/>
          <w:pgSz w:w="11907" w:h="16839" w:orient="portrait"/>
          <w:pgMar w:top="1125" w:right="1183" w:bottom="1392" w:left="1240" w:header="1111" w:footer="1229" w:gutter="0"/>
          <w:cols w:num="1" w:sep="0" w:space="720" w:equalWidth="1"/>
          <w:docGrid w:linePitch="360"/>
        </w:sectPr>
      </w:pPr>
      <w:r>
        <w:rPr>
          <w:color w:val="auto"/>
          <w:highlight w:val="none"/>
        </w:rPr>
      </w:r>
      <w:r/>
    </w:p>
    <w:p>
      <w:pPr>
        <w:spacing w:line="347" w:lineRule="auto"/>
        <w:rPr>
          <w:rFonts w:ascii="Arial"/>
          <w:color w:val="auto"/>
          <w:sz w:val="21"/>
          <w:highlight w:val="none"/>
        </w:rPr>
      </w:pPr>
      <w:r>
        <w:rPr>
          <w:rFonts w:ascii="Arial"/>
          <w:color w:val="auto"/>
          <w:sz w:val="21"/>
          <w:highlight w:val="none"/>
        </w:rPr>
      </w:r>
      <w:r/>
    </w:p>
    <w:p>
      <w:pPr>
        <w:ind w:left="519"/>
        <w:spacing w:before="78" w:line="220" w:lineRule="auto"/>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 xml:space="preserve">8</w:t>
      </w:r>
      <w:r>
        <w:rPr>
          <w:rFonts w:ascii="宋体" w:hAnsi="宋体" w:eastAsia="宋体" w:cs="宋体"/>
          <w:color w:val="auto"/>
          <w:spacing w:val="-8"/>
          <w:sz w:val="24"/>
          <w:szCs w:val="24"/>
          <w:highlight w:val="none"/>
        </w:rPr>
        <w:t xml:space="preserve">.3 安装调试</w:t>
      </w:r>
      <w:r/>
    </w:p>
    <w:p>
      <w:pPr>
        <w:ind w:left="36" w:right="84" w:firstLine="482"/>
        <w:spacing w:before="182"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8.3.</w:t>
      </w:r>
      <w:r>
        <w:rPr>
          <w:rFonts w:ascii="宋体" w:hAnsi="宋体" w:eastAsia="宋体" w:cs="宋体"/>
          <w:color w:val="auto"/>
          <w:sz w:val="24"/>
          <w:szCs w:val="24"/>
          <w:highlight w:val="none"/>
        </w:rPr>
        <w:t xml:space="preserve">1 乙方应根据甲方的需要，合理安排其他相关单位的进场施工时间，设备安装位 </w:t>
      </w:r>
      <w:r>
        <w:rPr>
          <w:rFonts w:ascii="宋体" w:hAnsi="宋体" w:eastAsia="宋体" w:cs="宋体"/>
          <w:color w:val="auto"/>
          <w:spacing w:val="-2"/>
          <w:sz w:val="24"/>
          <w:szCs w:val="24"/>
          <w:highlight w:val="none"/>
        </w:rPr>
        <w:t xml:space="preserve">置，做好与其他供</w:t>
      </w:r>
      <w:r>
        <w:rPr>
          <w:rFonts w:ascii="宋体" w:hAnsi="宋体" w:eastAsia="宋体" w:cs="宋体"/>
          <w:color w:val="auto"/>
          <w:spacing w:val="-1"/>
          <w:sz w:val="24"/>
          <w:szCs w:val="24"/>
          <w:highlight w:val="none"/>
        </w:rPr>
        <w:t xml:space="preserve">应商的协调、配合工作，在规定的时间内，完成工作。</w:t>
      </w:r>
      <w:r/>
    </w:p>
    <w:p>
      <w:pPr>
        <w:ind w:left="39" w:right="84" w:firstLine="479"/>
        <w:spacing w:before="2" w:line="35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8.3.</w:t>
      </w:r>
      <w:r>
        <w:rPr>
          <w:rFonts w:ascii="宋体" w:hAnsi="宋体" w:eastAsia="宋体" w:cs="宋体"/>
          <w:color w:val="auto"/>
          <w:sz w:val="24"/>
          <w:szCs w:val="24"/>
          <w:highlight w:val="none"/>
        </w:rPr>
        <w:t xml:space="preserve">2 乙方需在施工前对系统建设工程进行深化设计，设计应严格按照国家有关标准 </w:t>
      </w:r>
      <w:r>
        <w:rPr>
          <w:rFonts w:ascii="宋体" w:hAnsi="宋体" w:eastAsia="宋体" w:cs="宋体"/>
          <w:color w:val="auto"/>
          <w:spacing w:val="-2"/>
          <w:sz w:val="24"/>
          <w:szCs w:val="24"/>
          <w:highlight w:val="none"/>
        </w:rPr>
        <w:t xml:space="preserve">开展，在满足现有需求的</w:t>
      </w:r>
      <w:r>
        <w:rPr>
          <w:rFonts w:ascii="宋体" w:hAnsi="宋体" w:eastAsia="宋体" w:cs="宋体"/>
          <w:color w:val="auto"/>
          <w:spacing w:val="-1"/>
          <w:sz w:val="24"/>
          <w:szCs w:val="24"/>
          <w:highlight w:val="none"/>
        </w:rPr>
        <w:t xml:space="preserve">前提下，留有充分的扩展余地，提交甲方认可。</w:t>
      </w:r>
      <w:r/>
    </w:p>
    <w:p>
      <w:pPr>
        <w:ind w:left="519"/>
        <w:spacing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8</w:t>
      </w:r>
      <w:r>
        <w:rPr>
          <w:rFonts w:ascii="宋体" w:hAnsi="宋体" w:eastAsia="宋体" w:cs="宋体"/>
          <w:color w:val="auto"/>
          <w:spacing w:val="-1"/>
          <w:sz w:val="24"/>
          <w:szCs w:val="24"/>
          <w:highlight w:val="none"/>
        </w:rPr>
        <w:t xml:space="preserve">.4 验收</w:t>
      </w:r>
      <w:r/>
    </w:p>
    <w:p>
      <w:pPr>
        <w:ind w:left="36" w:right="82" w:firstLine="482"/>
        <w:spacing w:before="183"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8.4.</w:t>
      </w:r>
      <w:r>
        <w:rPr>
          <w:rFonts w:ascii="宋体" w:hAnsi="宋体" w:eastAsia="宋体" w:cs="宋体"/>
          <w:color w:val="auto"/>
          <w:sz w:val="24"/>
          <w:szCs w:val="24"/>
          <w:highlight w:val="none"/>
        </w:rPr>
        <w:t xml:space="preserve">1 设备到货后，甲方与乙方共同配合有关部门对所有设备进行开箱检查，出现损 </w:t>
      </w:r>
      <w:r>
        <w:rPr>
          <w:rFonts w:ascii="宋体" w:hAnsi="宋体" w:eastAsia="宋体" w:cs="宋体"/>
          <w:color w:val="auto"/>
          <w:spacing w:val="-2"/>
          <w:sz w:val="24"/>
          <w:szCs w:val="24"/>
          <w:highlight w:val="none"/>
        </w:rPr>
        <w:t xml:space="preserve">坏、数量不全或产品不对等问题</w:t>
      </w:r>
      <w:r>
        <w:rPr>
          <w:rFonts w:ascii="宋体" w:hAnsi="宋体" w:eastAsia="宋体" w:cs="宋体"/>
          <w:color w:val="auto"/>
          <w:spacing w:val="-1"/>
          <w:sz w:val="24"/>
          <w:szCs w:val="24"/>
          <w:highlight w:val="none"/>
        </w:rPr>
        <w:t xml:space="preserve">时，由乙方负责解决。所有投标产品必须来自正规渠道，</w:t>
      </w:r>
      <w:r>
        <w:rPr>
          <w:rFonts w:ascii="宋体" w:hAnsi="宋体" w:eastAsia="宋体" w:cs="宋体"/>
          <w:color w:val="auto"/>
          <w:sz w:val="24"/>
          <w:szCs w:val="24"/>
          <w:highlight w:val="none"/>
        </w:rPr>
        <w:t xml:space="preserve"> 需提供制造商出具的供货证明及质保证明材料，如有发现是水货或者非正规渠道的，甲方</w:t>
      </w:r>
      <w:r>
        <w:rPr>
          <w:rFonts w:ascii="宋体" w:hAnsi="宋体" w:eastAsia="宋体" w:cs="宋体"/>
          <w:color w:val="auto"/>
          <w:spacing w:val="-3"/>
          <w:sz w:val="24"/>
          <w:szCs w:val="24"/>
          <w:highlight w:val="none"/>
        </w:rPr>
        <w:t xml:space="preserve">将拒绝付款并追究法律责任。</w:t>
      </w:r>
      <w:r/>
    </w:p>
    <w:p>
      <w:pPr>
        <w:ind w:left="38" w:right="83" w:firstLine="480"/>
        <w:spacing w:before="2" w:line="35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8.4.</w:t>
      </w:r>
      <w:r>
        <w:rPr>
          <w:rFonts w:ascii="宋体" w:hAnsi="宋体" w:eastAsia="宋体" w:cs="宋体"/>
          <w:color w:val="auto"/>
          <w:sz w:val="24"/>
          <w:szCs w:val="24"/>
          <w:highlight w:val="none"/>
        </w:rPr>
        <w:t xml:space="preserve">2 根据磋商文件要求对本次所有采购设备的型号、规格、数量、外型、外观、包</w:t>
      </w:r>
      <w:r>
        <w:rPr>
          <w:rFonts w:ascii="宋体" w:hAnsi="宋体" w:eastAsia="宋体" w:cs="宋体"/>
          <w:color w:val="auto"/>
          <w:spacing w:val="7"/>
          <w:sz w:val="24"/>
          <w:szCs w:val="24"/>
          <w:highlight w:val="none"/>
        </w:rPr>
        <w:t xml:space="preserve">装及资料、文件(如装箱单、保修单、随箱介质等)进行验收。</w:t>
      </w:r>
      <w:r/>
    </w:p>
    <w:p>
      <w:pPr>
        <w:ind w:left="39" w:firstLine="479"/>
        <w:spacing w:before="1"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8.4.</w:t>
      </w:r>
      <w:r>
        <w:rPr>
          <w:rFonts w:ascii="宋体" w:hAnsi="宋体" w:eastAsia="宋体" w:cs="宋体"/>
          <w:color w:val="auto"/>
          <w:sz w:val="24"/>
          <w:szCs w:val="24"/>
          <w:highlight w:val="none"/>
        </w:rPr>
        <w:t xml:space="preserve">3 项目验收时需按磋商文件要求对软硬件设备的性能和配置、数据连通性、联调 </w:t>
      </w:r>
      <w:r>
        <w:rPr>
          <w:rFonts w:ascii="宋体" w:hAnsi="宋体" w:eastAsia="宋体" w:cs="宋体"/>
          <w:color w:val="auto"/>
          <w:spacing w:val="-1"/>
          <w:sz w:val="24"/>
          <w:szCs w:val="24"/>
          <w:highlight w:val="none"/>
        </w:rPr>
        <w:t xml:space="preserve">和连续负</w:t>
      </w:r>
      <w:r>
        <w:rPr>
          <w:rFonts w:ascii="宋体" w:hAnsi="宋体" w:eastAsia="宋体" w:cs="宋体"/>
          <w:color w:val="auto"/>
          <w:sz w:val="24"/>
          <w:szCs w:val="24"/>
          <w:highlight w:val="none"/>
        </w:rPr>
        <w:t xml:space="preserve">荷运行进行工作测试，确保各项功能得以验证。软硬件设备测试中出现性能指标</w:t>
      </w:r>
      <w:r>
        <w:rPr>
          <w:rFonts w:ascii="宋体" w:hAnsi="宋体" w:eastAsia="宋体" w:cs="宋体"/>
          <w:color w:val="auto"/>
          <w:spacing w:val="-18"/>
          <w:sz w:val="24"/>
          <w:szCs w:val="24"/>
          <w:highlight w:val="none"/>
        </w:rPr>
        <w:t xml:space="preserve">或功</w:t>
      </w:r>
      <w:r>
        <w:rPr>
          <w:rFonts w:ascii="宋体" w:hAnsi="宋体" w:eastAsia="宋体" w:cs="宋体"/>
          <w:color w:val="auto"/>
          <w:spacing w:val="-13"/>
          <w:sz w:val="24"/>
          <w:szCs w:val="24"/>
          <w:highlight w:val="none"/>
        </w:rPr>
        <w:t xml:space="preserve">能</w:t>
      </w:r>
      <w:r>
        <w:rPr>
          <w:rFonts w:ascii="宋体" w:hAnsi="宋体" w:eastAsia="宋体" w:cs="宋体"/>
          <w:color w:val="auto"/>
          <w:spacing w:val="-9"/>
          <w:sz w:val="24"/>
          <w:szCs w:val="24"/>
          <w:highlight w:val="none"/>
        </w:rPr>
        <w:t xml:space="preserve">上不能满足本项目采购需求及实际使用的， 将视同验收不合格， 甲方有拒收的权利。</w:t>
      </w:r>
      <w:r>
        <w:rPr>
          <w:rFonts w:ascii="宋体" w:hAnsi="宋体" w:eastAsia="宋体" w:cs="宋体"/>
          <w:color w:val="auto"/>
          <w:spacing w:val="-6"/>
          <w:sz w:val="24"/>
          <w:szCs w:val="24"/>
          <w:highlight w:val="none"/>
        </w:rPr>
        <w:t xml:space="preserve">如</w:t>
      </w:r>
      <w:r>
        <w:rPr>
          <w:rFonts w:ascii="宋体" w:hAnsi="宋体" w:eastAsia="宋体" w:cs="宋体"/>
          <w:color w:val="auto"/>
          <w:spacing w:val="-4"/>
          <w:sz w:val="24"/>
          <w:szCs w:val="24"/>
          <w:highlight w:val="none"/>
        </w:rPr>
        <w:t xml:space="preserve">乙</w:t>
      </w:r>
      <w:r>
        <w:rPr>
          <w:rFonts w:ascii="宋体" w:hAnsi="宋体" w:eastAsia="宋体" w:cs="宋体"/>
          <w:color w:val="auto"/>
          <w:spacing w:val="-3"/>
          <w:sz w:val="24"/>
          <w:szCs w:val="24"/>
          <w:highlight w:val="none"/>
        </w:rPr>
        <w:t xml:space="preserve">方在甲方规定的时间内项目未通过验收，乙方视为违约，并要求乙方支付合同总价的</w:t>
      </w:r>
      <w:r>
        <w:rPr>
          <w:rFonts w:hint="eastAsia" w:ascii="宋体" w:hAnsi="宋体" w:eastAsia="宋体" w:cs="宋体"/>
          <w:color w:val="auto"/>
          <w:spacing w:val="-3"/>
          <w:sz w:val="24"/>
          <w:szCs w:val="24"/>
          <w:highlight w:val="none"/>
          <w:u w:val="single"/>
          <w:lang w:val="en-US" w:eastAsia="zh-CN"/>
        </w:rPr>
        <w:t xml:space="preserve"> </w:t>
      </w:r>
      <w:r>
        <w:rPr>
          <w:rFonts w:ascii="宋体" w:hAnsi="宋体" w:eastAsia="宋体" w:cs="宋体"/>
          <w:color w:val="auto"/>
          <w:sz w:val="24"/>
          <w:szCs w:val="24"/>
          <w:highlight w:val="none"/>
          <w:u w:val="single"/>
        </w:rPr>
        <w:t xml:space="preserve"> </w:t>
      </w:r>
      <w:r>
        <w:rPr>
          <w:rFonts w:ascii="宋体" w:hAnsi="宋体" w:eastAsia="宋体" w:cs="宋体"/>
          <w:color w:val="auto"/>
          <w:spacing w:val="-2"/>
          <w:sz w:val="24"/>
          <w:szCs w:val="24"/>
          <w:highlight w:val="none"/>
        </w:rPr>
        <w:t xml:space="preserve">﹪作为违约</w:t>
      </w:r>
      <w:r>
        <w:rPr>
          <w:rFonts w:ascii="宋体" w:hAnsi="宋体" w:eastAsia="宋体" w:cs="宋体"/>
          <w:color w:val="auto"/>
          <w:spacing w:val="-1"/>
          <w:sz w:val="24"/>
          <w:szCs w:val="24"/>
          <w:highlight w:val="none"/>
        </w:rPr>
        <w:t xml:space="preserve">金。甲方报政府采购监督管理相关部门进行处理，乙方应承担相应法律责任。</w:t>
      </w:r>
      <w:r/>
    </w:p>
    <w:p>
      <w:pPr>
        <w:ind w:left="521"/>
        <w:spacing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9.</w:t>
      </w:r>
      <w:r>
        <w:rPr>
          <w:rFonts w:ascii="宋体" w:hAnsi="宋体" w:eastAsia="宋体" w:cs="宋体"/>
          <w:color w:val="auto"/>
          <w:spacing w:val="-1"/>
          <w:sz w:val="24"/>
          <w:szCs w:val="24"/>
          <w:highlight w:val="none"/>
        </w:rPr>
        <w:t xml:space="preserve">培训</w:t>
      </w:r>
      <w:r/>
    </w:p>
    <w:p>
      <w:pPr>
        <w:ind w:left="45" w:right="83" w:firstLine="474"/>
        <w:spacing w:before="182"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9.1 在项目实施过程中，乙方需请甲方的技术</w:t>
      </w:r>
      <w:r>
        <w:rPr>
          <w:rFonts w:ascii="宋体" w:hAnsi="宋体" w:eastAsia="宋体" w:cs="宋体"/>
          <w:color w:val="auto"/>
          <w:sz w:val="24"/>
          <w:szCs w:val="24"/>
          <w:highlight w:val="none"/>
        </w:rPr>
        <w:t xml:space="preserve">人员参与、熟悉和掌握；在交工验收后 </w:t>
      </w:r>
      <w:r>
        <w:rPr>
          <w:rFonts w:ascii="宋体" w:hAnsi="宋体" w:eastAsia="宋体" w:cs="宋体"/>
          <w:color w:val="auto"/>
          <w:spacing w:val="3"/>
          <w:sz w:val="24"/>
          <w:szCs w:val="24"/>
          <w:highlight w:val="none"/>
        </w:rPr>
        <w:t xml:space="preserve">(或项目实施中)对甲方相关人员按响应文件中的承诺进行培训。具体详见第五部</w:t>
      </w:r>
      <w:r>
        <w:rPr>
          <w:rFonts w:ascii="宋体" w:hAnsi="宋体" w:eastAsia="宋体" w:cs="宋体"/>
          <w:color w:val="auto"/>
          <w:spacing w:val="1"/>
          <w:sz w:val="24"/>
          <w:szCs w:val="24"/>
          <w:highlight w:val="none"/>
        </w:rPr>
        <w:t xml:space="preserve">分</w:t>
      </w:r>
      <w:r>
        <w:rPr>
          <w:rFonts w:ascii="宋体" w:hAnsi="宋体" w:eastAsia="宋体" w:cs="宋体"/>
          <w:color w:val="auto"/>
          <w:sz w:val="24"/>
          <w:szCs w:val="24"/>
          <w:highlight w:val="none"/>
        </w:rPr>
        <w:t xml:space="preserve">服务</w:t>
      </w:r>
      <w:r>
        <w:rPr>
          <w:rFonts w:ascii="宋体" w:hAnsi="宋体" w:eastAsia="宋体" w:cs="宋体"/>
          <w:color w:val="auto"/>
          <w:spacing w:val="-5"/>
          <w:sz w:val="24"/>
          <w:szCs w:val="24"/>
          <w:highlight w:val="none"/>
        </w:rPr>
        <w:t xml:space="preserve">要</w:t>
      </w:r>
      <w:r>
        <w:rPr>
          <w:rFonts w:ascii="宋体" w:hAnsi="宋体" w:eastAsia="宋体" w:cs="宋体"/>
          <w:color w:val="auto"/>
          <w:spacing w:val="-3"/>
          <w:sz w:val="24"/>
          <w:szCs w:val="24"/>
          <w:highlight w:val="none"/>
        </w:rPr>
        <w:t xml:space="preserve">求及响应文件中相应内容。</w:t>
      </w:r>
      <w:r/>
    </w:p>
    <w:p>
      <w:pPr>
        <w:ind w:left="38" w:right="136" w:firstLine="480"/>
        <w:spacing w:before="104" w:line="35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9.2 技术培训：乙方在产品安装调</w:t>
      </w:r>
      <w:r>
        <w:rPr>
          <w:rFonts w:ascii="宋体" w:hAnsi="宋体" w:eastAsia="宋体" w:cs="宋体"/>
          <w:color w:val="auto"/>
          <w:spacing w:val="-1"/>
          <w:sz w:val="24"/>
          <w:szCs w:val="24"/>
          <w:highlight w:val="none"/>
        </w:rPr>
        <w:t xml:space="preserve">试时，对甲方的技术人员进行现场安装调试培训，</w:t>
      </w:r>
      <w:r>
        <w:rPr>
          <w:rFonts w:ascii="宋体" w:hAnsi="宋体" w:eastAsia="宋体" w:cs="宋体"/>
          <w:color w:val="auto"/>
          <w:spacing w:val="-2"/>
          <w:sz w:val="24"/>
          <w:szCs w:val="24"/>
          <w:highlight w:val="none"/>
        </w:rPr>
        <w:t xml:space="preserve">讲解产品的</w:t>
      </w:r>
      <w:r>
        <w:rPr>
          <w:rFonts w:ascii="宋体" w:hAnsi="宋体" w:eastAsia="宋体" w:cs="宋体"/>
          <w:color w:val="auto"/>
          <w:spacing w:val="-1"/>
          <w:sz w:val="24"/>
          <w:szCs w:val="24"/>
          <w:highlight w:val="none"/>
        </w:rPr>
        <w:t xml:space="preserve">结构、安装步骤、调试方法和系统配置等。一般技术培训应该不限制人数。</w:t>
      </w:r>
      <w:r/>
    </w:p>
    <w:p>
      <w:pPr>
        <w:ind w:left="538"/>
        <w:spacing w:before="1" w:line="23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10.技术文档</w:t>
      </w:r>
      <w:r/>
    </w:p>
    <w:p>
      <w:pPr>
        <w:ind w:left="538"/>
        <w:spacing w:before="157"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乙方所提供的技术文档包括但不局限以下文档</w:t>
      </w:r>
      <w:r>
        <w:rPr>
          <w:rFonts w:ascii="宋体" w:hAnsi="宋体" w:eastAsia="宋体" w:cs="宋体"/>
          <w:color w:val="auto"/>
          <w:spacing w:val="-1"/>
          <w:sz w:val="24"/>
          <w:szCs w:val="24"/>
          <w:highlight w:val="none"/>
        </w:rPr>
        <w:t xml:space="preserve">：</w:t>
      </w:r>
      <w:r/>
    </w:p>
    <w:p>
      <w:pPr>
        <w:ind w:left="519"/>
        <w:spacing w:before="182" w:line="21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技术文件：乙方必</w:t>
      </w:r>
      <w:r>
        <w:rPr>
          <w:rFonts w:ascii="宋体" w:hAnsi="宋体" w:eastAsia="宋体" w:cs="宋体"/>
          <w:color w:val="auto"/>
          <w:spacing w:val="-1"/>
          <w:sz w:val="24"/>
          <w:szCs w:val="24"/>
          <w:highlight w:val="none"/>
        </w:rPr>
        <w:t xml:space="preserve">须向甲方提供设备的安装、运行、使用、检测检验报告等。</w:t>
      </w:r>
      <w:r/>
    </w:p>
    <w:p>
      <w:pPr>
        <w:ind w:left="44" w:right="85" w:firstLine="479"/>
        <w:spacing w:before="185" w:line="359" w:lineRule="auto"/>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 xml:space="preserve">安装计划： 安装日期是乙方执行合同的开始， 最少包括：运输/交货、测试、调试、</w:t>
      </w:r>
      <w:r>
        <w:rPr>
          <w:rFonts w:ascii="宋体" w:hAnsi="宋体" w:eastAsia="宋体" w:cs="宋体"/>
          <w:color w:val="auto"/>
          <w:spacing w:val="-9"/>
          <w:sz w:val="24"/>
          <w:szCs w:val="24"/>
          <w:highlight w:val="none"/>
        </w:rPr>
        <w:t xml:space="preserve">正</w:t>
      </w:r>
      <w:r>
        <w:rPr>
          <w:rFonts w:ascii="宋体" w:hAnsi="宋体" w:eastAsia="宋体" w:cs="宋体"/>
          <w:color w:val="auto"/>
          <w:spacing w:val="-10"/>
          <w:sz w:val="24"/>
          <w:szCs w:val="24"/>
          <w:highlight w:val="none"/>
        </w:rPr>
        <w:t xml:space="preserve">常</w:t>
      </w:r>
      <w:r>
        <w:rPr>
          <w:rFonts w:ascii="宋体" w:hAnsi="宋体" w:eastAsia="宋体" w:cs="宋体"/>
          <w:color w:val="auto"/>
          <w:spacing w:val="-9"/>
          <w:sz w:val="24"/>
          <w:szCs w:val="24"/>
          <w:highlight w:val="none"/>
        </w:rPr>
        <w:t xml:space="preserve">运行。</w:t>
      </w:r>
      <w:r/>
    </w:p>
    <w:p>
      <w:pPr>
        <w:ind w:left="523"/>
        <w:spacing w:before="1" w:line="218" w:lineRule="auto"/>
        <w:rPr>
          <w:rFonts w:ascii="宋体" w:hAnsi="宋体" w:eastAsia="宋体" w:cs="宋体"/>
          <w:color w:val="auto"/>
          <w:spacing w:val="-1"/>
          <w:sz w:val="24"/>
          <w:szCs w:val="24"/>
          <w:highlight w:val="none"/>
        </w:rPr>
      </w:pPr>
      <w:r>
        <w:rPr>
          <w:rFonts w:ascii="宋体" w:hAnsi="宋体" w:eastAsia="宋体" w:cs="宋体"/>
          <w:color w:val="auto"/>
          <w:spacing w:val="-2"/>
          <w:sz w:val="24"/>
          <w:szCs w:val="24"/>
          <w:highlight w:val="none"/>
        </w:rPr>
        <w:t xml:space="preserve">安装指南：乙方应当提供所购软硬件设备的安装指南</w:t>
      </w:r>
      <w:r>
        <w:rPr>
          <w:rFonts w:ascii="宋体" w:hAnsi="宋体" w:eastAsia="宋体" w:cs="宋体"/>
          <w:color w:val="auto"/>
          <w:spacing w:val="-1"/>
          <w:sz w:val="24"/>
          <w:szCs w:val="24"/>
          <w:highlight w:val="none"/>
        </w:rPr>
        <w:t xml:space="preserve">。</w:t>
      </w:r>
      <w:r>
        <w:rPr>
          <w:rFonts w:ascii="宋体" w:hAnsi="宋体" w:eastAsia="宋体" w:cs="宋体"/>
          <w:color w:val="auto"/>
          <w:sz w:val="24"/>
          <w:szCs w:val="24"/>
          <w:highlight w:val="none"/>
        </w:rPr>
      </w:r>
      <w:r/>
    </w:p>
    <w:p>
      <w:pPr>
        <w:ind w:left="523"/>
        <w:spacing w:before="1"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r>
      <w:r>
        <w:rPr>
          <w:rFonts w:ascii="宋体" w:hAnsi="宋体" w:eastAsia="宋体" w:cs="宋体"/>
          <w:color w:val="auto"/>
          <w:spacing w:val="-3"/>
          <w:sz w:val="24"/>
          <w:szCs w:val="24"/>
          <w:highlight w:val="none"/>
        </w:rPr>
      </w:r>
      <w:r/>
    </w:p>
    <w:p>
      <w:pPr>
        <w:ind w:left="523"/>
        <w:spacing w:before="1" w:line="218" w:lineRule="auto"/>
        <w:rPr>
          <w:rFonts w:ascii="宋体" w:hAnsi="宋体" w:eastAsia="宋体" w:cs="宋体"/>
          <w:color w:val="auto"/>
          <w:spacing w:val="-3"/>
          <w:sz w:val="24"/>
          <w:szCs w:val="24"/>
          <w:highlight w:val="none"/>
        </w:rPr>
      </w:pPr>
      <w:r>
        <w:rPr>
          <w:rFonts w:ascii="宋体" w:hAnsi="宋体" w:eastAsia="宋体" w:cs="宋体"/>
          <w:color w:val="auto"/>
          <w:spacing w:val="-3"/>
          <w:sz w:val="24"/>
          <w:szCs w:val="24"/>
          <w:highlight w:val="none"/>
        </w:rPr>
        <w:t xml:space="preserve">11.服务要求</w:t>
      </w:r>
      <w:r>
        <w:rPr>
          <w:rFonts w:ascii="宋体" w:hAnsi="宋体" w:eastAsia="宋体" w:cs="宋体"/>
          <w:color w:val="auto"/>
          <w:sz w:val="24"/>
          <w:szCs w:val="24"/>
          <w:highlight w:val="none"/>
        </w:rPr>
      </w:r>
      <w:r/>
    </w:p>
    <w:p>
      <w:pPr>
        <w:ind w:left="84" w:right="80" w:firstLine="451"/>
        <w:spacing w:before="157" w:line="360"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11.1</w:t>
      </w:r>
      <w:r>
        <w:rPr>
          <w:rFonts w:ascii="宋体" w:hAnsi="宋体" w:eastAsia="宋体" w:cs="宋体"/>
          <w:color w:val="auto"/>
          <w:spacing w:val="-5"/>
          <w:sz w:val="24"/>
          <w:szCs w:val="24"/>
          <w:highlight w:val="none"/>
        </w:rPr>
        <w:t xml:space="preserve"> </w:t>
      </w:r>
      <w:r>
        <w:rPr>
          <w:rFonts w:ascii="宋体" w:hAnsi="宋体" w:eastAsia="宋体" w:cs="宋体"/>
          <w:color w:val="auto"/>
          <w:spacing w:val="-3"/>
          <w:sz w:val="24"/>
          <w:szCs w:val="24"/>
          <w:highlight w:val="none"/>
        </w:rPr>
        <w:t xml:space="preserve">项目负责人：</w:t>
      </w:r>
      <w:r>
        <w:rPr>
          <w:rFonts w:ascii="宋体" w:hAnsi="宋体" w:eastAsia="宋体" w:cs="宋体"/>
          <w:color w:val="auto"/>
          <w:spacing w:val="-3"/>
          <w:sz w:val="24"/>
          <w:szCs w:val="24"/>
          <w:highlight w:val="none"/>
          <w:u w:val="single"/>
        </w:rPr>
        <w:t xml:space="preserve">              </w:t>
      </w:r>
      <w:r>
        <w:rPr>
          <w:rFonts w:ascii="宋体" w:hAnsi="宋体" w:eastAsia="宋体" w:cs="宋体"/>
          <w:color w:val="auto"/>
          <w:spacing w:val="-3"/>
          <w:sz w:val="24"/>
          <w:szCs w:val="24"/>
          <w:highlight w:val="none"/>
        </w:rPr>
        <w:t xml:space="preserve">。在项目供货、施工、验收等阶段，全权负责本项</w:t>
      </w:r>
      <w:r>
        <w:rPr>
          <w:rFonts w:ascii="宋体" w:hAnsi="宋体" w:eastAsia="宋体" w:cs="宋体"/>
          <w:color w:val="auto"/>
          <w:spacing w:val="-4"/>
          <w:sz w:val="24"/>
          <w:szCs w:val="24"/>
          <w:highlight w:val="none"/>
        </w:rPr>
        <w:t xml:space="preserve">目的一切协调、管理</w:t>
      </w:r>
      <w:r>
        <w:rPr>
          <w:rFonts w:ascii="宋体" w:hAnsi="宋体" w:eastAsia="宋体" w:cs="宋体"/>
          <w:color w:val="auto"/>
          <w:spacing w:val="-3"/>
          <w:sz w:val="24"/>
          <w:szCs w:val="24"/>
          <w:highlight w:val="none"/>
        </w:rPr>
        <w:t xml:space="preserve">工</w:t>
      </w:r>
      <w:r>
        <w:rPr>
          <w:rFonts w:ascii="宋体" w:hAnsi="宋体" w:eastAsia="宋体" w:cs="宋体"/>
          <w:color w:val="auto"/>
          <w:spacing w:val="-2"/>
          <w:sz w:val="24"/>
          <w:szCs w:val="24"/>
          <w:highlight w:val="none"/>
        </w:rPr>
        <w:t xml:space="preserve">作。每一项目实施，乙方必须有指定负责人现场管理。</w:t>
      </w:r>
      <w:r/>
    </w:p>
    <w:p>
      <w:pPr>
        <w:ind w:left="38" w:right="65" w:firstLine="497"/>
        <w:spacing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11.2 乙方必须提供不少于</w:t>
      </w:r>
      <w:r>
        <w:rPr>
          <w:rFonts w:ascii="宋体" w:hAnsi="宋体" w:eastAsia="宋体" w:cs="宋体"/>
          <w:color w:val="auto"/>
          <w:spacing w:val="-1"/>
          <w:sz w:val="24"/>
          <w:szCs w:val="24"/>
          <w:highlight w:val="none"/>
          <w:u w:val="single"/>
        </w:rPr>
        <w:t xml:space="preserve">     </w:t>
      </w:r>
      <w:r>
        <w:rPr>
          <w:rFonts w:ascii="宋体" w:hAnsi="宋体" w:eastAsia="宋体" w:cs="宋体"/>
          <w:color w:val="auto"/>
          <w:spacing w:val="-1"/>
          <w:sz w:val="24"/>
          <w:szCs w:val="24"/>
          <w:highlight w:val="none"/>
        </w:rPr>
        <w:t xml:space="preserve">年</w:t>
      </w:r>
      <w:r>
        <w:rPr>
          <w:rFonts w:ascii="宋体" w:hAnsi="宋体" w:eastAsia="宋体" w:cs="宋体"/>
          <w:color w:val="auto"/>
          <w:sz w:val="24"/>
          <w:szCs w:val="24"/>
          <w:highlight w:val="none"/>
        </w:rPr>
        <w:t xml:space="preserve">的项目维保服务(自项目验收之日起计算)，在项目 </w:t>
      </w:r>
      <w:r>
        <w:rPr>
          <w:rFonts w:ascii="宋体" w:hAnsi="宋体" w:eastAsia="宋体" w:cs="宋体"/>
          <w:color w:val="auto"/>
          <w:spacing w:val="-19"/>
          <w:sz w:val="24"/>
          <w:szCs w:val="24"/>
          <w:highlight w:val="none"/>
        </w:rPr>
        <w:t xml:space="preserve">实</w:t>
      </w:r>
      <w:r>
        <w:rPr>
          <w:rFonts w:ascii="宋体" w:hAnsi="宋体" w:eastAsia="宋体" w:cs="宋体"/>
          <w:color w:val="auto"/>
          <w:spacing w:val="-15"/>
          <w:sz w:val="24"/>
          <w:szCs w:val="24"/>
          <w:highlight w:val="none"/>
        </w:rPr>
        <w:t xml:space="preserve">施及维保期内，乙方提供 7*24 小时的服务电话；接到甲方报障后，一般故障 2 小时内解</w:t>
      </w:r>
      <w:r>
        <w:rPr>
          <w:rFonts w:ascii="宋体" w:hAnsi="宋体" w:eastAsia="宋体" w:cs="宋体"/>
          <w:color w:val="auto"/>
          <w:spacing w:val="-12"/>
          <w:sz w:val="24"/>
          <w:szCs w:val="24"/>
          <w:highlight w:val="none"/>
        </w:rPr>
        <w:t xml:space="preserve">决</w:t>
      </w:r>
      <w:r>
        <w:rPr>
          <w:rFonts w:ascii="宋体" w:hAnsi="宋体" w:eastAsia="宋体" w:cs="宋体"/>
          <w:color w:val="auto"/>
          <w:spacing w:val="-11"/>
          <w:sz w:val="24"/>
          <w:szCs w:val="24"/>
          <w:highlight w:val="none"/>
        </w:rPr>
        <w:t xml:space="preserve">，重大故障24 时内解决。否则甲方有权安排其他有能力的供应商进行故障修复，系统</w:t>
      </w:r>
      <w:r>
        <w:rPr>
          <w:rFonts w:ascii="宋体" w:hAnsi="宋体" w:eastAsia="宋体" w:cs="宋体"/>
          <w:color w:val="auto"/>
          <w:spacing w:val="-4"/>
          <w:sz w:val="24"/>
          <w:szCs w:val="24"/>
          <w:highlight w:val="none"/>
        </w:rPr>
        <w:t xml:space="preserve">修复所发</w:t>
      </w:r>
      <w:r>
        <w:rPr>
          <w:rFonts w:ascii="宋体" w:hAnsi="宋体" w:eastAsia="宋体" w:cs="宋体"/>
          <w:color w:val="auto"/>
          <w:spacing w:val="-3"/>
          <w:sz w:val="24"/>
          <w:szCs w:val="24"/>
          <w:highlight w:val="none"/>
        </w:rPr>
        <w:t xml:space="preserve">生</w:t>
      </w:r>
      <w:r>
        <w:rPr>
          <w:rFonts w:ascii="宋体" w:hAnsi="宋体" w:eastAsia="宋体" w:cs="宋体"/>
          <w:color w:val="auto"/>
          <w:spacing w:val="-2"/>
          <w:sz w:val="24"/>
          <w:szCs w:val="24"/>
          <w:highlight w:val="none"/>
        </w:rPr>
        <w:t xml:space="preserve">的一切费用由乙方承担。</w:t>
      </w:r>
      <w:r/>
    </w:p>
    <w:p>
      <w:pPr>
        <w:ind w:left="37" w:firstLine="498"/>
        <w:spacing w:line="360" w:lineRule="auto"/>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 xml:space="preserve">1</w:t>
      </w:r>
      <w:r>
        <w:rPr>
          <w:rFonts w:ascii="宋体" w:hAnsi="宋体" w:eastAsia="宋体" w:cs="宋体"/>
          <w:color w:val="auto"/>
          <w:spacing w:val="-9"/>
          <w:sz w:val="24"/>
          <w:szCs w:val="24"/>
          <w:highlight w:val="none"/>
        </w:rPr>
        <w:t xml:space="preserve">1.3 提供全面的技术支持，帮助甲方及时解决系统运行中遇到的各类技术问题，依据</w:t>
      </w:r>
      <w:r>
        <w:rPr>
          <w:rFonts w:ascii="宋体" w:hAnsi="宋体" w:eastAsia="宋体" w:cs="宋体"/>
          <w:color w:val="auto"/>
          <w:spacing w:val="-8"/>
          <w:sz w:val="24"/>
          <w:szCs w:val="24"/>
          <w:highlight w:val="none"/>
        </w:rPr>
        <w:t xml:space="preserve">甲方根据</w:t>
      </w:r>
      <w:r>
        <w:rPr>
          <w:rFonts w:ascii="宋体" w:hAnsi="宋体" w:eastAsia="宋体" w:cs="宋体"/>
          <w:color w:val="auto"/>
          <w:spacing w:val="-4"/>
          <w:sz w:val="24"/>
          <w:szCs w:val="24"/>
          <w:highlight w:val="none"/>
        </w:rPr>
        <w:t xml:space="preserve">运行环境和要求调整操作系统、数据库、数据交换、软件等性能参数及故障解决，</w:t>
      </w:r>
      <w:r>
        <w:rPr>
          <w:rFonts w:ascii="宋体" w:hAnsi="宋体" w:eastAsia="宋体" w:cs="宋体"/>
          <w:color w:val="auto"/>
          <w:spacing w:val="-1"/>
          <w:sz w:val="24"/>
          <w:szCs w:val="24"/>
          <w:highlight w:val="none"/>
        </w:rPr>
        <w:t xml:space="preserve">定期</w:t>
      </w:r>
      <w:r>
        <w:rPr>
          <w:rFonts w:ascii="宋体" w:hAnsi="宋体" w:eastAsia="宋体" w:cs="宋体"/>
          <w:color w:val="auto"/>
          <w:sz w:val="24"/>
          <w:szCs w:val="24"/>
          <w:highlight w:val="none"/>
        </w:rPr>
        <w:t xml:space="preserve">上门检查整套系统的运行情况，并能根据甲方要求的变化情况及时调整优化和业务软</w:t>
      </w:r>
      <w:r>
        <w:rPr>
          <w:rFonts w:ascii="宋体" w:hAnsi="宋体" w:eastAsia="宋体" w:cs="宋体"/>
          <w:color w:val="auto"/>
          <w:spacing w:val="-8"/>
          <w:sz w:val="24"/>
          <w:szCs w:val="24"/>
          <w:highlight w:val="none"/>
        </w:rPr>
        <w:t xml:space="preserve">件升级。</w:t>
      </w:r>
      <w:r/>
    </w:p>
    <w:p>
      <w:pPr>
        <w:ind w:left="536"/>
        <w:spacing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11.4 对于每次故障处理、巡检、计划调整等工作需按甲方要求出具详细的处理报告。</w:t>
      </w:r>
      <w:r/>
    </w:p>
    <w:p>
      <w:pPr>
        <w:ind w:left="536"/>
        <w:spacing w:before="184"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11.5 </w:t>
      </w:r>
      <w:r>
        <w:rPr>
          <w:rFonts w:ascii="宋体" w:hAnsi="宋体" w:eastAsia="宋体" w:cs="宋体"/>
          <w:color w:val="auto"/>
          <w:spacing w:val="-5"/>
          <w:sz w:val="24"/>
          <w:szCs w:val="24"/>
          <w:highlight w:val="none"/>
        </w:rPr>
        <w:t xml:space="preserve">其</w:t>
      </w:r>
      <w:r>
        <w:rPr>
          <w:rFonts w:ascii="宋体" w:hAnsi="宋体" w:eastAsia="宋体" w:cs="宋体"/>
          <w:color w:val="auto"/>
          <w:spacing w:val="-3"/>
          <w:sz w:val="24"/>
          <w:szCs w:val="24"/>
          <w:highlight w:val="none"/>
        </w:rPr>
        <w:t xml:space="preserve">它本项目磋商文件关于服务的要求及响应文件关于服务的承诺。</w:t>
      </w:r>
      <w:r/>
    </w:p>
    <w:p>
      <w:pPr>
        <w:ind w:left="538"/>
        <w:spacing w:before="183" w:line="23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1</w:t>
      </w:r>
      <w:r>
        <w:rPr>
          <w:rFonts w:ascii="宋体" w:hAnsi="宋体" w:eastAsia="宋体" w:cs="宋体"/>
          <w:color w:val="auto"/>
          <w:spacing w:val="-3"/>
          <w:sz w:val="24"/>
          <w:szCs w:val="24"/>
          <w:highlight w:val="none"/>
        </w:rPr>
        <w:t xml:space="preserve">2.索赔</w:t>
      </w:r>
      <w:r/>
    </w:p>
    <w:p>
      <w:pPr>
        <w:ind w:left="536"/>
        <w:spacing w:before="157" w:line="21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12.1 甲方有权根据当地质检部门出具的检验报告，向</w:t>
      </w:r>
      <w:r>
        <w:rPr>
          <w:rFonts w:ascii="宋体" w:hAnsi="宋体" w:eastAsia="宋体" w:cs="宋体"/>
          <w:color w:val="auto"/>
          <w:spacing w:val="-1"/>
          <w:sz w:val="24"/>
          <w:szCs w:val="24"/>
          <w:highlight w:val="none"/>
        </w:rPr>
        <w:t xml:space="preserve">乙方提出索赔。</w:t>
      </w:r>
      <w:r/>
    </w:p>
    <w:p>
      <w:pPr>
        <w:ind w:left="47" w:right="66" w:firstLine="489"/>
        <w:spacing w:before="185" w:line="360" w:lineRule="auto"/>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 xml:space="preserve">12</w:t>
      </w:r>
      <w:r>
        <w:rPr>
          <w:rFonts w:ascii="宋体" w:hAnsi="宋体" w:eastAsia="宋体" w:cs="宋体"/>
          <w:color w:val="auto"/>
          <w:spacing w:val="-9"/>
          <w:sz w:val="24"/>
          <w:szCs w:val="24"/>
          <w:highlight w:val="none"/>
        </w:rPr>
        <w:t xml:space="preserve">.</w:t>
      </w:r>
      <w:r>
        <w:rPr>
          <w:rFonts w:ascii="宋体" w:hAnsi="宋体" w:eastAsia="宋体" w:cs="宋体"/>
          <w:color w:val="auto"/>
          <w:spacing w:val="-6"/>
          <w:sz w:val="24"/>
          <w:szCs w:val="24"/>
          <w:highlight w:val="none"/>
        </w:rPr>
        <w:t xml:space="preserve">2 根据合同规定的检验期和质量保证期内， 如果乙方对甲方提出的索赔和差异负有</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 xml:space="preserve">责任，乙方应</w:t>
      </w:r>
      <w:r>
        <w:rPr>
          <w:rFonts w:ascii="宋体" w:hAnsi="宋体" w:eastAsia="宋体" w:cs="宋体"/>
          <w:color w:val="auto"/>
          <w:spacing w:val="-3"/>
          <w:sz w:val="24"/>
          <w:szCs w:val="24"/>
          <w:highlight w:val="none"/>
        </w:rPr>
        <w:t xml:space="preserve">按</w:t>
      </w:r>
      <w:r>
        <w:rPr>
          <w:rFonts w:ascii="宋体" w:hAnsi="宋体" w:eastAsia="宋体" w:cs="宋体"/>
          <w:color w:val="auto"/>
          <w:spacing w:val="-2"/>
          <w:sz w:val="24"/>
          <w:szCs w:val="24"/>
          <w:highlight w:val="none"/>
        </w:rPr>
        <w:t xml:space="preserve">照甲方同意的下列一种或多种方式解决索赔事宜：</w:t>
      </w:r>
      <w:r/>
    </w:p>
    <w:p>
      <w:pPr>
        <w:ind w:left="37" w:right="66" w:firstLine="523"/>
        <w:spacing w:line="36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(1) 乙方同</w:t>
      </w:r>
      <w:r>
        <w:rPr>
          <w:rFonts w:ascii="宋体" w:hAnsi="宋体" w:eastAsia="宋体" w:cs="宋体"/>
          <w:color w:val="auto"/>
          <w:spacing w:val="-1"/>
          <w:sz w:val="24"/>
          <w:szCs w:val="24"/>
          <w:highlight w:val="none"/>
        </w:rPr>
        <w:t xml:space="preserve">意退货，并用合同中规定的货币将货款退还给甲方，并承担由此发生的一</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 xml:space="preserve">切损</w:t>
      </w:r>
      <w:r>
        <w:rPr>
          <w:rFonts w:ascii="宋体" w:hAnsi="宋体" w:eastAsia="宋体" w:cs="宋体"/>
          <w:color w:val="auto"/>
          <w:sz w:val="24"/>
          <w:szCs w:val="24"/>
          <w:highlight w:val="none"/>
        </w:rPr>
        <w:t xml:space="preserve">失和费用，包括利息、银行手续费、运费、保险费、检验费、仓储费、装卸费以及为</w:t>
      </w:r>
      <w:r>
        <w:rPr>
          <w:rFonts w:ascii="宋体" w:hAnsi="宋体" w:eastAsia="宋体" w:cs="宋体"/>
          <w:color w:val="auto"/>
          <w:spacing w:val="-4"/>
          <w:sz w:val="24"/>
          <w:szCs w:val="24"/>
          <w:highlight w:val="none"/>
        </w:rPr>
        <w:t xml:space="preserve">保护退回</w:t>
      </w:r>
      <w:r>
        <w:rPr>
          <w:rFonts w:ascii="宋体" w:hAnsi="宋体" w:eastAsia="宋体" w:cs="宋体"/>
          <w:color w:val="auto"/>
          <w:spacing w:val="-2"/>
          <w:sz w:val="24"/>
          <w:szCs w:val="24"/>
          <w:highlight w:val="none"/>
        </w:rPr>
        <w:t xml:space="preserve">产品所需的其它必要费用。</w:t>
      </w:r>
      <w:r/>
    </w:p>
    <w:p>
      <w:pPr>
        <w:ind w:left="58" w:right="66" w:firstLine="502"/>
        <w:spacing w:line="36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 根据产</w:t>
      </w:r>
      <w:r>
        <w:rPr>
          <w:rFonts w:ascii="宋体" w:hAnsi="宋体" w:eastAsia="宋体" w:cs="宋体"/>
          <w:color w:val="auto"/>
          <w:spacing w:val="-1"/>
          <w:sz w:val="24"/>
          <w:szCs w:val="24"/>
          <w:highlight w:val="none"/>
        </w:rPr>
        <w:t xml:space="preserve">品的低劣程度、损坏程度以及甲方所遭受损失的数额，乙方必须降低产品</w:t>
      </w:r>
      <w:r>
        <w:rPr>
          <w:rFonts w:ascii="宋体" w:hAnsi="宋体" w:eastAsia="宋体" w:cs="宋体"/>
          <w:color w:val="auto"/>
          <w:sz w:val="24"/>
          <w:szCs w:val="24"/>
          <w:highlight w:val="none"/>
        </w:rPr>
        <w:t xml:space="preserve"> </w:t>
      </w:r>
      <w:r>
        <w:rPr>
          <w:rFonts w:ascii="宋体" w:hAnsi="宋体" w:eastAsia="宋体" w:cs="宋体"/>
          <w:color w:val="auto"/>
          <w:spacing w:val="-15"/>
          <w:sz w:val="24"/>
          <w:szCs w:val="24"/>
          <w:highlight w:val="none"/>
        </w:rPr>
        <w:t xml:space="preserve">的</w:t>
      </w:r>
      <w:r>
        <w:rPr>
          <w:rFonts w:ascii="宋体" w:hAnsi="宋体" w:eastAsia="宋体" w:cs="宋体"/>
          <w:color w:val="auto"/>
          <w:spacing w:val="-11"/>
          <w:sz w:val="24"/>
          <w:szCs w:val="24"/>
          <w:highlight w:val="none"/>
        </w:rPr>
        <w:t xml:space="preserve">价格。</w:t>
      </w:r>
      <w:r/>
    </w:p>
    <w:p>
      <w:pPr>
        <w:ind w:left="39" w:right="66" w:firstLine="521"/>
        <w:spacing w:before="1" w:line="36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(3) 用符合</w:t>
      </w:r>
      <w:r>
        <w:rPr>
          <w:rFonts w:ascii="宋体" w:hAnsi="宋体" w:eastAsia="宋体" w:cs="宋体"/>
          <w:color w:val="auto"/>
          <w:spacing w:val="-1"/>
          <w:sz w:val="24"/>
          <w:szCs w:val="24"/>
          <w:highlight w:val="none"/>
        </w:rPr>
        <w:t xml:space="preserve">合同规定的规格、质量和性能要求的新零件、部件或软件模块来更换有缺</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 xml:space="preserve">陷的部分</w:t>
      </w:r>
      <w:r>
        <w:rPr>
          <w:rFonts w:ascii="宋体" w:hAnsi="宋体" w:eastAsia="宋体" w:cs="宋体"/>
          <w:color w:val="auto"/>
          <w:sz w:val="24"/>
          <w:szCs w:val="24"/>
          <w:highlight w:val="none"/>
        </w:rPr>
        <w:t xml:space="preserve">，乙方应承担一切费用和风险并负担甲方所蒙受的全部直接损失费用。同时，乙</w:t>
      </w:r>
      <w:r>
        <w:rPr>
          <w:rFonts w:ascii="宋体" w:hAnsi="宋体" w:eastAsia="宋体" w:cs="宋体"/>
          <w:color w:val="auto"/>
          <w:spacing w:val="-2"/>
          <w:sz w:val="24"/>
          <w:szCs w:val="24"/>
          <w:highlight w:val="none"/>
        </w:rPr>
        <w:t xml:space="preserve">方应按合同规定，对更换件相应延长质量保证期</w:t>
      </w:r>
      <w:r>
        <w:rPr>
          <w:rFonts w:ascii="宋体" w:hAnsi="宋体" w:eastAsia="宋体" w:cs="宋体"/>
          <w:color w:val="auto"/>
          <w:spacing w:val="-1"/>
          <w:sz w:val="24"/>
          <w:szCs w:val="24"/>
          <w:highlight w:val="none"/>
        </w:rPr>
        <w:t xml:space="preserve">。</w:t>
      </w:r>
      <w:r/>
    </w:p>
    <w:p>
      <w:pPr>
        <w:ind w:left="37" w:right="65" w:firstLine="498"/>
        <w:spacing w:before="4" w:line="359"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1</w:t>
      </w:r>
      <w:r>
        <w:rPr>
          <w:rFonts w:ascii="宋体" w:hAnsi="宋体" w:eastAsia="宋体" w:cs="宋体"/>
          <w:color w:val="auto"/>
          <w:spacing w:val="-6"/>
          <w:sz w:val="24"/>
          <w:szCs w:val="24"/>
          <w:highlight w:val="none"/>
        </w:rPr>
        <w:t xml:space="preserve">2.3 如果在甲方发出索赔通知后 20 天内，乙方未作答复，上述索赔应视为已被乙方</w:t>
      </w:r>
      <w:r>
        <w:rPr>
          <w:rFonts w:ascii="宋体" w:hAnsi="宋体" w:eastAsia="宋体" w:cs="宋体"/>
          <w:color w:val="auto"/>
          <w:spacing w:val="-11"/>
          <w:sz w:val="24"/>
          <w:szCs w:val="24"/>
          <w:highlight w:val="none"/>
        </w:rPr>
        <w:t xml:space="preserve">接受， 如乙方未能在甲方提出索赔通知后 20 天内或甲方同意的更长时间内， 按照本合同规</w:t>
      </w:r>
      <w:r>
        <w:rPr>
          <w:rFonts w:ascii="宋体" w:hAnsi="宋体" w:eastAsia="宋体" w:cs="宋体"/>
          <w:color w:val="auto"/>
          <w:spacing w:val="-2"/>
          <w:sz w:val="24"/>
          <w:szCs w:val="24"/>
          <w:highlight w:val="none"/>
        </w:rPr>
        <w:t xml:space="preserve">定的任何一种方法解决</w:t>
      </w:r>
      <w:r>
        <w:rPr>
          <w:rFonts w:ascii="宋体" w:hAnsi="宋体" w:eastAsia="宋体" w:cs="宋体"/>
          <w:color w:val="auto"/>
          <w:spacing w:val="-1"/>
          <w:sz w:val="24"/>
          <w:szCs w:val="24"/>
          <w:highlight w:val="none"/>
        </w:rPr>
        <w:t xml:space="preserve">索赔事宜，甲方将采用法律手段解决索赔事宜。</w:t>
      </w:r>
      <w:r/>
    </w:p>
    <w:p>
      <w:pPr>
        <w:ind w:left="538"/>
        <w:spacing w:before="1" w:line="23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w:t>
      </w:r>
      <w:r>
        <w:rPr>
          <w:rFonts w:ascii="宋体" w:hAnsi="宋体" w:eastAsia="宋体" w:cs="宋体"/>
          <w:color w:val="auto"/>
          <w:spacing w:val="-2"/>
          <w:sz w:val="24"/>
          <w:szCs w:val="24"/>
          <w:highlight w:val="none"/>
        </w:rPr>
        <w:t xml:space="preserve">3.乙方交货延误</w:t>
      </w:r>
      <w:r/>
    </w:p>
    <w:p>
      <w:pPr>
        <w:ind w:left="0"/>
        <w:spacing w:before="78" w:line="220"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     13</w:t>
      </w:r>
      <w:r>
        <w:rPr>
          <w:rFonts w:ascii="宋体" w:hAnsi="宋体" w:eastAsia="宋体" w:cs="宋体"/>
          <w:color w:val="auto"/>
          <w:spacing w:val="-3"/>
          <w:sz w:val="24"/>
          <w:szCs w:val="24"/>
          <w:highlight w:val="none"/>
        </w:rPr>
        <w:t xml:space="preserve">.</w:t>
      </w:r>
      <w:r>
        <w:rPr>
          <w:rFonts w:ascii="宋体" w:hAnsi="宋体" w:eastAsia="宋体" w:cs="宋体"/>
          <w:color w:val="auto"/>
          <w:spacing w:val="-2"/>
          <w:sz w:val="24"/>
          <w:szCs w:val="24"/>
          <w:highlight w:val="none"/>
        </w:rPr>
        <w:t xml:space="preserve">1 乙方应按照响应文件中承诺的工期交付甲方验收。</w:t>
      </w:r>
      <w:r/>
    </w:p>
    <w:p>
      <w:pPr>
        <w:ind w:left="536"/>
        <w:spacing w:before="182" w:line="22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13.2 如果乙方无正当理由拖延周期，将受</w:t>
      </w:r>
      <w:r>
        <w:rPr>
          <w:rFonts w:ascii="宋体" w:hAnsi="宋体" w:eastAsia="宋体" w:cs="宋体"/>
          <w:color w:val="auto"/>
          <w:spacing w:val="-1"/>
          <w:sz w:val="24"/>
          <w:szCs w:val="24"/>
          <w:highlight w:val="none"/>
        </w:rPr>
        <w:t xml:space="preserve">到以下制裁：加收误期赔偿或终止合同。</w:t>
      </w:r>
      <w:r/>
    </w:p>
    <w:p>
      <w:pPr>
        <w:ind w:left="37" w:right="31" w:firstLine="498"/>
        <w:spacing w:before="182" w:line="360" w:lineRule="auto"/>
        <w:rPr>
          <w:rFonts w:ascii="宋体" w:hAnsi="宋体" w:eastAsia="宋体" w:cs="宋体"/>
          <w:color w:val="auto"/>
          <w:sz w:val="24"/>
          <w:szCs w:val="24"/>
          <w:highlight w:val="none"/>
        </w:rPr>
      </w:pPr>
      <w:r>
        <w:rPr>
          <w:rFonts w:ascii="宋体" w:hAnsi="宋体" w:eastAsia="宋体" w:cs="宋体"/>
          <w:color w:val="auto"/>
          <w:spacing w:val="-14"/>
          <w:sz w:val="24"/>
          <w:szCs w:val="24"/>
          <w:highlight w:val="none"/>
        </w:rPr>
        <w:t xml:space="preserve">1</w:t>
      </w:r>
      <w:r>
        <w:rPr>
          <w:rFonts w:ascii="宋体" w:hAnsi="宋体" w:eastAsia="宋体" w:cs="宋体"/>
          <w:color w:val="auto"/>
          <w:spacing w:val="-9"/>
          <w:sz w:val="24"/>
          <w:szCs w:val="24"/>
          <w:highlight w:val="none"/>
        </w:rPr>
        <w:t xml:space="preserve">3.3 在履行合同过程中， 如果乙方遇到不能按期交付使用和提供服务的情况，应及时</w:t>
      </w:r>
      <w:r>
        <w:rPr>
          <w:rFonts w:ascii="宋体" w:hAnsi="宋体" w:eastAsia="宋体" w:cs="宋体"/>
          <w:color w:val="auto"/>
          <w:spacing w:val="10"/>
          <w:sz w:val="24"/>
          <w:szCs w:val="24"/>
          <w:highlight w:val="none"/>
        </w:rPr>
        <w:t xml:space="preserve">以</w:t>
      </w:r>
      <w:r>
        <w:rPr>
          <w:rFonts w:ascii="宋体" w:hAnsi="宋体" w:eastAsia="宋体" w:cs="宋体"/>
          <w:color w:val="auto"/>
          <w:spacing w:val="6"/>
          <w:sz w:val="24"/>
          <w:szCs w:val="24"/>
          <w:highlight w:val="none"/>
        </w:rPr>
        <w:t xml:space="preserve">书面形式将不能按期完成(或提供服务)的理由、可能延误的时间同时通知甲方。甲方</w:t>
      </w:r>
      <w:r>
        <w:rPr>
          <w:rFonts w:ascii="宋体" w:hAnsi="宋体" w:eastAsia="宋体" w:cs="宋体"/>
          <w:color w:val="auto"/>
          <w:spacing w:val="-2"/>
          <w:sz w:val="24"/>
          <w:szCs w:val="24"/>
          <w:highlight w:val="none"/>
        </w:rPr>
        <w:t xml:space="preserve">在收到乙方通知后，应对情况进行分析，决</w:t>
      </w:r>
      <w:r>
        <w:rPr>
          <w:rFonts w:ascii="宋体" w:hAnsi="宋体" w:eastAsia="宋体" w:cs="宋体"/>
          <w:color w:val="auto"/>
          <w:spacing w:val="-1"/>
          <w:sz w:val="24"/>
          <w:szCs w:val="24"/>
          <w:highlight w:val="none"/>
        </w:rPr>
        <w:t xml:space="preserve">定是否修改合同、酌情延长周期或终止合同；</w:t>
      </w:r>
      <w:r>
        <w:rPr>
          <w:rFonts w:ascii="宋体" w:hAnsi="宋体" w:eastAsia="宋体" w:cs="宋体"/>
          <w:color w:val="auto"/>
          <w:spacing w:val="-3"/>
          <w:sz w:val="24"/>
          <w:szCs w:val="24"/>
          <w:highlight w:val="none"/>
        </w:rPr>
        <w:t xml:space="preserve">同</w:t>
      </w:r>
      <w:r>
        <w:rPr>
          <w:rFonts w:ascii="宋体" w:hAnsi="宋体" w:eastAsia="宋体" w:cs="宋体"/>
          <w:color w:val="auto"/>
          <w:spacing w:val="-2"/>
          <w:sz w:val="24"/>
          <w:szCs w:val="24"/>
          <w:highlight w:val="none"/>
        </w:rPr>
        <w:t xml:space="preserve">时保留按上述规定对乙方进行制裁的权力。</w:t>
      </w:r>
      <w:r/>
    </w:p>
    <w:p>
      <w:pPr>
        <w:ind w:left="538"/>
        <w:spacing w:before="1" w:line="23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14.误期赔偿</w:t>
      </w:r>
      <w:r/>
    </w:p>
    <w:p>
      <w:pPr>
        <w:ind w:left="37" w:right="31" w:firstLine="498"/>
        <w:spacing w:before="157" w:line="360" w:lineRule="auto"/>
        <w:rPr>
          <w:rFonts w:ascii="宋体" w:hAnsi="宋体" w:eastAsia="宋体" w:cs="宋体"/>
          <w:color w:val="auto"/>
          <w:sz w:val="24"/>
          <w:szCs w:val="24"/>
          <w:highlight w:val="none"/>
        </w:rPr>
      </w:pPr>
      <w:r>
        <w:rPr>
          <w:rFonts w:ascii="宋体" w:hAnsi="宋体" w:eastAsia="宋体" w:cs="宋体"/>
          <w:color w:val="auto"/>
          <w:spacing w:val="-14"/>
          <w:sz w:val="24"/>
          <w:szCs w:val="24"/>
          <w:highlight w:val="none"/>
        </w:rPr>
        <w:t xml:space="preserve">1</w:t>
      </w:r>
      <w:r>
        <w:rPr>
          <w:rFonts w:ascii="宋体" w:hAnsi="宋体" w:eastAsia="宋体" w:cs="宋体"/>
          <w:color w:val="auto"/>
          <w:spacing w:val="-9"/>
          <w:sz w:val="24"/>
          <w:szCs w:val="24"/>
          <w:highlight w:val="none"/>
        </w:rPr>
        <w:t xml:space="preserve">4.1 除合同条款规定外， 如果乙方没有按照合同规定的时间交货和提供服务，甲方有</w:t>
      </w:r>
      <w:r>
        <w:rPr>
          <w:rFonts w:ascii="宋体" w:hAnsi="宋体" w:eastAsia="宋体" w:cs="宋体"/>
          <w:color w:val="auto"/>
          <w:spacing w:val="-5"/>
          <w:sz w:val="24"/>
          <w:szCs w:val="24"/>
          <w:highlight w:val="none"/>
        </w:rPr>
        <w:t xml:space="preserve">权</w:t>
      </w:r>
      <w:r>
        <w:rPr>
          <w:rFonts w:ascii="宋体" w:hAnsi="宋体" w:eastAsia="宋体" w:cs="宋体"/>
          <w:color w:val="auto"/>
          <w:spacing w:val="-3"/>
          <w:sz w:val="24"/>
          <w:szCs w:val="24"/>
          <w:highlight w:val="none"/>
        </w:rPr>
        <w:t xml:space="preserve">从合同款中扣除误期赔偿同时有权行使合同项下的其他补救方法，赔偿费每天按合同价</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 xml:space="preserve">的</w:t>
      </w:r>
      <w:r>
        <w:rPr>
          <w:rFonts w:ascii="宋体" w:hAnsi="宋体" w:eastAsia="宋体" w:cs="宋体"/>
          <w:color w:val="auto"/>
          <w:spacing w:val="-1"/>
          <w:sz w:val="24"/>
          <w:szCs w:val="24"/>
          <w:highlight w:val="none"/>
          <w:u w:val="single"/>
        </w:rPr>
        <w:t xml:space="preserve">    </w:t>
      </w:r>
      <w:r>
        <w:rPr>
          <w:rFonts w:ascii="宋体" w:hAnsi="宋体" w:eastAsia="宋体" w:cs="宋体"/>
          <w:color w:val="auto"/>
          <w:spacing w:val="-1"/>
          <w:sz w:val="24"/>
          <w:szCs w:val="24"/>
          <w:highlight w:val="none"/>
        </w:rPr>
        <w:t xml:space="preserve">％计收，直至交货或提供服务为止。但误期赔偿费的最高限额为合</w:t>
      </w:r>
      <w:r>
        <w:rPr>
          <w:rFonts w:ascii="宋体" w:hAnsi="宋体" w:eastAsia="宋体" w:cs="宋体"/>
          <w:color w:val="auto"/>
          <w:sz w:val="24"/>
          <w:szCs w:val="24"/>
          <w:highlight w:val="none"/>
        </w:rPr>
        <w:t xml:space="preserve">同价的</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 xml:space="preserve">一旦达到误期赔偿的最高限额，甲方可</w:t>
      </w:r>
      <w:r>
        <w:rPr>
          <w:rFonts w:ascii="宋体" w:hAnsi="宋体" w:eastAsia="宋体" w:cs="宋体"/>
          <w:color w:val="auto"/>
          <w:spacing w:val="-1"/>
          <w:sz w:val="24"/>
          <w:szCs w:val="24"/>
          <w:highlight w:val="none"/>
        </w:rPr>
        <w:t xml:space="preserve">考虑终止合同。</w:t>
      </w:r>
      <w:r/>
    </w:p>
    <w:p>
      <w:pPr>
        <w:ind w:left="536"/>
        <w:spacing w:before="1" w:line="218"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14.2</w:t>
      </w:r>
      <w:r>
        <w:rPr>
          <w:rFonts w:ascii="宋体" w:hAnsi="宋体" w:eastAsia="宋体" w:cs="宋体"/>
          <w:color w:val="auto"/>
          <w:spacing w:val="-3"/>
          <w:sz w:val="24"/>
          <w:szCs w:val="24"/>
          <w:highlight w:val="none"/>
        </w:rPr>
        <w:t xml:space="preserve"> 若甲方逾期付款的，乙方有权催促甲方付款，并要求甲方支付违约金。</w:t>
      </w:r>
      <w:r/>
    </w:p>
    <w:p>
      <w:pPr>
        <w:ind w:left="538"/>
        <w:spacing w:before="184" w:line="23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15.不可抗力</w:t>
      </w:r>
      <w:r/>
    </w:p>
    <w:p>
      <w:pPr>
        <w:ind w:left="42" w:right="82" w:firstLine="493"/>
        <w:spacing w:before="157" w:line="36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15.1 如果</w:t>
      </w:r>
      <w:r>
        <w:rPr>
          <w:rFonts w:ascii="宋体" w:hAnsi="宋体" w:eastAsia="宋体" w:cs="宋体"/>
          <w:color w:val="auto"/>
          <w:spacing w:val="1"/>
          <w:sz w:val="24"/>
          <w:szCs w:val="24"/>
          <w:highlight w:val="none"/>
        </w:rPr>
        <w:t xml:space="preserve">双方由于不可抗拒力的任何事故(须经双方认同)，致使影响合同履行时，</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 xml:space="preserve">履行合同的期限应予延长，延长期限相当于</w:t>
      </w:r>
      <w:r>
        <w:rPr>
          <w:rFonts w:ascii="宋体" w:hAnsi="宋体" w:eastAsia="宋体" w:cs="宋体"/>
          <w:color w:val="auto"/>
          <w:spacing w:val="-1"/>
          <w:sz w:val="24"/>
          <w:szCs w:val="24"/>
          <w:highlight w:val="none"/>
        </w:rPr>
        <w:t xml:space="preserve">事故影响的时间。</w:t>
      </w:r>
      <w:r/>
    </w:p>
    <w:p>
      <w:pPr>
        <w:ind w:left="36" w:right="32" w:firstLine="499"/>
        <w:spacing w:before="1" w:line="360"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15.2 本条</w:t>
      </w:r>
      <w:r>
        <w:rPr>
          <w:rFonts w:ascii="宋体" w:hAnsi="宋体" w:eastAsia="宋体" w:cs="宋体"/>
          <w:color w:val="auto"/>
          <w:spacing w:val="-5"/>
          <w:sz w:val="24"/>
          <w:szCs w:val="24"/>
          <w:highlight w:val="none"/>
        </w:rPr>
        <w:t xml:space="preserve">所</w:t>
      </w:r>
      <w:r>
        <w:rPr>
          <w:rFonts w:ascii="宋体" w:hAnsi="宋体" w:eastAsia="宋体" w:cs="宋体"/>
          <w:color w:val="auto"/>
          <w:spacing w:val="-3"/>
          <w:sz w:val="24"/>
          <w:szCs w:val="24"/>
          <w:highlight w:val="none"/>
        </w:rPr>
        <w:t xml:space="preserve">述的“不可抗拒力”系指双方无法控制、不可预见的事件。这些事件包括</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 xml:space="preserve">但不限于：战争、严重</w:t>
      </w:r>
      <w:r>
        <w:rPr>
          <w:rFonts w:ascii="宋体" w:hAnsi="宋体" w:eastAsia="宋体" w:cs="宋体"/>
          <w:color w:val="auto"/>
          <w:spacing w:val="-1"/>
          <w:sz w:val="24"/>
          <w:szCs w:val="24"/>
          <w:highlight w:val="none"/>
        </w:rPr>
        <w:t xml:space="preserve">水灾、台风、地震以及其他双方商定的事件。</w:t>
      </w:r>
      <w:r/>
    </w:p>
    <w:p>
      <w:pPr>
        <w:ind w:left="38" w:right="32" w:firstLine="497"/>
        <w:spacing w:before="2" w:line="359" w:lineRule="auto"/>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 xml:space="preserve">15</w:t>
      </w:r>
      <w:r>
        <w:rPr>
          <w:rFonts w:ascii="宋体" w:hAnsi="宋体" w:eastAsia="宋体" w:cs="宋体"/>
          <w:color w:val="auto"/>
          <w:spacing w:val="-11"/>
          <w:sz w:val="24"/>
          <w:szCs w:val="24"/>
          <w:highlight w:val="none"/>
        </w:rPr>
        <w:t xml:space="preserve">.</w:t>
      </w:r>
      <w:r>
        <w:rPr>
          <w:rFonts w:ascii="宋体" w:hAnsi="宋体" w:eastAsia="宋体" w:cs="宋体"/>
          <w:color w:val="auto"/>
          <w:spacing w:val="-6"/>
          <w:sz w:val="24"/>
          <w:szCs w:val="24"/>
          <w:highlight w:val="none"/>
        </w:rPr>
        <w:t xml:space="preserve">3 受事故影响的一方应在不可抗拒力事故发后尽快以传真通知对方，双方应通过友</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 xml:space="preserve">好协商在合理时间内达成进一步履行合同的协议</w:t>
      </w:r>
      <w:r>
        <w:rPr>
          <w:rFonts w:ascii="宋体" w:hAnsi="宋体" w:eastAsia="宋体" w:cs="宋体"/>
          <w:color w:val="auto"/>
          <w:sz w:val="24"/>
          <w:szCs w:val="24"/>
          <w:highlight w:val="none"/>
        </w:rPr>
        <w:t xml:space="preserve">。</w:t>
      </w:r>
      <w:r/>
    </w:p>
    <w:p>
      <w:pPr>
        <w:ind w:left="538"/>
        <w:spacing w:before="1" w:line="220"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1</w:t>
      </w:r>
      <w:r>
        <w:rPr>
          <w:rFonts w:ascii="宋体" w:hAnsi="宋体" w:eastAsia="宋体" w:cs="宋体"/>
          <w:color w:val="auto"/>
          <w:spacing w:val="-4"/>
          <w:sz w:val="24"/>
          <w:szCs w:val="24"/>
          <w:highlight w:val="none"/>
        </w:rPr>
        <w:t xml:space="preserve">6.税费</w:t>
      </w:r>
      <w:r/>
    </w:p>
    <w:p>
      <w:pPr>
        <w:ind w:left="39" w:right="35" w:firstLine="496"/>
        <w:spacing w:before="181" w:line="360"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16.1 中国政</w:t>
      </w:r>
      <w:r>
        <w:rPr>
          <w:rFonts w:ascii="宋体" w:hAnsi="宋体" w:eastAsia="宋体" w:cs="宋体"/>
          <w:color w:val="auto"/>
          <w:spacing w:val="2"/>
          <w:sz w:val="24"/>
          <w:szCs w:val="24"/>
          <w:highlight w:val="none"/>
        </w:rPr>
        <w:t xml:space="preserve">府根据现行税法规定对甲方征收的与本合同有关的一切税费均由甲方负</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 xml:space="preserve">担(免</w:t>
      </w:r>
      <w:r>
        <w:rPr>
          <w:rFonts w:ascii="宋体" w:hAnsi="宋体" w:eastAsia="宋体" w:cs="宋体"/>
          <w:color w:val="auto"/>
          <w:spacing w:val="5"/>
          <w:sz w:val="24"/>
          <w:szCs w:val="24"/>
          <w:highlight w:val="none"/>
        </w:rPr>
        <w:t xml:space="preserve">税</w:t>
      </w:r>
      <w:r>
        <w:rPr>
          <w:rFonts w:ascii="宋体" w:hAnsi="宋体" w:eastAsia="宋体" w:cs="宋体"/>
          <w:color w:val="auto"/>
          <w:spacing w:val="3"/>
          <w:sz w:val="24"/>
          <w:szCs w:val="24"/>
          <w:highlight w:val="none"/>
        </w:rPr>
        <w:t xml:space="preserve">部分除外)，采购文件另有规定的除外。</w:t>
      </w:r>
      <w:r/>
    </w:p>
    <w:p>
      <w:pPr>
        <w:ind w:left="39" w:right="35" w:firstLine="496"/>
        <w:spacing w:line="360"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16.2 中国政</w:t>
      </w:r>
      <w:r>
        <w:rPr>
          <w:rFonts w:ascii="宋体" w:hAnsi="宋体" w:eastAsia="宋体" w:cs="宋体"/>
          <w:color w:val="auto"/>
          <w:spacing w:val="2"/>
          <w:sz w:val="24"/>
          <w:szCs w:val="24"/>
          <w:highlight w:val="none"/>
        </w:rPr>
        <w:t xml:space="preserve">府根据现行税法规定对乙方征收的与本合同有关的一切税费均由乙方负</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 xml:space="preserve">担(免</w:t>
      </w:r>
      <w:r>
        <w:rPr>
          <w:rFonts w:ascii="宋体" w:hAnsi="宋体" w:eastAsia="宋体" w:cs="宋体"/>
          <w:color w:val="auto"/>
          <w:spacing w:val="5"/>
          <w:sz w:val="24"/>
          <w:szCs w:val="24"/>
          <w:highlight w:val="none"/>
        </w:rPr>
        <w:t xml:space="preserve">税</w:t>
      </w:r>
      <w:r>
        <w:rPr>
          <w:rFonts w:ascii="宋体" w:hAnsi="宋体" w:eastAsia="宋体" w:cs="宋体"/>
          <w:color w:val="auto"/>
          <w:spacing w:val="3"/>
          <w:sz w:val="24"/>
          <w:szCs w:val="24"/>
          <w:highlight w:val="none"/>
        </w:rPr>
        <w:t xml:space="preserve">部分除外)，采购文件另有规定的除外。</w:t>
      </w:r>
      <w:r/>
    </w:p>
    <w:p>
      <w:pPr>
        <w:ind w:left="538"/>
        <w:spacing w:before="2" w:line="23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w:t>
      </w:r>
      <w:r>
        <w:rPr>
          <w:rFonts w:ascii="宋体" w:hAnsi="宋体" w:eastAsia="宋体" w:cs="宋体"/>
          <w:color w:val="auto"/>
          <w:spacing w:val="-2"/>
          <w:sz w:val="24"/>
          <w:szCs w:val="24"/>
          <w:highlight w:val="none"/>
        </w:rPr>
        <w:t xml:space="preserve">7.纠纷解决办法</w:t>
      </w:r>
      <w:r/>
    </w:p>
    <w:p>
      <w:pPr>
        <w:ind w:left="43" w:right="30" w:firstLine="492"/>
        <w:spacing w:before="158" w:line="360" w:lineRule="auto"/>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 xml:space="preserve">17</w:t>
      </w:r>
      <w:r>
        <w:rPr>
          <w:rFonts w:ascii="宋体" w:hAnsi="宋体" w:eastAsia="宋体" w:cs="宋体"/>
          <w:color w:val="auto"/>
          <w:spacing w:val="-9"/>
          <w:sz w:val="24"/>
          <w:szCs w:val="24"/>
          <w:highlight w:val="none"/>
        </w:rPr>
        <w:t xml:space="preserve">.</w:t>
      </w:r>
      <w:r>
        <w:rPr>
          <w:rFonts w:ascii="宋体" w:hAnsi="宋体" w:eastAsia="宋体" w:cs="宋体"/>
          <w:color w:val="auto"/>
          <w:spacing w:val="-6"/>
          <w:sz w:val="24"/>
          <w:szCs w:val="24"/>
          <w:highlight w:val="none"/>
        </w:rPr>
        <w:t xml:space="preserve">1 在执行本合同中所发生的或与本合同有关的一切争端， 甲方和乙方应通过友好协</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 xml:space="preserve">商的办法进行解决。如协商</w:t>
      </w:r>
      <w:r>
        <w:rPr>
          <w:rFonts w:ascii="宋体" w:hAnsi="宋体" w:eastAsia="宋体" w:cs="宋体"/>
          <w:color w:val="auto"/>
          <w:spacing w:val="-1"/>
          <w:sz w:val="24"/>
          <w:szCs w:val="24"/>
          <w:highlight w:val="none"/>
        </w:rPr>
        <w:t xml:space="preserve">仍不能解决，则通过由甲方所在地人民法院诉讼。</w:t>
      </w:r>
      <w:r/>
    </w:p>
    <w:p>
      <w:pPr>
        <w:ind w:left="536"/>
        <w:spacing w:before="1"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17.2 在诉讼期间，本合同应继续执行</w:t>
      </w:r>
      <w:r>
        <w:rPr>
          <w:rFonts w:ascii="宋体" w:hAnsi="宋体" w:eastAsia="宋体" w:cs="宋体"/>
          <w:color w:val="auto"/>
          <w:spacing w:val="-2"/>
          <w:sz w:val="24"/>
          <w:szCs w:val="24"/>
          <w:highlight w:val="none"/>
        </w:rPr>
        <w:t xml:space="preserve">。</w:t>
      </w:r>
      <w:r/>
    </w:p>
    <w:p>
      <w:pPr>
        <w:ind w:left="538"/>
        <w:spacing w:before="183" w:line="23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w:t>
      </w:r>
      <w:r>
        <w:rPr>
          <w:rFonts w:ascii="宋体" w:hAnsi="宋体" w:eastAsia="宋体" w:cs="宋体"/>
          <w:color w:val="auto"/>
          <w:spacing w:val="-2"/>
          <w:sz w:val="24"/>
          <w:szCs w:val="24"/>
          <w:highlight w:val="none"/>
        </w:rPr>
        <w:t xml:space="preserve">8.违约终止合同</w:t>
      </w:r>
      <w:r/>
    </w:p>
    <w:p>
      <w:pPr>
        <w:rPr>
          <w:color w:val="auto"/>
          <w:highlight w:val="none"/>
        </w:rPr>
        <w:sectPr>
          <w:headerReference w:type="default" r:id="rId13"/>
          <w:footerReference w:type="default" r:id="rId26"/>
          <w:footnotePr/>
          <w:endnotePr/>
          <w:type w:val="nextPage"/>
          <w:pgSz w:w="11907" w:h="16839" w:orient="portrait"/>
          <w:pgMar w:top="1125" w:right="1238" w:bottom="1392" w:left="1240" w:header="1111" w:footer="1229" w:gutter="0"/>
          <w:cols w:num="1" w:sep="0" w:space="720" w:equalWidth="1"/>
          <w:docGrid w:linePitch="360"/>
        </w:sectPr>
      </w:pPr>
      <w:r>
        <w:rPr>
          <w:color w:val="auto"/>
          <w:highlight w:val="none"/>
        </w:rPr>
      </w:r>
      <w:r/>
    </w:p>
    <w:p>
      <w:pPr>
        <w:spacing w:line="347" w:lineRule="auto"/>
        <w:rPr>
          <w:rFonts w:ascii="Arial"/>
          <w:color w:val="auto"/>
          <w:sz w:val="21"/>
          <w:highlight w:val="none"/>
        </w:rPr>
      </w:pPr>
      <w:r>
        <w:rPr>
          <w:rFonts w:ascii="Arial"/>
          <w:color w:val="auto"/>
          <w:sz w:val="21"/>
          <w:highlight w:val="none"/>
        </w:rPr>
      </w:r>
      <w:r/>
    </w:p>
    <w:p>
      <w:pPr>
        <w:ind w:left="59" w:right="59" w:firstLine="477"/>
        <w:spacing w:before="78" w:line="36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18.1 在甲方对乙方违约而采取的任何补救措施不受影响的情况下，甲方可</w:t>
      </w:r>
      <w:r>
        <w:rPr>
          <w:rFonts w:ascii="宋体" w:hAnsi="宋体" w:eastAsia="宋体" w:cs="宋体"/>
          <w:color w:val="auto"/>
          <w:sz w:val="24"/>
          <w:szCs w:val="24"/>
          <w:highlight w:val="none"/>
        </w:rPr>
        <w:t xml:space="preserve">向乙方发 </w:t>
      </w:r>
      <w:r>
        <w:rPr>
          <w:rFonts w:ascii="宋体" w:hAnsi="宋体" w:eastAsia="宋体" w:cs="宋体"/>
          <w:color w:val="auto"/>
          <w:spacing w:val="-6"/>
          <w:sz w:val="24"/>
          <w:szCs w:val="24"/>
          <w:highlight w:val="none"/>
        </w:rPr>
        <w:t xml:space="preserve">出终止</w:t>
      </w:r>
      <w:r>
        <w:rPr>
          <w:rFonts w:ascii="宋体" w:hAnsi="宋体" w:eastAsia="宋体" w:cs="宋体"/>
          <w:color w:val="auto"/>
          <w:spacing w:val="-4"/>
          <w:sz w:val="24"/>
          <w:szCs w:val="24"/>
          <w:highlight w:val="none"/>
        </w:rPr>
        <w:t xml:space="preserve">部</w:t>
      </w:r>
      <w:r>
        <w:rPr>
          <w:rFonts w:ascii="宋体" w:hAnsi="宋体" w:eastAsia="宋体" w:cs="宋体"/>
          <w:color w:val="auto"/>
          <w:spacing w:val="-3"/>
          <w:sz w:val="24"/>
          <w:szCs w:val="24"/>
          <w:highlight w:val="none"/>
        </w:rPr>
        <w:t xml:space="preserve">分或全部合同的书面通知书。</w:t>
      </w:r>
      <w:r/>
    </w:p>
    <w:p>
      <w:pPr>
        <w:ind w:left="43" w:right="52" w:firstLine="517"/>
        <w:spacing w:before="2" w:line="359"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(1) 如</w:t>
      </w:r>
      <w:r>
        <w:rPr>
          <w:rFonts w:ascii="宋体" w:hAnsi="宋体" w:eastAsia="宋体" w:cs="宋体"/>
          <w:color w:val="auto"/>
          <w:spacing w:val="5"/>
          <w:sz w:val="24"/>
          <w:szCs w:val="24"/>
          <w:highlight w:val="none"/>
        </w:rPr>
        <w:t xml:space="preserve">果</w:t>
      </w:r>
      <w:r>
        <w:rPr>
          <w:rFonts w:ascii="宋体" w:hAnsi="宋体" w:eastAsia="宋体" w:cs="宋体"/>
          <w:color w:val="auto"/>
          <w:spacing w:val="4"/>
          <w:sz w:val="24"/>
          <w:szCs w:val="24"/>
          <w:highlight w:val="none"/>
        </w:rPr>
        <w:t xml:space="preserve">乙方未能按合同规定的期限或甲方同意延长的限期内完成部分或全部货物</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 xml:space="preserve">交付及相关的服务工作;</w:t>
      </w:r>
      <w:r/>
    </w:p>
    <w:p>
      <w:pPr>
        <w:ind w:left="48" w:right="49" w:firstLine="512"/>
        <w:spacing w:before="2" w:line="35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 乙方在收到甲方发出的违约通知后20</w:t>
      </w:r>
      <w:r>
        <w:rPr>
          <w:rFonts w:ascii="宋体" w:hAnsi="宋体" w:eastAsia="宋体" w:cs="宋体"/>
          <w:color w:val="auto"/>
          <w:spacing w:val="-1"/>
          <w:sz w:val="24"/>
          <w:szCs w:val="24"/>
          <w:highlight w:val="none"/>
        </w:rPr>
        <w:t xml:space="preserve">天内，或经甲方书面认可延长的时间内未</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 xml:space="preserve">能纠正其过失;</w:t>
      </w:r>
      <w:r/>
    </w:p>
    <w:p>
      <w:pPr>
        <w:ind w:left="560"/>
        <w:spacing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(3) 如</w:t>
      </w:r>
      <w:r>
        <w:rPr>
          <w:rFonts w:ascii="宋体" w:hAnsi="宋体" w:eastAsia="宋体" w:cs="宋体"/>
          <w:color w:val="auto"/>
          <w:spacing w:val="-5"/>
          <w:sz w:val="24"/>
          <w:szCs w:val="24"/>
          <w:highlight w:val="none"/>
        </w:rPr>
        <w:t xml:space="preserve">果</w:t>
      </w:r>
      <w:r>
        <w:rPr>
          <w:rFonts w:ascii="宋体" w:hAnsi="宋体" w:eastAsia="宋体" w:cs="宋体"/>
          <w:color w:val="auto"/>
          <w:spacing w:val="-3"/>
          <w:sz w:val="24"/>
          <w:szCs w:val="24"/>
          <w:highlight w:val="none"/>
        </w:rPr>
        <w:t xml:space="preserve">乙方未能履行合同规定的其他义务。</w:t>
      </w:r>
      <w:r/>
    </w:p>
    <w:p>
      <w:pPr>
        <w:ind w:left="40" w:right="51" w:firstLine="495"/>
        <w:spacing w:before="183" w:line="36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w:t>
      </w:r>
      <w:r>
        <w:rPr>
          <w:rFonts w:ascii="宋体" w:hAnsi="宋体" w:eastAsia="宋体" w:cs="宋体"/>
          <w:color w:val="auto"/>
          <w:spacing w:val="2"/>
          <w:sz w:val="24"/>
          <w:szCs w:val="24"/>
          <w:highlight w:val="none"/>
        </w:rPr>
        <w:t xml:space="preserve">8.2 在履行合同期间，出现未能响应采购文件服务要求，将每次从合同价款中扣除</w:t>
      </w:r>
      <w:r>
        <w:rPr>
          <w:rFonts w:hint="eastAsia" w:ascii="宋体" w:hAnsi="宋体" w:eastAsia="宋体" w:cs="宋体"/>
          <w:color w:val="auto"/>
          <w:sz w:val="24"/>
          <w:szCs w:val="24"/>
          <w:highlight w:val="none"/>
          <w:u w:val="single"/>
          <w:lang w:val="en-US" w:eastAsia="zh-CN"/>
        </w:rPr>
        <w:t xml:space="preserve">   </w:t>
      </w:r>
      <w:r>
        <w:rPr>
          <w:rFonts w:ascii="宋体" w:hAnsi="宋体" w:eastAsia="宋体" w:cs="宋体"/>
          <w:color w:val="auto"/>
          <w:spacing w:val="-8"/>
          <w:sz w:val="24"/>
          <w:szCs w:val="24"/>
          <w:highlight w:val="none"/>
        </w:rPr>
        <w:t xml:space="preserve">元，出现</w:t>
      </w:r>
      <w:r>
        <w:rPr>
          <w:rFonts w:ascii="宋体" w:hAnsi="宋体" w:eastAsia="宋体" w:cs="宋体"/>
          <w:color w:val="auto"/>
          <w:spacing w:val="-7"/>
          <w:sz w:val="24"/>
          <w:szCs w:val="24"/>
          <w:highlight w:val="none"/>
        </w:rPr>
        <w:t xml:space="preserve">此</w:t>
      </w:r>
      <w:r>
        <w:rPr>
          <w:rFonts w:ascii="宋体" w:hAnsi="宋体" w:eastAsia="宋体" w:cs="宋体"/>
          <w:color w:val="auto"/>
          <w:spacing w:val="-4"/>
          <w:sz w:val="24"/>
          <w:szCs w:val="24"/>
          <w:highlight w:val="none"/>
        </w:rPr>
        <w:t xml:space="preserve">类情况达到 3 次的，甲方可以无条件终止合同并且有权拒绝付款。</w:t>
      </w:r>
      <w:r/>
    </w:p>
    <w:p>
      <w:pPr>
        <w:ind w:left="39" w:right="49" w:firstLine="496"/>
        <w:spacing w:before="4" w:line="359" w:lineRule="auto"/>
        <w:rPr>
          <w:rFonts w:ascii="宋体" w:hAnsi="宋体" w:eastAsia="宋体" w:cs="宋体"/>
          <w:color w:val="auto"/>
          <w:sz w:val="24"/>
          <w:szCs w:val="24"/>
          <w:highlight w:val="none"/>
        </w:rPr>
      </w:pPr>
      <w:r>
        <w:rPr>
          <w:rFonts w:ascii="宋体" w:hAnsi="宋体" w:eastAsia="宋体" w:cs="宋体"/>
          <w:color w:val="auto"/>
          <w:spacing w:val="-18"/>
          <w:sz w:val="24"/>
          <w:szCs w:val="24"/>
          <w:highlight w:val="none"/>
        </w:rPr>
        <w:t xml:space="preserve">18</w:t>
      </w:r>
      <w:r>
        <w:rPr>
          <w:rFonts w:ascii="宋体" w:hAnsi="宋体" w:eastAsia="宋体" w:cs="宋体"/>
          <w:color w:val="auto"/>
          <w:spacing w:val="-13"/>
          <w:sz w:val="24"/>
          <w:szCs w:val="24"/>
          <w:highlight w:val="none"/>
        </w:rPr>
        <w:t xml:space="preserve">.</w:t>
      </w:r>
      <w:r>
        <w:rPr>
          <w:rFonts w:ascii="宋体" w:hAnsi="宋体" w:eastAsia="宋体" w:cs="宋体"/>
          <w:color w:val="auto"/>
          <w:spacing w:val="-9"/>
          <w:sz w:val="24"/>
          <w:szCs w:val="24"/>
          <w:highlight w:val="none"/>
        </w:rPr>
        <w:t xml:space="preserve">3 在甲方根据上述规定，终止了全部或部分合同后，甲方可以依其认为适当的条件</w:t>
      </w:r>
      <w:r>
        <w:rPr>
          <w:rFonts w:ascii="宋体" w:hAnsi="宋体" w:eastAsia="宋体" w:cs="宋体"/>
          <w:color w:val="auto"/>
          <w:spacing w:val="10"/>
          <w:sz w:val="24"/>
          <w:szCs w:val="24"/>
          <w:highlight w:val="none"/>
        </w:rPr>
        <w:t xml:space="preserve">和方法</w:t>
      </w:r>
      <w:r>
        <w:rPr>
          <w:rFonts w:ascii="宋体" w:hAnsi="宋体" w:eastAsia="宋体" w:cs="宋体"/>
          <w:color w:val="auto"/>
          <w:spacing w:val="8"/>
          <w:sz w:val="24"/>
          <w:szCs w:val="24"/>
          <w:highlight w:val="none"/>
        </w:rPr>
        <w:t xml:space="preserve">购</w:t>
      </w:r>
      <w:r>
        <w:rPr>
          <w:rFonts w:ascii="宋体" w:hAnsi="宋体" w:eastAsia="宋体" w:cs="宋体"/>
          <w:color w:val="auto"/>
          <w:spacing w:val="5"/>
          <w:sz w:val="24"/>
          <w:szCs w:val="24"/>
          <w:highlight w:val="none"/>
        </w:rPr>
        <w:t xml:space="preserve">买与未交货物类似的货物，乙方应对甲方购买类似货物所超出的那部分费用负</w:t>
      </w:r>
      <w:r>
        <w:rPr>
          <w:rFonts w:ascii="宋体" w:hAnsi="宋体" w:eastAsia="宋体" w:cs="宋体"/>
          <w:color w:val="auto"/>
          <w:spacing w:val="-2"/>
          <w:sz w:val="24"/>
          <w:szCs w:val="24"/>
          <w:highlight w:val="none"/>
        </w:rPr>
        <w:t xml:space="preserve">责。但是，乙方应继续执行合同中未终止的部分</w:t>
      </w:r>
      <w:r>
        <w:rPr>
          <w:rFonts w:ascii="宋体" w:hAnsi="宋体" w:eastAsia="宋体" w:cs="宋体"/>
          <w:color w:val="auto"/>
          <w:spacing w:val="-1"/>
          <w:sz w:val="24"/>
          <w:szCs w:val="24"/>
          <w:highlight w:val="none"/>
        </w:rPr>
        <w:t xml:space="preserve">。</w:t>
      </w:r>
      <w:r/>
    </w:p>
    <w:p>
      <w:pPr>
        <w:ind w:left="538"/>
        <w:spacing w:before="1" w:line="23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w:t>
      </w:r>
      <w:r>
        <w:rPr>
          <w:rFonts w:ascii="宋体" w:hAnsi="宋体" w:eastAsia="宋体" w:cs="宋体"/>
          <w:color w:val="auto"/>
          <w:spacing w:val="-2"/>
          <w:sz w:val="24"/>
          <w:szCs w:val="24"/>
          <w:highlight w:val="none"/>
        </w:rPr>
        <w:t xml:space="preserve">9.破产终止合同</w:t>
      </w:r>
      <w:r/>
    </w:p>
    <w:p>
      <w:pPr>
        <w:ind w:left="58" w:right="59" w:firstLine="478"/>
        <w:spacing w:before="158" w:line="36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19.1 如果乙方破产或无清偿能力时，甲方在任何时候书面通知乙方终止合</w:t>
      </w:r>
      <w:r>
        <w:rPr>
          <w:rFonts w:ascii="宋体" w:hAnsi="宋体" w:eastAsia="宋体" w:cs="宋体"/>
          <w:color w:val="auto"/>
          <w:sz w:val="24"/>
          <w:szCs w:val="24"/>
          <w:highlight w:val="none"/>
        </w:rPr>
        <w:t xml:space="preserve">同而不给 </w:t>
      </w:r>
      <w:r>
        <w:rPr>
          <w:rFonts w:ascii="宋体" w:hAnsi="宋体" w:eastAsia="宋体" w:cs="宋体"/>
          <w:color w:val="auto"/>
          <w:spacing w:val="-2"/>
          <w:sz w:val="24"/>
          <w:szCs w:val="24"/>
          <w:highlight w:val="none"/>
        </w:rPr>
        <w:t xml:space="preserve">乙方补偿。该终止合同将不损害或影响甲方已经或将要采取的</w:t>
      </w:r>
      <w:r>
        <w:rPr>
          <w:rFonts w:ascii="宋体" w:hAnsi="宋体" w:eastAsia="宋体" w:cs="宋体"/>
          <w:color w:val="auto"/>
          <w:spacing w:val="-1"/>
          <w:sz w:val="24"/>
          <w:szCs w:val="24"/>
          <w:highlight w:val="none"/>
        </w:rPr>
        <w:t xml:space="preserve">补救措施的权利。</w:t>
      </w:r>
      <w:r/>
    </w:p>
    <w:p>
      <w:pPr>
        <w:ind w:left="523"/>
        <w:spacing w:before="1" w:line="23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20.转让和</w:t>
      </w:r>
      <w:r>
        <w:rPr>
          <w:rFonts w:ascii="宋体" w:hAnsi="宋体" w:eastAsia="宋体" w:cs="宋体"/>
          <w:color w:val="auto"/>
          <w:sz w:val="24"/>
          <w:szCs w:val="24"/>
          <w:highlight w:val="none"/>
        </w:rPr>
        <w:t xml:space="preserve">分包</w:t>
      </w:r>
      <w:r/>
    </w:p>
    <w:p>
      <w:pPr>
        <w:ind w:left="39" w:right="47" w:firstLine="481"/>
        <w:spacing w:before="158" w:line="360" w:lineRule="auto"/>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 xml:space="preserve">20.</w:t>
      </w:r>
      <w:r>
        <w:rPr>
          <w:rFonts w:ascii="宋体" w:hAnsi="宋体" w:eastAsia="宋体" w:cs="宋体"/>
          <w:color w:val="auto"/>
          <w:spacing w:val="-6"/>
          <w:sz w:val="24"/>
          <w:szCs w:val="24"/>
          <w:highlight w:val="none"/>
        </w:rPr>
        <w:t xml:space="preserve">1 经甲方书面同意，乙方可以将合同项下非主体性工作分包给他人完成。接受分包</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 xml:space="preserve">的人应当具备</w:t>
      </w:r>
      <w:r>
        <w:rPr>
          <w:rFonts w:ascii="宋体" w:hAnsi="宋体" w:eastAsia="宋体" w:cs="宋体"/>
          <w:color w:val="auto"/>
          <w:spacing w:val="-5"/>
          <w:sz w:val="24"/>
          <w:szCs w:val="24"/>
          <w:highlight w:val="none"/>
        </w:rPr>
        <w:t xml:space="preserve">相</w:t>
      </w:r>
      <w:r>
        <w:rPr>
          <w:rFonts w:ascii="宋体" w:hAnsi="宋体" w:eastAsia="宋体" w:cs="宋体"/>
          <w:color w:val="auto"/>
          <w:spacing w:val="-3"/>
          <w:sz w:val="24"/>
          <w:szCs w:val="24"/>
          <w:highlight w:val="none"/>
        </w:rPr>
        <w:t xml:space="preserve">应的资质条件，并不得再次分包。分包后不能解除乙方履行本合同的责任</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 xml:space="preserve">和义务，接受分包的人与乙</w:t>
      </w:r>
      <w:r>
        <w:rPr>
          <w:rFonts w:ascii="宋体" w:hAnsi="宋体" w:eastAsia="宋体" w:cs="宋体"/>
          <w:color w:val="auto"/>
          <w:spacing w:val="-1"/>
          <w:sz w:val="24"/>
          <w:szCs w:val="24"/>
          <w:highlight w:val="none"/>
        </w:rPr>
        <w:t xml:space="preserve">方共同对甲方连带承担合同的责任和义务。</w:t>
      </w:r>
      <w:r/>
    </w:p>
    <w:p>
      <w:pPr>
        <w:ind w:left="523"/>
        <w:spacing w:before="1" w:line="23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21.合</w:t>
      </w:r>
      <w:r>
        <w:rPr>
          <w:rFonts w:ascii="宋体" w:hAnsi="宋体" w:eastAsia="宋体" w:cs="宋体"/>
          <w:color w:val="auto"/>
          <w:sz w:val="24"/>
          <w:szCs w:val="24"/>
          <w:highlight w:val="none"/>
        </w:rPr>
        <w:t xml:space="preserve">同生效及其它</w:t>
      </w:r>
      <w:r/>
    </w:p>
    <w:p>
      <w:pPr>
        <w:ind w:left="507"/>
        <w:spacing w:before="157"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21.1 合同经甲方、乙方签章后生效，有效期为</w:t>
      </w:r>
      <w:r>
        <w:rPr>
          <w:rFonts w:ascii="宋体" w:hAnsi="宋体" w:eastAsia="宋体" w:cs="宋体"/>
          <w:color w:val="auto"/>
          <w:spacing w:val="-1"/>
          <w:sz w:val="24"/>
          <w:szCs w:val="24"/>
          <w:highlight w:val="none"/>
        </w:rPr>
        <w:t xml:space="preserve">生效之日起至</w:t>
      </w:r>
      <w:r>
        <w:rPr>
          <w:rFonts w:ascii="宋体" w:hAnsi="宋体" w:eastAsia="宋体" w:cs="宋体"/>
          <w:color w:val="auto"/>
          <w:spacing w:val="-1"/>
          <w:sz w:val="24"/>
          <w:szCs w:val="24"/>
          <w:highlight w:val="none"/>
          <w:u w:val="single"/>
        </w:rPr>
        <w:t xml:space="preserve">   </w:t>
      </w:r>
      <w:r>
        <w:rPr>
          <w:rFonts w:ascii="宋体" w:hAnsi="宋体" w:eastAsia="宋体" w:cs="宋体"/>
          <w:color w:val="auto"/>
          <w:spacing w:val="-1"/>
          <w:sz w:val="24"/>
          <w:szCs w:val="24"/>
          <w:highlight w:val="none"/>
        </w:rPr>
        <w:t xml:space="preserve">年</w:t>
      </w:r>
      <w:r>
        <w:rPr>
          <w:rFonts w:ascii="宋体" w:hAnsi="宋体" w:eastAsia="宋体" w:cs="宋体"/>
          <w:color w:val="auto"/>
          <w:spacing w:val="-1"/>
          <w:sz w:val="24"/>
          <w:szCs w:val="24"/>
          <w:highlight w:val="none"/>
          <w:u w:val="single"/>
        </w:rPr>
        <w:t xml:space="preserve">  </w:t>
      </w:r>
      <w:r>
        <w:rPr>
          <w:rFonts w:ascii="宋体" w:hAnsi="宋体" w:eastAsia="宋体" w:cs="宋体"/>
          <w:color w:val="auto"/>
          <w:spacing w:val="-1"/>
          <w:sz w:val="24"/>
          <w:szCs w:val="24"/>
          <w:highlight w:val="none"/>
        </w:rPr>
        <w:t xml:space="preserve">月</w:t>
      </w:r>
      <w:r>
        <w:rPr>
          <w:rFonts w:ascii="宋体" w:hAnsi="宋体" w:eastAsia="宋体" w:cs="宋体"/>
          <w:color w:val="auto"/>
          <w:spacing w:val="-1"/>
          <w:sz w:val="24"/>
          <w:szCs w:val="24"/>
          <w:highlight w:val="none"/>
          <w:u w:val="single"/>
        </w:rPr>
        <w:t xml:space="preserve">  </w:t>
      </w:r>
      <w:r>
        <w:rPr>
          <w:rFonts w:ascii="宋体" w:hAnsi="宋体" w:eastAsia="宋体" w:cs="宋体"/>
          <w:color w:val="auto"/>
          <w:spacing w:val="-1"/>
          <w:sz w:val="24"/>
          <w:szCs w:val="24"/>
          <w:highlight w:val="none"/>
        </w:rPr>
        <w:t xml:space="preserve">日。</w:t>
      </w:r>
      <w:r/>
    </w:p>
    <w:p>
      <w:pPr>
        <w:ind w:left="521"/>
        <w:spacing w:before="183"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21.2 本合同以中文书写</w:t>
      </w:r>
      <w:r>
        <w:rPr>
          <w:rFonts w:ascii="宋体" w:hAnsi="宋体" w:eastAsia="宋体" w:cs="宋体"/>
          <w:color w:val="auto"/>
          <w:sz w:val="24"/>
          <w:szCs w:val="24"/>
          <w:highlight w:val="none"/>
        </w:rPr>
        <w:t xml:space="preserve">。</w:t>
      </w:r>
      <w:r/>
    </w:p>
    <w:p>
      <w:pPr>
        <w:ind w:left="521"/>
        <w:spacing w:before="184"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21.3 本合同</w:t>
      </w:r>
      <w:r>
        <w:rPr>
          <w:rFonts w:ascii="宋体" w:hAnsi="宋体" w:eastAsia="宋体" w:cs="宋体"/>
          <w:color w:val="auto"/>
          <w:spacing w:val="-1"/>
          <w:sz w:val="24"/>
          <w:szCs w:val="24"/>
          <w:highlight w:val="none"/>
        </w:rPr>
        <w:t xml:space="preserve">服务和货物交付使用后所发生的合同纠纷，甲方与乙方协商处理。</w:t>
      </w:r>
      <w:r/>
    </w:p>
    <w:p>
      <w:pPr>
        <w:ind w:left="521"/>
        <w:spacing w:before="183" w:line="360" w:lineRule="auto"/>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 xml:space="preserve">2</w:t>
      </w:r>
      <w:r>
        <w:rPr>
          <w:rFonts w:ascii="宋体" w:hAnsi="宋体" w:eastAsia="宋体" w:cs="宋体"/>
          <w:color w:val="auto"/>
          <w:spacing w:val="-6"/>
          <w:sz w:val="24"/>
          <w:szCs w:val="24"/>
          <w:highlight w:val="none"/>
        </w:rPr>
        <w:t xml:space="preserve">1.4 如需修改(指非主要合同条款) 或补充合同内容，应经甲方、乙方协商，且修改及补充内容不</w:t>
      </w:r>
      <w:r>
        <w:rPr>
          <w:rFonts w:ascii="宋体" w:hAnsi="宋体" w:eastAsia="宋体" w:cs="宋体"/>
          <w:color w:val="auto"/>
          <w:spacing w:val="-3"/>
          <w:sz w:val="24"/>
          <w:szCs w:val="24"/>
          <w:highlight w:val="none"/>
        </w:rPr>
        <w:t xml:space="preserve">得对本合同主要条款、采购文件和乙方的响应文件作实质性修改，并签署书</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 xml:space="preserve">面修改或补充协议。该协议将作为本</w:t>
      </w:r>
      <w:r>
        <w:rPr>
          <w:rFonts w:ascii="宋体" w:hAnsi="宋体" w:eastAsia="宋体" w:cs="宋体"/>
          <w:color w:val="auto"/>
          <w:spacing w:val="-1"/>
          <w:sz w:val="24"/>
          <w:szCs w:val="24"/>
          <w:highlight w:val="none"/>
        </w:rPr>
        <w:t xml:space="preserve">合同不可分割的一部分。</w:t>
      </w:r>
      <w:r/>
    </w:p>
    <w:p>
      <w:pPr>
        <w:ind w:left="523"/>
        <w:spacing w:before="1" w:line="23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21.5 本合同应按照中华人民共和国的现行法律进行解释。</w:t>
      </w:r>
      <w:r/>
    </w:p>
    <w:p>
      <w:pPr>
        <w:ind w:firstLine="480"/>
        <w:jc w:val="righ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640"/>
        <w:jc w:val="left"/>
        <w:spacing w:line="360" w:lineRule="auto"/>
        <w:rPr>
          <w:rFonts w:ascii="微软雅黑" w:hAnsi="微软雅黑" w:eastAsia="微软雅黑" w:cs="微软雅黑"/>
          <w:color w:val="auto"/>
          <w:sz w:val="32"/>
          <w:szCs w:val="32"/>
          <w:highlight w:val="none"/>
        </w:rPr>
        <w:sectPr>
          <w:footnotePr/>
          <w:endnotePr/>
          <w:type w:val="nextPage"/>
          <w:pgSz w:w="11906" w:h="16838" w:orient="portrait"/>
          <w:pgMar w:top="1440" w:right="1242" w:bottom="1440" w:left="1242" w:header="851" w:footer="992" w:gutter="0"/>
          <w:cols w:num="1" w:sep="0" w:space="425" w:equalWidth="1"/>
          <w:docGrid w:linePitch="360"/>
        </w:sectPr>
      </w:pPr>
      <w:r>
        <w:rPr>
          <w:rFonts w:ascii="微软雅黑" w:hAnsi="微软雅黑" w:eastAsia="微软雅黑" w:cs="微软雅黑"/>
          <w:color w:val="auto"/>
          <w:sz w:val="32"/>
          <w:szCs w:val="32"/>
          <w:highlight w:val="none"/>
        </w:rPr>
      </w:r>
      <w:r/>
    </w:p>
    <w:p>
      <w:pPr>
        <w:pStyle w:val="1577"/>
        <w:jc w:val="center"/>
        <w:spacing w:line="360" w:lineRule="auto"/>
        <w:rPr>
          <w:color w:val="auto"/>
          <w:highlight w:val="none"/>
        </w:rPr>
      </w:pPr>
      <w:r/>
      <w:bookmarkStart w:id="71" w:name="_Toc5393"/>
      <w:r>
        <w:rPr>
          <w:rFonts w:hint="eastAsia"/>
          <w:color w:val="auto"/>
          <w:highlight w:val="none"/>
        </w:rPr>
        <w:t xml:space="preserve">第四部分采购需求</w:t>
      </w:r>
      <w:bookmarkEnd w:id="71"/>
      <w:r/>
      <w:r/>
    </w:p>
    <w:p>
      <w:pPr>
        <w:contextualSpacing/>
        <w:ind w:firstLine="426"/>
        <w:spacing w:line="360" w:lineRule="auto"/>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一、项目概况：</w:t>
      </w:r>
      <w:r/>
    </w:p>
    <w:p>
      <w:pPr>
        <w:ind w:firstLine="482"/>
        <w:spacing w:line="360" w:lineRule="auto"/>
        <w:rPr>
          <w:rFonts w:hint="eastAsia" w:ascii="宋体" w:hAnsi="宋体" w:eastAsia="宋体" w:cs="宋体"/>
          <w:b w:val="0"/>
          <w:bCs/>
          <w:color w:val="auto"/>
          <w:sz w:val="24"/>
          <w:highlight w:val="none"/>
        </w:rPr>
        <w:outlineLvl w:val="0"/>
      </w:pPr>
      <w:r>
        <w:rPr>
          <w:rFonts w:hint="eastAsia" w:ascii="宋体" w:hAnsi="宋体" w:eastAsia="宋体" w:cs="宋体"/>
          <w:b w:val="0"/>
          <w:bCs/>
          <w:color w:val="auto"/>
          <w:sz w:val="24"/>
          <w:highlight w:val="none"/>
        </w:rPr>
        <w:t xml:space="preserve">（一）建设背景</w:t>
      </w:r>
      <w:r/>
    </w:p>
    <w:p>
      <w:pPr>
        <w:ind w:firstLine="482"/>
        <w:spacing w:line="360" w:lineRule="auto"/>
        <w:rPr>
          <w:rFonts w:hint="eastAsia" w:ascii="宋体" w:hAnsi="宋体" w:eastAsia="宋体" w:cs="宋体"/>
          <w:b w:val="0"/>
          <w:bCs/>
          <w:color w:val="auto"/>
          <w:sz w:val="24"/>
          <w:highlight w:val="none"/>
        </w:rPr>
        <w:outlineLvl w:val="0"/>
      </w:pPr>
      <w:r>
        <w:rPr>
          <w:rFonts w:hint="eastAsia" w:ascii="宋体" w:hAnsi="宋体" w:eastAsia="宋体" w:cs="宋体"/>
          <w:b w:val="0"/>
          <w:bCs/>
          <w:color w:val="auto"/>
          <w:sz w:val="24"/>
          <w:highlight w:val="none"/>
        </w:rPr>
        <w:t xml:space="preserve">镇江市公安局大数据中心机房, 作为市局级别数据核心机房，需要提供稳定、安全、可靠、持续的电源供机房内设备使用，确保机房内各设备稳定运行以保证通信、数据及业务安全。</w:t>
      </w:r>
      <w:r/>
    </w:p>
    <w:p>
      <w:pPr>
        <w:ind w:firstLine="482"/>
        <w:spacing w:line="360" w:lineRule="auto"/>
        <w:rPr>
          <w:rFonts w:hint="eastAsia" w:ascii="宋体" w:hAnsi="宋体" w:eastAsia="宋体" w:cs="宋体"/>
          <w:b w:val="0"/>
          <w:bCs/>
          <w:color w:val="auto"/>
          <w:sz w:val="24"/>
          <w:highlight w:val="none"/>
        </w:rPr>
        <w:outlineLvl w:val="0"/>
      </w:pPr>
      <w:r>
        <w:rPr>
          <w:rFonts w:hint="eastAsia" w:ascii="宋体" w:hAnsi="宋体" w:eastAsia="宋体" w:cs="宋体"/>
          <w:b w:val="0"/>
          <w:bCs/>
          <w:color w:val="auto"/>
          <w:sz w:val="24"/>
          <w:highlight w:val="none"/>
        </w:rPr>
        <w:t xml:space="preserve">机房目前使用三台120KVA UPS(N+1并机运行)为负载供电，由于使用年份已超过了厂家建议（8-10年）的设计寿命（市局已经使用15年），同时UPS各模块故障频发，因此建议购买全新的模块化UPS来替代当前UPS。</w:t>
      </w:r>
      <w:r/>
    </w:p>
    <w:p>
      <w:pPr>
        <w:ind w:firstLine="482"/>
        <w:spacing w:line="360" w:lineRule="auto"/>
        <w:rPr>
          <w:rFonts w:hint="eastAsia" w:ascii="宋体" w:hAnsi="宋体" w:eastAsia="宋体" w:cs="宋体"/>
          <w:b w:val="0"/>
          <w:bCs/>
          <w:color w:val="auto"/>
          <w:sz w:val="24"/>
          <w:highlight w:val="none"/>
        </w:rPr>
        <w:outlineLvl w:val="0"/>
      </w:pPr>
      <w:r>
        <w:rPr>
          <w:rFonts w:hint="eastAsia" w:ascii="宋体" w:hAnsi="宋体" w:eastAsia="宋体" w:cs="宋体"/>
          <w:b w:val="0"/>
          <w:bCs/>
          <w:color w:val="auto"/>
          <w:sz w:val="24"/>
          <w:highlight w:val="none"/>
        </w:rPr>
        <w:t xml:space="preserve">基于对数据系统的供电质量及电源特性要求，模块化方案更近一步提高系统的可靠性，安全性，稳定性，也是符合GB50174-2017的数据中心基础设施设计规范，模块化UPS完全按照IT设备的思路和结构设计，功率模块冗余并联输出。由于模块化结构可以非常方便的增减模块，提高输出功率和维修便捷性，因此在可用性、可维护性、扩容性方面具有传统1+1并联不可比拟的优点。</w:t>
      </w:r>
      <w:r/>
    </w:p>
    <w:p>
      <w:pPr>
        <w:ind w:firstLine="482"/>
        <w:spacing w:line="360" w:lineRule="auto"/>
        <w:rPr>
          <w:rFonts w:hint="eastAsia" w:ascii="宋体" w:hAnsi="宋体" w:eastAsia="宋体" w:cs="宋体"/>
          <w:b w:val="0"/>
          <w:bCs/>
          <w:color w:val="auto"/>
          <w:sz w:val="24"/>
          <w:highlight w:val="none"/>
        </w:rPr>
        <w:outlineLvl w:val="0"/>
      </w:pPr>
      <w:r>
        <w:rPr>
          <w:rFonts w:hint="eastAsia" w:ascii="宋体" w:hAnsi="宋体" w:eastAsia="宋体" w:cs="宋体"/>
          <w:b w:val="0"/>
          <w:bCs/>
          <w:color w:val="auto"/>
          <w:sz w:val="24"/>
          <w:highlight w:val="none"/>
        </w:rPr>
        <w:t xml:space="preserve">（二）建设标准</w:t>
      </w:r>
      <w:r/>
    </w:p>
    <w:p>
      <w:pPr>
        <w:ind w:firstLine="482"/>
        <w:spacing w:line="360" w:lineRule="auto"/>
        <w:rPr>
          <w:rFonts w:hint="eastAsia" w:ascii="宋体" w:hAnsi="宋体" w:eastAsia="宋体" w:cs="宋体"/>
          <w:b w:val="0"/>
          <w:bCs/>
          <w:color w:val="auto"/>
          <w:sz w:val="24"/>
          <w:highlight w:val="none"/>
        </w:rPr>
        <w:outlineLvl w:val="0"/>
      </w:pPr>
      <w:r>
        <w:rPr>
          <w:rFonts w:hint="eastAsia" w:ascii="宋体" w:hAnsi="宋体" w:eastAsia="宋体" w:cs="宋体"/>
          <w:b w:val="0"/>
          <w:bCs/>
          <w:color w:val="auto"/>
          <w:sz w:val="24"/>
          <w:highlight w:val="none"/>
        </w:rPr>
        <w:t xml:space="preserve">《数据中心设计规范》GB50052</w:t>
      </w:r>
      <w:r/>
    </w:p>
    <w:p>
      <w:pPr>
        <w:ind w:firstLine="482"/>
        <w:spacing w:line="360" w:lineRule="auto"/>
        <w:rPr>
          <w:rFonts w:hint="eastAsia" w:ascii="宋体" w:hAnsi="宋体" w:eastAsia="宋体" w:cs="宋体"/>
          <w:b w:val="0"/>
          <w:bCs/>
          <w:color w:val="auto"/>
          <w:sz w:val="24"/>
          <w:highlight w:val="none"/>
        </w:rPr>
        <w:outlineLvl w:val="0"/>
      </w:pPr>
      <w:r>
        <w:rPr>
          <w:rFonts w:hint="eastAsia" w:ascii="宋体" w:hAnsi="宋体" w:eastAsia="宋体" w:cs="宋体"/>
          <w:b w:val="0"/>
          <w:bCs/>
          <w:color w:val="auto"/>
          <w:sz w:val="24"/>
          <w:highlight w:val="none"/>
        </w:rPr>
        <w:t xml:space="preserve">《通信局（站）电源系统总技术要求》YD/T1051-2000</w:t>
      </w:r>
      <w:r/>
    </w:p>
    <w:p>
      <w:pPr>
        <w:ind w:firstLine="482"/>
        <w:spacing w:line="360" w:lineRule="auto"/>
        <w:rPr>
          <w:rFonts w:hint="eastAsia" w:ascii="宋体" w:hAnsi="宋体" w:eastAsia="宋体" w:cs="宋体"/>
          <w:b w:val="0"/>
          <w:bCs/>
          <w:color w:val="auto"/>
          <w:sz w:val="24"/>
          <w:highlight w:val="none"/>
        </w:rPr>
        <w:outlineLvl w:val="0"/>
      </w:pPr>
      <w:r>
        <w:rPr>
          <w:rFonts w:hint="eastAsia" w:ascii="宋体" w:hAnsi="宋体" w:eastAsia="宋体" w:cs="宋体"/>
          <w:b w:val="0"/>
          <w:bCs/>
          <w:color w:val="auto"/>
          <w:sz w:val="24"/>
          <w:highlight w:val="none"/>
        </w:rPr>
        <w:t xml:space="preserve">《通信用模块化不间断电源》YD/T 2165-2010</w:t>
      </w:r>
      <w:r/>
    </w:p>
    <w:p>
      <w:pPr>
        <w:ind w:firstLine="482"/>
        <w:spacing w:line="360" w:lineRule="auto"/>
        <w:rPr>
          <w:rFonts w:hint="eastAsia" w:ascii="宋体" w:hAnsi="宋体" w:eastAsia="宋体" w:cs="宋体"/>
          <w:b w:val="0"/>
          <w:bCs/>
          <w:color w:val="auto"/>
          <w:sz w:val="24"/>
          <w:highlight w:val="none"/>
        </w:rPr>
        <w:outlineLvl w:val="0"/>
      </w:pPr>
      <w:r>
        <w:rPr>
          <w:rFonts w:hint="eastAsia" w:ascii="宋体" w:hAnsi="宋体" w:eastAsia="宋体" w:cs="宋体"/>
          <w:b w:val="0"/>
          <w:bCs/>
          <w:color w:val="auto"/>
          <w:sz w:val="24"/>
          <w:highlight w:val="none"/>
        </w:rPr>
        <w:t xml:space="preserve">《通信电源设备安装工程验收规范》YD5079-99</w:t>
      </w:r>
      <w:r/>
    </w:p>
    <w:p>
      <w:pPr>
        <w:ind w:firstLine="482"/>
        <w:spacing w:line="360" w:lineRule="auto"/>
        <w:rPr>
          <w:rFonts w:hint="eastAsia" w:ascii="宋体" w:hAnsi="宋体" w:eastAsia="宋体" w:cs="宋体"/>
          <w:b w:val="0"/>
          <w:bCs/>
          <w:color w:val="auto"/>
          <w:sz w:val="24"/>
          <w:highlight w:val="none"/>
        </w:rPr>
        <w:outlineLvl w:val="0"/>
      </w:pPr>
      <w:r>
        <w:rPr>
          <w:rFonts w:hint="eastAsia" w:ascii="宋体" w:hAnsi="宋体" w:eastAsia="宋体" w:cs="宋体"/>
          <w:b w:val="0"/>
          <w:bCs/>
          <w:color w:val="auto"/>
          <w:sz w:val="24"/>
          <w:highlight w:val="none"/>
        </w:rPr>
        <w:t xml:space="preserve">《电子计算机场地通用规范》GB/T2887-2000</w:t>
      </w:r>
      <w:r>
        <w:rPr>
          <w:rFonts w:hint="eastAsia" w:ascii="宋体" w:hAnsi="宋体" w:eastAsia="宋体" w:cs="宋体"/>
          <w:b w:val="0"/>
          <w:bCs/>
          <w:color w:val="auto"/>
          <w:sz w:val="24"/>
          <w:highlight w:val="none"/>
        </w:rPr>
        <w:tab/>
      </w:r>
      <w:r/>
    </w:p>
    <w:p>
      <w:pPr>
        <w:ind w:firstLine="482"/>
        <w:spacing w:line="360" w:lineRule="auto"/>
        <w:rPr>
          <w:rFonts w:hint="eastAsia" w:ascii="宋体" w:hAnsi="宋体" w:eastAsia="宋体" w:cs="宋体"/>
          <w:b w:val="0"/>
          <w:bCs/>
          <w:color w:val="auto"/>
          <w:sz w:val="24"/>
          <w:highlight w:val="none"/>
        </w:rPr>
        <w:outlineLvl w:val="0"/>
      </w:pPr>
      <w:r>
        <w:rPr>
          <w:rFonts w:hint="eastAsia" w:ascii="宋体" w:hAnsi="宋体" w:eastAsia="宋体" w:cs="宋体"/>
          <w:b w:val="0"/>
          <w:bCs/>
          <w:color w:val="auto"/>
          <w:sz w:val="24"/>
          <w:highlight w:val="none"/>
        </w:rPr>
        <w:t xml:space="preserve">《数据中心设计规范》GB50174-2017</w:t>
      </w:r>
      <w:r/>
    </w:p>
    <w:p>
      <w:pPr>
        <w:ind w:firstLine="482"/>
        <w:spacing w:line="360" w:lineRule="auto"/>
        <w:rPr>
          <w:rFonts w:hint="eastAsia" w:ascii="宋体" w:hAnsi="宋体" w:eastAsia="宋体" w:cs="宋体"/>
          <w:b w:val="0"/>
          <w:bCs/>
          <w:color w:val="auto"/>
          <w:sz w:val="24"/>
          <w:highlight w:val="none"/>
        </w:rPr>
        <w:outlineLvl w:val="0"/>
      </w:pPr>
      <w:r>
        <w:rPr>
          <w:rFonts w:hint="eastAsia" w:ascii="宋体" w:hAnsi="宋体" w:eastAsia="宋体" w:cs="宋体"/>
          <w:b w:val="0"/>
          <w:bCs/>
          <w:color w:val="auto"/>
          <w:sz w:val="24"/>
          <w:highlight w:val="none"/>
        </w:rPr>
        <w:t xml:space="preserve">《建筑物电子信息系统防雷技术规范》GB50343</w:t>
      </w:r>
      <w:r/>
    </w:p>
    <w:p>
      <w:pPr>
        <w:ind w:firstLine="482"/>
        <w:spacing w:line="360" w:lineRule="auto"/>
        <w:rPr>
          <w:rFonts w:hint="eastAsia" w:ascii="宋体" w:hAnsi="宋体" w:eastAsia="宋体" w:cs="宋体"/>
          <w:b w:val="0"/>
          <w:bCs/>
          <w:color w:val="auto"/>
          <w:sz w:val="24"/>
          <w:highlight w:val="none"/>
        </w:rPr>
        <w:outlineLvl w:val="0"/>
      </w:pPr>
      <w:r>
        <w:rPr>
          <w:rFonts w:hint="eastAsia" w:ascii="宋体" w:hAnsi="宋体" w:eastAsia="宋体" w:cs="宋体"/>
          <w:b w:val="0"/>
          <w:bCs/>
          <w:color w:val="auto"/>
          <w:sz w:val="24"/>
          <w:highlight w:val="none"/>
        </w:rPr>
        <w:t xml:space="preserve">《气体灭火系统设计规范》GB50370</w:t>
      </w:r>
      <w:r/>
    </w:p>
    <w:p>
      <w:pPr>
        <w:ind w:firstLine="482"/>
        <w:spacing w:line="360" w:lineRule="auto"/>
        <w:rPr>
          <w:rFonts w:hint="eastAsia" w:ascii="宋体" w:hAnsi="宋体" w:eastAsia="宋体" w:cs="宋体"/>
          <w:b w:val="0"/>
          <w:bCs/>
          <w:color w:val="auto"/>
          <w:sz w:val="24"/>
          <w:highlight w:val="none"/>
        </w:rPr>
        <w:outlineLvl w:val="0"/>
      </w:pPr>
      <w:r>
        <w:rPr>
          <w:rFonts w:hint="eastAsia" w:ascii="宋体" w:hAnsi="宋体" w:eastAsia="宋体" w:cs="宋体"/>
          <w:b w:val="0"/>
          <w:bCs/>
          <w:color w:val="auto"/>
          <w:sz w:val="24"/>
          <w:highlight w:val="none"/>
        </w:rPr>
        <w:t xml:space="preserve">《火灾自动报警系统设计规范》GB50116</w:t>
      </w:r>
      <w:r/>
    </w:p>
    <w:p>
      <w:pPr>
        <w:ind w:firstLine="482"/>
        <w:spacing w:line="360" w:lineRule="auto"/>
        <w:rPr>
          <w:rFonts w:hint="eastAsia" w:ascii="宋体" w:hAnsi="宋体" w:eastAsia="宋体" w:cs="宋体"/>
          <w:b w:val="0"/>
          <w:bCs/>
          <w:color w:val="auto"/>
          <w:sz w:val="24"/>
          <w:highlight w:val="none"/>
        </w:rPr>
        <w:outlineLvl w:val="0"/>
      </w:pPr>
      <w:r>
        <w:rPr>
          <w:rFonts w:hint="eastAsia" w:ascii="宋体" w:hAnsi="宋体" w:eastAsia="宋体" w:cs="宋体"/>
          <w:b w:val="0"/>
          <w:bCs/>
          <w:color w:val="auto"/>
          <w:sz w:val="24"/>
          <w:highlight w:val="none"/>
        </w:rPr>
        <w:t xml:space="preserve">《建筑灭火器配置设计规范》GB50140</w:t>
      </w:r>
      <w:r/>
    </w:p>
    <w:p>
      <w:pPr>
        <w:ind w:firstLine="482"/>
        <w:spacing w:line="360" w:lineRule="auto"/>
        <w:rPr>
          <w:rFonts w:hint="eastAsia" w:ascii="宋体" w:hAnsi="宋体" w:eastAsia="宋体" w:cs="宋体"/>
          <w:b w:val="0"/>
          <w:bCs/>
          <w:color w:val="auto"/>
          <w:sz w:val="24"/>
          <w:highlight w:val="none"/>
        </w:rPr>
        <w:outlineLvl w:val="0"/>
      </w:pPr>
      <w:r>
        <w:rPr>
          <w:rFonts w:hint="eastAsia" w:ascii="宋体" w:hAnsi="宋体" w:eastAsia="宋体" w:cs="宋体"/>
          <w:b w:val="0"/>
          <w:bCs/>
          <w:color w:val="auto"/>
          <w:sz w:val="24"/>
          <w:highlight w:val="none"/>
        </w:rPr>
        <w:t xml:space="preserve">《通信用电源设备抗地震性能检测暂行规定》YD5096-2000</w:t>
      </w:r>
      <w:r/>
    </w:p>
    <w:p>
      <w:pPr>
        <w:ind w:firstLine="482"/>
        <w:spacing w:line="360" w:lineRule="auto"/>
        <w:rPr>
          <w:rFonts w:hint="eastAsia" w:ascii="宋体" w:hAnsi="宋体" w:eastAsia="宋体" w:cs="宋体"/>
          <w:b w:val="0"/>
          <w:bCs/>
          <w:color w:val="auto"/>
          <w:sz w:val="24"/>
          <w:highlight w:val="none"/>
        </w:rPr>
        <w:outlineLvl w:val="0"/>
      </w:pPr>
      <w:r>
        <w:rPr>
          <w:rFonts w:hint="eastAsia" w:ascii="宋体" w:hAnsi="宋体" w:eastAsia="宋体" w:cs="宋体"/>
          <w:b w:val="0"/>
          <w:bCs/>
          <w:color w:val="auto"/>
          <w:sz w:val="24"/>
          <w:highlight w:val="none"/>
        </w:rPr>
        <w:t xml:space="preserve">本技术规范书提出的是最低限度的技术要求，并未对所有技术细节及标准规范做出规定，投标方应保证供货设备是符合行业规范和标准的优质产品。如投标方使用的标准与招标方规定标准不一致，按照较高标准执行。还应遵循现行的其它国家、行业以及地方相关标准和规范要求，实施期间有最新标准的将采用最新标准执行。</w:t>
      </w:r>
      <w:r/>
    </w:p>
    <w:p>
      <w:pPr>
        <w:pStyle w:val="1595"/>
        <w:ind w:left="0" w:firstLine="480"/>
        <w:keepLines w:val="0"/>
        <w:keepNext w:val="0"/>
        <w:pageBreakBefore w:val="0"/>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项目所属行业：其他未列明行业</w:t>
      </w:r>
      <w:r>
        <w:rPr>
          <w:rFonts w:hint="eastAsia" w:ascii="宋体" w:hAnsi="宋体" w:eastAsia="宋体" w:cs="Times New Roman"/>
          <w:color w:val="auto"/>
          <w:sz w:val="24"/>
          <w:highlight w:val="none"/>
          <w:lang w:val="en-US" w:eastAsia="zh-CN"/>
        </w:rPr>
        <w:t xml:space="preserve"> </w:t>
      </w:r>
      <w:r>
        <w:rPr>
          <w:rFonts w:hint="eastAsia" w:ascii="宋体" w:hAnsi="宋体" w:eastAsia="宋体" w:cs="宋体"/>
          <w:b w:val="0"/>
          <w:bCs/>
          <w:color w:val="auto"/>
          <w:sz w:val="24"/>
          <w:highlight w:val="none"/>
          <w:lang w:val="en-US" w:eastAsia="zh-CN"/>
        </w:rPr>
      </w:r>
      <w:r/>
    </w:p>
    <w:p>
      <w:pPr>
        <w:contextualSpacing/>
        <w:ind w:firstLine="426"/>
        <w:spacing w:line="360" w:lineRule="auto"/>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项目预算：人民币</w:t>
      </w:r>
      <w:r>
        <w:rPr>
          <w:rFonts w:hint="eastAsia" w:ascii="宋体" w:hAnsi="宋体" w:eastAsia="宋体" w:cs="Times New Roman"/>
          <w:b/>
          <w:bCs/>
          <w:color w:val="auto"/>
          <w:sz w:val="24"/>
          <w:highlight w:val="none"/>
          <w:lang w:val="en-US" w:eastAsia="zh-CN"/>
        </w:rPr>
        <w:t xml:space="preserve">50.00</w:t>
      </w:r>
      <w:r>
        <w:rPr>
          <w:rFonts w:hint="eastAsia" w:ascii="宋体" w:hAnsi="宋体" w:eastAsia="宋体" w:cs="Times New Roman"/>
          <w:b/>
          <w:bCs/>
          <w:color w:val="auto"/>
          <w:sz w:val="24"/>
          <w:highlight w:val="none"/>
        </w:rPr>
        <w:t xml:space="preserve">万元</w:t>
      </w:r>
      <w:r/>
    </w:p>
    <w:p>
      <w:pPr>
        <w:ind w:firstLine="482"/>
        <w:spacing w:line="360" w:lineRule="auto"/>
        <w:rPr>
          <w:rFonts w:hint="eastAsia" w:ascii="宋体" w:hAnsi="宋体" w:eastAsia="宋体" w:cs="宋体"/>
          <w:color w:val="auto"/>
          <w:sz w:val="24"/>
          <w:highlight w:val="none"/>
        </w:rPr>
        <w:outlineLvl w:val="0"/>
      </w:pPr>
      <w:r>
        <w:rPr>
          <w:rFonts w:hint="eastAsia" w:ascii="宋体" w:hAnsi="宋体" w:eastAsia="宋体" w:cs="宋体"/>
          <w:b/>
          <w:color w:val="auto"/>
          <w:sz w:val="24"/>
          <w:highlight w:val="none"/>
        </w:rPr>
        <w:t xml:space="preserve">二、项目技术要求</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服务指标清单</w:t>
      </w:r>
      <w:r/>
    </w:p>
    <w:tbl>
      <w:tblPr>
        <w:tblStyle w:val="1582"/>
        <w:tblW w:w="501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10"/>
        <w:gridCol w:w="2616"/>
        <w:gridCol w:w="1735"/>
        <w:gridCol w:w="784"/>
        <w:gridCol w:w="697"/>
        <w:gridCol w:w="1966"/>
      </w:tblGrid>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6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06"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技术规格</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6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6"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机房动力环境监控服务</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6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6"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机房消防服务</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44"/>
        </w:trPr>
        <w:tc>
          <w:tcPr>
            <w:shd w:val="clear" w:color="auto" w:fill="auto"/>
            <w:tcBorders>
              <w:top w:val="single" w:color="000000" w:sz="4" w:space="0"/>
              <w:left w:val="single" w:color="000000" w:sz="4" w:space="0"/>
              <w:bottom w:val="single" w:color="000000" w:sz="4" w:space="0"/>
              <w:right w:val="single" w:color="000000" w:sz="4" w:space="0"/>
            </w:tcBorders>
            <w:tcW w:w="768"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6"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机房环境综合提升服务</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6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6"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机房一体化集成服务</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768"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06" w:type="pct"/>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培训服务</w:t>
            </w:r>
            <w:r/>
          </w:p>
        </w:tc>
        <w:tc>
          <w:tcPr>
            <w:shd w:val="clear" w:color="auto" w:fill="auto"/>
            <w:tcBorders>
              <w:top w:val="single" w:color="000000" w:sz="4" w:space="0"/>
              <w:left w:val="single" w:color="000000" w:sz="4" w:space="0"/>
              <w:bottom w:val="single" w:color="000000" w:sz="4" w:space="0"/>
              <w:right w:val="single" w:color="000000" w:sz="4" w:space="0"/>
            </w:tcBorders>
            <w:tcW w:w="94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详见技术要求</w:t>
            </w:r>
            <w:r/>
          </w:p>
        </w:tc>
        <w:tc>
          <w:tcPr>
            <w:shd w:val="clear" w:color="auto" w:fill="auto"/>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三、技术服务说明</w:t>
      </w:r>
      <w:r/>
    </w:p>
    <w:p>
      <w:pPr>
        <w:pStyle w:val="1578"/>
        <w:spacing w:before="0"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宋体" w:hAnsi="宋体" w:eastAsia="宋体" w:cs="宋体"/>
          <w:i w:val="0"/>
          <w:iCs w:val="0"/>
          <w:color w:val="auto"/>
          <w:sz w:val="22"/>
          <w:szCs w:val="22"/>
          <w:highlight w:val="none"/>
          <w:u w:val="none"/>
          <w:lang w:val="en-US" w:eastAsia="zh-CN" w:bidi="ar"/>
        </w:rPr>
        <w:t xml:space="preserve">机房动力环境监控服务</w:t>
      </w:r>
      <w:r/>
    </w:p>
    <w:tbl>
      <w:tblPr>
        <w:tblStyle w:val="158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5"/>
        <w:gridCol w:w="542"/>
        <w:gridCol w:w="647"/>
        <w:gridCol w:w="4251"/>
        <w:gridCol w:w="3075"/>
      </w:tblGrid>
      <w:tr>
        <w:trPr>
          <w:trHeight w:val="600"/>
        </w:trPr>
        <w:tc>
          <w:tcPr>
            <w:shd w:val="clear" w:color="auto" w:fill="e3e3e3"/>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实质性指标</w:t>
            </w:r>
            <w:r/>
          </w:p>
        </w:tc>
        <w:tc>
          <w:tcPr>
            <w:shd w:val="clear" w:color="auto" w:fill="e3e3e3"/>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重要指标</w:t>
            </w:r>
            <w:r/>
          </w:p>
        </w:tc>
        <w:tc>
          <w:tcPr>
            <w:shd w:val="clear" w:color="auto" w:fill="e3e3e3"/>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一般指标</w:t>
            </w:r>
            <w:r/>
          </w:p>
        </w:tc>
        <w:tc>
          <w:tcPr>
            <w:shd w:val="clear" w:color="auto" w:fill="e3e3e3"/>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详细技术要求</w:t>
            </w:r>
            <w:r/>
          </w:p>
        </w:tc>
        <w:tc>
          <w:tcPr>
            <w:shd w:val="clear" w:color="auto" w:fill="e3e3e3"/>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rPr>
              <w:t xml:space="preserve">备注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环境要求：工作温度:-20℃~+60℃，存储温度:-40℃~+60℃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电源要求：功率要求:直流输出总功率&gt;24W，待机功率≤20W，12V输出端子数&gt;4路，其中2路应具备硬复位功能，且每路输出功率&gt;7.2W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接口数量：FSU 应具备设备供电接口1个，供电电压检测接口(位于通信服务模块)1个,RS-485/232 通用接口4个、RS-485 接口4个、AI接囗8个、DI接口16个，D0 口4个、RJ45 口4个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动环监控系统主平台软件1套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数字化温、湿度传感器1套，测量精度要求：温度±1℃，湿度±5%RH(环境温度为20℃~25℃、湿度范围为 30%RH~80%RH)，其他±10%RH。</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红外微波双鉴传感器1套，探测距离 8m，探测角度 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具备以 GB 10408.6-2009《微波和被动红外复合入侵探测器》为检测依据的检测报告。</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蓄电池单体监测模块1套，用于蓄电池单体监测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192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光电感烟火灾探测器（烟雾探测器）1套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须具备国家消防电子产品质量监督检验中心的型式检验报告,公安部消防产品合格评定中心出具的中国国家强制性产品认证证书。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水浸控制器1套，用于基站内单点漏水情况监测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strike w:val="0"/>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监测机房温湿度、烟雾；监测UPS电池电压、温度、内阻，设置报警功能，按周、月、年存储数据，形成数据库提供查询分析。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578"/>
        <w:spacing w:before="0"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2机房消防服务</w:t>
      </w:r>
      <w:r/>
    </w:p>
    <w:tbl>
      <w:tblPr>
        <w:tblStyle w:val="158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0"/>
        <w:gridCol w:w="641"/>
        <w:gridCol w:w="819"/>
        <w:gridCol w:w="6422"/>
        <w:gridCol w:w="518"/>
      </w:tblGrid>
      <w:tr>
        <w:trPr>
          <w:trHeight w:val="600"/>
        </w:trPr>
        <w:tc>
          <w:tcPr>
            <w:shd w:val="clear" w:color="auto" w:fill="e3e3e3"/>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实质性指标</w:t>
            </w:r>
            <w:r/>
          </w:p>
        </w:tc>
        <w:tc>
          <w:tcPr>
            <w:shd w:val="clear" w:color="auto" w:fill="e3e3e3"/>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重要指标</w:t>
            </w:r>
            <w:r/>
          </w:p>
        </w:tc>
        <w:tc>
          <w:tcPr>
            <w:shd w:val="clear" w:color="auto" w:fill="e3e3e3"/>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一般指标</w:t>
            </w:r>
            <w:r/>
          </w:p>
        </w:tc>
        <w:tc>
          <w:tcPr>
            <w:shd w:val="clear" w:color="auto" w:fill="e3e3e3"/>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详细技术要求</w:t>
            </w:r>
            <w:r/>
          </w:p>
        </w:tc>
        <w:tc>
          <w:tcPr>
            <w:shd w:val="clear" w:color="auto" w:fill="e3e3e3"/>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default"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备注</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感烟探测器1套，电子编码、无极性二总线，顶进烟、后向探测技术，有效探测“黑烟”、“白烟”，360°可视状态指示等，巡检时闪亮、报警时常亮，含底座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感温探测器2套，电子编码、无极性二总线，胶封感温探测原件，有效防潮防湿，360°可视状态指示等，巡检时闪亮、报警时常亮，含底座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声光报警器2只，电子编码、无极性二总线，无需额外的24V供电，支持火警声、嘀嘀两种音调模式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紧急启停按钮1只，电子编码、无极性二总线，无需外接电源，1组紧急启停按钮，1组手自动转换开关，专用钥匙复位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气体释放报警器1只，电子编码、无极性二总线，无需外接电源，ABS壳体，监视电流≤0.3mA，动作电流≤30mA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气体灭火控制器1台，单区、无极性二总线，模块化分区设计、操作简单快捷，电磁阀控制输出最大电流2A，双重保护控制电路，有效防止误喷，1个回路、128点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输入输出模块2只，电子编码、无极性二总线，无需额外的24V供电，可配置电平输出和脉冲输出，监视电流≤500uA，动作电流≤60mA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总线隔离器1只，自动保护、不占用回路地址，20ms极速保护，故障排除后自动恢复，监视电流≤2mA、动作电流≤6mA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手动报警按钮1只，电子编码、无极性二总线，插拔式结构设计，黑色启动指示线，监视电流≤440uA、动作电流≤1.5mA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柜式七氟丙烷装置1套，含：灭火剂贮存瓶组、瓶头阀、压力讯号器、高压软管、喷嘴、箱体，贮存压力2.5MPa、最大工作压力4.2MPa，充装灭火剂59kg，灭火剂环保、洁净、灭火效能高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泄压装置1套，机械式，外形尺寸：360*360，安装孔：300*300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管线辅材1套，KBG20、ZR-RVS2*1.5、NH-BV1.5、NH-BV2.5，配线盒、锁母、直接等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警示标牌1套，金属定制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空气呼吸器1套，碳纤维瓶体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strike w:val="0"/>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火灾探测布局设计方案及气体灭火系统解决方案，满足机房防护区密闭要求、且系统启动逻辑清晰、可有效扑灭初期火灾。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159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578"/>
        <w:spacing w:before="0"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3机房环境综合提升服务</w:t>
      </w:r>
      <w:r/>
    </w:p>
    <w:tbl>
      <w:tblPr>
        <w:tblStyle w:val="158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40"/>
        <w:gridCol w:w="1035"/>
        <w:gridCol w:w="1035"/>
        <w:gridCol w:w="5255"/>
        <w:gridCol w:w="625"/>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实质性指标</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重要指标</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一般指标</w:t>
            </w:r>
            <w:r/>
          </w:p>
        </w:tc>
        <w:tc>
          <w:tcPr>
            <w:shd w:val="clear" w:color="auto" w:fill="auto"/>
            <w:tcBorders>
              <w:top w:val="single" w:color="000000" w:sz="4" w:space="0"/>
              <w:left w:val="single" w:color="000000" w:sz="4" w:space="0"/>
              <w:bottom w:val="single" w:color="000000" w:sz="4" w:space="0"/>
              <w:right w:val="single" w:color="000000" w:sz="4" w:space="0"/>
            </w:tcBorders>
            <w:tcW w:w="5632"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详细技术要求</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rPr>
              <w:t xml:space="preserve">备注</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rPr>
                <w:rFonts w:hint="default" w:ascii="宋体" w:hAnsi="宋体" w:eastAsia="宋体" w:cs="宋体"/>
                <w:i w:val="0"/>
                <w:iCs w:val="0"/>
                <w:color w:val="auto"/>
                <w:sz w:val="22"/>
                <w:szCs w:val="22"/>
                <w:highlight w:val="none"/>
                <w:u w:val="none"/>
                <w:lang w:val="en-US" w:eastAsia="zh-CN"/>
              </w:rPr>
            </w:pPr>
            <w:r>
              <w:rPr>
                <w:rFonts w:hint="default"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rPr>
              <w:t xml:space="preserve">△</w:t>
            </w:r>
            <w:r>
              <w:rPr>
                <w:rFonts w:hint="eastAsia" w:ascii="宋体" w:hAnsi="宋体" w:cs="宋体"/>
                <w:strike w:val="0"/>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2" w:type="pct"/>
            <w:vAlign w:val="center"/>
            <w:textDirection w:val="lrTb"/>
            <w:noWrap w:val="false"/>
          </w:tcPr>
          <w:p>
            <w:pPr>
              <w:jc w:val="center"/>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1、对机房进行区域优化整合，线缆桥架规范化整理等专项措施落实。</w:t>
            </w:r>
            <w:r/>
          </w:p>
        </w:tc>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159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578"/>
        <w:spacing w:before="0"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4 UPS设备更换调测服务</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ab/>
      </w:r>
      <w:r/>
    </w:p>
    <w:tbl>
      <w:tblPr>
        <w:tblStyle w:val="1582"/>
        <w:tblW w:w="979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3"/>
        <w:gridCol w:w="638"/>
        <w:gridCol w:w="817"/>
        <w:gridCol w:w="7015"/>
        <w:gridCol w:w="627"/>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实质性指标</w:t>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重要指标</w:t>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一般指标</w:t>
            </w:r>
            <w:r/>
          </w:p>
        </w:tc>
        <w:tc>
          <w:tcPr>
            <w:shd w:val="clear" w:color="auto" w:fill="auto"/>
            <w:tcBorders>
              <w:top w:val="single" w:color="000000" w:sz="4" w:space="0"/>
              <w:left w:val="single" w:color="000000" w:sz="4" w:space="0"/>
              <w:bottom w:val="single" w:color="000000" w:sz="4" w:space="0"/>
              <w:right w:val="single" w:color="000000" w:sz="4" w:space="0"/>
            </w:tcBorders>
            <w:tcW w:w="701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详细技术要求</w:t>
            </w:r>
            <w:r/>
          </w:p>
        </w:tc>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rPr>
              <w:t xml:space="preserve">备注</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rPr>
              <w:t xml:space="preserve">△</w:t>
            </w:r>
            <w:r>
              <w:rPr>
                <w:rFonts w:hint="eastAsia" w:ascii="宋体" w:hAnsi="宋体" w:cs="宋体"/>
                <w:strike w:val="0"/>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15" w:type="dxa"/>
            <w:vAlign w:val="center"/>
            <w:textDirection w:val="lrTb"/>
            <w:noWrap w:val="false"/>
          </w:tcPr>
          <w:p>
            <w:pPr>
              <w:jc w:val="center"/>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对机房原UPS及电池设备拆除、新UPS及电池设备安装调测，以及系统割接方案，系统保障方案，大型设备物资进出场方案。</w:t>
            </w:r>
            <w:r/>
          </w:p>
        </w:tc>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159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578"/>
        <w:spacing w:before="0" w:after="0"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培训</w:t>
      </w:r>
      <w:r>
        <w:rPr>
          <w:rFonts w:hint="eastAsia" w:asciiTheme="minorEastAsia" w:hAnsiTheme="minorEastAsia" w:eastAsiaTheme="minorEastAsia" w:cstheme="minorEastAsia"/>
          <w:color w:val="auto"/>
          <w:sz w:val="24"/>
          <w:szCs w:val="24"/>
          <w:highlight w:val="none"/>
        </w:rPr>
        <w:t xml:space="preserve"> </w:t>
      </w:r>
      <w:r/>
    </w:p>
    <w:tbl>
      <w:tblPr>
        <w:tblStyle w:val="1582"/>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82"/>
        <w:gridCol w:w="718"/>
        <w:gridCol w:w="794"/>
        <w:gridCol w:w="5903"/>
        <w:gridCol w:w="893"/>
      </w:tblGrid>
      <w:tr>
        <w:trPr>
          <w:trHeight w:val="630"/>
        </w:trPr>
        <w:tc>
          <w:tcPr>
            <w:shd w:val="clear" w:color="000000" w:fill="e3e3e3"/>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 xml:space="preserve">实质性指标</w:t>
            </w:r>
            <w:r/>
          </w:p>
        </w:tc>
        <w:tc>
          <w:tcPr>
            <w:shd w:val="clear" w:color="000000" w:fill="e3e3e3"/>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 xml:space="preserve">重要指标</w:t>
            </w:r>
            <w:r/>
          </w:p>
        </w:tc>
        <w:tc>
          <w:tcPr>
            <w:shd w:val="clear" w:color="000000" w:fill="e3e3e3"/>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 xml:space="preserve">一般指标</w:t>
            </w:r>
            <w:r/>
          </w:p>
        </w:tc>
        <w:tc>
          <w:tcPr>
            <w:shd w:val="clear" w:color="000000" w:fill="e3e3e3"/>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 xml:space="preserve">详细技术要求</w:t>
            </w:r>
            <w:r/>
          </w:p>
        </w:tc>
        <w:tc>
          <w:tcPr>
            <w:shd w:val="clear" w:color="000000" w:fill="e3e3e3"/>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 xml:space="preserve">证明材料要求</w:t>
            </w:r>
            <w:r/>
          </w:p>
        </w:tc>
      </w:tr>
      <w:tr>
        <w:trPr>
          <w:trHeight w:val="1080"/>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提供UPS系统、气体灭火、机房环境系统操作技能培训，要求理论结合实际，通过案例分析，使得培训人员充分了解各系统的基本操作技能。</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tcPr>
          <w:p>
            <w:pPr>
              <w:jc w:val="left"/>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0" w:type="auto"/>
            <w:vAlign w:val="bottom"/>
            <w:textDirection w:val="lrTb"/>
            <w:noWrap/>
          </w:tcPr>
          <w:p>
            <w:pPr>
              <w:jc w:val="left"/>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tcPr>
          <w:p>
            <w:pPr>
              <w:jc w:val="left"/>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strike w:val="0"/>
                <w:color w:val="auto"/>
                <w:sz w:val="24"/>
                <w:szCs w:val="24"/>
                <w:highlight w:val="none"/>
                <w:lang w:eastAsia="zh-CN"/>
              </w:rPr>
            </w:pPr>
            <w:r>
              <w:rPr>
                <w:rFonts w:hint="eastAsia" w:ascii="宋体" w:hAnsi="宋体" w:eastAsia="宋体" w:cs="宋体"/>
                <w:strike w:val="0"/>
                <w:color w:val="auto"/>
                <w:sz w:val="24"/>
                <w:szCs w:val="24"/>
                <w:highlight w:val="none"/>
              </w:rPr>
              <w:t xml:space="preserve">△</w:t>
            </w:r>
            <w:r>
              <w:rPr>
                <w:rFonts w:hint="eastAsia" w:ascii="宋体" w:hAnsi="宋体" w:cs="宋体"/>
                <w:strike w:val="0"/>
                <w:color w:val="auto"/>
                <w:sz w:val="24"/>
                <w:szCs w:val="24"/>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提供各系统故障应急操作的培训，可以提高员工的应急安全意识，减少内部安全事故的发生。</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tcPr>
          <w:p>
            <w:pPr>
              <w:jc w:val="left"/>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bottom"/>
            <w:textDirection w:val="lrTb"/>
            <w:noWrap/>
          </w:tcPr>
          <w:p>
            <w:pPr>
              <w:jc w:val="left"/>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0" w:type="auto"/>
            <w:vAlign w:val="bottom"/>
            <w:textDirection w:val="lrTb"/>
            <w:noWrap/>
          </w:tcPr>
          <w:p>
            <w:pPr>
              <w:jc w:val="left"/>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strike w:val="0"/>
                <w:color w:val="auto"/>
                <w:sz w:val="24"/>
                <w:szCs w:val="24"/>
                <w:highlight w:val="none"/>
                <w:lang w:eastAsia="zh-CN"/>
              </w:rPr>
            </w:pPr>
            <w:r>
              <w:rPr>
                <w:rFonts w:hint="eastAsia" w:ascii="宋体" w:hAnsi="宋体" w:eastAsia="宋体" w:cs="宋体"/>
                <w:strike w:val="0"/>
                <w:color w:val="auto"/>
                <w:sz w:val="24"/>
                <w:szCs w:val="24"/>
                <w:highlight w:val="none"/>
              </w:rPr>
              <w:t xml:space="preserve">△</w:t>
            </w:r>
            <w:r>
              <w:rPr>
                <w:rFonts w:hint="eastAsia" w:ascii="宋体" w:hAnsi="宋体" w:cs="宋体"/>
                <w:strike w:val="0"/>
                <w:color w:val="auto"/>
                <w:sz w:val="24"/>
                <w:szCs w:val="24"/>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按照镇江市公安局要求，提供其他培训服务。</w:t>
            </w:r>
            <w:r/>
          </w:p>
        </w:tc>
        <w:tc>
          <w:tcPr>
            <w:tcBorders>
              <w:top w:val="single" w:color="auto" w:sz="4" w:space="0"/>
              <w:left w:val="none" w:color="000000" w:sz="4" w:space="0"/>
              <w:bottom w:val="single" w:color="auto" w:sz="4" w:space="0"/>
              <w:right w:val="single" w:color="auto" w:sz="4" w:space="0"/>
            </w:tcBorders>
            <w:tcW w:w="0" w:type="auto"/>
            <w:vAlign w:val="bottom"/>
            <w:textDirection w:val="lrTb"/>
            <w:noWrap/>
          </w:tcPr>
          <w:p>
            <w:pPr>
              <w:jc w:val="left"/>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r>
            <w:r/>
          </w:p>
        </w:tc>
      </w:tr>
    </w:tbl>
    <w:p>
      <w:pPr>
        <w:rPr>
          <w:rFonts w:hint="eastAsia"/>
          <w:color w:val="auto"/>
          <w:highlight w:val="none"/>
        </w:rPr>
      </w:pPr>
      <w:r/>
      <w:bookmarkStart w:id="72" w:name="_Toc19537"/>
      <w:r/>
      <w:r/>
    </w:p>
    <w:p>
      <w:pPr>
        <w:pStyle w:val="1577"/>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四.工期要求 </w:t>
      </w:r>
      <w:r/>
    </w:p>
    <w:p>
      <w:pPr>
        <w:pStyle w:val="1578"/>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4.1项目工期要求 </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合同签订后60个日历天内完成全部设备供货、安装、调试等工作。 </w:t>
      </w:r>
      <w:r>
        <w:rPr>
          <w:rFonts w:hint="eastAsia" w:ascii="宋体" w:hAnsi="宋体" w:eastAsia="宋体" w:cs="宋体"/>
          <w:color w:val="auto"/>
          <w:sz w:val="24"/>
          <w:szCs w:val="24"/>
          <w:highlight w:val="none"/>
        </w:rPr>
        <w:t xml:space="preserve"> </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完成上述工作后，经双方确认后进入</w:t>
      </w:r>
      <w:r>
        <w:rPr>
          <w:rFonts w:hint="eastAsia" w:ascii="宋体" w:hAnsi="宋体" w:eastAsia="宋体" w:cs="宋体"/>
          <w:color w:val="auto"/>
          <w:sz w:val="24"/>
          <w:szCs w:val="24"/>
          <w:highlight w:val="none"/>
        </w:rPr>
        <w:t xml:space="preserve">试运行阶段，试运行</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天后进行</w:t>
      </w:r>
      <w:r>
        <w:rPr>
          <w:rFonts w:hint="eastAsia" w:ascii="宋体" w:hAnsi="宋体" w:cs="宋体"/>
          <w:color w:val="auto"/>
          <w:sz w:val="24"/>
          <w:szCs w:val="24"/>
          <w:highlight w:val="none"/>
          <w:lang w:val="en-US" w:eastAsia="zh-CN"/>
        </w:rPr>
        <w:t xml:space="preserve">初验</w:t>
      </w:r>
      <w:r>
        <w:rPr>
          <w:rFonts w:hint="eastAsia" w:ascii="宋体" w:hAnsi="宋体" w:eastAsia="宋体" w:cs="宋体"/>
          <w:color w:val="auto"/>
          <w:sz w:val="24"/>
          <w:szCs w:val="24"/>
          <w:highlight w:val="none"/>
        </w:rPr>
        <w:t xml:space="preserve">。</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初验后，对验收中指出的相关问题进行整改，经双方确认整改完毕后，可进行终验，终验通过</w:t>
      </w:r>
      <w:r>
        <w:rPr>
          <w:rFonts w:hint="eastAsia" w:ascii="宋体" w:hAnsi="宋体" w:eastAsia="宋体" w:cs="宋体"/>
          <w:color w:val="auto"/>
          <w:sz w:val="24"/>
          <w:szCs w:val="24"/>
          <w:highlight w:val="none"/>
        </w:rPr>
        <w:t xml:space="preserve">后正式运行进入维保期。</w:t>
      </w:r>
      <w:r/>
    </w:p>
    <w:p>
      <w:pPr>
        <w:pStyle w:val="1578"/>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4.2</w:t>
      </w:r>
      <w:r>
        <w:rPr>
          <w:rFonts w:hint="eastAsia" w:ascii="宋体" w:hAnsi="宋体" w:eastAsia="宋体" w:cs="宋体"/>
          <w:b w:val="0"/>
          <w:color w:val="auto"/>
          <w:sz w:val="24"/>
          <w:szCs w:val="24"/>
          <w:highlight w:val="none"/>
        </w:rPr>
        <w:t xml:space="preserve">项目</w:t>
      </w:r>
      <w:r>
        <w:rPr>
          <w:rFonts w:hint="eastAsia" w:ascii="宋体" w:hAnsi="宋体" w:eastAsia="宋体" w:cs="宋体"/>
          <w:b w:val="0"/>
          <w:color w:val="auto"/>
          <w:sz w:val="24"/>
          <w:szCs w:val="24"/>
          <w:highlight w:val="none"/>
        </w:rPr>
        <w:t xml:space="preserve">成员要求</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供应商须为本项目配备专业的项目实施团队，确保本项目能顺利履约。项目实施团队至少包括项目负责人、技术负责人等。拟投入的</w:t>
      </w:r>
      <w:r>
        <w:rPr>
          <w:rFonts w:hint="eastAsia" w:ascii="宋体" w:hAnsi="宋体" w:cs="宋体"/>
          <w:b w:val="0"/>
          <w:color w:val="auto"/>
          <w:sz w:val="24"/>
          <w:highlight w:val="none"/>
          <w:lang w:eastAsia="zh-CN" w:bidi="mn-Mong-CN"/>
        </w:rPr>
        <w:t xml:space="preserve">项目负责人</w:t>
      </w:r>
      <w:r>
        <w:rPr>
          <w:rFonts w:hint="eastAsia" w:ascii="宋体" w:hAnsi="宋体" w:cs="宋体"/>
          <w:b w:val="0"/>
          <w:color w:val="auto"/>
          <w:sz w:val="24"/>
          <w:highlight w:val="none"/>
          <w:lang w:bidi="mn-Mong-CN"/>
        </w:rPr>
        <w:t xml:space="preserve">具备</w:t>
      </w:r>
      <w:r>
        <w:rPr>
          <w:rFonts w:hint="eastAsia" w:ascii="宋体" w:hAnsi="宋体" w:eastAsia="宋体" w:cs="宋体"/>
          <w:color w:val="auto"/>
          <w:sz w:val="24"/>
          <w:szCs w:val="24"/>
          <w:highlight w:val="none"/>
        </w:rPr>
        <w:t xml:space="preserve">机电工程类二级建造师证书</w:t>
      </w:r>
      <w:r>
        <w:rPr>
          <w:rFonts w:hint="eastAsia" w:ascii="宋体" w:hAnsi="宋体" w:eastAsia="宋体" w:cs="宋体"/>
          <w:color w:val="auto"/>
          <w:sz w:val="24"/>
          <w:szCs w:val="24"/>
          <w:highlight w:val="none"/>
          <w:lang w:eastAsia="zh-CN"/>
        </w:rPr>
        <w:t xml:space="preserve">，中级职称</w:t>
      </w:r>
      <w:r>
        <w:rPr>
          <w:rFonts w:hint="eastAsia" w:ascii="宋体" w:hAnsi="宋体" w:cs="宋体"/>
          <w:b w:val="0"/>
          <w:color w:val="auto"/>
          <w:sz w:val="24"/>
          <w:highlight w:val="none"/>
          <w:lang w:bidi="mn-Mong-CN"/>
        </w:rPr>
        <w:t xml:space="preserve">证书</w:t>
      </w:r>
      <w:r>
        <w:rPr>
          <w:rFonts w:hint="eastAsia" w:ascii="宋体" w:hAnsi="宋体" w:cs="宋体"/>
          <w:b w:val="0"/>
          <w:color w:val="auto"/>
          <w:sz w:val="24"/>
          <w:highlight w:val="none"/>
          <w:lang w:eastAsia="zh-CN" w:bidi="mn-Mong-CN"/>
        </w:rPr>
        <w:t xml:space="preserve">；</w:t>
      </w:r>
      <w:r>
        <w:rPr>
          <w:rFonts w:hint="eastAsia" w:ascii="宋体" w:hAnsi="宋体" w:cs="宋体"/>
          <w:color w:val="auto"/>
          <w:sz w:val="24"/>
          <w:szCs w:val="24"/>
          <w:highlight w:val="none"/>
          <w:lang w:val="en-US" w:eastAsia="zh-CN"/>
        </w:rPr>
        <w:t xml:space="preserve">拟投入的项目团队成员（项目负责人除外）具有电工证、安全员证。</w:t>
      </w:r>
      <w:r/>
    </w:p>
    <w:p>
      <w:pPr>
        <w:pStyle w:val="1577"/>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★五.实施及验收要求 </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提供详细的设计方案，由于方案表示不清、不全而造成的损失，由中标方负责。待采购人认可后方可进行后续施工。投标人需要对监理工作提供必要的支持。投标人应配合采购人以及项目监理组的工作人员参与设备的测试、安装、调试、故障诊断等各项工作。</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2.中标方在项目建设过程中，安装调试等工作所需的设备需自行配备，并按照招标方的所有安全管理规定执行。</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试运行</w:t>
      </w:r>
      <w:r>
        <w:rPr>
          <w:rFonts w:hint="eastAsia" w:ascii="宋体" w:hAnsi="宋体" w:eastAsia="宋体" w:cs="宋体"/>
          <w:color w:val="auto"/>
          <w:sz w:val="24"/>
          <w:szCs w:val="24"/>
          <w:highlight w:val="none"/>
        </w:rPr>
        <w:t xml:space="preserve">：安装调试部署等完成后，投标人认为项目具备</w:t>
      </w:r>
      <w:r>
        <w:rPr>
          <w:rFonts w:hint="eastAsia" w:ascii="宋体" w:hAnsi="宋体" w:cs="宋体"/>
          <w:color w:val="auto"/>
          <w:sz w:val="24"/>
          <w:szCs w:val="24"/>
          <w:highlight w:val="none"/>
          <w:lang w:val="en-US" w:eastAsia="zh-CN"/>
        </w:rPr>
        <w:t xml:space="preserve">试运行</w:t>
      </w:r>
      <w:r>
        <w:rPr>
          <w:rFonts w:hint="eastAsia" w:ascii="宋体" w:hAnsi="宋体" w:eastAsia="宋体" w:cs="宋体"/>
          <w:color w:val="auto"/>
          <w:sz w:val="24"/>
          <w:szCs w:val="24"/>
          <w:highlight w:val="none"/>
        </w:rPr>
        <w:t xml:space="preserve">条件，并符合镇江市公安局</w:t>
      </w:r>
      <w:r>
        <w:rPr>
          <w:rFonts w:hint="eastAsia" w:ascii="宋体" w:hAnsi="宋体" w:cs="宋体"/>
          <w:color w:val="auto"/>
          <w:sz w:val="24"/>
          <w:szCs w:val="24"/>
          <w:highlight w:val="none"/>
          <w:lang w:val="en-US" w:eastAsia="zh-CN"/>
        </w:rPr>
        <w:t xml:space="preserve">项目管理相关规定的</w:t>
      </w:r>
      <w:r>
        <w:rPr>
          <w:rFonts w:hint="eastAsia" w:ascii="宋体" w:hAnsi="宋体" w:eastAsia="宋体" w:cs="宋体"/>
          <w:color w:val="auto"/>
          <w:sz w:val="24"/>
          <w:szCs w:val="24"/>
          <w:highlight w:val="none"/>
        </w:rPr>
        <w:t xml:space="preserve">，应</w:t>
      </w:r>
      <w:r>
        <w:rPr>
          <w:rFonts w:hint="eastAsia" w:ascii="宋体" w:hAnsi="宋体" w:cs="宋体"/>
          <w:color w:val="auto"/>
          <w:sz w:val="24"/>
          <w:szCs w:val="24"/>
          <w:highlight w:val="none"/>
          <w:lang w:val="en-US" w:eastAsia="zh-CN"/>
        </w:rPr>
        <w:t xml:space="preserve">主动向采购人提出试运行申请，经双方确认同意之日起，进入试运行阶段，试运行阶段为15日。</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3.初验：试运行</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天</w:t>
      </w:r>
      <w:r>
        <w:rPr>
          <w:rFonts w:hint="eastAsia" w:ascii="宋体" w:hAnsi="宋体" w:cs="宋体"/>
          <w:color w:val="auto"/>
          <w:sz w:val="24"/>
          <w:szCs w:val="24"/>
          <w:highlight w:val="none"/>
          <w:lang w:val="en-US" w:eastAsia="zh-CN"/>
        </w:rPr>
        <w:t xml:space="preserve">结束后</w:t>
      </w:r>
      <w:r>
        <w:rPr>
          <w:rFonts w:hint="eastAsia" w:ascii="宋体" w:hAnsi="宋体" w:eastAsia="宋体" w:cs="宋体"/>
          <w:color w:val="auto"/>
          <w:sz w:val="24"/>
          <w:szCs w:val="24"/>
          <w:highlight w:val="none"/>
        </w:rPr>
        <w:t xml:space="preserve">，项目软硬件采购安装调试部署等完成后，投标人认为项目具备验收条件，</w:t>
      </w:r>
      <w:r>
        <w:rPr>
          <w:rFonts w:hint="eastAsia" w:ascii="宋体" w:hAnsi="宋体" w:cs="宋体"/>
          <w:color w:val="auto"/>
          <w:sz w:val="24"/>
          <w:szCs w:val="24"/>
          <w:highlight w:val="none"/>
          <w:lang w:val="en-US" w:eastAsia="zh-CN"/>
        </w:rPr>
        <w:t xml:space="preserve">经双方确认，满足初验收条件的，</w:t>
      </w:r>
      <w:r>
        <w:rPr>
          <w:rFonts w:hint="eastAsia" w:ascii="宋体" w:hAnsi="宋体" w:eastAsia="宋体" w:cs="宋体"/>
          <w:color w:val="auto"/>
          <w:sz w:val="24"/>
          <w:szCs w:val="24"/>
          <w:highlight w:val="none"/>
        </w:rPr>
        <w:t xml:space="preserve">并符合镇江市公安局验收规范，应于验收前向采购人提供完整的项目资料和项目验收申请，采购人代表可在接到投标人的项目验收申请后15日内应组织进行验收。</w:t>
      </w:r>
      <w:r>
        <w:rPr>
          <w:rFonts w:hint="eastAsia" w:ascii="宋体" w:hAnsi="宋体" w:eastAsia="宋体" w:cs="宋体"/>
          <w:color w:val="auto"/>
          <w:sz w:val="24"/>
          <w:szCs w:val="24"/>
          <w:highlight w:val="none"/>
          <w:lang w:val="en-US" w:eastAsia="zh-CN"/>
        </w:rPr>
        <w:t xml:space="preserve">初</w:t>
      </w:r>
      <w:r>
        <w:rPr>
          <w:rFonts w:hint="eastAsia" w:ascii="宋体" w:hAnsi="宋体" w:eastAsia="宋体" w:cs="宋体"/>
          <w:color w:val="auto"/>
          <w:sz w:val="24"/>
          <w:szCs w:val="24"/>
          <w:highlight w:val="none"/>
        </w:rPr>
        <w:t xml:space="preserve">验依据包括国家颁布的施工验收规范、质量验收标准、招投标文件、深化设计、合同及相关文件等依据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同时应当提供包括但不限于机房环境改造、UPS设备调测、动环监控、气体消防等建设佐证和技术运维等资料。</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4.终验：在初验合格的基础上，</w:t>
      </w:r>
      <w:r>
        <w:rPr>
          <w:rFonts w:hint="eastAsia" w:ascii="宋体" w:hAnsi="宋体" w:cs="宋体"/>
          <w:color w:val="auto"/>
          <w:sz w:val="24"/>
          <w:szCs w:val="24"/>
          <w:highlight w:val="none"/>
          <w:lang w:val="en-US" w:eastAsia="zh-CN"/>
        </w:rPr>
        <w:t xml:space="preserve">针对初验中指出的问题完成全部整改工作</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申请终验。验收依据包括国家颁布的施工验收规范、质量验收标准、招投标文件、深化设计、合同及相关文件等依据。</w:t>
      </w:r>
      <w:r/>
    </w:p>
    <w:p>
      <w:pPr>
        <w:pStyle w:val="1577"/>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★六.服务内容及要求</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6.1服务内容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1.投标人要提供符合要求的软硬件产品、系统集成服务，同时承担相关设备（包括不限于UPS系统）的安装调试及对接工作。</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6.2供货要求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货方应保证所有硬件产品、软件产品是全新、未使用过的原装合格正品、正版软件，符合国家有关规定，完全符合采购需求规定的质量和性能的要求，并按照技术要求供货时提供原厂商针对本项目的服务承诺函。所提供产品具有合法的版权或使用权，如在本项目范围内使用过程中出现版权或使用权纠纷，应由供货方负责，采购人不承担责任。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(2)在货物到达使用单位后，供货方应在5个工作日内派负责人到达现场，在采购人技术人员在场的情况下开箱清点货物，组织安装、调试，并承担因此发生的一切费用。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(3)供货方保证产品不存在因材质、设计、制造等问题所引起的缺陷，否则应无偿予以纠正。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(4)供货方提供的设备发生非人为因素严重故障时，应当免费在七日内将补充或者更换的货物运抵发生故障的货物所在地，由此产生的一切相关费用由供货方承担。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(5)项目所涉及的设备及软件到货时，须提供原厂商的供货证明。 </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6.3质量保证及服务响应维护要求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（1）本项目自项目</w:t>
      </w:r>
      <w:r>
        <w:rPr>
          <w:rFonts w:hint="eastAsia" w:ascii="宋体" w:hAnsi="宋体" w:cs="宋体"/>
          <w:color w:val="auto"/>
          <w:sz w:val="24"/>
          <w:szCs w:val="24"/>
          <w:highlight w:val="none"/>
          <w:lang w:val="en-US" w:eastAsia="zh-CN"/>
        </w:rPr>
        <w:t xml:space="preserve">终验</w:t>
      </w:r>
      <w:r>
        <w:rPr>
          <w:rFonts w:hint="eastAsia" w:ascii="宋体" w:hAnsi="宋体" w:eastAsia="宋体" w:cs="宋体"/>
          <w:color w:val="auto"/>
          <w:sz w:val="24"/>
          <w:szCs w:val="24"/>
          <w:highlight w:val="none"/>
        </w:rPr>
        <w:t xml:space="preserve">合格之日起整体质保三年。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保期内，承建单位保证系统7*24不间断的稳定正常运行并提供及时维护,避免由电源故障或软件的升级而影响整个系统的运行。接到申报，紧急故障，1小时内修复故障。普通故障：6小时内修复故障；故障短期内无法修复的，中标人须免费提供备品备件的调用，设备修复后予以恢复。质保期内中标人须不定期对所有软硬件系统进行升级维护工作。中标人须提供相关备用品，相关服务高于厂家标准的，按此要求执行。质保期内所有保修服务方式均为中标人上门保修，由此产生的一切费用均由中标人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装调试要求：提供本项目整体实施方案，包括整体安装调试、应急措施、验收方案、人员组织保障、进度控制及相关各方协调等。中标人应结合采购人的现状进行充分调研分析，制定详细的技术方案，完成全部设备的安装、电源联调及备份恢复测试等工作。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（4）培训要求：投标人应对买方的操作人员、诊断人员、维修人员免费进行培训，并提供相应的培训计划，详细说明培训的方式、地点、人数、时间等实质性内容。 </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6.4安全要求 </w:t>
      </w:r>
      <w:r/>
    </w:p>
    <w:p>
      <w:pPr>
        <w:ind w:firstLine="59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需与采购人签订保密协议，并签订安全责任书，按照采购人要求进行相关登记。所有参与项目人员需签订保密协议、安全责任书，不得将项目中涉及数据在非本项目场合运用或展示，未经批准不得对机房进行拷贝、拍照、录像、复制等，在工作场合中听到、看到的公安工作信息不得泄露，出现任何安全问题将追究中标人责任。 </w:t>
      </w:r>
      <w:r/>
    </w:p>
    <w:p>
      <w:pPr>
        <w:ind w:firstLine="59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6.5安全责任</w:t>
      </w:r>
      <w:r/>
    </w:p>
    <w:p>
      <w:pPr>
        <w:ind w:firstLine="59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项目实施阶段和项目维保期内，投标人应做好安全防范工作。凡在建设期和服务期内发生的所有意外事故及安全责任事故等，一切责任均由投标人承担。 </w:t>
      </w:r>
      <w:r/>
    </w:p>
    <w:p>
      <w:pPr>
        <w:ind w:firstLine="59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577"/>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七.</w:t>
      </w:r>
      <w:r>
        <w:rPr>
          <w:rFonts w:hint="eastAsia" w:ascii="宋体" w:hAnsi="宋体" w:eastAsia="宋体" w:cs="宋体"/>
          <w:color w:val="auto"/>
          <w:sz w:val="24"/>
          <w:szCs w:val="24"/>
          <w:highlight w:val="none"/>
        </w:rPr>
        <w:t xml:space="preserve">考核</w:t>
      </w:r>
      <w:r>
        <w:rPr>
          <w:rFonts w:hint="eastAsia" w:ascii="宋体" w:hAnsi="宋体" w:eastAsia="宋体" w:cs="宋体"/>
          <w:color w:val="auto"/>
          <w:sz w:val="24"/>
          <w:szCs w:val="24"/>
          <w:highlight w:val="none"/>
        </w:rPr>
        <w:t xml:space="preserve">要求</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投标人应遵守镇江市公安局及其上级机关关于安全保密、考勤管理等相关要求，并承担因违反相关规定造成的损失，同时，采购人保留进一步追究责任的权力。包括但不限于：</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7.1</w:t>
      </w:r>
      <w:r>
        <w:rPr>
          <w:rFonts w:hint="eastAsia" w:ascii="宋体" w:hAnsi="宋体" w:eastAsia="宋体" w:cs="宋体"/>
          <w:color w:val="auto"/>
          <w:sz w:val="24"/>
          <w:szCs w:val="24"/>
          <w:highlight w:val="none"/>
        </w:rPr>
        <w:t xml:space="preserve">工期考核</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须根据工期要求，制定实施方案，实施方案包括但不限于实施计划、采购、设备安装、调试、测试、验收方案等，并在合同签订7天内获得采购人及监理单位批准。因投标人原因未按时提供实施方案或未按实施计划完成各阶段相关工作，采购人可出具《催办单》要求投标人按时完成相关工作。如投标人仍不能完成，采购人有权针对实际情况进行处罚，罚款10000元/天。因采购方原因造成的延期可免于处罚。</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服务考核</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镇江市公安局重要机房提供应急电源，必须保证高可靠性，7*24不间断运行，以及功能、性能指标满足镇江市公安局要求。投标人应充分理解本项目的重要性，并承担因项目相关设备运行原因造成的损失，同时，采购人保留进一步追究责任的权力。</w:t>
      </w:r>
      <w:r/>
    </w:p>
    <w:p>
      <w:pPr>
        <w:ind w:firstLine="480"/>
        <w:jc w:val="left"/>
        <w:spacing w:line="360"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（1）投标人应具有详细的运维管理办法及运维机制，保障系统正常运行，能及时发现故障并按要求迅速处理。采购人有权根据“服务要求”具体情况，下发催办/整改通知单的同时进行处罚，</w:t>
      </w:r>
      <w:r>
        <w:rPr>
          <w:rFonts w:hint="eastAsia" w:ascii="宋体" w:hAnsi="宋体" w:eastAsia="宋体" w:cs="宋体"/>
          <w:color w:val="auto"/>
          <w:sz w:val="24"/>
          <w:szCs w:val="24"/>
          <w:highlight w:val="none"/>
        </w:rPr>
        <w:t xml:space="preserve">罚款金额2000元/次（初次）、5000元/次（再次）、超过整改通知单最后期限罚款金额1000元/天。</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投标人提供的产品及服务不满足招标文件要求，对采购人工作造成影响或导致上级通报等严重后果的，采购人有权下发整改通知单，同时对投标人进行处罚，罚款金额1万元/次。投标人应及时完成整改，超过整改通知单最后期限仍未解决的，采购人有权继续进行处罚，</w:t>
      </w:r>
      <w:r>
        <w:rPr>
          <w:rFonts w:hint="eastAsia" w:ascii="宋体" w:hAnsi="宋体" w:cs="宋体"/>
          <w:color w:val="auto"/>
          <w:sz w:val="28"/>
          <w:szCs w:val="28"/>
          <w:highlight w:val="none"/>
        </w:rPr>
        <w:t xml:space="preserve">罚款金额1000元/天，</w:t>
      </w:r>
      <w:r>
        <w:rPr>
          <w:rFonts w:hint="eastAsia" w:ascii="宋体" w:hAnsi="宋体" w:eastAsia="宋体" w:cs="宋体"/>
          <w:color w:val="auto"/>
          <w:sz w:val="24"/>
          <w:szCs w:val="24"/>
          <w:highlight w:val="none"/>
        </w:rPr>
        <w:t xml:space="preserve">直至完全解决问题。</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招标中所涉及的所有软件、系统须能满足现有和项目服务期内国家、江苏省、镇江市的各类法律、法规和政策要求，投标人未按采购人要求（以自然日计算）完成设备采购、集成服务等工作，超过限定时间的，</w:t>
      </w:r>
      <w:r>
        <w:rPr>
          <w:rFonts w:hint="eastAsia" w:ascii="宋体" w:hAnsi="宋体" w:cs="宋体"/>
          <w:color w:val="auto"/>
          <w:sz w:val="28"/>
          <w:szCs w:val="28"/>
          <w:highlight w:val="none"/>
        </w:rPr>
        <w:t xml:space="preserve">罚款金额1000元/天。</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次招标中所涉及的所有软硬件设备、服务，在建设和维保期内须能满足招标文件要求和中标人投标文件承诺，否则采购人有权下发通知单，要求投标人在规定的时间内完成相关工作，超过限定时间的，有权下发催办/整改通知单的同时进行处罚，罚款金额2000元/次（初次）、5000元/次（再次）、超过整改通知单最后期限罚款金额1000元/天。以上条款中所有内容均可以重复处罚。</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7.3</w:t>
      </w:r>
      <w:r>
        <w:rPr>
          <w:rFonts w:hint="eastAsia" w:ascii="宋体" w:hAnsi="宋体" w:eastAsia="宋体" w:cs="宋体"/>
          <w:color w:val="auto"/>
          <w:sz w:val="24"/>
          <w:szCs w:val="24"/>
          <w:highlight w:val="none"/>
        </w:rPr>
        <w:t xml:space="preserve">安全考核</w:t>
      </w:r>
      <w:r/>
    </w:p>
    <w:p>
      <w:pPr>
        <w:ind w:firstLine="480"/>
        <w:jc w:val="left"/>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按照安全事件等级，分为一般、重要、严重等三个等级，根据事件等级</w:t>
      </w:r>
      <w:r>
        <w:rPr>
          <w:rFonts w:hint="eastAsia" w:ascii="宋体" w:hAnsi="宋体" w:cs="宋体"/>
          <w:color w:val="auto"/>
          <w:sz w:val="28"/>
          <w:szCs w:val="28"/>
          <w:highlight w:val="none"/>
        </w:rPr>
        <w:t xml:space="preserve">分别处罚1000元、</w:t>
      </w:r>
      <w:r>
        <w:rPr>
          <w:rFonts w:hint="eastAsia" w:ascii="宋体" w:hAnsi="宋体" w:cs="宋体"/>
          <w:color w:val="auto"/>
          <w:sz w:val="28"/>
          <w:szCs w:val="28"/>
          <w:highlight w:val="none"/>
        </w:rPr>
        <w:t xml:space="preserve">2000</w:t>
      </w:r>
      <w:r>
        <w:rPr>
          <w:rFonts w:hint="eastAsia" w:ascii="宋体" w:hAnsi="宋体" w:cs="宋体"/>
          <w:color w:val="auto"/>
          <w:sz w:val="28"/>
          <w:szCs w:val="28"/>
          <w:highlight w:val="none"/>
        </w:rPr>
        <w:t xml:space="preserve">元、5000元。造成后果的一次罚款10000元</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4"/>
          <w:szCs w:val="24"/>
          <w:highlight w:val="none"/>
        </w:rPr>
        <w:t xml:space="preserve">造成特别严重后果的，采购人及镇江市公安局有权解除合同并追究其法律责任。</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7.4</w:t>
      </w:r>
      <w:r>
        <w:rPr>
          <w:rFonts w:hint="eastAsia" w:ascii="宋体" w:hAnsi="宋体" w:eastAsia="宋体" w:cs="宋体"/>
          <w:color w:val="auto"/>
          <w:sz w:val="24"/>
          <w:szCs w:val="24"/>
          <w:highlight w:val="none"/>
        </w:rPr>
        <w:t xml:space="preserve">考核结算</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投标人须对以上所有考核要求负责。采购人将按照上述考核要求开展考核。</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项目通过试运行阶段前的实施阶段罚款上限为项目中标价的10%，实施阶段的处罚超过10%，采购人有权终止合同。</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维保阶段，中标人应承诺履行采购人的考核处罚规定，如中标人拒不执行，采购人有起诉并追究其责任的权利。</w:t>
      </w:r>
      <w:r/>
    </w:p>
    <w:p>
      <w:pPr>
        <w:pStyle w:val="1595"/>
        <w:ind w:left="0" w:firstLine="480"/>
        <w:keepLines w:val="0"/>
        <w:keepNext w:val="0"/>
        <w:pageBreakBefore w:val="0"/>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color w:val="auto"/>
          <w:sz w:val="24"/>
          <w:szCs w:val="24"/>
          <w:highlight w:val="none"/>
        </w:rPr>
        <w:t xml:space="preserve">注：以上条款是实质性要求，必须响应并逐条承诺，不允许负偏离，否则作为无效投标处理。</w:t>
      </w:r>
      <w:r/>
    </w:p>
    <w:p>
      <w:pPr>
        <w:rPr>
          <w:rFonts w:hint="eastAsia"/>
          <w:color w:val="auto"/>
          <w:highlight w:val="none"/>
        </w:rPr>
      </w:pPr>
      <w:r>
        <w:rPr>
          <w:rFonts w:hint="eastAsia"/>
          <w:color w:val="auto"/>
          <w:highlight w:val="none"/>
        </w:rPr>
        <w:br w:type="page" w:clear="all"/>
      </w:r>
      <w:r/>
    </w:p>
    <w:p>
      <w:pPr>
        <w:pStyle w:val="1577"/>
        <w:jc w:val="center"/>
        <w:spacing w:line="360" w:lineRule="auto"/>
        <w:rPr>
          <w:color w:val="auto"/>
          <w:highlight w:val="none"/>
        </w:rPr>
      </w:pPr>
      <w:r>
        <w:rPr>
          <w:rFonts w:hint="eastAsia"/>
          <w:color w:val="auto"/>
          <w:highlight w:val="none"/>
        </w:rPr>
        <w:t xml:space="preserve">第五部分磋商及评审</w:t>
      </w:r>
      <w:bookmarkEnd w:id="72"/>
      <w:r/>
      <w:r/>
    </w:p>
    <w:p>
      <w:pPr>
        <w:pStyle w:val="1578"/>
        <w:jc w:val="left"/>
        <w:spacing w:line="360" w:lineRule="auto"/>
        <w:rPr>
          <w:color w:val="auto"/>
          <w:highlight w:val="none"/>
        </w:rPr>
      </w:pPr>
      <w:r/>
      <w:bookmarkStart w:id="73" w:name="_Toc14025"/>
      <w:r>
        <w:rPr>
          <w:rFonts w:hint="eastAsia"/>
          <w:color w:val="auto"/>
          <w:highlight w:val="none"/>
        </w:rPr>
        <w:t xml:space="preserve">一、磋商小组职责</w:t>
      </w:r>
      <w:bookmarkEnd w:id="73"/>
      <w:r/>
      <w:r/>
    </w:p>
    <w:p>
      <w:pPr>
        <w:spacing w:line="264" w:lineRule="auto"/>
        <w:rPr>
          <w:rFonts w:ascii="Arial"/>
          <w:color w:val="auto"/>
          <w:highlight w:val="none"/>
        </w:rPr>
      </w:pPr>
      <w:r>
        <w:rPr>
          <w:rFonts w:ascii="Arial"/>
          <w:color w:val="auto"/>
          <w:highlight w:val="none"/>
        </w:rPr>
      </w:r>
      <w:r/>
    </w:p>
    <w:p>
      <w:pPr>
        <w:ind w:firstLine="480"/>
        <w:spacing w:line="360" w:lineRule="auto"/>
        <w:widowControl/>
        <w:rPr>
          <w:rFonts w:ascii="Times New Roman" w:hAnsi="Times New Roman" w:cs="Times New Roman"/>
          <w:iCs/>
          <w:color w:val="auto"/>
          <w:sz w:val="24"/>
          <w:highlight w:val="none"/>
        </w:rPr>
      </w:pPr>
      <w:r>
        <w:rPr>
          <w:rFonts w:hint="eastAsia" w:ascii="Times New Roman" w:hAnsi="Times New Roman" w:cs="Times New Roman"/>
          <w:iCs/>
          <w:color w:val="auto"/>
          <w:sz w:val="24"/>
          <w:highlight w:val="none"/>
        </w:rPr>
        <w:t xml:space="preserve">1.1熟悉和理解磋商文件，如磋商文件内容违反国家有关强制性规定的，磋商小组应当停止评审并向采购人或者采购代理机构说明情况。</w:t>
      </w:r>
      <w:r/>
    </w:p>
    <w:p>
      <w:pPr>
        <w:ind w:firstLine="480"/>
        <w:spacing w:line="360" w:lineRule="auto"/>
        <w:widowControl/>
        <w:rPr>
          <w:rFonts w:ascii="Times New Roman" w:hAnsi="Times New Roman" w:cs="Times New Roman"/>
          <w:iCs/>
          <w:color w:val="auto"/>
          <w:sz w:val="24"/>
          <w:highlight w:val="none"/>
        </w:rPr>
      </w:pPr>
      <w:r>
        <w:rPr>
          <w:rFonts w:hint="eastAsia" w:ascii="Times New Roman" w:hAnsi="Times New Roman" w:cs="Times New Roman"/>
          <w:iCs/>
          <w:color w:val="auto"/>
          <w:sz w:val="24"/>
          <w:highlight w:val="none"/>
        </w:rPr>
        <w:t xml:space="preserve">1.2按照客观、公正、审慎的原则，根据磋商文件规定的评审程序、评审方法和评审标准进行独立评审。</w:t>
      </w:r>
      <w:r/>
    </w:p>
    <w:p>
      <w:pPr>
        <w:ind w:firstLine="480"/>
        <w:spacing w:line="360" w:lineRule="auto"/>
        <w:widowControl/>
        <w:rPr>
          <w:rFonts w:ascii="Times New Roman" w:hAnsi="Times New Roman" w:cs="Times New Roman"/>
          <w:iCs/>
          <w:color w:val="auto"/>
          <w:sz w:val="24"/>
          <w:highlight w:val="none"/>
        </w:rPr>
      </w:pPr>
      <w:r>
        <w:rPr>
          <w:rFonts w:hint="eastAsia" w:ascii="Times New Roman" w:hAnsi="Times New Roman" w:cs="Times New Roman"/>
          <w:iCs/>
          <w:color w:val="auto"/>
          <w:sz w:val="24"/>
          <w:highlight w:val="none"/>
        </w:rPr>
        <w:t xml:space="preserve">1.3起草评审报告并进行签署。</w:t>
      </w:r>
      <w:r/>
    </w:p>
    <w:p>
      <w:pPr>
        <w:ind w:firstLine="480"/>
        <w:spacing w:line="360" w:lineRule="auto"/>
        <w:widowControl/>
        <w:rPr>
          <w:rFonts w:ascii="Times New Roman" w:hAnsi="Times New Roman" w:cs="Times New Roman"/>
          <w:iCs/>
          <w:color w:val="auto"/>
          <w:sz w:val="24"/>
          <w:highlight w:val="none"/>
        </w:rPr>
      </w:pPr>
      <w:r>
        <w:rPr>
          <w:rFonts w:hint="eastAsia" w:ascii="Times New Roman" w:hAnsi="Times New Roman" w:cs="Times New Roman"/>
          <w:iCs/>
          <w:color w:val="auto"/>
          <w:sz w:val="24"/>
          <w:highlight w:val="none"/>
        </w:rPr>
        <w:t xml:space="preserve">1.4推荐成交供应商。</w:t>
      </w:r>
      <w:r/>
    </w:p>
    <w:p>
      <w:pPr>
        <w:ind w:firstLine="480"/>
        <w:spacing w:line="360" w:lineRule="auto"/>
        <w:widowControl/>
        <w:rPr>
          <w:rFonts w:ascii="Times New Roman" w:hAnsi="Times New Roman" w:cs="Times New Roman"/>
          <w:iCs/>
          <w:color w:val="auto"/>
          <w:sz w:val="24"/>
          <w:highlight w:val="none"/>
        </w:rPr>
      </w:pPr>
      <w:r>
        <w:rPr>
          <w:rFonts w:hint="eastAsia" w:ascii="Times New Roman" w:hAnsi="Times New Roman" w:cs="Times New Roman"/>
          <w:iCs/>
          <w:color w:val="auto"/>
          <w:sz w:val="24"/>
          <w:highlight w:val="none"/>
        </w:rPr>
        <w:t xml:space="preserve">1.5向采购人、采购代理机构、财政部门或者其他监督部门报告非法干预评审工作的行为。</w:t>
      </w:r>
      <w:r/>
    </w:p>
    <w:p>
      <w:pPr>
        <w:ind w:firstLine="480"/>
        <w:spacing w:line="360" w:lineRule="auto"/>
        <w:widowControl/>
        <w:rPr>
          <w:rFonts w:ascii="Times New Roman" w:hAnsi="Times New Roman" w:cs="Times New Roman"/>
          <w:iCs/>
          <w:color w:val="auto"/>
          <w:sz w:val="24"/>
          <w:highlight w:val="none"/>
        </w:rPr>
      </w:pPr>
      <w:r>
        <w:rPr>
          <w:rFonts w:hint="eastAsia" w:ascii="Times New Roman" w:hAnsi="Times New Roman" w:cs="Times New Roman"/>
          <w:iCs/>
          <w:color w:val="auto"/>
          <w:sz w:val="24"/>
          <w:highlight w:val="none"/>
        </w:rPr>
        <w:t xml:space="preserve">1.6法律、法规和规章规定的其他职责。</w:t>
      </w:r>
      <w:r/>
    </w:p>
    <w:p>
      <w:pPr>
        <w:spacing w:line="304" w:lineRule="auto"/>
        <w:rPr>
          <w:rFonts w:ascii="Arial"/>
          <w:color w:val="auto"/>
          <w:highlight w:val="none"/>
        </w:rPr>
      </w:pPr>
      <w:r>
        <w:rPr>
          <w:rFonts w:ascii="Arial"/>
          <w:color w:val="auto"/>
          <w:highlight w:val="none"/>
        </w:rPr>
      </w:r>
      <w:r/>
    </w:p>
    <w:p>
      <w:pPr>
        <w:pStyle w:val="1578"/>
        <w:jc w:val="left"/>
        <w:spacing w:line="360" w:lineRule="auto"/>
        <w:rPr>
          <w:color w:val="auto"/>
          <w:highlight w:val="none"/>
        </w:rPr>
      </w:pPr>
      <w:r/>
      <w:bookmarkStart w:id="74" w:name="_Toc13286"/>
      <w:r>
        <w:rPr>
          <w:rFonts w:hint="eastAsia"/>
          <w:color w:val="auto"/>
          <w:highlight w:val="none"/>
        </w:rPr>
        <w:t xml:space="preserve">二、磋商及评审程序</w:t>
      </w:r>
      <w:bookmarkEnd w:id="74"/>
      <w:r/>
      <w:r/>
    </w:p>
    <w:p>
      <w:pPr>
        <w:spacing w:line="265" w:lineRule="auto"/>
        <w:rPr>
          <w:rFonts w:ascii="Arial"/>
          <w:color w:val="auto"/>
          <w:highlight w:val="none"/>
        </w:rPr>
      </w:pPr>
      <w:r>
        <w:rPr>
          <w:rFonts w:ascii="Arial"/>
          <w:color w:val="auto"/>
          <w:highlight w:val="none"/>
        </w:rPr>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2.1磋商组织方按磋商小组名单核对身份并签到。</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2.2磋商组织方宣布磋商及评审纪律，磋商小组确认有无回避的情形。</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2.3磋商小组推选组长，负责组织磋商及评审活动，采购人代表不得担任组长。</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2.4磋商小组正式评审前，应当对磋商文件进行熟悉和理解，审查磋商文件。</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2.7磋商小组应集中与符合要求的单一供应商分别进行磋商，并给予所有参加磋商的供应商平等的磋商机会。</w:t>
      </w:r>
      <w:r/>
    </w:p>
    <w:p>
      <w:pPr>
        <w:ind w:firstLine="480"/>
        <w:spacing w:line="360" w:lineRule="auto"/>
        <w:rPr>
          <w:rFonts w:ascii="Times New Roman" w:hAnsi="Times New Roman" w:eastAsia="宋体" w:cs="Times New Roman"/>
          <w:color w:val="auto"/>
          <w:sz w:val="24"/>
          <w:highlight w:val="none"/>
        </w:rPr>
      </w:pPr>
      <w:r/>
      <w:bookmarkStart w:id="75" w:name="_bookmark63"/>
      <w:r/>
      <w:bookmarkEnd w:id="75"/>
      <w:r>
        <w:rPr>
          <w:rFonts w:ascii="Times New Roman" w:hAnsi="Times New Roman" w:eastAsia="宋体" w:cs="Times New Roman"/>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2.9磋商文件能够详细列明采购标的的技术、服务要求的，磋商结束后，磋商小组应要</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求所有实质性响应的供应商在规定时间内提交最后报价。</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上供应商的设计方案或者解决方案，并要求其在规定时间内提交最后报价。</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符合磋商文件供应商须知规定情形的，提交最后报价的供应商可以为2家。</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2.10经磋商确定最终采购需求和提交最后报价的供应商后，磋商小组应对提交最后报</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价的供应商的响应文件和最后报价进行评审。</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2.11磋商小组对磋商供应商得分按照从高到低进行排序，得分相同的磋商供应商，报</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价低者排名在前，评审得分且最后报价相同的，按技术指标优劣顺序排列。</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2.12推荐成交候选供应商，并出具书面评审报告。</w:t>
      </w:r>
      <w:r/>
    </w:p>
    <w:p>
      <w:pPr>
        <w:ind w:firstLine="480"/>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spacing w:line="256" w:lineRule="auto"/>
        <w:rPr>
          <w:rFonts w:ascii="Arial"/>
          <w:color w:val="auto"/>
          <w:highlight w:val="none"/>
        </w:rPr>
      </w:pPr>
      <w:r>
        <w:rPr>
          <w:rFonts w:ascii="Arial"/>
          <w:color w:val="auto"/>
          <w:highlight w:val="none"/>
        </w:rPr>
      </w:r>
      <w:r/>
    </w:p>
    <w:p>
      <w:pPr>
        <w:pStyle w:val="1578"/>
        <w:jc w:val="left"/>
        <w:spacing w:line="360" w:lineRule="auto"/>
        <w:rPr>
          <w:color w:val="auto"/>
          <w:highlight w:val="none"/>
        </w:rPr>
      </w:pPr>
      <w:r/>
      <w:bookmarkStart w:id="76" w:name="_Toc32627"/>
      <w:r>
        <w:rPr>
          <w:rFonts w:hint="eastAsia"/>
          <w:color w:val="auto"/>
          <w:highlight w:val="none"/>
        </w:rPr>
        <w:t xml:space="preserve">三、供应商资格审查</w:t>
      </w:r>
      <w:bookmarkEnd w:id="76"/>
      <w:r/>
      <w:r/>
    </w:p>
    <w:p>
      <w:pPr>
        <w:ind w:left="604"/>
        <w:spacing w:before="79" w:line="219" w:lineRule="auto"/>
        <w:rPr>
          <w:rFonts w:ascii="宋体" w:hAnsi="宋体" w:eastAsia="宋体" w:cs="宋体"/>
          <w:color w:val="auto"/>
          <w:spacing w:val="-2"/>
          <w:sz w:val="24"/>
          <w:highlight w:val="none"/>
        </w:rPr>
      </w:pPr>
      <w:r>
        <w:rPr>
          <w:rFonts w:ascii="宋体" w:hAnsi="宋体" w:eastAsia="宋体" w:cs="宋体"/>
          <w:color w:val="auto"/>
          <w:spacing w:val="-2"/>
          <w:sz w:val="24"/>
          <w:highlight w:val="none"/>
        </w:rPr>
      </w:r>
      <w:r/>
    </w:p>
    <w:p>
      <w:pPr>
        <w:ind w:left="604"/>
        <w:spacing w:before="79" w:line="219" w:lineRule="auto"/>
        <w:rPr>
          <w:rFonts w:ascii="宋体" w:hAnsi="宋体" w:eastAsia="宋体" w:cs="宋体"/>
          <w:color w:val="auto"/>
          <w:sz w:val="24"/>
          <w:highlight w:val="none"/>
        </w:rPr>
      </w:pPr>
      <w:r>
        <w:rPr>
          <w:rFonts w:ascii="宋体" w:hAnsi="宋体" w:eastAsia="宋体" w:cs="宋体"/>
          <w:color w:val="auto"/>
          <w:spacing w:val="-2"/>
          <w:sz w:val="24"/>
          <w:highlight w:val="none"/>
        </w:rPr>
        <w:t xml:space="preserve">开启结束后，磋商小组将依法对供应商的资格进行审查。资格审查的内容如下：</w:t>
      </w:r>
      <w:r/>
    </w:p>
    <w:p>
      <w:pPr>
        <w:rPr>
          <w:color w:val="auto"/>
          <w:highlight w:val="none"/>
        </w:rPr>
      </w:pPr>
      <w:r>
        <w:rPr>
          <w:color w:val="auto"/>
          <w:highlight w:val="none"/>
        </w:rPr>
      </w:r>
      <w:r/>
    </w:p>
    <w:p>
      <w:pPr>
        <w:spacing w:line="140" w:lineRule="exact"/>
        <w:rPr>
          <w:color w:val="auto"/>
          <w:highlight w:val="none"/>
        </w:rPr>
      </w:pPr>
      <w:r>
        <w:rPr>
          <w:color w:val="auto"/>
          <w:highlight w:val="none"/>
        </w:rPr>
      </w:r>
      <w:r/>
    </w:p>
    <w:tbl>
      <w:tblPr>
        <w:tblStyle w:val="1600"/>
        <w:tblW w:w="95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4"/>
        <w:gridCol w:w="2577"/>
        <w:gridCol w:w="6488"/>
      </w:tblGrid>
      <w:tr>
        <w:trPr>
          <w:trHeight w:val="813"/>
        </w:trPr>
        <w:tc>
          <w:tcPr>
            <w:tcW w:w="494" w:type="dxa"/>
            <w:vAlign w:val="center"/>
            <w:textDirection w:val="tbRlV"/>
            <w:noWrap w:val="false"/>
          </w:tcPr>
          <w:p>
            <w:pPr>
              <w:ind w:left="194"/>
              <w:jc w:val="center"/>
              <w:spacing w:before="149" w:line="217" w:lineRule="auto"/>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 xml:space="preserve">序号</w:t>
            </w:r>
            <w:r/>
          </w:p>
        </w:tc>
        <w:tc>
          <w:tcPr>
            <w:tcW w:w="2577" w:type="dxa"/>
            <w:vAlign w:val="center"/>
            <w:textDirection w:val="lrTb"/>
            <w:noWrap w:val="false"/>
          </w:tcPr>
          <w:p>
            <w:pPr>
              <w:jc w:val="center"/>
              <w:spacing w:before="65" w:line="219"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审查要素</w:t>
            </w:r>
            <w:r/>
          </w:p>
        </w:tc>
        <w:tc>
          <w:tcPr>
            <w:tcW w:w="6488" w:type="dxa"/>
            <w:vAlign w:val="center"/>
            <w:textDirection w:val="lrTb"/>
            <w:noWrap w:val="false"/>
          </w:tcPr>
          <w:p>
            <w:pPr>
              <w:jc w:val="center"/>
              <w:spacing w:before="65" w:line="219" w:lineRule="auto"/>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 xml:space="preserve">审查内容</w:t>
            </w:r>
            <w:r/>
          </w:p>
        </w:tc>
      </w:tr>
      <w:tr>
        <w:trPr>
          <w:trHeight w:val="818"/>
        </w:trPr>
        <w:tc>
          <w:tcPr>
            <w:tcW w:w="494" w:type="dxa"/>
            <w:vAlign w:val="center"/>
            <w:textDirection w:val="lrTb"/>
            <w:noWrap w:val="false"/>
          </w:tcPr>
          <w:p>
            <w:pPr>
              <w:ind w:left="185"/>
              <w:jc w:val="center"/>
              <w:spacing w:before="65" w:line="184"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577" w:type="dxa"/>
            <w:vAlign w:val="center"/>
            <w:textDirection w:val="lrTb"/>
            <w:noWrap w:val="false"/>
          </w:tcPr>
          <w:p>
            <w:pPr>
              <w:jc w:val="center"/>
              <w:spacing w:line="249"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具有独立承担民事责任的能力</w:t>
            </w:r>
            <w:r/>
          </w:p>
        </w:tc>
        <w:tc>
          <w:tcPr>
            <w:tcW w:w="648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提供法人或者其他组织的营业执照等证明文件，自然人的身份证明</w:t>
            </w:r>
            <w:r/>
          </w:p>
        </w:tc>
      </w:tr>
      <w:tr>
        <w:trPr>
          <w:trHeight w:val="818"/>
        </w:trPr>
        <w:tc>
          <w:tcPr>
            <w:tcW w:w="494" w:type="dxa"/>
            <w:vAlign w:val="center"/>
            <w:textDirection w:val="lrTb"/>
            <w:noWrap w:val="false"/>
          </w:tcPr>
          <w:p>
            <w:pPr>
              <w:ind w:left="185"/>
              <w:jc w:val="center"/>
              <w:spacing w:before="65" w:line="183"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577" w:type="dxa"/>
            <w:vAlign w:val="center"/>
            <w:textDirection w:val="lrTb"/>
            <w:noWrap w:val="false"/>
          </w:tcPr>
          <w:p>
            <w:pPr>
              <w:jc w:val="center"/>
              <w:spacing w:line="249"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w:t>
            </w:r>
            <w:r/>
          </w:p>
        </w:tc>
        <w:tc>
          <w:tcPr>
            <w:tcW w:w="648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提供202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年度财务报告(成立不满一年的提供至少一个月)，或银行出具的资信证明，或财政部门门认可的政府采购专业担保机构出具的谈判担保函等，或提供资格承诺函</w:t>
            </w:r>
            <w:r/>
          </w:p>
        </w:tc>
      </w:tr>
      <w:tr>
        <w:trPr>
          <w:trHeight w:val="808"/>
        </w:trPr>
        <w:tc>
          <w:tcPr>
            <w:tcW w:w="494" w:type="dxa"/>
            <w:vAlign w:val="center"/>
            <w:textDirection w:val="lrTb"/>
            <w:noWrap w:val="false"/>
          </w:tcPr>
          <w:p>
            <w:pPr>
              <w:ind w:left="185"/>
              <w:jc w:val="center"/>
              <w:spacing w:before="65" w:line="183"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2577" w:type="dxa"/>
            <w:vAlign w:val="center"/>
            <w:textDirection w:val="lrTb"/>
            <w:noWrap w:val="false"/>
          </w:tcPr>
          <w:p>
            <w:pPr>
              <w:jc w:val="center"/>
              <w:spacing w:line="249"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p>
        </w:tc>
        <w:tc>
          <w:tcPr>
            <w:tcW w:w="648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提供资格承诺函</w:t>
            </w:r>
            <w:r/>
          </w:p>
        </w:tc>
      </w:tr>
      <w:tr>
        <w:trPr>
          <w:trHeight w:val="823"/>
        </w:trPr>
        <w:tc>
          <w:tcPr>
            <w:tcW w:w="494" w:type="dxa"/>
            <w:vAlign w:val="center"/>
            <w:textDirection w:val="lrTb"/>
            <w:noWrap w:val="false"/>
          </w:tcPr>
          <w:p>
            <w:pPr>
              <w:ind w:left="185"/>
              <w:jc w:val="center"/>
              <w:spacing w:before="66" w:line="183"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2577" w:type="dxa"/>
            <w:vAlign w:val="center"/>
            <w:textDirection w:val="lrTb"/>
            <w:noWrap w:val="false"/>
          </w:tcPr>
          <w:p>
            <w:pPr>
              <w:jc w:val="center"/>
              <w:spacing w:line="249"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w:t>
            </w:r>
            <w:r/>
          </w:p>
        </w:tc>
        <w:tc>
          <w:tcPr>
            <w:tcW w:w="648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提供参加本次政府采购活动前半年内(至少一个月) 依法缴纳税收和社会保障资金的相关材料,或提供资格承诺函</w:t>
            </w:r>
            <w:r/>
          </w:p>
        </w:tc>
      </w:tr>
      <w:tr>
        <w:trPr>
          <w:trHeight w:val="823"/>
        </w:trPr>
        <w:tc>
          <w:tcPr>
            <w:tcW w:w="494" w:type="dxa"/>
            <w:vAlign w:val="center"/>
            <w:textDirection w:val="lrTb"/>
            <w:noWrap w:val="false"/>
          </w:tcPr>
          <w:p>
            <w:pPr>
              <w:ind w:left="185"/>
              <w:jc w:val="center"/>
              <w:spacing w:before="65" w:line="182"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2577" w:type="dxa"/>
            <w:vAlign w:val="center"/>
            <w:textDirection w:val="lrTb"/>
            <w:noWrap w:val="false"/>
          </w:tcPr>
          <w:p>
            <w:pPr>
              <w:jc w:val="center"/>
              <w:spacing w:line="249"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参加政府采购活动前三年</w:t>
            </w:r>
            <w:r/>
          </w:p>
          <w:p>
            <w:pPr>
              <w:jc w:val="center"/>
              <w:spacing w:line="249"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内，在经营活动中没有重</w:t>
            </w:r>
            <w:r/>
          </w:p>
          <w:p>
            <w:pPr>
              <w:jc w:val="center"/>
              <w:spacing w:line="249"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大违法记录</w:t>
            </w:r>
            <w:r/>
          </w:p>
        </w:tc>
        <w:tc>
          <w:tcPr>
            <w:tcW w:w="648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提供资格承诺函</w:t>
            </w:r>
            <w:r/>
          </w:p>
        </w:tc>
      </w:tr>
      <w:tr>
        <w:trPr>
          <w:trHeight w:val="823"/>
        </w:trPr>
        <w:tc>
          <w:tcPr>
            <w:tcW w:w="494" w:type="dxa"/>
            <w:vAlign w:val="center"/>
            <w:textDirection w:val="lrTb"/>
            <w:noWrap w:val="false"/>
          </w:tcPr>
          <w:p>
            <w:pPr>
              <w:ind w:left="185"/>
              <w:jc w:val="center"/>
              <w:spacing w:before="65" w:line="182"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2577" w:type="dxa"/>
            <w:vAlign w:val="center"/>
            <w:textDirection w:val="lrTb"/>
            <w:noWrap w:val="false"/>
          </w:tcPr>
          <w:p>
            <w:pPr>
              <w:jc w:val="center"/>
              <w:spacing w:line="249"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法律、行政法规规定的其他条件</w:t>
            </w:r>
            <w:r/>
          </w:p>
        </w:tc>
        <w:tc>
          <w:tcPr>
            <w:tcW w:w="648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“信用中国”网站(www.creditchina.gov.cn)、或中国政府采购网</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(www.ccgp.gov.cn)、或"信用江苏"网站(</w:t>
            </w:r>
            <w:r>
              <w:rPr>
                <w:color w:val="auto"/>
                <w:highlight w:val="none"/>
              </w:rPr>
              <w:fldChar w:fldCharType="begin"/>
            </w:r>
            <w:r>
              <w:rPr>
                <w:color w:val="auto"/>
                <w:highlight w:val="none"/>
              </w:rPr>
              <w:instrText xml:space="preserve"> HYPERLINK "http://credit.jiangsu.gov.cn/" </w:instrText>
            </w:r>
            <w:r>
              <w:rPr>
                <w:color w:val="auto"/>
                <w:highlight w:val="none"/>
              </w:rPr>
              <w:fldChar w:fldCharType="separate"/>
            </w:r>
            <w:r>
              <w:rPr>
                <w:rFonts w:hint="eastAsia" w:ascii="宋体" w:hAnsi="宋体" w:eastAsia="宋体" w:cs="宋体"/>
                <w:color w:val="auto"/>
                <w:sz w:val="24"/>
                <w:highlight w:val="none"/>
              </w:rPr>
              <w:t xml:space="preserve">http://credit.jiangsu.gov.cn/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的查询结果未列入失信被执行人名单、重大税收违法案件当事人名单、政府采购严重违法失信行为名单，以现场查询为准。</w:t>
            </w:r>
            <w:r/>
          </w:p>
        </w:tc>
      </w:tr>
      <w:tr>
        <w:trPr>
          <w:trHeight w:val="823"/>
        </w:trPr>
        <w:tc>
          <w:tcPr>
            <w:tcW w:w="494" w:type="dxa"/>
            <w:vAlign w:val="center"/>
            <w:textDirection w:val="lrTb"/>
            <w:noWrap w:val="false"/>
          </w:tcPr>
          <w:p>
            <w:pPr>
              <w:ind w:left="185"/>
              <w:jc w:val="center"/>
              <w:spacing w:before="65" w:line="182"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p>
        </w:tc>
        <w:tc>
          <w:tcPr>
            <w:tcW w:w="2577" w:type="dxa"/>
            <w:vAlign w:val="center"/>
            <w:textDirection w:val="lrTb"/>
            <w:noWrap w:val="false"/>
          </w:tcPr>
          <w:p>
            <w:pPr>
              <w:jc w:val="center"/>
              <w:spacing w:line="249"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6488"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中小企业声明函</w:t>
            </w:r>
            <w:r/>
          </w:p>
        </w:tc>
      </w:tr>
    </w:tbl>
    <w:p>
      <w:pPr>
        <w:rPr>
          <w:rFonts w:ascii="Arial"/>
          <w:color w:val="auto"/>
          <w:highlight w:val="none"/>
        </w:rPr>
      </w:pPr>
      <w:r>
        <w:rPr>
          <w:rFonts w:ascii="Arial"/>
          <w:color w:val="auto"/>
          <w:highlight w:val="none"/>
        </w:rPr>
      </w:r>
      <w:r/>
    </w:p>
    <w:p>
      <w:pPr>
        <w:pStyle w:val="1578"/>
        <w:jc w:val="left"/>
        <w:spacing w:line="360" w:lineRule="auto"/>
        <w:rPr>
          <w:color w:val="auto"/>
          <w:highlight w:val="none"/>
        </w:rPr>
      </w:pPr>
      <w:r/>
      <w:bookmarkStart w:id="77" w:name="_Toc10956"/>
      <w:r>
        <w:rPr>
          <w:rFonts w:hint="eastAsia"/>
          <w:color w:val="auto"/>
          <w:highlight w:val="none"/>
        </w:rPr>
        <w:t xml:space="preserve">四、磋商响应文件的有效性、完整性和响应程度审查</w:t>
      </w:r>
      <w:bookmarkEnd w:id="77"/>
      <w:r/>
      <w:r/>
    </w:p>
    <w:p>
      <w:pPr>
        <w:rPr>
          <w:color w:val="auto"/>
          <w:highlight w:val="none"/>
        </w:rPr>
      </w:pPr>
      <w:r>
        <w:rPr>
          <w:color w:val="auto"/>
          <w:highlight w:val="none"/>
        </w:rPr>
      </w:r>
      <w:r/>
    </w:p>
    <w:p>
      <w:pPr>
        <w:rPr>
          <w:color w:val="auto"/>
          <w:highlight w:val="none"/>
        </w:rPr>
      </w:pPr>
      <w:r>
        <w:rPr>
          <w:color w:val="auto"/>
          <w:highlight w:val="none"/>
        </w:rPr>
      </w:r>
      <w:r/>
    </w:p>
    <w:p>
      <w:pPr>
        <w:spacing w:line="61" w:lineRule="exact"/>
        <w:rPr>
          <w:color w:val="auto"/>
          <w:highlight w:val="none"/>
        </w:rPr>
      </w:pPr>
      <w:r>
        <w:rPr>
          <w:color w:val="auto"/>
          <w:highlight w:val="none"/>
        </w:rPr>
      </w:r>
      <w:r/>
    </w:p>
    <w:tbl>
      <w:tblPr>
        <w:tblStyle w:val="1600"/>
        <w:tblW w:w="95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4"/>
        <w:gridCol w:w="1228"/>
        <w:gridCol w:w="7817"/>
      </w:tblGrid>
      <w:tr>
        <w:trPr>
          <w:trHeight w:val="812"/>
        </w:trPr>
        <w:tc>
          <w:tcPr>
            <w:tcW w:w="514" w:type="dxa"/>
            <w:textDirection w:val="tbRlV"/>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228" w:type="dxa"/>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审查要素</w:t>
            </w:r>
            <w:r/>
          </w:p>
        </w:tc>
        <w:tc>
          <w:tcPr>
            <w:tcW w:w="7817" w:type="dxa"/>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审查内容</w:t>
            </w:r>
            <w:r/>
          </w:p>
        </w:tc>
      </w:tr>
      <w:tr>
        <w:trPr>
          <w:trHeight w:val="818"/>
        </w:trPr>
        <w:tc>
          <w:tcPr>
            <w:tcW w:w="514" w:type="dxa"/>
            <w:textDirection w:val="lrTb"/>
            <w:noWrap w:val="false"/>
          </w:tcPr>
          <w:p>
            <w:pPr>
              <w:spacing w:line="294" w:lineRule="auto"/>
              <w:rPr>
                <w:rFonts w:ascii="Arial"/>
                <w:color w:val="auto"/>
                <w:highlight w:val="none"/>
              </w:rPr>
            </w:pPr>
            <w:r>
              <w:rPr>
                <w:rFonts w:ascii="Arial"/>
                <w:color w:val="auto"/>
                <w:highlight w:val="none"/>
              </w:rPr>
            </w:r>
            <w:r/>
          </w:p>
          <w:p>
            <w:pPr>
              <w:ind w:left="195"/>
              <w:spacing w:before="65" w:line="184" w:lineRule="auto"/>
              <w:rPr>
                <w:rFonts w:ascii="宋体" w:hAnsi="宋体" w:eastAsia="宋体" w:cs="宋体"/>
                <w:color w:val="auto"/>
                <w:sz w:val="20"/>
                <w:szCs w:val="20"/>
                <w:highlight w:val="none"/>
              </w:rPr>
            </w:pPr>
            <w:r>
              <w:rPr>
                <w:rFonts w:ascii="宋体" w:hAnsi="宋体" w:eastAsia="宋体" w:cs="宋体"/>
                <w:color w:val="auto"/>
                <w:sz w:val="20"/>
                <w:szCs w:val="20"/>
                <w:highlight w:val="none"/>
              </w:rPr>
              <w:t xml:space="preserve">1</w:t>
            </w:r>
            <w:r/>
          </w:p>
        </w:tc>
        <w:tc>
          <w:tcPr>
            <w:tcW w:w="122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响应文件有效性</w:t>
            </w:r>
            <w:r/>
          </w:p>
        </w:tc>
        <w:tc>
          <w:tcPr>
            <w:tcW w:w="7817" w:type="dxa"/>
            <w:textDirection w:val="lrTb"/>
            <w:noWrap w:val="false"/>
          </w:tcPr>
          <w:p>
            <w:pPr>
              <w:ind w:left="162" w:right="94"/>
              <w:spacing w:before="139" w:line="26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电子响应文件的有效电子签章。磋商报价。未发现属无效响应的其他情形。</w:t>
            </w:r>
            <w:r/>
          </w:p>
        </w:tc>
      </w:tr>
      <w:tr>
        <w:trPr>
          <w:trHeight w:val="817"/>
        </w:trPr>
        <w:tc>
          <w:tcPr>
            <w:tcW w:w="514" w:type="dxa"/>
            <w:textDirection w:val="lrTb"/>
            <w:noWrap w:val="false"/>
          </w:tcPr>
          <w:p>
            <w:pPr>
              <w:spacing w:line="297" w:lineRule="auto"/>
              <w:rPr>
                <w:rFonts w:ascii="Arial"/>
                <w:color w:val="auto"/>
                <w:highlight w:val="none"/>
              </w:rPr>
            </w:pPr>
            <w:r>
              <w:rPr>
                <w:rFonts w:ascii="Arial"/>
                <w:color w:val="auto"/>
                <w:highlight w:val="none"/>
              </w:rPr>
            </w:r>
            <w:r/>
          </w:p>
          <w:p>
            <w:pPr>
              <w:ind w:left="195"/>
              <w:spacing w:before="65" w:line="183" w:lineRule="auto"/>
              <w:rPr>
                <w:rFonts w:ascii="宋体" w:hAnsi="宋体" w:eastAsia="宋体" w:cs="宋体"/>
                <w:color w:val="auto"/>
                <w:sz w:val="20"/>
                <w:szCs w:val="20"/>
                <w:highlight w:val="none"/>
              </w:rPr>
            </w:pPr>
            <w:r>
              <w:rPr>
                <w:rFonts w:ascii="宋体" w:hAnsi="宋体" w:eastAsia="宋体" w:cs="宋体"/>
                <w:color w:val="auto"/>
                <w:sz w:val="20"/>
                <w:szCs w:val="20"/>
                <w:highlight w:val="none"/>
              </w:rPr>
              <w:t xml:space="preserve">2</w:t>
            </w:r>
            <w:r/>
          </w:p>
        </w:tc>
        <w:tc>
          <w:tcPr>
            <w:tcW w:w="122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响应文件完整性</w:t>
            </w:r>
            <w:r/>
          </w:p>
        </w:tc>
        <w:tc>
          <w:tcPr>
            <w:tcW w:w="7817" w:type="dxa"/>
            <w:textDirection w:val="lrTb"/>
            <w:noWrap w:val="false"/>
          </w:tcPr>
          <w:p>
            <w:pPr>
              <w:spacing w:line="246"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left="2462"/>
              <w:spacing w:before="65" w:line="219" w:lineRule="auto"/>
              <w:rPr>
                <w:rFonts w:ascii="宋体" w:hAnsi="宋体" w:eastAsia="宋体" w:cs="宋体"/>
                <w:color w:val="auto"/>
                <w:sz w:val="24"/>
                <w:highlight w:val="none"/>
              </w:rPr>
            </w:pPr>
            <w:r>
              <w:rPr>
                <w:rFonts w:hint="eastAsia" w:ascii="宋体" w:hAnsi="宋体" w:eastAsia="宋体" w:cs="宋体"/>
                <w:color w:val="auto"/>
                <w:spacing w:val="7"/>
                <w:sz w:val="24"/>
                <w:highlight w:val="none"/>
              </w:rPr>
              <w:t xml:space="preserve">响应文件内容完整性、齐全性。</w:t>
            </w:r>
            <w:r/>
          </w:p>
        </w:tc>
      </w:tr>
      <w:tr>
        <w:trPr>
          <w:trHeight w:val="1132"/>
        </w:trPr>
        <w:tc>
          <w:tcPr>
            <w:tcW w:w="514" w:type="dxa"/>
            <w:textDirection w:val="lrTb"/>
            <w:noWrap w:val="false"/>
          </w:tcPr>
          <w:p>
            <w:pPr>
              <w:spacing w:line="459" w:lineRule="auto"/>
              <w:rPr>
                <w:rFonts w:ascii="Arial"/>
                <w:color w:val="auto"/>
                <w:highlight w:val="none"/>
              </w:rPr>
            </w:pPr>
            <w:r>
              <w:rPr>
                <w:rFonts w:ascii="Arial"/>
                <w:color w:val="auto"/>
                <w:highlight w:val="none"/>
              </w:rPr>
            </w:r>
            <w:r/>
          </w:p>
          <w:p>
            <w:pPr>
              <w:ind w:left="195"/>
              <w:spacing w:before="65" w:line="183" w:lineRule="auto"/>
              <w:rPr>
                <w:rFonts w:ascii="宋体" w:hAnsi="宋体" w:eastAsia="宋体" w:cs="宋体"/>
                <w:color w:val="auto"/>
                <w:sz w:val="20"/>
                <w:szCs w:val="20"/>
                <w:highlight w:val="none"/>
              </w:rPr>
            </w:pPr>
            <w:r>
              <w:rPr>
                <w:rFonts w:ascii="宋体" w:hAnsi="宋体" w:eastAsia="宋体" w:cs="宋体"/>
                <w:color w:val="auto"/>
                <w:sz w:val="20"/>
                <w:szCs w:val="20"/>
                <w:highlight w:val="none"/>
              </w:rPr>
              <w:t xml:space="preserve">3</w:t>
            </w:r>
            <w:r/>
          </w:p>
        </w:tc>
        <w:tc>
          <w:tcPr>
            <w:tcW w:w="122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对磋商文</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件响应程</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度</w:t>
            </w:r>
            <w:r/>
          </w:p>
        </w:tc>
        <w:tc>
          <w:tcPr>
            <w:tcW w:w="7817" w:type="dxa"/>
            <w:textDirection w:val="lrTb"/>
            <w:noWrap w:val="false"/>
          </w:tcPr>
          <w:p>
            <w:pPr>
              <w:spacing w:line="258"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left="3181" w:right="134" w:hanging="3019"/>
              <w:spacing w:before="65" w:line="244" w:lineRule="auto"/>
              <w:rPr>
                <w:rFonts w:ascii="宋体" w:hAnsi="宋体" w:eastAsia="宋体" w:cs="宋体"/>
                <w:color w:val="auto"/>
                <w:sz w:val="24"/>
                <w:highlight w:val="none"/>
              </w:rPr>
            </w:pPr>
            <w:r>
              <w:rPr>
                <w:rFonts w:hint="eastAsia" w:ascii="宋体" w:hAnsi="宋体" w:eastAsia="宋体" w:cs="宋体"/>
                <w:color w:val="auto"/>
                <w:spacing w:val="9"/>
                <w:sz w:val="24"/>
                <w:highlight w:val="none"/>
              </w:rPr>
              <w:t xml:space="preserve">审查响应文件与磋商文件要求的主要条款、条件</w:t>
            </w:r>
            <w:r>
              <w:rPr>
                <w:rFonts w:hint="eastAsia" w:ascii="宋体" w:hAnsi="宋体" w:eastAsia="宋体" w:cs="宋体"/>
                <w:color w:val="auto"/>
                <w:spacing w:val="8"/>
                <w:sz w:val="24"/>
                <w:highlight w:val="none"/>
              </w:rPr>
              <w:t xml:space="preserve">和技术规格是否相符，是否存在重</w:t>
            </w:r>
            <w:r>
              <w:rPr>
                <w:rFonts w:hint="eastAsia" w:ascii="宋体" w:hAnsi="宋体" w:eastAsia="宋体" w:cs="宋体"/>
                <w:color w:val="auto"/>
                <w:spacing w:val="19"/>
                <w:sz w:val="24"/>
                <w:highlight w:val="none"/>
              </w:rPr>
              <w:t xml:space="preserve">大偏离或保留</w:t>
            </w:r>
            <w:r/>
          </w:p>
        </w:tc>
      </w:tr>
    </w:tbl>
    <w:p>
      <w:pPr>
        <w:spacing w:line="352" w:lineRule="auto"/>
        <w:rPr>
          <w:rFonts w:ascii="Arial"/>
          <w:color w:val="auto"/>
          <w:highlight w:val="none"/>
        </w:rPr>
      </w:pPr>
      <w:r>
        <w:rPr>
          <w:rFonts w:ascii="Arial"/>
          <w:color w:val="auto"/>
          <w:highlight w:val="none"/>
        </w:rPr>
      </w:r>
      <w:r/>
    </w:p>
    <w:p>
      <w:pPr>
        <w:ind w:left="124" w:right="96" w:firstLine="500"/>
        <w:spacing w:before="78" w:line="354" w:lineRule="auto"/>
        <w:tabs>
          <w:tab w:val="left" w:pos="255" w:leader="none"/>
        </w:tabs>
        <w:rPr>
          <w:rFonts w:ascii="宋体" w:hAnsi="宋体" w:eastAsia="宋体" w:cs="宋体"/>
          <w:color w:val="auto"/>
          <w:sz w:val="24"/>
          <w:highlight w:val="none"/>
        </w:rPr>
      </w:pPr>
      <w:r>
        <w:rPr>
          <w:rFonts w:ascii="宋体" w:hAnsi="宋体" w:eastAsia="宋体" w:cs="宋体"/>
          <w:color w:val="auto"/>
          <w:spacing w:val="-1"/>
          <w:sz w:val="24"/>
          <w:highlight w:val="none"/>
        </w:rPr>
        <w:t xml:space="preserve">审查磋商响应文件与磋商文件要求的主要条款、条件和技术规格是否相符，是否存在</w:t>
      </w:r>
      <w:r>
        <w:rPr>
          <w:rFonts w:ascii="宋体" w:hAnsi="宋体" w:eastAsia="宋体" w:cs="宋体"/>
          <w:color w:val="auto"/>
          <w:spacing w:val="5"/>
          <w:sz w:val="24"/>
          <w:highlight w:val="none"/>
        </w:rPr>
        <w:t xml:space="preserve">重大偏离或保留。所谓重大偏离或保留系指影响到磋商文件规定的服务(货物)范围、质</w:t>
      </w:r>
      <w:r>
        <w:rPr>
          <w:rFonts w:ascii="宋体" w:hAnsi="宋体" w:eastAsia="宋体" w:cs="宋体"/>
          <w:color w:val="auto"/>
          <w:spacing w:val="-2"/>
          <w:sz w:val="24"/>
          <w:highlight w:val="none"/>
        </w:rPr>
        <w:t xml:space="preserve">量和性能的，或者在实质上与磋商文件不一致，有限制采购人</w:t>
      </w:r>
      <w:r>
        <w:rPr>
          <w:rFonts w:ascii="宋体" w:hAnsi="宋体" w:eastAsia="宋体" w:cs="宋体"/>
          <w:color w:val="auto"/>
          <w:spacing w:val="-3"/>
          <w:sz w:val="24"/>
          <w:highlight w:val="none"/>
        </w:rPr>
        <w:t xml:space="preserve">权利和供应商义务的规定，</w:t>
      </w:r>
      <w:r>
        <w:rPr>
          <w:rFonts w:ascii="宋体" w:hAnsi="宋体" w:eastAsia="宋体" w:cs="宋体"/>
          <w:color w:val="auto"/>
          <w:spacing w:val="-1"/>
          <w:sz w:val="24"/>
          <w:highlight w:val="none"/>
        </w:rPr>
        <w:t xml:space="preserve">而纠正这些偏离或保留将会对其他实质上响应文件的供应商的</w:t>
      </w:r>
      <w:r>
        <w:rPr>
          <w:rFonts w:ascii="宋体" w:hAnsi="宋体" w:eastAsia="宋体" w:cs="宋体"/>
          <w:color w:val="auto"/>
          <w:spacing w:val="-2"/>
          <w:sz w:val="24"/>
          <w:highlight w:val="none"/>
        </w:rPr>
        <w:t xml:space="preserve">竞争地位产生不公正的影响</w:t>
      </w:r>
      <w:r>
        <w:rPr>
          <w:rFonts w:ascii="宋体" w:hAnsi="宋体" w:eastAsia="宋体" w:cs="宋体"/>
          <w:color w:val="auto"/>
          <w:sz w:val="24"/>
          <w:highlight w:val="none"/>
        </w:rPr>
        <w:tab/>
      </w:r>
      <w:r>
        <w:rPr>
          <w:rFonts w:ascii="宋体" w:hAnsi="宋体" w:eastAsia="宋体" w:cs="宋体"/>
          <w:color w:val="auto"/>
          <w:spacing w:val="-4"/>
          <w:sz w:val="24"/>
          <w:highlight w:val="none"/>
        </w:rPr>
        <w:t xml:space="preserve">(重大偏离或保留的认定须经磋商小组半数以上同意)。磋商小组决定磋商响</w:t>
      </w:r>
      <w:r>
        <w:rPr>
          <w:rFonts w:ascii="宋体" w:hAnsi="宋体" w:eastAsia="宋体" w:cs="宋体"/>
          <w:color w:val="auto"/>
          <w:spacing w:val="-5"/>
          <w:sz w:val="24"/>
          <w:highlight w:val="none"/>
        </w:rPr>
        <w:t xml:space="preserve">应文件的响应</w:t>
      </w:r>
      <w:r/>
    </w:p>
    <w:p>
      <w:pPr>
        <w:ind w:left="124"/>
        <w:spacing w:line="218" w:lineRule="auto"/>
        <w:rPr>
          <w:rFonts w:ascii="宋体" w:hAnsi="宋体" w:eastAsia="宋体" w:cs="宋体"/>
          <w:color w:val="auto"/>
          <w:sz w:val="24"/>
          <w:highlight w:val="none"/>
        </w:rPr>
      </w:pPr>
      <w:r>
        <w:rPr>
          <w:rFonts w:ascii="宋体" w:hAnsi="宋体" w:eastAsia="宋体" w:cs="宋体"/>
          <w:color w:val="auto"/>
          <w:spacing w:val="-2"/>
          <w:sz w:val="24"/>
          <w:highlight w:val="none"/>
        </w:rPr>
        <w:t xml:space="preserve">性只根据磋商响应文件本身的内容，而不寻求外部的证据。</w:t>
      </w:r>
      <w:r/>
    </w:p>
    <w:p>
      <w:pPr>
        <w:spacing w:line="241" w:lineRule="auto"/>
        <w:rPr>
          <w:rFonts w:ascii="Arial"/>
          <w:color w:val="auto"/>
          <w:highlight w:val="none"/>
        </w:rPr>
      </w:pPr>
      <w:r>
        <w:rPr>
          <w:rFonts w:ascii="Arial"/>
          <w:color w:val="auto"/>
          <w:highlight w:val="none"/>
        </w:rPr>
      </w:r>
      <w:r/>
    </w:p>
    <w:p>
      <w:pPr>
        <w:pStyle w:val="1578"/>
        <w:jc w:val="left"/>
        <w:spacing w:line="360" w:lineRule="auto"/>
        <w:rPr>
          <w:color w:val="auto"/>
          <w:highlight w:val="none"/>
        </w:rPr>
      </w:pPr>
      <w:r/>
      <w:bookmarkStart w:id="78" w:name="_bookmark65"/>
      <w:r/>
      <w:bookmarkEnd w:id="78"/>
      <w:r/>
      <w:bookmarkStart w:id="79" w:name="_bookmark66"/>
      <w:r/>
      <w:bookmarkEnd w:id="79"/>
      <w:r/>
      <w:bookmarkStart w:id="80" w:name="_Toc15031"/>
      <w:r>
        <w:rPr>
          <w:rFonts w:hint="eastAsia"/>
          <w:color w:val="auto"/>
          <w:highlight w:val="none"/>
        </w:rPr>
        <w:t xml:space="preserve">五、磋商记录</w:t>
      </w:r>
      <w:bookmarkEnd w:id="80"/>
      <w:r/>
      <w:r/>
    </w:p>
    <w:p>
      <w:pPr>
        <w:spacing w:line="252" w:lineRule="auto"/>
        <w:rPr>
          <w:rFonts w:ascii="Arial"/>
          <w:color w:val="auto"/>
          <w:highlight w:val="none"/>
        </w:rPr>
      </w:pPr>
      <w:r>
        <w:rPr>
          <w:rFonts w:ascii="Arial"/>
          <w:color w:val="auto"/>
          <w:highlight w:val="none"/>
        </w:rPr>
      </w:r>
      <w:r/>
    </w:p>
    <w:p>
      <w:pPr>
        <w:ind w:left="614"/>
        <w:spacing w:before="81" w:line="218" w:lineRule="auto"/>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 xml:space="preserve">5.1《磋商记录》包括供应商答复或承诺的内容、磋商文件的变动</w:t>
      </w:r>
      <w:r>
        <w:rPr>
          <w:rFonts w:ascii="宋体" w:hAnsi="宋体" w:eastAsia="宋体" w:cs="宋体"/>
          <w:color w:val="auto"/>
          <w:spacing w:val="-12"/>
          <w:sz w:val="25"/>
          <w:szCs w:val="25"/>
          <w:highlight w:val="none"/>
        </w:rPr>
        <w:t xml:space="preserve">情况及最后报价等。</w:t>
      </w:r>
      <w:r/>
    </w:p>
    <w:p>
      <w:pPr>
        <w:spacing w:line="257" w:lineRule="auto"/>
        <w:rPr>
          <w:rFonts w:ascii="Arial"/>
          <w:color w:val="auto"/>
          <w:highlight w:val="none"/>
        </w:rPr>
      </w:pPr>
      <w:r>
        <w:rPr>
          <w:rFonts w:ascii="Arial"/>
          <w:color w:val="auto"/>
          <w:highlight w:val="none"/>
        </w:rPr>
      </w:r>
      <w:r/>
    </w:p>
    <w:p>
      <w:pPr>
        <w:pStyle w:val="1578"/>
        <w:jc w:val="left"/>
        <w:spacing w:line="360" w:lineRule="auto"/>
        <w:rPr>
          <w:color w:val="auto"/>
          <w:highlight w:val="none"/>
        </w:rPr>
      </w:pPr>
      <w:r/>
      <w:bookmarkStart w:id="81" w:name="_Toc24900"/>
      <w:r>
        <w:rPr>
          <w:rFonts w:hint="eastAsia"/>
          <w:color w:val="auto"/>
          <w:highlight w:val="none"/>
        </w:rPr>
        <w:t xml:space="preserve">六、综合评分</w:t>
      </w:r>
      <w:bookmarkEnd w:id="81"/>
      <w:r/>
      <w:r/>
    </w:p>
    <w:p>
      <w:pPr>
        <w:ind w:firstLine="480"/>
        <w:rPr>
          <w:color w:val="auto"/>
          <w:sz w:val="24"/>
          <w:highlight w:val="none"/>
        </w:rPr>
      </w:pPr>
      <w:r>
        <w:rPr>
          <w:color w:val="auto"/>
          <w:sz w:val="24"/>
          <w:highlight w:val="none"/>
        </w:rPr>
        <w:t xml:space="preserve">经磋商确定最终采购需求和提交最后报价的供应商后，磋商小组采用综合评分法对提</w:t>
      </w:r>
      <w:r/>
    </w:p>
    <w:p>
      <w:pPr>
        <w:rPr>
          <w:color w:val="auto"/>
          <w:sz w:val="24"/>
          <w:highlight w:val="none"/>
        </w:rPr>
      </w:pPr>
      <w:r>
        <w:rPr>
          <w:color w:val="auto"/>
          <w:sz w:val="24"/>
          <w:highlight w:val="none"/>
        </w:rPr>
        <w:t xml:space="preserve">交最后报价的供应商的磋商响应文件和最后报价进行综合评分，总分100分。</w:t>
      </w:r>
      <w:r>
        <w:rPr>
          <w:rFonts w:hint="eastAsia"/>
          <w:color w:val="auto"/>
          <w:sz w:val="24"/>
          <w:highlight w:val="none"/>
        </w:rPr>
        <w:t xml:space="preserve">评标委员会必须严格按照招标文件规定的评标标准和方法进行评审，不得采用招标文件未规定的标准和方法作为评审依据。</w:t>
      </w:r>
      <w:r/>
    </w:p>
    <w:p>
      <w:pPr>
        <w:rPr>
          <w:color w:val="auto"/>
          <w:highlight w:val="none"/>
        </w:rPr>
      </w:pPr>
      <w:r>
        <w:rPr>
          <w:color w:val="auto"/>
          <w:highlight w:val="none"/>
        </w:rPr>
      </w:r>
      <w:r/>
    </w:p>
    <w:p>
      <w:pPr>
        <w:spacing w:line="123" w:lineRule="exact"/>
        <w:rPr>
          <w:color w:val="auto"/>
          <w:highlight w:val="none"/>
        </w:rPr>
      </w:pPr>
      <w:r>
        <w:rPr>
          <w:color w:val="auto"/>
          <w:highlight w:val="none"/>
        </w:rPr>
      </w:r>
      <w:r/>
    </w:p>
    <w:tbl>
      <w:tblPr>
        <w:tblStyle w:val="1600"/>
        <w:tblW w:w="95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02"/>
        <w:gridCol w:w="2378"/>
        <w:gridCol w:w="2387"/>
        <w:gridCol w:w="2402"/>
      </w:tblGrid>
      <w:tr>
        <w:trPr>
          <w:jc w:val="center"/>
          <w:trHeight w:val="510"/>
        </w:trPr>
        <w:tc>
          <w:tcPr>
            <w:tcW w:w="2402" w:type="dxa"/>
            <w:textDirection w:val="lrTb"/>
            <w:noWrap w:val="false"/>
          </w:tcPr>
          <w:p>
            <w:pPr>
              <w:ind w:left="774"/>
              <w:spacing w:before="154"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评分项目</w:t>
            </w:r>
            <w:r/>
          </w:p>
        </w:tc>
        <w:tc>
          <w:tcPr>
            <w:tcW w:w="2378" w:type="dxa"/>
            <w:textDirection w:val="lrTb"/>
            <w:noWrap w:val="false"/>
          </w:tcPr>
          <w:p>
            <w:pPr>
              <w:ind w:left="763"/>
              <w:spacing w:before="151"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技术评估</w:t>
            </w:r>
            <w:r/>
          </w:p>
        </w:tc>
        <w:tc>
          <w:tcPr>
            <w:tcW w:w="2387" w:type="dxa"/>
            <w:textDirection w:val="lrTb"/>
            <w:noWrap w:val="false"/>
          </w:tcPr>
          <w:p>
            <w:pPr>
              <w:ind w:left="765"/>
              <w:spacing w:before="151"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商务评估</w:t>
            </w:r>
            <w:r/>
          </w:p>
        </w:tc>
        <w:tc>
          <w:tcPr>
            <w:tcW w:w="2402" w:type="dxa"/>
            <w:textDirection w:val="lrTb"/>
            <w:noWrap w:val="false"/>
          </w:tcPr>
          <w:p>
            <w:pPr>
              <w:ind w:left="778"/>
              <w:spacing w:before="151"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价格评估</w:t>
            </w:r>
            <w:r/>
          </w:p>
        </w:tc>
      </w:tr>
      <w:tr>
        <w:trPr>
          <w:jc w:val="center"/>
          <w:trHeight w:val="499"/>
        </w:trPr>
        <w:tc>
          <w:tcPr>
            <w:tcW w:w="2402" w:type="dxa"/>
            <w:textDirection w:val="lrTb"/>
            <w:noWrap w:val="false"/>
          </w:tcPr>
          <w:p>
            <w:pPr>
              <w:ind w:left="984"/>
              <w:spacing w:before="153"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分值</w:t>
            </w:r>
            <w:r/>
          </w:p>
        </w:tc>
        <w:tc>
          <w:tcPr>
            <w:tcW w:w="2378" w:type="dxa"/>
            <w:textDirection w:val="lrTb"/>
            <w:noWrap w:val="false"/>
          </w:tcPr>
          <w:p>
            <w:pPr>
              <w:ind w:left="912"/>
              <w:spacing w:before="207" w:line="183"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70</w:t>
            </w:r>
            <w:r/>
          </w:p>
        </w:tc>
        <w:tc>
          <w:tcPr>
            <w:tcW w:w="2387" w:type="dxa"/>
            <w:textDirection w:val="lrTb"/>
            <w:noWrap w:val="false"/>
          </w:tcPr>
          <w:p>
            <w:pPr>
              <w:ind w:left="924"/>
              <w:spacing w:before="207" w:line="183" w:lineRule="auto"/>
              <w:rPr>
                <w:rFonts w:hint="default" w:ascii="宋体" w:hAnsi="宋体" w:eastAsia="宋体" w:cs="宋体"/>
                <w:color w:val="auto"/>
                <w:sz w:val="24"/>
                <w:szCs w:val="24"/>
                <w:highlight w:val="none"/>
                <w:lang w:val="en-US"/>
              </w:rPr>
            </w:pPr>
            <w:r>
              <w:rPr>
                <w:rFonts w:hint="eastAsia" w:ascii="宋体" w:hAnsi="宋体" w:eastAsia="宋体" w:cs="宋体"/>
                <w:color w:val="auto"/>
                <w:spacing w:val="-2"/>
                <w:sz w:val="24"/>
                <w:szCs w:val="24"/>
                <w:highlight w:val="none"/>
                <w:lang w:val="en-US" w:eastAsia="zh-CN"/>
              </w:rPr>
              <w:t xml:space="preserve">20</w:t>
            </w:r>
            <w:r/>
          </w:p>
        </w:tc>
        <w:tc>
          <w:tcPr>
            <w:tcW w:w="2402" w:type="dxa"/>
            <w:textDirection w:val="lrTb"/>
            <w:noWrap w:val="false"/>
          </w:tcPr>
          <w:p>
            <w:pPr>
              <w:ind w:left="927"/>
              <w:spacing w:before="206" w:line="184"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 xml:space="preserve">1</w:t>
            </w:r>
            <w:r>
              <w:rPr>
                <w:rFonts w:hint="eastAsia" w:ascii="宋体" w:hAnsi="宋体" w:eastAsia="宋体" w:cs="宋体"/>
                <w:color w:val="auto"/>
                <w:spacing w:val="-4"/>
                <w:sz w:val="24"/>
                <w:szCs w:val="24"/>
                <w:highlight w:val="none"/>
              </w:rPr>
              <w:t xml:space="preserve">0</w:t>
            </w:r>
            <w:r/>
          </w:p>
        </w:tc>
      </w:tr>
    </w:tbl>
    <w:p>
      <w:pPr>
        <w:pStyle w:val="1578"/>
        <w:numPr>
          <w:ilvl w:val="0"/>
          <w:numId w:val="1"/>
        </w:numPr>
        <w:rPr>
          <w:color w:val="auto"/>
          <w:highlight w:val="none"/>
        </w:rPr>
      </w:pPr>
      <w:r/>
      <w:bookmarkStart w:id="82" w:name="_Toc1565"/>
      <w:r>
        <w:rPr>
          <w:rFonts w:hint="eastAsia"/>
          <w:color w:val="auto"/>
          <w:highlight w:val="none"/>
        </w:rPr>
        <w:t xml:space="preserve">技术评估</w:t>
      </w:r>
      <w:bookmarkEnd w:id="82"/>
      <w:r/>
      <w:r/>
    </w:p>
    <w:tbl>
      <w:tblPr>
        <w:tblStyle w:val="15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587"/>
        <w:gridCol w:w="6067"/>
        <w:gridCol w:w="773"/>
      </w:tblGrid>
      <w:tr>
        <w:trPr>
          <w:jc w:val="center"/>
          <w:trHeight w:val="479"/>
        </w:trPr>
        <w:tc>
          <w:tcPr>
            <w:tcW w:w="776" w:type="dxa"/>
            <w:vAlign w:val="center"/>
            <w:textDirection w:val="lrTb"/>
            <w:noWrap w:val="false"/>
          </w:tcPr>
          <w:p>
            <w:pPr>
              <w:pStyle w:val="158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56" w:type="dxa"/>
            <w:vAlign w:val="center"/>
            <w:textDirection w:val="lrTb"/>
            <w:noWrap w:val="false"/>
          </w:tcPr>
          <w:p>
            <w:pPr>
              <w:pStyle w:val="158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6419" w:type="dxa"/>
            <w:vAlign w:val="center"/>
            <w:textDirection w:val="lrTb"/>
            <w:noWrap w:val="false"/>
          </w:tcPr>
          <w:p>
            <w:pPr>
              <w:pStyle w:val="158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c>
          <w:tcPr>
            <w:tcW w:w="787" w:type="dxa"/>
            <w:vAlign w:val="center"/>
            <w:textDirection w:val="lrTb"/>
            <w:noWrap w:val="false"/>
          </w:tcPr>
          <w:p>
            <w:pPr>
              <w:pStyle w:val="158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r>
      <w:tr>
        <w:trPr>
          <w:jc w:val="center"/>
        </w:trPr>
        <w:tc>
          <w:tcPr>
            <w:gridSpan w:val="3"/>
            <w:tcW w:w="8851" w:type="dxa"/>
            <w:vAlign w:val="center"/>
            <w:textDirection w:val="lrTb"/>
            <w:noWrap w:val="false"/>
          </w:tcPr>
          <w:p>
            <w:pPr>
              <w:pStyle w:val="158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技术方案评价</w:t>
            </w:r>
            <w:r/>
          </w:p>
          <w:p>
            <w:pPr>
              <w:pStyle w:val="158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7" w:type="dxa"/>
            <w:vAlign w:val="center"/>
            <w:textDirection w:val="lrTb"/>
            <w:noWrap w:val="false"/>
          </w:tcPr>
          <w:p>
            <w:pPr>
              <w:pStyle w:val="1583"/>
              <w:ind w:firstLine="0"/>
              <w:jc w:val="center"/>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70</w:t>
            </w:r>
            <w:r/>
          </w:p>
        </w:tc>
      </w:tr>
      <w:tr>
        <w:trPr>
          <w:jc w:val="center"/>
        </w:trPr>
        <w:tc>
          <w:tcPr>
            <w:tcW w:w="776" w:type="dxa"/>
            <w:vAlign w:val="center"/>
            <w:textDirection w:val="lrTb"/>
            <w:noWrap w:val="false"/>
          </w:tcPr>
          <w:p>
            <w:pPr>
              <w:pStyle w:val="158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656" w:type="dxa"/>
            <w:vAlign w:val="center"/>
            <w:textDirection w:val="lrTb"/>
            <w:noWrap w:val="false"/>
          </w:tcPr>
          <w:p>
            <w:pPr>
              <w:jc w:val="center"/>
              <w:spacing w:line="27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GB"/>
              </w:rPr>
              <w:t xml:space="preserve">所投产品质量及技术要求</w:t>
            </w:r>
            <w:r/>
          </w:p>
        </w:tc>
        <w:tc>
          <w:tcPr>
            <w:tcW w:w="6419" w:type="dxa"/>
            <w:vAlign w:val="center"/>
            <w:textDirection w:val="lrTb"/>
            <w:noWrap w:val="false"/>
          </w:tcPr>
          <w:p>
            <w:pPr>
              <w:spacing w:line="276"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人提供的《技术要求响应及偏离表》等，结合投标人提供的相关厂商图册或检测检验报告（如有）等，就其对各设备的理解是否响应招标文件要求，功能是否合理、参数是否响应、设备性能是否满足进行详细评审。供应商所选择的产品完全满足磋商文件要求的技术参数的，得基本分</w:t>
            </w: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分。</w:t>
            </w:r>
            <w:r/>
          </w:p>
          <w:p>
            <w:pPr>
              <w:numPr>
                <w:ilvl w:val="0"/>
                <w:numId w:val="2"/>
              </w:numPr>
              <w:spacing w:line="276"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本项目标记为“★”的为关键技术要求，属于必须满足招标文件的实质性要求。对关键技术要求的负偏离的或未按要求提供承诺书的投标视同为无效投标。</w:t>
            </w:r>
            <w:r/>
          </w:p>
          <w:p>
            <w:pPr>
              <w:numPr>
                <w:ilvl w:val="0"/>
                <w:numId w:val="2"/>
              </w:numPr>
              <w:spacing w:line="276"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本项目标记“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”的技术参数，供应商所投产品的技术参数，每有一项不符合采购文件要求（负偏离）的扣</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最多扣5分</w:t>
            </w:r>
            <w:r>
              <w:rPr>
                <w:rFonts w:hint="eastAsia" w:ascii="宋体" w:hAnsi="宋体" w:eastAsia="宋体" w:cs="宋体"/>
                <w:bCs/>
                <w:color w:val="auto"/>
                <w:sz w:val="24"/>
                <w:szCs w:val="24"/>
                <w:highlight w:val="none"/>
              </w:rPr>
              <w:t xml:space="preserve">。</w:t>
            </w:r>
            <w:r/>
          </w:p>
          <w:p>
            <w:pPr>
              <w:spacing w:line="276"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3、本项目未标记“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”的技术参数，供应商所投产品的技术参数，每有一项不符合采购文件要求（负偏离）的扣</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最多扣11分</w:t>
            </w:r>
            <w:r>
              <w:rPr>
                <w:rFonts w:hint="eastAsia" w:ascii="宋体" w:hAnsi="宋体" w:eastAsia="宋体" w:cs="宋体"/>
                <w:bCs/>
                <w:color w:val="auto"/>
                <w:sz w:val="24"/>
                <w:szCs w:val="24"/>
                <w:highlight w:val="none"/>
              </w:rPr>
              <w:t xml:space="preserve">。</w:t>
            </w:r>
            <w:r/>
          </w:p>
          <w:p>
            <w:pPr>
              <w:jc w:val="left"/>
              <w:spacing w:line="276"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如招标文件要求提供但未提供相关证明材料的视为负偏离。证明材料内容与原文相同或经评委认定功能或指标不低于招标文件要求的视为符合。技术参数存在细微偏离，经评委认定不影响采购人实际使用功能和效果的，可视为响应。</w:t>
            </w:r>
            <w:r/>
          </w:p>
        </w:tc>
        <w:tc>
          <w:tcPr>
            <w:tcW w:w="787"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w:t>
            </w:r>
            <w:r/>
          </w:p>
        </w:tc>
      </w:tr>
      <w:tr>
        <w:trPr>
          <w:jc w:val="center"/>
        </w:trPr>
        <w:tc>
          <w:tcPr>
            <w:tcW w:w="776" w:type="dxa"/>
            <w:vAlign w:val="center"/>
            <w:textDirection w:val="lrTb"/>
            <w:noWrap w:val="false"/>
          </w:tcPr>
          <w:p>
            <w:pPr>
              <w:pStyle w:val="158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6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项目理解</w:t>
            </w:r>
            <w:r/>
          </w:p>
        </w:tc>
        <w:tc>
          <w:tcPr>
            <w:tcW w:w="641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根据投标人提供的项目理解方案，包括但不限于：本项目项目背景、机房布局、设备使用情况等。完全包含上述要点且满足招标文件要求的得3分，</w:t>
            </w:r>
            <w:r>
              <w:rPr>
                <w:rFonts w:hint="eastAsia" w:ascii="宋体" w:hAnsi="宋体" w:eastAsia="宋体" w:cs="宋体"/>
                <w:bCs/>
                <w:color w:val="auto"/>
                <w:sz w:val="24"/>
                <w:szCs w:val="24"/>
                <w:highlight w:val="none"/>
                <w:lang w:val="en-US" w:eastAsia="zh-CN"/>
              </w:rPr>
              <w:t xml:space="preserve">每缺一项扣1分</w:t>
            </w:r>
            <w:r>
              <w:rPr>
                <w:rFonts w:hint="eastAsia" w:ascii="宋体" w:hAnsi="宋体" w:eastAsia="宋体" w:cs="宋体"/>
                <w:bCs/>
                <w:color w:val="auto"/>
                <w:sz w:val="24"/>
                <w:szCs w:val="24"/>
                <w:highlight w:val="none"/>
              </w:rPr>
              <w:t xml:space="preserve">。实施方案贴合采购人实际的加</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方案切实可行，针对性强的加</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未提供不得分。</w:t>
            </w:r>
            <w:r>
              <w:rPr>
                <w:rFonts w:hint="eastAsia" w:ascii="宋体" w:hAnsi="宋体" w:eastAsia="宋体" w:cs="宋体"/>
                <w:i w:val="0"/>
                <w:iCs w:val="0"/>
                <w:color w:val="auto"/>
                <w:sz w:val="24"/>
                <w:szCs w:val="24"/>
                <w:highlight w:val="none"/>
                <w:u w:val="none"/>
                <w:lang w:val="en-US" w:eastAsia="zh-CN" w:bidi="ar"/>
              </w:rPr>
              <w:t xml:space="preserve"> </w:t>
            </w:r>
            <w:r/>
          </w:p>
        </w:tc>
        <w:tc>
          <w:tcPr>
            <w:tcW w:w="787"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r>
      <w:tr>
        <w:trPr>
          <w:jc w:val="center"/>
        </w:trPr>
        <w:tc>
          <w:tcPr>
            <w:tcW w:w="776" w:type="dxa"/>
            <w:vAlign w:val="center"/>
            <w:textDirection w:val="lrTb"/>
            <w:noWrap w:val="false"/>
          </w:tcPr>
          <w:p>
            <w:pPr>
              <w:pStyle w:val="158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6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施工组织方案</w:t>
            </w:r>
            <w:r/>
          </w:p>
        </w:tc>
        <w:tc>
          <w:tcPr>
            <w:tcW w:w="641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根据投标人提供的施工组织方案，包括但不限于：施工质量保证方案，施工安全保证方案，项目实施进度管控方案等。完全包含上述要点且满足招标文件要求的得3分，</w:t>
            </w:r>
            <w:r>
              <w:rPr>
                <w:rFonts w:hint="eastAsia" w:ascii="宋体" w:hAnsi="宋体" w:eastAsia="宋体" w:cs="宋体"/>
                <w:bCs/>
                <w:color w:val="auto"/>
                <w:sz w:val="24"/>
                <w:szCs w:val="24"/>
                <w:highlight w:val="none"/>
                <w:lang w:val="en-US" w:eastAsia="zh-CN"/>
              </w:rPr>
              <w:t xml:space="preserve">每缺一项扣1分</w:t>
            </w:r>
            <w:r>
              <w:rPr>
                <w:rFonts w:hint="eastAsia" w:ascii="宋体" w:hAnsi="宋体" w:eastAsia="宋体" w:cs="宋体"/>
                <w:bCs/>
                <w:color w:val="auto"/>
                <w:sz w:val="24"/>
                <w:szCs w:val="24"/>
                <w:highlight w:val="none"/>
              </w:rPr>
              <w:t xml:space="preserve">。实施方案贴合采购人实际的加</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方案切实可行，针对性强的加</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未提供不得分。</w:t>
            </w:r>
            <w:r/>
          </w:p>
        </w:tc>
        <w:tc>
          <w:tcPr>
            <w:tcW w:w="787"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r>
      <w:tr>
        <w:trPr>
          <w:jc w:val="center"/>
        </w:trPr>
        <w:tc>
          <w:tcPr>
            <w:tcW w:w="776" w:type="dxa"/>
            <w:vAlign w:val="center"/>
            <w:textDirection w:val="lrTb"/>
            <w:noWrap w:val="false"/>
          </w:tcPr>
          <w:p>
            <w:pPr>
              <w:pStyle w:val="158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656" w:type="dxa"/>
            <w:vAlign w:val="center"/>
            <w:textDirection w:val="lrTb"/>
            <w:noWrap w:val="false"/>
          </w:tcPr>
          <w:p>
            <w:pPr>
              <w:pStyle w:val="1584"/>
              <w:jc w:val="center"/>
              <w:tabs>
                <w:tab w:val="left" w:pos="525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项目售后服务方案</w:t>
            </w:r>
            <w:r/>
          </w:p>
        </w:tc>
        <w:tc>
          <w:tcPr>
            <w:tcW w:w="6419" w:type="dxa"/>
            <w:vAlign w:val="center"/>
            <w:textDirection w:val="lrTb"/>
            <w:noWrap w:val="false"/>
          </w:tcPr>
          <w:p>
            <w:pPr>
              <w:pStyle w:val="1584"/>
              <w:jc w:val="left"/>
              <w:tabs>
                <w:tab w:val="left" w:pos="525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根据投标人提供的项目售后服务方案，包括但不限于：售后服务体系、本地化服务、服务保障形式以及服务质量保证措施等方面，方案完全包含上述要点的得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每缺一项扣1分</w:t>
            </w:r>
            <w:r>
              <w:rPr>
                <w:rFonts w:hint="eastAsia" w:ascii="宋体" w:hAnsi="宋体" w:eastAsia="宋体" w:cs="宋体"/>
                <w:bCs/>
                <w:color w:val="auto"/>
                <w:sz w:val="24"/>
                <w:szCs w:val="24"/>
                <w:highlight w:val="none"/>
              </w:rPr>
              <w:t xml:space="preserve">。服务方案贴合采购人实际的加</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分。方案切实可行，针对性强的加</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未提供不得分。</w:t>
            </w:r>
            <w:r/>
          </w:p>
        </w:tc>
        <w:tc>
          <w:tcPr>
            <w:tcW w:w="787" w:type="dxa"/>
            <w:vAlign w:val="center"/>
            <w:textDirection w:val="lrTb"/>
            <w:noWrap w:val="false"/>
          </w:tcPr>
          <w:p>
            <w:pPr>
              <w:pStyle w:val="1584"/>
              <w:jc w:val="center"/>
              <w:tabs>
                <w:tab w:val="left" w:pos="5250" w:leader="none"/>
              </w:tabs>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p>
        </w:tc>
      </w:tr>
      <w:tr>
        <w:trPr>
          <w:jc w:val="center"/>
        </w:trPr>
        <w:tc>
          <w:tcPr>
            <w:tcW w:w="776" w:type="dxa"/>
            <w:vAlign w:val="center"/>
            <w:textDirection w:val="lrTb"/>
            <w:noWrap w:val="false"/>
          </w:tcPr>
          <w:p>
            <w:pPr>
              <w:pStyle w:val="158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656" w:type="dxa"/>
            <w:vAlign w:val="center"/>
            <w:textDirection w:val="lrTb"/>
            <w:noWrap w:val="false"/>
          </w:tcPr>
          <w:p>
            <w:pPr>
              <w:pStyle w:val="1584"/>
              <w:jc w:val="center"/>
              <w:tabs>
                <w:tab w:val="left" w:pos="525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项目培训方案</w:t>
            </w:r>
            <w:r/>
          </w:p>
        </w:tc>
        <w:tc>
          <w:tcPr>
            <w:tcW w:w="6419" w:type="dxa"/>
            <w:vAlign w:val="center"/>
            <w:textDirection w:val="lrTb"/>
            <w:noWrap w:val="false"/>
          </w:tcPr>
          <w:p>
            <w:pPr>
              <w:pStyle w:val="1584"/>
              <w:jc w:val="center"/>
              <w:tabs>
                <w:tab w:val="left" w:pos="525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根据投标人提供的项目培训方案，包括但不限于：培训计划、培训课程、培训对象与人数、培训地点、培训时间等方面，完全包含上述要点且满足招标文件要求的得</w:t>
            </w: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val="en-US" w:eastAsia="zh-CN"/>
              </w:rPr>
              <w:t xml:space="preserve">每缺一项扣0.5分</w:t>
            </w:r>
            <w:r>
              <w:rPr>
                <w:rFonts w:hint="eastAsia" w:ascii="宋体" w:hAnsi="宋体" w:eastAsia="宋体" w:cs="宋体"/>
                <w:bCs/>
                <w:color w:val="auto"/>
                <w:sz w:val="24"/>
                <w:szCs w:val="24"/>
                <w:highlight w:val="none"/>
              </w:rPr>
              <w:t xml:space="preserve">。实施方案贴合采购人实际的</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方案切实可行，针对性强的加</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未提供不得分。</w:t>
            </w:r>
            <w:r/>
          </w:p>
        </w:tc>
        <w:tc>
          <w:tcPr>
            <w:tcW w:w="787" w:type="dxa"/>
            <w:vAlign w:val="center"/>
            <w:textDirection w:val="lrTb"/>
            <w:noWrap w:val="false"/>
          </w:tcPr>
          <w:p>
            <w:pPr>
              <w:pStyle w:val="1584"/>
              <w:jc w:val="center"/>
              <w:tabs>
                <w:tab w:val="left" w:pos="5250" w:leader="none"/>
              </w:tabs>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6.5</w:t>
            </w:r>
            <w:r/>
          </w:p>
        </w:tc>
      </w:tr>
      <w:tr>
        <w:trPr>
          <w:jc w:val="center"/>
        </w:trPr>
        <w:tc>
          <w:tcPr>
            <w:tcW w:w="776" w:type="dxa"/>
            <w:vAlign w:val="center"/>
            <w:textDirection w:val="lrTb"/>
            <w:noWrap w:val="false"/>
          </w:tcPr>
          <w:p>
            <w:pPr>
              <w:pStyle w:val="158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6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机房环境综合提升方案</w:t>
            </w:r>
            <w:r/>
          </w:p>
        </w:tc>
        <w:tc>
          <w:tcPr>
            <w:tcW w:w="6419" w:type="dxa"/>
            <w:vAlign w:val="center"/>
            <w:textDirection w:val="lrTb"/>
            <w:noWrap w:val="false"/>
          </w:tcPr>
          <w:p>
            <w:pPr>
              <w:jc w:val="both"/>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根据投标人提供的机房环境综合提升方案，包括但不限于：区域优化整合，线缆桥架规范化整理。完全包含上述要点且满足招标文件要求的得2分，</w:t>
            </w:r>
            <w:r>
              <w:rPr>
                <w:rFonts w:hint="eastAsia" w:ascii="宋体" w:hAnsi="宋体" w:eastAsia="宋体" w:cs="宋体"/>
                <w:bCs/>
                <w:color w:val="auto"/>
                <w:sz w:val="24"/>
                <w:szCs w:val="24"/>
                <w:highlight w:val="none"/>
                <w:lang w:val="en-US" w:eastAsia="zh-CN"/>
              </w:rPr>
              <w:t xml:space="preserve">每缺一项扣1分</w:t>
            </w:r>
            <w:r>
              <w:rPr>
                <w:rFonts w:hint="eastAsia" w:ascii="宋体" w:hAnsi="宋体" w:eastAsia="宋体" w:cs="宋体"/>
                <w:bCs/>
                <w:color w:val="auto"/>
                <w:sz w:val="24"/>
                <w:szCs w:val="24"/>
                <w:highlight w:val="none"/>
              </w:rPr>
              <w:t xml:space="preserve">。实施方案贴合采购人实际的加</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方案切实可行，针对性强的加</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未提供不得分。</w:t>
            </w:r>
            <w:r>
              <w:rPr>
                <w:rFonts w:hint="eastAsia" w:ascii="宋体" w:hAnsi="宋体" w:eastAsia="宋体" w:cs="宋体"/>
                <w:i w:val="0"/>
                <w:iCs w:val="0"/>
                <w:color w:val="auto"/>
                <w:sz w:val="24"/>
                <w:szCs w:val="24"/>
                <w:highlight w:val="none"/>
                <w:u w:val="none"/>
                <w:lang w:val="en-US" w:eastAsia="zh-CN" w:bidi="ar"/>
              </w:rPr>
              <w:t xml:space="preserve"> </w:t>
            </w:r>
            <w:r/>
          </w:p>
        </w:tc>
        <w:tc>
          <w:tcPr>
            <w:tcW w:w="787"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jc w:val="center"/>
        </w:trPr>
        <w:tc>
          <w:tcPr>
            <w:tcW w:w="776" w:type="dxa"/>
            <w:vAlign w:val="center"/>
            <w:textDirection w:val="lrTb"/>
            <w:noWrap w:val="false"/>
          </w:tcPr>
          <w:p>
            <w:pPr>
              <w:pStyle w:val="1583"/>
              <w:ind w:firstLine="0"/>
              <w:jc w:val="center"/>
              <w:rPr>
                <w:rFonts w:hint="default" w:ascii="宋体" w:hAnsi="宋体" w:eastAsia="宋体" w:cs="宋体"/>
                <w:color w:val="auto"/>
                <w:sz w:val="24"/>
                <w:szCs w:val="24"/>
                <w:highlight w:val="none"/>
                <w:lang w:val="en-US" w:eastAsia="zh-CN"/>
              </w:rPr>
            </w:pPr>
            <w:r/>
            <w:bookmarkStart w:id="83" w:name="_Toc15299"/>
            <w:r>
              <w:rPr>
                <w:rFonts w:hint="eastAsia" w:ascii="宋体" w:hAnsi="宋体" w:eastAsia="宋体" w:cs="宋体"/>
                <w:color w:val="auto"/>
                <w:sz w:val="24"/>
                <w:szCs w:val="24"/>
                <w:highlight w:val="none"/>
                <w:lang w:val="en-US" w:eastAsia="zh-CN"/>
              </w:rPr>
              <w:t xml:space="preserve">1.7</w:t>
            </w:r>
            <w:r/>
          </w:p>
        </w:tc>
        <w:tc>
          <w:tcPr>
            <w:tcW w:w="1656" w:type="dxa"/>
            <w:vAlign w:val="center"/>
            <w:textDirection w:val="lrTb"/>
            <w:noWrap w:val="false"/>
          </w:tcPr>
          <w:p>
            <w:pPr>
              <w:jc w:val="center"/>
              <w:keepLines w:val="0"/>
              <w:keepNext w:val="0"/>
              <w:widowControl/>
              <w:rPr>
                <w:rFonts w:hint="eastAsia" w:ascii="宋体" w:hAnsi="宋体" w:eastAsia="宋体" w:cs="宋体"/>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UPS设备更换调测方案</w:t>
            </w:r>
            <w:r/>
          </w:p>
        </w:tc>
        <w:tc>
          <w:tcPr>
            <w:tcW w:w="6419" w:type="dxa"/>
            <w:vAlign w:val="center"/>
            <w:textDirection w:val="lrTb"/>
            <w:noWrap w:val="false"/>
          </w:tcPr>
          <w:p>
            <w:pPr>
              <w:jc w:val="both"/>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提供的UPS设备更换调测方案，包括但不限于：原UPS及电池设备拆除方案，新UPS及电池设备安装调测方案，系统割接方案，系统保障方案，大型设备物资进出场方案等。完全包含上述要点且满足招标文件要求的得2.5分，</w:t>
            </w:r>
            <w:r>
              <w:rPr>
                <w:rFonts w:hint="eastAsia" w:ascii="宋体" w:hAnsi="宋体" w:eastAsia="宋体" w:cs="宋体"/>
                <w:bCs/>
                <w:color w:val="auto"/>
                <w:sz w:val="24"/>
                <w:szCs w:val="24"/>
                <w:highlight w:val="none"/>
                <w:lang w:val="en-US" w:eastAsia="zh-CN"/>
              </w:rPr>
              <w:t xml:space="preserve">每缺一项扣0.5分</w:t>
            </w:r>
            <w:r>
              <w:rPr>
                <w:rFonts w:hint="eastAsia" w:ascii="宋体" w:hAnsi="宋体" w:eastAsia="宋体" w:cs="宋体"/>
                <w:bCs/>
                <w:color w:val="auto"/>
                <w:sz w:val="24"/>
                <w:szCs w:val="24"/>
                <w:highlight w:val="none"/>
              </w:rPr>
              <w:t xml:space="preserve">。实施方案贴合采购人实际的加</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方案切实可行，针对性强的加</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未提供不得分。</w:t>
            </w:r>
            <w:r>
              <w:rPr>
                <w:rFonts w:hint="eastAsia" w:ascii="宋体" w:hAnsi="宋体" w:eastAsia="宋体" w:cs="宋体"/>
                <w:i w:val="0"/>
                <w:iCs w:val="0"/>
                <w:color w:val="auto"/>
                <w:sz w:val="24"/>
                <w:szCs w:val="24"/>
                <w:highlight w:val="none"/>
                <w:u w:val="none"/>
                <w:lang w:val="en-US" w:eastAsia="zh-CN" w:bidi="ar"/>
              </w:rPr>
              <w:t xml:space="preserve"> </w:t>
            </w:r>
            <w:r/>
          </w:p>
        </w:tc>
        <w:tc>
          <w:tcPr>
            <w:tcW w:w="787"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r>
      <w:tr>
        <w:trPr>
          <w:jc w:val="center"/>
        </w:trPr>
        <w:tc>
          <w:tcPr>
            <w:tcW w:w="776" w:type="dxa"/>
            <w:vAlign w:val="center"/>
            <w:textDirection w:val="lrTb"/>
            <w:noWrap w:val="false"/>
          </w:tcPr>
          <w:p>
            <w:pPr>
              <w:pStyle w:val="1583"/>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w:t>
            </w:r>
            <w:r/>
          </w:p>
        </w:tc>
        <w:tc>
          <w:tcPr>
            <w:tcW w:w="1656" w:type="dxa"/>
            <w:vAlign w:val="center"/>
            <w:textDirection w:val="lrTb"/>
            <w:noWrap w:val="false"/>
          </w:tcPr>
          <w:p>
            <w:pPr>
              <w:jc w:val="center"/>
              <w:keepLines w:val="0"/>
              <w:keepNext w:val="0"/>
              <w:widowControl/>
              <w:rPr>
                <w:rFonts w:hint="eastAsia" w:ascii="宋体" w:hAnsi="宋体" w:eastAsia="宋体" w:cs="宋体"/>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机房动力环境监控方案</w:t>
            </w:r>
            <w:r/>
          </w:p>
        </w:tc>
        <w:tc>
          <w:tcPr>
            <w:tcW w:w="6419" w:type="dxa"/>
            <w:vAlign w:val="center"/>
            <w:textDirection w:val="lrTb"/>
            <w:noWrap w:val="false"/>
          </w:tcPr>
          <w:p>
            <w:pPr>
              <w:jc w:val="both"/>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根据投标人提供的机房动力环境监控方案，包括但不限于：机房温湿度、烟雾监测方案，UPS电池电压、温度、内阻监测方案，数据存储、查询、分析方案等。完全包含上述要点且满足招标文件要求的得2分，</w:t>
            </w:r>
            <w:r>
              <w:rPr>
                <w:rFonts w:hint="eastAsia" w:ascii="宋体" w:hAnsi="宋体" w:eastAsia="宋体" w:cs="宋体"/>
                <w:bCs/>
                <w:color w:val="auto"/>
                <w:sz w:val="24"/>
                <w:szCs w:val="24"/>
                <w:highlight w:val="none"/>
                <w:lang w:val="en-US" w:eastAsia="zh-CN"/>
              </w:rPr>
              <w:t xml:space="preserve">每缺一项扣0.5分</w:t>
            </w:r>
            <w:r>
              <w:rPr>
                <w:rFonts w:hint="eastAsia" w:ascii="宋体" w:hAnsi="宋体" w:eastAsia="宋体" w:cs="宋体"/>
                <w:bCs/>
                <w:color w:val="auto"/>
                <w:sz w:val="24"/>
                <w:szCs w:val="24"/>
                <w:highlight w:val="none"/>
              </w:rPr>
              <w:t xml:space="preserve">。实施方案贴合采购人实际的加</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方案切实可行，针对性强的加</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未提供不得分。</w:t>
            </w:r>
            <w:r>
              <w:rPr>
                <w:rFonts w:hint="eastAsia" w:ascii="宋体" w:hAnsi="宋体" w:eastAsia="宋体" w:cs="宋体"/>
                <w:i w:val="0"/>
                <w:iCs w:val="0"/>
                <w:color w:val="auto"/>
                <w:sz w:val="24"/>
                <w:szCs w:val="24"/>
                <w:highlight w:val="none"/>
                <w:u w:val="none"/>
                <w:lang w:val="en-US" w:eastAsia="zh-CN" w:bidi="ar"/>
              </w:rPr>
              <w:t xml:space="preserve"> </w:t>
            </w:r>
            <w:r/>
          </w:p>
        </w:tc>
        <w:tc>
          <w:tcPr>
            <w:tcW w:w="787"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jc w:val="center"/>
        </w:trPr>
        <w:tc>
          <w:tcPr>
            <w:tcW w:w="776" w:type="dxa"/>
            <w:vAlign w:val="center"/>
            <w:textDirection w:val="lrTb"/>
            <w:noWrap w:val="false"/>
          </w:tcPr>
          <w:p>
            <w:pPr>
              <w:pStyle w:val="1583"/>
              <w:ind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W w:w="1656" w:type="dxa"/>
            <w:vAlign w:val="center"/>
            <w:textDirection w:val="lrTb"/>
            <w:noWrap w:val="false"/>
          </w:tcPr>
          <w:p>
            <w:pPr>
              <w:jc w:val="center"/>
              <w:keepLines w:val="0"/>
              <w:keepNext w:val="0"/>
              <w:widowControl/>
              <w:rPr>
                <w:rFonts w:hint="eastAsia" w:ascii="宋体" w:hAnsi="宋体" w:eastAsia="宋体" w:cs="宋体"/>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机房气体消防方案</w:t>
            </w:r>
            <w:r/>
          </w:p>
        </w:tc>
        <w:tc>
          <w:tcPr>
            <w:tcW w:w="6419" w:type="dxa"/>
            <w:vAlign w:val="center"/>
            <w:textDirection w:val="lrTb"/>
            <w:noWrap w:val="false"/>
          </w:tcPr>
          <w:p>
            <w:pPr>
              <w:jc w:val="both"/>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根据投标人提供的机房气体消防方案，包括但不限于：火灾探测布局设计方案，气体灭火系统解决方案，机房防护区密闭方案等。完全包含上述要点且满足招标文件要求的得3分，</w:t>
            </w:r>
            <w:r>
              <w:rPr>
                <w:rFonts w:hint="eastAsia" w:ascii="宋体" w:hAnsi="宋体" w:eastAsia="宋体" w:cs="宋体"/>
                <w:bCs/>
                <w:color w:val="auto"/>
                <w:sz w:val="24"/>
                <w:szCs w:val="24"/>
                <w:highlight w:val="none"/>
                <w:lang w:val="en-US" w:eastAsia="zh-CN"/>
              </w:rPr>
              <w:t xml:space="preserve">每缺一项扣1分</w:t>
            </w:r>
            <w:r>
              <w:rPr>
                <w:rFonts w:hint="eastAsia" w:ascii="宋体" w:hAnsi="宋体" w:eastAsia="宋体" w:cs="宋体"/>
                <w:bCs/>
                <w:color w:val="auto"/>
                <w:sz w:val="24"/>
                <w:szCs w:val="24"/>
                <w:highlight w:val="none"/>
              </w:rPr>
              <w:t xml:space="preserve">。实施方案贴合采购人实际的加</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方案切实可行，针对性强的加</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未提供不得分。</w:t>
            </w:r>
            <w:r>
              <w:rPr>
                <w:rFonts w:hint="eastAsia" w:ascii="宋体" w:hAnsi="宋体" w:eastAsia="宋体" w:cs="宋体"/>
                <w:i w:val="0"/>
                <w:iCs w:val="0"/>
                <w:color w:val="auto"/>
                <w:sz w:val="24"/>
                <w:szCs w:val="24"/>
                <w:highlight w:val="none"/>
                <w:u w:val="none"/>
                <w:lang w:val="en-US" w:eastAsia="zh-CN" w:bidi="ar"/>
              </w:rPr>
              <w:t xml:space="preserve"> </w:t>
            </w:r>
            <w:r/>
          </w:p>
        </w:tc>
        <w:tc>
          <w:tcPr>
            <w:tcW w:w="787"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bl>
    <w:p>
      <w:pPr>
        <w:pStyle w:val="1578"/>
        <w:numPr>
          <w:ilvl w:val="0"/>
          <w:numId w:val="1"/>
        </w:numPr>
        <w:rPr>
          <w:color w:val="auto"/>
          <w:highlight w:val="none"/>
        </w:rPr>
      </w:pPr>
      <w:r>
        <w:rPr>
          <w:rFonts w:hint="eastAsia"/>
          <w:color w:val="auto"/>
          <w:highlight w:val="none"/>
        </w:rPr>
        <w:t xml:space="preserve">商务评估</w:t>
      </w:r>
      <w:bookmarkEnd w:id="83"/>
      <w:r/>
      <w:r/>
    </w:p>
    <w:tbl>
      <w:tblPr>
        <w:tblStyle w:val="15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691"/>
        <w:gridCol w:w="5921"/>
        <w:gridCol w:w="816"/>
      </w:tblGrid>
      <w:tr>
        <w:trPr>
          <w:jc w:val="center"/>
          <w:trHeight w:val="568"/>
        </w:trPr>
        <w:tc>
          <w:tcPr>
            <w:tcW w:w="7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7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62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c>
          <w:tcPr>
            <w:tcW w:w="7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r>
      <w:tr>
        <w:trPr>
          <w:jc w:val="center"/>
          <w:trHeight w:val="573"/>
        </w:trPr>
        <w:tc>
          <w:tcPr>
            <w:gridSpan w:val="3"/>
            <w:tcW w:w="8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商务评价</w:t>
            </w:r>
            <w:r/>
          </w:p>
        </w:tc>
        <w:tc>
          <w:tcPr>
            <w:tcW w:w="7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.00</w:t>
            </w:r>
            <w:r/>
          </w:p>
        </w:tc>
      </w:tr>
      <w:tr>
        <w:trPr>
          <w:jc w:val="center"/>
          <w:trHeight w:val="1040"/>
        </w:trPr>
        <w:tc>
          <w:tcPr>
            <w:tcW w:w="7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p>
        </w:tc>
        <w:tc>
          <w:tcPr>
            <w:tcW w:w="17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628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项目经理具备机电工程类二级建造师证书得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分，具备中级职称得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注：提供有效证书扫描件（能够官网查询的，可提供官网链接及官网截图）和近半年（</w:t>
            </w:r>
            <w:r>
              <w:rPr>
                <w:rFonts w:hint="eastAsia" w:ascii="宋体" w:hAnsi="宋体" w:eastAsia="宋体" w:cs="宋体"/>
                <w:color w:val="auto"/>
                <w:sz w:val="24"/>
                <w:szCs w:val="24"/>
                <w:highlight w:val="none"/>
                <w:lang w:val="en-US" w:eastAsia="zh-CN"/>
              </w:rPr>
              <w:t xml:space="preserve">任意</w:t>
            </w:r>
            <w:r>
              <w:rPr>
                <w:rFonts w:hint="eastAsia" w:ascii="宋体" w:hAnsi="宋体" w:eastAsia="宋体" w:cs="宋体"/>
                <w:color w:val="auto"/>
                <w:sz w:val="24"/>
                <w:szCs w:val="24"/>
                <w:highlight w:val="none"/>
              </w:rPr>
              <w:t xml:space="preserve">一个月）投标人为其缴纳的社会保险证明材料，否则不得分。</w:t>
            </w:r>
            <w:r/>
          </w:p>
        </w:tc>
        <w:tc>
          <w:tcPr>
            <w:tcW w:w="7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w:t>
            </w:r>
            <w:r/>
          </w:p>
        </w:tc>
      </w:tr>
      <w:tr>
        <w:trPr>
          <w:jc w:val="center"/>
          <w:trHeight w:val="1040"/>
        </w:trPr>
        <w:tc>
          <w:tcPr>
            <w:tcW w:w="77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p>
        </w:tc>
        <w:tc>
          <w:tcPr>
            <w:tcW w:w="17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项目团队</w:t>
            </w:r>
            <w:r/>
          </w:p>
        </w:tc>
        <w:tc>
          <w:tcPr>
            <w:tcW w:w="62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项目团队成员（项目经理除外）具有电工证、安全员证，每提供一类证书得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注：提供有效证书扫描件（能够官网查询的，可提供官网链接及官网截图）和近半年（至少一个月）投标人为其缴纳的社会保险证明材料，否则不得分。</w:t>
            </w:r>
            <w:r/>
          </w:p>
        </w:tc>
        <w:tc>
          <w:tcPr>
            <w:tcW w:w="787"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8.00</w:t>
            </w:r>
            <w:r/>
          </w:p>
        </w:tc>
      </w:tr>
      <w:tr>
        <w:trPr>
          <w:jc w:val="center"/>
          <w:trHeight w:val="1040"/>
        </w:trPr>
        <w:tc>
          <w:tcPr>
            <w:tcW w:w="77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w:t>
            </w:r>
            <w:r/>
          </w:p>
        </w:tc>
        <w:tc>
          <w:tcPr>
            <w:tcW w:w="17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项目经验</w:t>
            </w:r>
            <w:r/>
          </w:p>
        </w:tc>
        <w:tc>
          <w:tcPr>
            <w:tcW w:w="62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投标人提供的202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年1月1日以来自身承接的类似项目案例</w:t>
            </w:r>
            <w:r>
              <w:rPr>
                <w:rFonts w:hint="eastAsia" w:ascii="宋体" w:hAnsi="宋体" w:eastAsia="宋体" w:cs="宋体"/>
                <w:color w:val="auto"/>
                <w:sz w:val="24"/>
                <w:szCs w:val="24"/>
                <w:highlight w:val="none"/>
                <w:lang w:eastAsia="zh-CN"/>
              </w:rPr>
              <w:t xml:space="preserve">，项目中包含消防系统、UPS的调试调测等，每提供一个案例的得 3分，最高得 3分</w:t>
            </w:r>
            <w:r>
              <w:rPr>
                <w:rFonts w:hint="eastAsia" w:ascii="宋体" w:hAnsi="宋体" w:eastAsia="宋体" w:cs="宋体"/>
                <w:color w:val="auto"/>
                <w:sz w:val="24"/>
                <w:szCs w:val="24"/>
                <w:highlight w:val="none"/>
              </w:rPr>
              <w:t xml:space="preserve">。注：须提供相关合同及清单扫描件，否则不得分。</w:t>
            </w:r>
            <w:r/>
          </w:p>
        </w:tc>
        <w:tc>
          <w:tcPr>
            <w:tcW w:w="787"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3.00</w:t>
            </w:r>
            <w:r/>
          </w:p>
        </w:tc>
      </w:tr>
      <w:tr>
        <w:trPr>
          <w:jc w:val="center"/>
          <w:trHeight w:val="1040"/>
        </w:trPr>
        <w:tc>
          <w:tcPr>
            <w:tcW w:w="77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p>
        </w:tc>
        <w:tc>
          <w:tcPr>
            <w:tcW w:w="1787" w:type="dxa"/>
            <w:vAlign w:val="center"/>
            <w:textDirection w:val="lrTb"/>
            <w:noWrap w:val="false"/>
          </w:tcPr>
          <w:p>
            <w:pPr>
              <w:pStyle w:val="1621"/>
              <w:jc w:val="center"/>
              <w:spacing w:before="78" w:line="220" w:lineRule="auto"/>
              <w:rPr>
                <w:rFonts w:hint="eastAsia" w:ascii="宋体" w:hAnsi="宋体" w:eastAsia="宋体" w:cs="宋体"/>
                <w:color w:val="auto"/>
                <w:sz w:val="24"/>
                <w:szCs w:val="24"/>
                <w:highlight w:val="none"/>
              </w:rPr>
            </w:pPr>
            <w:r>
              <w:rPr>
                <w:rFonts w:hint="eastAsia"/>
                <w:color w:val="auto"/>
                <w:spacing w:val="-4"/>
                <w:highlight w:val="none"/>
                <w:lang w:val="en-US" w:eastAsia="zh-CN"/>
              </w:rPr>
              <w:t xml:space="preserve">企业资质</w:t>
            </w:r>
            <w:r/>
          </w:p>
        </w:tc>
        <w:tc>
          <w:tcPr>
            <w:tcW w:w="6288" w:type="dxa"/>
            <w:vAlign w:val="top"/>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具有以下资质的：ISO9001 质量管理体系认证、ISO14001 环境管理体系认证、ISO45001 职业健康管理体系认证，每有一个有效的证书得1分，最高得3分。</w:t>
            </w:r>
            <w:r/>
          </w:p>
          <w:p>
            <w:pPr>
              <w:pStyle w:val="1621"/>
              <w:spacing w:before="39" w:line="219" w:lineRule="auto"/>
              <w:rPr>
                <w:rFonts w:hint="eastAsia" w:ascii="宋体" w:hAnsi="宋体" w:eastAsia="宋体" w:cs="宋体"/>
                <w:color w:val="auto"/>
                <w:sz w:val="24"/>
                <w:szCs w:val="24"/>
                <w:highlight w:val="none"/>
              </w:rPr>
            </w:pPr>
            <w:r>
              <w:rPr>
                <w:rFonts w:ascii="宋体" w:hAnsi="宋体" w:eastAsia="宋体" w:cs="宋体"/>
                <w:color w:val="auto"/>
                <w:sz w:val="24"/>
                <w:highlight w:val="none"/>
              </w:rPr>
              <w:t xml:space="preserve">注：提供有效的证书扫描件（或提供官方网站证书查询截图及网址），否则不得分。</w:t>
            </w:r>
            <w:r/>
          </w:p>
        </w:tc>
        <w:tc>
          <w:tcPr>
            <w:tcW w:w="787" w:type="dxa"/>
            <w:vAlign w:val="center"/>
            <w:textDirection w:val="lrTb"/>
            <w:noWrap w:val="false"/>
          </w:tcPr>
          <w:p>
            <w:pPr>
              <w:pStyle w:val="1621"/>
              <w:jc w:val="center"/>
              <w:spacing w:before="78" w:line="239" w:lineRule="auto"/>
              <w:rPr>
                <w:rFonts w:hint="eastAsia" w:ascii="宋体" w:hAnsi="宋体" w:eastAsia="宋体" w:cs="宋体"/>
                <w:color w:val="auto"/>
                <w:sz w:val="24"/>
                <w:szCs w:val="24"/>
                <w:highlight w:val="none"/>
                <w:lang w:val="en-US" w:eastAsia="zh-CN"/>
              </w:rPr>
            </w:pPr>
            <w:r>
              <w:rPr>
                <w:rFonts w:hint="eastAsia"/>
                <w:color w:val="auto"/>
                <w:spacing w:val="-6"/>
                <w:highlight w:val="none"/>
                <w:lang w:val="en-US" w:eastAsia="zh-CN"/>
              </w:rPr>
              <w:t xml:space="preserve">3.00</w:t>
            </w:r>
            <w:r/>
          </w:p>
        </w:tc>
      </w:tr>
    </w:tbl>
    <w:p>
      <w:pPr>
        <w:pStyle w:val="1583"/>
        <w:rPr>
          <w:color w:val="auto"/>
          <w:highlight w:val="none"/>
        </w:rPr>
      </w:pPr>
      <w:r>
        <w:rPr>
          <w:color w:val="auto"/>
          <w:highlight w:val="none"/>
        </w:rPr>
      </w:r>
      <w:r/>
    </w:p>
    <w:p>
      <w:pPr>
        <w:pStyle w:val="1578"/>
        <w:numPr>
          <w:ilvl w:val="0"/>
          <w:numId w:val="1"/>
        </w:numPr>
        <w:rPr>
          <w:color w:val="auto"/>
          <w:highlight w:val="none"/>
        </w:rPr>
      </w:pPr>
      <w:r/>
      <w:bookmarkStart w:id="84" w:name="_Toc9518"/>
      <w:r>
        <w:rPr>
          <w:rFonts w:hint="eastAsia"/>
          <w:color w:val="auto"/>
          <w:highlight w:val="none"/>
        </w:rPr>
        <w:t xml:space="preserve">价格评估</w:t>
      </w:r>
      <w:bookmarkEnd w:id="84"/>
      <w:r/>
      <w:r/>
    </w:p>
    <w:tbl>
      <w:tblPr>
        <w:tblStyle w:val="15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695"/>
        <w:gridCol w:w="5917"/>
        <w:gridCol w:w="817"/>
      </w:tblGrid>
      <w:tr>
        <w:trPr>
          <w:jc w:val="center"/>
          <w:trHeight w:val="516"/>
        </w:trPr>
        <w:tc>
          <w:tcPr>
            <w:tcW w:w="7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7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62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c>
          <w:tcPr>
            <w:tcW w:w="7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r>
      <w:tr>
        <w:trPr>
          <w:jc w:val="center"/>
          <w:trHeight w:val="564"/>
        </w:trPr>
        <w:tc>
          <w:tcPr>
            <w:gridSpan w:val="3"/>
            <w:tcW w:w="8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报价评价</w:t>
            </w:r>
            <w:r/>
          </w:p>
        </w:tc>
        <w:tc>
          <w:tcPr>
            <w:tcW w:w="7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0.00</w:t>
            </w:r>
            <w:r/>
          </w:p>
        </w:tc>
      </w:tr>
      <w:tr>
        <w:trPr>
          <w:jc w:val="center"/>
          <w:trHeight w:val="1475"/>
        </w:trPr>
        <w:tc>
          <w:tcPr>
            <w:tcW w:w="7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7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报价得分</w:t>
            </w:r>
            <w:r/>
          </w:p>
        </w:tc>
        <w:tc>
          <w:tcPr>
            <w:tcW w:w="62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w:t>
            </w:r>
            <w:r/>
          </w:p>
        </w:tc>
        <w:tc>
          <w:tcPr>
            <w:tcW w:w="7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0.00</w:t>
            </w:r>
            <w:r/>
          </w:p>
        </w:tc>
      </w:tr>
    </w:tbl>
    <w:p>
      <w:pPr>
        <w:rPr>
          <w:color w:val="auto"/>
          <w:highlight w:val="none"/>
        </w:rPr>
      </w:pPr>
      <w:r>
        <w:rPr>
          <w:color w:val="auto"/>
          <w:highlight w:val="none"/>
        </w:rPr>
      </w:r>
      <w:r/>
    </w:p>
    <w:p>
      <w:pPr>
        <w:pStyle w:val="1578"/>
        <w:jc w:val="left"/>
        <w:spacing w:line="360" w:lineRule="auto"/>
        <w:rPr>
          <w:color w:val="auto"/>
          <w:highlight w:val="none"/>
        </w:rPr>
      </w:pPr>
      <w:r/>
      <w:bookmarkStart w:id="85" w:name="_Toc9478"/>
      <w:r>
        <w:rPr>
          <w:rFonts w:hint="eastAsia"/>
          <w:color w:val="auto"/>
          <w:highlight w:val="none"/>
        </w:rPr>
        <w:t xml:space="preserve">七、推荐成交供应商</w:t>
      </w:r>
      <w:bookmarkEnd w:id="85"/>
      <w:r/>
      <w:r/>
    </w:p>
    <w:p>
      <w:pPr>
        <w:spacing w:line="262" w:lineRule="auto"/>
        <w:rPr>
          <w:rFonts w:ascii="Arial"/>
          <w:color w:val="auto"/>
          <w:highlight w:val="none"/>
        </w:rPr>
      </w:pPr>
      <w:r>
        <w:rPr>
          <w:rFonts w:ascii="Arial"/>
          <w:color w:val="auto"/>
          <w:highlight w:val="none"/>
        </w:rPr>
      </w:r>
      <w:r/>
    </w:p>
    <w:p>
      <w:pPr>
        <w:ind w:left="124" w:right="34" w:firstLine="480"/>
        <w:spacing w:before="78" w:line="361" w:lineRule="auto"/>
        <w:rPr>
          <w:rFonts w:ascii="宋体" w:hAnsi="宋体" w:eastAsia="宋体" w:cs="宋体"/>
          <w:color w:val="auto"/>
          <w:sz w:val="24"/>
          <w:highlight w:val="none"/>
        </w:rPr>
      </w:pPr>
      <w:r>
        <w:rPr>
          <w:rFonts w:ascii="宋体" w:hAnsi="宋体" w:eastAsia="宋体" w:cs="宋体"/>
          <w:color w:val="auto"/>
          <w:spacing w:val="2"/>
          <w:sz w:val="24"/>
          <w:highlight w:val="none"/>
        </w:rPr>
        <w:t xml:space="preserve">磋商小组应当根据综合评分情况，按照评审得分由高到低顺序推荐3名以上成交候选</w:t>
      </w:r>
      <w:r>
        <w:rPr>
          <w:rFonts w:ascii="宋体" w:hAnsi="宋体" w:eastAsia="宋体" w:cs="宋体"/>
          <w:color w:val="auto"/>
          <w:spacing w:val="-1"/>
          <w:sz w:val="24"/>
          <w:highlight w:val="none"/>
        </w:rPr>
        <w:t xml:space="preserve">供应商，并编写评审报告。符合《政府采购竞争性磋商采购方式管理暂</w:t>
      </w:r>
      <w:r>
        <w:rPr>
          <w:rFonts w:ascii="宋体" w:hAnsi="宋体" w:eastAsia="宋体" w:cs="宋体"/>
          <w:color w:val="auto"/>
          <w:spacing w:val="-2"/>
          <w:sz w:val="24"/>
          <w:highlight w:val="none"/>
        </w:rPr>
        <w:t xml:space="preserve">行办法》第二十一</w:t>
      </w:r>
      <w:r>
        <w:rPr>
          <w:rFonts w:ascii="宋体" w:hAnsi="宋体" w:eastAsia="宋体" w:cs="宋体"/>
          <w:color w:val="auto"/>
          <w:spacing w:val="-4"/>
          <w:sz w:val="24"/>
          <w:highlight w:val="none"/>
        </w:rPr>
        <w:t xml:space="preserve">条第三款、《财政部关于政府采购竞争性磋商</w:t>
      </w:r>
      <w:r>
        <w:rPr>
          <w:rFonts w:ascii="宋体" w:hAnsi="宋体" w:eastAsia="宋体" w:cs="宋体"/>
          <w:color w:val="auto"/>
          <w:spacing w:val="-5"/>
          <w:sz w:val="24"/>
          <w:highlight w:val="none"/>
        </w:rPr>
        <w:t xml:space="preserve">采购方式管理暂行办法有关问题的补充通知》</w:t>
      </w:r>
      <w:r>
        <w:rPr>
          <w:rFonts w:ascii="宋体" w:hAnsi="宋体" w:eastAsia="宋体" w:cs="宋体"/>
          <w:color w:val="auto"/>
          <w:spacing w:val="2"/>
          <w:sz w:val="24"/>
          <w:highlight w:val="none"/>
        </w:rPr>
        <w:t xml:space="preserve">规定情形的，可以推荐2家成交候选供应商。评审得分相同的，按照最后报价由低到高的</w:t>
      </w:r>
      <w:bookmarkStart w:id="113" w:name="_GoBack"/>
      <w:r/>
      <w:bookmarkEnd w:id="113"/>
      <w:r>
        <w:rPr>
          <w:rFonts w:ascii="宋体" w:hAnsi="宋体" w:eastAsia="宋体" w:cs="宋体"/>
          <w:color w:val="auto"/>
          <w:spacing w:val="-2"/>
          <w:sz w:val="24"/>
          <w:highlight w:val="none"/>
        </w:rPr>
        <w:t xml:space="preserve">顺序推荐。评审得分且最后报价相同的，按照技术指标优劣顺序推荐。</w:t>
      </w:r>
      <w:r/>
    </w:p>
    <w:p>
      <w:pPr>
        <w:rPr>
          <w:color w:val="auto"/>
          <w:highlight w:val="none"/>
        </w:rPr>
        <w:sectPr>
          <w:footerReference w:type="default" r:id="rId27"/>
          <w:footnotePr/>
          <w:endnotePr/>
          <w:type w:val="nextPage"/>
          <w:pgSz w:w="11900" w:h="16840" w:orient="portrait"/>
          <w:pgMar w:top="1440" w:right="1463" w:bottom="1440" w:left="1463" w:header="0" w:footer="1262" w:gutter="0"/>
          <w:cols w:num="1" w:sep="0" w:space="720" w:equalWidth="1"/>
          <w:docGrid w:linePitch="360"/>
        </w:sectPr>
      </w:pPr>
      <w:r>
        <w:rPr>
          <w:color w:val="auto"/>
          <w:highlight w:val="none"/>
        </w:rPr>
      </w:r>
      <w:r/>
    </w:p>
    <w:p>
      <w:pPr>
        <w:pStyle w:val="1577"/>
        <w:jc w:val="center"/>
        <w:spacing w:line="360" w:lineRule="auto"/>
        <w:rPr>
          <w:color w:val="auto"/>
          <w:highlight w:val="none"/>
        </w:rPr>
      </w:pPr>
      <w:r/>
      <w:bookmarkStart w:id="86" w:name="_Toc8101"/>
      <w:r>
        <w:rPr>
          <w:rFonts w:hint="eastAsia"/>
          <w:color w:val="auto"/>
          <w:highlight w:val="none"/>
        </w:rPr>
        <w:t xml:space="preserve">第六部分 磋商响应文件(格式)</w:t>
      </w:r>
      <w:bookmarkEnd w:id="86"/>
      <w:r/>
      <w:r/>
    </w:p>
    <w:p>
      <w:pPr>
        <w:spacing w:line="268" w:lineRule="auto"/>
        <w:rPr>
          <w:rFonts w:ascii="Arial"/>
          <w:color w:val="auto"/>
          <w:highlight w:val="none"/>
        </w:rPr>
      </w:pPr>
      <w:r>
        <w:rPr>
          <w:rFonts w:ascii="Arial"/>
          <w:color w:val="auto"/>
          <w:highlight w:val="none"/>
        </w:rPr>
      </w:r>
      <w:r/>
    </w:p>
    <w:p>
      <w:pPr>
        <w:spacing w:line="268" w:lineRule="auto"/>
        <w:rPr>
          <w:rFonts w:ascii="Arial"/>
          <w:color w:val="auto"/>
          <w:highlight w:val="none"/>
        </w:rPr>
      </w:pPr>
      <w:r>
        <w:rPr>
          <w:rFonts w:ascii="Arial"/>
          <w:color w:val="auto"/>
          <w:highlight w:val="none"/>
        </w:rPr>
      </w:r>
      <w:r/>
    </w:p>
    <w:p>
      <w:pPr>
        <w:spacing w:line="268" w:lineRule="auto"/>
        <w:rPr>
          <w:rFonts w:ascii="Arial"/>
          <w:color w:val="auto"/>
          <w:highlight w:val="none"/>
        </w:rPr>
      </w:pPr>
      <w:r>
        <w:rPr>
          <w:rFonts w:ascii="Arial"/>
          <w:color w:val="auto"/>
          <w:highlight w:val="none"/>
        </w:rPr>
      </w:r>
      <w:r/>
    </w:p>
    <w:p>
      <w:pPr>
        <w:spacing w:line="269" w:lineRule="auto"/>
        <w:rPr>
          <w:rFonts w:ascii="Arial"/>
          <w:color w:val="auto"/>
          <w:highlight w:val="none"/>
        </w:rPr>
      </w:pPr>
      <w:r>
        <w:rPr>
          <w:rFonts w:ascii="Arial"/>
          <w:color w:val="auto"/>
          <w:highlight w:val="none"/>
        </w:rPr>
      </w:r>
      <w:r/>
    </w:p>
    <w:p>
      <w:pPr>
        <w:spacing w:line="269" w:lineRule="auto"/>
        <w:rPr>
          <w:rFonts w:ascii="Arial"/>
          <w:color w:val="auto"/>
          <w:highlight w:val="none"/>
        </w:rPr>
      </w:pPr>
      <w:r>
        <w:rPr>
          <w:rFonts w:ascii="Arial"/>
          <w:color w:val="auto"/>
          <w:highlight w:val="none"/>
        </w:rPr>
      </w:r>
      <w:r/>
    </w:p>
    <w:p>
      <w:pPr>
        <w:spacing w:line="269" w:lineRule="auto"/>
        <w:rPr>
          <w:rFonts w:ascii="Arial"/>
          <w:color w:val="auto"/>
          <w:highlight w:val="none"/>
        </w:rPr>
      </w:pPr>
      <w:r>
        <w:rPr>
          <w:rFonts w:ascii="Arial"/>
          <w:color w:val="auto"/>
          <w:highlight w:val="none"/>
        </w:rPr>
      </w:r>
      <w:r/>
    </w:p>
    <w:p>
      <w:pPr>
        <w:jc w:val="center"/>
        <w:rPr>
          <w:b/>
          <w:bCs/>
          <w:color w:val="auto"/>
          <w:sz w:val="44"/>
          <w:szCs w:val="44"/>
          <w:highlight w:val="none"/>
        </w:rPr>
        <w:outlineLvl w:val="1"/>
      </w:pPr>
      <w:r/>
      <w:bookmarkStart w:id="87" w:name="_Toc30216"/>
      <w:r>
        <w:rPr>
          <w:b/>
          <w:bCs/>
          <w:color w:val="auto"/>
          <w:sz w:val="44"/>
          <w:szCs w:val="44"/>
          <w:highlight w:val="none"/>
        </w:rPr>
        <w:t xml:space="preserve">磋商响应文件</w:t>
      </w:r>
      <w:bookmarkEnd w:id="87"/>
      <w:r/>
      <w:r/>
    </w:p>
    <w:p>
      <w:pPr>
        <w:jc w:val="center"/>
        <w:spacing w:line="260" w:lineRule="auto"/>
        <w:rPr>
          <w:rFonts w:ascii="Arial"/>
          <w:color w:val="auto"/>
          <w:highlight w:val="none"/>
        </w:rPr>
      </w:pPr>
      <w:r>
        <w:rPr>
          <w:rFonts w:ascii="Arial"/>
          <w:color w:val="auto"/>
          <w:highlight w:val="none"/>
        </w:rPr>
      </w:r>
      <w:r/>
    </w:p>
    <w:p>
      <w:pPr>
        <w:jc w:val="center"/>
        <w:spacing w:line="260" w:lineRule="auto"/>
        <w:rPr>
          <w:rFonts w:ascii="Arial"/>
          <w:color w:val="auto"/>
          <w:highlight w:val="none"/>
        </w:rPr>
      </w:pPr>
      <w:r>
        <w:rPr>
          <w:rFonts w:ascii="Arial"/>
          <w:color w:val="auto"/>
          <w:highlight w:val="none"/>
        </w:rPr>
      </w:r>
      <w:r/>
    </w:p>
    <w:p>
      <w:pPr>
        <w:jc w:val="center"/>
        <w:spacing w:line="260" w:lineRule="auto"/>
        <w:rPr>
          <w:rFonts w:ascii="Arial"/>
          <w:color w:val="auto"/>
          <w:highlight w:val="none"/>
        </w:rPr>
      </w:pPr>
      <w:r>
        <w:rPr>
          <w:rFonts w:ascii="Arial"/>
          <w:color w:val="auto"/>
          <w:highlight w:val="none"/>
        </w:rPr>
      </w:r>
      <w:r/>
    </w:p>
    <w:p>
      <w:pPr>
        <w:jc w:val="center"/>
        <w:spacing w:line="260" w:lineRule="auto"/>
        <w:rPr>
          <w:rFonts w:ascii="Arial"/>
          <w:color w:val="auto"/>
          <w:highlight w:val="none"/>
        </w:rPr>
      </w:pPr>
      <w:r>
        <w:rPr>
          <w:rFonts w:ascii="Arial"/>
          <w:color w:val="auto"/>
          <w:highlight w:val="none"/>
        </w:rPr>
      </w:r>
      <w:r/>
    </w:p>
    <w:p>
      <w:pPr>
        <w:jc w:val="center"/>
        <w:spacing w:line="260" w:lineRule="auto"/>
        <w:rPr>
          <w:rFonts w:ascii="Arial"/>
          <w:color w:val="auto"/>
          <w:highlight w:val="none"/>
        </w:rPr>
      </w:pPr>
      <w:r>
        <w:rPr>
          <w:rFonts w:ascii="Arial"/>
          <w:color w:val="auto"/>
          <w:highlight w:val="none"/>
        </w:rPr>
      </w:r>
      <w:r/>
    </w:p>
    <w:p>
      <w:pPr>
        <w:jc w:val="center"/>
        <w:spacing w:before="107" w:line="219" w:lineRule="auto"/>
        <w:rPr>
          <w:rFonts w:ascii="宋体" w:hAnsi="宋体" w:eastAsia="宋体" w:cs="宋体"/>
          <w:color w:val="auto"/>
          <w:sz w:val="30"/>
          <w:szCs w:val="30"/>
          <w:highlight w:val="none"/>
        </w:rPr>
      </w:pPr>
      <w:r>
        <w:rPr>
          <w:rFonts w:ascii="宋体" w:hAnsi="宋体" w:eastAsia="宋体" w:cs="宋体"/>
          <w:b/>
          <w:bCs/>
          <w:color w:val="auto"/>
          <w:spacing w:val="-24"/>
          <w:sz w:val="30"/>
          <w:szCs w:val="30"/>
          <w:highlight w:val="none"/>
        </w:rPr>
        <w:t xml:space="preserve">项目编号：</w:t>
      </w:r>
      <w:r/>
    </w:p>
    <w:p>
      <w:pPr>
        <w:jc w:val="center"/>
        <w:spacing w:line="268" w:lineRule="auto"/>
        <w:rPr>
          <w:rFonts w:ascii="Arial"/>
          <w:color w:val="auto"/>
          <w:highlight w:val="none"/>
        </w:rPr>
      </w:pPr>
      <w:r>
        <w:rPr>
          <w:rFonts w:ascii="Arial"/>
          <w:color w:val="auto"/>
          <w:highlight w:val="none"/>
        </w:rPr>
      </w:r>
      <w:r/>
    </w:p>
    <w:p>
      <w:pPr>
        <w:jc w:val="center"/>
        <w:spacing w:line="268" w:lineRule="auto"/>
        <w:rPr>
          <w:rFonts w:ascii="Arial"/>
          <w:color w:val="auto"/>
          <w:highlight w:val="none"/>
        </w:rPr>
      </w:pPr>
      <w:r>
        <w:rPr>
          <w:rFonts w:ascii="Arial"/>
          <w:color w:val="auto"/>
          <w:highlight w:val="none"/>
        </w:rPr>
      </w:r>
      <w:r/>
    </w:p>
    <w:p>
      <w:pPr>
        <w:jc w:val="center"/>
        <w:spacing w:line="269" w:lineRule="auto"/>
        <w:rPr>
          <w:rFonts w:ascii="Arial"/>
          <w:color w:val="auto"/>
          <w:highlight w:val="none"/>
        </w:rPr>
      </w:pPr>
      <w:r>
        <w:rPr>
          <w:rFonts w:ascii="Arial"/>
          <w:color w:val="auto"/>
          <w:highlight w:val="none"/>
        </w:rPr>
      </w:r>
      <w:r/>
    </w:p>
    <w:p>
      <w:pPr>
        <w:jc w:val="center"/>
        <w:spacing w:line="269" w:lineRule="auto"/>
        <w:rPr>
          <w:rFonts w:ascii="Arial"/>
          <w:color w:val="auto"/>
          <w:highlight w:val="none"/>
        </w:rPr>
      </w:pPr>
      <w:r>
        <w:rPr>
          <w:rFonts w:ascii="Arial"/>
          <w:color w:val="auto"/>
          <w:highlight w:val="none"/>
        </w:rPr>
      </w:r>
      <w:r/>
    </w:p>
    <w:p>
      <w:pPr>
        <w:jc w:val="center"/>
        <w:spacing w:line="269" w:lineRule="auto"/>
        <w:rPr>
          <w:rFonts w:ascii="Arial"/>
          <w:color w:val="auto"/>
          <w:highlight w:val="none"/>
        </w:rPr>
      </w:pPr>
      <w:r>
        <w:rPr>
          <w:rFonts w:ascii="Arial"/>
          <w:color w:val="auto"/>
          <w:highlight w:val="none"/>
        </w:rPr>
      </w:r>
      <w:r/>
    </w:p>
    <w:p>
      <w:pPr>
        <w:jc w:val="center"/>
        <w:spacing w:line="269" w:lineRule="auto"/>
        <w:rPr>
          <w:rFonts w:ascii="Arial"/>
          <w:color w:val="auto"/>
          <w:highlight w:val="none"/>
        </w:rPr>
      </w:pPr>
      <w:r>
        <w:rPr>
          <w:rFonts w:ascii="Arial"/>
          <w:color w:val="auto"/>
          <w:highlight w:val="none"/>
        </w:rPr>
      </w:r>
      <w:r/>
    </w:p>
    <w:p>
      <w:pPr>
        <w:jc w:val="center"/>
        <w:spacing w:before="107" w:line="219" w:lineRule="auto"/>
        <w:rPr>
          <w:rFonts w:ascii="宋体" w:hAnsi="宋体" w:eastAsia="宋体" w:cs="宋体"/>
          <w:b/>
          <w:bCs/>
          <w:color w:val="auto"/>
          <w:spacing w:val="-24"/>
          <w:sz w:val="30"/>
          <w:szCs w:val="30"/>
          <w:highlight w:val="none"/>
        </w:rPr>
      </w:pPr>
      <w:r>
        <w:rPr>
          <w:rFonts w:ascii="宋体" w:hAnsi="宋体" w:eastAsia="宋体" w:cs="宋体"/>
          <w:b/>
          <w:bCs/>
          <w:color w:val="auto"/>
          <w:spacing w:val="-24"/>
          <w:sz w:val="30"/>
          <w:szCs w:val="30"/>
          <w:highlight w:val="none"/>
        </w:rPr>
        <w:t xml:space="preserve">项目名称：</w:t>
      </w:r>
      <w:r/>
    </w:p>
    <w:p>
      <w:pPr>
        <w:jc w:val="center"/>
        <w:spacing w:before="107" w:line="219" w:lineRule="auto"/>
        <w:rPr>
          <w:rFonts w:ascii="宋体" w:hAnsi="宋体" w:eastAsia="宋体" w:cs="宋体"/>
          <w:b/>
          <w:bCs/>
          <w:color w:val="auto"/>
          <w:spacing w:val="-24"/>
          <w:sz w:val="30"/>
          <w:szCs w:val="30"/>
          <w:highlight w:val="none"/>
        </w:rPr>
      </w:pPr>
      <w:r>
        <w:rPr>
          <w:rFonts w:ascii="宋体" w:hAnsi="宋体" w:eastAsia="宋体" w:cs="宋体"/>
          <w:b/>
          <w:bCs/>
          <w:color w:val="auto"/>
          <w:spacing w:val="-24"/>
          <w:sz w:val="30"/>
          <w:szCs w:val="30"/>
          <w:highlight w:val="none"/>
        </w:rPr>
      </w:r>
      <w:r/>
    </w:p>
    <w:p>
      <w:pPr>
        <w:jc w:val="center"/>
        <w:spacing w:before="107" w:line="219" w:lineRule="auto"/>
        <w:rPr>
          <w:rFonts w:ascii="宋体" w:hAnsi="宋体" w:eastAsia="宋体" w:cs="宋体"/>
          <w:b/>
          <w:bCs/>
          <w:color w:val="auto"/>
          <w:spacing w:val="-24"/>
          <w:sz w:val="30"/>
          <w:szCs w:val="30"/>
          <w:highlight w:val="none"/>
        </w:rPr>
      </w:pPr>
      <w:r>
        <w:rPr>
          <w:rFonts w:ascii="宋体" w:hAnsi="宋体" w:eastAsia="宋体" w:cs="宋体"/>
          <w:b/>
          <w:bCs/>
          <w:color w:val="auto"/>
          <w:spacing w:val="-24"/>
          <w:sz w:val="30"/>
          <w:szCs w:val="30"/>
          <w:highlight w:val="none"/>
        </w:rPr>
      </w:r>
      <w:r/>
    </w:p>
    <w:p>
      <w:pPr>
        <w:jc w:val="center"/>
        <w:spacing w:before="107" w:line="219" w:lineRule="auto"/>
        <w:rPr>
          <w:rFonts w:ascii="宋体" w:hAnsi="宋体" w:eastAsia="宋体" w:cs="宋体"/>
          <w:b/>
          <w:bCs/>
          <w:color w:val="auto"/>
          <w:spacing w:val="-24"/>
          <w:sz w:val="30"/>
          <w:szCs w:val="30"/>
          <w:highlight w:val="none"/>
        </w:rPr>
      </w:pPr>
      <w:r>
        <w:rPr>
          <w:rFonts w:ascii="宋体" w:hAnsi="宋体" w:eastAsia="宋体" w:cs="宋体"/>
          <w:b/>
          <w:bCs/>
          <w:color w:val="auto"/>
          <w:spacing w:val="-24"/>
          <w:sz w:val="30"/>
          <w:szCs w:val="30"/>
          <w:highlight w:val="none"/>
        </w:rPr>
      </w:r>
      <w:r/>
    </w:p>
    <w:p>
      <w:pPr>
        <w:jc w:val="center"/>
        <w:spacing w:before="107" w:line="219" w:lineRule="auto"/>
        <w:rPr>
          <w:rFonts w:ascii="宋体" w:hAnsi="宋体" w:eastAsia="宋体" w:cs="宋体"/>
          <w:b/>
          <w:bCs/>
          <w:color w:val="auto"/>
          <w:spacing w:val="-24"/>
          <w:sz w:val="30"/>
          <w:szCs w:val="30"/>
          <w:highlight w:val="none"/>
        </w:rPr>
      </w:pPr>
      <w:r>
        <w:rPr>
          <w:rFonts w:ascii="宋体" w:hAnsi="宋体" w:eastAsia="宋体" w:cs="宋体"/>
          <w:b/>
          <w:bCs/>
          <w:color w:val="auto"/>
          <w:spacing w:val="-24"/>
          <w:sz w:val="30"/>
          <w:szCs w:val="30"/>
          <w:highlight w:val="none"/>
        </w:rPr>
      </w:r>
      <w:r/>
    </w:p>
    <w:p>
      <w:pPr>
        <w:jc w:val="center"/>
        <w:spacing w:before="107" w:line="219" w:lineRule="auto"/>
        <w:rPr>
          <w:rFonts w:ascii="宋体" w:hAnsi="宋体" w:eastAsia="宋体" w:cs="宋体"/>
          <w:b/>
          <w:bCs/>
          <w:color w:val="auto"/>
          <w:spacing w:val="-24"/>
          <w:sz w:val="30"/>
          <w:szCs w:val="30"/>
          <w:highlight w:val="none"/>
        </w:rPr>
      </w:pPr>
      <w:r>
        <w:rPr>
          <w:rFonts w:ascii="宋体" w:hAnsi="宋体" w:eastAsia="宋体" w:cs="宋体"/>
          <w:b/>
          <w:bCs/>
          <w:color w:val="auto"/>
          <w:spacing w:val="-24"/>
          <w:sz w:val="30"/>
          <w:szCs w:val="30"/>
          <w:highlight w:val="none"/>
        </w:rPr>
        <w:t xml:space="preserve">供应商(加盖公章):</w:t>
      </w:r>
      <w:r/>
    </w:p>
    <w:p>
      <w:pPr>
        <w:spacing w:before="107" w:line="219" w:lineRule="auto"/>
        <w:rPr>
          <w:rFonts w:ascii="宋体" w:hAnsi="宋体" w:eastAsia="宋体" w:cs="宋体"/>
          <w:b/>
          <w:bCs/>
          <w:color w:val="auto"/>
          <w:spacing w:val="-24"/>
          <w:sz w:val="30"/>
          <w:szCs w:val="30"/>
          <w:highlight w:val="none"/>
        </w:rPr>
      </w:pPr>
      <w:r>
        <w:rPr>
          <w:rFonts w:ascii="宋体" w:hAnsi="宋体" w:eastAsia="宋体" w:cs="宋体"/>
          <w:b/>
          <w:bCs/>
          <w:color w:val="auto"/>
          <w:spacing w:val="-24"/>
          <w:sz w:val="30"/>
          <w:szCs w:val="30"/>
          <w:highlight w:val="none"/>
        </w:rPr>
      </w:r>
      <w:r/>
    </w:p>
    <w:p>
      <w:pPr>
        <w:spacing w:line="275" w:lineRule="auto"/>
        <w:rPr>
          <w:rFonts w:ascii="Arial"/>
          <w:color w:val="auto"/>
          <w:highlight w:val="none"/>
        </w:rPr>
      </w:pPr>
      <w:r>
        <w:rPr>
          <w:rFonts w:ascii="Arial"/>
          <w:color w:val="auto"/>
          <w:highlight w:val="none"/>
        </w:rPr>
      </w:r>
      <w:r/>
    </w:p>
    <w:p>
      <w:pPr>
        <w:spacing w:line="275" w:lineRule="auto"/>
        <w:rPr>
          <w:rFonts w:ascii="Arial"/>
          <w:color w:val="auto"/>
          <w:highlight w:val="none"/>
        </w:rPr>
      </w:pPr>
      <w:r>
        <w:rPr>
          <w:rFonts w:ascii="Arial"/>
          <w:color w:val="auto"/>
          <w:highlight w:val="none"/>
        </w:rPr>
      </w:r>
      <w:r/>
    </w:p>
    <w:p>
      <w:pPr>
        <w:spacing w:line="275" w:lineRule="auto"/>
        <w:rPr>
          <w:rFonts w:ascii="Arial"/>
          <w:color w:val="auto"/>
          <w:highlight w:val="none"/>
        </w:rPr>
      </w:pPr>
      <w:r>
        <w:rPr>
          <w:rFonts w:ascii="Arial"/>
          <w:color w:val="auto"/>
          <w:highlight w:val="none"/>
        </w:rPr>
      </w:r>
      <w:r/>
    </w:p>
    <w:p>
      <w:pPr>
        <w:spacing w:line="275" w:lineRule="auto"/>
        <w:rPr>
          <w:rFonts w:ascii="Arial"/>
          <w:color w:val="auto"/>
          <w:highlight w:val="none"/>
        </w:rPr>
      </w:pPr>
      <w:r>
        <w:rPr>
          <w:rFonts w:ascii="Arial"/>
          <w:color w:val="auto"/>
          <w:highlight w:val="none"/>
        </w:rPr>
      </w:r>
      <w:r/>
    </w:p>
    <w:p>
      <w:pPr>
        <w:jc w:val="center"/>
        <w:spacing w:before="107" w:line="219" w:lineRule="auto"/>
        <w:rPr>
          <w:rFonts w:ascii="宋体" w:hAnsi="宋体" w:eastAsia="宋体" w:cs="宋体"/>
          <w:b/>
          <w:bCs/>
          <w:color w:val="auto"/>
          <w:spacing w:val="-24"/>
          <w:sz w:val="30"/>
          <w:szCs w:val="30"/>
          <w:highlight w:val="none"/>
        </w:rPr>
      </w:pPr>
      <w:r>
        <w:rPr>
          <w:rFonts w:ascii="宋体" w:hAnsi="宋体" w:eastAsia="宋体" w:cs="宋体"/>
          <w:b/>
          <w:bCs/>
          <w:color w:val="auto"/>
          <w:spacing w:val="-24"/>
          <w:sz w:val="30"/>
          <w:szCs w:val="30"/>
          <w:highlight w:val="none"/>
        </w:rPr>
        <w:t xml:space="preserve">日期：</w:t>
      </w:r>
      <w:r/>
    </w:p>
    <w:p>
      <w:pPr>
        <w:jc w:val="center"/>
        <w:spacing w:before="107" w:line="219" w:lineRule="auto"/>
        <w:rPr>
          <w:rFonts w:ascii="宋体" w:hAnsi="宋体" w:eastAsia="宋体" w:cs="宋体"/>
          <w:b/>
          <w:bCs/>
          <w:color w:val="auto"/>
          <w:spacing w:val="-24"/>
          <w:sz w:val="30"/>
          <w:szCs w:val="30"/>
          <w:highlight w:val="none"/>
        </w:rPr>
        <w:sectPr>
          <w:headerReference w:type="default" r:id="rId14"/>
          <w:footerReference w:type="default" r:id="rId28"/>
          <w:footnotePr/>
          <w:endnotePr/>
          <w:type w:val="nextPage"/>
          <w:pgSz w:w="11900" w:h="16840" w:orient="portrait"/>
          <w:pgMar w:top="1129" w:right="1239" w:bottom="1391" w:left="1190" w:header="1120" w:footer="1262" w:gutter="0"/>
          <w:cols w:num="1" w:sep="0" w:space="720" w:equalWidth="1"/>
          <w:docGrid w:linePitch="360"/>
        </w:sectPr>
      </w:pPr>
      <w:r>
        <w:rPr>
          <w:rFonts w:ascii="宋体" w:hAnsi="宋体" w:eastAsia="宋体" w:cs="宋体"/>
          <w:b/>
          <w:bCs/>
          <w:color w:val="auto"/>
          <w:spacing w:val="-24"/>
          <w:sz w:val="30"/>
          <w:szCs w:val="30"/>
          <w:highlight w:val="none"/>
        </w:rPr>
      </w:r>
      <w:r/>
    </w:p>
    <w:p>
      <w:pPr>
        <w:pStyle w:val="1578"/>
        <w:jc w:val="center"/>
        <w:spacing w:line="360" w:lineRule="auto"/>
        <w:rPr>
          <w:color w:val="auto"/>
          <w:highlight w:val="none"/>
        </w:rPr>
        <w:sectPr>
          <w:headerReference w:type="default" r:id="rId15"/>
          <w:footerReference w:type="default" r:id="rId29"/>
          <w:footnotePr/>
          <w:endnotePr/>
          <w:type w:val="nextPage"/>
          <w:pgSz w:w="11906" w:h="16838" w:orient="portrait"/>
          <w:pgMar w:top="1440" w:right="1242" w:bottom="1440" w:left="1242" w:header="851" w:footer="992" w:gutter="0"/>
          <w:cols w:num="1" w:sep="0" w:space="425" w:equalWidth="1"/>
          <w:docGrid w:linePitch="360"/>
        </w:sectPr>
      </w:pPr>
      <w:r/>
      <w:bookmarkStart w:id="88" w:name="_Toc16910"/>
      <w:r>
        <w:rPr>
          <w:rFonts w:hint="eastAsia"/>
          <w:color w:val="auto"/>
          <w:highlight w:val="none"/>
        </w:rPr>
        <w:t xml:space="preserve">一、资格部分</w:t>
      </w:r>
      <w:bookmarkEnd w:id="88"/>
      <w:r/>
      <w:r/>
    </w:p>
    <w:p>
      <w:pPr>
        <w:jc w:val="center"/>
        <w:rPr>
          <w:rFonts w:ascii="Times New Roman" w:hAnsi="Times New Roman" w:eastAsia="宋体" w:cs="Times New Roman"/>
          <w:color w:val="auto"/>
          <w:sz w:val="28"/>
          <w:szCs w:val="28"/>
          <w:highlight w:val="none"/>
        </w:rPr>
        <w:outlineLvl w:val="2"/>
      </w:pPr>
      <w:r/>
      <w:bookmarkStart w:id="89" w:name="_Toc19098"/>
      <w:r>
        <w:rPr>
          <w:rFonts w:hint="eastAsia" w:ascii="Times New Roman" w:hAnsi="Times New Roman" w:eastAsia="宋体" w:cs="Times New Roman"/>
          <w:color w:val="auto"/>
          <w:sz w:val="28"/>
          <w:szCs w:val="28"/>
          <w:highlight w:val="none"/>
        </w:rPr>
        <w:t xml:space="preserve">（一）</w:t>
      </w:r>
      <w:r>
        <w:rPr>
          <w:rFonts w:ascii="Times New Roman" w:hAnsi="Times New Roman" w:eastAsia="宋体" w:cs="Times New Roman"/>
          <w:color w:val="auto"/>
          <w:sz w:val="28"/>
          <w:szCs w:val="28"/>
          <w:highlight w:val="none"/>
        </w:rPr>
        <w:t xml:space="preserve">磋商承诺函</w:t>
      </w:r>
      <w:bookmarkEnd w:id="89"/>
      <w:r/>
      <w:r/>
    </w:p>
    <w:p>
      <w:pPr>
        <w:spacing w:line="292" w:lineRule="auto"/>
        <w:rPr>
          <w:rFonts w:ascii="Arial"/>
          <w:color w:val="auto"/>
          <w:highlight w:val="none"/>
        </w:rPr>
      </w:pPr>
      <w:r>
        <w:rPr>
          <w:rFonts w:ascii="Arial"/>
          <w:color w:val="auto"/>
          <w:highlight w:val="none"/>
        </w:rPr>
      </w:r>
      <w:r/>
    </w:p>
    <w:p>
      <w:pPr>
        <w:spacing w:line="292" w:lineRule="auto"/>
        <w:rPr>
          <w:rFonts w:ascii="Arial"/>
          <w:color w:val="auto"/>
          <w:highlight w:val="none"/>
        </w:rPr>
      </w:pPr>
      <w:r>
        <w:rPr>
          <w:rFonts w:ascii="Arial"/>
          <w:color w:val="auto"/>
          <w:highlight w:val="none"/>
        </w:rPr>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致：(磋商组织方)</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根据贵方关于的磋商邀请，我方已完全理解磋商文件的所有内容。</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据此函，我方兹宣布同意如下：</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1.我方承诺：我方完全具备《政府采购法》第二十二条第一款规定的条件以及本项目</w:t>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磋商文件规定的参加磋商供应商须满足的特定条件。</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2.我方承诺：参加本次采购活动前三年内，在经营活动中没有重大违法记录。</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3.我方承诺：我方信用记录中没有被列入失信被执行人、没有被列入重大税收违法案</w:t>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件名单、没有被列入政府采购违法失信行为记录名单。</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4.我方承诺按磋商文件要求提供的服务及货物的磋商报价见报价一览表。</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5.我方承诺根据磋商文件的规定，完成合同义务，并承担责任(如有偏离，在响应文</w:t>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件中另作说明)。</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6.我方已详读全部磋商文件，包括磋商文件书面修改通知(如有),我方完全理解并</w:t>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同意放弃对这方面不明及误解的权利。</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7.我方承诺响应文件及所有材料的完整、真实、合法、有效，并对其负责。承诺在</w:t>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磋商期间，如磋商小组对我方提出澄清要求，将及时作出响应，否则自行承担后果。</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8.我方同意从规定的磋商日期起遵循本磋商文件，并在规定的磋商有效期期满之前</w:t>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均具有约束力。</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9.我方同意向贵方提供贵方可能要求的与本磋商有关的任何证据或资料。</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10.我方知道如用虚假材料或恶意方式向贵方提出质疑，将承担相应的法律责任。同</w:t>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时承诺：我方如果有上述行为，将无条件承担贵方相关的调查论证费用。</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11.本次响应文件内容与磋商文件内容偏离见磋商偏离表(如果有)。</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12.遵守磋商文件中要求的收费项目和标准。</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13.我方将严格遵守《中华人民共和国政府采购法》,若存在违法违规行为，自愿承</w:t>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担相应的法律后果。</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14.与本磋商有关的一切正式往来通讯请寄：</w:t>
      </w:r>
      <w:r/>
    </w:p>
    <w:p>
      <w:pPr>
        <w:ind w:left="252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地址：电话：</w:t>
      </w:r>
      <w:r/>
    </w:p>
    <w:p>
      <w:pPr>
        <w:ind w:left="252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传真：邮政编码：</w:t>
      </w:r>
      <w:r/>
    </w:p>
    <w:p>
      <w:pPr>
        <w:ind w:left="252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供应商(公章):</w:t>
      </w:r>
      <w:r/>
    </w:p>
    <w:p>
      <w:pPr>
        <w:ind w:left="252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法定代表人签章：</w:t>
      </w:r>
      <w:r/>
    </w:p>
    <w:p>
      <w:pPr>
        <w:ind w:left="252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ind w:left="2520"/>
        <w:spacing w:line="440" w:lineRule="exact"/>
        <w:rPr>
          <w:rFonts w:ascii="宋体" w:hAnsi="宋体" w:eastAsia="宋体" w:cs="宋体"/>
          <w:color w:val="auto"/>
          <w:sz w:val="24"/>
          <w:highlight w:val="none"/>
        </w:rPr>
        <w:sectPr>
          <w:footerReference w:type="default" r:id="rId30"/>
          <w:footnotePr/>
          <w:endnotePr/>
          <w:type w:val="nextPage"/>
          <w:pgSz w:w="11900" w:h="16840" w:orient="portrait"/>
          <w:pgMar w:top="1129" w:right="1239" w:bottom="1391" w:left="1190" w:header="1120" w:footer="1262" w:gutter="0"/>
          <w:cols w:num="1" w:sep="0" w:space="720" w:equalWidth="1"/>
          <w:docGrid w:linePitch="360"/>
        </w:sectPr>
      </w:pPr>
      <w:r>
        <w:rPr>
          <w:rFonts w:ascii="宋体" w:hAnsi="宋体" w:eastAsia="宋体" w:cs="宋体"/>
          <w:color w:val="auto"/>
          <w:sz w:val="24"/>
          <w:highlight w:val="none"/>
        </w:rPr>
      </w:r>
      <w:r/>
    </w:p>
    <w:p>
      <w:pPr>
        <w:jc w:val="center"/>
        <w:rPr>
          <w:rFonts w:ascii="Times New Roman" w:hAnsi="Times New Roman" w:eastAsia="宋体" w:cs="Times New Roman"/>
          <w:color w:val="auto"/>
          <w:sz w:val="28"/>
          <w:szCs w:val="28"/>
          <w:highlight w:val="none"/>
        </w:rPr>
        <w:outlineLvl w:val="2"/>
      </w:pPr>
      <w:r/>
      <w:bookmarkStart w:id="90" w:name="_bookmark71"/>
      <w:r/>
      <w:bookmarkEnd w:id="90"/>
      <w:r/>
      <w:bookmarkStart w:id="91" w:name="_Toc7310"/>
      <w:r>
        <w:rPr>
          <w:rFonts w:hint="eastAsia" w:ascii="Times New Roman" w:hAnsi="Times New Roman" w:eastAsia="宋体" w:cs="Times New Roman"/>
          <w:color w:val="auto"/>
          <w:sz w:val="28"/>
          <w:szCs w:val="28"/>
          <w:highlight w:val="none"/>
        </w:rPr>
        <w:t xml:space="preserve">（二）</w:t>
      </w:r>
      <w:r>
        <w:rPr>
          <w:rFonts w:ascii="Times New Roman" w:hAnsi="Times New Roman" w:eastAsia="宋体" w:cs="Times New Roman"/>
          <w:color w:val="auto"/>
          <w:sz w:val="28"/>
          <w:szCs w:val="28"/>
          <w:highlight w:val="none"/>
        </w:rPr>
        <w:t xml:space="preserve">独立承担民事责任的能力</w:t>
      </w:r>
      <w:bookmarkEnd w:id="91"/>
      <w:r/>
      <w:r/>
    </w:p>
    <w:p>
      <w:pPr>
        <w:ind w:firstLine="480"/>
        <w:spacing w:line="440" w:lineRule="exact"/>
        <w:rPr>
          <w:rFonts w:ascii="宋体" w:hAnsi="宋体" w:eastAsia="宋体" w:cs="宋体"/>
          <w:color w:val="auto"/>
          <w:sz w:val="24"/>
          <w:highlight w:val="none"/>
        </w:rPr>
        <w:sectPr>
          <w:footerReference w:type="default" r:id="rId31"/>
          <w:footnotePr/>
          <w:endnotePr/>
          <w:type w:val="nextPage"/>
          <w:pgSz w:w="11900" w:h="16840" w:orient="portrait"/>
          <w:pgMar w:top="1129" w:right="1239" w:bottom="1391" w:left="1190" w:header="1120" w:footer="1262" w:gutter="0"/>
          <w:cols w:num="1" w:sep="0" w:space="720" w:equalWidth="1"/>
          <w:docGrid w:linePitch="360"/>
        </w:sectPr>
      </w:pPr>
      <w:r>
        <w:rPr>
          <w:rFonts w:ascii="宋体" w:hAnsi="宋体" w:eastAsia="宋体" w:cs="宋体"/>
          <w:color w:val="auto"/>
          <w:sz w:val="24"/>
          <w:highlight w:val="none"/>
        </w:rPr>
      </w:r>
      <w:r/>
    </w:p>
    <w:p>
      <w:pPr>
        <w:jc w:val="center"/>
        <w:rPr>
          <w:rFonts w:ascii="Times New Roman" w:hAnsi="Times New Roman" w:eastAsia="宋体" w:cs="Times New Roman"/>
          <w:color w:val="auto"/>
          <w:sz w:val="28"/>
          <w:szCs w:val="28"/>
          <w:highlight w:val="none"/>
        </w:rPr>
        <w:outlineLvl w:val="2"/>
      </w:pPr>
      <w:r/>
      <w:bookmarkStart w:id="92" w:name="_bookmark72"/>
      <w:r/>
      <w:bookmarkEnd w:id="92"/>
      <w:r/>
      <w:bookmarkStart w:id="93" w:name="_Toc3997"/>
      <w:r>
        <w:rPr>
          <w:rFonts w:hint="eastAsia" w:ascii="Times New Roman" w:hAnsi="Times New Roman" w:eastAsia="宋体" w:cs="Times New Roman"/>
          <w:color w:val="auto"/>
          <w:sz w:val="28"/>
          <w:szCs w:val="28"/>
          <w:highlight w:val="none"/>
        </w:rPr>
        <w:t xml:space="preserve">（三）</w:t>
      </w:r>
      <w:r>
        <w:rPr>
          <w:rFonts w:ascii="Times New Roman" w:hAnsi="Times New Roman" w:eastAsia="宋体" w:cs="Times New Roman"/>
          <w:color w:val="auto"/>
          <w:sz w:val="28"/>
          <w:szCs w:val="28"/>
          <w:highlight w:val="none"/>
        </w:rPr>
        <w:t xml:space="preserve">良好的商业信誉和健全的财务会计制度</w:t>
      </w:r>
      <w:bookmarkEnd w:id="93"/>
      <w:r/>
      <w:r/>
    </w:p>
    <w:p>
      <w:pPr>
        <w:spacing w:line="266" w:lineRule="auto"/>
        <w:rPr>
          <w:rFonts w:ascii="Arial"/>
          <w:color w:val="auto"/>
          <w:highlight w:val="none"/>
        </w:rPr>
      </w:pPr>
      <w:r>
        <w:rPr>
          <w:rFonts w:ascii="Arial"/>
          <w:color w:val="auto"/>
          <w:highlight w:val="none"/>
        </w:rPr>
      </w:r>
      <w:r/>
    </w:p>
    <w:p>
      <w:pPr>
        <w:ind w:firstLine="480"/>
        <w:spacing w:line="440" w:lineRule="exact"/>
        <w:rPr>
          <w:rFonts w:ascii="宋体" w:hAnsi="宋体" w:eastAsia="宋体" w:cs="宋体"/>
          <w:color w:val="auto"/>
          <w:sz w:val="24"/>
          <w:highlight w:val="none"/>
        </w:rPr>
        <w:sectPr>
          <w:footerReference w:type="default" r:id="rId32"/>
          <w:footnotePr/>
          <w:endnotePr/>
          <w:type w:val="nextPage"/>
          <w:pgSz w:w="11900" w:h="16840" w:orient="portrait"/>
          <w:pgMar w:top="1129" w:right="1239" w:bottom="1391" w:left="1190" w:header="1120" w:footer="1262" w:gutter="0"/>
          <w:cols w:num="1" w:sep="0" w:space="720" w:equalWidth="1"/>
          <w:docGrid w:linePitch="360"/>
        </w:sectPr>
      </w:pPr>
      <w:r>
        <w:rPr>
          <w:rFonts w:ascii="宋体" w:hAnsi="宋体" w:eastAsia="宋体" w:cs="宋体"/>
          <w:color w:val="auto"/>
          <w:sz w:val="24"/>
          <w:highlight w:val="none"/>
        </w:rPr>
      </w:r>
      <w:r/>
    </w:p>
    <w:p>
      <w:pPr>
        <w:jc w:val="center"/>
        <w:rPr>
          <w:rFonts w:ascii="Times New Roman" w:hAnsi="Times New Roman" w:eastAsia="宋体" w:cs="Times New Roman"/>
          <w:color w:val="auto"/>
          <w:sz w:val="28"/>
          <w:szCs w:val="28"/>
          <w:highlight w:val="none"/>
        </w:rPr>
        <w:outlineLvl w:val="2"/>
      </w:pPr>
      <w:r/>
      <w:bookmarkStart w:id="94" w:name="_Toc14497"/>
      <w:r>
        <w:rPr>
          <w:rFonts w:hint="eastAsia" w:ascii="Times New Roman" w:hAnsi="Times New Roman" w:eastAsia="宋体" w:cs="Times New Roman"/>
          <w:color w:val="auto"/>
          <w:sz w:val="28"/>
          <w:szCs w:val="28"/>
          <w:highlight w:val="none"/>
        </w:rPr>
        <w:t xml:space="preserve">（四）</w:t>
      </w:r>
      <w:r>
        <w:rPr>
          <w:rFonts w:ascii="Times New Roman" w:hAnsi="Times New Roman" w:eastAsia="宋体" w:cs="Times New Roman"/>
          <w:color w:val="auto"/>
          <w:sz w:val="28"/>
          <w:szCs w:val="28"/>
          <w:highlight w:val="none"/>
        </w:rPr>
        <w:t xml:space="preserve">履行合同所必需的设备和专业技术能力</w:t>
      </w:r>
      <w:bookmarkEnd w:id="94"/>
      <w:r/>
      <w:r/>
    </w:p>
    <w:p>
      <w:pPr>
        <w:spacing w:line="101" w:lineRule="exact"/>
        <w:rPr>
          <w:color w:val="auto"/>
          <w:highlight w:val="none"/>
        </w:rPr>
      </w:pPr>
      <w:r>
        <w:rPr>
          <w:color w:val="auto"/>
          <w:highlight w:val="none"/>
        </w:rPr>
      </w:r>
      <w:r/>
    </w:p>
    <w:tbl>
      <w:tblPr>
        <w:tblStyle w:val="1600"/>
        <w:tblW w:w="95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94"/>
        <w:gridCol w:w="1408"/>
        <w:gridCol w:w="1558"/>
        <w:gridCol w:w="410"/>
        <w:gridCol w:w="389"/>
        <w:gridCol w:w="780"/>
        <w:gridCol w:w="1129"/>
        <w:gridCol w:w="309"/>
        <w:gridCol w:w="959"/>
        <w:gridCol w:w="1423"/>
      </w:tblGrid>
      <w:tr>
        <w:trPr>
          <w:trHeight w:val="454"/>
        </w:trPr>
        <w:tc>
          <w:tcPr>
            <w:shd w:val="clear" w:color="auto" w:fill="d9d9d9"/>
            <w:tcW w:w="1194" w:type="dxa"/>
            <w:vAlign w:val="center"/>
            <w:textDirection w:val="lrTb"/>
            <w:noWrap w:val="false"/>
          </w:tcPr>
          <w:p>
            <w:pPr>
              <w:jc w:val="center"/>
              <w:rPr>
                <w:rFonts w:ascii="Arial"/>
                <w:b/>
                <w:bCs/>
                <w:color w:val="auto"/>
                <w:szCs w:val="21"/>
                <w:highlight w:val="none"/>
              </w:rPr>
            </w:pPr>
            <w:r>
              <w:rPr>
                <w:rFonts w:hint="eastAsia" w:ascii="Arial"/>
                <w:b/>
                <w:bCs/>
                <w:color w:val="auto"/>
                <w:szCs w:val="21"/>
                <w:highlight w:val="none"/>
              </w:rPr>
              <w:t xml:space="preserve">一</w:t>
            </w:r>
            <w:r/>
          </w:p>
        </w:tc>
        <w:tc>
          <w:tcPr>
            <w:gridSpan w:val="9"/>
            <w:shd w:val="clear" w:color="auto" w:fill="d9d9d9"/>
            <w:tcW w:w="8365" w:type="dxa"/>
            <w:vAlign w:val="center"/>
            <w:textDirection w:val="lrTb"/>
            <w:noWrap w:val="false"/>
          </w:tcPr>
          <w:p>
            <w:pPr>
              <w:jc w:val="center"/>
              <w:rPr>
                <w:rFonts w:ascii="宋体" w:hAnsi="宋体" w:eastAsia="宋体" w:cs="宋体"/>
                <w:b/>
                <w:bCs/>
                <w:color w:val="auto"/>
                <w:szCs w:val="21"/>
                <w:highlight w:val="none"/>
              </w:rPr>
            </w:pPr>
            <w:r/>
            <w:bookmarkStart w:id="95" w:name="_bookmark73"/>
            <w:r/>
            <w:bookmarkEnd w:id="95"/>
            <w:r>
              <w:rPr>
                <w:b/>
                <w:bCs/>
                <w:color w:val="auto"/>
                <w:highlight w:val="none"/>
              </w:rPr>
              <w:t xml:space="preserve">公司基本信息</w:t>
            </w:r>
            <w:r/>
          </w:p>
        </w:tc>
      </w:tr>
      <w:tr>
        <w:trPr>
          <w:trHeight w:val="454"/>
        </w:trPr>
        <w:tc>
          <w:tcPr>
            <w:tcW w:w="1194" w:type="dxa"/>
            <w:vAlign w:val="center"/>
            <w:textDirection w:val="lrTb"/>
            <w:noWrap w:val="false"/>
          </w:tcPr>
          <w:p>
            <w:pPr>
              <w:jc w:val="center"/>
              <w:rPr>
                <w:color w:val="auto"/>
                <w:highlight w:val="none"/>
              </w:rPr>
            </w:pPr>
            <w:r>
              <w:rPr>
                <w:color w:val="auto"/>
                <w:highlight w:val="none"/>
              </w:rPr>
              <w:t xml:space="preserve">1</w:t>
            </w:r>
            <w:r/>
          </w:p>
        </w:tc>
        <w:tc>
          <w:tcPr>
            <w:tcW w:w="1408" w:type="dxa"/>
            <w:vAlign w:val="center"/>
            <w:textDirection w:val="lrTb"/>
            <w:noWrap w:val="false"/>
          </w:tcPr>
          <w:p>
            <w:pPr>
              <w:jc w:val="center"/>
              <w:rPr>
                <w:color w:val="auto"/>
                <w:highlight w:val="none"/>
              </w:rPr>
            </w:pPr>
            <w:r>
              <w:rPr>
                <w:color w:val="auto"/>
                <w:highlight w:val="none"/>
              </w:rPr>
              <w:t xml:space="preserve">公司名称</w:t>
            </w:r>
            <w:r/>
          </w:p>
        </w:tc>
        <w:tc>
          <w:tcPr>
            <w:gridSpan w:val="8"/>
            <w:tcW w:w="6957" w:type="dxa"/>
            <w:vAlign w:val="center"/>
            <w:textDirection w:val="lrTb"/>
            <w:noWrap w:val="false"/>
          </w:tcPr>
          <w:p>
            <w:pPr>
              <w:jc w:val="center"/>
              <w:rPr>
                <w:color w:val="auto"/>
                <w:highlight w:val="none"/>
              </w:rPr>
            </w:pPr>
            <w:r>
              <w:rPr>
                <w:color w:val="auto"/>
                <w:highlight w:val="none"/>
              </w:rPr>
            </w:r>
            <w:r/>
          </w:p>
        </w:tc>
      </w:tr>
      <w:tr>
        <w:trPr>
          <w:trHeight w:val="454"/>
        </w:trPr>
        <w:tc>
          <w:tcPr>
            <w:tcW w:w="1194" w:type="dxa"/>
            <w:vAlign w:val="center"/>
            <w:textDirection w:val="lrTb"/>
            <w:noWrap w:val="false"/>
          </w:tcPr>
          <w:p>
            <w:pPr>
              <w:jc w:val="center"/>
              <w:rPr>
                <w:color w:val="auto"/>
                <w:highlight w:val="none"/>
              </w:rPr>
            </w:pPr>
            <w:r>
              <w:rPr>
                <w:color w:val="auto"/>
                <w:highlight w:val="none"/>
              </w:rPr>
              <w:t xml:space="preserve">2</w:t>
            </w:r>
            <w:r/>
          </w:p>
        </w:tc>
        <w:tc>
          <w:tcPr>
            <w:tcW w:w="1408" w:type="dxa"/>
            <w:vAlign w:val="center"/>
            <w:textDirection w:val="lrTb"/>
            <w:noWrap w:val="false"/>
          </w:tcPr>
          <w:p>
            <w:pPr>
              <w:jc w:val="center"/>
              <w:rPr>
                <w:color w:val="auto"/>
                <w:highlight w:val="none"/>
              </w:rPr>
            </w:pPr>
            <w:r>
              <w:rPr>
                <w:color w:val="auto"/>
                <w:highlight w:val="none"/>
              </w:rPr>
              <w:t xml:space="preserve">注册资金</w:t>
            </w:r>
            <w:r/>
          </w:p>
        </w:tc>
        <w:tc>
          <w:tcPr>
            <w:tcW w:w="1558" w:type="dxa"/>
            <w:vAlign w:val="center"/>
            <w:textDirection w:val="lrTb"/>
            <w:noWrap w:val="false"/>
          </w:tcPr>
          <w:p>
            <w:pPr>
              <w:jc w:val="center"/>
              <w:rPr>
                <w:color w:val="auto"/>
                <w:highlight w:val="none"/>
              </w:rPr>
            </w:pPr>
            <w:r>
              <w:rPr>
                <w:color w:val="auto"/>
                <w:highlight w:val="none"/>
              </w:rPr>
            </w:r>
            <w:r/>
          </w:p>
        </w:tc>
        <w:tc>
          <w:tcPr>
            <w:gridSpan w:val="2"/>
            <w:tcW w:w="799" w:type="dxa"/>
            <w:vAlign w:val="center"/>
            <w:textDirection w:val="lrTb"/>
            <w:noWrap w:val="false"/>
          </w:tcPr>
          <w:p>
            <w:pPr>
              <w:jc w:val="center"/>
              <w:rPr>
                <w:color w:val="auto"/>
                <w:highlight w:val="none"/>
              </w:rPr>
            </w:pPr>
            <w:r>
              <w:rPr>
                <w:color w:val="auto"/>
                <w:highlight w:val="none"/>
              </w:rPr>
              <w:t xml:space="preserve">3</w:t>
            </w:r>
            <w:r/>
          </w:p>
        </w:tc>
        <w:tc>
          <w:tcPr>
            <w:gridSpan w:val="3"/>
            <w:tcW w:w="2218" w:type="dxa"/>
            <w:vAlign w:val="center"/>
            <w:textDirection w:val="lrTb"/>
            <w:noWrap w:val="false"/>
          </w:tcPr>
          <w:p>
            <w:pPr>
              <w:jc w:val="center"/>
              <w:rPr>
                <w:color w:val="auto"/>
                <w:highlight w:val="none"/>
              </w:rPr>
            </w:pPr>
            <w:r>
              <w:rPr>
                <w:color w:val="auto"/>
                <w:highlight w:val="none"/>
              </w:rPr>
              <w:t xml:space="preserve">公司地址</w:t>
            </w:r>
            <w:r/>
          </w:p>
        </w:tc>
        <w:tc>
          <w:tcPr>
            <w:gridSpan w:val="2"/>
            <w:tcW w:w="2382" w:type="dxa"/>
            <w:textDirection w:val="lrTb"/>
            <w:noWrap w:val="false"/>
          </w:tcPr>
          <w:p>
            <w:pPr>
              <w:rPr>
                <w:rFonts w:ascii="Arial"/>
                <w:color w:val="auto"/>
                <w:szCs w:val="21"/>
                <w:highlight w:val="none"/>
              </w:rPr>
            </w:pPr>
            <w:r>
              <w:rPr>
                <w:rFonts w:ascii="Arial"/>
                <w:color w:val="auto"/>
                <w:szCs w:val="21"/>
                <w:highlight w:val="none"/>
              </w:rPr>
            </w:r>
            <w:r/>
          </w:p>
        </w:tc>
      </w:tr>
      <w:tr>
        <w:trPr>
          <w:trHeight w:val="454"/>
        </w:trPr>
        <w:tc>
          <w:tcPr>
            <w:tcW w:w="1194" w:type="dxa"/>
            <w:vAlign w:val="center"/>
            <w:textDirection w:val="lrTb"/>
            <w:noWrap w:val="false"/>
          </w:tcPr>
          <w:p>
            <w:pPr>
              <w:jc w:val="center"/>
              <w:rPr>
                <w:color w:val="auto"/>
                <w:highlight w:val="none"/>
              </w:rPr>
            </w:pPr>
            <w:r>
              <w:rPr>
                <w:color w:val="auto"/>
                <w:highlight w:val="none"/>
              </w:rPr>
              <w:t xml:space="preserve">4</w:t>
            </w:r>
            <w:r/>
          </w:p>
        </w:tc>
        <w:tc>
          <w:tcPr>
            <w:tcW w:w="1408" w:type="dxa"/>
            <w:vAlign w:val="center"/>
            <w:textDirection w:val="lrTb"/>
            <w:noWrap w:val="false"/>
          </w:tcPr>
          <w:p>
            <w:pPr>
              <w:jc w:val="center"/>
              <w:rPr>
                <w:color w:val="auto"/>
                <w:highlight w:val="none"/>
              </w:rPr>
            </w:pPr>
            <w:r>
              <w:rPr>
                <w:color w:val="auto"/>
                <w:highlight w:val="none"/>
              </w:rPr>
              <w:t xml:space="preserve">从业人数</w:t>
            </w:r>
            <w:r/>
          </w:p>
        </w:tc>
        <w:tc>
          <w:tcPr>
            <w:tcW w:w="1558" w:type="dxa"/>
            <w:vAlign w:val="center"/>
            <w:textDirection w:val="lrTb"/>
            <w:noWrap w:val="false"/>
          </w:tcPr>
          <w:p>
            <w:pPr>
              <w:jc w:val="center"/>
              <w:rPr>
                <w:color w:val="auto"/>
                <w:highlight w:val="none"/>
              </w:rPr>
            </w:pPr>
            <w:r>
              <w:rPr>
                <w:color w:val="auto"/>
                <w:highlight w:val="none"/>
              </w:rPr>
            </w:r>
            <w:r/>
          </w:p>
        </w:tc>
        <w:tc>
          <w:tcPr>
            <w:gridSpan w:val="2"/>
            <w:tcW w:w="799" w:type="dxa"/>
            <w:vAlign w:val="center"/>
            <w:textDirection w:val="lrTb"/>
            <w:noWrap w:val="false"/>
          </w:tcPr>
          <w:p>
            <w:pPr>
              <w:jc w:val="center"/>
              <w:rPr>
                <w:color w:val="auto"/>
                <w:highlight w:val="none"/>
              </w:rPr>
            </w:pPr>
            <w:r>
              <w:rPr>
                <w:color w:val="auto"/>
                <w:highlight w:val="none"/>
              </w:rPr>
              <w:t xml:space="preserve">5</w:t>
            </w:r>
            <w:r/>
          </w:p>
        </w:tc>
        <w:tc>
          <w:tcPr>
            <w:gridSpan w:val="3"/>
            <w:tcW w:w="2218" w:type="dxa"/>
            <w:vAlign w:val="center"/>
            <w:textDirection w:val="lrTb"/>
            <w:noWrap w:val="false"/>
          </w:tcPr>
          <w:p>
            <w:pPr>
              <w:jc w:val="center"/>
              <w:rPr>
                <w:color w:val="auto"/>
                <w:highlight w:val="none"/>
              </w:rPr>
            </w:pPr>
            <w:r>
              <w:rPr>
                <w:color w:val="auto"/>
                <w:highlight w:val="none"/>
              </w:rPr>
              <w:t xml:space="preserve">法定代表人</w:t>
            </w:r>
            <w:r/>
          </w:p>
        </w:tc>
        <w:tc>
          <w:tcPr>
            <w:gridSpan w:val="2"/>
            <w:tcW w:w="2382" w:type="dxa"/>
            <w:textDirection w:val="lrTb"/>
            <w:noWrap w:val="false"/>
          </w:tcPr>
          <w:p>
            <w:pPr>
              <w:rPr>
                <w:rFonts w:ascii="Arial"/>
                <w:color w:val="auto"/>
                <w:szCs w:val="21"/>
                <w:highlight w:val="none"/>
              </w:rPr>
            </w:pPr>
            <w:r>
              <w:rPr>
                <w:rFonts w:ascii="Arial"/>
                <w:color w:val="auto"/>
                <w:szCs w:val="21"/>
                <w:highlight w:val="none"/>
              </w:rPr>
            </w:r>
            <w:r/>
          </w:p>
        </w:tc>
      </w:tr>
      <w:tr>
        <w:trPr>
          <w:trHeight w:val="454"/>
        </w:trPr>
        <w:tc>
          <w:tcPr>
            <w:tcW w:w="1194" w:type="dxa"/>
            <w:vAlign w:val="center"/>
            <w:textDirection w:val="lrTb"/>
            <w:noWrap w:val="false"/>
          </w:tcPr>
          <w:p>
            <w:pPr>
              <w:jc w:val="center"/>
              <w:rPr>
                <w:color w:val="auto"/>
                <w:highlight w:val="none"/>
              </w:rPr>
            </w:pPr>
            <w:r>
              <w:rPr>
                <w:color w:val="auto"/>
                <w:highlight w:val="none"/>
              </w:rPr>
              <w:t xml:space="preserve">6</w:t>
            </w:r>
            <w:r/>
          </w:p>
        </w:tc>
        <w:tc>
          <w:tcPr>
            <w:tcW w:w="1408" w:type="dxa"/>
            <w:vAlign w:val="center"/>
            <w:textDirection w:val="lrTb"/>
            <w:noWrap w:val="false"/>
          </w:tcPr>
          <w:p>
            <w:pPr>
              <w:jc w:val="center"/>
              <w:rPr>
                <w:color w:val="auto"/>
                <w:highlight w:val="none"/>
              </w:rPr>
            </w:pPr>
            <w:r>
              <w:rPr>
                <w:color w:val="auto"/>
                <w:highlight w:val="none"/>
              </w:rPr>
              <w:t xml:space="preserve">开户银行</w:t>
            </w:r>
            <w:r/>
          </w:p>
        </w:tc>
        <w:tc>
          <w:tcPr>
            <w:tcW w:w="1558" w:type="dxa"/>
            <w:vAlign w:val="center"/>
            <w:textDirection w:val="lrTb"/>
            <w:noWrap w:val="false"/>
          </w:tcPr>
          <w:p>
            <w:pPr>
              <w:jc w:val="center"/>
              <w:rPr>
                <w:color w:val="auto"/>
                <w:highlight w:val="none"/>
              </w:rPr>
            </w:pPr>
            <w:r>
              <w:rPr>
                <w:color w:val="auto"/>
                <w:highlight w:val="none"/>
              </w:rPr>
            </w:r>
            <w:r/>
          </w:p>
        </w:tc>
        <w:tc>
          <w:tcPr>
            <w:gridSpan w:val="2"/>
            <w:tcW w:w="799" w:type="dxa"/>
            <w:vAlign w:val="center"/>
            <w:textDirection w:val="lrTb"/>
            <w:noWrap w:val="false"/>
          </w:tcPr>
          <w:p>
            <w:pPr>
              <w:jc w:val="center"/>
              <w:rPr>
                <w:color w:val="auto"/>
                <w:highlight w:val="none"/>
              </w:rPr>
            </w:pPr>
            <w:r>
              <w:rPr>
                <w:color w:val="auto"/>
                <w:highlight w:val="none"/>
              </w:rPr>
              <w:t xml:space="preserve">7</w:t>
            </w:r>
            <w:r/>
          </w:p>
        </w:tc>
        <w:tc>
          <w:tcPr>
            <w:gridSpan w:val="3"/>
            <w:tcW w:w="2218" w:type="dxa"/>
            <w:vAlign w:val="center"/>
            <w:textDirection w:val="lrTb"/>
            <w:noWrap w:val="false"/>
          </w:tcPr>
          <w:p>
            <w:pPr>
              <w:jc w:val="center"/>
              <w:rPr>
                <w:color w:val="auto"/>
                <w:highlight w:val="none"/>
              </w:rPr>
            </w:pPr>
            <w:r>
              <w:rPr>
                <w:color w:val="auto"/>
                <w:highlight w:val="none"/>
              </w:rPr>
              <w:t xml:space="preserve">账号</w:t>
            </w:r>
            <w:r/>
          </w:p>
        </w:tc>
        <w:tc>
          <w:tcPr>
            <w:gridSpan w:val="2"/>
            <w:tcW w:w="2382" w:type="dxa"/>
            <w:textDirection w:val="lrTb"/>
            <w:noWrap w:val="false"/>
          </w:tcPr>
          <w:p>
            <w:pPr>
              <w:rPr>
                <w:rFonts w:ascii="Arial"/>
                <w:color w:val="auto"/>
                <w:szCs w:val="21"/>
                <w:highlight w:val="none"/>
              </w:rPr>
            </w:pPr>
            <w:r>
              <w:rPr>
                <w:rFonts w:ascii="Arial"/>
                <w:color w:val="auto"/>
                <w:szCs w:val="21"/>
                <w:highlight w:val="none"/>
              </w:rPr>
            </w:r>
            <w:r/>
          </w:p>
        </w:tc>
      </w:tr>
      <w:tr>
        <w:trPr>
          <w:trHeight w:val="454"/>
        </w:trPr>
        <w:tc>
          <w:tcPr>
            <w:tcW w:w="1194" w:type="dxa"/>
            <w:vAlign w:val="center"/>
            <w:textDirection w:val="lrTb"/>
            <w:noWrap w:val="false"/>
          </w:tcPr>
          <w:p>
            <w:pPr>
              <w:ind w:left="525"/>
              <w:spacing w:before="78" w:line="183" w:lineRule="auto"/>
              <w:rPr>
                <w:rFonts w:ascii="宋体" w:hAnsi="宋体" w:eastAsia="宋体" w:cs="宋体"/>
                <w:color w:val="auto"/>
                <w:szCs w:val="21"/>
                <w:highlight w:val="none"/>
              </w:rPr>
            </w:pPr>
            <w:r>
              <w:rPr>
                <w:rFonts w:ascii="宋体" w:hAnsi="宋体" w:eastAsia="宋体" w:cs="宋体"/>
                <w:color w:val="auto"/>
                <w:szCs w:val="21"/>
                <w:highlight w:val="none"/>
              </w:rPr>
              <w:t xml:space="preserve">8</w:t>
            </w:r>
            <w:r/>
          </w:p>
        </w:tc>
        <w:tc>
          <w:tcPr>
            <w:tcW w:w="1408" w:type="dxa"/>
            <w:vAlign w:val="center"/>
            <w:textDirection w:val="lrTb"/>
            <w:noWrap w:val="false"/>
          </w:tcPr>
          <w:p>
            <w:pPr>
              <w:jc w:val="center"/>
              <w:rPr>
                <w:color w:val="auto"/>
                <w:highlight w:val="none"/>
              </w:rPr>
            </w:pPr>
            <w:r>
              <w:rPr>
                <w:color w:val="auto"/>
                <w:highlight w:val="none"/>
              </w:rPr>
              <w:t xml:space="preserve">项目联系人</w:t>
            </w:r>
            <w:r/>
          </w:p>
        </w:tc>
        <w:tc>
          <w:tcPr>
            <w:tcW w:w="1558" w:type="dxa"/>
            <w:vAlign w:val="center"/>
            <w:textDirection w:val="lrTb"/>
            <w:noWrap w:val="false"/>
          </w:tcPr>
          <w:p>
            <w:pPr>
              <w:jc w:val="center"/>
              <w:rPr>
                <w:color w:val="auto"/>
                <w:highlight w:val="none"/>
              </w:rPr>
            </w:pPr>
            <w:r>
              <w:rPr>
                <w:color w:val="auto"/>
                <w:highlight w:val="none"/>
              </w:rPr>
            </w:r>
            <w:r/>
          </w:p>
        </w:tc>
        <w:tc>
          <w:tcPr>
            <w:gridSpan w:val="2"/>
            <w:tcW w:w="799" w:type="dxa"/>
            <w:vAlign w:val="center"/>
            <w:textDirection w:val="lrTb"/>
            <w:noWrap w:val="false"/>
          </w:tcPr>
          <w:p>
            <w:pPr>
              <w:jc w:val="center"/>
              <w:rPr>
                <w:color w:val="auto"/>
                <w:highlight w:val="none"/>
              </w:rPr>
            </w:pPr>
            <w:r>
              <w:rPr>
                <w:color w:val="auto"/>
                <w:highlight w:val="none"/>
              </w:rPr>
              <w:t xml:space="preserve">9</w:t>
            </w:r>
            <w:r/>
          </w:p>
        </w:tc>
        <w:tc>
          <w:tcPr>
            <w:gridSpan w:val="3"/>
            <w:tcW w:w="2218" w:type="dxa"/>
            <w:vAlign w:val="center"/>
            <w:textDirection w:val="lrTb"/>
            <w:noWrap w:val="false"/>
          </w:tcPr>
          <w:p>
            <w:pPr>
              <w:jc w:val="center"/>
              <w:rPr>
                <w:color w:val="auto"/>
                <w:highlight w:val="none"/>
              </w:rPr>
            </w:pPr>
            <w:r>
              <w:rPr>
                <w:color w:val="auto"/>
                <w:highlight w:val="none"/>
              </w:rPr>
              <w:t xml:space="preserve">联系电话</w:t>
            </w:r>
            <w:r/>
          </w:p>
        </w:tc>
        <w:tc>
          <w:tcPr>
            <w:gridSpan w:val="2"/>
            <w:tcW w:w="2382" w:type="dxa"/>
            <w:textDirection w:val="lrTb"/>
            <w:noWrap w:val="false"/>
          </w:tcPr>
          <w:p>
            <w:pPr>
              <w:rPr>
                <w:rFonts w:ascii="Arial"/>
                <w:color w:val="auto"/>
                <w:szCs w:val="21"/>
                <w:highlight w:val="none"/>
              </w:rPr>
            </w:pPr>
            <w:r>
              <w:rPr>
                <w:rFonts w:ascii="Arial"/>
                <w:color w:val="auto"/>
                <w:szCs w:val="21"/>
                <w:highlight w:val="none"/>
              </w:rPr>
            </w:r>
            <w:r/>
          </w:p>
        </w:tc>
      </w:tr>
      <w:tr>
        <w:trPr>
          <w:trHeight w:val="454"/>
        </w:trPr>
        <w:tc>
          <w:tcPr>
            <w:shd w:val="clear" w:color="auto" w:fill="d9d9d9"/>
            <w:tcW w:w="1194" w:type="dxa"/>
            <w:textDirection w:val="lrTb"/>
            <w:noWrap w:val="false"/>
          </w:tcPr>
          <w:p>
            <w:pPr>
              <w:ind w:left="464"/>
              <w:spacing w:before="181" w:line="178" w:lineRule="auto"/>
              <w:rPr>
                <w:rFonts w:ascii="宋体" w:hAnsi="宋体" w:eastAsia="宋体" w:cs="宋体"/>
                <w:b/>
                <w:bCs/>
                <w:color w:val="auto"/>
                <w:szCs w:val="21"/>
                <w:highlight w:val="none"/>
              </w:rPr>
            </w:pPr>
            <w:r>
              <w:rPr>
                <w:rFonts w:ascii="宋体" w:hAnsi="宋体" w:eastAsia="宋体" w:cs="宋体"/>
                <w:b/>
                <w:bCs/>
                <w:color w:val="auto"/>
                <w:szCs w:val="21"/>
                <w:highlight w:val="none"/>
              </w:rPr>
              <w:t xml:space="preserve">二</w:t>
            </w:r>
            <w:r/>
          </w:p>
        </w:tc>
        <w:tc>
          <w:tcPr>
            <w:gridSpan w:val="9"/>
            <w:shd w:val="clear" w:color="auto" w:fill="d9d9d9"/>
            <w:tcW w:w="8365" w:type="dxa"/>
            <w:textDirection w:val="lrTb"/>
            <w:noWrap w:val="false"/>
          </w:tcPr>
          <w:p>
            <w:pPr>
              <w:ind w:left="3454"/>
              <w:spacing w:before="109" w:line="219" w:lineRule="auto"/>
              <w:rPr>
                <w:rFonts w:ascii="宋体" w:hAnsi="宋体" w:eastAsia="宋体" w:cs="宋体"/>
                <w:b/>
                <w:bCs/>
                <w:color w:val="auto"/>
                <w:szCs w:val="21"/>
                <w:highlight w:val="none"/>
              </w:rPr>
            </w:pPr>
            <w:r>
              <w:rPr>
                <w:b/>
                <w:bCs/>
                <w:color w:val="auto"/>
                <w:highlight w:val="none"/>
              </w:rPr>
              <w:t xml:space="preserve">公司财务状况</w:t>
            </w:r>
            <w:r/>
          </w:p>
        </w:tc>
      </w:tr>
      <w:tr>
        <w:trPr>
          <w:trHeight w:val="454"/>
        </w:trPr>
        <w:tc>
          <w:tcPr>
            <w:tcW w:w="1194" w:type="dxa"/>
            <w:vAlign w:val="center"/>
            <w:textDirection w:val="lrTb"/>
            <w:noWrap w:val="false"/>
          </w:tcPr>
          <w:p>
            <w:pPr>
              <w:jc w:val="center"/>
              <w:rPr>
                <w:color w:val="auto"/>
                <w:highlight w:val="none"/>
              </w:rPr>
            </w:pPr>
            <w:r>
              <w:rPr>
                <w:rFonts w:hint="eastAsia"/>
                <w:color w:val="auto"/>
                <w:highlight w:val="none"/>
              </w:rPr>
              <w:t xml:space="preserve">（一）</w:t>
            </w:r>
            <w:r/>
          </w:p>
        </w:tc>
        <w:tc>
          <w:tcPr>
            <w:gridSpan w:val="9"/>
            <w:tcW w:w="8365" w:type="dxa"/>
            <w:vAlign w:val="center"/>
            <w:textDirection w:val="lrTb"/>
            <w:noWrap w:val="false"/>
          </w:tcPr>
          <w:p>
            <w:pPr>
              <w:jc w:val="center"/>
              <w:rPr>
                <w:color w:val="auto"/>
                <w:highlight w:val="none"/>
              </w:rPr>
            </w:pPr>
            <w:r>
              <w:rPr>
                <w:color w:val="auto"/>
                <w:highlight w:val="none"/>
              </w:rPr>
              <w:t xml:space="preserve">202</w:t>
            </w:r>
            <w:r>
              <w:rPr>
                <w:rFonts w:hint="eastAsia"/>
                <w:color w:val="auto"/>
                <w:highlight w:val="none"/>
                <w:lang w:val="en-US" w:eastAsia="zh-CN"/>
              </w:rPr>
              <w:t xml:space="preserve">4</w:t>
            </w:r>
            <w:r>
              <w:rPr>
                <w:color w:val="auto"/>
                <w:highlight w:val="none"/>
              </w:rPr>
              <w:t xml:space="preserve">年度财务状况</w:t>
            </w:r>
            <w:r/>
          </w:p>
        </w:tc>
      </w:tr>
      <w:tr>
        <w:trPr>
          <w:trHeight w:val="454"/>
        </w:trPr>
        <w:tc>
          <w:tcPr>
            <w:tcW w:w="1194" w:type="dxa"/>
            <w:vAlign w:val="center"/>
            <w:textDirection w:val="lrTb"/>
            <w:noWrap w:val="false"/>
          </w:tcPr>
          <w:p>
            <w:pPr>
              <w:jc w:val="center"/>
              <w:rPr>
                <w:color w:val="auto"/>
                <w:highlight w:val="none"/>
              </w:rPr>
            </w:pPr>
            <w:r>
              <w:rPr>
                <w:color w:val="auto"/>
                <w:highlight w:val="none"/>
              </w:rPr>
              <w:t xml:space="preserve">1</w:t>
            </w:r>
            <w:r/>
          </w:p>
        </w:tc>
        <w:tc>
          <w:tcPr>
            <w:tcW w:w="1408" w:type="dxa"/>
            <w:vAlign w:val="center"/>
            <w:textDirection w:val="lrTb"/>
            <w:noWrap w:val="false"/>
          </w:tcPr>
          <w:p>
            <w:pPr>
              <w:jc w:val="center"/>
              <w:rPr>
                <w:color w:val="auto"/>
                <w:highlight w:val="none"/>
              </w:rPr>
            </w:pPr>
            <w:r>
              <w:rPr>
                <w:color w:val="auto"/>
                <w:highlight w:val="none"/>
              </w:rPr>
              <w:t xml:space="preserve">营业收入(万):</w:t>
            </w:r>
            <w:r/>
          </w:p>
        </w:tc>
        <w:tc>
          <w:tcPr>
            <w:tcW w:w="1558" w:type="dxa"/>
            <w:vAlign w:val="center"/>
            <w:textDirection w:val="lrTb"/>
            <w:noWrap w:val="false"/>
          </w:tcPr>
          <w:p>
            <w:pPr>
              <w:jc w:val="center"/>
              <w:rPr>
                <w:color w:val="auto"/>
                <w:highlight w:val="none"/>
              </w:rPr>
            </w:pPr>
            <w:r>
              <w:rPr>
                <w:color w:val="auto"/>
                <w:highlight w:val="none"/>
              </w:rPr>
            </w:r>
            <w:r/>
          </w:p>
        </w:tc>
        <w:tc>
          <w:tcPr>
            <w:gridSpan w:val="2"/>
            <w:tcW w:w="799" w:type="dxa"/>
            <w:vAlign w:val="center"/>
            <w:textDirection w:val="lrTb"/>
            <w:noWrap w:val="false"/>
          </w:tcPr>
          <w:p>
            <w:pPr>
              <w:jc w:val="center"/>
              <w:rPr>
                <w:color w:val="auto"/>
                <w:highlight w:val="none"/>
              </w:rPr>
            </w:pPr>
            <w:r>
              <w:rPr>
                <w:color w:val="auto"/>
                <w:highlight w:val="none"/>
              </w:rPr>
              <w:t xml:space="preserve">2</w:t>
            </w:r>
            <w:r/>
          </w:p>
        </w:tc>
        <w:tc>
          <w:tcPr>
            <w:gridSpan w:val="3"/>
            <w:tcW w:w="2218" w:type="dxa"/>
            <w:vAlign w:val="center"/>
            <w:textDirection w:val="lrTb"/>
            <w:noWrap w:val="false"/>
          </w:tcPr>
          <w:p>
            <w:pPr>
              <w:jc w:val="center"/>
              <w:rPr>
                <w:color w:val="auto"/>
                <w:highlight w:val="none"/>
              </w:rPr>
            </w:pPr>
            <w:r>
              <w:rPr>
                <w:color w:val="auto"/>
                <w:highlight w:val="none"/>
              </w:rPr>
              <w:t xml:space="preserve">利润总额(万)</w:t>
            </w:r>
            <w:r/>
          </w:p>
        </w:tc>
        <w:tc>
          <w:tcPr>
            <w:gridSpan w:val="2"/>
            <w:tcW w:w="2382" w:type="dxa"/>
            <w:textDirection w:val="lrTb"/>
            <w:noWrap w:val="false"/>
          </w:tcPr>
          <w:p>
            <w:pPr>
              <w:rPr>
                <w:rFonts w:ascii="Arial"/>
                <w:color w:val="auto"/>
                <w:szCs w:val="21"/>
                <w:highlight w:val="none"/>
              </w:rPr>
            </w:pPr>
            <w:r>
              <w:rPr>
                <w:rFonts w:ascii="Arial"/>
                <w:color w:val="auto"/>
                <w:szCs w:val="21"/>
                <w:highlight w:val="none"/>
              </w:rPr>
            </w:r>
            <w:r/>
          </w:p>
        </w:tc>
      </w:tr>
      <w:tr>
        <w:trPr>
          <w:trHeight w:val="454"/>
        </w:trPr>
        <w:tc>
          <w:tcPr>
            <w:tcW w:w="1194" w:type="dxa"/>
            <w:vAlign w:val="center"/>
            <w:textDirection w:val="lrTb"/>
            <w:noWrap w:val="false"/>
          </w:tcPr>
          <w:p>
            <w:pPr>
              <w:jc w:val="center"/>
              <w:rPr>
                <w:color w:val="auto"/>
                <w:highlight w:val="none"/>
              </w:rPr>
            </w:pPr>
            <w:r>
              <w:rPr>
                <w:color w:val="auto"/>
                <w:highlight w:val="none"/>
              </w:rPr>
              <w:t xml:space="preserve">3</w:t>
            </w:r>
            <w:r/>
          </w:p>
        </w:tc>
        <w:tc>
          <w:tcPr>
            <w:tcW w:w="1408" w:type="dxa"/>
            <w:vAlign w:val="center"/>
            <w:textDirection w:val="lrTb"/>
            <w:noWrap w:val="false"/>
          </w:tcPr>
          <w:p>
            <w:pPr>
              <w:jc w:val="center"/>
              <w:rPr>
                <w:color w:val="auto"/>
                <w:highlight w:val="none"/>
              </w:rPr>
            </w:pPr>
            <w:r>
              <w:rPr>
                <w:color w:val="auto"/>
                <w:highlight w:val="none"/>
              </w:rPr>
              <w:t xml:space="preserve">年末“固定资产合计"(万)</w:t>
            </w:r>
            <w:r/>
          </w:p>
        </w:tc>
        <w:tc>
          <w:tcPr>
            <w:tcW w:w="1558" w:type="dxa"/>
            <w:vAlign w:val="center"/>
            <w:textDirection w:val="lrTb"/>
            <w:noWrap w:val="false"/>
          </w:tcPr>
          <w:p>
            <w:pPr>
              <w:jc w:val="center"/>
              <w:rPr>
                <w:color w:val="auto"/>
                <w:highlight w:val="none"/>
              </w:rPr>
            </w:pPr>
            <w:r>
              <w:rPr>
                <w:color w:val="auto"/>
                <w:highlight w:val="none"/>
              </w:rPr>
            </w:r>
            <w:r/>
          </w:p>
        </w:tc>
        <w:tc>
          <w:tcPr>
            <w:gridSpan w:val="2"/>
            <w:tcW w:w="799" w:type="dxa"/>
            <w:vAlign w:val="center"/>
            <w:textDirection w:val="lrTb"/>
            <w:noWrap w:val="false"/>
          </w:tcPr>
          <w:p>
            <w:pPr>
              <w:jc w:val="center"/>
              <w:rPr>
                <w:color w:val="auto"/>
                <w:highlight w:val="none"/>
              </w:rPr>
            </w:pPr>
            <w:r>
              <w:rPr>
                <w:color w:val="auto"/>
                <w:highlight w:val="none"/>
              </w:rPr>
              <w:t xml:space="preserve">4</w:t>
            </w:r>
            <w:r/>
          </w:p>
        </w:tc>
        <w:tc>
          <w:tcPr>
            <w:gridSpan w:val="3"/>
            <w:tcW w:w="2218"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t xml:space="preserve">年末“流动资产”余额(万)</w:t>
            </w:r>
            <w:r/>
          </w:p>
        </w:tc>
        <w:tc>
          <w:tcPr>
            <w:gridSpan w:val="2"/>
            <w:tcW w:w="2382" w:type="dxa"/>
            <w:textDirection w:val="lrTb"/>
            <w:noWrap w:val="false"/>
          </w:tcPr>
          <w:p>
            <w:pPr>
              <w:rPr>
                <w:rFonts w:ascii="Arial"/>
                <w:color w:val="auto"/>
                <w:szCs w:val="21"/>
                <w:highlight w:val="none"/>
              </w:rPr>
            </w:pPr>
            <w:r>
              <w:rPr>
                <w:rFonts w:ascii="Arial"/>
                <w:color w:val="auto"/>
                <w:szCs w:val="21"/>
                <w:highlight w:val="none"/>
              </w:rPr>
            </w:r>
            <w:r/>
          </w:p>
        </w:tc>
      </w:tr>
      <w:tr>
        <w:trPr>
          <w:trHeight w:val="454"/>
        </w:trPr>
        <w:tc>
          <w:tcPr>
            <w:tcW w:w="1194" w:type="dxa"/>
            <w:vAlign w:val="center"/>
            <w:textDirection w:val="lrTb"/>
            <w:noWrap w:val="false"/>
          </w:tcPr>
          <w:p>
            <w:pPr>
              <w:jc w:val="center"/>
              <w:rPr>
                <w:color w:val="auto"/>
                <w:highlight w:val="none"/>
              </w:rPr>
            </w:pPr>
            <w:r>
              <w:rPr>
                <w:color w:val="auto"/>
                <w:highlight w:val="none"/>
              </w:rPr>
              <w:t xml:space="preserve">5</w:t>
            </w:r>
            <w:r/>
          </w:p>
        </w:tc>
        <w:tc>
          <w:tcPr>
            <w:tcW w:w="1408" w:type="dxa"/>
            <w:vAlign w:val="center"/>
            <w:textDirection w:val="lrTb"/>
            <w:noWrap w:val="false"/>
          </w:tcPr>
          <w:p>
            <w:pPr>
              <w:jc w:val="center"/>
              <w:rPr>
                <w:color w:val="auto"/>
                <w:highlight w:val="none"/>
              </w:rPr>
            </w:pPr>
            <w:r>
              <w:rPr>
                <w:color w:val="auto"/>
                <w:highlight w:val="none"/>
              </w:rPr>
              <w:t xml:space="preserve">年末“短期负债”余额(万)</w:t>
            </w:r>
            <w:r/>
          </w:p>
        </w:tc>
        <w:tc>
          <w:tcPr>
            <w:tcW w:w="1558" w:type="dxa"/>
            <w:vAlign w:val="center"/>
            <w:textDirection w:val="lrTb"/>
            <w:noWrap w:val="false"/>
          </w:tcPr>
          <w:p>
            <w:pPr>
              <w:jc w:val="center"/>
              <w:rPr>
                <w:color w:val="auto"/>
                <w:highlight w:val="none"/>
              </w:rPr>
            </w:pPr>
            <w:r>
              <w:rPr>
                <w:color w:val="auto"/>
                <w:highlight w:val="none"/>
              </w:rPr>
            </w:r>
            <w:r/>
          </w:p>
        </w:tc>
        <w:tc>
          <w:tcPr>
            <w:gridSpan w:val="2"/>
            <w:tcW w:w="799" w:type="dxa"/>
            <w:vAlign w:val="center"/>
            <w:textDirection w:val="lrTb"/>
            <w:noWrap w:val="false"/>
          </w:tcPr>
          <w:p>
            <w:pPr>
              <w:jc w:val="center"/>
              <w:rPr>
                <w:color w:val="auto"/>
                <w:highlight w:val="none"/>
              </w:rPr>
            </w:pPr>
            <w:r>
              <w:rPr>
                <w:rFonts w:hint="eastAsia"/>
                <w:color w:val="auto"/>
                <w:highlight w:val="none"/>
              </w:rPr>
              <w:t xml:space="preserve">6</w:t>
            </w:r>
            <w:r/>
          </w:p>
        </w:tc>
        <w:tc>
          <w:tcPr>
            <w:gridSpan w:val="3"/>
            <w:tcW w:w="2218"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t xml:space="preserve">年末“长期负债”余额(万)</w:t>
            </w:r>
            <w:r/>
          </w:p>
        </w:tc>
        <w:tc>
          <w:tcPr>
            <w:gridSpan w:val="2"/>
            <w:tcW w:w="2382" w:type="dxa"/>
            <w:textDirection w:val="lrTb"/>
            <w:noWrap w:val="false"/>
          </w:tcPr>
          <w:p>
            <w:pPr>
              <w:rPr>
                <w:rFonts w:ascii="Arial"/>
                <w:color w:val="auto"/>
                <w:szCs w:val="21"/>
                <w:highlight w:val="none"/>
              </w:rPr>
            </w:pPr>
            <w:r>
              <w:rPr>
                <w:rFonts w:ascii="Arial"/>
                <w:color w:val="auto"/>
                <w:szCs w:val="21"/>
                <w:highlight w:val="none"/>
              </w:rPr>
            </w:r>
            <w:r/>
          </w:p>
        </w:tc>
      </w:tr>
      <w:tr>
        <w:trPr>
          <w:trHeight w:val="454"/>
        </w:trPr>
        <w:tc>
          <w:tcPr>
            <w:tcW w:w="1194" w:type="dxa"/>
            <w:vAlign w:val="center"/>
            <w:textDirection w:val="lrTb"/>
            <w:noWrap w:val="false"/>
          </w:tcPr>
          <w:p>
            <w:pPr>
              <w:jc w:val="center"/>
              <w:rPr>
                <w:color w:val="auto"/>
                <w:highlight w:val="none"/>
              </w:rPr>
            </w:pPr>
            <w:r>
              <w:rPr>
                <w:color w:val="auto"/>
                <w:highlight w:val="none"/>
              </w:rPr>
              <w:t xml:space="preserve">7</w:t>
            </w:r>
            <w:r/>
          </w:p>
        </w:tc>
        <w:tc>
          <w:tcPr>
            <w:tcW w:w="1408" w:type="dxa"/>
            <w:vAlign w:val="center"/>
            <w:textDirection w:val="lrTb"/>
            <w:noWrap w:val="false"/>
          </w:tcPr>
          <w:p>
            <w:pPr>
              <w:jc w:val="center"/>
              <w:rPr>
                <w:color w:val="auto"/>
                <w:highlight w:val="none"/>
              </w:rPr>
            </w:pPr>
            <w:r>
              <w:rPr>
                <w:color w:val="auto"/>
                <w:highlight w:val="none"/>
              </w:rPr>
              <w:t xml:space="preserve">年末“资产总计"余额(万)</w:t>
            </w:r>
            <w:r/>
          </w:p>
        </w:tc>
        <w:tc>
          <w:tcPr>
            <w:tcW w:w="1558" w:type="dxa"/>
            <w:vAlign w:val="center"/>
            <w:textDirection w:val="lrTb"/>
            <w:noWrap w:val="false"/>
          </w:tcPr>
          <w:p>
            <w:pPr>
              <w:jc w:val="center"/>
              <w:rPr>
                <w:color w:val="auto"/>
                <w:highlight w:val="none"/>
              </w:rPr>
            </w:pPr>
            <w:r>
              <w:rPr>
                <w:color w:val="auto"/>
                <w:highlight w:val="none"/>
              </w:rPr>
            </w:r>
            <w:r/>
          </w:p>
        </w:tc>
        <w:tc>
          <w:tcPr>
            <w:gridSpan w:val="2"/>
            <w:tcW w:w="799" w:type="dxa"/>
            <w:vAlign w:val="center"/>
            <w:textDirection w:val="lrTb"/>
            <w:noWrap w:val="false"/>
          </w:tcPr>
          <w:p>
            <w:pPr>
              <w:jc w:val="center"/>
              <w:rPr>
                <w:color w:val="auto"/>
                <w:highlight w:val="none"/>
              </w:rPr>
            </w:pPr>
            <w:r>
              <w:rPr>
                <w:color w:val="auto"/>
                <w:highlight w:val="none"/>
              </w:rPr>
              <w:t xml:space="preserve">8</w:t>
            </w:r>
            <w:r/>
          </w:p>
        </w:tc>
        <w:tc>
          <w:tcPr>
            <w:gridSpan w:val="3"/>
            <w:tcW w:w="2218"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t xml:space="preserve">年末“货币资金”余额(万)</w:t>
            </w:r>
            <w:r/>
          </w:p>
        </w:tc>
        <w:tc>
          <w:tcPr>
            <w:gridSpan w:val="2"/>
            <w:tcW w:w="2382" w:type="dxa"/>
            <w:textDirection w:val="lrTb"/>
            <w:noWrap w:val="false"/>
          </w:tcPr>
          <w:p>
            <w:pPr>
              <w:rPr>
                <w:rFonts w:ascii="Arial"/>
                <w:color w:val="auto"/>
                <w:szCs w:val="21"/>
                <w:highlight w:val="none"/>
              </w:rPr>
            </w:pPr>
            <w:r>
              <w:rPr>
                <w:rFonts w:ascii="Arial"/>
                <w:color w:val="auto"/>
                <w:szCs w:val="21"/>
                <w:highlight w:val="none"/>
              </w:rPr>
            </w:r>
            <w:r/>
          </w:p>
        </w:tc>
      </w:tr>
      <w:tr>
        <w:trPr>
          <w:trHeight w:val="454"/>
        </w:trPr>
        <w:tc>
          <w:tcPr>
            <w:shd w:val="clear" w:color="auto" w:fill="d9d9d9"/>
            <w:tcW w:w="1194" w:type="dxa"/>
            <w:textDirection w:val="lrTb"/>
            <w:noWrap w:val="false"/>
          </w:tcPr>
          <w:p>
            <w:pPr>
              <w:ind w:left="464"/>
              <w:spacing w:before="179" w:line="237" w:lineRule="auto"/>
              <w:rPr>
                <w:rFonts w:ascii="宋体" w:hAnsi="宋体" w:eastAsia="宋体" w:cs="宋体"/>
                <w:color w:val="auto"/>
                <w:szCs w:val="21"/>
                <w:highlight w:val="none"/>
              </w:rPr>
            </w:pPr>
            <w:r>
              <w:rPr>
                <w:rFonts w:ascii="宋体" w:hAnsi="宋体" w:eastAsia="宋体" w:cs="宋体"/>
                <w:b/>
                <w:bCs/>
                <w:color w:val="auto"/>
                <w:szCs w:val="21"/>
                <w:highlight w:val="none"/>
              </w:rPr>
              <w:t xml:space="preserve">三</w:t>
            </w:r>
            <w:r/>
          </w:p>
        </w:tc>
        <w:tc>
          <w:tcPr>
            <w:gridSpan w:val="9"/>
            <w:shd w:val="clear" w:color="auto" w:fill="d9d9d9"/>
            <w:tcW w:w="8365" w:type="dxa"/>
            <w:textDirection w:val="lrTb"/>
            <w:noWrap w:val="false"/>
          </w:tcPr>
          <w:p>
            <w:pPr>
              <w:ind w:left="3334"/>
              <w:spacing w:before="152" w:line="219" w:lineRule="auto"/>
              <w:rPr>
                <w:rFonts w:ascii="宋体" w:hAnsi="宋体" w:eastAsia="宋体" w:cs="宋体"/>
                <w:color w:val="auto"/>
                <w:szCs w:val="21"/>
                <w:highlight w:val="none"/>
              </w:rPr>
            </w:pPr>
            <w:r>
              <w:rPr>
                <w:rFonts w:ascii="宋体" w:hAnsi="宋体" w:eastAsia="宋体" w:cs="宋体"/>
                <w:b/>
                <w:bCs/>
                <w:color w:val="auto"/>
                <w:spacing w:val="-1"/>
                <w:szCs w:val="21"/>
                <w:highlight w:val="none"/>
              </w:rPr>
              <w:t xml:space="preserve">供应商其他信息</w:t>
            </w:r>
            <w:r/>
          </w:p>
        </w:tc>
      </w:tr>
      <w:tr>
        <w:trPr>
          <w:trHeight w:val="454"/>
        </w:trPr>
        <w:tc>
          <w:tcPr>
            <w:tcW w:w="1194" w:type="dxa"/>
            <w:vAlign w:val="center"/>
            <w:textDirection w:val="lrTb"/>
            <w:noWrap w:val="false"/>
          </w:tcPr>
          <w:p>
            <w:pPr>
              <w:jc w:val="center"/>
              <w:rPr>
                <w:color w:val="auto"/>
                <w:highlight w:val="none"/>
              </w:rPr>
            </w:pPr>
            <w:r>
              <w:rPr>
                <w:rFonts w:hint="eastAsia"/>
                <w:color w:val="auto"/>
                <w:highlight w:val="none"/>
              </w:rPr>
              <w:t xml:space="preserve">（一）</w:t>
            </w:r>
            <w:r/>
          </w:p>
        </w:tc>
        <w:tc>
          <w:tcPr>
            <w:tcW w:w="1408" w:type="dxa"/>
            <w:vAlign w:val="center"/>
            <w:textDirection w:val="lrTb"/>
            <w:noWrap w:val="false"/>
          </w:tcPr>
          <w:p>
            <w:pPr>
              <w:jc w:val="center"/>
              <w:rPr>
                <w:color w:val="auto"/>
                <w:highlight w:val="none"/>
              </w:rPr>
            </w:pPr>
            <w:r>
              <w:rPr>
                <w:color w:val="auto"/>
                <w:highlight w:val="none"/>
              </w:rPr>
              <w:t xml:space="preserve">公司取得的相关资质及等级：</w:t>
            </w:r>
            <w:r/>
          </w:p>
        </w:tc>
        <w:tc>
          <w:tcPr>
            <w:gridSpan w:val="8"/>
            <w:tcW w:w="6957" w:type="dxa"/>
            <w:textDirection w:val="lrTb"/>
            <w:noWrap w:val="false"/>
          </w:tcPr>
          <w:p>
            <w:pPr>
              <w:rPr>
                <w:rFonts w:ascii="Arial"/>
                <w:color w:val="auto"/>
                <w:szCs w:val="21"/>
                <w:highlight w:val="none"/>
              </w:rPr>
            </w:pPr>
            <w:r>
              <w:rPr>
                <w:rFonts w:ascii="Arial"/>
                <w:color w:val="auto"/>
                <w:szCs w:val="21"/>
                <w:highlight w:val="none"/>
              </w:rPr>
            </w:r>
            <w:r/>
          </w:p>
        </w:tc>
      </w:tr>
      <w:tr>
        <w:trPr>
          <w:trHeight w:val="454"/>
        </w:trPr>
        <w:tc>
          <w:tcPr>
            <w:tcW w:w="1194"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rFonts w:hint="eastAsia"/>
                <w:color w:val="auto"/>
                <w:highlight w:val="none"/>
              </w:rPr>
              <w:t xml:space="preserve">（二）</w:t>
            </w:r>
            <w:r/>
          </w:p>
        </w:tc>
        <w:tc>
          <w:tcPr>
            <w:tcW w:w="1408" w:type="dxa"/>
            <w:vAlign w:val="center"/>
            <w:textDirection w:val="lrTb"/>
            <w:noWrap w:val="false"/>
          </w:tcPr>
          <w:p>
            <w:pPr>
              <w:jc w:val="center"/>
              <w:rPr>
                <w:color w:val="auto"/>
                <w:highlight w:val="none"/>
              </w:rPr>
            </w:pPr>
            <w:r>
              <w:rPr>
                <w:color w:val="auto"/>
                <w:highlight w:val="none"/>
              </w:rPr>
              <w:t xml:space="preserve">公司××××年度</w:t>
            </w:r>
            <w:r/>
          </w:p>
          <w:p>
            <w:pPr>
              <w:jc w:val="center"/>
              <w:rPr>
                <w:color w:val="auto"/>
                <w:highlight w:val="none"/>
              </w:rPr>
            </w:pPr>
            <w:r>
              <w:rPr>
                <w:color w:val="auto"/>
                <w:highlight w:val="none"/>
              </w:rPr>
              <w:t xml:space="preserve">后获得的荣誉及表彰情况</w:t>
            </w:r>
            <w:r/>
          </w:p>
        </w:tc>
        <w:tc>
          <w:tcPr>
            <w:gridSpan w:val="8"/>
            <w:tcW w:w="6957" w:type="dxa"/>
            <w:textDirection w:val="lrTb"/>
            <w:noWrap w:val="false"/>
          </w:tcPr>
          <w:p>
            <w:pPr>
              <w:rPr>
                <w:rFonts w:ascii="Arial"/>
                <w:color w:val="auto"/>
                <w:szCs w:val="21"/>
                <w:highlight w:val="none"/>
              </w:rPr>
            </w:pPr>
            <w:r>
              <w:rPr>
                <w:rFonts w:ascii="Arial"/>
                <w:color w:val="auto"/>
                <w:szCs w:val="21"/>
                <w:highlight w:val="none"/>
              </w:rPr>
            </w:r>
            <w:r/>
          </w:p>
        </w:tc>
      </w:tr>
      <w:tr>
        <w:trPr>
          <w:trHeight w:val="454"/>
        </w:trPr>
        <w:tc>
          <w:tcPr>
            <w:shd w:val="clear" w:color="auto" w:fill="d9d9d9"/>
            <w:tcW w:w="1194" w:type="dxa"/>
            <w:textDirection w:val="lrTb"/>
            <w:noWrap w:val="false"/>
          </w:tcPr>
          <w:p>
            <w:pPr>
              <w:ind w:left="464"/>
              <w:spacing w:before="179" w:line="237"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四</w:t>
            </w:r>
            <w:r/>
          </w:p>
        </w:tc>
        <w:tc>
          <w:tcPr>
            <w:gridSpan w:val="9"/>
            <w:shd w:val="clear" w:color="auto" w:fill="d9d9d9"/>
            <w:tcW w:w="8365" w:type="dxa"/>
            <w:textDirection w:val="lrTb"/>
            <w:noWrap w:val="false"/>
          </w:tcPr>
          <w:p>
            <w:pPr>
              <w:jc w:val="center"/>
              <w:spacing w:before="152" w:line="219"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提供本项目服务所必须的专业设备一览表</w:t>
            </w:r>
            <w:r/>
          </w:p>
        </w:tc>
      </w:tr>
      <w:tr>
        <w:trPr>
          <w:trHeight w:val="454"/>
        </w:trPr>
        <w:tc>
          <w:tcPr>
            <w:tcW w:w="1194" w:type="dxa"/>
            <w:vAlign w:val="center"/>
            <w:textDirection w:val="lrTb"/>
            <w:noWrap w:val="false"/>
          </w:tcPr>
          <w:p>
            <w:pPr>
              <w:jc w:val="center"/>
              <w:rPr>
                <w:color w:val="auto"/>
                <w:highlight w:val="none"/>
              </w:rPr>
            </w:pPr>
            <w:r>
              <w:rPr>
                <w:color w:val="auto"/>
                <w:highlight w:val="none"/>
              </w:rPr>
              <w:t xml:space="preserve">序号</w:t>
            </w:r>
            <w:r/>
          </w:p>
        </w:tc>
        <w:tc>
          <w:tcPr>
            <w:gridSpan w:val="3"/>
            <w:tcW w:w="3376" w:type="dxa"/>
            <w:vAlign w:val="center"/>
            <w:textDirection w:val="lrTb"/>
            <w:noWrap w:val="false"/>
          </w:tcPr>
          <w:p>
            <w:pPr>
              <w:jc w:val="center"/>
              <w:rPr>
                <w:color w:val="auto"/>
                <w:highlight w:val="none"/>
              </w:rPr>
            </w:pPr>
            <w:r>
              <w:rPr>
                <w:color w:val="auto"/>
                <w:highlight w:val="none"/>
              </w:rPr>
              <w:t xml:space="preserve">品牌、型号及主要参数配置简述</w:t>
            </w:r>
            <w:r/>
          </w:p>
        </w:tc>
        <w:tc>
          <w:tcPr>
            <w:gridSpan w:val="2"/>
            <w:tcW w:w="1169" w:type="dxa"/>
            <w:vAlign w:val="center"/>
            <w:textDirection w:val="lrTb"/>
            <w:noWrap w:val="false"/>
          </w:tcPr>
          <w:p>
            <w:pPr>
              <w:jc w:val="center"/>
              <w:rPr>
                <w:color w:val="auto"/>
                <w:highlight w:val="none"/>
              </w:rPr>
            </w:pPr>
            <w:r>
              <w:rPr>
                <w:color w:val="auto"/>
                <w:highlight w:val="none"/>
              </w:rPr>
              <w:t xml:space="preserve">购置年份</w:t>
            </w:r>
            <w:r/>
          </w:p>
        </w:tc>
        <w:tc>
          <w:tcPr>
            <w:tcW w:w="1129" w:type="dxa"/>
            <w:vAlign w:val="center"/>
            <w:textDirection w:val="lrTb"/>
            <w:noWrap w:val="false"/>
          </w:tcPr>
          <w:p>
            <w:pPr>
              <w:jc w:val="center"/>
              <w:rPr>
                <w:color w:val="auto"/>
                <w:highlight w:val="none"/>
              </w:rPr>
            </w:pPr>
            <w:r>
              <w:rPr>
                <w:color w:val="auto"/>
                <w:highlight w:val="none"/>
              </w:rPr>
              <w:t xml:space="preserve">价格</w:t>
            </w:r>
            <w:r/>
          </w:p>
        </w:tc>
        <w:tc>
          <w:tcPr>
            <w:gridSpan w:val="2"/>
            <w:tcW w:w="1268" w:type="dxa"/>
            <w:vAlign w:val="center"/>
            <w:textDirection w:val="lrTb"/>
            <w:noWrap w:val="false"/>
          </w:tcPr>
          <w:p>
            <w:pPr>
              <w:jc w:val="center"/>
              <w:rPr>
                <w:color w:val="auto"/>
                <w:highlight w:val="none"/>
              </w:rPr>
            </w:pPr>
            <w:r>
              <w:rPr>
                <w:color w:val="auto"/>
                <w:highlight w:val="none"/>
              </w:rPr>
              <w:t xml:space="preserve">数量</w:t>
            </w:r>
            <w:r/>
          </w:p>
        </w:tc>
        <w:tc>
          <w:tcPr>
            <w:tcW w:w="1423" w:type="dxa"/>
            <w:vAlign w:val="center"/>
            <w:textDirection w:val="lrTb"/>
            <w:noWrap w:val="false"/>
          </w:tcPr>
          <w:p>
            <w:pPr>
              <w:jc w:val="center"/>
              <w:rPr>
                <w:color w:val="auto"/>
                <w:highlight w:val="none"/>
              </w:rPr>
            </w:pPr>
            <w:r>
              <w:rPr>
                <w:color w:val="auto"/>
                <w:highlight w:val="none"/>
              </w:rPr>
              <w:t xml:space="preserve">用途</w:t>
            </w:r>
            <w:r/>
          </w:p>
        </w:tc>
      </w:tr>
      <w:tr>
        <w:trPr>
          <w:trHeight w:val="454"/>
        </w:trPr>
        <w:tc>
          <w:tcPr>
            <w:tcW w:w="1194" w:type="dxa"/>
            <w:vAlign w:val="center"/>
            <w:textDirection w:val="lrTb"/>
            <w:noWrap w:val="false"/>
          </w:tcPr>
          <w:p>
            <w:pPr>
              <w:jc w:val="center"/>
              <w:rPr>
                <w:color w:val="auto"/>
                <w:highlight w:val="none"/>
              </w:rPr>
            </w:pPr>
            <w:r>
              <w:rPr>
                <w:rFonts w:hint="eastAsia"/>
                <w:color w:val="auto"/>
                <w:highlight w:val="none"/>
              </w:rPr>
              <w:t xml:space="preserve">1</w:t>
            </w:r>
            <w:r/>
          </w:p>
        </w:tc>
        <w:tc>
          <w:tcPr>
            <w:gridSpan w:val="3"/>
            <w:tcW w:w="3376" w:type="dxa"/>
            <w:vAlign w:val="center"/>
            <w:textDirection w:val="lrTb"/>
            <w:noWrap w:val="false"/>
          </w:tcPr>
          <w:p>
            <w:pPr>
              <w:jc w:val="center"/>
              <w:rPr>
                <w:color w:val="auto"/>
                <w:highlight w:val="none"/>
              </w:rPr>
            </w:pPr>
            <w:r>
              <w:rPr>
                <w:color w:val="auto"/>
                <w:highlight w:val="none"/>
              </w:rPr>
            </w:r>
            <w:r/>
          </w:p>
        </w:tc>
        <w:tc>
          <w:tcPr>
            <w:gridSpan w:val="2"/>
            <w:tcW w:w="1169" w:type="dxa"/>
            <w:vAlign w:val="center"/>
            <w:textDirection w:val="lrTb"/>
            <w:noWrap w:val="false"/>
          </w:tcPr>
          <w:p>
            <w:pPr>
              <w:jc w:val="center"/>
              <w:rPr>
                <w:color w:val="auto"/>
                <w:highlight w:val="none"/>
              </w:rPr>
            </w:pPr>
            <w:r>
              <w:rPr>
                <w:color w:val="auto"/>
                <w:highlight w:val="none"/>
              </w:rPr>
            </w:r>
            <w:r/>
          </w:p>
        </w:tc>
        <w:tc>
          <w:tcPr>
            <w:tcW w:w="1129" w:type="dxa"/>
            <w:vAlign w:val="center"/>
            <w:textDirection w:val="lrTb"/>
            <w:noWrap w:val="false"/>
          </w:tcPr>
          <w:p>
            <w:pPr>
              <w:jc w:val="center"/>
              <w:rPr>
                <w:color w:val="auto"/>
                <w:highlight w:val="none"/>
              </w:rPr>
            </w:pPr>
            <w:r>
              <w:rPr>
                <w:color w:val="auto"/>
                <w:highlight w:val="none"/>
              </w:rPr>
            </w:r>
            <w:r/>
          </w:p>
        </w:tc>
        <w:tc>
          <w:tcPr>
            <w:gridSpan w:val="2"/>
            <w:tcW w:w="1268" w:type="dxa"/>
            <w:vAlign w:val="center"/>
            <w:textDirection w:val="lrTb"/>
            <w:noWrap w:val="false"/>
          </w:tcPr>
          <w:p>
            <w:pPr>
              <w:jc w:val="center"/>
              <w:rPr>
                <w:color w:val="auto"/>
                <w:highlight w:val="none"/>
              </w:rPr>
            </w:pPr>
            <w:r>
              <w:rPr>
                <w:color w:val="auto"/>
                <w:highlight w:val="none"/>
              </w:rPr>
            </w:r>
            <w:r/>
          </w:p>
        </w:tc>
        <w:tc>
          <w:tcPr>
            <w:tcW w:w="1423" w:type="dxa"/>
            <w:vAlign w:val="center"/>
            <w:textDirection w:val="lrTb"/>
            <w:noWrap w:val="false"/>
          </w:tcPr>
          <w:p>
            <w:pPr>
              <w:jc w:val="center"/>
              <w:rPr>
                <w:color w:val="auto"/>
                <w:highlight w:val="none"/>
              </w:rPr>
            </w:pPr>
            <w:r>
              <w:rPr>
                <w:color w:val="auto"/>
                <w:highlight w:val="none"/>
              </w:rPr>
            </w:r>
            <w:r/>
          </w:p>
        </w:tc>
      </w:tr>
      <w:tr>
        <w:trPr>
          <w:trHeight w:val="454"/>
        </w:trPr>
        <w:tc>
          <w:tcPr>
            <w:tcW w:w="1194" w:type="dxa"/>
            <w:vAlign w:val="center"/>
            <w:textDirection w:val="lrTb"/>
            <w:noWrap w:val="false"/>
          </w:tcPr>
          <w:p>
            <w:pPr>
              <w:jc w:val="center"/>
              <w:rPr>
                <w:color w:val="auto"/>
                <w:highlight w:val="none"/>
              </w:rPr>
            </w:pPr>
            <w:r>
              <w:rPr>
                <w:rFonts w:hint="eastAsia"/>
                <w:color w:val="auto"/>
                <w:highlight w:val="none"/>
              </w:rPr>
              <w:t xml:space="preserve">2</w:t>
            </w:r>
            <w:r/>
          </w:p>
        </w:tc>
        <w:tc>
          <w:tcPr>
            <w:gridSpan w:val="3"/>
            <w:tcW w:w="3376" w:type="dxa"/>
            <w:vAlign w:val="center"/>
            <w:textDirection w:val="lrTb"/>
            <w:noWrap w:val="false"/>
          </w:tcPr>
          <w:p>
            <w:pPr>
              <w:jc w:val="center"/>
              <w:rPr>
                <w:color w:val="auto"/>
                <w:highlight w:val="none"/>
              </w:rPr>
            </w:pPr>
            <w:r>
              <w:rPr>
                <w:color w:val="auto"/>
                <w:highlight w:val="none"/>
              </w:rPr>
            </w:r>
            <w:r/>
          </w:p>
        </w:tc>
        <w:tc>
          <w:tcPr>
            <w:gridSpan w:val="2"/>
            <w:tcW w:w="1169" w:type="dxa"/>
            <w:vAlign w:val="center"/>
            <w:textDirection w:val="lrTb"/>
            <w:noWrap w:val="false"/>
          </w:tcPr>
          <w:p>
            <w:pPr>
              <w:jc w:val="center"/>
              <w:rPr>
                <w:color w:val="auto"/>
                <w:highlight w:val="none"/>
              </w:rPr>
            </w:pPr>
            <w:r>
              <w:rPr>
                <w:color w:val="auto"/>
                <w:highlight w:val="none"/>
              </w:rPr>
            </w:r>
            <w:r/>
          </w:p>
        </w:tc>
        <w:tc>
          <w:tcPr>
            <w:tcW w:w="1129" w:type="dxa"/>
            <w:vAlign w:val="center"/>
            <w:textDirection w:val="lrTb"/>
            <w:noWrap w:val="false"/>
          </w:tcPr>
          <w:p>
            <w:pPr>
              <w:jc w:val="center"/>
              <w:rPr>
                <w:color w:val="auto"/>
                <w:highlight w:val="none"/>
              </w:rPr>
            </w:pPr>
            <w:r>
              <w:rPr>
                <w:color w:val="auto"/>
                <w:highlight w:val="none"/>
              </w:rPr>
            </w:r>
            <w:r/>
          </w:p>
        </w:tc>
        <w:tc>
          <w:tcPr>
            <w:gridSpan w:val="2"/>
            <w:tcW w:w="1268" w:type="dxa"/>
            <w:vAlign w:val="center"/>
            <w:textDirection w:val="lrTb"/>
            <w:noWrap w:val="false"/>
          </w:tcPr>
          <w:p>
            <w:pPr>
              <w:jc w:val="center"/>
              <w:rPr>
                <w:color w:val="auto"/>
                <w:highlight w:val="none"/>
              </w:rPr>
            </w:pPr>
            <w:r>
              <w:rPr>
                <w:color w:val="auto"/>
                <w:highlight w:val="none"/>
              </w:rPr>
            </w:r>
            <w:r/>
          </w:p>
        </w:tc>
        <w:tc>
          <w:tcPr>
            <w:tcW w:w="1423" w:type="dxa"/>
            <w:vAlign w:val="center"/>
            <w:textDirection w:val="lrTb"/>
            <w:noWrap w:val="false"/>
          </w:tcPr>
          <w:p>
            <w:pPr>
              <w:jc w:val="center"/>
              <w:rPr>
                <w:color w:val="auto"/>
                <w:highlight w:val="none"/>
              </w:rPr>
            </w:pPr>
            <w:r>
              <w:rPr>
                <w:color w:val="auto"/>
                <w:highlight w:val="none"/>
              </w:rPr>
            </w:r>
            <w:r/>
          </w:p>
        </w:tc>
      </w:tr>
      <w:tr>
        <w:trPr>
          <w:trHeight w:val="454"/>
        </w:trPr>
        <w:tc>
          <w:tcPr>
            <w:tcW w:w="1194" w:type="dxa"/>
            <w:vAlign w:val="center"/>
            <w:textDirection w:val="lrTb"/>
            <w:noWrap w:val="false"/>
          </w:tcPr>
          <w:p>
            <w:pPr>
              <w:jc w:val="center"/>
              <w:rPr>
                <w:color w:val="auto"/>
                <w:highlight w:val="none"/>
              </w:rPr>
            </w:pPr>
            <w:r>
              <w:rPr>
                <w:rFonts w:hint="eastAsia"/>
                <w:color w:val="auto"/>
                <w:highlight w:val="none"/>
              </w:rPr>
              <w:t xml:space="preserve">3</w:t>
            </w:r>
            <w:r/>
          </w:p>
        </w:tc>
        <w:tc>
          <w:tcPr>
            <w:gridSpan w:val="3"/>
            <w:tcW w:w="3376" w:type="dxa"/>
            <w:vAlign w:val="center"/>
            <w:textDirection w:val="lrTb"/>
            <w:noWrap w:val="false"/>
          </w:tcPr>
          <w:p>
            <w:pPr>
              <w:jc w:val="center"/>
              <w:rPr>
                <w:color w:val="auto"/>
                <w:highlight w:val="none"/>
              </w:rPr>
            </w:pPr>
            <w:r>
              <w:rPr>
                <w:color w:val="auto"/>
                <w:highlight w:val="none"/>
              </w:rPr>
            </w:r>
            <w:r/>
          </w:p>
        </w:tc>
        <w:tc>
          <w:tcPr>
            <w:gridSpan w:val="2"/>
            <w:tcW w:w="1169" w:type="dxa"/>
            <w:vAlign w:val="center"/>
            <w:textDirection w:val="lrTb"/>
            <w:noWrap w:val="false"/>
          </w:tcPr>
          <w:p>
            <w:pPr>
              <w:jc w:val="center"/>
              <w:rPr>
                <w:color w:val="auto"/>
                <w:highlight w:val="none"/>
              </w:rPr>
            </w:pPr>
            <w:r>
              <w:rPr>
                <w:color w:val="auto"/>
                <w:highlight w:val="none"/>
              </w:rPr>
            </w:r>
            <w:r/>
          </w:p>
        </w:tc>
        <w:tc>
          <w:tcPr>
            <w:tcW w:w="1129" w:type="dxa"/>
            <w:vAlign w:val="center"/>
            <w:textDirection w:val="lrTb"/>
            <w:noWrap w:val="false"/>
          </w:tcPr>
          <w:p>
            <w:pPr>
              <w:jc w:val="center"/>
              <w:rPr>
                <w:color w:val="auto"/>
                <w:highlight w:val="none"/>
              </w:rPr>
            </w:pPr>
            <w:r>
              <w:rPr>
                <w:color w:val="auto"/>
                <w:highlight w:val="none"/>
              </w:rPr>
            </w:r>
            <w:r/>
          </w:p>
        </w:tc>
        <w:tc>
          <w:tcPr>
            <w:gridSpan w:val="2"/>
            <w:tcW w:w="1268" w:type="dxa"/>
            <w:vAlign w:val="center"/>
            <w:textDirection w:val="lrTb"/>
            <w:noWrap w:val="false"/>
          </w:tcPr>
          <w:p>
            <w:pPr>
              <w:jc w:val="center"/>
              <w:rPr>
                <w:color w:val="auto"/>
                <w:highlight w:val="none"/>
              </w:rPr>
            </w:pPr>
            <w:r>
              <w:rPr>
                <w:color w:val="auto"/>
                <w:highlight w:val="none"/>
              </w:rPr>
            </w:r>
            <w:r/>
          </w:p>
        </w:tc>
        <w:tc>
          <w:tcPr>
            <w:tcW w:w="1423" w:type="dxa"/>
            <w:vAlign w:val="center"/>
            <w:textDirection w:val="lrTb"/>
            <w:noWrap w:val="false"/>
          </w:tcPr>
          <w:p>
            <w:pPr>
              <w:jc w:val="center"/>
              <w:rPr>
                <w:color w:val="auto"/>
                <w:highlight w:val="none"/>
              </w:rPr>
            </w:pPr>
            <w:r>
              <w:rPr>
                <w:color w:val="auto"/>
                <w:highlight w:val="none"/>
              </w:rPr>
            </w:r>
            <w:r/>
          </w:p>
        </w:tc>
      </w:tr>
      <w:tr>
        <w:trPr>
          <w:trHeight w:val="454"/>
        </w:trPr>
        <w:tc>
          <w:tcPr>
            <w:tcW w:w="1194" w:type="dxa"/>
            <w:vAlign w:val="center"/>
            <w:textDirection w:val="lrTb"/>
            <w:noWrap w:val="false"/>
          </w:tcPr>
          <w:p>
            <w:pPr>
              <w:jc w:val="center"/>
              <w:rPr>
                <w:color w:val="auto"/>
                <w:highlight w:val="none"/>
              </w:rPr>
            </w:pPr>
            <w:r>
              <w:rPr>
                <w:rFonts w:hint="eastAsia"/>
                <w:color w:val="auto"/>
                <w:highlight w:val="none"/>
              </w:rPr>
              <w:t xml:space="preserve">...</w:t>
            </w:r>
            <w:r/>
          </w:p>
        </w:tc>
        <w:tc>
          <w:tcPr>
            <w:gridSpan w:val="3"/>
            <w:tcW w:w="3376" w:type="dxa"/>
            <w:vAlign w:val="center"/>
            <w:textDirection w:val="lrTb"/>
            <w:noWrap w:val="false"/>
          </w:tcPr>
          <w:p>
            <w:pPr>
              <w:jc w:val="center"/>
              <w:rPr>
                <w:color w:val="auto"/>
                <w:highlight w:val="none"/>
              </w:rPr>
            </w:pPr>
            <w:r>
              <w:rPr>
                <w:color w:val="auto"/>
                <w:highlight w:val="none"/>
              </w:rPr>
            </w:r>
            <w:r/>
          </w:p>
        </w:tc>
        <w:tc>
          <w:tcPr>
            <w:gridSpan w:val="2"/>
            <w:tcW w:w="1169" w:type="dxa"/>
            <w:vAlign w:val="center"/>
            <w:textDirection w:val="lrTb"/>
            <w:noWrap w:val="false"/>
          </w:tcPr>
          <w:p>
            <w:pPr>
              <w:jc w:val="center"/>
              <w:rPr>
                <w:color w:val="auto"/>
                <w:highlight w:val="none"/>
              </w:rPr>
            </w:pPr>
            <w:r>
              <w:rPr>
                <w:color w:val="auto"/>
                <w:highlight w:val="none"/>
              </w:rPr>
            </w:r>
            <w:r/>
          </w:p>
        </w:tc>
        <w:tc>
          <w:tcPr>
            <w:tcW w:w="1129" w:type="dxa"/>
            <w:vAlign w:val="center"/>
            <w:textDirection w:val="lrTb"/>
            <w:noWrap w:val="false"/>
          </w:tcPr>
          <w:p>
            <w:pPr>
              <w:jc w:val="center"/>
              <w:rPr>
                <w:color w:val="auto"/>
                <w:highlight w:val="none"/>
              </w:rPr>
            </w:pPr>
            <w:r>
              <w:rPr>
                <w:color w:val="auto"/>
                <w:highlight w:val="none"/>
              </w:rPr>
            </w:r>
            <w:r/>
          </w:p>
        </w:tc>
        <w:tc>
          <w:tcPr>
            <w:gridSpan w:val="2"/>
            <w:tcW w:w="1268" w:type="dxa"/>
            <w:vAlign w:val="center"/>
            <w:textDirection w:val="lrTb"/>
            <w:noWrap w:val="false"/>
          </w:tcPr>
          <w:p>
            <w:pPr>
              <w:jc w:val="center"/>
              <w:rPr>
                <w:color w:val="auto"/>
                <w:highlight w:val="none"/>
              </w:rPr>
            </w:pPr>
            <w:r>
              <w:rPr>
                <w:color w:val="auto"/>
                <w:highlight w:val="none"/>
              </w:rPr>
            </w:r>
            <w:r/>
          </w:p>
        </w:tc>
        <w:tc>
          <w:tcPr>
            <w:tcW w:w="1423" w:type="dxa"/>
            <w:vAlign w:val="center"/>
            <w:textDirection w:val="lrTb"/>
            <w:noWrap w:val="false"/>
          </w:tcPr>
          <w:p>
            <w:pPr>
              <w:jc w:val="center"/>
              <w:rPr>
                <w:color w:val="auto"/>
                <w:highlight w:val="none"/>
              </w:rPr>
            </w:pPr>
            <w:r>
              <w:rPr>
                <w:color w:val="auto"/>
                <w:highlight w:val="none"/>
              </w:rPr>
            </w:r>
            <w:r/>
          </w:p>
        </w:tc>
      </w:tr>
      <w:tr>
        <w:trPr>
          <w:trHeight w:val="454"/>
        </w:trPr>
        <w:tc>
          <w:tcPr>
            <w:shd w:val="clear" w:color="auto" w:fill="d9d9d9"/>
            <w:tcW w:w="1194" w:type="dxa"/>
            <w:textDirection w:val="lrTb"/>
            <w:noWrap w:val="false"/>
          </w:tcPr>
          <w:p>
            <w:pPr>
              <w:jc w:val="center"/>
              <w:spacing w:before="152" w:line="219"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w:t>
            </w:r>
            <w:r/>
          </w:p>
        </w:tc>
        <w:tc>
          <w:tcPr>
            <w:gridSpan w:val="9"/>
            <w:shd w:val="clear" w:color="auto" w:fill="d9d9d9"/>
            <w:tcW w:w="8365" w:type="dxa"/>
            <w:textDirection w:val="lrTb"/>
            <w:noWrap w:val="false"/>
          </w:tcPr>
          <w:p>
            <w:pPr>
              <w:jc w:val="center"/>
              <w:spacing w:before="152" w:line="219"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提供本项目服务所必须的专业技术能力</w:t>
            </w:r>
            <w:r/>
          </w:p>
        </w:tc>
      </w:tr>
      <w:tr>
        <w:trPr>
          <w:trHeight w:val="1341"/>
        </w:trPr>
        <w:tc>
          <w:tcPr>
            <w:gridSpan w:val="10"/>
            <w:tcW w:w="9559" w:type="dxa"/>
            <w:vAlign w:val="center"/>
            <w:textDirection w:val="lrTb"/>
            <w:noWrap w:val="false"/>
          </w:tcPr>
          <w:p>
            <w:pPr>
              <w:rPr>
                <w:rFonts w:ascii="Arial"/>
                <w:color w:val="auto"/>
                <w:szCs w:val="21"/>
                <w:highlight w:val="none"/>
              </w:rPr>
            </w:pPr>
            <w:r>
              <w:rPr>
                <w:rFonts w:ascii="Arial"/>
                <w:color w:val="auto"/>
                <w:szCs w:val="21"/>
                <w:highlight w:val="none"/>
              </w:rPr>
            </w:r>
            <w:r/>
          </w:p>
        </w:tc>
      </w:tr>
    </w:tbl>
    <w:p>
      <w:pPr>
        <w:pStyle w:val="1583"/>
        <w:rPr>
          <w:color w:val="auto"/>
          <w:highlight w:val="none"/>
        </w:rPr>
      </w:pPr>
      <w:r>
        <w:rPr>
          <w:color w:val="auto"/>
          <w:highlight w:val="none"/>
        </w:rPr>
        <w:t xml:space="preserve">注：1、如行数不够请自行添加。</w:t>
      </w:r>
      <w:r/>
    </w:p>
    <w:p>
      <w:pPr>
        <w:jc w:val="center"/>
        <w:rPr>
          <w:rFonts w:ascii="Times New Roman" w:hAnsi="Times New Roman" w:eastAsia="宋体" w:cs="Times New Roman"/>
          <w:color w:val="auto"/>
          <w:sz w:val="28"/>
          <w:szCs w:val="28"/>
          <w:highlight w:val="none"/>
        </w:rPr>
        <w:outlineLvl w:val="2"/>
      </w:pPr>
      <w:r>
        <w:rPr>
          <w:highlight w:val="none"/>
        </w:rPr>
      </w:r>
      <w:r>
        <w:rPr>
          <w:highlight w:val="none"/>
        </w:rPr>
      </w:r>
      <w:r/>
    </w:p>
    <w:p>
      <w:pPr>
        <w:jc w:val="center"/>
        <w:rPr>
          <w:highlight w:val="none"/>
        </w:rPr>
        <w:outlineLvl w:val="2"/>
      </w:pPr>
      <w:r>
        <w:rPr>
          <w:highlight w:val="none"/>
        </w:rPr>
      </w:r>
      <w:r>
        <w:rPr>
          <w:highlight w:val="none"/>
        </w:rPr>
      </w:r>
      <w:r/>
    </w:p>
    <w:p>
      <w:pPr>
        <w:jc w:val="center"/>
        <w:rPr>
          <w:highlight w:val="none"/>
        </w:rPr>
        <w:outlineLvl w:val="2"/>
      </w:pPr>
      <w:r/>
      <w:bookmarkStart w:id="96" w:name="_Toc16435"/>
      <w:r>
        <w:rPr>
          <w:rFonts w:hint="eastAsia" w:ascii="Times New Roman" w:hAnsi="Times New Roman" w:eastAsia="宋体" w:cs="Times New Roman"/>
          <w:color w:val="auto"/>
          <w:sz w:val="28"/>
          <w:szCs w:val="28"/>
          <w:highlight w:val="none"/>
        </w:rPr>
        <w:t xml:space="preserve">（五）</w:t>
      </w:r>
      <w:r>
        <w:rPr>
          <w:rFonts w:ascii="Times New Roman" w:hAnsi="Times New Roman" w:eastAsia="宋体" w:cs="Times New Roman"/>
          <w:color w:val="auto"/>
          <w:sz w:val="28"/>
          <w:szCs w:val="28"/>
          <w:highlight w:val="none"/>
        </w:rPr>
        <w:t xml:space="preserve">依法缴纳税收和社会保障资金的良好记录</w:t>
      </w:r>
      <w:bookmarkEnd w:id="96"/>
      <w:r/>
      <w:r/>
    </w:p>
    <w:p>
      <w:pPr>
        <w:jc w:val="center"/>
        <w:rPr>
          <w:rFonts w:ascii="Times New Roman" w:hAnsi="Times New Roman" w:eastAsia="宋体" w:cs="Times New Roman"/>
          <w:color w:val="auto"/>
          <w:sz w:val="28"/>
          <w:szCs w:val="28"/>
          <w:highlight w:val="none"/>
        </w:rPr>
        <w:outlineLvl w:val="2"/>
      </w:pPr>
      <w:r>
        <w:rPr>
          <w:rFonts w:ascii="Times New Roman" w:hAnsi="Times New Roman" w:eastAsia="宋体" w:cs="Times New Roman"/>
          <w:color w:val="auto"/>
          <w:sz w:val="28"/>
          <w:szCs w:val="28"/>
          <w:highlight w:val="none"/>
        </w:rPr>
        <w:br w:type="page" w:clear="all"/>
      </w:r>
      <w:r/>
    </w:p>
    <w:p>
      <w:pPr>
        <w:jc w:val="center"/>
        <w:rPr>
          <w:rFonts w:ascii="Times New Roman" w:hAnsi="Times New Roman" w:eastAsia="宋体" w:cs="Times New Roman"/>
          <w:color w:val="auto"/>
          <w:sz w:val="28"/>
          <w:szCs w:val="28"/>
          <w:highlight w:val="none"/>
        </w:rPr>
        <w:outlineLvl w:val="2"/>
      </w:pPr>
      <w:r/>
      <w:bookmarkStart w:id="97" w:name="_Toc17937"/>
      <w:r>
        <w:rPr>
          <w:rFonts w:hint="eastAsia" w:ascii="Times New Roman" w:hAnsi="Times New Roman" w:eastAsia="宋体" w:cs="Times New Roman"/>
          <w:color w:val="auto"/>
          <w:sz w:val="28"/>
          <w:szCs w:val="28"/>
          <w:highlight w:val="none"/>
        </w:rPr>
        <w:t xml:space="preserve">（六）</w:t>
      </w:r>
      <w:r>
        <w:rPr>
          <w:rFonts w:ascii="Times New Roman" w:hAnsi="Times New Roman" w:eastAsia="宋体" w:cs="Times New Roman"/>
          <w:color w:val="auto"/>
          <w:sz w:val="28"/>
          <w:szCs w:val="28"/>
          <w:highlight w:val="none"/>
        </w:rPr>
        <w:t xml:space="preserve">本项目的特定资格要求</w:t>
      </w:r>
      <w:bookmarkEnd w:id="97"/>
      <w:r/>
      <w:r/>
    </w:p>
    <w:p>
      <w:pPr>
        <w:jc w:val="center"/>
        <w:rPr>
          <w:rFonts w:ascii="宋体" w:hAnsi="宋体" w:eastAsia="宋体" w:cs="宋体"/>
          <w:color w:val="auto"/>
          <w:sz w:val="24"/>
          <w:highlight w:val="none"/>
        </w:rPr>
        <w:outlineLvl w:val="2"/>
      </w:pPr>
      <w:r>
        <w:rPr>
          <w:rFonts w:ascii="宋体" w:hAnsi="宋体" w:eastAsia="宋体" w:cs="宋体"/>
          <w:color w:val="auto"/>
          <w:sz w:val="24"/>
          <w:highlight w:val="none"/>
        </w:rPr>
        <w:br w:type="page" w:clear="all"/>
      </w:r>
      <w:r/>
    </w:p>
    <w:p>
      <w:pPr>
        <w:jc w:val="center"/>
        <w:rPr>
          <w:rFonts w:ascii="Times New Roman" w:hAnsi="Times New Roman" w:eastAsia="宋体" w:cs="Times New Roman"/>
          <w:color w:val="auto"/>
          <w:sz w:val="28"/>
          <w:szCs w:val="28"/>
          <w:highlight w:val="none"/>
        </w:rPr>
        <w:outlineLvl w:val="2"/>
      </w:pPr>
      <w:r/>
      <w:bookmarkStart w:id="98" w:name="_Toc12649"/>
      <w:r>
        <w:rPr>
          <w:rFonts w:hint="eastAsia" w:ascii="Times New Roman" w:hAnsi="Times New Roman" w:eastAsia="宋体" w:cs="Times New Roman"/>
          <w:color w:val="auto"/>
          <w:sz w:val="28"/>
          <w:szCs w:val="28"/>
          <w:highlight w:val="none"/>
        </w:rPr>
        <w:t xml:space="preserve">（七）</w:t>
      </w:r>
      <w:r>
        <w:rPr>
          <w:rFonts w:ascii="Times New Roman" w:hAnsi="Times New Roman" w:eastAsia="宋体" w:cs="Times New Roman"/>
          <w:color w:val="auto"/>
          <w:sz w:val="28"/>
          <w:szCs w:val="28"/>
          <w:highlight w:val="none"/>
        </w:rPr>
        <w:t xml:space="preserve">法定代表人(负责人)身份证明书</w:t>
      </w:r>
      <w:bookmarkEnd w:id="98"/>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兹证明</w:t>
      </w:r>
      <w:r>
        <w:rPr>
          <w:rFonts w:ascii="宋体" w:hAnsi="宋体" w:eastAsia="宋体" w:cs="宋体"/>
          <w:color w:val="auto"/>
          <w:sz w:val="24"/>
          <w:highlight w:val="none"/>
          <w:u w:val="single"/>
        </w:rPr>
        <w:t xml:space="preserve">(姓名)</w:t>
      </w:r>
      <w:r>
        <w:rPr>
          <w:rFonts w:ascii="宋体" w:hAnsi="宋体" w:eastAsia="宋体" w:cs="宋体"/>
          <w:color w:val="auto"/>
          <w:sz w:val="24"/>
          <w:highlight w:val="none"/>
        </w:rPr>
        <w:t xml:space="preserve">同志，性别</w:t>
      </w:r>
      <w:r>
        <w:rPr>
          <w:rFonts w:ascii="宋体" w:hAnsi="宋体" w:eastAsia="宋体" w:cs="宋体"/>
          <w:color w:val="auto"/>
          <w:sz w:val="24"/>
          <w:highlight w:val="none"/>
          <w:u w:val="single"/>
        </w:rPr>
        <w:t xml:space="preserve">(男/女)</w:t>
      </w:r>
      <w:r>
        <w:rPr>
          <w:rFonts w:ascii="宋体" w:hAnsi="宋体" w:eastAsia="宋体" w:cs="宋体"/>
          <w:color w:val="auto"/>
          <w:sz w:val="24"/>
          <w:highlight w:val="none"/>
        </w:rPr>
        <w:t xml:space="preserve">,居民身份证号</w:t>
      </w:r>
      <w:r>
        <w:rPr>
          <w:rFonts w:ascii="宋体" w:hAnsi="宋体" w:eastAsia="宋体" w:cs="宋体"/>
          <w:color w:val="auto"/>
          <w:sz w:val="24"/>
          <w:highlight w:val="none"/>
          <w:u w:val="single"/>
        </w:rPr>
        <w:t xml:space="preserve">(身份证号码)</w:t>
      </w:r>
      <w:r>
        <w:rPr>
          <w:rFonts w:ascii="宋体" w:hAnsi="宋体" w:eastAsia="宋体" w:cs="宋体"/>
          <w:color w:val="auto"/>
          <w:sz w:val="24"/>
          <w:highlight w:val="none"/>
        </w:rPr>
        <w:t xml:space="preserve">,在我单位任</w:t>
      </w:r>
      <w:r>
        <w:rPr>
          <w:rFonts w:ascii="宋体" w:hAnsi="宋体" w:eastAsia="宋体" w:cs="宋体"/>
          <w:color w:val="auto"/>
          <w:sz w:val="24"/>
          <w:highlight w:val="none"/>
          <w:u w:val="single"/>
        </w:rPr>
        <w:t xml:space="preserve">(职务)</w:t>
      </w:r>
      <w:r>
        <w:rPr>
          <w:rFonts w:ascii="宋体" w:hAnsi="宋体" w:eastAsia="宋体" w:cs="宋体"/>
          <w:color w:val="auto"/>
          <w:sz w:val="24"/>
          <w:highlight w:val="none"/>
        </w:rPr>
        <w:t xml:space="preserve">,系我单位主要负责人即法定代表人。</w:t>
      </w:r>
      <w:r/>
    </w:p>
    <w:p>
      <w:pPr>
        <w:spacing w:line="282" w:lineRule="auto"/>
        <w:rPr>
          <w:rFonts w:ascii="Arial"/>
          <w:color w:val="auto"/>
          <w:highlight w:val="none"/>
        </w:rPr>
      </w:pPr>
      <w:r>
        <w:rPr>
          <w:rFonts w:ascii="Arial"/>
          <w:color w:val="auto"/>
          <w:highlight w:val="none"/>
        </w:rPr>
      </w:r>
      <w:r/>
    </w:p>
    <w:p>
      <w:pPr>
        <w:ind w:firstLine="480"/>
        <w:spacing w:line="440" w:lineRule="exact"/>
        <w:rPr>
          <w:rFonts w:ascii="宋体" w:hAnsi="宋体" w:eastAsia="宋体" w:cs="宋体"/>
          <w:color w:val="auto"/>
          <w:sz w:val="24"/>
          <w:highlight w:val="none"/>
          <w:u w:val="single"/>
        </w:rPr>
      </w:pPr>
      <w:r>
        <w:rPr>
          <w:rFonts w:ascii="宋体" w:hAnsi="宋体" w:eastAsia="宋体" w:cs="宋体"/>
          <w:color w:val="auto"/>
          <w:sz w:val="24"/>
          <w:highlight w:val="none"/>
        </w:rPr>
        <w:t xml:space="preserve">单位地址：</w:t>
      </w:r>
      <w:r>
        <w:rPr>
          <w:rFonts w:ascii="宋体" w:hAnsi="宋体" w:eastAsia="宋体" w:cs="宋体"/>
          <w:color w:val="auto"/>
          <w:sz w:val="24"/>
          <w:highlight w:val="none"/>
          <w:u w:val="single"/>
        </w:rPr>
        <w:t xml:space="preserve">××</w:t>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u w:val="single"/>
        </w:rPr>
      </w:pPr>
      <w:r>
        <w:rPr>
          <w:rFonts w:ascii="宋体" w:hAnsi="宋体" w:eastAsia="宋体" w:cs="宋体"/>
          <w:color w:val="auto"/>
          <w:sz w:val="24"/>
          <w:highlight w:val="none"/>
        </w:rPr>
        <w:t xml:space="preserve">电话：</w:t>
      </w:r>
      <w:r>
        <w:rPr>
          <w:rFonts w:ascii="宋体" w:hAnsi="宋体" w:eastAsia="宋体" w:cs="宋体"/>
          <w:color w:val="auto"/>
          <w:sz w:val="24"/>
          <w:highlight w:val="none"/>
          <w:u w:val="single"/>
        </w:rPr>
        <w:t xml:space="preserve">××</w:t>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u w:val="single"/>
        </w:rPr>
      </w:pPr>
      <w:r>
        <w:rPr>
          <w:rFonts w:ascii="宋体" w:hAnsi="宋体" w:eastAsia="宋体" w:cs="宋体"/>
          <w:color w:val="auto"/>
          <w:sz w:val="24"/>
          <w:highlight w:val="none"/>
        </w:rPr>
        <w:t xml:space="preserve">单位全称：</w:t>
      </w:r>
      <w:r>
        <w:rPr>
          <w:rFonts w:ascii="宋体" w:hAnsi="宋体" w:eastAsia="宋体" w:cs="宋体"/>
          <w:color w:val="auto"/>
          <w:sz w:val="24"/>
          <w:highlight w:val="none"/>
          <w:u w:val="single"/>
        </w:rPr>
        <w:t xml:space="preserve">××</w:t>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u w:val="single"/>
        </w:rPr>
      </w:pPr>
      <w:r>
        <w:rPr>
          <w:rFonts w:ascii="宋体" w:hAnsi="宋体" w:eastAsia="宋体" w:cs="宋体"/>
          <w:color w:val="auto"/>
          <w:sz w:val="24"/>
          <w:highlight w:val="none"/>
        </w:rPr>
        <w:t xml:space="preserve">单位盖章：</w:t>
      </w:r>
      <w:r>
        <w:rPr>
          <w:rFonts w:ascii="宋体" w:hAnsi="宋体" w:eastAsia="宋体" w:cs="宋体"/>
          <w:color w:val="auto"/>
          <w:sz w:val="24"/>
          <w:highlight w:val="none"/>
          <w:u w:val="single"/>
        </w:rPr>
        <w:t xml:space="preserve">××</w:t>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right"/>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年月日</w:t>
      </w:r>
      <w:r/>
    </w:p>
    <w:p>
      <w:pPr>
        <w:spacing w:line="265" w:lineRule="auto"/>
        <w:rPr>
          <w:rFonts w:ascii="Arial"/>
          <w:color w:val="auto"/>
          <w:highlight w:val="none"/>
        </w:rPr>
      </w:pPr>
      <w:r>
        <w:rPr>
          <w:rFonts w:ascii="Arial"/>
          <w:color w:val="auto"/>
          <w:highlight w:val="none"/>
        </w:rPr>
      </w:r>
      <w:r/>
    </w:p>
    <w:p>
      <w:pPr>
        <w:spacing w:line="265" w:lineRule="auto"/>
        <w:rPr>
          <w:rFonts w:ascii="Arial"/>
          <w:color w:val="auto"/>
          <w:highlight w:val="none"/>
        </w:rPr>
      </w:pPr>
      <w:r>
        <w:rPr>
          <w:rFonts w:ascii="Arial"/>
          <w:color w:val="auto"/>
          <w:highlight w:val="none"/>
        </w:rPr>
      </w:r>
      <w:r/>
    </w:p>
    <w:p>
      <w:pPr>
        <w:spacing w:line="265" w:lineRule="auto"/>
        <w:rPr>
          <w:rFonts w:ascii="Arial"/>
          <w:color w:val="auto"/>
          <w:highlight w:val="none"/>
        </w:rPr>
      </w:pPr>
      <w:r>
        <w:rPr>
          <w:rFonts w:ascii="Arial"/>
          <w:color w:val="auto"/>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附：法定代表人居民身份证扫描件</w:t>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注：1.“法定代表人”直接参加磋商响应活动的仅需填写本身份证明，个人居民身份证携带备查。</w:t>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2.供应商属于非法人组织的，按照法律、行政法规规定能够对外代表其从事民事活动的主要负责人，如个人独资企业的投资人，代表合伙企业执行</w:t>
      </w:r>
      <w:r>
        <w:rPr>
          <w:rFonts w:hint="eastAsia" w:ascii="宋体" w:hAnsi="宋体" w:eastAsia="宋体" w:cs="宋体"/>
          <w:color w:val="auto"/>
          <w:sz w:val="24"/>
          <w:highlight w:val="none"/>
        </w:rPr>
        <w:t xml:space="preserve">合伙企业事务的合伙人等，视同法定代表人。</w:t>
      </w:r>
      <w:r/>
    </w:p>
    <w:p>
      <w:pPr>
        <w:pStyle w:val="1583"/>
        <w:rPr>
          <w:color w:val="auto"/>
          <w:highlight w:val="none"/>
        </w:rPr>
        <w:sectPr>
          <w:footerReference w:type="default" r:id="rId33"/>
          <w:footnotePr/>
          <w:endnotePr/>
          <w:type w:val="nextPage"/>
          <w:pgSz w:w="11906" w:h="16838" w:orient="portrait"/>
          <w:pgMar w:top="1440" w:right="1242" w:bottom="1440" w:left="1242" w:header="851" w:footer="992" w:gutter="0"/>
          <w:cols w:num="1" w:sep="0" w:space="425" w:equalWidth="1"/>
          <w:docGrid w:linePitch="360"/>
        </w:sectPr>
      </w:pPr>
      <w:r>
        <w:rPr>
          <w:color w:val="auto"/>
          <w:highlight w:val="none"/>
        </w:rPr>
      </w:r>
      <w:r/>
    </w:p>
    <w:p>
      <w:pPr>
        <w:jc w:val="center"/>
        <w:rPr>
          <w:rFonts w:ascii="Times New Roman" w:hAnsi="Times New Roman" w:eastAsia="宋体" w:cs="Times New Roman"/>
          <w:color w:val="auto"/>
          <w:sz w:val="28"/>
          <w:szCs w:val="28"/>
          <w:highlight w:val="none"/>
        </w:rPr>
        <w:outlineLvl w:val="2"/>
      </w:pPr>
      <w:r/>
      <w:bookmarkStart w:id="99" w:name="_Toc16509"/>
      <w:r>
        <w:rPr>
          <w:rFonts w:hint="eastAsia" w:ascii="Times New Roman" w:hAnsi="Times New Roman" w:eastAsia="宋体" w:cs="Times New Roman"/>
          <w:color w:val="auto"/>
          <w:sz w:val="28"/>
          <w:szCs w:val="28"/>
          <w:highlight w:val="none"/>
        </w:rPr>
        <w:t xml:space="preserve">（八）</w:t>
      </w:r>
      <w:r>
        <w:rPr>
          <w:rFonts w:ascii="Times New Roman" w:hAnsi="Times New Roman" w:eastAsia="宋体" w:cs="Times New Roman"/>
          <w:color w:val="auto"/>
          <w:sz w:val="28"/>
          <w:szCs w:val="28"/>
          <w:highlight w:val="none"/>
        </w:rPr>
        <w:t xml:space="preserve">法定代表人(负责人)授权委托书</w:t>
      </w:r>
      <w:bookmarkEnd w:id="99"/>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本授权书声明：</w:t>
      </w:r>
      <w:r>
        <w:rPr>
          <w:rFonts w:ascii="宋体" w:hAnsi="宋体" w:eastAsia="宋体" w:cs="宋体"/>
          <w:color w:val="auto"/>
          <w:sz w:val="24"/>
          <w:highlight w:val="none"/>
          <w:u w:val="single"/>
        </w:rPr>
        <w:t xml:space="preserve">(供应商名称)</w:t>
      </w:r>
      <w:r>
        <w:rPr>
          <w:rFonts w:ascii="宋体" w:hAnsi="宋体" w:eastAsia="宋体" w:cs="宋体"/>
          <w:color w:val="auto"/>
          <w:sz w:val="24"/>
          <w:highlight w:val="none"/>
        </w:rPr>
        <w:t xml:space="preserve">法定代表人(负责人)</w:t>
      </w:r>
      <w:r>
        <w:rPr>
          <w:rFonts w:ascii="宋体" w:hAnsi="宋体" w:eastAsia="宋体" w:cs="宋体"/>
          <w:color w:val="auto"/>
          <w:sz w:val="24"/>
          <w:highlight w:val="none"/>
          <w:u w:val="single"/>
        </w:rPr>
        <w:t xml:space="preserve">(姓名)</w:t>
      </w:r>
      <w:r>
        <w:rPr>
          <w:rFonts w:ascii="宋体" w:hAnsi="宋体" w:eastAsia="宋体" w:cs="宋体"/>
          <w:color w:val="auto"/>
          <w:sz w:val="24"/>
          <w:highlight w:val="none"/>
        </w:rPr>
        <w:t xml:space="preserve">授权</w:t>
      </w:r>
      <w:r>
        <w:rPr>
          <w:rFonts w:ascii="宋体" w:hAnsi="宋体" w:eastAsia="宋体" w:cs="宋体"/>
          <w:color w:val="auto"/>
          <w:sz w:val="24"/>
          <w:highlight w:val="none"/>
          <w:u w:val="single"/>
        </w:rPr>
        <w:t xml:space="preserve">(委托代理人的姓名、职务)</w:t>
      </w:r>
      <w:r>
        <w:rPr>
          <w:rFonts w:ascii="宋体" w:hAnsi="宋体" w:eastAsia="宋体" w:cs="宋体"/>
          <w:color w:val="auto"/>
          <w:sz w:val="24"/>
          <w:highlight w:val="none"/>
        </w:rPr>
        <w:t xml:space="preserve">为我方就</w:t>
      </w:r>
      <w:r>
        <w:rPr>
          <w:rFonts w:ascii="宋体" w:hAnsi="宋体" w:eastAsia="宋体" w:cs="宋体"/>
          <w:color w:val="auto"/>
          <w:sz w:val="24"/>
          <w:highlight w:val="none"/>
          <w:u w:val="single"/>
        </w:rPr>
        <w:t xml:space="preserve">××××(代理机构)代理的××××(项目编号、项目名称)</w:t>
      </w:r>
      <w:r>
        <w:rPr>
          <w:rFonts w:ascii="宋体" w:hAnsi="宋体" w:eastAsia="宋体" w:cs="宋体"/>
          <w:color w:val="auto"/>
          <w:sz w:val="24"/>
          <w:highlight w:val="none"/>
        </w:rPr>
        <w:t xml:space="preserve">项目的谈判活动的合法代理人，以本单位名义全权处理一切与该项目谈判有关的事务(含合同签订)。</w:t>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本授权委托书于</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年</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月</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日在相应位置签字或盖章后生效，特此声明。</w:t>
      </w:r>
      <w:r/>
    </w:p>
    <w:p>
      <w:pPr>
        <w:rPr>
          <w:color w:val="auto"/>
          <w:highlight w:val="none"/>
        </w:rPr>
      </w:pPr>
      <w:r>
        <w:rPr>
          <w:color w:val="auto"/>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委托代理人身份证号码：</w:t>
      </w:r>
      <w:r/>
    </w:p>
    <w:p>
      <w:pPr>
        <w:rPr>
          <w:color w:val="auto"/>
          <w:highlight w:val="none"/>
        </w:rPr>
      </w:pPr>
      <w:r>
        <w:rPr>
          <w:color w:val="auto"/>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委托代理人联系电话：(手机)</w:t>
      </w:r>
      <w:r/>
    </w:p>
    <w:p>
      <w:pPr>
        <w:rPr>
          <w:color w:val="auto"/>
          <w:highlight w:val="none"/>
        </w:rPr>
      </w:pPr>
      <w:r>
        <w:rPr>
          <w:color w:val="auto"/>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法定代表人(负责人)签章</w:t>
      </w:r>
      <w:r>
        <w:rPr>
          <w:rFonts w:hint="eastAsia" w:ascii="宋体" w:hAnsi="宋体" w:eastAsia="宋体" w:cs="宋体"/>
          <w:color w:val="auto"/>
          <w:sz w:val="24"/>
          <w:highlight w:val="none"/>
        </w:rPr>
        <w:t xml:space="preserve">:</w:t>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供应商名称(公章):</w:t>
      </w:r>
      <w:r/>
    </w:p>
    <w:p>
      <w:pPr>
        <w:rPr>
          <w:color w:val="auto"/>
          <w:highlight w:val="none"/>
        </w:rPr>
      </w:pPr>
      <w:r>
        <w:rPr>
          <w:color w:val="auto"/>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日期：</w:t>
      </w:r>
      <w:r/>
    </w:p>
    <w:p>
      <w:pPr>
        <w:rPr>
          <w:color w:val="auto"/>
          <w:highlight w:val="none"/>
        </w:rPr>
      </w:pPr>
      <w:r>
        <w:rPr>
          <w:color w:val="auto"/>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附：委托代理人居民身份证扫描件</w:t>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t xml:space="preserve">注："法定代表人(负责人)"授权委托其他人磋商的，须填写法定代表人身份证明书和本授权委托书。</w:t>
      </w:r>
      <w:r/>
    </w:p>
    <w:p>
      <w:pPr>
        <w:rPr>
          <w:rFonts w:asciiTheme="minorHAnsi" w:hAnsiTheme="minorHAnsi" w:eastAsiaTheme="minorEastAsia" w:cstheme="minorBidi"/>
          <w:color w:val="auto"/>
          <w:sz w:val="21"/>
          <w:szCs w:val="24"/>
          <w:highlight w:val="none"/>
          <w:lang w:val="en-US" w:eastAsia="zh-CN" w:bidi="ar-SA"/>
        </w:rPr>
      </w:pPr>
      <w:r>
        <w:rPr>
          <w:rFonts w:asciiTheme="minorHAnsi" w:hAnsiTheme="minorHAnsi" w:eastAsiaTheme="minorEastAsia" w:cstheme="minorBidi"/>
          <w:color w:val="auto"/>
          <w:sz w:val="21"/>
          <w:szCs w:val="24"/>
          <w:highlight w:val="none"/>
          <w:lang w:val="en-US" w:eastAsia="zh-CN" w:bidi="ar-SA"/>
        </w:rPr>
      </w:r>
      <w:r/>
    </w:p>
    <w:p>
      <w:pPr>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rPr>
          <w:color w:val="auto"/>
          <w:highlight w:val="none"/>
          <w:lang w:val="en-US" w:eastAsia="zh-CN"/>
        </w:rPr>
      </w:pPr>
      <w:r>
        <w:rPr>
          <w:color w:val="auto"/>
          <w:highlight w:val="none"/>
          <w:lang w:val="en-US" w:eastAsia="zh-CN"/>
        </w:rPr>
      </w:r>
      <w:r/>
    </w:p>
    <w:p>
      <w:pPr>
        <w:jc w:val="left"/>
        <w:tabs>
          <w:tab w:val="left" w:pos="2756" w:leader="none"/>
        </w:tabs>
        <w:rPr>
          <w:rFonts w:hint="eastAsia"/>
          <w:color w:val="auto"/>
          <w:highlight w:val="none"/>
          <w:lang w:val="en-US" w:eastAsia="zh-CN"/>
        </w:rPr>
      </w:pPr>
      <w:r>
        <w:rPr>
          <w:rFonts w:hint="eastAsia"/>
          <w:color w:val="auto"/>
          <w:highlight w:val="none"/>
          <w:lang w:val="en-US" w:eastAsia="zh-CN"/>
        </w:rPr>
        <w:tab/>
      </w:r>
      <w:r/>
    </w:p>
    <w:p>
      <w:pPr>
        <w:pStyle w:val="1614"/>
        <w:spacing w:before="99"/>
        <w:rPr>
          <w:rFonts w:hint="eastAsia" w:ascii="楷体" w:hAnsi="楷体" w:eastAsia="楷体" w:cs="楷体"/>
          <w:color w:val="auto"/>
          <w:highlight w:val="none"/>
        </w:rPr>
      </w:pPr>
      <w:r>
        <w:rPr>
          <w:rFonts w:hint="eastAsia" w:ascii="Times New Roman" w:hAnsi="Times New Roman" w:eastAsia="宋体" w:cs="Times New Roman"/>
          <w:color w:val="auto"/>
          <w:sz w:val="28"/>
          <w:szCs w:val="28"/>
          <w:highlight w:val="none"/>
          <w:lang w:val="en-US" w:eastAsia="zh-CN"/>
        </w:rPr>
      </w:r>
      <w:r>
        <w:rPr>
          <w:rFonts w:hint="eastAsia" w:ascii="Times New Roman" w:hAnsi="Times New Roman" w:eastAsia="宋体" w:cs="Times New Roman"/>
          <w:color w:val="auto"/>
          <w:sz w:val="28"/>
          <w:szCs w:val="28"/>
          <w:highlight w:val="none"/>
          <w:lang w:val="en-US" w:eastAsia="zh-CN"/>
        </w:rPr>
      </w:r>
      <w:r/>
    </w:p>
    <w:p>
      <w:pPr>
        <w:pStyle w:val="1614"/>
        <w:spacing w:before="99"/>
        <w:rPr>
          <w:rFonts w:hint="eastAsia"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r>
      <w:r>
        <w:rPr>
          <w:rFonts w:hint="eastAsia" w:ascii="Times New Roman" w:hAnsi="Times New Roman" w:eastAsia="宋体" w:cs="Times New Roman"/>
          <w:color w:val="auto"/>
          <w:sz w:val="28"/>
          <w:szCs w:val="28"/>
          <w:highlight w:val="none"/>
          <w:lang w:val="en-US" w:eastAsia="zh-CN"/>
        </w:rPr>
      </w:r>
      <w:r/>
    </w:p>
    <w:p>
      <w:pPr>
        <w:pStyle w:val="1614"/>
        <w:spacing w:before="99"/>
        <w:rPr>
          <w:rFonts w:hint="eastAsia"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rPr>
        <w:t xml:space="preserve">（</w:t>
      </w:r>
      <w:r>
        <w:rPr>
          <w:rFonts w:hint="eastAsia" w:ascii="Times New Roman" w:hAnsi="Times New Roman" w:eastAsia="宋体" w:cs="Times New Roman"/>
          <w:color w:val="auto"/>
          <w:sz w:val="28"/>
          <w:szCs w:val="28"/>
          <w:highlight w:val="none"/>
          <w:lang w:val="en-US" w:eastAsia="zh-CN"/>
        </w:rPr>
        <w:t xml:space="preserve">九</w:t>
      </w:r>
      <w:r>
        <w:rPr>
          <w:rFonts w:hint="eastAsia" w:ascii="Times New Roman" w:hAnsi="Times New Roman" w:eastAsia="宋体" w:cs="Times New Roman"/>
          <w:color w:val="auto"/>
          <w:sz w:val="28"/>
          <w:szCs w:val="28"/>
          <w:highlight w:val="none"/>
        </w:rPr>
        <w:t xml:space="preserve">）</w:t>
      </w:r>
      <w:r>
        <w:rPr>
          <w:rFonts w:hint="eastAsia" w:ascii="Times New Roman" w:hAnsi="Times New Roman" w:eastAsia="宋体" w:cs="Times New Roman"/>
          <w:color w:val="auto"/>
          <w:sz w:val="28"/>
          <w:szCs w:val="28"/>
          <w:highlight w:val="none"/>
          <w:lang w:val="en-US" w:eastAsia="zh-CN"/>
        </w:rPr>
        <w:t xml:space="preserve">资格承诺函</w:t>
      </w:r>
      <w:r/>
    </w:p>
    <w:p>
      <w:pPr>
        <w:pStyle w:val="1584"/>
        <w:spacing w:before="9"/>
        <w:rPr>
          <w:rFonts w:hint="eastAsia" w:ascii="楷体" w:hAnsi="楷体" w:eastAsia="楷体" w:cs="楷体"/>
          <w:color w:val="auto"/>
          <w:sz w:val="64"/>
          <w:highlight w:val="none"/>
        </w:rPr>
      </w:pPr>
      <w:r>
        <w:rPr>
          <w:rFonts w:hint="eastAsia" w:ascii="楷体" w:hAnsi="楷体" w:eastAsia="楷体" w:cs="楷体"/>
          <w:color w:val="auto"/>
          <w:sz w:val="6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（采购人、采购代理机构）</w:t>
      </w:r>
      <w:r>
        <w:rPr>
          <w:rFonts w:hint="eastAsia" w:ascii="宋体" w:hAnsi="宋体" w:eastAsia="宋体" w:cs="宋体"/>
          <w:color w:val="auto"/>
          <w:sz w:val="24"/>
          <w:highlight w:val="none"/>
          <w:u w:val="single"/>
        </w:rPr>
        <w:tab/>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我单位参与</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（项目编号：</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项目的政府采购活动，现承诺如下：</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我方具有独立承担民事责任的能力。</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我方具有良好的商业信誉和健全的财务会计制度。</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我方具有履行合同所必需的设备和专业技术能力。</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我方具有依法缴纳税收和社会保障资金的良好记录。</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我方参加本项目采购活动前三年内，在经营活动中没有重大违法记录。</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若我单位承诺不实，自愿承担提供虚假材料谋取中标、成交的法律责任。</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投标（响应）供应商（全称并盖章）： </w:t>
      </w:r>
      <w:r>
        <w:rPr>
          <w:rFonts w:hint="eastAsia" w:ascii="宋体" w:hAnsi="宋体" w:eastAsia="宋体" w:cs="宋体"/>
          <w:color w:val="auto"/>
          <w:sz w:val="24"/>
          <w:highlight w:val="none"/>
        </w:rPr>
        <w:tab/>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法定代表人或授权代表（签字或签章）： </w:t>
      </w:r>
      <w:r>
        <w:rPr>
          <w:rFonts w:hint="eastAsia" w:ascii="宋体" w:hAnsi="宋体" w:eastAsia="宋体" w:cs="宋体"/>
          <w:color w:val="auto"/>
          <w:sz w:val="24"/>
          <w:highlight w:val="none"/>
        </w:rPr>
        <w:tab/>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rPr>
          <w:rFonts w:hint="eastAsia" w:ascii="宋体" w:hAnsi="宋体" w:eastAsia="宋体" w:cs="宋体"/>
          <w:color w:val="auto"/>
          <w:sz w:val="24"/>
          <w:highlight w:val="none"/>
        </w:rPr>
        <w:tab/>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说明：1.供应商可自行选择是否提供本承诺函，若不提供本承诺函的，应按采购文件要求提供相应的证明材料。</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2.供应商可删减承诺事项，删减的承诺事项须按采购文件要求提供相</w:t>
      </w:r>
      <w:r/>
    </w:p>
    <w:p>
      <w:pPr>
        <w:ind w:firstLine="480"/>
        <w:spacing w:line="440" w:lineRule="exact"/>
        <w:rPr>
          <w:color w:val="auto"/>
          <w:highlight w:val="none"/>
          <w:lang w:val="en-US" w:eastAsia="zh-CN"/>
        </w:rPr>
        <w:sectPr>
          <w:footerReference w:type="default" r:id="rId34"/>
          <w:footnotePr/>
          <w:endnotePr/>
          <w:type w:val="nextPage"/>
          <w:pgSz w:w="11906" w:h="16838" w:orient="portrait"/>
          <w:pgMar w:top="1440" w:right="1242" w:bottom="1440" w:left="1242" w:header="851" w:footer="992" w:gutter="0"/>
          <w:cols w:num="1" w:sep="0" w:space="425" w:equalWidth="1"/>
          <w:docGrid w:linePitch="360"/>
        </w:sectPr>
      </w:pPr>
      <w:r>
        <w:rPr>
          <w:rFonts w:hint="eastAsia" w:ascii="宋体" w:hAnsi="宋体" w:eastAsia="宋体" w:cs="宋体"/>
          <w:color w:val="auto"/>
          <w:sz w:val="24"/>
          <w:highlight w:val="none"/>
        </w:rPr>
        <w:t xml:space="preserve">应的证明材料。比如删去本承诺函第 4 项的，则应按采购文件要求提供依法缴纳税收和社会保障资金的良好记录。</w:t>
      </w:r>
      <w:r/>
    </w:p>
    <w:p>
      <w:pPr>
        <w:pStyle w:val="1578"/>
        <w:numPr>
          <w:ilvl w:val="0"/>
          <w:numId w:val="0"/>
        </w:numPr>
        <w:jc w:val="center"/>
        <w:spacing w:line="360" w:lineRule="auto"/>
        <w:rPr>
          <w:color w:val="auto"/>
          <w:highlight w:val="none"/>
        </w:rPr>
      </w:pPr>
      <w:r/>
      <w:bookmarkStart w:id="100" w:name="_Toc2076"/>
      <w:r>
        <w:rPr>
          <w:rFonts w:hint="eastAsia" w:ascii="Arial" w:hAnsi="Arial" w:eastAsia="黑体" w:cstheme="minorBidi"/>
          <w:b/>
          <w:color w:val="auto"/>
          <w:sz w:val="32"/>
          <w:szCs w:val="24"/>
          <w:highlight w:val="none"/>
          <w:lang w:val="en-US" w:eastAsia="zh-CN" w:bidi="ar-SA"/>
        </w:rPr>
        <w:t xml:space="preserve">二、</w:t>
      </w:r>
      <w:r>
        <w:rPr>
          <w:rFonts w:hint="eastAsia"/>
          <w:color w:val="auto"/>
          <w:highlight w:val="none"/>
        </w:rPr>
        <w:t xml:space="preserve">技术部分</w:t>
      </w:r>
      <w:bookmarkEnd w:id="100"/>
      <w:r/>
      <w:r/>
    </w:p>
    <w:p>
      <w:pPr>
        <w:pStyle w:val="1583"/>
        <w:numPr>
          <w:ilvl w:val="0"/>
          <w:numId w:val="3"/>
        </w:numPr>
        <w:rPr>
          <w:color w:val="auto"/>
          <w:highlight w:val="none"/>
        </w:rPr>
        <w:sectPr>
          <w:headerReference w:type="default" r:id="rId16"/>
          <w:footerReference w:type="default" r:id="rId35"/>
          <w:footnotePr/>
          <w:endnotePr/>
          <w:type w:val="nextPage"/>
          <w:pgSz w:w="11906" w:h="16838" w:orient="portrait"/>
          <w:pgMar w:top="1440" w:right="1242" w:bottom="1440" w:left="1242" w:header="851" w:footer="992" w:gutter="0"/>
          <w:cols w:num="1" w:sep="0" w:space="425" w:equalWidth="1"/>
          <w:docGrid w:linePitch="360"/>
        </w:sectPr>
      </w:pPr>
      <w:r>
        <w:rPr>
          <w:color w:val="auto"/>
          <w:highlight w:val="none"/>
        </w:rPr>
      </w:r>
      <w:r/>
    </w:p>
    <w:p>
      <w:pPr>
        <w:jc w:val="center"/>
        <w:rPr>
          <w:rFonts w:ascii="Times New Roman" w:hAnsi="Times New Roman" w:eastAsia="宋体" w:cs="Times New Roman"/>
          <w:color w:val="auto"/>
          <w:sz w:val="28"/>
          <w:szCs w:val="28"/>
          <w:highlight w:val="none"/>
        </w:rPr>
        <w:sectPr>
          <w:footnotePr/>
          <w:endnotePr/>
          <w:type w:val="nextPage"/>
          <w:pgSz w:w="11906" w:h="16838" w:orient="portrait"/>
          <w:pgMar w:top="1440" w:right="1242" w:bottom="1440" w:left="1242" w:header="851" w:footer="992" w:gutter="0"/>
          <w:cols w:num="1" w:sep="0" w:space="425" w:equalWidth="1"/>
          <w:docGrid w:linePitch="360"/>
        </w:sectPr>
        <w:outlineLvl w:val="2"/>
      </w:pPr>
      <w:r/>
      <w:bookmarkStart w:id="101" w:name="_Toc23068"/>
      <w:r>
        <w:rPr>
          <w:rFonts w:hint="eastAsia" w:ascii="Times New Roman" w:hAnsi="Times New Roman" w:eastAsia="宋体" w:cs="Times New Roman"/>
          <w:color w:val="auto"/>
          <w:sz w:val="28"/>
          <w:szCs w:val="28"/>
          <w:highlight w:val="none"/>
        </w:rPr>
        <w:t xml:space="preserve">（一）</w:t>
      </w:r>
      <w:r>
        <w:rPr>
          <w:rFonts w:ascii="Times New Roman" w:hAnsi="Times New Roman" w:eastAsia="宋体" w:cs="Times New Roman"/>
          <w:color w:val="auto"/>
          <w:sz w:val="28"/>
          <w:szCs w:val="28"/>
          <w:highlight w:val="none"/>
        </w:rPr>
        <w:t xml:space="preserve">技术方案</w:t>
      </w:r>
      <w:bookmarkEnd w:id="101"/>
      <w:r/>
      <w:r/>
    </w:p>
    <w:p>
      <w:pPr>
        <w:jc w:val="center"/>
        <w:widowControl/>
        <w:rPr>
          <w:rFonts w:hint="eastAsia" w:ascii="宋体" w:hAnsi="宋体" w:eastAsia="宋体" w:cs="宋体"/>
          <w:b/>
          <w:color w:val="auto"/>
          <w:sz w:val="24"/>
          <w:highlight w:val="none"/>
        </w:rPr>
      </w:pPr>
      <w:r/>
      <w:bookmarkStart w:id="102" w:name="_Toc4911"/>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技术响应及偏离表</w:t>
      </w:r>
      <w:r/>
    </w:p>
    <w:tbl>
      <w:tblPr>
        <w:tblStyle w:val="1582"/>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bl>
    <w:p>
      <w:pPr>
        <w:pStyle w:val="1619"/>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注：1.按实际如实填写偏离表，行数不够可自行添加。</w:t>
      </w:r>
      <w:r/>
    </w:p>
    <w:p>
      <w:pPr>
        <w:pStyle w:val="1619"/>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1619"/>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1578"/>
        <w:numPr>
          <w:ilvl w:val="0"/>
          <w:numId w:val="0"/>
        </w:numPr>
        <w:jc w:val="cente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rPr>
          <w:rFonts w:hint="eastAsia" w:ascii="楷体" w:hAnsi="楷体" w:eastAsia="楷体"/>
          <w:color w:val="auto"/>
          <w:sz w:val="24"/>
          <w:highlight w:val="none"/>
          <w:u w:val="single"/>
        </w:rPr>
      </w:pPr>
      <w:r>
        <w:rPr>
          <w:rFonts w:hint="eastAsia" w:ascii="楷体" w:hAnsi="楷体" w:eastAsia="楷体"/>
          <w:color w:val="auto"/>
          <w:sz w:val="24"/>
          <w:highlight w:val="none"/>
          <w:u w:val="single"/>
        </w:rPr>
        <w:br w:type="page" w:clear="all"/>
      </w:r>
      <w:r/>
    </w:p>
    <w:p>
      <w:pPr>
        <w:pStyle w:val="1578"/>
        <w:numPr>
          <w:ilvl w:val="0"/>
          <w:numId w:val="0"/>
        </w:numPr>
        <w:jc w:val="center"/>
        <w:spacing w:line="360" w:lineRule="auto"/>
        <w:rPr>
          <w:color w:val="auto"/>
          <w:highlight w:val="none"/>
        </w:rPr>
      </w:pPr>
      <w:r>
        <w:rPr>
          <w:rFonts w:hint="eastAsia" w:ascii="Arial" w:hAnsi="Arial" w:eastAsia="黑体" w:cstheme="minorBidi"/>
          <w:b/>
          <w:color w:val="auto"/>
          <w:sz w:val="32"/>
          <w:szCs w:val="24"/>
          <w:highlight w:val="none"/>
          <w:lang w:val="en-US" w:eastAsia="zh-CN" w:bidi="ar-SA"/>
        </w:rPr>
        <w:t xml:space="preserve">三、</w:t>
      </w:r>
      <w:r>
        <w:rPr>
          <w:rFonts w:hint="eastAsia"/>
          <w:color w:val="auto"/>
          <w:highlight w:val="none"/>
        </w:rPr>
        <w:t xml:space="preserve">商务部分</w:t>
      </w:r>
      <w:bookmarkEnd w:id="102"/>
      <w:r/>
      <w:r/>
    </w:p>
    <w:p>
      <w:pPr>
        <w:pStyle w:val="1578"/>
        <w:rPr>
          <w:color w:val="auto"/>
          <w:highlight w:val="none"/>
        </w:rPr>
        <w:sectPr>
          <w:footnotePr/>
          <w:endnotePr/>
          <w:type w:val="nextPage"/>
          <w:pgSz w:w="11906" w:h="16838" w:orient="portrait"/>
          <w:pgMar w:top="1440" w:right="1242" w:bottom="1440" w:left="1242" w:header="851" w:footer="992" w:gutter="0"/>
          <w:cols w:num="1" w:sep="0" w:space="425" w:equalWidth="1"/>
          <w:docGrid w:linePitch="360"/>
        </w:sectPr>
      </w:pPr>
      <w:r>
        <w:rPr>
          <w:color w:val="auto"/>
          <w:highlight w:val="none"/>
        </w:rPr>
      </w:r>
      <w:r/>
    </w:p>
    <w:p>
      <w:pPr>
        <w:numPr>
          <w:ilvl w:val="0"/>
          <w:numId w:val="4"/>
        </w:numPr>
        <w:jc w:val="center"/>
        <w:rPr>
          <w:rFonts w:ascii="Times New Roman" w:hAnsi="Times New Roman" w:eastAsia="宋体" w:cs="Times New Roman"/>
          <w:color w:val="auto"/>
          <w:sz w:val="28"/>
          <w:szCs w:val="28"/>
          <w:highlight w:val="none"/>
        </w:rPr>
        <w:outlineLvl w:val="2"/>
      </w:pPr>
      <w:r/>
      <w:bookmarkStart w:id="103" w:name="_Toc7595"/>
      <w:r>
        <w:rPr>
          <w:rFonts w:hint="eastAsia" w:ascii="Times New Roman" w:hAnsi="Times New Roman" w:eastAsia="宋体" w:cs="Times New Roman"/>
          <w:color w:val="auto"/>
          <w:sz w:val="28"/>
          <w:szCs w:val="28"/>
          <w:highlight w:val="none"/>
        </w:rPr>
        <w:t xml:space="preserve">供应商能力</w:t>
      </w:r>
      <w:bookmarkEnd w:id="103"/>
      <w:r/>
      <w:r/>
    </w:p>
    <w:p>
      <w:pPr>
        <w:pStyle w:val="1583"/>
        <w:ind w:firstLine="0"/>
        <w:jc w:val="center"/>
        <w:rPr>
          <w:color w:val="auto"/>
          <w:sz w:val="24"/>
          <w:szCs w:val="24"/>
          <w:highlight w:val="none"/>
        </w:rPr>
        <w:sectPr>
          <w:footnotePr/>
          <w:endnotePr/>
          <w:type w:val="nextPage"/>
          <w:pgSz w:w="11906" w:h="16838" w:orient="portrait"/>
          <w:pgMar w:top="1440" w:right="1242" w:bottom="1440" w:left="1242" w:header="851" w:footer="992" w:gutter="0"/>
          <w:cols w:num="1" w:sep="0" w:space="425" w:equalWidth="1"/>
          <w:docGrid w:linePitch="360"/>
        </w:sectPr>
      </w:pPr>
      <w:r>
        <w:rPr>
          <w:rFonts w:hint="eastAsia"/>
          <w:color w:val="auto"/>
          <w:sz w:val="24"/>
          <w:szCs w:val="24"/>
          <w:highlight w:val="none"/>
        </w:rPr>
        <w:t xml:space="preserve">1.供应商能力</w:t>
      </w:r>
      <w:r/>
    </w:p>
    <w:p>
      <w:pPr>
        <w:numPr>
          <w:ilvl w:val="0"/>
          <w:numId w:val="4"/>
        </w:numPr>
        <w:jc w:val="center"/>
        <w:rPr>
          <w:rFonts w:ascii="Times New Roman" w:hAnsi="Times New Roman" w:eastAsia="宋体" w:cs="Times New Roman"/>
          <w:color w:val="auto"/>
          <w:sz w:val="28"/>
          <w:szCs w:val="28"/>
          <w:highlight w:val="none"/>
        </w:rPr>
        <w:outlineLvl w:val="2"/>
      </w:pPr>
      <w:r/>
      <w:bookmarkStart w:id="104" w:name="_Toc21581"/>
      <w:r>
        <w:rPr>
          <w:rFonts w:hint="eastAsia" w:ascii="Times New Roman" w:hAnsi="Times New Roman" w:eastAsia="宋体" w:cs="Times New Roman"/>
          <w:color w:val="auto"/>
          <w:sz w:val="28"/>
          <w:szCs w:val="28"/>
          <w:highlight w:val="none"/>
        </w:rPr>
        <w:t xml:space="preserve">经验</w:t>
      </w:r>
      <w:bookmarkEnd w:id="104"/>
      <w:r/>
      <w:r/>
    </w:p>
    <w:p>
      <w:pPr>
        <w:pStyle w:val="1583"/>
        <w:ind w:firstLine="0"/>
        <w:jc w:val="center"/>
        <w:rPr>
          <w:color w:val="auto"/>
          <w:sz w:val="24"/>
          <w:szCs w:val="24"/>
          <w:highlight w:val="none"/>
        </w:rPr>
        <w:sectPr>
          <w:footnotePr/>
          <w:endnotePr/>
          <w:type w:val="nextPage"/>
          <w:pgSz w:w="11906" w:h="16838" w:orient="portrait"/>
          <w:pgMar w:top="1440" w:right="1242" w:bottom="1440" w:left="1242" w:header="851" w:footer="992" w:gutter="0"/>
          <w:cols w:num="1" w:sep="0" w:space="425" w:equalWidth="1"/>
          <w:docGrid w:linePitch="360"/>
        </w:sectPr>
      </w:pPr>
      <w:r>
        <w:rPr>
          <w:rFonts w:hint="eastAsia"/>
          <w:color w:val="auto"/>
          <w:sz w:val="24"/>
          <w:szCs w:val="24"/>
          <w:highlight w:val="none"/>
        </w:rPr>
        <w:t xml:space="preserve">2.经验</w:t>
      </w:r>
      <w:r/>
    </w:p>
    <w:p>
      <w:pPr>
        <w:numPr>
          <w:ilvl w:val="0"/>
          <w:numId w:val="4"/>
        </w:numPr>
        <w:jc w:val="center"/>
        <w:rPr>
          <w:rFonts w:ascii="Times New Roman" w:hAnsi="Times New Roman" w:eastAsia="宋体" w:cs="Times New Roman"/>
          <w:color w:val="auto"/>
          <w:sz w:val="28"/>
          <w:szCs w:val="28"/>
          <w:highlight w:val="none"/>
        </w:rPr>
        <w:outlineLvl w:val="2"/>
      </w:pPr>
      <w:r/>
      <w:bookmarkStart w:id="105" w:name="_Toc2204"/>
      <w:r>
        <w:rPr>
          <w:rFonts w:hint="eastAsia" w:ascii="Times New Roman" w:hAnsi="Times New Roman" w:eastAsia="宋体" w:cs="Times New Roman"/>
          <w:color w:val="auto"/>
          <w:sz w:val="28"/>
          <w:szCs w:val="28"/>
          <w:highlight w:val="none"/>
        </w:rPr>
        <w:t xml:space="preserve">项目负责人资格</w:t>
      </w:r>
      <w:bookmarkEnd w:id="105"/>
      <w:r/>
      <w:r/>
    </w:p>
    <w:p>
      <w:pPr>
        <w:pStyle w:val="1583"/>
        <w:ind w:firstLine="0"/>
        <w:jc w:val="center"/>
        <w:rPr>
          <w:color w:val="auto"/>
          <w:sz w:val="24"/>
          <w:szCs w:val="24"/>
          <w:highlight w:val="none"/>
        </w:rPr>
      </w:pPr>
      <w:r>
        <w:rPr>
          <w:rFonts w:hint="eastAsia"/>
          <w:color w:val="auto"/>
          <w:sz w:val="24"/>
          <w:szCs w:val="24"/>
          <w:highlight w:val="none"/>
        </w:rPr>
        <w:t xml:space="preserve">3.项目负责人资格</w:t>
      </w:r>
      <w:r/>
    </w:p>
    <w:tbl>
      <w:tblPr>
        <w:tblStyle w:val="1600"/>
        <w:tblpPr w:horzAnchor="page" w:tblpXSpec="center" w:vertAnchor="text" w:tblpY="275" w:leftFromText="180" w:topFromText="0" w:rightFromText="180" w:bottomFromText="0"/>
        <w:tblW w:w="9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72"/>
        <w:gridCol w:w="1748"/>
        <w:gridCol w:w="5339"/>
      </w:tblGrid>
      <w:tr>
        <w:trPr>
          <w:jc w:val="center"/>
          <w:trHeight w:val="644"/>
        </w:trPr>
        <w:tc>
          <w:tcPr>
            <w:tcW w:w="2472" w:type="dxa"/>
            <w:vAlign w:val="center"/>
            <w:textDirection w:val="lrTb"/>
            <w:noWrap w:val="false"/>
          </w:tcPr>
          <w:p>
            <w:pPr>
              <w:jc w:val="center"/>
              <w:rPr>
                <w:color w:val="auto"/>
                <w:highlight w:val="none"/>
              </w:rPr>
            </w:pPr>
            <w:r>
              <w:rPr>
                <w:color w:val="auto"/>
                <w:highlight w:val="none"/>
              </w:rPr>
              <w:t xml:space="preserve">姓名</w:t>
            </w:r>
            <w:r/>
          </w:p>
        </w:tc>
        <w:tc>
          <w:tcPr>
            <w:tcW w:w="1748" w:type="dxa"/>
            <w:vAlign w:val="center"/>
            <w:textDirection w:val="lrTb"/>
            <w:noWrap w:val="false"/>
          </w:tcPr>
          <w:p>
            <w:pPr>
              <w:jc w:val="center"/>
              <w:rPr>
                <w:color w:val="auto"/>
                <w:highlight w:val="none"/>
              </w:rPr>
            </w:pPr>
            <w:r>
              <w:rPr>
                <w:color w:val="auto"/>
                <w:highlight w:val="none"/>
              </w:rPr>
            </w:r>
            <w:r/>
          </w:p>
        </w:tc>
        <w:tc>
          <w:tcPr>
            <w:tcW w:w="5339" w:type="dxa"/>
            <w:vAlign w:val="center"/>
            <w:textDirection w:val="lrTb"/>
            <w:noWrap w:val="false"/>
          </w:tcPr>
          <w:p>
            <w:pPr>
              <w:jc w:val="center"/>
              <w:rPr>
                <w:color w:val="auto"/>
                <w:highlight w:val="none"/>
              </w:rPr>
            </w:pPr>
            <w:r>
              <w:rPr>
                <w:color w:val="auto"/>
                <w:highlight w:val="none"/>
              </w:rPr>
              <w:t xml:space="preserve">近3年工作业绩及承担的主要工作</w:t>
            </w:r>
            <w:r/>
          </w:p>
        </w:tc>
      </w:tr>
      <w:tr>
        <w:trPr>
          <w:jc w:val="center"/>
          <w:trHeight w:val="619"/>
        </w:trPr>
        <w:tc>
          <w:tcPr>
            <w:tcW w:w="2472" w:type="dxa"/>
            <w:vAlign w:val="center"/>
            <w:textDirection w:val="lrTb"/>
            <w:noWrap w:val="false"/>
          </w:tcPr>
          <w:p>
            <w:pPr>
              <w:jc w:val="center"/>
              <w:rPr>
                <w:color w:val="auto"/>
                <w:highlight w:val="none"/>
              </w:rPr>
            </w:pPr>
            <w:r>
              <w:rPr>
                <w:color w:val="auto"/>
                <w:highlight w:val="none"/>
              </w:rPr>
              <w:t xml:space="preserve">性别</w:t>
            </w:r>
            <w:r/>
          </w:p>
        </w:tc>
        <w:tc>
          <w:tcPr>
            <w:tcW w:w="1748" w:type="dxa"/>
            <w:vAlign w:val="center"/>
            <w:textDirection w:val="lrTb"/>
            <w:noWrap w:val="false"/>
          </w:tcPr>
          <w:p>
            <w:pPr>
              <w:jc w:val="center"/>
              <w:rPr>
                <w:color w:val="auto"/>
                <w:highlight w:val="none"/>
              </w:rPr>
            </w:pPr>
            <w:r>
              <w:rPr>
                <w:color w:val="auto"/>
                <w:highlight w:val="none"/>
              </w:rPr>
            </w:r>
            <w:r/>
          </w:p>
        </w:tc>
        <w:tc>
          <w:tcPr>
            <w:tcBorders>
              <w:bottom w:val="none" w:color="000000" w:sz="4" w:space="0"/>
            </w:tcBorders>
            <w:tcW w:w="5339" w:type="dxa"/>
            <w:vAlign w:val="center"/>
            <w:vMerge w:val="restart"/>
            <w:textDirection w:val="lrTb"/>
            <w:noWrap w:val="false"/>
          </w:tcPr>
          <w:p>
            <w:pPr>
              <w:jc w:val="center"/>
              <w:rPr>
                <w:color w:val="auto"/>
                <w:highlight w:val="none"/>
              </w:rPr>
            </w:pPr>
            <w:r>
              <w:rPr>
                <w:color w:val="auto"/>
                <w:highlight w:val="none"/>
              </w:rPr>
            </w:r>
            <w:r/>
          </w:p>
        </w:tc>
      </w:tr>
      <w:tr>
        <w:trPr>
          <w:jc w:val="center"/>
          <w:trHeight w:val="629"/>
        </w:trPr>
        <w:tc>
          <w:tcPr>
            <w:tcW w:w="2472" w:type="dxa"/>
            <w:vAlign w:val="center"/>
            <w:textDirection w:val="lrTb"/>
            <w:noWrap w:val="false"/>
          </w:tcPr>
          <w:p>
            <w:pPr>
              <w:jc w:val="center"/>
              <w:rPr>
                <w:color w:val="auto"/>
                <w:highlight w:val="none"/>
              </w:rPr>
            </w:pPr>
            <w:r>
              <w:rPr>
                <w:color w:val="auto"/>
                <w:highlight w:val="none"/>
              </w:rPr>
              <w:t xml:space="preserve">年龄</w:t>
            </w:r>
            <w:r/>
          </w:p>
        </w:tc>
        <w:tc>
          <w:tcPr>
            <w:tcW w:w="1748" w:type="dxa"/>
            <w:vAlign w:val="center"/>
            <w:textDirection w:val="lrTb"/>
            <w:noWrap w:val="false"/>
          </w:tcPr>
          <w:p>
            <w:pPr>
              <w:jc w:val="center"/>
              <w:rPr>
                <w:color w:val="auto"/>
                <w:highlight w:val="none"/>
              </w:rPr>
            </w:pPr>
            <w:r>
              <w:rPr>
                <w:color w:val="auto"/>
                <w:highlight w:val="none"/>
              </w:rPr>
            </w:r>
            <w:r/>
          </w:p>
        </w:tc>
        <w:tc>
          <w:tcPr>
            <w:tcBorders>
              <w:top w:val="none" w:color="000000" w:sz="4" w:space="0"/>
              <w:bottom w:val="none" w:color="000000" w:sz="4" w:space="0"/>
            </w:tcBorders>
            <w:tcW w:w="5339" w:type="dxa"/>
            <w:vAlign w:val="center"/>
            <w:vMerge w:val="continue"/>
            <w:textDirection w:val="lrTb"/>
            <w:noWrap w:val="false"/>
          </w:tcPr>
          <w:p>
            <w:pPr>
              <w:jc w:val="center"/>
              <w:rPr>
                <w:color w:val="auto"/>
                <w:highlight w:val="none"/>
              </w:rPr>
            </w:pPr>
            <w:r>
              <w:rPr>
                <w:color w:val="auto"/>
                <w:highlight w:val="none"/>
              </w:rPr>
            </w:r>
            <w:r/>
          </w:p>
        </w:tc>
      </w:tr>
      <w:tr>
        <w:trPr>
          <w:jc w:val="center"/>
          <w:trHeight w:val="650"/>
        </w:trPr>
        <w:tc>
          <w:tcPr>
            <w:tcW w:w="2472" w:type="dxa"/>
            <w:vAlign w:val="center"/>
            <w:textDirection w:val="lrTb"/>
            <w:noWrap w:val="false"/>
          </w:tcPr>
          <w:p>
            <w:pPr>
              <w:jc w:val="center"/>
              <w:rPr>
                <w:color w:val="auto"/>
                <w:highlight w:val="none"/>
              </w:rPr>
            </w:pPr>
            <w:r>
              <w:rPr>
                <w:color w:val="auto"/>
                <w:highlight w:val="none"/>
              </w:rPr>
              <w:t xml:space="preserve">职称</w:t>
            </w:r>
            <w:r/>
          </w:p>
        </w:tc>
        <w:tc>
          <w:tcPr>
            <w:tcW w:w="1748" w:type="dxa"/>
            <w:vAlign w:val="center"/>
            <w:textDirection w:val="lrTb"/>
            <w:noWrap w:val="false"/>
          </w:tcPr>
          <w:p>
            <w:pPr>
              <w:jc w:val="center"/>
              <w:rPr>
                <w:color w:val="auto"/>
                <w:highlight w:val="none"/>
              </w:rPr>
            </w:pPr>
            <w:r>
              <w:rPr>
                <w:color w:val="auto"/>
                <w:highlight w:val="none"/>
              </w:rPr>
            </w:r>
            <w:r/>
          </w:p>
        </w:tc>
        <w:tc>
          <w:tcPr>
            <w:tcBorders>
              <w:top w:val="none" w:color="000000" w:sz="4" w:space="0"/>
              <w:bottom w:val="none" w:color="000000" w:sz="4" w:space="0"/>
            </w:tcBorders>
            <w:tcW w:w="5339" w:type="dxa"/>
            <w:vAlign w:val="center"/>
            <w:vMerge w:val="continue"/>
            <w:textDirection w:val="lrTb"/>
            <w:noWrap w:val="false"/>
          </w:tcPr>
          <w:p>
            <w:pPr>
              <w:jc w:val="center"/>
              <w:rPr>
                <w:color w:val="auto"/>
                <w:highlight w:val="none"/>
              </w:rPr>
            </w:pPr>
            <w:r>
              <w:rPr>
                <w:color w:val="auto"/>
                <w:highlight w:val="none"/>
              </w:rPr>
            </w:r>
            <w:r/>
          </w:p>
        </w:tc>
      </w:tr>
      <w:tr>
        <w:trPr>
          <w:jc w:val="center"/>
          <w:trHeight w:val="619"/>
        </w:trPr>
        <w:tc>
          <w:tcPr>
            <w:tcW w:w="2472" w:type="dxa"/>
            <w:vAlign w:val="center"/>
            <w:textDirection w:val="lrTb"/>
            <w:noWrap w:val="false"/>
          </w:tcPr>
          <w:p>
            <w:pPr>
              <w:jc w:val="center"/>
              <w:rPr>
                <w:color w:val="auto"/>
                <w:highlight w:val="none"/>
              </w:rPr>
            </w:pPr>
            <w:r>
              <w:rPr>
                <w:color w:val="auto"/>
                <w:highlight w:val="none"/>
              </w:rPr>
              <w:t xml:space="preserve">毕业时间</w:t>
            </w:r>
            <w:r/>
          </w:p>
        </w:tc>
        <w:tc>
          <w:tcPr>
            <w:tcW w:w="1748" w:type="dxa"/>
            <w:vAlign w:val="center"/>
            <w:textDirection w:val="lrTb"/>
            <w:noWrap w:val="false"/>
          </w:tcPr>
          <w:p>
            <w:pPr>
              <w:jc w:val="center"/>
              <w:rPr>
                <w:color w:val="auto"/>
                <w:highlight w:val="none"/>
              </w:rPr>
            </w:pPr>
            <w:r>
              <w:rPr>
                <w:color w:val="auto"/>
                <w:highlight w:val="none"/>
              </w:rPr>
            </w:r>
            <w:r/>
          </w:p>
        </w:tc>
        <w:tc>
          <w:tcPr>
            <w:tcBorders>
              <w:top w:val="none" w:color="000000" w:sz="4" w:space="0"/>
              <w:bottom w:val="none" w:color="000000" w:sz="4" w:space="0"/>
            </w:tcBorders>
            <w:tcW w:w="5339" w:type="dxa"/>
            <w:vAlign w:val="center"/>
            <w:vMerge w:val="continue"/>
            <w:textDirection w:val="lrTb"/>
            <w:noWrap w:val="false"/>
          </w:tcPr>
          <w:p>
            <w:pPr>
              <w:jc w:val="center"/>
              <w:rPr>
                <w:color w:val="auto"/>
                <w:highlight w:val="none"/>
              </w:rPr>
            </w:pPr>
            <w:r>
              <w:rPr>
                <w:color w:val="auto"/>
                <w:highlight w:val="none"/>
              </w:rPr>
            </w:r>
            <w:r/>
          </w:p>
        </w:tc>
      </w:tr>
      <w:tr>
        <w:trPr>
          <w:jc w:val="center"/>
          <w:trHeight w:val="629"/>
        </w:trPr>
        <w:tc>
          <w:tcPr>
            <w:tcW w:w="2472" w:type="dxa"/>
            <w:vAlign w:val="center"/>
            <w:textDirection w:val="lrTb"/>
            <w:noWrap w:val="false"/>
          </w:tcPr>
          <w:p>
            <w:pPr>
              <w:jc w:val="center"/>
              <w:rPr>
                <w:color w:val="auto"/>
                <w:highlight w:val="none"/>
              </w:rPr>
            </w:pPr>
            <w:r>
              <w:rPr>
                <w:color w:val="auto"/>
                <w:highlight w:val="none"/>
              </w:rPr>
              <w:t xml:space="preserve">所学专业</w:t>
            </w:r>
            <w:r/>
          </w:p>
        </w:tc>
        <w:tc>
          <w:tcPr>
            <w:tcW w:w="1748" w:type="dxa"/>
            <w:vAlign w:val="center"/>
            <w:textDirection w:val="lrTb"/>
            <w:noWrap w:val="false"/>
          </w:tcPr>
          <w:p>
            <w:pPr>
              <w:jc w:val="center"/>
              <w:rPr>
                <w:color w:val="auto"/>
                <w:highlight w:val="none"/>
              </w:rPr>
            </w:pPr>
            <w:r>
              <w:rPr>
                <w:color w:val="auto"/>
                <w:highlight w:val="none"/>
              </w:rPr>
            </w:r>
            <w:r/>
          </w:p>
        </w:tc>
        <w:tc>
          <w:tcPr>
            <w:tcBorders>
              <w:top w:val="none" w:color="000000" w:sz="4" w:space="0"/>
              <w:bottom w:val="none" w:color="000000" w:sz="4" w:space="0"/>
            </w:tcBorders>
            <w:tcW w:w="5339" w:type="dxa"/>
            <w:vAlign w:val="center"/>
            <w:vMerge w:val="continue"/>
            <w:textDirection w:val="lrTb"/>
            <w:noWrap w:val="false"/>
          </w:tcPr>
          <w:p>
            <w:pPr>
              <w:jc w:val="center"/>
              <w:rPr>
                <w:color w:val="auto"/>
                <w:highlight w:val="none"/>
              </w:rPr>
            </w:pPr>
            <w:r>
              <w:rPr>
                <w:color w:val="auto"/>
                <w:highlight w:val="none"/>
              </w:rPr>
            </w:r>
            <w:r/>
          </w:p>
        </w:tc>
      </w:tr>
      <w:tr>
        <w:trPr>
          <w:jc w:val="center"/>
          <w:trHeight w:val="629"/>
        </w:trPr>
        <w:tc>
          <w:tcPr>
            <w:tcW w:w="2472" w:type="dxa"/>
            <w:vAlign w:val="center"/>
            <w:textDirection w:val="lrTb"/>
            <w:noWrap w:val="false"/>
          </w:tcPr>
          <w:p>
            <w:pPr>
              <w:jc w:val="center"/>
              <w:rPr>
                <w:color w:val="auto"/>
                <w:highlight w:val="none"/>
              </w:rPr>
            </w:pPr>
            <w:r>
              <w:rPr>
                <w:color w:val="auto"/>
                <w:highlight w:val="none"/>
              </w:rPr>
              <w:t xml:space="preserve">学历</w:t>
            </w:r>
            <w:r/>
          </w:p>
        </w:tc>
        <w:tc>
          <w:tcPr>
            <w:tcW w:w="1748" w:type="dxa"/>
            <w:vAlign w:val="center"/>
            <w:textDirection w:val="lrTb"/>
            <w:noWrap w:val="false"/>
          </w:tcPr>
          <w:p>
            <w:pPr>
              <w:jc w:val="center"/>
              <w:rPr>
                <w:color w:val="auto"/>
                <w:highlight w:val="none"/>
              </w:rPr>
            </w:pPr>
            <w:r>
              <w:rPr>
                <w:color w:val="auto"/>
                <w:highlight w:val="none"/>
              </w:rPr>
            </w:r>
            <w:r/>
          </w:p>
        </w:tc>
        <w:tc>
          <w:tcPr>
            <w:tcBorders>
              <w:top w:val="none" w:color="000000" w:sz="4" w:space="0"/>
              <w:bottom w:val="none" w:color="000000" w:sz="4" w:space="0"/>
            </w:tcBorders>
            <w:tcW w:w="5339" w:type="dxa"/>
            <w:vAlign w:val="center"/>
            <w:vMerge w:val="continue"/>
            <w:textDirection w:val="lrTb"/>
            <w:noWrap w:val="false"/>
          </w:tcPr>
          <w:p>
            <w:pPr>
              <w:jc w:val="center"/>
              <w:rPr>
                <w:color w:val="auto"/>
                <w:highlight w:val="none"/>
              </w:rPr>
            </w:pPr>
            <w:r>
              <w:rPr>
                <w:color w:val="auto"/>
                <w:highlight w:val="none"/>
              </w:rPr>
            </w:r>
            <w:r/>
          </w:p>
        </w:tc>
      </w:tr>
      <w:tr>
        <w:trPr>
          <w:jc w:val="center"/>
          <w:trHeight w:val="619"/>
        </w:trPr>
        <w:tc>
          <w:tcPr>
            <w:tcW w:w="2472" w:type="dxa"/>
            <w:vAlign w:val="center"/>
            <w:textDirection w:val="lrTb"/>
            <w:noWrap w:val="false"/>
          </w:tcPr>
          <w:p>
            <w:pPr>
              <w:jc w:val="center"/>
              <w:rPr>
                <w:color w:val="auto"/>
                <w:highlight w:val="none"/>
              </w:rPr>
            </w:pPr>
            <w:r>
              <w:rPr>
                <w:color w:val="auto"/>
                <w:highlight w:val="none"/>
              </w:rPr>
              <w:t xml:space="preserve">证书名称</w:t>
            </w:r>
            <w:r/>
          </w:p>
        </w:tc>
        <w:tc>
          <w:tcPr>
            <w:tcW w:w="1748" w:type="dxa"/>
            <w:vAlign w:val="center"/>
            <w:textDirection w:val="lrTb"/>
            <w:noWrap w:val="false"/>
          </w:tcPr>
          <w:p>
            <w:pPr>
              <w:jc w:val="center"/>
              <w:rPr>
                <w:color w:val="auto"/>
                <w:highlight w:val="none"/>
              </w:rPr>
            </w:pPr>
            <w:r>
              <w:rPr>
                <w:color w:val="auto"/>
                <w:highlight w:val="none"/>
              </w:rPr>
            </w:r>
            <w:r/>
          </w:p>
        </w:tc>
        <w:tc>
          <w:tcPr>
            <w:tcBorders>
              <w:top w:val="none" w:color="000000" w:sz="4" w:space="0"/>
              <w:bottom w:val="none" w:color="000000" w:sz="4" w:space="0"/>
            </w:tcBorders>
            <w:tcW w:w="5339" w:type="dxa"/>
            <w:vAlign w:val="center"/>
            <w:vMerge w:val="continue"/>
            <w:textDirection w:val="lrTb"/>
            <w:noWrap w:val="false"/>
          </w:tcPr>
          <w:p>
            <w:pPr>
              <w:jc w:val="center"/>
              <w:rPr>
                <w:color w:val="auto"/>
                <w:highlight w:val="none"/>
              </w:rPr>
            </w:pPr>
            <w:r>
              <w:rPr>
                <w:color w:val="auto"/>
                <w:highlight w:val="none"/>
              </w:rPr>
            </w:r>
            <w:r/>
          </w:p>
        </w:tc>
      </w:tr>
      <w:tr>
        <w:trPr>
          <w:jc w:val="center"/>
          <w:trHeight w:val="629"/>
        </w:trPr>
        <w:tc>
          <w:tcPr>
            <w:tcW w:w="2472" w:type="dxa"/>
            <w:vAlign w:val="center"/>
            <w:textDirection w:val="lrTb"/>
            <w:noWrap w:val="false"/>
          </w:tcPr>
          <w:p>
            <w:pPr>
              <w:jc w:val="center"/>
              <w:rPr>
                <w:color w:val="auto"/>
                <w:highlight w:val="none"/>
              </w:rPr>
            </w:pPr>
            <w:r>
              <w:rPr>
                <w:color w:val="auto"/>
                <w:highlight w:val="none"/>
              </w:rPr>
              <w:t xml:space="preserve">专业资格</w:t>
            </w:r>
            <w:r/>
          </w:p>
        </w:tc>
        <w:tc>
          <w:tcPr>
            <w:tcW w:w="1748" w:type="dxa"/>
            <w:vAlign w:val="center"/>
            <w:textDirection w:val="lrTb"/>
            <w:noWrap w:val="false"/>
          </w:tcPr>
          <w:p>
            <w:pPr>
              <w:jc w:val="center"/>
              <w:rPr>
                <w:color w:val="auto"/>
                <w:highlight w:val="none"/>
              </w:rPr>
            </w:pPr>
            <w:r>
              <w:rPr>
                <w:color w:val="auto"/>
                <w:highlight w:val="none"/>
              </w:rPr>
            </w:r>
            <w:r/>
          </w:p>
        </w:tc>
        <w:tc>
          <w:tcPr>
            <w:tcBorders>
              <w:top w:val="none" w:color="000000" w:sz="4" w:space="0"/>
              <w:bottom w:val="none" w:color="000000" w:sz="4" w:space="0"/>
            </w:tcBorders>
            <w:tcW w:w="5339" w:type="dxa"/>
            <w:vAlign w:val="center"/>
            <w:vMerge w:val="continue"/>
            <w:textDirection w:val="lrTb"/>
            <w:noWrap w:val="false"/>
          </w:tcPr>
          <w:p>
            <w:pPr>
              <w:jc w:val="center"/>
              <w:rPr>
                <w:color w:val="auto"/>
                <w:highlight w:val="none"/>
              </w:rPr>
            </w:pPr>
            <w:r>
              <w:rPr>
                <w:color w:val="auto"/>
                <w:highlight w:val="none"/>
              </w:rPr>
            </w:r>
            <w:r/>
          </w:p>
        </w:tc>
      </w:tr>
      <w:tr>
        <w:trPr>
          <w:jc w:val="center"/>
          <w:trHeight w:val="630"/>
        </w:trPr>
        <w:tc>
          <w:tcPr>
            <w:tcW w:w="2472" w:type="dxa"/>
            <w:vAlign w:val="center"/>
            <w:textDirection w:val="lrTb"/>
            <w:noWrap w:val="false"/>
          </w:tcPr>
          <w:p>
            <w:pPr>
              <w:jc w:val="center"/>
              <w:rPr>
                <w:color w:val="auto"/>
                <w:highlight w:val="none"/>
              </w:rPr>
            </w:pPr>
            <w:r>
              <w:rPr>
                <w:color w:val="auto"/>
                <w:highlight w:val="none"/>
              </w:rPr>
              <w:t xml:space="preserve">联系电话</w:t>
            </w:r>
            <w:r/>
          </w:p>
        </w:tc>
        <w:tc>
          <w:tcPr>
            <w:tcW w:w="1748" w:type="dxa"/>
            <w:vAlign w:val="center"/>
            <w:textDirection w:val="lrTb"/>
            <w:noWrap w:val="false"/>
          </w:tcPr>
          <w:p>
            <w:pPr>
              <w:jc w:val="center"/>
              <w:rPr>
                <w:color w:val="auto"/>
                <w:highlight w:val="none"/>
              </w:rPr>
            </w:pPr>
            <w:r>
              <w:rPr>
                <w:color w:val="auto"/>
                <w:highlight w:val="none"/>
              </w:rPr>
            </w:r>
            <w:r/>
          </w:p>
        </w:tc>
        <w:tc>
          <w:tcPr>
            <w:tcBorders>
              <w:top w:val="none" w:color="000000" w:sz="4" w:space="0"/>
            </w:tcBorders>
            <w:tcW w:w="5339" w:type="dxa"/>
            <w:vAlign w:val="center"/>
            <w:vMerge w:val="continue"/>
            <w:textDirection w:val="lrTb"/>
            <w:noWrap w:val="false"/>
          </w:tcPr>
          <w:p>
            <w:pPr>
              <w:jc w:val="center"/>
              <w:rPr>
                <w:color w:val="auto"/>
                <w:highlight w:val="none"/>
              </w:rPr>
            </w:pPr>
            <w:r>
              <w:rPr>
                <w:color w:val="auto"/>
                <w:highlight w:val="none"/>
              </w:rPr>
            </w:r>
            <w:r/>
          </w:p>
        </w:tc>
      </w:tr>
      <w:tr>
        <w:trPr>
          <w:jc w:val="center"/>
          <w:trHeight w:val="1433"/>
        </w:trPr>
        <w:tc>
          <w:tcPr>
            <w:tcW w:w="2472"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t xml:space="preserve">曾担任项目主要负责</w:t>
            </w:r>
            <w:r/>
          </w:p>
          <w:p>
            <w:pPr>
              <w:jc w:val="center"/>
              <w:rPr>
                <w:color w:val="auto"/>
                <w:highlight w:val="none"/>
              </w:rPr>
            </w:pPr>
            <w:r>
              <w:rPr>
                <w:color w:val="auto"/>
                <w:highlight w:val="none"/>
              </w:rPr>
              <w:t xml:space="preserve">人的项目</w:t>
            </w:r>
            <w:r/>
          </w:p>
        </w:tc>
        <w:tc>
          <w:tcPr>
            <w:gridSpan w:val="2"/>
            <w:tcW w:w="7087" w:type="dxa"/>
            <w:vAlign w:val="center"/>
            <w:textDirection w:val="lrTb"/>
            <w:noWrap w:val="false"/>
          </w:tcPr>
          <w:p>
            <w:pPr>
              <w:jc w:val="center"/>
              <w:rPr>
                <w:color w:val="auto"/>
                <w:highlight w:val="none"/>
              </w:rPr>
            </w:pPr>
            <w:r>
              <w:rPr>
                <w:color w:val="auto"/>
                <w:highlight w:val="none"/>
              </w:rPr>
            </w:r>
            <w:r/>
          </w:p>
        </w:tc>
      </w:tr>
    </w:tbl>
    <w:p>
      <w:pPr>
        <w:pStyle w:val="1583"/>
        <w:ind w:firstLine="0"/>
        <w:jc w:val="left"/>
        <w:rPr>
          <w:color w:val="auto"/>
          <w:sz w:val="24"/>
          <w:szCs w:val="24"/>
          <w:highlight w:val="none"/>
        </w:rPr>
      </w:pPr>
      <w:r>
        <w:rPr>
          <w:color w:val="auto"/>
          <w:sz w:val="24"/>
          <w:szCs w:val="24"/>
          <w:highlight w:val="none"/>
        </w:rPr>
        <w:t xml:space="preserve">注：1、项目</w:t>
      </w:r>
      <w:r>
        <w:rPr>
          <w:rFonts w:hint="eastAsia"/>
          <w:color w:val="auto"/>
          <w:sz w:val="24"/>
          <w:szCs w:val="24"/>
          <w:highlight w:val="none"/>
        </w:rPr>
        <w:t xml:space="preserve">负责人</w:t>
      </w:r>
      <w:r>
        <w:rPr>
          <w:color w:val="auto"/>
          <w:sz w:val="24"/>
          <w:szCs w:val="24"/>
          <w:highlight w:val="none"/>
        </w:rPr>
        <w:t xml:space="preserve">具有资格证书的，应在本栏目提交相关证书扫描件。</w:t>
      </w:r>
      <w:r/>
    </w:p>
    <w:p>
      <w:pPr>
        <w:pStyle w:val="1583"/>
        <w:ind w:firstLine="0"/>
        <w:jc w:val="left"/>
        <w:rPr>
          <w:color w:val="auto"/>
          <w:sz w:val="24"/>
          <w:szCs w:val="24"/>
          <w:highlight w:val="none"/>
        </w:rPr>
      </w:pPr>
      <w:r>
        <w:rPr>
          <w:color w:val="auto"/>
          <w:sz w:val="24"/>
          <w:szCs w:val="24"/>
          <w:highlight w:val="none"/>
        </w:rPr>
        <w:t xml:space="preserve">2、列入本表人员如要更换，需经采购人同意。擅自更换属违约行为。</w:t>
      </w:r>
      <w:r/>
    </w:p>
    <w:p>
      <w:pPr>
        <w:pStyle w:val="1583"/>
        <w:ind w:firstLine="0"/>
        <w:jc w:val="center"/>
        <w:rPr>
          <w:color w:val="auto"/>
          <w:sz w:val="24"/>
          <w:szCs w:val="24"/>
          <w:highlight w:val="none"/>
        </w:rPr>
      </w:pPr>
      <w:r>
        <w:rPr>
          <w:color w:val="auto"/>
          <w:sz w:val="24"/>
          <w:szCs w:val="24"/>
          <w:highlight w:val="none"/>
        </w:rPr>
      </w:r>
      <w:r/>
    </w:p>
    <w:p>
      <w:pPr>
        <w:pStyle w:val="1583"/>
        <w:ind w:firstLine="0"/>
        <w:jc w:val="center"/>
        <w:rPr>
          <w:color w:val="auto"/>
          <w:sz w:val="24"/>
          <w:szCs w:val="24"/>
          <w:highlight w:val="none"/>
        </w:rPr>
        <w:sectPr>
          <w:headerReference w:type="default" r:id="rId17"/>
          <w:footerReference w:type="default" r:id="rId36"/>
          <w:footnotePr/>
          <w:endnotePr/>
          <w:type w:val="nextPage"/>
          <w:pgSz w:w="11906" w:h="16838" w:orient="portrait"/>
          <w:pgMar w:top="1440" w:right="1242" w:bottom="1440" w:left="1242" w:header="851" w:footer="992" w:gutter="0"/>
          <w:cols w:num="1" w:sep="0" w:space="425" w:equalWidth="1"/>
          <w:docGrid w:linePitch="360"/>
        </w:sectPr>
      </w:pPr>
      <w:r>
        <w:rPr>
          <w:color w:val="auto"/>
          <w:sz w:val="24"/>
          <w:szCs w:val="24"/>
          <w:highlight w:val="none"/>
        </w:rPr>
      </w:r>
      <w:r/>
    </w:p>
    <w:p>
      <w:pPr>
        <w:numPr>
          <w:ilvl w:val="0"/>
          <w:numId w:val="4"/>
        </w:numPr>
        <w:jc w:val="center"/>
        <w:rPr>
          <w:rFonts w:ascii="Times New Roman" w:hAnsi="Times New Roman" w:eastAsia="宋体" w:cs="Times New Roman"/>
          <w:color w:val="auto"/>
          <w:sz w:val="28"/>
          <w:szCs w:val="28"/>
          <w:highlight w:val="none"/>
        </w:rPr>
        <w:outlineLvl w:val="2"/>
      </w:pPr>
      <w:r/>
      <w:bookmarkStart w:id="106" w:name="_Toc5057"/>
      <w:r>
        <w:rPr>
          <w:rFonts w:hint="eastAsia" w:ascii="Times New Roman" w:hAnsi="Times New Roman" w:eastAsia="宋体" w:cs="Times New Roman"/>
          <w:color w:val="auto"/>
          <w:sz w:val="28"/>
          <w:szCs w:val="28"/>
          <w:highlight w:val="none"/>
        </w:rPr>
        <w:t xml:space="preserve">项目实施人员能力</w:t>
      </w:r>
      <w:bookmarkEnd w:id="106"/>
      <w:r/>
      <w:r/>
    </w:p>
    <w:p>
      <w:pPr>
        <w:pStyle w:val="1583"/>
        <w:numPr>
          <w:ilvl w:val="0"/>
          <w:numId w:val="5"/>
        </w:numPr>
        <w:ind w:firstLine="0"/>
        <w:jc w:val="center"/>
        <w:rPr>
          <w:color w:val="auto"/>
          <w:sz w:val="24"/>
          <w:szCs w:val="24"/>
          <w:highlight w:val="none"/>
        </w:rPr>
      </w:pPr>
      <w:r>
        <w:rPr>
          <w:rFonts w:hint="eastAsia"/>
          <w:color w:val="auto"/>
          <w:sz w:val="24"/>
          <w:szCs w:val="24"/>
          <w:highlight w:val="none"/>
        </w:rPr>
        <w:t xml:space="preserve">项目实施人员能力</w:t>
      </w:r>
      <w:r/>
    </w:p>
    <w:tbl>
      <w:tblPr>
        <w:tblStyle w:val="1600"/>
        <w:tblW w:w="95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4"/>
        <w:gridCol w:w="919"/>
        <w:gridCol w:w="1558"/>
        <w:gridCol w:w="1438"/>
        <w:gridCol w:w="1978"/>
        <w:gridCol w:w="1958"/>
        <w:gridCol w:w="924"/>
      </w:tblGrid>
      <w:tr>
        <w:trPr>
          <w:trHeight w:val="583"/>
        </w:trPr>
        <w:tc>
          <w:tcPr>
            <w:tcW w:w="784" w:type="dxa"/>
            <w:vAlign w:val="center"/>
            <w:textDirection w:val="lrTb"/>
            <w:noWrap w:val="false"/>
          </w:tcPr>
          <w:p>
            <w:pPr>
              <w:jc w:val="center"/>
              <w:rPr>
                <w:color w:val="auto"/>
                <w:highlight w:val="none"/>
              </w:rPr>
            </w:pPr>
            <w:r>
              <w:rPr>
                <w:color w:val="auto"/>
                <w:highlight w:val="none"/>
              </w:rPr>
              <w:t xml:space="preserve">序号</w:t>
            </w:r>
            <w:r/>
          </w:p>
        </w:tc>
        <w:tc>
          <w:tcPr>
            <w:tcW w:w="919" w:type="dxa"/>
            <w:vAlign w:val="center"/>
            <w:textDirection w:val="lrTb"/>
            <w:noWrap w:val="false"/>
          </w:tcPr>
          <w:p>
            <w:pPr>
              <w:jc w:val="center"/>
              <w:rPr>
                <w:color w:val="auto"/>
                <w:highlight w:val="none"/>
              </w:rPr>
            </w:pPr>
            <w:r>
              <w:rPr>
                <w:color w:val="auto"/>
                <w:highlight w:val="none"/>
              </w:rPr>
              <w:t xml:space="preserve">姓名</w:t>
            </w:r>
            <w:r/>
          </w:p>
        </w:tc>
        <w:tc>
          <w:tcPr>
            <w:tcW w:w="1558" w:type="dxa"/>
            <w:vAlign w:val="center"/>
            <w:textDirection w:val="lrTb"/>
            <w:noWrap w:val="false"/>
          </w:tcPr>
          <w:p>
            <w:pPr>
              <w:jc w:val="center"/>
              <w:rPr>
                <w:color w:val="auto"/>
                <w:highlight w:val="none"/>
              </w:rPr>
            </w:pPr>
            <w:r>
              <w:rPr>
                <w:color w:val="auto"/>
                <w:highlight w:val="none"/>
              </w:rPr>
              <w:t xml:space="preserve">身份证号</w:t>
            </w:r>
            <w:r/>
          </w:p>
        </w:tc>
        <w:tc>
          <w:tcPr>
            <w:tcW w:w="1438" w:type="dxa"/>
            <w:vAlign w:val="center"/>
            <w:textDirection w:val="lrTb"/>
            <w:noWrap w:val="false"/>
          </w:tcPr>
          <w:p>
            <w:pPr>
              <w:jc w:val="center"/>
              <w:rPr>
                <w:color w:val="auto"/>
                <w:highlight w:val="none"/>
              </w:rPr>
            </w:pPr>
            <w:r>
              <w:rPr>
                <w:color w:val="auto"/>
                <w:highlight w:val="none"/>
              </w:rPr>
              <w:t xml:space="preserve">人员类别</w:t>
            </w:r>
            <w:r/>
          </w:p>
        </w:tc>
        <w:tc>
          <w:tcPr>
            <w:tcW w:w="1978" w:type="dxa"/>
            <w:vAlign w:val="center"/>
            <w:textDirection w:val="lrTb"/>
            <w:noWrap w:val="false"/>
          </w:tcPr>
          <w:p>
            <w:pPr>
              <w:jc w:val="center"/>
              <w:rPr>
                <w:color w:val="auto"/>
                <w:highlight w:val="none"/>
              </w:rPr>
            </w:pPr>
            <w:r>
              <w:rPr>
                <w:color w:val="auto"/>
                <w:highlight w:val="none"/>
              </w:rPr>
              <w:t xml:space="preserve">技术证书、级别</w:t>
            </w:r>
            <w:r/>
          </w:p>
        </w:tc>
        <w:tc>
          <w:tcPr>
            <w:tcW w:w="1958" w:type="dxa"/>
            <w:vAlign w:val="center"/>
            <w:textDirection w:val="lrTb"/>
            <w:noWrap w:val="false"/>
          </w:tcPr>
          <w:p>
            <w:pPr>
              <w:jc w:val="center"/>
              <w:rPr>
                <w:color w:val="auto"/>
                <w:highlight w:val="none"/>
              </w:rPr>
            </w:pPr>
            <w:r>
              <w:rPr>
                <w:color w:val="auto"/>
                <w:highlight w:val="none"/>
              </w:rPr>
              <w:t xml:space="preserve">相关工作经验</w:t>
            </w:r>
            <w:r/>
          </w:p>
        </w:tc>
        <w:tc>
          <w:tcPr>
            <w:tcW w:w="924" w:type="dxa"/>
            <w:vAlign w:val="center"/>
            <w:textDirection w:val="lrTb"/>
            <w:noWrap w:val="false"/>
          </w:tcPr>
          <w:p>
            <w:pPr>
              <w:jc w:val="center"/>
              <w:rPr>
                <w:color w:val="auto"/>
                <w:highlight w:val="none"/>
              </w:rPr>
            </w:pPr>
            <w:r>
              <w:rPr>
                <w:color w:val="auto"/>
                <w:highlight w:val="none"/>
              </w:rPr>
              <w:t xml:space="preserve">备注</w:t>
            </w:r>
            <w:r/>
          </w:p>
        </w:tc>
      </w:tr>
      <w:tr>
        <w:trPr>
          <w:trHeight w:val="459"/>
        </w:trPr>
        <w:tc>
          <w:tcPr>
            <w:tcW w:w="784" w:type="dxa"/>
            <w:vAlign w:val="center"/>
            <w:textDirection w:val="lrTb"/>
            <w:noWrap w:val="false"/>
          </w:tcPr>
          <w:p>
            <w:pPr>
              <w:jc w:val="center"/>
              <w:rPr>
                <w:color w:val="auto"/>
                <w:highlight w:val="none"/>
              </w:rPr>
            </w:pPr>
            <w:r>
              <w:rPr>
                <w:color w:val="auto"/>
                <w:highlight w:val="none"/>
              </w:rPr>
            </w:r>
            <w:r/>
          </w:p>
        </w:tc>
        <w:tc>
          <w:tcPr>
            <w:tcW w:w="919" w:type="dxa"/>
            <w:vAlign w:val="center"/>
            <w:textDirection w:val="lrTb"/>
            <w:noWrap w:val="false"/>
          </w:tcPr>
          <w:p>
            <w:pPr>
              <w:jc w:val="center"/>
              <w:rPr>
                <w:color w:val="auto"/>
                <w:highlight w:val="none"/>
              </w:rPr>
            </w:pPr>
            <w:r>
              <w:rPr>
                <w:color w:val="auto"/>
                <w:highlight w:val="none"/>
              </w:rPr>
            </w:r>
            <w:r/>
          </w:p>
        </w:tc>
        <w:tc>
          <w:tcPr>
            <w:tcW w:w="1558" w:type="dxa"/>
            <w:vAlign w:val="center"/>
            <w:textDirection w:val="lrTb"/>
            <w:noWrap w:val="false"/>
          </w:tcPr>
          <w:p>
            <w:pPr>
              <w:jc w:val="center"/>
              <w:rPr>
                <w:color w:val="auto"/>
                <w:highlight w:val="none"/>
              </w:rPr>
            </w:pPr>
            <w:r>
              <w:rPr>
                <w:color w:val="auto"/>
                <w:highlight w:val="none"/>
              </w:rPr>
            </w:r>
            <w:r/>
          </w:p>
        </w:tc>
        <w:tc>
          <w:tcPr>
            <w:tcW w:w="1438" w:type="dxa"/>
            <w:vAlign w:val="center"/>
            <w:textDirection w:val="lrTb"/>
            <w:noWrap w:val="false"/>
          </w:tcPr>
          <w:p>
            <w:pPr>
              <w:jc w:val="center"/>
              <w:rPr>
                <w:color w:val="auto"/>
                <w:highlight w:val="none"/>
              </w:rPr>
            </w:pPr>
            <w:r>
              <w:rPr>
                <w:color w:val="auto"/>
                <w:highlight w:val="none"/>
              </w:rPr>
            </w:r>
            <w:r/>
          </w:p>
        </w:tc>
        <w:tc>
          <w:tcPr>
            <w:tcW w:w="1978" w:type="dxa"/>
            <w:vAlign w:val="center"/>
            <w:textDirection w:val="lrTb"/>
            <w:noWrap w:val="false"/>
          </w:tcPr>
          <w:p>
            <w:pPr>
              <w:jc w:val="center"/>
              <w:rPr>
                <w:color w:val="auto"/>
                <w:highlight w:val="none"/>
              </w:rPr>
            </w:pPr>
            <w:r>
              <w:rPr>
                <w:color w:val="auto"/>
                <w:highlight w:val="none"/>
              </w:rPr>
            </w:r>
            <w:r/>
          </w:p>
        </w:tc>
        <w:tc>
          <w:tcPr>
            <w:tcW w:w="1958" w:type="dxa"/>
            <w:vAlign w:val="center"/>
            <w:textDirection w:val="lrTb"/>
            <w:noWrap w:val="false"/>
          </w:tcPr>
          <w:p>
            <w:pPr>
              <w:jc w:val="center"/>
              <w:rPr>
                <w:color w:val="auto"/>
                <w:highlight w:val="none"/>
              </w:rPr>
            </w:pPr>
            <w:r>
              <w:rPr>
                <w:color w:val="auto"/>
                <w:highlight w:val="none"/>
              </w:rPr>
            </w:r>
            <w:r/>
          </w:p>
        </w:tc>
        <w:tc>
          <w:tcPr>
            <w:tcW w:w="924" w:type="dxa"/>
            <w:vAlign w:val="center"/>
            <w:textDirection w:val="lrTb"/>
            <w:noWrap w:val="false"/>
          </w:tcPr>
          <w:p>
            <w:pPr>
              <w:jc w:val="center"/>
              <w:rPr>
                <w:color w:val="auto"/>
                <w:highlight w:val="none"/>
              </w:rPr>
            </w:pPr>
            <w:r>
              <w:rPr>
                <w:color w:val="auto"/>
                <w:highlight w:val="none"/>
              </w:rPr>
            </w:r>
            <w:r/>
          </w:p>
        </w:tc>
      </w:tr>
      <w:tr>
        <w:trPr>
          <w:trHeight w:val="459"/>
        </w:trPr>
        <w:tc>
          <w:tcPr>
            <w:tcW w:w="784" w:type="dxa"/>
            <w:vAlign w:val="center"/>
            <w:textDirection w:val="lrTb"/>
            <w:noWrap w:val="false"/>
          </w:tcPr>
          <w:p>
            <w:pPr>
              <w:jc w:val="center"/>
              <w:rPr>
                <w:color w:val="auto"/>
                <w:highlight w:val="none"/>
              </w:rPr>
            </w:pPr>
            <w:r>
              <w:rPr>
                <w:color w:val="auto"/>
                <w:highlight w:val="none"/>
              </w:rPr>
            </w:r>
            <w:r/>
          </w:p>
        </w:tc>
        <w:tc>
          <w:tcPr>
            <w:tcW w:w="919" w:type="dxa"/>
            <w:vAlign w:val="center"/>
            <w:textDirection w:val="lrTb"/>
            <w:noWrap w:val="false"/>
          </w:tcPr>
          <w:p>
            <w:pPr>
              <w:jc w:val="center"/>
              <w:rPr>
                <w:color w:val="auto"/>
                <w:highlight w:val="none"/>
              </w:rPr>
            </w:pPr>
            <w:r>
              <w:rPr>
                <w:color w:val="auto"/>
                <w:highlight w:val="none"/>
              </w:rPr>
            </w:r>
            <w:r/>
          </w:p>
        </w:tc>
        <w:tc>
          <w:tcPr>
            <w:tcW w:w="1558" w:type="dxa"/>
            <w:vAlign w:val="center"/>
            <w:textDirection w:val="lrTb"/>
            <w:noWrap w:val="false"/>
          </w:tcPr>
          <w:p>
            <w:pPr>
              <w:jc w:val="center"/>
              <w:rPr>
                <w:color w:val="auto"/>
                <w:highlight w:val="none"/>
              </w:rPr>
            </w:pPr>
            <w:r>
              <w:rPr>
                <w:color w:val="auto"/>
                <w:highlight w:val="none"/>
              </w:rPr>
            </w:r>
            <w:r/>
          </w:p>
        </w:tc>
        <w:tc>
          <w:tcPr>
            <w:tcW w:w="1438" w:type="dxa"/>
            <w:vAlign w:val="center"/>
            <w:textDirection w:val="lrTb"/>
            <w:noWrap w:val="false"/>
          </w:tcPr>
          <w:p>
            <w:pPr>
              <w:jc w:val="center"/>
              <w:rPr>
                <w:color w:val="auto"/>
                <w:highlight w:val="none"/>
              </w:rPr>
            </w:pPr>
            <w:r>
              <w:rPr>
                <w:color w:val="auto"/>
                <w:highlight w:val="none"/>
              </w:rPr>
            </w:r>
            <w:r/>
          </w:p>
        </w:tc>
        <w:tc>
          <w:tcPr>
            <w:tcW w:w="1978" w:type="dxa"/>
            <w:vAlign w:val="center"/>
            <w:textDirection w:val="lrTb"/>
            <w:noWrap w:val="false"/>
          </w:tcPr>
          <w:p>
            <w:pPr>
              <w:jc w:val="center"/>
              <w:rPr>
                <w:color w:val="auto"/>
                <w:highlight w:val="none"/>
              </w:rPr>
            </w:pPr>
            <w:r>
              <w:rPr>
                <w:color w:val="auto"/>
                <w:highlight w:val="none"/>
              </w:rPr>
            </w:r>
            <w:r/>
          </w:p>
        </w:tc>
        <w:tc>
          <w:tcPr>
            <w:tcW w:w="1958" w:type="dxa"/>
            <w:vAlign w:val="center"/>
            <w:textDirection w:val="lrTb"/>
            <w:noWrap w:val="false"/>
          </w:tcPr>
          <w:p>
            <w:pPr>
              <w:jc w:val="center"/>
              <w:rPr>
                <w:color w:val="auto"/>
                <w:highlight w:val="none"/>
              </w:rPr>
            </w:pPr>
            <w:r>
              <w:rPr>
                <w:color w:val="auto"/>
                <w:highlight w:val="none"/>
              </w:rPr>
            </w:r>
            <w:r/>
          </w:p>
        </w:tc>
        <w:tc>
          <w:tcPr>
            <w:tcW w:w="924" w:type="dxa"/>
            <w:vAlign w:val="center"/>
            <w:textDirection w:val="lrTb"/>
            <w:noWrap w:val="false"/>
          </w:tcPr>
          <w:p>
            <w:pPr>
              <w:jc w:val="center"/>
              <w:rPr>
                <w:color w:val="auto"/>
                <w:highlight w:val="none"/>
              </w:rPr>
            </w:pPr>
            <w:r>
              <w:rPr>
                <w:color w:val="auto"/>
                <w:highlight w:val="none"/>
              </w:rPr>
            </w:r>
            <w:r/>
          </w:p>
        </w:tc>
      </w:tr>
      <w:tr>
        <w:trPr>
          <w:trHeight w:val="468"/>
        </w:trPr>
        <w:tc>
          <w:tcPr>
            <w:tcW w:w="784" w:type="dxa"/>
            <w:vAlign w:val="center"/>
            <w:textDirection w:val="lrTb"/>
            <w:noWrap w:val="false"/>
          </w:tcPr>
          <w:p>
            <w:pPr>
              <w:jc w:val="center"/>
              <w:rPr>
                <w:color w:val="auto"/>
                <w:highlight w:val="none"/>
              </w:rPr>
            </w:pPr>
            <w:r>
              <w:rPr>
                <w:color w:val="auto"/>
                <w:highlight w:val="none"/>
              </w:rPr>
            </w:r>
            <w:r/>
          </w:p>
        </w:tc>
        <w:tc>
          <w:tcPr>
            <w:tcW w:w="919" w:type="dxa"/>
            <w:vAlign w:val="center"/>
            <w:textDirection w:val="lrTb"/>
            <w:noWrap w:val="false"/>
          </w:tcPr>
          <w:p>
            <w:pPr>
              <w:jc w:val="center"/>
              <w:rPr>
                <w:color w:val="auto"/>
                <w:highlight w:val="none"/>
              </w:rPr>
            </w:pPr>
            <w:r>
              <w:rPr>
                <w:color w:val="auto"/>
                <w:highlight w:val="none"/>
              </w:rPr>
            </w:r>
            <w:r/>
          </w:p>
        </w:tc>
        <w:tc>
          <w:tcPr>
            <w:tcW w:w="1558" w:type="dxa"/>
            <w:vAlign w:val="center"/>
            <w:textDirection w:val="lrTb"/>
            <w:noWrap w:val="false"/>
          </w:tcPr>
          <w:p>
            <w:pPr>
              <w:jc w:val="center"/>
              <w:rPr>
                <w:color w:val="auto"/>
                <w:highlight w:val="none"/>
              </w:rPr>
            </w:pPr>
            <w:r>
              <w:rPr>
                <w:color w:val="auto"/>
                <w:highlight w:val="none"/>
              </w:rPr>
            </w:r>
            <w:r/>
          </w:p>
        </w:tc>
        <w:tc>
          <w:tcPr>
            <w:tcW w:w="1438" w:type="dxa"/>
            <w:vAlign w:val="center"/>
            <w:textDirection w:val="lrTb"/>
            <w:noWrap w:val="false"/>
          </w:tcPr>
          <w:p>
            <w:pPr>
              <w:jc w:val="center"/>
              <w:rPr>
                <w:color w:val="auto"/>
                <w:highlight w:val="none"/>
              </w:rPr>
            </w:pPr>
            <w:r>
              <w:rPr>
                <w:color w:val="auto"/>
                <w:highlight w:val="none"/>
              </w:rPr>
            </w:r>
            <w:r/>
          </w:p>
        </w:tc>
        <w:tc>
          <w:tcPr>
            <w:tcW w:w="1978" w:type="dxa"/>
            <w:vAlign w:val="center"/>
            <w:textDirection w:val="lrTb"/>
            <w:noWrap w:val="false"/>
          </w:tcPr>
          <w:p>
            <w:pPr>
              <w:jc w:val="center"/>
              <w:rPr>
                <w:color w:val="auto"/>
                <w:highlight w:val="none"/>
              </w:rPr>
            </w:pPr>
            <w:r>
              <w:rPr>
                <w:color w:val="auto"/>
                <w:highlight w:val="none"/>
              </w:rPr>
            </w:r>
            <w:r/>
          </w:p>
        </w:tc>
        <w:tc>
          <w:tcPr>
            <w:tcW w:w="1958" w:type="dxa"/>
            <w:vAlign w:val="center"/>
            <w:textDirection w:val="lrTb"/>
            <w:noWrap w:val="false"/>
          </w:tcPr>
          <w:p>
            <w:pPr>
              <w:jc w:val="center"/>
              <w:rPr>
                <w:color w:val="auto"/>
                <w:highlight w:val="none"/>
              </w:rPr>
            </w:pPr>
            <w:r>
              <w:rPr>
                <w:color w:val="auto"/>
                <w:highlight w:val="none"/>
              </w:rPr>
            </w:r>
            <w:r/>
          </w:p>
        </w:tc>
        <w:tc>
          <w:tcPr>
            <w:tcW w:w="924" w:type="dxa"/>
            <w:vAlign w:val="center"/>
            <w:textDirection w:val="lrTb"/>
            <w:noWrap w:val="false"/>
          </w:tcPr>
          <w:p>
            <w:pPr>
              <w:jc w:val="center"/>
              <w:rPr>
                <w:color w:val="auto"/>
                <w:highlight w:val="none"/>
              </w:rPr>
            </w:pPr>
            <w:r>
              <w:rPr>
                <w:color w:val="auto"/>
                <w:highlight w:val="none"/>
              </w:rPr>
            </w:r>
            <w:r/>
          </w:p>
        </w:tc>
      </w:tr>
      <w:tr>
        <w:trPr>
          <w:trHeight w:val="479"/>
        </w:trPr>
        <w:tc>
          <w:tcPr>
            <w:tcW w:w="784" w:type="dxa"/>
            <w:vAlign w:val="center"/>
            <w:textDirection w:val="lrTb"/>
            <w:noWrap w:val="false"/>
          </w:tcPr>
          <w:p>
            <w:pPr>
              <w:jc w:val="center"/>
              <w:rPr>
                <w:color w:val="auto"/>
                <w:highlight w:val="none"/>
              </w:rPr>
            </w:pPr>
            <w:r>
              <w:rPr>
                <w:color w:val="auto"/>
                <w:highlight w:val="none"/>
              </w:rPr>
            </w:r>
            <w:r/>
          </w:p>
        </w:tc>
        <w:tc>
          <w:tcPr>
            <w:tcW w:w="919" w:type="dxa"/>
            <w:vAlign w:val="center"/>
            <w:textDirection w:val="lrTb"/>
            <w:noWrap w:val="false"/>
          </w:tcPr>
          <w:p>
            <w:pPr>
              <w:jc w:val="center"/>
              <w:rPr>
                <w:color w:val="auto"/>
                <w:highlight w:val="none"/>
              </w:rPr>
            </w:pPr>
            <w:r>
              <w:rPr>
                <w:color w:val="auto"/>
                <w:highlight w:val="none"/>
              </w:rPr>
            </w:r>
            <w:r/>
          </w:p>
        </w:tc>
        <w:tc>
          <w:tcPr>
            <w:tcW w:w="1558" w:type="dxa"/>
            <w:vAlign w:val="center"/>
            <w:textDirection w:val="lrTb"/>
            <w:noWrap w:val="false"/>
          </w:tcPr>
          <w:p>
            <w:pPr>
              <w:jc w:val="center"/>
              <w:rPr>
                <w:color w:val="auto"/>
                <w:highlight w:val="none"/>
              </w:rPr>
            </w:pPr>
            <w:r>
              <w:rPr>
                <w:color w:val="auto"/>
                <w:highlight w:val="none"/>
              </w:rPr>
            </w:r>
            <w:r/>
          </w:p>
        </w:tc>
        <w:tc>
          <w:tcPr>
            <w:tcW w:w="1438" w:type="dxa"/>
            <w:vAlign w:val="center"/>
            <w:textDirection w:val="lrTb"/>
            <w:noWrap w:val="false"/>
          </w:tcPr>
          <w:p>
            <w:pPr>
              <w:jc w:val="center"/>
              <w:rPr>
                <w:color w:val="auto"/>
                <w:highlight w:val="none"/>
              </w:rPr>
            </w:pPr>
            <w:r>
              <w:rPr>
                <w:color w:val="auto"/>
                <w:highlight w:val="none"/>
              </w:rPr>
            </w:r>
            <w:r/>
          </w:p>
        </w:tc>
        <w:tc>
          <w:tcPr>
            <w:tcW w:w="1978" w:type="dxa"/>
            <w:vAlign w:val="center"/>
            <w:textDirection w:val="lrTb"/>
            <w:noWrap w:val="false"/>
          </w:tcPr>
          <w:p>
            <w:pPr>
              <w:jc w:val="center"/>
              <w:rPr>
                <w:color w:val="auto"/>
                <w:highlight w:val="none"/>
              </w:rPr>
            </w:pPr>
            <w:r>
              <w:rPr>
                <w:color w:val="auto"/>
                <w:highlight w:val="none"/>
              </w:rPr>
            </w:r>
            <w:r/>
          </w:p>
        </w:tc>
        <w:tc>
          <w:tcPr>
            <w:tcW w:w="1958" w:type="dxa"/>
            <w:vAlign w:val="center"/>
            <w:textDirection w:val="lrTb"/>
            <w:noWrap w:val="false"/>
          </w:tcPr>
          <w:p>
            <w:pPr>
              <w:jc w:val="center"/>
              <w:rPr>
                <w:color w:val="auto"/>
                <w:highlight w:val="none"/>
              </w:rPr>
            </w:pPr>
            <w:r>
              <w:rPr>
                <w:color w:val="auto"/>
                <w:highlight w:val="none"/>
              </w:rPr>
            </w:r>
            <w:r/>
          </w:p>
        </w:tc>
        <w:tc>
          <w:tcPr>
            <w:tcW w:w="924" w:type="dxa"/>
            <w:vAlign w:val="center"/>
            <w:textDirection w:val="lrTb"/>
            <w:noWrap w:val="false"/>
          </w:tcPr>
          <w:p>
            <w:pPr>
              <w:jc w:val="center"/>
              <w:rPr>
                <w:color w:val="auto"/>
                <w:highlight w:val="none"/>
              </w:rPr>
            </w:pPr>
            <w:r>
              <w:rPr>
                <w:color w:val="auto"/>
                <w:highlight w:val="none"/>
              </w:rPr>
            </w:r>
            <w:r/>
          </w:p>
        </w:tc>
      </w:tr>
      <w:tr>
        <w:trPr>
          <w:trHeight w:val="468"/>
        </w:trPr>
        <w:tc>
          <w:tcPr>
            <w:tcW w:w="784" w:type="dxa"/>
            <w:vAlign w:val="center"/>
            <w:textDirection w:val="lrTb"/>
            <w:noWrap w:val="false"/>
          </w:tcPr>
          <w:p>
            <w:pPr>
              <w:jc w:val="center"/>
              <w:rPr>
                <w:color w:val="auto"/>
                <w:highlight w:val="none"/>
              </w:rPr>
            </w:pPr>
            <w:r>
              <w:rPr>
                <w:color w:val="auto"/>
                <w:highlight w:val="none"/>
              </w:rPr>
            </w:r>
            <w:r/>
          </w:p>
        </w:tc>
        <w:tc>
          <w:tcPr>
            <w:tcW w:w="919" w:type="dxa"/>
            <w:vAlign w:val="center"/>
            <w:textDirection w:val="lrTb"/>
            <w:noWrap w:val="false"/>
          </w:tcPr>
          <w:p>
            <w:pPr>
              <w:jc w:val="center"/>
              <w:rPr>
                <w:color w:val="auto"/>
                <w:highlight w:val="none"/>
              </w:rPr>
            </w:pPr>
            <w:r>
              <w:rPr>
                <w:color w:val="auto"/>
                <w:highlight w:val="none"/>
              </w:rPr>
            </w:r>
            <w:r/>
          </w:p>
        </w:tc>
        <w:tc>
          <w:tcPr>
            <w:tcW w:w="1558" w:type="dxa"/>
            <w:vAlign w:val="center"/>
            <w:textDirection w:val="lrTb"/>
            <w:noWrap w:val="false"/>
          </w:tcPr>
          <w:p>
            <w:pPr>
              <w:jc w:val="center"/>
              <w:rPr>
                <w:color w:val="auto"/>
                <w:highlight w:val="none"/>
              </w:rPr>
            </w:pPr>
            <w:r>
              <w:rPr>
                <w:color w:val="auto"/>
                <w:highlight w:val="none"/>
              </w:rPr>
            </w:r>
            <w:r/>
          </w:p>
        </w:tc>
        <w:tc>
          <w:tcPr>
            <w:tcW w:w="1438" w:type="dxa"/>
            <w:vAlign w:val="center"/>
            <w:textDirection w:val="lrTb"/>
            <w:noWrap w:val="false"/>
          </w:tcPr>
          <w:p>
            <w:pPr>
              <w:jc w:val="center"/>
              <w:rPr>
                <w:color w:val="auto"/>
                <w:highlight w:val="none"/>
              </w:rPr>
            </w:pPr>
            <w:r>
              <w:rPr>
                <w:color w:val="auto"/>
                <w:highlight w:val="none"/>
              </w:rPr>
            </w:r>
            <w:r/>
          </w:p>
        </w:tc>
        <w:tc>
          <w:tcPr>
            <w:tcW w:w="1978" w:type="dxa"/>
            <w:vAlign w:val="center"/>
            <w:textDirection w:val="lrTb"/>
            <w:noWrap w:val="false"/>
          </w:tcPr>
          <w:p>
            <w:pPr>
              <w:jc w:val="center"/>
              <w:rPr>
                <w:color w:val="auto"/>
                <w:highlight w:val="none"/>
              </w:rPr>
            </w:pPr>
            <w:r>
              <w:rPr>
                <w:color w:val="auto"/>
                <w:highlight w:val="none"/>
              </w:rPr>
            </w:r>
            <w:r/>
          </w:p>
        </w:tc>
        <w:tc>
          <w:tcPr>
            <w:tcW w:w="1958" w:type="dxa"/>
            <w:vAlign w:val="center"/>
            <w:textDirection w:val="lrTb"/>
            <w:noWrap w:val="false"/>
          </w:tcPr>
          <w:p>
            <w:pPr>
              <w:jc w:val="center"/>
              <w:rPr>
                <w:color w:val="auto"/>
                <w:highlight w:val="none"/>
              </w:rPr>
            </w:pPr>
            <w:r>
              <w:rPr>
                <w:color w:val="auto"/>
                <w:highlight w:val="none"/>
              </w:rPr>
            </w:r>
            <w:r/>
          </w:p>
        </w:tc>
        <w:tc>
          <w:tcPr>
            <w:tcW w:w="924" w:type="dxa"/>
            <w:vAlign w:val="center"/>
            <w:textDirection w:val="lrTb"/>
            <w:noWrap w:val="false"/>
          </w:tcPr>
          <w:p>
            <w:pPr>
              <w:jc w:val="center"/>
              <w:rPr>
                <w:color w:val="auto"/>
                <w:highlight w:val="none"/>
              </w:rPr>
            </w:pPr>
            <w:r>
              <w:rPr>
                <w:color w:val="auto"/>
                <w:highlight w:val="none"/>
              </w:rPr>
            </w:r>
            <w:r/>
          </w:p>
        </w:tc>
      </w:tr>
      <w:tr>
        <w:trPr>
          <w:trHeight w:val="454"/>
        </w:trPr>
        <w:tc>
          <w:tcPr>
            <w:tcW w:w="784" w:type="dxa"/>
            <w:vAlign w:val="center"/>
            <w:textDirection w:val="lrTb"/>
            <w:noWrap w:val="false"/>
          </w:tcPr>
          <w:p>
            <w:pPr>
              <w:jc w:val="center"/>
              <w:rPr>
                <w:color w:val="auto"/>
                <w:highlight w:val="none"/>
              </w:rPr>
            </w:pPr>
            <w:r>
              <w:rPr>
                <w:color w:val="auto"/>
                <w:highlight w:val="none"/>
              </w:rPr>
            </w:r>
            <w:r/>
          </w:p>
        </w:tc>
        <w:tc>
          <w:tcPr>
            <w:tcW w:w="919" w:type="dxa"/>
            <w:vAlign w:val="center"/>
            <w:textDirection w:val="lrTb"/>
            <w:noWrap w:val="false"/>
          </w:tcPr>
          <w:p>
            <w:pPr>
              <w:jc w:val="center"/>
              <w:rPr>
                <w:color w:val="auto"/>
                <w:highlight w:val="none"/>
              </w:rPr>
            </w:pPr>
            <w:r>
              <w:rPr>
                <w:color w:val="auto"/>
                <w:highlight w:val="none"/>
              </w:rPr>
            </w:r>
            <w:r/>
          </w:p>
        </w:tc>
        <w:tc>
          <w:tcPr>
            <w:tcW w:w="1558" w:type="dxa"/>
            <w:vAlign w:val="center"/>
            <w:textDirection w:val="lrTb"/>
            <w:noWrap w:val="false"/>
          </w:tcPr>
          <w:p>
            <w:pPr>
              <w:jc w:val="center"/>
              <w:rPr>
                <w:color w:val="auto"/>
                <w:highlight w:val="none"/>
              </w:rPr>
            </w:pPr>
            <w:r>
              <w:rPr>
                <w:color w:val="auto"/>
                <w:highlight w:val="none"/>
              </w:rPr>
            </w:r>
            <w:r/>
          </w:p>
        </w:tc>
        <w:tc>
          <w:tcPr>
            <w:tcW w:w="1438" w:type="dxa"/>
            <w:vAlign w:val="center"/>
            <w:textDirection w:val="lrTb"/>
            <w:noWrap w:val="false"/>
          </w:tcPr>
          <w:p>
            <w:pPr>
              <w:jc w:val="center"/>
              <w:rPr>
                <w:color w:val="auto"/>
                <w:highlight w:val="none"/>
              </w:rPr>
            </w:pPr>
            <w:r>
              <w:rPr>
                <w:color w:val="auto"/>
                <w:highlight w:val="none"/>
              </w:rPr>
            </w:r>
            <w:r/>
          </w:p>
        </w:tc>
        <w:tc>
          <w:tcPr>
            <w:tcW w:w="1978" w:type="dxa"/>
            <w:vAlign w:val="center"/>
            <w:textDirection w:val="lrTb"/>
            <w:noWrap w:val="false"/>
          </w:tcPr>
          <w:p>
            <w:pPr>
              <w:jc w:val="center"/>
              <w:rPr>
                <w:color w:val="auto"/>
                <w:highlight w:val="none"/>
              </w:rPr>
            </w:pPr>
            <w:r>
              <w:rPr>
                <w:color w:val="auto"/>
                <w:highlight w:val="none"/>
              </w:rPr>
            </w:r>
            <w:r/>
          </w:p>
        </w:tc>
        <w:tc>
          <w:tcPr>
            <w:tcW w:w="1958" w:type="dxa"/>
            <w:vAlign w:val="center"/>
            <w:textDirection w:val="lrTb"/>
            <w:noWrap w:val="false"/>
          </w:tcPr>
          <w:p>
            <w:pPr>
              <w:jc w:val="center"/>
              <w:rPr>
                <w:color w:val="auto"/>
                <w:highlight w:val="none"/>
              </w:rPr>
            </w:pPr>
            <w:r>
              <w:rPr>
                <w:color w:val="auto"/>
                <w:highlight w:val="none"/>
              </w:rPr>
            </w:r>
            <w:r/>
          </w:p>
        </w:tc>
        <w:tc>
          <w:tcPr>
            <w:tcW w:w="924" w:type="dxa"/>
            <w:vAlign w:val="center"/>
            <w:textDirection w:val="lrTb"/>
            <w:noWrap w:val="false"/>
          </w:tcPr>
          <w:p>
            <w:pPr>
              <w:jc w:val="center"/>
              <w:rPr>
                <w:color w:val="auto"/>
                <w:highlight w:val="none"/>
              </w:rPr>
            </w:pPr>
            <w:r>
              <w:rPr>
                <w:color w:val="auto"/>
                <w:highlight w:val="none"/>
              </w:rPr>
            </w:r>
            <w:r/>
          </w:p>
        </w:tc>
      </w:tr>
    </w:tbl>
    <w:p>
      <w:pPr>
        <w:pStyle w:val="1583"/>
        <w:ind w:firstLine="0"/>
        <w:jc w:val="left"/>
        <w:rPr>
          <w:color w:val="auto"/>
          <w:sz w:val="24"/>
          <w:szCs w:val="24"/>
          <w:highlight w:val="none"/>
        </w:rPr>
      </w:pPr>
      <w:r>
        <w:rPr>
          <w:color w:val="auto"/>
          <w:sz w:val="24"/>
          <w:szCs w:val="24"/>
          <w:highlight w:val="none"/>
        </w:rPr>
        <w:t xml:space="preserve">注：1、行数不够，请自行添加。</w:t>
      </w:r>
      <w:r/>
    </w:p>
    <w:p>
      <w:pPr>
        <w:pStyle w:val="1583"/>
        <w:ind w:firstLine="0"/>
        <w:jc w:val="left"/>
        <w:rPr>
          <w:color w:val="auto"/>
          <w:sz w:val="24"/>
          <w:szCs w:val="24"/>
          <w:highlight w:val="none"/>
        </w:rPr>
      </w:pPr>
      <w:r>
        <w:rPr>
          <w:color w:val="auto"/>
          <w:sz w:val="24"/>
          <w:szCs w:val="24"/>
          <w:highlight w:val="none"/>
        </w:rPr>
        <w:t xml:space="preserve">2、列入本表人员如要更换，须经采购人同意，擅自更换属违约行为。</w:t>
      </w:r>
      <w:r/>
    </w:p>
    <w:p>
      <w:pPr>
        <w:pStyle w:val="1583"/>
        <w:ind w:firstLine="0"/>
        <w:jc w:val="left"/>
        <w:rPr>
          <w:color w:val="auto"/>
          <w:sz w:val="24"/>
          <w:szCs w:val="24"/>
          <w:highlight w:val="none"/>
        </w:rPr>
      </w:pPr>
      <w:r>
        <w:rPr>
          <w:color w:val="auto"/>
          <w:sz w:val="24"/>
          <w:szCs w:val="24"/>
          <w:highlight w:val="none"/>
        </w:rPr>
        <w:t xml:space="preserve">3、列入上表人员具有相关证书、工作经验的，应在本栏目提交相关证明材料扫描件。</w:t>
      </w:r>
      <w:r/>
    </w:p>
    <w:p>
      <w:pPr>
        <w:pStyle w:val="1583"/>
        <w:ind w:firstLine="0"/>
        <w:jc w:val="left"/>
        <w:rPr>
          <w:color w:val="auto"/>
          <w:sz w:val="24"/>
          <w:szCs w:val="24"/>
          <w:highlight w:val="none"/>
        </w:rPr>
        <w:sectPr>
          <w:footnotePr/>
          <w:endnotePr/>
          <w:type w:val="nextPage"/>
          <w:pgSz w:w="11906" w:h="16838" w:orient="portrait"/>
          <w:pgMar w:top="1440" w:right="1242" w:bottom="1440" w:left="1242" w:header="851" w:footer="992" w:gutter="0"/>
          <w:cols w:num="1" w:sep="0" w:space="425" w:equalWidth="1"/>
          <w:docGrid w:linePitch="360"/>
        </w:sectPr>
      </w:pPr>
      <w:r>
        <w:rPr>
          <w:color w:val="auto"/>
          <w:sz w:val="24"/>
          <w:szCs w:val="24"/>
          <w:highlight w:val="none"/>
        </w:rPr>
      </w:r>
      <w:r/>
    </w:p>
    <w:p>
      <w:pPr>
        <w:numPr>
          <w:ilvl w:val="0"/>
          <w:numId w:val="4"/>
        </w:numPr>
        <w:jc w:val="center"/>
        <w:rPr>
          <w:rFonts w:ascii="Times New Roman" w:hAnsi="Times New Roman" w:eastAsia="宋体" w:cs="Times New Roman"/>
          <w:color w:val="auto"/>
          <w:sz w:val="28"/>
          <w:szCs w:val="28"/>
          <w:highlight w:val="none"/>
        </w:rPr>
        <w:outlineLvl w:val="2"/>
      </w:pPr>
      <w:r/>
      <w:bookmarkStart w:id="107" w:name="_Toc10248"/>
      <w:r>
        <w:rPr>
          <w:rFonts w:hint="eastAsia" w:ascii="Times New Roman" w:hAnsi="Times New Roman" w:eastAsia="宋体" w:cs="Times New Roman"/>
          <w:color w:val="auto"/>
          <w:sz w:val="28"/>
          <w:szCs w:val="28"/>
          <w:highlight w:val="none"/>
        </w:rPr>
        <w:t xml:space="preserve">诚实守信</w:t>
      </w:r>
      <w:bookmarkEnd w:id="107"/>
      <w:r/>
      <w:r/>
    </w:p>
    <w:p>
      <w:pPr>
        <w:pStyle w:val="1583"/>
        <w:numPr>
          <w:ilvl w:val="0"/>
          <w:numId w:val="5"/>
        </w:numPr>
        <w:ind w:firstLine="0"/>
        <w:jc w:val="center"/>
        <w:rPr>
          <w:color w:val="auto"/>
          <w:sz w:val="24"/>
          <w:szCs w:val="24"/>
          <w:highlight w:val="none"/>
        </w:rPr>
      </w:pPr>
      <w:r>
        <w:rPr>
          <w:rFonts w:hint="eastAsia"/>
          <w:color w:val="auto"/>
          <w:sz w:val="24"/>
          <w:szCs w:val="24"/>
          <w:highlight w:val="none"/>
        </w:rPr>
        <w:t xml:space="preserve">诚实守信</w:t>
      </w:r>
      <w:r/>
    </w:p>
    <w:p>
      <w:pPr>
        <w:pStyle w:val="1583"/>
        <w:rPr>
          <w:color w:val="auto"/>
          <w:highlight w:val="none"/>
        </w:rPr>
      </w:pPr>
      <w:r>
        <w:rPr>
          <w:color w:val="auto"/>
          <w:highlight w:val="none"/>
        </w:rPr>
      </w:r>
      <w:r/>
    </w:p>
    <w:p>
      <w:pPr>
        <w:pStyle w:val="1583"/>
        <w:rPr>
          <w:color w:val="auto"/>
          <w:highlight w:val="none"/>
        </w:rPr>
        <w:sectPr>
          <w:footnotePr/>
          <w:endnotePr/>
          <w:type w:val="nextPage"/>
          <w:pgSz w:w="11906" w:h="16838" w:orient="portrait"/>
          <w:pgMar w:top="1440" w:right="1242" w:bottom="1440" w:left="1242" w:header="851" w:footer="992" w:gutter="0"/>
          <w:cols w:num="1" w:sep="0" w:space="425" w:equalWidth="1"/>
          <w:docGrid w:linePitch="360"/>
        </w:sectPr>
      </w:pPr>
      <w:r>
        <w:rPr>
          <w:color w:val="auto"/>
          <w:highlight w:val="none"/>
        </w:rPr>
      </w:r>
      <w:r/>
    </w:p>
    <w:p>
      <w:pPr>
        <w:numPr>
          <w:ilvl w:val="0"/>
          <w:numId w:val="4"/>
        </w:numPr>
        <w:jc w:val="center"/>
        <w:rPr>
          <w:rFonts w:ascii="Times New Roman" w:hAnsi="Times New Roman" w:eastAsia="宋体" w:cs="Times New Roman"/>
          <w:color w:val="auto"/>
          <w:sz w:val="28"/>
          <w:szCs w:val="28"/>
          <w:highlight w:val="none"/>
        </w:rPr>
        <w:outlineLvl w:val="2"/>
      </w:pPr>
      <w:r/>
      <w:bookmarkStart w:id="108" w:name="_Toc60"/>
      <w:r>
        <w:rPr>
          <w:rFonts w:hint="eastAsia" w:ascii="Times New Roman" w:hAnsi="Times New Roman" w:eastAsia="宋体" w:cs="Times New Roman"/>
          <w:color w:val="auto"/>
          <w:sz w:val="28"/>
          <w:szCs w:val="28"/>
          <w:highlight w:val="none"/>
        </w:rPr>
        <w:t xml:space="preserve">首次报价一览表</w:t>
      </w:r>
      <w:bookmarkEnd w:id="108"/>
      <w:r/>
      <w:r/>
    </w:p>
    <w:p>
      <w:pPr>
        <w:jc w:val="center"/>
        <w:rPr>
          <w:b/>
          <w:bCs/>
          <w:color w:val="auto"/>
          <w:sz w:val="28"/>
          <w:szCs w:val="28"/>
          <w:highlight w:val="none"/>
        </w:rPr>
      </w:pPr>
      <w:r>
        <w:rPr>
          <w:b/>
          <w:bCs/>
          <w:color w:val="auto"/>
          <w:sz w:val="28"/>
          <w:szCs w:val="28"/>
          <w:highlight w:val="none"/>
        </w:rPr>
        <w:t xml:space="preserve">首次报价一览表</w:t>
      </w:r>
      <w:r/>
    </w:p>
    <w:p>
      <w:pPr>
        <w:spacing w:line="346" w:lineRule="auto"/>
        <w:rPr>
          <w:rFonts w:ascii="Arial"/>
          <w:color w:val="auto"/>
          <w:highlight w:val="none"/>
        </w:rPr>
      </w:pPr>
      <w:r>
        <w:rPr>
          <w:rFonts w:ascii="Arial"/>
          <w:color w:val="auto"/>
          <w:highlight w:val="none"/>
        </w:rPr>
      </w:r>
      <w:r/>
    </w:p>
    <w:p>
      <w:pPr>
        <w:rPr>
          <w:color w:val="auto"/>
          <w:highlight w:val="none"/>
        </w:rPr>
      </w:pPr>
      <w:r>
        <w:rPr>
          <w:color w:val="auto"/>
          <w:highlight w:val="none"/>
        </w:rPr>
        <w:t xml:space="preserve">单位名称(加盖公章):</w:t>
      </w:r>
      <w:r/>
    </w:p>
    <w:tbl>
      <w:tblPr>
        <w:tblStyle w:val="1600"/>
        <w:tblW w:w="8969" w:type="dxa"/>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29"/>
        <w:gridCol w:w="4240"/>
      </w:tblGrid>
      <w:tr>
        <w:trPr>
          <w:trHeight w:val="893"/>
        </w:trPr>
        <w:tc>
          <w:tcPr>
            <w:tcW w:w="4729"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t xml:space="preserve">标题</w:t>
            </w:r>
            <w:r/>
          </w:p>
        </w:tc>
        <w:tc>
          <w:tcPr>
            <w:tcW w:w="4240"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t xml:space="preserve">内容</w:t>
            </w:r>
            <w:r/>
          </w:p>
        </w:tc>
      </w:tr>
      <w:tr>
        <w:trPr>
          <w:trHeight w:val="918"/>
        </w:trPr>
        <w:tc>
          <w:tcPr>
            <w:tcW w:w="4729"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t xml:space="preserve">单位名称</w:t>
            </w:r>
            <w:r/>
          </w:p>
        </w:tc>
        <w:tc>
          <w:tcPr>
            <w:tcW w:w="4240" w:type="dxa"/>
            <w:vAlign w:val="center"/>
            <w:textDirection w:val="lrTb"/>
            <w:noWrap w:val="false"/>
          </w:tcPr>
          <w:p>
            <w:pPr>
              <w:jc w:val="center"/>
              <w:rPr>
                <w:color w:val="auto"/>
                <w:highlight w:val="none"/>
              </w:rPr>
            </w:pPr>
            <w:r>
              <w:rPr>
                <w:color w:val="auto"/>
                <w:highlight w:val="none"/>
              </w:rPr>
            </w:r>
            <w:r/>
          </w:p>
        </w:tc>
      </w:tr>
      <w:tr>
        <w:trPr>
          <w:trHeight w:val="888"/>
        </w:trPr>
        <w:tc>
          <w:tcPr>
            <w:tcW w:w="4729"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t xml:space="preserve">服务期</w:t>
            </w:r>
            <w:r/>
          </w:p>
        </w:tc>
        <w:tc>
          <w:tcPr>
            <w:tcW w:w="4240" w:type="dxa"/>
            <w:vAlign w:val="center"/>
            <w:textDirection w:val="lrTb"/>
            <w:noWrap w:val="false"/>
          </w:tcPr>
          <w:p>
            <w:pPr>
              <w:jc w:val="center"/>
              <w:rPr>
                <w:color w:val="auto"/>
                <w:highlight w:val="none"/>
              </w:rPr>
            </w:pPr>
            <w:r>
              <w:rPr>
                <w:color w:val="auto"/>
                <w:highlight w:val="none"/>
              </w:rPr>
            </w:r>
            <w:r/>
          </w:p>
        </w:tc>
      </w:tr>
      <w:tr>
        <w:trPr>
          <w:trHeight w:val="908"/>
        </w:trPr>
        <w:tc>
          <w:tcPr>
            <w:tcW w:w="4729"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t xml:space="preserve">项目总报价大写</w:t>
            </w:r>
            <w:r/>
          </w:p>
        </w:tc>
        <w:tc>
          <w:tcPr>
            <w:tcW w:w="4240" w:type="dxa"/>
            <w:vAlign w:val="center"/>
            <w:textDirection w:val="lrTb"/>
            <w:noWrap w:val="false"/>
          </w:tcPr>
          <w:p>
            <w:pPr>
              <w:jc w:val="center"/>
              <w:rPr>
                <w:color w:val="auto"/>
                <w:highlight w:val="none"/>
              </w:rPr>
            </w:pPr>
            <w:r>
              <w:rPr>
                <w:color w:val="auto"/>
                <w:highlight w:val="none"/>
              </w:rPr>
            </w:r>
            <w:r/>
          </w:p>
        </w:tc>
      </w:tr>
      <w:tr>
        <w:trPr>
          <w:trHeight w:val="912"/>
        </w:trPr>
        <w:tc>
          <w:tcPr>
            <w:tcW w:w="4729"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t xml:space="preserve">项目总报价小写</w:t>
            </w:r>
            <w:r/>
          </w:p>
        </w:tc>
        <w:tc>
          <w:tcPr>
            <w:tcW w:w="4240"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t xml:space="preserve">元</w:t>
            </w:r>
            <w:r/>
          </w:p>
        </w:tc>
      </w:tr>
    </w:tbl>
    <w:p>
      <w:pPr>
        <w:spacing w:line="256" w:lineRule="auto"/>
        <w:rPr>
          <w:rFonts w:ascii="Arial"/>
          <w:color w:val="auto"/>
          <w:highlight w:val="none"/>
        </w:rPr>
      </w:pPr>
      <w:r>
        <w:rPr>
          <w:rFonts w:ascii="Arial"/>
          <w:color w:val="auto"/>
          <w:highlight w:val="none"/>
        </w:rPr>
      </w:r>
      <w:r/>
    </w:p>
    <w:p>
      <w:pPr>
        <w:spacing w:line="256" w:lineRule="auto"/>
        <w:rPr>
          <w:rFonts w:ascii="Arial"/>
          <w:color w:val="auto"/>
          <w:highlight w:val="none"/>
        </w:rPr>
      </w:pPr>
      <w:r>
        <w:rPr>
          <w:rFonts w:ascii="Arial"/>
          <w:color w:val="auto"/>
          <w:highlight w:val="none"/>
        </w:rPr>
      </w:r>
      <w:r/>
    </w:p>
    <w:p>
      <w:pPr>
        <w:spacing w:line="256" w:lineRule="auto"/>
        <w:rPr>
          <w:rFonts w:ascii="Arial"/>
          <w:color w:val="auto"/>
          <w:highlight w:val="none"/>
        </w:rPr>
      </w:pPr>
      <w:r>
        <w:rPr>
          <w:rFonts w:ascii="Arial"/>
          <w:color w:val="auto"/>
          <w:highlight w:val="none"/>
        </w:rPr>
      </w:r>
      <w:r/>
    </w:p>
    <w:p>
      <w:pPr>
        <w:spacing w:line="256" w:lineRule="auto"/>
        <w:rPr>
          <w:rFonts w:ascii="Arial"/>
          <w:color w:val="auto"/>
          <w:highlight w:val="none"/>
        </w:rPr>
      </w:pPr>
      <w:r>
        <w:rPr>
          <w:rFonts w:ascii="Arial"/>
          <w:color w:val="auto"/>
          <w:highlight w:val="none"/>
        </w:rPr>
      </w:r>
      <w:r/>
    </w:p>
    <w:p>
      <w:pPr>
        <w:jc w:val="right"/>
        <w:spacing w:line="360" w:lineRule="auto"/>
        <w:rPr>
          <w:color w:val="auto"/>
          <w:sz w:val="28"/>
          <w:szCs w:val="28"/>
          <w:highlight w:val="none"/>
        </w:rPr>
      </w:pPr>
      <w:r>
        <w:rPr>
          <w:color w:val="auto"/>
          <w:sz w:val="28"/>
          <w:szCs w:val="28"/>
          <w:highlight w:val="none"/>
        </w:rPr>
      </w:r>
      <w:r/>
    </w:p>
    <w:p>
      <w:pPr>
        <w:jc w:val="right"/>
        <w:spacing w:line="360" w:lineRule="auto"/>
        <w:rPr>
          <w:color w:val="auto"/>
          <w:sz w:val="28"/>
          <w:szCs w:val="28"/>
          <w:highlight w:val="none"/>
        </w:rPr>
      </w:pPr>
      <w:r>
        <w:rPr>
          <w:color w:val="auto"/>
          <w:sz w:val="28"/>
          <w:szCs w:val="28"/>
          <w:highlight w:val="none"/>
        </w:rPr>
      </w:r>
      <w:r/>
    </w:p>
    <w:p>
      <w:pPr>
        <w:jc w:val="right"/>
        <w:spacing w:line="360" w:lineRule="auto"/>
        <w:rPr>
          <w:color w:val="auto"/>
          <w:sz w:val="28"/>
          <w:szCs w:val="28"/>
          <w:highlight w:val="none"/>
        </w:rPr>
      </w:pPr>
      <w:r>
        <w:rPr>
          <w:color w:val="auto"/>
          <w:sz w:val="28"/>
          <w:szCs w:val="28"/>
          <w:highlight w:val="none"/>
        </w:rPr>
      </w:r>
      <w:r/>
    </w:p>
    <w:p>
      <w:pPr>
        <w:jc w:val="center"/>
        <w:spacing w:line="360" w:lineRule="auto"/>
        <w:rPr>
          <w:color w:val="auto"/>
          <w:sz w:val="28"/>
          <w:szCs w:val="28"/>
          <w:highlight w:val="none"/>
        </w:rPr>
      </w:pPr>
      <w:r>
        <w:rPr>
          <w:color w:val="auto"/>
          <w:sz w:val="28"/>
          <w:szCs w:val="28"/>
          <w:highlight w:val="none"/>
        </w:rPr>
        <w:t xml:space="preserve">法定代表人签章：</w:t>
      </w:r>
      <w:r/>
    </w:p>
    <w:p>
      <w:pPr>
        <w:jc w:val="center"/>
        <w:spacing w:line="360" w:lineRule="auto"/>
        <w:rPr>
          <w:color w:val="auto"/>
          <w:sz w:val="28"/>
          <w:szCs w:val="28"/>
          <w:highlight w:val="none"/>
        </w:rPr>
      </w:pPr>
      <w:r>
        <w:rPr>
          <w:color w:val="auto"/>
          <w:sz w:val="28"/>
          <w:szCs w:val="28"/>
          <w:highlight w:val="none"/>
        </w:rPr>
        <w:t xml:space="preserve">日期：</w:t>
      </w:r>
      <w:r/>
    </w:p>
    <w:p>
      <w:pPr>
        <w:jc w:val="right"/>
        <w:spacing w:line="360" w:lineRule="auto"/>
        <w:rPr>
          <w:color w:val="auto"/>
          <w:sz w:val="28"/>
          <w:szCs w:val="28"/>
          <w:highlight w:val="none"/>
        </w:rPr>
        <w:sectPr>
          <w:headerReference w:type="default" r:id="rId18"/>
          <w:footerReference w:type="default" r:id="rId37"/>
          <w:footnotePr/>
          <w:endnotePr/>
          <w:type w:val="nextPage"/>
          <w:pgSz w:w="11900" w:h="16840" w:orient="portrait"/>
          <w:pgMar w:top="400" w:right="1239" w:bottom="1391" w:left="1190" w:header="0" w:footer="1262" w:gutter="0"/>
          <w:cols w:num="1" w:sep="0" w:space="720" w:equalWidth="1"/>
          <w:docGrid w:linePitch="360"/>
        </w:sectPr>
      </w:pPr>
      <w:r>
        <w:rPr>
          <w:color w:val="auto"/>
          <w:sz w:val="28"/>
          <w:szCs w:val="28"/>
          <w:highlight w:val="none"/>
        </w:rPr>
      </w:r>
      <w:r/>
    </w:p>
    <w:p>
      <w:pPr>
        <w:pStyle w:val="1578"/>
        <w:ind w:left="0" w:right="0" w:firstLine="0"/>
        <w:jc w:val="center"/>
        <w:spacing w:before="100" w:after="0" w:line="85" w:lineRule="atLeast"/>
        <w:tabs>
          <w:tab w:val="left" w:pos="7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清单及明细报价表</w:t>
      </w:r>
      <w:r>
        <w:rPr>
          <w:rFonts w:ascii="SimSun" w:hAnsi="SimSun" w:eastAsia="SimSun" w:cs="SimSun"/>
          <w:b/>
          <w:i/>
          <w:color w:val="0070c0"/>
          <w:sz w:val="32"/>
        </w:rPr>
        <w:t xml:space="preserve">（可编辑）</w:t>
      </w:r>
      <w:r/>
    </w:p>
    <w:tbl>
      <w:tblPr>
        <w:tblStyle w:val="15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7"/>
        <w:gridCol w:w="1474"/>
        <w:gridCol w:w="1143"/>
        <w:gridCol w:w="378"/>
        <w:gridCol w:w="1606"/>
        <w:gridCol w:w="1490"/>
        <w:gridCol w:w="2047"/>
      </w:tblGrid>
      <w:tr>
        <w:trPr>
          <w:trHeight w:val="665"/>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4472c4"/>
                <w:sz w:val="24"/>
              </w:rPr>
              <w:t xml:space="preserve">一、服务部分</w:t>
            </w:r>
            <w:r/>
          </w:p>
        </w:tc>
      </w:tr>
      <w:tr>
        <w:trPr>
          <w:trHeight w:val="11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4472c4"/>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4472c4"/>
                <w:sz w:val="24"/>
              </w:rPr>
              <w:t xml:space="preserve">标的名称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4472c4"/>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4472c4"/>
                <w:sz w:val="24"/>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4472c4"/>
                <w:sz w:val="24"/>
              </w:rPr>
              <w:t xml:space="preserve">价格（元）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4472c4"/>
                <w:sz w:val="24"/>
              </w:rPr>
              <w:t xml:space="preserve">备注</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472c4"/>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4472c4"/>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4472c4"/>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6"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4472c4"/>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4472c4"/>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top"/>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4472c4"/>
                <w:sz w:val="24"/>
                <w:highlight w:val="none"/>
              </w:rPr>
              <w:t xml:space="preserve"> </w:t>
            </w:r>
            <w:r>
              <w:rPr>
                <w:highlight w:val="none"/>
              </w:rPr>
            </w:r>
            <w:r/>
          </w:p>
        </w:tc>
      </w:tr>
      <w:tr>
        <w:trPr>
          <w:trHeight w:val="665"/>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4472c4"/>
                <w:sz w:val="24"/>
              </w:rPr>
              <w:t xml:space="preserve">服务部分小计：     元</w:t>
            </w:r>
            <w:r/>
          </w:p>
        </w:tc>
      </w:tr>
      <w:tr>
        <w:trPr>
          <w:trHeight w:val="57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4472c4"/>
                <w:sz w:val="24"/>
              </w:rPr>
              <w:t xml:space="preserve">其它与项目有关的费用</w:t>
            </w:r>
            <w:r>
              <w:rPr>
                <w:rFonts w:ascii="SimSun" w:hAnsi="SimSun" w:eastAsia="SimSun" w:cs="SimSun"/>
                <w:b/>
                <w:i/>
                <w:color w:val="4472c4"/>
                <w:sz w:val="24"/>
              </w:rPr>
              <w:t xml:space="preserve">（可编辑）</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4472c4"/>
                <w:sz w:val="24"/>
              </w:rPr>
              <w:t xml:space="preserve">元</w:t>
            </w:r>
            <w:r/>
          </w:p>
        </w:tc>
      </w:tr>
      <w:tr>
        <w:trPr>
          <w:trHeight w:val="59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4472c4"/>
                <w:sz w:val="24"/>
              </w:rPr>
              <w:t xml:space="preserve">项目总报价</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4472c4"/>
                <w:sz w:val="24"/>
              </w:rPr>
              <w:t xml:space="preserve">元</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w:t>
      </w:r>
      <w:r>
        <w:rPr>
          <w:rFonts w:ascii="SimSun" w:hAnsi="SimSun" w:eastAsia="SimSun" w:cs="SimSun"/>
          <w:b/>
          <w:color w:val="000000"/>
          <w:sz w:val="24"/>
          <w:u w:val="single"/>
        </w:rPr>
        <w:t xml:space="preserve">投标人应当按照招标文件采购需求及相关报价要求填写</w:t>
      </w:r>
      <w:r>
        <w:rPr>
          <w:rFonts w:ascii="SimSun" w:hAnsi="SimSun" w:eastAsia="SimSun" w:cs="SimSun"/>
          <w:color w:val="000000"/>
          <w:sz w:val="24"/>
          <w:u w:val="single"/>
        </w:rPr>
        <w:t xml:space="preserve">。</w:t>
      </w:r>
      <w:r/>
    </w:p>
    <w:p>
      <w:pPr>
        <w:ind w:left="-283"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本表中项目总报价应与开标一览表中项目总报价保持一致。</w:t>
      </w:r>
      <w:r/>
    </w:p>
    <w:p>
      <w:pPr>
        <w:ind w:left="-283"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single"/>
        </w:rPr>
        <w:t xml:space="preserve">报价保留至小数点后两位，四舍五入。</w:t>
      </w:r>
      <w:r/>
    </w:p>
    <w:p>
      <w:pPr>
        <w:ind w:left="-283"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single"/>
        </w:rPr>
        <w:t xml:space="preserve">标的物报价不得为零，否则投标无效。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1578"/>
        <w:numPr>
          <w:ilvl w:val="0"/>
          <w:numId w:val="0"/>
        </w:numPr>
        <w:jc w:val="center"/>
        <w:spacing w:line="360" w:lineRule="auto"/>
        <w:rPr>
          <w:color w:val="auto"/>
          <w:highlight w:val="none"/>
        </w:rPr>
      </w:pPr>
      <w:r/>
      <w:bookmarkStart w:id="109" w:name="_Toc22008"/>
      <w:r>
        <w:rPr>
          <w:rFonts w:hint="eastAsia" w:ascii="Arial" w:hAnsi="Arial" w:eastAsia="黑体" w:cstheme="minorBidi"/>
          <w:b/>
          <w:color w:val="auto"/>
          <w:sz w:val="32"/>
          <w:szCs w:val="24"/>
          <w:highlight w:val="none"/>
          <w:lang w:val="en-US" w:eastAsia="zh-CN" w:bidi="ar-SA"/>
        </w:rPr>
        <w:t xml:space="preserve">四、</w:t>
      </w:r>
      <w:r>
        <w:rPr>
          <w:rFonts w:hint="eastAsia"/>
          <w:color w:val="auto"/>
          <w:highlight w:val="none"/>
        </w:rPr>
        <w:t xml:space="preserve">其它部分</w:t>
      </w:r>
      <w:bookmarkEnd w:id="109"/>
      <w:r/>
      <w:r/>
    </w:p>
    <w:p>
      <w:pPr>
        <w:pStyle w:val="1583"/>
        <w:rPr>
          <w:color w:val="auto"/>
          <w:highlight w:val="none"/>
        </w:rPr>
        <w:sectPr>
          <w:footnotePr/>
          <w:endnotePr/>
          <w:type w:val="nextPage"/>
          <w:pgSz w:w="11906" w:h="16838" w:orient="portrait"/>
          <w:pgMar w:top="1440" w:right="1242" w:bottom="1440" w:left="1242" w:header="851" w:footer="992" w:gutter="0"/>
          <w:cols w:num="1" w:sep="0" w:space="425" w:equalWidth="1"/>
          <w:docGrid w:linePitch="360"/>
        </w:sectPr>
      </w:pPr>
      <w:r>
        <w:rPr>
          <w:color w:val="auto"/>
          <w:highlight w:val="none"/>
        </w:rPr>
      </w:r>
      <w:r/>
    </w:p>
    <w:p>
      <w:pPr>
        <w:jc w:val="center"/>
        <w:rPr>
          <w:rFonts w:ascii="Times New Roman" w:hAnsi="Times New Roman" w:eastAsia="宋体" w:cs="Times New Roman"/>
          <w:color w:val="auto"/>
          <w:sz w:val="28"/>
          <w:szCs w:val="28"/>
          <w:highlight w:val="none"/>
        </w:rPr>
        <w:outlineLvl w:val="2"/>
      </w:pPr>
      <w:r/>
      <w:bookmarkStart w:id="110" w:name="_Toc8561"/>
      <w:r>
        <w:rPr>
          <w:rFonts w:hint="eastAsia" w:ascii="Times New Roman" w:hAnsi="Times New Roman" w:eastAsia="宋体" w:cs="Times New Roman"/>
          <w:color w:val="auto"/>
          <w:sz w:val="28"/>
          <w:szCs w:val="28"/>
          <w:highlight w:val="none"/>
        </w:rPr>
        <w:t xml:space="preserve">(一)中小企业声明函</w:t>
      </w:r>
      <w:bookmarkEnd w:id="110"/>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,从业人员人，营业收入为万元，资产总额为万元，属于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,从业人员人，营业收入为万元，资产总额为万元，属于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注：从业人员、营业收入、资产总额填报上一年度数据，无上一年度数据的新成立企业可不填报。</w:t>
      </w:r>
      <w:r/>
    </w:p>
    <w:p>
      <w:pPr>
        <w:rPr>
          <w:color w:val="auto"/>
          <w:highlight w:val="none"/>
        </w:rPr>
        <w:sectPr>
          <w:headerReference w:type="default" r:id="rId19"/>
          <w:footerReference w:type="default" r:id="rId38"/>
          <w:footnotePr/>
          <w:endnotePr/>
          <w:type w:val="nextPage"/>
          <w:pgSz w:w="11900" w:h="16840" w:orient="portrait"/>
          <w:pgMar w:top="1129" w:right="1210" w:bottom="1391" w:left="1190" w:header="1120" w:footer="1262" w:gutter="0"/>
          <w:cols w:num="1" w:sep="0" w:space="720" w:equalWidth="1"/>
          <w:docGrid w:linePitch="360"/>
        </w:sectPr>
      </w:pPr>
      <w:r>
        <w:rPr>
          <w:color w:val="auto"/>
          <w:highlight w:val="none"/>
        </w:rPr>
      </w:r>
      <w:r/>
    </w:p>
    <w:p>
      <w:pPr>
        <w:jc w:val="center"/>
        <w:rPr>
          <w:rFonts w:ascii="Times New Roman" w:hAnsi="Times New Roman" w:eastAsia="宋体" w:cs="Times New Roman"/>
          <w:color w:val="auto"/>
          <w:sz w:val="28"/>
          <w:szCs w:val="28"/>
          <w:highlight w:val="none"/>
        </w:rPr>
        <w:outlineLvl w:val="2"/>
      </w:pPr>
      <w:r/>
      <w:bookmarkStart w:id="111" w:name="_bookmark90"/>
      <w:r/>
      <w:bookmarkEnd w:id="111"/>
      <w:r/>
      <w:bookmarkStart w:id="112" w:name="_Toc25068"/>
      <w:r>
        <w:rPr>
          <w:rFonts w:hint="eastAsia" w:ascii="Times New Roman" w:hAnsi="Times New Roman" w:eastAsia="宋体" w:cs="Times New Roman"/>
          <w:color w:val="auto"/>
          <w:sz w:val="28"/>
          <w:szCs w:val="28"/>
          <w:highlight w:val="none"/>
        </w:rPr>
        <w:t xml:space="preserve">(二)按磋商文件要求供应商所能提供的其他文件</w:t>
      </w:r>
      <w:bookmarkEnd w:id="112"/>
      <w:r/>
      <w:r/>
    </w:p>
    <w:p>
      <w:pPr>
        <w:pStyle w:val="1583"/>
        <w:rPr>
          <w:color w:val="auto"/>
          <w:highlight w:val="none"/>
        </w:rPr>
      </w:pPr>
      <w:r>
        <w:rPr>
          <w:color w:val="auto"/>
          <w:highlight w:val="none"/>
        </w:rPr>
      </w:r>
      <w:r/>
    </w:p>
    <w:sectPr>
      <w:headerReference w:type="default" r:id="rId20"/>
      <w:footerReference w:type="default" r:id="rId39"/>
      <w:footnotePr/>
      <w:endnotePr/>
      <w:type w:val="nextPage"/>
      <w:pgSz w:w="11900" w:h="16840" w:orient="portrait"/>
      <w:pgMar w:top="1129" w:right="1239" w:bottom="1391" w:left="1190" w:header="1120" w:footer="126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楷体">
    <w:panose1 w:val="02010609060101010101"/>
  </w:font>
  <w:font w:name="Symbol">
    <w:panose1 w:val="05050102010706020507"/>
  </w:font>
  <w:font w:name="Wingdings">
    <w:panose1 w:val="05000000000000000000"/>
  </w:font>
  <w:font w:name="Courier New">
    <w:panose1 w:val="02070309020205020404"/>
  </w:font>
  <w:font w:name="Mongolian Baiti">
    <w:panose1 w:val="03000500000000000000"/>
  </w:font>
  <w:font w:name="Adobe 仿宋 Std R">
    <w:panose1 w:val="020B0503020202020204"/>
  </w:font>
  <w:font w:name="Calibri">
    <w:panose1 w:val="020F0502020204030204"/>
  </w:font>
  <w:font w:name="微软雅黑">
    <w:panose1 w:val="020B0503020204020204"/>
  </w:font>
  <w:font w:name="楷体_GB2312">
    <w:panose1 w:val="020106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589"/>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89"/>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1"/>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58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22</w:t>
                          </w:r>
                          <w:r>
                            <w:fldChar w:fldCharType="end"/>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58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1"/>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58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23</w:t>
                          </w:r>
                          <w:r>
                            <w:fldChar w:fldCharType="end"/>
                          </w:r>
                          <w:r/>
                        </w:p>
                      </w:txbxContent>
                    </wps:txbx>
                    <wps:bodyPr vert="horz" wrap="none" lIns="0" tIns="0" rIns="0" bIns="0" anchor="t" anchorCtr="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58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1"/>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58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24</w:t>
                          </w:r>
                          <w:r>
                            <w:fldChar w:fldCharType="end"/>
                          </w:r>
                          <w:r/>
                        </w:p>
                      </w:txbxContent>
                    </wps:txbx>
                    <wps:bodyPr vert="horz" wrap="none" lIns="0" tIns="0" rIns="0" bIns="0" anchor="t" anchorCtr="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58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3"/>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58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25</w:t>
                          </w:r>
                          <w:r>
                            <w:fldChar w:fldCharType="end"/>
                          </w:r>
                          <w:r/>
                        </w:p>
                      </w:txbxContent>
                    </wps:txbx>
                    <wps:bodyPr vert="horz" wrap="none" lIns="0" tIns="0" rIns="0" bIns="0" anchor="t" anchorCtr="0" upright="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58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0"/>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58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28</w:t>
                          </w:r>
                          <w:r>
                            <w:fldChar w:fldCharType="end"/>
                          </w:r>
                          <w:r/>
                        </w:p>
                      </w:txbxContent>
                    </wps:txbx>
                    <wps:bodyPr vert="horz" wrap="none" lIns="0" tIns="0" rIns="0" bIns="0" anchor="t" anchorCtr="0" upright="1">
                      <a:spAutoFit/>
                    </wps:bodyPr>
                  </wps:wsp>
                </a:graphicData>
              </a:graphic>
            </wp:anchor>
          </w:drawing>
        </mc:Choice>
        <mc:Fallback>
          <w:pict>
            <v:shape id="shape 5" o:spid="_x0000_s5"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58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589"/>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89"/>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589"/>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89"/>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589"/>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89"/>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589"/>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89"/>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589"/>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89"/>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9"/>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589"/>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89"/>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9"/>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589"/>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89"/>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9"/>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589"/>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89"/>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9"/>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589"/>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89"/>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9"/>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589"/>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89"/>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9"/>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589"/>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89"/>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9"/>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589"/>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7" o:spid="_x0000_s17"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89"/>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9"/>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589"/>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8" o:spid="_x0000_s18"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589"/>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0"/>
      <w:tabs>
        <w:tab w:val="clear" w:pos="4153" w:leader="none"/>
        <w:tab w:val="center" w:pos="7143" w:leader="none"/>
        <w:tab w:val="clear" w:pos="8306"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0"/>
      <w:tabs>
        <w:tab w:val="clear" w:pos="4153" w:leader="none"/>
        <w:tab w:val="center" w:pos="7143" w:leader="none"/>
        <w:tab w:val="clear" w:pos="8306" w:leader="none"/>
        <w:tab w:val="right"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0"/>
      <w:tabs>
        <w:tab w:val="clear" w:pos="4153" w:leader="none"/>
        <w:tab w:val="center" w:pos="7143" w:leader="none"/>
        <w:tab w:val="clear" w:pos="8306" w:leader="none"/>
        <w:tab w:val="right" w:pos="14287"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0"/>
      <w:tabs>
        <w:tab w:val="clear" w:pos="4153" w:leader="none"/>
        <w:tab w:val="center" w:pos="7143" w:leader="none"/>
        <w:tab w:val="clear" w:pos="8306" w:leader="none"/>
        <w:tab w:val="right" w:pos="14287"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0"/>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410">
    <w:name w:val="Heading 1 Char"/>
    <w:basedOn w:val="1581"/>
    <w:link w:val="1614"/>
    <w:uiPriority w:val="9"/>
    <w:rPr>
      <w:rFonts w:ascii="Arial" w:hAnsi="Arial" w:eastAsia="Arial" w:cs="Arial"/>
      <w:sz w:val="40"/>
      <w:szCs w:val="40"/>
    </w:rPr>
  </w:style>
  <w:style w:type="character" w:styleId="1411">
    <w:name w:val="Heading 2 Char"/>
    <w:basedOn w:val="1581"/>
    <w:link w:val="1578"/>
    <w:uiPriority w:val="9"/>
    <w:rPr>
      <w:rFonts w:ascii="Arial" w:hAnsi="Arial" w:eastAsia="Arial" w:cs="Arial"/>
      <w:sz w:val="34"/>
    </w:rPr>
  </w:style>
  <w:style w:type="character" w:styleId="1412">
    <w:name w:val="Heading 3 Char"/>
    <w:basedOn w:val="1581"/>
    <w:link w:val="1599"/>
    <w:uiPriority w:val="9"/>
    <w:rPr>
      <w:rFonts w:ascii="Arial" w:hAnsi="Arial" w:eastAsia="Arial" w:cs="Arial"/>
      <w:sz w:val="30"/>
      <w:szCs w:val="30"/>
    </w:rPr>
  </w:style>
  <w:style w:type="character" w:styleId="1413">
    <w:name w:val="Heading 4 Char"/>
    <w:basedOn w:val="1581"/>
    <w:link w:val="1580"/>
    <w:uiPriority w:val="9"/>
    <w:rPr>
      <w:rFonts w:ascii="Arial" w:hAnsi="Arial" w:eastAsia="Arial" w:cs="Arial"/>
      <w:b/>
      <w:bCs/>
      <w:sz w:val="26"/>
      <w:szCs w:val="26"/>
    </w:rPr>
  </w:style>
  <w:style w:type="paragraph" w:styleId="1414">
    <w:name w:val="Heading 5"/>
    <w:basedOn w:val="1576"/>
    <w:next w:val="1576"/>
    <w:link w:val="1415"/>
    <w:uiPriority w:val="9"/>
    <w:unhideWhenUsed/>
    <w:qFormat/>
    <w:pPr>
      <w:keepLines/>
      <w:keepNext/>
      <w:spacing w:before="320" w:after="200"/>
      <w:outlineLvl w:val="4"/>
    </w:pPr>
    <w:rPr>
      <w:rFonts w:ascii="Arial" w:hAnsi="Arial" w:eastAsia="Arial" w:cs="Arial"/>
      <w:b/>
      <w:bCs/>
      <w:sz w:val="24"/>
      <w:szCs w:val="24"/>
    </w:rPr>
  </w:style>
  <w:style w:type="character" w:styleId="1415">
    <w:name w:val="Heading 5 Char"/>
    <w:basedOn w:val="1581"/>
    <w:link w:val="1414"/>
    <w:uiPriority w:val="9"/>
    <w:rPr>
      <w:rFonts w:ascii="Arial" w:hAnsi="Arial" w:eastAsia="Arial" w:cs="Arial"/>
      <w:b/>
      <w:bCs/>
      <w:sz w:val="24"/>
      <w:szCs w:val="24"/>
    </w:rPr>
  </w:style>
  <w:style w:type="paragraph" w:styleId="1416">
    <w:name w:val="Heading 6"/>
    <w:basedOn w:val="1576"/>
    <w:next w:val="1576"/>
    <w:link w:val="1417"/>
    <w:uiPriority w:val="9"/>
    <w:unhideWhenUsed/>
    <w:qFormat/>
    <w:pPr>
      <w:keepLines/>
      <w:keepNext/>
      <w:spacing w:before="320" w:after="200"/>
      <w:outlineLvl w:val="5"/>
    </w:pPr>
    <w:rPr>
      <w:rFonts w:ascii="Arial" w:hAnsi="Arial" w:eastAsia="Arial" w:cs="Arial"/>
      <w:b/>
      <w:bCs/>
      <w:sz w:val="22"/>
      <w:szCs w:val="22"/>
    </w:rPr>
  </w:style>
  <w:style w:type="character" w:styleId="1417">
    <w:name w:val="Heading 6 Char"/>
    <w:basedOn w:val="1581"/>
    <w:link w:val="1416"/>
    <w:uiPriority w:val="9"/>
    <w:rPr>
      <w:rFonts w:ascii="Arial" w:hAnsi="Arial" w:eastAsia="Arial" w:cs="Arial"/>
      <w:b/>
      <w:bCs/>
      <w:sz w:val="22"/>
      <w:szCs w:val="22"/>
    </w:rPr>
  </w:style>
  <w:style w:type="paragraph" w:styleId="1418">
    <w:name w:val="Heading 7"/>
    <w:basedOn w:val="1576"/>
    <w:next w:val="1576"/>
    <w:link w:val="1419"/>
    <w:uiPriority w:val="9"/>
    <w:unhideWhenUsed/>
    <w:qFormat/>
    <w:pPr>
      <w:keepLines/>
      <w:keepNext/>
      <w:spacing w:before="320" w:after="200"/>
      <w:outlineLvl w:val="6"/>
    </w:pPr>
    <w:rPr>
      <w:rFonts w:ascii="Arial" w:hAnsi="Arial" w:eastAsia="Arial" w:cs="Arial"/>
      <w:b/>
      <w:bCs/>
      <w:i/>
      <w:iCs/>
      <w:sz w:val="22"/>
      <w:szCs w:val="22"/>
    </w:rPr>
  </w:style>
  <w:style w:type="character" w:styleId="1419">
    <w:name w:val="Heading 7 Char"/>
    <w:basedOn w:val="1581"/>
    <w:link w:val="1418"/>
    <w:uiPriority w:val="9"/>
    <w:rPr>
      <w:rFonts w:ascii="Arial" w:hAnsi="Arial" w:eastAsia="Arial" w:cs="Arial"/>
      <w:b/>
      <w:bCs/>
      <w:i/>
      <w:iCs/>
      <w:sz w:val="22"/>
      <w:szCs w:val="22"/>
    </w:rPr>
  </w:style>
  <w:style w:type="paragraph" w:styleId="1420">
    <w:name w:val="Heading 8"/>
    <w:basedOn w:val="1576"/>
    <w:next w:val="1576"/>
    <w:link w:val="1421"/>
    <w:uiPriority w:val="9"/>
    <w:unhideWhenUsed/>
    <w:qFormat/>
    <w:pPr>
      <w:keepLines/>
      <w:keepNext/>
      <w:spacing w:before="320" w:after="200"/>
      <w:outlineLvl w:val="7"/>
    </w:pPr>
    <w:rPr>
      <w:rFonts w:ascii="Arial" w:hAnsi="Arial" w:eastAsia="Arial" w:cs="Arial"/>
      <w:i/>
      <w:iCs/>
      <w:sz w:val="22"/>
      <w:szCs w:val="22"/>
    </w:rPr>
  </w:style>
  <w:style w:type="character" w:styleId="1421">
    <w:name w:val="Heading 8 Char"/>
    <w:basedOn w:val="1581"/>
    <w:link w:val="1420"/>
    <w:uiPriority w:val="9"/>
    <w:rPr>
      <w:rFonts w:ascii="Arial" w:hAnsi="Arial" w:eastAsia="Arial" w:cs="Arial"/>
      <w:i/>
      <w:iCs/>
      <w:sz w:val="22"/>
      <w:szCs w:val="22"/>
    </w:rPr>
  </w:style>
  <w:style w:type="paragraph" w:styleId="1422">
    <w:name w:val="Heading 9"/>
    <w:basedOn w:val="1576"/>
    <w:next w:val="1576"/>
    <w:link w:val="1423"/>
    <w:uiPriority w:val="9"/>
    <w:unhideWhenUsed/>
    <w:qFormat/>
    <w:pPr>
      <w:keepLines/>
      <w:keepNext/>
      <w:spacing w:before="320" w:after="200"/>
      <w:outlineLvl w:val="8"/>
    </w:pPr>
    <w:rPr>
      <w:rFonts w:ascii="Arial" w:hAnsi="Arial" w:eastAsia="Arial" w:cs="Arial"/>
      <w:i/>
      <w:iCs/>
      <w:sz w:val="21"/>
      <w:szCs w:val="21"/>
    </w:rPr>
  </w:style>
  <w:style w:type="character" w:styleId="1423">
    <w:name w:val="Heading 9 Char"/>
    <w:basedOn w:val="1581"/>
    <w:link w:val="1422"/>
    <w:uiPriority w:val="9"/>
    <w:rPr>
      <w:rFonts w:ascii="Arial" w:hAnsi="Arial" w:eastAsia="Arial" w:cs="Arial"/>
      <w:i/>
      <w:iCs/>
      <w:sz w:val="21"/>
      <w:szCs w:val="21"/>
    </w:rPr>
  </w:style>
  <w:style w:type="paragraph" w:styleId="1424">
    <w:name w:val="No Spacing"/>
    <w:uiPriority w:val="1"/>
    <w:qFormat/>
    <w:pPr>
      <w:spacing w:before="0" w:after="0" w:line="240" w:lineRule="auto"/>
    </w:pPr>
  </w:style>
  <w:style w:type="paragraph" w:styleId="1425">
    <w:name w:val="Title"/>
    <w:basedOn w:val="1576"/>
    <w:next w:val="1576"/>
    <w:link w:val="1426"/>
    <w:uiPriority w:val="10"/>
    <w:qFormat/>
    <w:pPr>
      <w:contextualSpacing/>
      <w:spacing w:before="300" w:after="200"/>
    </w:pPr>
    <w:rPr>
      <w:sz w:val="48"/>
      <w:szCs w:val="48"/>
    </w:rPr>
  </w:style>
  <w:style w:type="character" w:styleId="1426">
    <w:name w:val="Title Char"/>
    <w:basedOn w:val="1581"/>
    <w:link w:val="1425"/>
    <w:uiPriority w:val="10"/>
    <w:rPr>
      <w:sz w:val="48"/>
      <w:szCs w:val="48"/>
    </w:rPr>
  </w:style>
  <w:style w:type="paragraph" w:styleId="1427">
    <w:name w:val="Subtitle"/>
    <w:basedOn w:val="1576"/>
    <w:next w:val="1576"/>
    <w:link w:val="1428"/>
    <w:uiPriority w:val="11"/>
    <w:qFormat/>
    <w:pPr>
      <w:spacing w:before="200" w:after="200"/>
    </w:pPr>
    <w:rPr>
      <w:sz w:val="24"/>
      <w:szCs w:val="24"/>
    </w:rPr>
  </w:style>
  <w:style w:type="character" w:styleId="1428">
    <w:name w:val="Subtitle Char"/>
    <w:basedOn w:val="1581"/>
    <w:link w:val="1427"/>
    <w:uiPriority w:val="11"/>
    <w:rPr>
      <w:sz w:val="24"/>
      <w:szCs w:val="24"/>
    </w:rPr>
  </w:style>
  <w:style w:type="paragraph" w:styleId="1429">
    <w:name w:val="Quote"/>
    <w:basedOn w:val="1576"/>
    <w:next w:val="1576"/>
    <w:link w:val="1430"/>
    <w:uiPriority w:val="29"/>
    <w:qFormat/>
    <w:pPr>
      <w:ind w:left="720" w:right="720"/>
    </w:pPr>
    <w:rPr>
      <w:i/>
    </w:rPr>
  </w:style>
  <w:style w:type="character" w:styleId="1430">
    <w:name w:val="Quote Char"/>
    <w:link w:val="1429"/>
    <w:uiPriority w:val="29"/>
    <w:rPr>
      <w:i/>
    </w:rPr>
  </w:style>
  <w:style w:type="paragraph" w:styleId="1431">
    <w:name w:val="Intense Quote"/>
    <w:basedOn w:val="1576"/>
    <w:next w:val="1576"/>
    <w:link w:val="14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32">
    <w:name w:val="Intense Quote Char"/>
    <w:link w:val="1431"/>
    <w:uiPriority w:val="30"/>
    <w:rPr>
      <w:i/>
    </w:rPr>
  </w:style>
  <w:style w:type="character" w:styleId="1433">
    <w:name w:val="Header Char"/>
    <w:basedOn w:val="1581"/>
    <w:link w:val="1590"/>
    <w:uiPriority w:val="99"/>
  </w:style>
  <w:style w:type="character" w:styleId="1434">
    <w:name w:val="Footer Char"/>
    <w:basedOn w:val="1581"/>
    <w:link w:val="1589"/>
    <w:uiPriority w:val="99"/>
  </w:style>
  <w:style w:type="paragraph" w:styleId="1435">
    <w:name w:val="Caption"/>
    <w:basedOn w:val="1576"/>
    <w:next w:val="1576"/>
    <w:uiPriority w:val="35"/>
    <w:semiHidden/>
    <w:unhideWhenUsed/>
    <w:qFormat/>
    <w:pPr>
      <w:spacing w:line="276" w:lineRule="auto"/>
    </w:pPr>
    <w:rPr>
      <w:b/>
      <w:bCs/>
      <w:color w:val="4f81bd" w:themeColor="accent1"/>
      <w:sz w:val="18"/>
      <w:szCs w:val="18"/>
    </w:rPr>
  </w:style>
  <w:style w:type="character" w:styleId="1436">
    <w:name w:val="Caption Char"/>
    <w:basedOn w:val="1435"/>
    <w:link w:val="1589"/>
    <w:uiPriority w:val="99"/>
  </w:style>
  <w:style w:type="table" w:styleId="1437">
    <w:name w:val="Table Grid Light"/>
    <w:basedOn w:val="15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438">
    <w:name w:val="Plain Table 1"/>
    <w:basedOn w:val="15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39">
    <w:name w:val="Plain Table 2"/>
    <w:basedOn w:val="15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40">
    <w:name w:val="Plain Table 3"/>
    <w:basedOn w:val="15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41">
    <w:name w:val="Plain Table 4"/>
    <w:basedOn w:val="15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42">
    <w:name w:val="Plain Table 5"/>
    <w:basedOn w:val="15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443">
    <w:name w:val="Grid Table 1 Light"/>
    <w:basedOn w:val="15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444">
    <w:name w:val="Grid Table 1 Light - Accent 1"/>
    <w:basedOn w:val="15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445">
    <w:name w:val="Grid Table 1 Light - Accent 2"/>
    <w:basedOn w:val="15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446">
    <w:name w:val="Grid Table 1 Light - Accent 3"/>
    <w:basedOn w:val="15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447">
    <w:name w:val="Grid Table 1 Light - Accent 4"/>
    <w:basedOn w:val="15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448">
    <w:name w:val="Grid Table 1 Light - Accent 5"/>
    <w:basedOn w:val="15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449">
    <w:name w:val="Grid Table 1 Light - Accent 6"/>
    <w:basedOn w:val="15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450">
    <w:name w:val="Grid Table 2"/>
    <w:basedOn w:val="15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451">
    <w:name w:val="Grid Table 2 - Accent 1"/>
    <w:basedOn w:val="15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452">
    <w:name w:val="Grid Table 2 - Accent 2"/>
    <w:basedOn w:val="15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453">
    <w:name w:val="Grid Table 2 - Accent 3"/>
    <w:basedOn w:val="15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454">
    <w:name w:val="Grid Table 2 - Accent 4"/>
    <w:basedOn w:val="15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455">
    <w:name w:val="Grid Table 2 - Accent 5"/>
    <w:basedOn w:val="15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456">
    <w:name w:val="Grid Table 2 - Accent 6"/>
    <w:basedOn w:val="15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457">
    <w:name w:val="Grid Table 3"/>
    <w:basedOn w:val="15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58">
    <w:name w:val="Grid Table 3 - Accent 1"/>
    <w:basedOn w:val="15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59">
    <w:name w:val="Grid Table 3 - Accent 2"/>
    <w:basedOn w:val="15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60">
    <w:name w:val="Grid Table 3 - Accent 3"/>
    <w:basedOn w:val="15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61">
    <w:name w:val="Grid Table 3 - Accent 4"/>
    <w:basedOn w:val="15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62">
    <w:name w:val="Grid Table 3 - Accent 5"/>
    <w:basedOn w:val="15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63">
    <w:name w:val="Grid Table 3 - Accent 6"/>
    <w:basedOn w:val="15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64">
    <w:name w:val="Grid Table 4"/>
    <w:basedOn w:val="15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65">
    <w:name w:val="Grid Table 4 - Accent 1"/>
    <w:basedOn w:val="15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466">
    <w:name w:val="Grid Table 4 - Accent 2"/>
    <w:basedOn w:val="15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467">
    <w:name w:val="Grid Table 4 - Accent 3"/>
    <w:basedOn w:val="15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468">
    <w:name w:val="Grid Table 4 - Accent 4"/>
    <w:basedOn w:val="15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469">
    <w:name w:val="Grid Table 4 - Accent 5"/>
    <w:basedOn w:val="15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470">
    <w:name w:val="Grid Table 4 - Accent 6"/>
    <w:basedOn w:val="15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471">
    <w:name w:val="Grid Table 5 Dark"/>
    <w:basedOn w:val="15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472">
    <w:name w:val="Grid Table 5 Dark- Accent 1"/>
    <w:basedOn w:val="15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473">
    <w:name w:val="Grid Table 5 Dark - Accent 2"/>
    <w:basedOn w:val="15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474">
    <w:name w:val="Grid Table 5 Dark - Accent 3"/>
    <w:basedOn w:val="15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475">
    <w:name w:val="Grid Table 5 Dark- Accent 4"/>
    <w:basedOn w:val="15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476">
    <w:name w:val="Grid Table 5 Dark - Accent 5"/>
    <w:basedOn w:val="15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477">
    <w:name w:val="Grid Table 5 Dark - Accent 6"/>
    <w:basedOn w:val="15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478">
    <w:name w:val="Grid Table 6 Colorful"/>
    <w:basedOn w:val="15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79">
    <w:name w:val="Grid Table 6 Colorful - Accent 1"/>
    <w:basedOn w:val="15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480">
    <w:name w:val="Grid Table 6 Colorful - Accent 2"/>
    <w:basedOn w:val="15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481">
    <w:name w:val="Grid Table 6 Colorful - Accent 3"/>
    <w:basedOn w:val="15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482">
    <w:name w:val="Grid Table 6 Colorful - Accent 4"/>
    <w:basedOn w:val="15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483">
    <w:name w:val="Grid Table 6 Colorful - Accent 5"/>
    <w:basedOn w:val="15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484">
    <w:name w:val="Grid Table 6 Colorful - Accent 6"/>
    <w:basedOn w:val="15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485">
    <w:name w:val="Grid Table 7 Colorful"/>
    <w:basedOn w:val="15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86">
    <w:name w:val="Grid Table 7 Colorful - Accent 1"/>
    <w:basedOn w:val="15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87">
    <w:name w:val="Grid Table 7 Colorful - Accent 2"/>
    <w:basedOn w:val="15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88">
    <w:name w:val="Grid Table 7 Colorful - Accent 3"/>
    <w:basedOn w:val="15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89">
    <w:name w:val="Grid Table 7 Colorful - Accent 4"/>
    <w:basedOn w:val="15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90">
    <w:name w:val="Grid Table 7 Colorful - Accent 5"/>
    <w:basedOn w:val="15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91">
    <w:name w:val="Grid Table 7 Colorful - Accent 6"/>
    <w:basedOn w:val="15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92">
    <w:name w:val="List Table 1 Light"/>
    <w:basedOn w:val="15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93">
    <w:name w:val="List Table 1 Light - Accent 1"/>
    <w:basedOn w:val="158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94">
    <w:name w:val="List Table 1 Light - Accent 2"/>
    <w:basedOn w:val="158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95">
    <w:name w:val="List Table 1 Light - Accent 3"/>
    <w:basedOn w:val="158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96">
    <w:name w:val="List Table 1 Light - Accent 4"/>
    <w:basedOn w:val="158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97">
    <w:name w:val="List Table 1 Light - Accent 5"/>
    <w:basedOn w:val="158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98">
    <w:name w:val="List Table 1 Light - Accent 6"/>
    <w:basedOn w:val="158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99">
    <w:name w:val="List Table 2"/>
    <w:basedOn w:val="15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00">
    <w:name w:val="List Table 2 - Accent 1"/>
    <w:basedOn w:val="15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501">
    <w:name w:val="List Table 2 - Accent 2"/>
    <w:basedOn w:val="15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502">
    <w:name w:val="List Table 2 - Accent 3"/>
    <w:basedOn w:val="15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503">
    <w:name w:val="List Table 2 - Accent 4"/>
    <w:basedOn w:val="15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504">
    <w:name w:val="List Table 2 - Accent 5"/>
    <w:basedOn w:val="15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505">
    <w:name w:val="List Table 2 - Accent 6"/>
    <w:basedOn w:val="15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506">
    <w:name w:val="List Table 3"/>
    <w:basedOn w:val="15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07">
    <w:name w:val="List Table 3 - Accent 1"/>
    <w:basedOn w:val="15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508">
    <w:name w:val="List Table 3 - Accent 2"/>
    <w:basedOn w:val="15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509">
    <w:name w:val="List Table 3 - Accent 3"/>
    <w:basedOn w:val="15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510">
    <w:name w:val="List Table 3 - Accent 4"/>
    <w:basedOn w:val="15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511">
    <w:name w:val="List Table 3 - Accent 5"/>
    <w:basedOn w:val="15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512">
    <w:name w:val="List Table 3 - Accent 6"/>
    <w:basedOn w:val="15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513">
    <w:name w:val="List Table 4"/>
    <w:basedOn w:val="15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14">
    <w:name w:val="List Table 4 - Accent 1"/>
    <w:basedOn w:val="15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515">
    <w:name w:val="List Table 4 - Accent 2"/>
    <w:basedOn w:val="15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516">
    <w:name w:val="List Table 4 - Accent 3"/>
    <w:basedOn w:val="15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517">
    <w:name w:val="List Table 4 - Accent 4"/>
    <w:basedOn w:val="15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518">
    <w:name w:val="List Table 4 - Accent 5"/>
    <w:basedOn w:val="15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519">
    <w:name w:val="List Table 4 - Accent 6"/>
    <w:basedOn w:val="15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520">
    <w:name w:val="List Table 5 Dark"/>
    <w:basedOn w:val="15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21">
    <w:name w:val="List Table 5 Dark - Accent 1"/>
    <w:basedOn w:val="15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22">
    <w:name w:val="List Table 5 Dark - Accent 2"/>
    <w:basedOn w:val="15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23">
    <w:name w:val="List Table 5 Dark - Accent 3"/>
    <w:basedOn w:val="15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24">
    <w:name w:val="List Table 5 Dark - Accent 4"/>
    <w:basedOn w:val="15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25">
    <w:name w:val="List Table 5 Dark - Accent 5"/>
    <w:basedOn w:val="15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26">
    <w:name w:val="List Table 5 Dark - Accent 6"/>
    <w:basedOn w:val="15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27">
    <w:name w:val="List Table 6 Colorful"/>
    <w:basedOn w:val="15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28">
    <w:name w:val="List Table 6 Colorful - Accent 1"/>
    <w:basedOn w:val="15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529">
    <w:name w:val="List Table 6 Colorful - Accent 2"/>
    <w:basedOn w:val="15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530">
    <w:name w:val="List Table 6 Colorful - Accent 3"/>
    <w:basedOn w:val="15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531">
    <w:name w:val="List Table 6 Colorful - Accent 4"/>
    <w:basedOn w:val="15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532">
    <w:name w:val="List Table 6 Colorful - Accent 5"/>
    <w:basedOn w:val="15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533">
    <w:name w:val="List Table 6 Colorful - Accent 6"/>
    <w:basedOn w:val="15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534">
    <w:name w:val="List Table 7 Colorful"/>
    <w:basedOn w:val="15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535">
    <w:name w:val="List Table 7 Colorful - Accent 1"/>
    <w:basedOn w:val="15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536">
    <w:name w:val="List Table 7 Colorful - Accent 2"/>
    <w:basedOn w:val="15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537">
    <w:name w:val="List Table 7 Colorful - Accent 3"/>
    <w:basedOn w:val="15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538">
    <w:name w:val="List Table 7 Colorful - Accent 4"/>
    <w:basedOn w:val="15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539">
    <w:name w:val="List Table 7 Colorful - Accent 5"/>
    <w:basedOn w:val="15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540">
    <w:name w:val="List Table 7 Colorful - Accent 6"/>
    <w:basedOn w:val="15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541">
    <w:name w:val="Lined - Accent"/>
    <w:basedOn w:val="15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2">
    <w:name w:val="Lined - Accent 1"/>
    <w:basedOn w:val="15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3">
    <w:name w:val="Lined - Accent 2"/>
    <w:basedOn w:val="15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44">
    <w:name w:val="Lined - Accent 3"/>
    <w:basedOn w:val="15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45">
    <w:name w:val="Lined - Accent 4"/>
    <w:basedOn w:val="15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46">
    <w:name w:val="Lined - Accent 5"/>
    <w:basedOn w:val="15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47">
    <w:name w:val="Lined - Accent 6"/>
    <w:basedOn w:val="15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48">
    <w:name w:val="Bordered &amp; Lined - Accent"/>
    <w:basedOn w:val="15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9">
    <w:name w:val="Bordered &amp; Lined - Accent 1"/>
    <w:basedOn w:val="15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50">
    <w:name w:val="Bordered &amp; Lined - Accent 2"/>
    <w:basedOn w:val="15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1">
    <w:name w:val="Bordered &amp; Lined - Accent 3"/>
    <w:basedOn w:val="15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52">
    <w:name w:val="Bordered &amp; Lined - Accent 4"/>
    <w:basedOn w:val="15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53">
    <w:name w:val="Bordered &amp; Lined - Accent 5"/>
    <w:basedOn w:val="15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54">
    <w:name w:val="Bordered &amp; Lined - Accent 6"/>
    <w:basedOn w:val="15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55">
    <w:name w:val="Bordered"/>
    <w:basedOn w:val="15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556">
    <w:name w:val="Bordered - Accent 1"/>
    <w:basedOn w:val="15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557">
    <w:name w:val="Bordered - Accent 2"/>
    <w:basedOn w:val="15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558">
    <w:name w:val="Bordered - Accent 3"/>
    <w:basedOn w:val="15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559">
    <w:name w:val="Bordered - Accent 4"/>
    <w:basedOn w:val="15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560">
    <w:name w:val="Bordered - Accent 5"/>
    <w:basedOn w:val="15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561">
    <w:name w:val="Bordered - Accent 6"/>
    <w:basedOn w:val="15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562">
    <w:name w:val="footnote text"/>
    <w:basedOn w:val="1576"/>
    <w:link w:val="1563"/>
    <w:uiPriority w:val="99"/>
    <w:semiHidden/>
    <w:unhideWhenUsed/>
    <w:pPr>
      <w:spacing w:after="40" w:line="240" w:lineRule="auto"/>
    </w:pPr>
    <w:rPr>
      <w:sz w:val="18"/>
    </w:rPr>
  </w:style>
  <w:style w:type="character" w:styleId="1563">
    <w:name w:val="Footnote Text Char"/>
    <w:link w:val="1562"/>
    <w:uiPriority w:val="99"/>
    <w:rPr>
      <w:sz w:val="18"/>
    </w:rPr>
  </w:style>
  <w:style w:type="character" w:styleId="1564">
    <w:name w:val="footnote reference"/>
    <w:basedOn w:val="1581"/>
    <w:uiPriority w:val="99"/>
    <w:unhideWhenUsed/>
    <w:rPr>
      <w:vertAlign w:val="superscript"/>
    </w:rPr>
  </w:style>
  <w:style w:type="paragraph" w:styleId="1565">
    <w:name w:val="endnote text"/>
    <w:basedOn w:val="1576"/>
    <w:link w:val="1566"/>
    <w:uiPriority w:val="99"/>
    <w:semiHidden/>
    <w:unhideWhenUsed/>
    <w:pPr>
      <w:spacing w:after="0" w:line="240" w:lineRule="auto"/>
    </w:pPr>
    <w:rPr>
      <w:sz w:val="20"/>
    </w:rPr>
  </w:style>
  <w:style w:type="character" w:styleId="1566">
    <w:name w:val="Endnote Text Char"/>
    <w:link w:val="1565"/>
    <w:uiPriority w:val="99"/>
    <w:rPr>
      <w:sz w:val="20"/>
    </w:rPr>
  </w:style>
  <w:style w:type="character" w:styleId="1567">
    <w:name w:val="endnote reference"/>
    <w:basedOn w:val="1581"/>
    <w:uiPriority w:val="99"/>
    <w:semiHidden/>
    <w:unhideWhenUsed/>
    <w:rPr>
      <w:vertAlign w:val="superscript"/>
    </w:rPr>
  </w:style>
  <w:style w:type="paragraph" w:styleId="1568">
    <w:name w:val="toc 4"/>
    <w:basedOn w:val="1576"/>
    <w:next w:val="1576"/>
    <w:uiPriority w:val="39"/>
    <w:unhideWhenUsed/>
    <w:pPr>
      <w:ind w:left="850" w:right="0" w:firstLine="0"/>
      <w:spacing w:after="57"/>
    </w:pPr>
  </w:style>
  <w:style w:type="paragraph" w:styleId="1569">
    <w:name w:val="toc 5"/>
    <w:basedOn w:val="1576"/>
    <w:next w:val="1576"/>
    <w:uiPriority w:val="39"/>
    <w:unhideWhenUsed/>
    <w:pPr>
      <w:ind w:left="1134" w:right="0" w:firstLine="0"/>
      <w:spacing w:after="57"/>
    </w:pPr>
  </w:style>
  <w:style w:type="paragraph" w:styleId="1570">
    <w:name w:val="toc 6"/>
    <w:basedOn w:val="1576"/>
    <w:next w:val="1576"/>
    <w:uiPriority w:val="39"/>
    <w:unhideWhenUsed/>
    <w:pPr>
      <w:ind w:left="1417" w:right="0" w:firstLine="0"/>
      <w:spacing w:after="57"/>
    </w:pPr>
  </w:style>
  <w:style w:type="paragraph" w:styleId="1571">
    <w:name w:val="toc 7"/>
    <w:basedOn w:val="1576"/>
    <w:next w:val="1576"/>
    <w:uiPriority w:val="39"/>
    <w:unhideWhenUsed/>
    <w:pPr>
      <w:ind w:left="1701" w:right="0" w:firstLine="0"/>
      <w:spacing w:after="57"/>
    </w:pPr>
  </w:style>
  <w:style w:type="paragraph" w:styleId="1572">
    <w:name w:val="toc 8"/>
    <w:basedOn w:val="1576"/>
    <w:next w:val="1576"/>
    <w:uiPriority w:val="39"/>
    <w:unhideWhenUsed/>
    <w:pPr>
      <w:ind w:left="1984" w:right="0" w:firstLine="0"/>
      <w:spacing w:after="57"/>
    </w:pPr>
  </w:style>
  <w:style w:type="paragraph" w:styleId="1573">
    <w:name w:val="toc 9"/>
    <w:basedOn w:val="1576"/>
    <w:next w:val="1576"/>
    <w:uiPriority w:val="39"/>
    <w:unhideWhenUsed/>
    <w:pPr>
      <w:ind w:left="2268" w:right="0" w:firstLine="0"/>
      <w:spacing w:after="57"/>
    </w:pPr>
  </w:style>
  <w:style w:type="paragraph" w:styleId="1574">
    <w:name w:val="TOC Heading"/>
    <w:uiPriority w:val="39"/>
    <w:unhideWhenUsed/>
  </w:style>
  <w:style w:type="paragraph" w:styleId="1575">
    <w:name w:val="table of figures"/>
    <w:basedOn w:val="1576"/>
    <w:next w:val="1576"/>
    <w:uiPriority w:val="99"/>
    <w:unhideWhenUsed/>
    <w:pPr>
      <w:spacing w:after="0" w:afterAutospacing="0"/>
    </w:pPr>
  </w:style>
  <w:style w:type="paragraph" w:styleId="157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577">
    <w:name w:val="Heading 1"/>
    <w:basedOn w:val="1576"/>
    <w:next w:val="1576"/>
    <w:uiPriority w:val="0"/>
    <w:qFormat/>
    <w:pPr>
      <w:keepLines/>
      <w:keepNext/>
      <w:spacing w:line="576" w:lineRule="auto"/>
      <w:outlineLvl w:val="0"/>
    </w:pPr>
    <w:rPr>
      <w:b/>
      <w:sz w:val="44"/>
    </w:rPr>
  </w:style>
  <w:style w:type="paragraph" w:styleId="1578">
    <w:name w:val="Heading 2"/>
    <w:basedOn w:val="1576"/>
    <w:next w:val="1576"/>
    <w:uiPriority w:val="0"/>
    <w:unhideWhenUsed/>
    <w:qFormat/>
    <w:pPr>
      <w:keepLines/>
      <w:keepNext/>
      <w:spacing w:line="413" w:lineRule="auto"/>
      <w:outlineLvl w:val="1"/>
    </w:pPr>
    <w:rPr>
      <w:rFonts w:ascii="Arial" w:hAnsi="Arial" w:eastAsia="黑体"/>
      <w:b/>
      <w:sz w:val="32"/>
    </w:rPr>
  </w:style>
  <w:style w:type="paragraph" w:styleId="1579">
    <w:name w:val="Heading 3"/>
    <w:basedOn w:val="1576"/>
    <w:next w:val="1576"/>
    <w:uiPriority w:val="0"/>
    <w:unhideWhenUsed/>
    <w:qFormat/>
    <w:pPr>
      <w:keepLines/>
      <w:keepNext/>
      <w:spacing w:line="413" w:lineRule="auto"/>
      <w:outlineLvl w:val="2"/>
    </w:pPr>
    <w:rPr>
      <w:b/>
      <w:sz w:val="32"/>
    </w:rPr>
  </w:style>
  <w:style w:type="paragraph" w:styleId="1580">
    <w:name w:val="Heading 4"/>
    <w:basedOn w:val="1576"/>
    <w:next w:val="1576"/>
    <w:uiPriority w:val="9"/>
    <w:qFormat/>
    <w:pPr>
      <w:keepLines/>
      <w:keepNext/>
      <w:spacing w:before="280" w:after="290" w:line="376" w:lineRule="auto"/>
      <w:outlineLvl w:val="3"/>
    </w:pPr>
    <w:rPr>
      <w:rFonts w:ascii="Arial" w:hAnsi="Arial" w:eastAsia="黑体"/>
      <w:b/>
      <w:bCs/>
      <w:sz w:val="28"/>
      <w:szCs w:val="28"/>
      <w:lang w:bidi="mn-Mong-CN"/>
    </w:rPr>
  </w:style>
  <w:style w:type="character" w:styleId="1581" w:default="1">
    <w:name w:val="Default Paragraph Font"/>
    <w:uiPriority w:val="1"/>
    <w:semiHidden/>
    <w:unhideWhenUsed/>
    <w:qFormat/>
  </w:style>
  <w:style w:type="table" w:styleId="1582" w:default="1">
    <w:name w:val="Normal Table"/>
    <w:uiPriority w:val="99"/>
    <w:semiHidden/>
    <w:unhideWhenUsed/>
    <w:qFormat/>
    <w:tblPr>
      <w:tblCellMar>
        <w:left w:w="108" w:type="dxa"/>
        <w:top w:w="0" w:type="dxa"/>
        <w:right w:w="108" w:type="dxa"/>
        <w:bottom w:w="0" w:type="dxa"/>
      </w:tblCellMar>
    </w:tblPr>
  </w:style>
  <w:style w:type="paragraph" w:styleId="1583">
    <w:name w:val="Normal Indent"/>
    <w:basedOn w:val="1576"/>
    <w:uiPriority w:val="99"/>
    <w:qFormat/>
    <w:pPr>
      <w:ind w:firstLine="420"/>
    </w:pPr>
    <w:rPr>
      <w:szCs w:val="20"/>
    </w:rPr>
  </w:style>
  <w:style w:type="paragraph" w:styleId="1584">
    <w:name w:val="Body Text"/>
    <w:basedOn w:val="1576"/>
    <w:next w:val="1585"/>
    <w:uiPriority w:val="0"/>
    <w:qFormat/>
    <w:rPr>
      <w:rFonts w:ascii="楷体_GB2312" w:hAnsi="Arial" w:eastAsia="楷体_GB2312"/>
      <w:sz w:val="28"/>
      <w:szCs w:val="20"/>
      <w:lang w:bidi="mn-Mong-CN"/>
    </w:rPr>
  </w:style>
  <w:style w:type="paragraph" w:styleId="1585">
    <w:name w:val="Date"/>
    <w:basedOn w:val="1576"/>
    <w:next w:val="1576"/>
    <w:uiPriority w:val="99"/>
    <w:unhideWhenUsed/>
    <w:qFormat/>
    <w:pPr>
      <w:ind w:left="100"/>
    </w:pPr>
    <w:rPr>
      <w:rFonts w:ascii="黑体" w:hAnsi="黑体" w:eastAsia="黑体"/>
      <w:b/>
      <w:sz w:val="44"/>
    </w:rPr>
  </w:style>
  <w:style w:type="paragraph" w:styleId="1586">
    <w:name w:val="index 4"/>
    <w:basedOn w:val="1576"/>
    <w:next w:val="1576"/>
    <w:uiPriority w:val="0"/>
    <w:qFormat/>
    <w:pPr>
      <w:ind w:left="600"/>
    </w:pPr>
    <w:rPr>
      <w:rFonts w:ascii="Times New Roman" w:hAnsi="Times New Roman" w:eastAsia="宋体"/>
    </w:rPr>
  </w:style>
  <w:style w:type="paragraph" w:styleId="1587">
    <w:name w:val="toc 3"/>
    <w:basedOn w:val="1576"/>
    <w:next w:val="1576"/>
    <w:uiPriority w:val="0"/>
    <w:qFormat/>
    <w:pPr>
      <w:ind w:left="840"/>
    </w:pPr>
  </w:style>
  <w:style w:type="paragraph" w:styleId="1588">
    <w:name w:val="Balloon Text"/>
    <w:basedOn w:val="1576"/>
    <w:link w:val="1604"/>
    <w:uiPriority w:val="0"/>
    <w:qFormat/>
    <w:rPr>
      <w:sz w:val="18"/>
      <w:szCs w:val="18"/>
    </w:rPr>
  </w:style>
  <w:style w:type="paragraph" w:styleId="1589">
    <w:name w:val="Footer"/>
    <w:basedOn w:val="1576"/>
    <w:uiPriority w:val="0"/>
    <w:qFormat/>
    <w:pPr>
      <w:jc w:val="left"/>
      <w:tabs>
        <w:tab w:val="center" w:pos="4153" w:leader="none"/>
        <w:tab w:val="right" w:pos="8306" w:leader="none"/>
      </w:tabs>
    </w:pPr>
    <w:rPr>
      <w:sz w:val="18"/>
    </w:rPr>
  </w:style>
  <w:style w:type="paragraph" w:styleId="1590">
    <w:name w:val="Header"/>
    <w:basedOn w:val="157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591">
    <w:name w:val="toc 1"/>
    <w:basedOn w:val="1576"/>
    <w:next w:val="1576"/>
    <w:uiPriority w:val="0"/>
    <w:qFormat/>
  </w:style>
  <w:style w:type="paragraph" w:styleId="1592">
    <w:name w:val="toc 2"/>
    <w:basedOn w:val="1576"/>
    <w:next w:val="1576"/>
    <w:uiPriority w:val="0"/>
    <w:qFormat/>
    <w:pPr>
      <w:ind w:left="420"/>
    </w:pPr>
  </w:style>
  <w:style w:type="paragraph" w:styleId="1593">
    <w:name w:val="Body Text 2"/>
    <w:basedOn w:val="1576"/>
    <w:uiPriority w:val="0"/>
    <w:qFormat/>
    <w:pPr>
      <w:spacing w:after="120" w:line="480" w:lineRule="auto"/>
    </w:pPr>
    <w:rPr>
      <w:rFonts w:ascii="Times New Roman" w:hAnsi="Times New Roman"/>
    </w:rPr>
  </w:style>
  <w:style w:type="paragraph" w:styleId="1594">
    <w:name w:val="Normal (Web)"/>
    <w:basedOn w:val="1576"/>
    <w:uiPriority w:val="0"/>
    <w:qFormat/>
    <w:rPr>
      <w:sz w:val="24"/>
    </w:rPr>
  </w:style>
  <w:style w:type="paragraph" w:styleId="1595">
    <w:name w:val="Body Text First Indent"/>
    <w:basedOn w:val="1584"/>
    <w:uiPriority w:val="0"/>
    <w:semiHidden/>
    <w:qFormat/>
    <w:pPr>
      <w:spacing w:line="360" w:lineRule="auto"/>
      <w:tabs>
        <w:tab w:val="left" w:pos="454" w:leader="none"/>
      </w:tabs>
    </w:pPr>
  </w:style>
  <w:style w:type="table" w:styleId="1596">
    <w:name w:val="Table Grid"/>
    <w:basedOn w:val="15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97">
    <w:name w:val="Hyperlink"/>
    <w:basedOn w:val="1581"/>
    <w:uiPriority w:val="0"/>
    <w:qFormat/>
    <w:rPr>
      <w:color w:val="0000ff"/>
      <w:u w:val="single"/>
    </w:rPr>
  </w:style>
  <w:style w:type="paragraph" w:styleId="1598"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599" w:customStyle="1">
    <w:name w:val="Heading 3"/>
    <w:basedOn w:val="1576"/>
    <w:next w:val="1576"/>
    <w:uiPriority w:val="0"/>
    <w:qFormat/>
    <w:pPr>
      <w:keepLines/>
      <w:keepNext/>
      <w:spacing w:before="260" w:after="260" w:line="416" w:lineRule="auto"/>
      <w:outlineLvl w:val="2"/>
    </w:pPr>
    <w:rPr>
      <w:b/>
      <w:sz w:val="32"/>
      <w:szCs w:val="20"/>
    </w:rPr>
  </w:style>
  <w:style w:type="table" w:styleId="1600" w:customStyle="1">
    <w:name w:val="Table Normal"/>
    <w:uiPriority w:val="0"/>
    <w:semiHidden/>
    <w:unhideWhenUsed/>
    <w:qFormat/>
    <w:tblPr>
      <w:tblCellMar>
        <w:left w:w="0" w:type="dxa"/>
        <w:top w:w="0" w:type="dxa"/>
        <w:right w:w="0" w:type="dxa"/>
        <w:bottom w:w="0" w:type="dxa"/>
      </w:tblCellMar>
    </w:tblPr>
  </w:style>
  <w:style w:type="paragraph" w:styleId="1601" w:customStyle="1">
    <w:name w:val="WPSOffice手动目录 1"/>
    <w:uiPriority w:val="0"/>
    <w:qFormat/>
    <w:rPr>
      <w:rFonts w:ascii="Times New Roman" w:hAnsi="Times New Roman" w:eastAsia="宋体" w:cs="Times New Roman"/>
      <w:lang w:val="en-US" w:eastAsia="zh-CN" w:bidi="mn-Mong-CN"/>
    </w:rPr>
  </w:style>
  <w:style w:type="paragraph" w:styleId="1602" w:customStyle="1">
    <w:name w:val="WPSOffice手动目录 2"/>
    <w:uiPriority w:val="0"/>
    <w:qFormat/>
    <w:pPr>
      <w:ind w:left="200"/>
    </w:pPr>
    <w:rPr>
      <w:rFonts w:ascii="Times New Roman" w:hAnsi="Times New Roman" w:eastAsia="宋体" w:cs="Times New Roman"/>
      <w:lang w:val="en-US" w:eastAsia="zh-CN" w:bidi="mn-Mong-CN"/>
    </w:rPr>
  </w:style>
  <w:style w:type="paragraph" w:styleId="1603" w:customStyle="1">
    <w:name w:val="WPSOffice手动目录 3"/>
    <w:uiPriority w:val="0"/>
    <w:qFormat/>
    <w:pPr>
      <w:ind w:left="400"/>
    </w:pPr>
    <w:rPr>
      <w:rFonts w:ascii="Times New Roman" w:hAnsi="Times New Roman" w:eastAsia="宋体" w:cs="Times New Roman"/>
      <w:lang w:val="en-US" w:eastAsia="zh-CN" w:bidi="mn-Mong-CN"/>
    </w:rPr>
  </w:style>
  <w:style w:type="character" w:styleId="1604" w:customStyle="1">
    <w:name w:val="批注框文本 Char"/>
    <w:basedOn w:val="1581"/>
    <w:link w:val="1588"/>
    <w:uiPriority w:val="0"/>
    <w:qFormat/>
    <w:rPr>
      <w:rFonts w:asciiTheme="minorHAnsi" w:hAnsiTheme="minorHAnsi" w:eastAsiaTheme="minorEastAsia" w:cstheme="minorBidi"/>
      <w:sz w:val="18"/>
      <w:szCs w:val="18"/>
      <w:lang w:bidi="ar-SA"/>
    </w:rPr>
  </w:style>
  <w:style w:type="paragraph" w:styleId="1605" w:customStyle="1">
    <w:name w:val="正文1"/>
    <w:uiPriority w:val="99"/>
    <w:qFormat/>
    <w:pPr>
      <w:contextualSpacing/>
      <w:ind w:firstLine="200"/>
      <w:spacing w:before="120" w:after="120" w:line="180" w:lineRule="auto"/>
    </w:pPr>
    <w:rPr>
      <w:rFonts w:ascii="Calibri" w:hAnsi="Calibri" w:eastAsia="Adobe 仿宋 Std R" w:cs="Times New Roman"/>
      <w:sz w:val="21"/>
      <w:szCs w:val="21"/>
      <w:lang w:val="en-US" w:eastAsia="zh-CN" w:bidi="ar-SA"/>
    </w:rPr>
  </w:style>
  <w:style w:type="character" w:styleId="1606" w:customStyle="1">
    <w:name w:val="htd0"/>
    <w:basedOn w:val="1581"/>
    <w:uiPriority w:val="0"/>
    <w:qFormat/>
  </w:style>
  <w:style w:type="paragraph" w:styleId="1607" w:customStyle="1">
    <w:name w:val="列出段落3"/>
    <w:basedOn w:val="1576"/>
    <w:uiPriority w:val="34"/>
    <w:qFormat/>
    <w:pPr>
      <w:ind w:firstLine="420"/>
    </w:pPr>
    <w:rPr>
      <w:rFonts w:ascii="Calibri" w:hAnsi="Calibri"/>
      <w:szCs w:val="22"/>
    </w:rPr>
  </w:style>
  <w:style w:type="character" w:styleId="1608" w:customStyle="1">
    <w:name w:val="正文文本缩进 Char"/>
    <w:link w:val="1609"/>
    <w:uiPriority w:val="0"/>
    <w:qFormat/>
    <w:rPr>
      <w:sz w:val="21"/>
      <w:szCs w:val="24"/>
    </w:rPr>
  </w:style>
  <w:style w:type="paragraph" w:styleId="1609" w:customStyle="1">
    <w:name w:val="正文文本缩进1"/>
    <w:basedOn w:val="1576"/>
    <w:next w:val="1610"/>
    <w:link w:val="1608"/>
    <w:uiPriority w:val="0"/>
    <w:qFormat/>
    <w:pPr>
      <w:ind w:left="420"/>
      <w:spacing w:after="120"/>
    </w:pPr>
    <w:rPr>
      <w:rFonts w:ascii="Times New Roman" w:hAnsi="Times New Roman" w:eastAsia="宋体" w:cs="Times New Roman"/>
      <w:lang w:bidi="mn-Mong-CN"/>
    </w:rPr>
  </w:style>
  <w:style w:type="paragraph" w:styleId="1610" w:customStyle="1">
    <w:name w:val="寄信人地址1"/>
    <w:basedOn w:val="1576"/>
    <w:uiPriority w:val="0"/>
    <w:qFormat/>
    <w:rPr>
      <w:rFonts w:ascii="Arial" w:hAnsi="Arial" w:eastAsia="宋体" w:cs="Times New Roman"/>
    </w:rPr>
  </w:style>
  <w:style w:type="table" w:styleId="1611" w:customStyle="1">
    <w:name w:val="网格型1"/>
    <w:basedOn w:val="1582"/>
    <w:uiPriority w:val="0"/>
    <w:qFormat/>
    <w:pPr>
      <w:jc w:val="both"/>
      <w:widowControl w:val="off"/>
    </w:pPr>
    <w:rPr>
      <w:rFonts w:ascii="Calibri" w:hAnsi="Calibri" w:cs="Mongolian Bait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12" w:customStyle="1">
    <w:name w:val="网格型2"/>
    <w:basedOn w:val="1582"/>
    <w:uiPriority w:val="0"/>
    <w:qFormat/>
    <w:pPr>
      <w:jc w:val="both"/>
      <w:widowControl w:val="off"/>
    </w:pPr>
    <w:rPr>
      <w:rFonts w:ascii="Calibri" w:hAnsi="Calibri" w:cs="Mongolian Bait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13" w:customStyle="1">
    <w:name w:val="网格型3"/>
    <w:basedOn w:val="1582"/>
    <w:uiPriority w:val="0"/>
    <w:qFormat/>
    <w:pPr>
      <w:jc w:val="both"/>
      <w:widowControl w:val="off"/>
    </w:pPr>
    <w:rPr>
      <w:rFonts w:ascii="Calibri" w:hAnsi="Calibri" w:cs="Mongolian Bait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614" w:customStyle="1">
    <w:name w:val="Heading 1"/>
    <w:basedOn w:val="1576"/>
    <w:uiPriority w:val="1"/>
    <w:qFormat/>
    <w:pPr>
      <w:ind w:left="39"/>
      <w:jc w:val="center"/>
      <w:spacing w:before="182"/>
      <w:outlineLvl w:val="1"/>
    </w:pPr>
    <w:rPr>
      <w:sz w:val="43"/>
      <w:szCs w:val="43"/>
    </w:rPr>
  </w:style>
  <w:style w:type="paragraph" w:styleId="1615">
    <w:name w:val="List Paragraph"/>
    <w:basedOn w:val="1576"/>
    <w:uiPriority w:val="0"/>
    <w:qFormat/>
    <w:pPr>
      <w:ind w:firstLine="420"/>
    </w:pPr>
    <w:rPr>
      <w:rFonts w:ascii="Calibri" w:hAnsi="Calibri"/>
    </w:rPr>
  </w:style>
  <w:style w:type="paragraph" w:styleId="1616" w:customStyle="1">
    <w:name w:val="正文缩进1"/>
    <w:basedOn w:val="1576"/>
    <w:uiPriority w:val="0"/>
    <w:qFormat/>
    <w:pPr>
      <w:ind w:firstLine="420"/>
    </w:pPr>
    <w:rPr>
      <w:szCs w:val="20"/>
    </w:rPr>
  </w:style>
  <w:style w:type="paragraph" w:styleId="1617" w:customStyle="1">
    <w:name w:val="索引 11"/>
    <w:basedOn w:val="1576"/>
    <w:next w:val="1576"/>
    <w:uiPriority w:val="99"/>
    <w:qFormat/>
    <w:pPr>
      <w:spacing w:line="360" w:lineRule="auto"/>
    </w:pPr>
    <w:rPr>
      <w:rFonts w:ascii="仿宋_GB2312" w:eastAsia="仿宋_GB2312"/>
      <w:sz w:val="24"/>
      <w:szCs w:val="20"/>
    </w:rPr>
  </w:style>
  <w:style w:type="paragraph" w:styleId="1618" w:customStyle="1">
    <w:name w:val="text-tag"/>
    <w:basedOn w:val="1576"/>
    <w:uiPriority w:val="99"/>
    <w:semiHidden/>
    <w:qFormat/>
    <w:pPr>
      <w:jc w:val="left"/>
      <w:spacing w:before="100" w:beforeAutospacing="1" w:after="100" w:afterAutospacing="1"/>
      <w:widowControl/>
    </w:pPr>
    <w:rPr>
      <w:rFonts w:ascii="宋体" w:hAnsi="宋体" w:cs="宋体"/>
      <w:sz w:val="24"/>
    </w:rPr>
  </w:style>
  <w:style w:type="paragraph" w:styleId="1619"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1620"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621" w:customStyle="1">
    <w:name w:val="Table Text"/>
    <w:basedOn w:val="1576"/>
    <w:uiPriority w:val="0"/>
    <w:semiHidden/>
    <w:qFormat/>
    <w:rPr>
      <w:rFonts w:ascii="宋体" w:hAnsi="宋体" w:eastAsia="宋体" w:cs="宋体"/>
      <w:sz w:val="24"/>
      <w:szCs w:val="24"/>
      <w:lang w:val="en-US" w:eastAsia="en-US" w:bidi="ar-SA"/>
    </w:rPr>
  </w:style>
  <w:style w:type="numbering" w:styleId="16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footer" Target="footer6.xml" /><Relationship Id="rId27" Type="http://schemas.openxmlformats.org/officeDocument/2006/relationships/footer" Target="footer7.xml" /><Relationship Id="rId28" Type="http://schemas.openxmlformats.org/officeDocument/2006/relationships/footer" Target="footer8.xml" /><Relationship Id="rId29" Type="http://schemas.openxmlformats.org/officeDocument/2006/relationships/footer" Target="footer9.xml" /><Relationship Id="rId30" Type="http://schemas.openxmlformats.org/officeDocument/2006/relationships/footer" Target="footer10.xml" /><Relationship Id="rId31" Type="http://schemas.openxmlformats.org/officeDocument/2006/relationships/footer" Target="footer11.xml" /><Relationship Id="rId32" Type="http://schemas.openxmlformats.org/officeDocument/2006/relationships/footer" Target="footer12.xml" /><Relationship Id="rId33" Type="http://schemas.openxmlformats.org/officeDocument/2006/relationships/footer" Target="footer13.xml" /><Relationship Id="rId34" Type="http://schemas.openxmlformats.org/officeDocument/2006/relationships/footer" Target="footer14.xml" /><Relationship Id="rId35" Type="http://schemas.openxmlformats.org/officeDocument/2006/relationships/footer" Target="footer15.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footer" Target="footer18.xml" /><Relationship Id="rId39" Type="http://schemas.openxmlformats.org/officeDocument/2006/relationships/footer" Target="footer19.xml" /><Relationship Id="rId40" Type="http://schemas.openxmlformats.org/officeDocument/2006/relationships/customXml" Target="../customXml/item1.xml" /><Relationship Id="rId4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F2583D0-7834-45E9-A963-9D2F196A325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周井</dc:creator>
  <cp:lastModifiedBy>王坦</cp:lastModifiedBy>
  <cp:revision>32</cp:revision>
  <dcterms:created xsi:type="dcterms:W3CDTF">2024-04-01T09:05:00Z</dcterms:created>
  <dcterms:modified xsi:type="dcterms:W3CDTF">2025-12-12T07:05:37Z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7BEB6F3314374BD19819DA47CF1C0DFA_13</vt:lpwstr>
  </property>
  <property fmtid="{D5CDD505-2E9C-101B-9397-08002B2CF9AE}" pid="4" name="KSOTemplateDocerSaveRecord">
    <vt:lpwstr>eyJoZGlkIjoiODk2ZmJlNDM0ODBjYjFiYWVkMjczZmU2MzZhODU2YzkiLCJ1c2VySWQiOiI2NTY4MDM2NzkifQ==</vt:lpwstr>
  </property>
</Properties>
</file>