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default" w:ascii="宋体" w:hAnsi="宋体" w:cs="宋体"/>
          <w:color w:val="auto"/>
          <w:sz w:val="30"/>
          <w:szCs w:val="30"/>
          <w:highlight w:val="none"/>
        </w:rPr>
      </w:pPr>
      <w:r>
        <w:rPr>
          <w:rFonts w:hint="default" w:ascii="宋体" w:hAnsi="宋体" w:cs="宋体"/>
          <w:color w:val="auto"/>
          <w:sz w:val="30"/>
          <w:szCs w:val="30"/>
          <w:highlight w:val="none"/>
        </w:rPr>
        <w:t xml:space="preserve"> </w:t>
      </w:r>
      <w:r/>
    </w:p>
    <w:p>
      <w:pPr>
        <w:pStyle w:val="1124"/>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1125"/>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1125"/>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jc w:val="center"/>
        <w:spacing w:line="360" w:lineRule="auto"/>
        <w:rPr>
          <w:rFonts w:hint="eastAsia" w:ascii="宋体" w:hAnsi="宋体" w:cs="宋体"/>
          <w:color w:val="auto"/>
          <w:sz w:val="24"/>
          <w:szCs w:val="30"/>
          <w:highlight w:val="none"/>
        </w:rPr>
      </w:pPr>
      <w:r>
        <w:rPr>
          <w:rFonts w:hint="eastAsia" w:ascii="宋体" w:hAnsi="宋体" w:cs="宋体"/>
          <w:color w:val="auto"/>
          <w:sz w:val="24"/>
          <w:szCs w:val="30"/>
          <w:highlight w:val="none"/>
        </w:rPr>
      </w:r>
      <w:r/>
    </w:p>
    <w:p>
      <w:pPr>
        <w:jc w:val="center"/>
        <w:spacing w:line="360" w:lineRule="auto"/>
        <w:rPr>
          <w:rFonts w:hint="eastAsia" w:ascii="Times New Roman" w:hAnsi="Times New Roman"/>
          <w:color w:val="auto"/>
          <w:szCs w:val="24"/>
          <w:highlight w:val="none"/>
        </w:rPr>
      </w:pPr>
      <w:r>
        <w:rPr>
          <w:rFonts w:hint="eastAsia" w:ascii="宋体" w:hAnsi="宋体" w:cs="宋体"/>
          <w:b/>
          <w:color w:val="auto"/>
          <w:sz w:val="84"/>
          <w:szCs w:val="84"/>
          <w:highlight w:val="none"/>
        </w:rPr>
        <w:t xml:space="preserve">招 标 文 件</w:t>
      </w:r>
      <w:r/>
    </w:p>
    <w:p>
      <w:pPr>
        <w:jc w:val="center"/>
        <w:spacing w:line="360" w:lineRule="auto"/>
        <w:rPr>
          <w:rFonts w:hint="eastAsia" w:ascii="宋体" w:hAnsi="宋体" w:cs="宋体"/>
          <w:b/>
          <w:color w:val="auto"/>
          <w:sz w:val="32"/>
          <w:szCs w:val="84"/>
          <w:highlight w:val="none"/>
        </w:rPr>
      </w:pPr>
      <w:r>
        <w:rPr>
          <w:rFonts w:hint="eastAsia" w:ascii="宋体" w:hAnsi="宋体" w:cs="宋体"/>
          <w:b/>
          <w:color w:val="auto"/>
          <w:sz w:val="32"/>
          <w:szCs w:val="84"/>
          <w:highlight w:val="none"/>
        </w:rPr>
      </w:r>
      <w:r/>
    </w:p>
    <w:p>
      <w:pPr>
        <w:contextualSpacing/>
        <w:ind w:firstLine="683"/>
        <w:jc w:val="center"/>
        <w:spacing w:line="360" w:lineRule="auto"/>
        <w:rPr>
          <w:rFonts w:ascii="宋体" w:hAnsi="宋体" w:cs="宋体"/>
          <w:b/>
          <w:bCs/>
          <w:color w:val="auto"/>
          <w:spacing w:val="10"/>
          <w:sz w:val="32"/>
          <w:szCs w:val="32"/>
          <w:highlight w:val="none"/>
        </w:rPr>
      </w:pPr>
      <w:r>
        <w:rPr>
          <w:rFonts w:hint="eastAsia" w:ascii="宋体" w:hAnsi="宋体" w:cs="宋体"/>
          <w:b/>
          <w:bCs/>
          <w:color w:val="auto"/>
          <w:spacing w:val="10"/>
          <w:sz w:val="32"/>
          <w:szCs w:val="32"/>
          <w:highlight w:val="none"/>
        </w:rPr>
        <w:t xml:space="preserve">（全流程电子化不见面开标）</w:t>
      </w:r>
      <w:r/>
    </w:p>
    <w:p>
      <w:pPr>
        <w:pStyle w:val="1124"/>
        <w:spacing w:line="360" w:lineRule="auto"/>
        <w:rPr>
          <w:rFonts w:hint="eastAsia" w:ascii="宋体" w:hAnsi="宋体" w:cs="宋体"/>
          <w:b/>
          <w:color w:val="auto"/>
          <w:sz w:val="32"/>
          <w:szCs w:val="84"/>
          <w:highlight w:val="none"/>
        </w:rPr>
      </w:pPr>
      <w:r>
        <w:rPr>
          <w:rFonts w:hint="eastAsia" w:ascii="宋体" w:hAnsi="宋体" w:cs="宋体"/>
          <w:b/>
          <w:color w:val="auto"/>
          <w:sz w:val="32"/>
          <w:szCs w:val="84"/>
          <w:highlight w:val="none"/>
        </w:rPr>
      </w:r>
      <w:r/>
    </w:p>
    <w:p>
      <w:pPr>
        <w:pStyle w:val="1125"/>
        <w:spacing w:line="360" w:lineRule="auto"/>
        <w:rPr>
          <w:rFonts w:hint="eastAsia"/>
          <w:color w:val="auto"/>
          <w:highlight w:val="none"/>
        </w:rPr>
      </w:pPr>
      <w:r>
        <w:rPr>
          <w:rFonts w:hint="eastAsia"/>
          <w:color w:val="auto"/>
          <w:highlight w:val="none"/>
        </w:rPr>
      </w:r>
      <w:r/>
    </w:p>
    <w:p>
      <w:pPr>
        <w:jc w:val="center"/>
        <w:spacing w:line="36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jc w:val="both"/>
        <w:spacing w:line="360" w:lineRule="auto"/>
        <w:rPr>
          <w:rFonts w:hint="eastAsia" w:ascii="宋体" w:hAnsi="宋体" w:eastAsia="宋体" w:cs="宋体"/>
          <w:b/>
          <w:bCs/>
          <w:color w:val="auto"/>
          <w:sz w:val="28"/>
          <w:szCs w:val="28"/>
          <w:highlight w:val="none"/>
          <w:lang w:eastAsia="zh-CN"/>
        </w:rPr>
        <w:outlineLvl w:val="0"/>
      </w:pPr>
      <w:r>
        <w:rPr>
          <w:rFonts w:hint="eastAsia" w:ascii="宋体" w:hAnsi="宋体" w:cs="宋体"/>
          <w:b/>
          <w:bCs/>
          <w:color w:val="auto"/>
          <w:sz w:val="28"/>
          <w:szCs w:val="28"/>
          <w:highlight w:val="none"/>
        </w:rPr>
        <w:t xml:space="preserve">项目名称：</w:t>
      </w:r>
      <w:r>
        <w:rPr>
          <w:rFonts w:hint="eastAsia" w:ascii="宋体" w:hAnsi="宋体" w:cs="宋体"/>
          <w:b/>
          <w:bCs/>
          <w:color w:val="auto"/>
          <w:sz w:val="28"/>
          <w:szCs w:val="28"/>
          <w:highlight w:val="none"/>
          <w:lang w:eastAsia="zh-CN"/>
        </w:rPr>
        <w:t xml:space="preserve">稻米精深加工产业链条延伸——黄金米（米稀）新建项目</w:t>
      </w:r>
      <w:r/>
    </w:p>
    <w:p>
      <w:pPr>
        <w:jc w:val="both"/>
        <w:spacing w:line="360" w:lineRule="auto"/>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rPr>
        <w:t xml:space="preserve">项目编号：</w:t>
      </w:r>
      <w:r>
        <w:rPr>
          <w:rFonts w:hint="eastAsia" w:ascii="宋体" w:hAnsi="宋体" w:cs="宋体"/>
          <w:b/>
          <w:bCs/>
          <w:color w:val="auto"/>
          <w:sz w:val="28"/>
          <w:szCs w:val="28"/>
          <w:highlight w:val="none"/>
          <w:lang w:eastAsia="zh-CN"/>
        </w:rPr>
        <w:t xml:space="preserve">JSZC-321203-HQGC-G2024-0024</w:t>
      </w:r>
      <w:r/>
    </w:p>
    <w:p>
      <w:pPr>
        <w:jc w:val="both"/>
        <w:spacing w:line="360" w:lineRule="auto"/>
        <w:rPr>
          <w:rFonts w:hint="eastAsia" w:ascii="Times New Roman" w:hAnsi="Times New Roman" w:eastAsia="宋体"/>
          <w:b/>
          <w:bCs/>
          <w:color w:val="auto"/>
          <w:szCs w:val="24"/>
          <w:highlight w:val="none"/>
          <w:lang w:eastAsia="zh-CN"/>
        </w:rPr>
      </w:pPr>
      <w:r>
        <w:rPr>
          <w:rFonts w:hint="eastAsia" w:ascii="宋体" w:hAnsi="宋体" w:cs="宋体"/>
          <w:b/>
          <w:bCs/>
          <w:color w:val="auto"/>
          <w:sz w:val="28"/>
          <w:szCs w:val="28"/>
          <w:highlight w:val="none"/>
          <w:lang w:eastAsia="zh-CN"/>
        </w:rPr>
        <w:t xml:space="preserve">招标人</w:t>
      </w: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eastAsia="zh-CN"/>
        </w:rPr>
        <w:t xml:space="preserve">江苏省高港现代农业产业园区管理办公室</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1125"/>
        <w:spacing w:line="360" w:lineRule="auto"/>
        <w:rPr>
          <w:rFonts w:hint="eastAsia"/>
          <w:color w:val="auto"/>
          <w:highlight w:val="none"/>
        </w:rPr>
      </w:pPr>
      <w:r>
        <w:rPr>
          <w:rFonts w:hint="eastAsia"/>
          <w:color w:val="auto"/>
          <w:highlight w:val="none"/>
        </w:rPr>
      </w:r>
      <w:r/>
    </w:p>
    <w:p>
      <w:pPr>
        <w:pStyle w:val="1124"/>
        <w:spacing w:line="360" w:lineRule="auto"/>
        <w:rPr>
          <w:rFonts w:hint="eastAsia"/>
          <w:color w:val="auto"/>
          <w:highlight w:val="none"/>
        </w:rPr>
      </w:pPr>
      <w:r>
        <w:rPr>
          <w:rFonts w:hint="eastAsia"/>
          <w:color w:val="auto"/>
          <w:highlight w:val="none"/>
        </w:rPr>
      </w:r>
      <w:r/>
    </w:p>
    <w:p>
      <w:pPr>
        <w:ind w:firstLine="480"/>
        <w:jc w:val="center"/>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r>
      <w:r/>
    </w:p>
    <w:p>
      <w:pPr>
        <w:jc w:val="center"/>
        <w:spacing w:line="360" w:lineRule="auto"/>
        <w:rPr>
          <w:rFonts w:hint="eastAsia" w:ascii="Times New Roman" w:hAnsi="Times New Roman" w:eastAsia="宋体"/>
          <w:color w:val="auto"/>
          <w:szCs w:val="24"/>
          <w:highlight w:val="none"/>
          <w:lang w:eastAsia="zh-CN"/>
        </w:rPr>
      </w:pPr>
      <w:r>
        <w:rPr>
          <w:rFonts w:hint="eastAsia" w:ascii="宋体" w:hAnsi="宋体" w:cs="宋体"/>
          <w:b/>
          <w:bCs/>
          <w:color w:val="auto"/>
          <w:sz w:val="28"/>
          <w:szCs w:val="28"/>
          <w:highlight w:val="none"/>
        </w:rPr>
        <w:t xml:space="preserve">招标代理单位：</w:t>
      </w:r>
      <w:r>
        <w:rPr>
          <w:rFonts w:hint="eastAsia" w:ascii="宋体" w:hAnsi="宋体" w:cs="宋体"/>
          <w:b/>
          <w:bCs/>
          <w:color w:val="auto"/>
          <w:sz w:val="28"/>
          <w:szCs w:val="28"/>
          <w:highlight w:val="none"/>
          <w:lang w:eastAsia="zh-CN"/>
        </w:rPr>
        <w:t xml:space="preserve">江苏华强工程投资管理咨询有限公司</w:t>
      </w:r>
      <w:r/>
    </w:p>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360" w:lineRule="auto"/>
        <w:rPr>
          <w:rFonts w:hint="eastAsia" w:ascii="Times New Roman" w:hAnsi="Times New Roman"/>
          <w:b/>
          <w:bCs/>
          <w:color w:val="auto"/>
          <w:szCs w:val="24"/>
          <w:highlight w:val="none"/>
        </w:rPr>
      </w:pPr>
      <w:r>
        <w:rPr>
          <w:rFonts w:hint="eastAsia" w:ascii="宋体" w:hAnsi="宋体" w:cs="宋体"/>
          <w:b/>
          <w:bCs/>
          <w:color w:val="auto"/>
          <w:sz w:val="28"/>
          <w:szCs w:val="28"/>
          <w:highlight w:val="none"/>
          <w:lang w:val="en-US" w:eastAsia="zh-CN"/>
        </w:rPr>
        <w:t xml:space="preserve">二〇二四年四月</w:t>
      </w:r>
      <w:r/>
    </w:p>
    <w:p>
      <w:pPr>
        <w:jc w:val="center"/>
        <w:spacing w:line="360" w:lineRule="auto"/>
        <w:rPr>
          <w:rFonts w:ascii="宋体" w:hAnsi="宋体"/>
          <w:color w:val="auto"/>
          <w:szCs w:val="24"/>
          <w:highlight w:val="none"/>
        </w:rPr>
      </w:pPr>
      <w:r>
        <w:rPr>
          <w:rFonts w:ascii="宋体" w:hAnsi="宋体"/>
          <w:color w:val="auto"/>
          <w:szCs w:val="24"/>
          <w:highlight w:val="none"/>
        </w:rPr>
      </w:r>
      <w:r/>
    </w:p>
    <w:p>
      <w:pPr>
        <w:jc w:val="center"/>
        <w:spacing w:line="360" w:lineRule="auto"/>
        <w:rPr>
          <w:rFonts w:hint="eastAsia" w:ascii="宋体" w:hAnsi="宋体"/>
          <w:color w:val="auto"/>
          <w:szCs w:val="24"/>
          <w:highlight w:val="none"/>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Cs w:val="24"/>
          <w:highlight w:val="none"/>
        </w:rPr>
      </w:r>
      <w:r/>
    </w:p>
    <w:p>
      <w:pPr>
        <w:jc w:val="center"/>
        <w:spacing w:line="360" w:lineRule="auto"/>
        <w:rPr>
          <w:rFonts w:hint="eastAsia" w:ascii="宋体" w:hAnsi="宋体"/>
          <w:color w:val="auto"/>
          <w:szCs w:val="24"/>
          <w:highlight w:val="none"/>
        </w:rPr>
      </w:pPr>
      <w:r>
        <w:rPr>
          <w:rFonts w:hint="eastAsia" w:ascii="宋体" w:hAnsi="宋体"/>
          <w:color w:val="auto"/>
          <w:szCs w:val="24"/>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目   录</w:t>
      </w:r>
      <w:r/>
    </w:p>
    <w:p>
      <w:pPr>
        <w:jc w:val="left"/>
        <w:spacing w:line="360" w:lineRule="auto"/>
        <w:widowControl/>
        <w:tabs>
          <w:tab w:val="right" w:pos="8312"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TOC \o "1-1" \h \u </w:instrText>
      </w:r>
      <w:r>
        <w:rPr>
          <w:rFonts w:ascii="宋体" w:hAnsi="宋体" w:cs="宋体"/>
          <w:color w:val="auto"/>
          <w:sz w:val="24"/>
          <w:szCs w:val="24"/>
          <w:highlight w:val="none"/>
        </w:rPr>
        <w:fldChar w:fldCharType="separate"/>
      </w:r>
      <w:r/>
    </w:p>
    <w:p>
      <w:pPr>
        <w:jc w:val="left"/>
        <w:spacing w:line="360" w:lineRule="auto"/>
        <w:widowControl/>
        <w:tabs>
          <w:tab w:val="right" w:pos="8312" w:leader="dot"/>
        </w:tabs>
        <w:rPr>
          <w:rFonts w:hint="eastAsia" w:ascii="宋体" w:hAnsi="宋体" w:cs="宋体"/>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HYPERLINK "2023年泰州市区储备、上市地块土壤污染状况调查项目招标文件11.16.doc" \l "_Toc12047"</w:instrText>
      </w:r>
      <w:r>
        <w:rPr>
          <w:rFonts w:ascii="宋体" w:hAnsi="宋体" w:cs="宋体"/>
          <w:color w:val="auto"/>
          <w:sz w:val="24"/>
          <w:szCs w:val="24"/>
          <w:highlight w:val="none"/>
        </w:rPr>
        <w:fldChar w:fldCharType="separate"/>
      </w:r>
      <w:r>
        <w:rPr>
          <w:rFonts w:hint="eastAsia" w:ascii="宋体" w:hAnsi="宋体" w:cs="宋体"/>
          <w:bCs/>
          <w:color w:val="auto"/>
          <w:sz w:val="24"/>
          <w:szCs w:val="24"/>
          <w:highlight w:val="none"/>
        </w:rPr>
        <w:t xml:space="preserve">第一章  </w:t>
      </w:r>
      <w:r>
        <w:rPr>
          <w:rFonts w:hint="eastAsia" w:ascii="宋体" w:hAnsi="宋体" w:cs="宋体"/>
          <w:color w:val="auto"/>
          <w:sz w:val="24"/>
          <w:szCs w:val="24"/>
          <w:highlight w:val="none"/>
        </w:rPr>
        <w:t xml:space="preserve">招标公告</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_Toc12047 \h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fldChar w:fldCharType="end"/>
      </w:r>
      <w:r>
        <w:rPr>
          <w:rFonts w:ascii="宋体" w:hAnsi="宋体" w:cs="宋体"/>
          <w:color w:val="auto"/>
          <w:sz w:val="24"/>
          <w:szCs w:val="24"/>
          <w:highlight w:val="none"/>
        </w:rPr>
        <w:fldChar w:fldCharType="end"/>
      </w:r>
      <w:r/>
    </w:p>
    <w:p>
      <w:pPr>
        <w:jc w:val="left"/>
        <w:spacing w:line="360" w:lineRule="auto"/>
        <w:widowControl/>
        <w:tabs>
          <w:tab w:val="right" w:pos="8312" w:leader="dot"/>
        </w:tabs>
        <w:rPr>
          <w:rFonts w:hint="eastAsia" w:ascii="宋体" w:hAnsi="宋体" w:cs="宋体"/>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HYPERLINK "2023年泰州市区储备、上市地块土壤污染状况调查项目招标文件11.16.doc" \l "_Toc21299"</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第二章  投标人须知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_Toc21299 \h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fldChar w:fldCharType="end"/>
      </w:r>
      <w:r>
        <w:rPr>
          <w:rFonts w:ascii="宋体" w:hAnsi="宋体" w:cs="宋体"/>
          <w:color w:val="auto"/>
          <w:sz w:val="24"/>
          <w:szCs w:val="24"/>
          <w:highlight w:val="none"/>
        </w:rPr>
        <w:fldChar w:fldCharType="end"/>
      </w:r>
      <w:r/>
    </w:p>
    <w:p>
      <w:pPr>
        <w:jc w:val="left"/>
        <w:spacing w:line="360" w:lineRule="auto"/>
        <w:widowControl/>
        <w:tabs>
          <w:tab w:val="right" w:pos="8312" w:leader="dot"/>
        </w:tabs>
        <w:rPr>
          <w:rFonts w:hint="eastAsia" w:ascii="宋体" w:hAnsi="宋体" w:cs="宋体"/>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HYPERLINK "2023年泰州市区储备、上市地块土壤污染状况调查项目招标文件11.16.doc" \l "_Toc31075"</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第三章  政府采购合同（参考）</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_Toc31075 \h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16</w:t>
      </w:r>
      <w:r>
        <w:rPr>
          <w:rFonts w:hint="eastAsia" w:ascii="宋体" w:hAnsi="宋体" w:cs="宋体"/>
          <w:color w:val="auto"/>
          <w:sz w:val="24"/>
          <w:szCs w:val="24"/>
          <w:highlight w:val="none"/>
        </w:rPr>
        <w:fldChar w:fldCharType="end"/>
      </w:r>
      <w:r>
        <w:rPr>
          <w:rFonts w:ascii="宋体" w:hAnsi="宋体" w:cs="宋体"/>
          <w:color w:val="auto"/>
          <w:sz w:val="24"/>
          <w:szCs w:val="24"/>
          <w:highlight w:val="none"/>
        </w:rPr>
        <w:fldChar w:fldCharType="end"/>
      </w:r>
      <w:r/>
    </w:p>
    <w:p>
      <w:pPr>
        <w:jc w:val="left"/>
        <w:spacing w:line="360" w:lineRule="auto"/>
        <w:widowControl/>
        <w:tabs>
          <w:tab w:val="right" w:pos="8312" w:leader="dot"/>
        </w:tabs>
        <w:rPr>
          <w:rFonts w:hint="eastAsia" w:ascii="宋体" w:hAnsi="宋体" w:cs="宋体"/>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HYPERLINK "2023年泰州市区储备、上市地块土壤污染状况调查项目招标文件11.16.doc" \l "_Toc1588"</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第四章  项目内容及基本要求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_Toc1588 \h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19</w:t>
      </w:r>
      <w:r>
        <w:rPr>
          <w:rFonts w:hint="eastAsia" w:ascii="宋体" w:hAnsi="宋体" w:cs="宋体"/>
          <w:color w:val="auto"/>
          <w:sz w:val="24"/>
          <w:szCs w:val="24"/>
          <w:highlight w:val="none"/>
        </w:rPr>
        <w:fldChar w:fldCharType="end"/>
      </w:r>
      <w:r>
        <w:rPr>
          <w:rFonts w:ascii="宋体" w:hAnsi="宋体" w:cs="宋体"/>
          <w:color w:val="auto"/>
          <w:sz w:val="24"/>
          <w:szCs w:val="24"/>
          <w:highlight w:val="none"/>
        </w:rPr>
        <w:fldChar w:fldCharType="end"/>
      </w:r>
      <w:r/>
    </w:p>
    <w:p>
      <w:pPr>
        <w:jc w:val="left"/>
        <w:spacing w:line="360" w:lineRule="auto"/>
        <w:widowControl/>
        <w:tabs>
          <w:tab w:val="right" w:pos="8312" w:leader="dot"/>
        </w:tabs>
        <w:rPr>
          <w:rFonts w:hint="eastAsia" w:ascii="宋体" w:hAnsi="宋体" w:cs="宋体"/>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HYPERLINK "2023年泰州市区储备、上市地块土壤污染状况调查项目招标文件11.16.doc" \l "_Toc15397"</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第五章  评审办法</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_Toc15397 \h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38</w:t>
      </w:r>
      <w:r>
        <w:rPr>
          <w:rFonts w:hint="eastAsia" w:ascii="宋体" w:hAnsi="宋体" w:cs="宋体"/>
          <w:color w:val="auto"/>
          <w:sz w:val="24"/>
          <w:szCs w:val="24"/>
          <w:highlight w:val="none"/>
        </w:rPr>
        <w:fldChar w:fldCharType="end"/>
      </w:r>
      <w:r>
        <w:rPr>
          <w:rFonts w:ascii="宋体" w:hAnsi="宋体" w:cs="宋体"/>
          <w:color w:val="auto"/>
          <w:sz w:val="24"/>
          <w:szCs w:val="24"/>
          <w:highlight w:val="none"/>
        </w:rPr>
        <w:fldChar w:fldCharType="end"/>
      </w:r>
      <w:r/>
    </w:p>
    <w:p>
      <w:pPr>
        <w:jc w:val="left"/>
        <w:spacing w:line="360" w:lineRule="auto"/>
        <w:widowControl/>
        <w:tabs>
          <w:tab w:val="right" w:pos="8312" w:leader="dot"/>
        </w:tabs>
        <w:rPr>
          <w:rFonts w:hint="eastAsia" w:ascii="宋体" w:hAnsi="宋体" w:cs="宋体"/>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HYPERLINK "2023年泰州市区储备、上市地块土壤污染状况调查项目招标文件11.16.doc" \l "_Toc15528"</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第六章  投标文件格式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_Toc15528 \h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40</w:t>
      </w:r>
      <w:r>
        <w:rPr>
          <w:rFonts w:hint="eastAsia" w:ascii="宋体" w:hAnsi="宋体" w:cs="宋体"/>
          <w:color w:val="auto"/>
          <w:sz w:val="24"/>
          <w:szCs w:val="24"/>
          <w:highlight w:val="none"/>
        </w:rPr>
        <w:fldChar w:fldCharType="end"/>
      </w:r>
      <w:r>
        <w:rPr>
          <w:rFonts w:ascii="宋体" w:hAnsi="宋体" w:cs="宋体"/>
          <w:color w:val="auto"/>
          <w:sz w:val="24"/>
          <w:szCs w:val="24"/>
          <w:highlight w:val="none"/>
        </w:rPr>
        <w:fldChar w:fldCharType="end"/>
      </w:r>
      <w:r/>
    </w:p>
    <w:p>
      <w:pPr>
        <w:ind w:right="181"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end"/>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81"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1"/>
        <w:spacing w:line="360" w:lineRule="auto"/>
        <w:rPr>
          <w:rFonts w:hint="eastAsia"/>
          <w:color w:val="auto"/>
          <w:highlight w:val="none"/>
        </w:rPr>
      </w:pPr>
      <w:r>
        <w:rPr>
          <w:rFonts w:hint="eastAsia"/>
          <w:color w:val="auto"/>
          <w:highlight w:val="none"/>
        </w:rPr>
      </w:r>
      <w:r/>
    </w:p>
    <w:p>
      <w:pPr>
        <w:ind w:right="181"/>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numPr>
          <w:ilvl w:val="0"/>
          <w:numId w:val="2"/>
        </w:numPr>
        <w:jc w:val="center"/>
        <w:keepLines/>
        <w:keepNext/>
        <w:spacing w:before="340" w:after="330" w:line="360" w:lineRule="auto"/>
        <w:rPr>
          <w:rFonts w:hint="eastAsia" w:ascii="宋体" w:hAnsi="宋体" w:cs="宋体"/>
          <w:b/>
          <w:bCs/>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outlineLvl w:val="0"/>
      </w:pPr>
      <w:r/>
      <w:bookmarkStart w:id="0" w:name="_Toc12047"/>
      <w:r/>
      <w:r/>
    </w:p>
    <w:p>
      <w:pPr>
        <w:numPr>
          <w:ilvl w:val="0"/>
          <w:numId w:val="2"/>
        </w:numPr>
        <w:jc w:val="center"/>
        <w:keepLines/>
        <w:keepNext/>
        <w:spacing w:before="340" w:after="330" w:line="360" w:lineRule="auto"/>
        <w:rPr>
          <w:rFonts w:hint="eastAsia" w:ascii="宋体" w:hAnsi="宋体" w:cs="宋体"/>
          <w:b/>
          <w:bCs/>
          <w:color w:val="auto"/>
          <w:sz w:val="24"/>
          <w:szCs w:val="24"/>
          <w:highlight w:val="none"/>
        </w:rPr>
        <w:outlineLvl w:val="0"/>
      </w:pPr>
      <w:r>
        <w:rPr>
          <w:rFonts w:hint="eastAsia" w:ascii="Times New Roman" w:hAnsi="Times New Roman"/>
          <w:b/>
          <w:color w:val="auto"/>
          <w:sz w:val="24"/>
          <w:szCs w:val="24"/>
          <w:highlight w:val="none"/>
        </w:rPr>
        <w:t xml:space="preserve">招标公告</w:t>
      </w:r>
      <w:bookmarkEnd w:id="0"/>
      <w:r/>
      <w:r/>
    </w:p>
    <w:p>
      <w:pPr>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1" w:name="_Hlk117514583"/>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lang w:eastAsia="zh-CN"/>
        </w:rPr>
        <w:t xml:space="preserve">稻米精深加工产业链条延伸——黄金米（米稀）新建项目</w:t>
      </w:r>
      <w:r>
        <w:rPr>
          <w:rFonts w:hint="eastAsia" w:ascii="宋体" w:hAnsi="宋体" w:eastAsia="宋体" w:cs="宋体"/>
          <w:color w:val="auto"/>
          <w:sz w:val="24"/>
          <w:szCs w:val="24"/>
          <w:highlight w:val="none"/>
        </w:rPr>
        <w:t xml:space="preserve">的潜</w:t>
      </w:r>
      <w:r>
        <w:rPr>
          <w:rFonts w:hint="eastAsia" w:ascii="宋体" w:hAnsi="宋体" w:eastAsia="宋体" w:cs="宋体"/>
          <w:color w:val="auto"/>
          <w:sz w:val="24"/>
          <w:szCs w:val="24"/>
          <w:highlight w:val="none"/>
          <w:lang w:val="en-US" w:eastAsia="zh-CN"/>
        </w:rPr>
        <w:t xml:space="preserve">在投标人应在</w:t>
      </w:r>
      <w:r>
        <w:rPr>
          <w:rFonts w:hint="eastAsia" w:ascii="宋体" w:hAnsi="宋体" w:cs="宋体"/>
          <w:color w:val="auto"/>
          <w:sz w:val="24"/>
          <w:szCs w:val="24"/>
          <w:highlight w:val="none"/>
          <w:u w:val="single"/>
        </w:rPr>
        <w:t xml:space="preserve">江苏政府采购“苏采云”系统</w:t>
      </w:r>
      <w:r>
        <w:rPr>
          <w:rFonts w:hint="eastAsia" w:ascii="宋体" w:hAnsi="宋体" w:cs="宋体"/>
          <w:color w:val="auto"/>
          <w:sz w:val="24"/>
          <w:szCs w:val="24"/>
          <w:highlight w:val="none"/>
        </w:rPr>
        <w:t xml:space="preserve">获取招标文件</w:t>
      </w:r>
      <w:r>
        <w:rPr>
          <w:rFonts w:hint="eastAsia" w:ascii="宋体" w:hAnsi="宋体" w:eastAsia="宋体" w:cs="宋体"/>
          <w:color w:val="auto"/>
          <w:sz w:val="24"/>
          <w:szCs w:val="24"/>
          <w:highlight w:val="none"/>
          <w:lang w:val="en-US" w:eastAsia="zh-CN"/>
        </w:rPr>
        <w:t xml:space="preserve">，并于2024年5月6</w:t>
      </w:r>
      <w:r>
        <w:rPr>
          <w:rFonts w:hint="eastAsia" w:ascii="宋体" w:hAnsi="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lang w:val="en-US" w:eastAsia="zh-CN"/>
        </w:rPr>
        <w:t xml:space="preserve">09点00分（北京时间）前递交投标文件。</w:t>
      </w:r>
      <w:r/>
    </w:p>
    <w:p>
      <w:pPr>
        <w:ind w:firstLine="482"/>
        <w:spacing w:line="360" w:lineRule="auto"/>
        <w:rPr>
          <w:rFonts w:hint="eastAsia" w:ascii="宋体" w:hAnsi="宋体" w:eastAsia="宋体" w:cs="宋体"/>
          <w:color w:val="auto"/>
          <w:sz w:val="24"/>
          <w:szCs w:val="24"/>
          <w:highlight w:val="none"/>
        </w:rPr>
      </w:pPr>
      <w:r/>
      <w:bookmarkStart w:id="2" w:name="_Hlk24379207"/>
      <w:r>
        <w:rPr>
          <w:rFonts w:hint="eastAsia" w:ascii="宋体" w:hAnsi="宋体" w:eastAsia="宋体" w:cs="宋体"/>
          <w:b/>
          <w:bCs/>
          <w:color w:val="auto"/>
          <w:sz w:val="24"/>
          <w:szCs w:val="24"/>
          <w:highlight w:val="none"/>
        </w:rPr>
        <w:t xml:space="preserve">一、项目基本情况</w:t>
      </w:r>
      <w:bookmarkEnd w:id="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JSZC-321203-HQGC-G2024-0024</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稻米精深加工产业链条延伸——黄金米（米稀）新建项目</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采购方式：</w:t>
      </w:r>
      <w:r>
        <w:rPr>
          <w:rFonts w:hint="eastAsia" w:ascii="宋体" w:hAnsi="宋体" w:eastAsia="宋体" w:cs="宋体"/>
          <w:color w:val="auto"/>
          <w:sz w:val="24"/>
          <w:szCs w:val="24"/>
          <w:highlight w:val="none"/>
          <w:lang w:val="en-US" w:eastAsia="zh-CN"/>
        </w:rPr>
        <w:t xml:space="preserve">公开招标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400</w:t>
      </w:r>
      <w:r>
        <w:rPr>
          <w:rFonts w:hint="eastAsia" w:ascii="宋体" w:hAnsi="宋体" w:eastAsia="宋体" w:cs="宋体"/>
          <w:color w:val="auto"/>
          <w:sz w:val="24"/>
          <w:szCs w:val="24"/>
          <w:highlight w:val="none"/>
        </w:rPr>
        <w:t xml:space="preserve">万元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最高限价：人民币</w:t>
      </w:r>
      <w:r>
        <w:rPr>
          <w:rFonts w:hint="eastAsia" w:ascii="宋体" w:hAnsi="宋体" w:eastAsia="宋体" w:cs="宋体"/>
          <w:color w:val="auto"/>
          <w:sz w:val="24"/>
          <w:szCs w:val="24"/>
          <w:highlight w:val="none"/>
          <w:lang w:val="en-US" w:eastAsia="zh-CN"/>
        </w:rPr>
        <w:t xml:space="preserve">400</w:t>
      </w:r>
      <w:r>
        <w:rPr>
          <w:rFonts w:hint="eastAsia" w:ascii="宋体" w:hAnsi="宋体" w:eastAsia="宋体" w:cs="宋体"/>
          <w:color w:val="auto"/>
          <w:sz w:val="24"/>
          <w:szCs w:val="24"/>
          <w:highlight w:val="none"/>
        </w:rPr>
        <w:t xml:space="preserve">万元（超过最高限价作废标处理）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拟</w:t>
      </w:r>
      <w:r>
        <w:rPr>
          <w:rFonts w:hint="eastAsia" w:ascii="宋体" w:hAnsi="宋体" w:eastAsia="宋体" w:cs="宋体"/>
          <w:color w:val="auto"/>
          <w:sz w:val="24"/>
          <w:szCs w:val="24"/>
          <w:highlight w:val="none"/>
        </w:rPr>
        <w:t xml:space="preserve">采购45台（套）货物，涉及黄</w:t>
      </w:r>
      <w:r>
        <w:rPr>
          <w:rFonts w:hint="eastAsia" w:ascii="宋体" w:hAnsi="宋体" w:eastAsia="宋体" w:cs="宋体"/>
          <w:color w:val="auto"/>
          <w:sz w:val="24"/>
          <w:szCs w:val="24"/>
          <w:highlight w:val="none"/>
        </w:rPr>
        <w:t xml:space="preserve">金米（米稀）产品加工设备、产品冻干设备、产品预处理设备等七种类型，其中：产品加工设备包括拌粉机、螺旋自动上料机等7台（套）设备；产品冻干设备包括真空冷冻干燥机组（25平）、真空冷冻干燥机组（3平）2套设备；产品预处理设备包括食材冷藏设备、洗米机、斩切设备等13台（套）设备；产品包装设备包括全自动放料机、高速包装盒贴面机等13台（套）设备；研发实验设备包括蒸汽发生器、超净工作台等6台（套）设备；生产配套系统设备包括单极反渗透水处理系统、空压系统2套设备；生产配套运输设备包括铲车、电动叉车2台设备。（具体内容见</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合同签订后，</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eastAsia="zh-CN"/>
        </w:rPr>
        <w:t xml:space="preserve">天内所有货物到达项目现场，30天内完成安装调试验收。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本项目不接受联合体，不允许挂靠、转包。</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（一）满足《中华人民共和国政府采购法》第二十二条规定并提供以下证明材料：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（5）参加采购活动前三年内，在经营活动中没有重大违法记录；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numPr>
          <w:ilvl w:val="0"/>
          <w:numId w:val="3"/>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落实政府采购政策需满足的资格要求：本项目属于</w:t>
      </w:r>
      <w:r>
        <w:rPr>
          <w:rFonts w:hint="eastAsia" w:ascii="宋体" w:hAnsi="宋体" w:eastAsia="宋体" w:cs="宋体"/>
          <w:b/>
          <w:bCs/>
          <w:i/>
          <w:iCs/>
          <w:color w:val="auto"/>
          <w:sz w:val="24"/>
          <w:szCs w:val="24"/>
          <w:highlight w:val="none"/>
          <w:lang w:val="en-US" w:eastAsia="zh-CN"/>
        </w:rPr>
        <w:t xml:space="preserve">制造</w:t>
      </w:r>
      <w:r>
        <w:rPr>
          <w:rFonts w:hint="eastAsia" w:ascii="宋体" w:hAnsi="宋体" w:eastAsia="宋体" w:cs="宋体"/>
          <w:b/>
          <w:bCs/>
          <w:i/>
          <w:iCs/>
          <w:color w:val="auto"/>
          <w:sz w:val="24"/>
          <w:szCs w:val="24"/>
          <w:highlight w:val="none"/>
        </w:rPr>
        <w:t xml:space="preserve">业</w:t>
      </w:r>
      <w:r>
        <w:rPr>
          <w:rFonts w:hint="eastAsia" w:ascii="宋体" w:hAnsi="宋体" w:eastAsia="宋体" w:cs="宋体"/>
          <w:color w:val="auto"/>
          <w:sz w:val="24"/>
          <w:szCs w:val="24"/>
          <w:highlight w:val="none"/>
        </w:rPr>
        <w:t xml:space="preserve">，专门面向中小微企业、监狱企业、残疾人福利性单位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投标文件中提供</w:t>
      </w:r>
      <w:r>
        <w:rPr>
          <w:rFonts w:hint="eastAsia" w:ascii="宋体" w:hAnsi="宋体" w:cs="宋体"/>
          <w:color w:val="auto"/>
          <w:sz w:val="24"/>
          <w:highlight w:val="none"/>
        </w:rPr>
        <w:t xml:space="preserve">《中小企业声明函》</w:t>
      </w:r>
      <w:r>
        <w:rPr>
          <w:rFonts w:hint="eastAsia" w:ascii="宋体" w:hAnsi="宋体" w:eastAsia="宋体" w:cs="宋体"/>
          <w:color w:val="auto"/>
          <w:sz w:val="24"/>
          <w:szCs w:val="24"/>
          <w:highlight w:val="none"/>
        </w:rPr>
        <w:t xml:space="preserve">。</w:t>
      </w:r>
      <w:r/>
    </w:p>
    <w:p>
      <w:pPr>
        <w:numPr>
          <w:ilvl w:val="0"/>
          <w:numId w:val="3"/>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val="en-US" w:eastAsia="zh-CN"/>
        </w:rPr>
        <w:t xml:space="preserve">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rPr>
          <w:rFonts w:hint="eastAsia" w:ascii="宋体" w:hAnsi="宋体" w:cs="宋体"/>
          <w:color w:val="auto"/>
          <w:sz w:val="24"/>
          <w:szCs w:val="24"/>
          <w:highlight w:val="none"/>
        </w:rPr>
        <w:t xml:space="preserve">在“信用中国”网站（http：//www.creditchina.gov.cn/）中被列入严重失信主体名单的投标人，不得参加投标。</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注：1</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凡为本采购项目提供整体设计、规范编制或者项目管理、监理、检测等服务的</w:t>
      </w:r>
      <w:r>
        <w:rPr>
          <w:rFonts w:hint="eastAsia" w:ascii="宋体" w:hAnsi="宋体" w:eastAsia="宋体" w:cs="宋体"/>
          <w:b/>
          <w:color w:val="auto"/>
          <w:sz w:val="24"/>
          <w:szCs w:val="24"/>
          <w:highlight w:val="none"/>
          <w:lang w:eastAsia="zh-CN"/>
        </w:rPr>
        <w:t xml:space="preserve">投标人</w:t>
      </w:r>
      <w:r>
        <w:rPr>
          <w:rFonts w:hint="eastAsia" w:ascii="宋体" w:hAnsi="宋体" w:eastAsia="宋体" w:cs="宋体"/>
          <w:b/>
          <w:color w:val="auto"/>
          <w:sz w:val="24"/>
          <w:szCs w:val="24"/>
          <w:highlight w:val="none"/>
        </w:rPr>
        <w:t xml:space="preserve">，不得再参加本采购项目的其他采购活动；</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单位法定代表人/负责人为同一人或者存在直接控股、管理关系的不同</w:t>
      </w:r>
      <w:r>
        <w:rPr>
          <w:rFonts w:hint="eastAsia" w:ascii="宋体" w:hAnsi="宋体" w:eastAsia="宋体" w:cs="宋体"/>
          <w:b/>
          <w:color w:val="auto"/>
          <w:sz w:val="24"/>
          <w:szCs w:val="24"/>
          <w:highlight w:val="none"/>
          <w:lang w:eastAsia="zh-CN"/>
        </w:rPr>
        <w:t xml:space="preserve">投标人</w:t>
      </w:r>
      <w:r>
        <w:rPr>
          <w:rFonts w:hint="eastAsia" w:ascii="宋体" w:hAnsi="宋体" w:eastAsia="宋体" w:cs="宋体"/>
          <w:b/>
          <w:color w:val="auto"/>
          <w:sz w:val="24"/>
          <w:szCs w:val="24"/>
          <w:highlight w:val="none"/>
        </w:rPr>
        <w:t xml:space="preserve">，不得参加同一合同项下的政府采购活动。</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三、获取招标文件</w:t>
      </w:r>
      <w:r/>
    </w:p>
    <w:p>
      <w:pPr>
        <w:contextualSpacing/>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1.时间：2024年</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日00:00:00至2024年</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月19</w:t>
      </w:r>
      <w:r>
        <w:rPr>
          <w:rFonts w:hint="eastAsia" w:ascii="宋体" w:hAnsi="宋体"/>
          <w:color w:val="auto"/>
          <w:sz w:val="24"/>
          <w:szCs w:val="24"/>
          <w:highlight w:val="none"/>
        </w:rPr>
        <w:t xml:space="preserve">日00:00:00截止（招标文件的获取期限自开始之日起不得少于5个工作日）</w:t>
      </w:r>
      <w:r/>
    </w:p>
    <w:p>
      <w:pPr>
        <w:contextualSpacing/>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2.地点：供应商完成注册并办理CA证书后登录“江苏政府采购“苏采云”系统”，免费下载本项目招标文件。</w:t>
      </w:r>
      <w:r/>
    </w:p>
    <w:p>
      <w:pPr>
        <w:contextualSpacing/>
        <w:ind w:firstLine="360"/>
        <w:spacing w:line="360" w:lineRule="auto"/>
        <w:rPr>
          <w:rFonts w:ascii="宋体" w:hAnsi="宋体"/>
          <w:color w:val="auto"/>
          <w:sz w:val="24"/>
          <w:szCs w:val="24"/>
          <w:highlight w:val="none"/>
          <w:lang w:val="zh-CN"/>
        </w:rPr>
      </w:pPr>
      <w:r>
        <w:rPr>
          <w:rFonts w:hint="eastAsia" w:ascii="宋体" w:hAnsi="宋体"/>
          <w:color w:val="auto"/>
          <w:sz w:val="24"/>
          <w:szCs w:val="24"/>
          <w:highlight w:val="none"/>
        </w:rPr>
        <w:t xml:space="preserve">3.本项目采用网上注册登记方式。</w:t>
      </w:r>
      <w:r/>
    </w:p>
    <w:p>
      <w:pPr>
        <w:contextualSpacing/>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4.潜在投标人访问电子招标投标交易平台的网络地址和方法：</w:t>
      </w:r>
      <w:r/>
    </w:p>
    <w:p>
      <w:pPr>
        <w:contextualSpacing/>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（1）登录http://jszfcg.jsczt.cn/点击“苏采云”进入系统。</w:t>
      </w:r>
      <w:r/>
    </w:p>
    <w:p>
      <w:pPr>
        <w:contextualSpacing/>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CA数字证书”的获取：供应商需办理CA锁，“苏采云”系统目前仅支持“苏采云”系统下的政务CA、方正签章，省内各地区办理的“苏采云”系统下的政务CA、方正签章全省通用。“CA数字证书”的办理方式详见江苏政府采购网苏采云登录页面“新CA办理指南”，网址：http://jsxcmm.com/help/help.html。</w:t>
      </w:r>
      <w:r/>
    </w:p>
    <w:p>
      <w:pPr>
        <w:contextualSpacing/>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5.代理机构将数据电文形式的采购文件加载至电子招标投标交易平台，供潜在投标人下载或者查阅。</w:t>
      </w:r>
      <w:r/>
    </w:p>
    <w:p>
      <w:pPr>
        <w:contextualSpacing/>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6.如潜在投标人未按上述要求操作，将自行承担所产生的风险。</w:t>
      </w:r>
      <w:r/>
    </w:p>
    <w:p>
      <w:pPr>
        <w:ind w:firstLine="241"/>
        <w:spacing w:line="360" w:lineRule="auto"/>
        <w:rPr>
          <w:rFonts w:hint="eastAsia" w:ascii="宋体" w:hAnsi="宋体" w:eastAsia="宋体" w:cs="宋体"/>
          <w:b/>
          <w:bCs w:val="0"/>
          <w:i/>
          <w:iCs/>
          <w:color w:val="auto"/>
          <w:sz w:val="24"/>
          <w:szCs w:val="24"/>
          <w:highlight w:val="none"/>
        </w:rPr>
      </w:pPr>
      <w:r>
        <w:rPr>
          <w:rFonts w:hint="eastAsia" w:ascii="宋体" w:hAnsi="宋体" w:eastAsia="宋体" w:cs="宋体"/>
          <w:b/>
          <w:bCs w:val="0"/>
          <w:i/>
          <w:iCs/>
          <w:color w:val="auto"/>
          <w:sz w:val="24"/>
          <w:szCs w:val="24"/>
          <w:highlight w:val="none"/>
          <w:lang w:val="en-US" w:eastAsia="zh-CN"/>
        </w:rPr>
        <w:t xml:space="preserve">7.</w:t>
      </w:r>
      <w:r>
        <w:rPr>
          <w:rFonts w:hint="eastAsia" w:ascii="宋体" w:hAnsi="宋体" w:eastAsia="宋体" w:cs="宋体"/>
          <w:b/>
          <w:bCs w:val="0"/>
          <w:i/>
          <w:iCs/>
          <w:color w:val="auto"/>
          <w:sz w:val="24"/>
          <w:szCs w:val="24"/>
          <w:highlight w:val="none"/>
        </w:rPr>
        <w:t xml:space="preserve">有关本次招标的事项若存在变动或修改，敬请及时关注“江苏省政府采购网”发布的信息更正公告。</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p>
    <w:p>
      <w:pPr>
        <w:contextualSpacing/>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投标文件递交时间：2024年5</w:t>
      </w:r>
      <w:r>
        <w:rPr>
          <w:rFonts w:hint="eastAsia" w:ascii="宋体" w:hAnsi="宋体"/>
          <w:color w:val="auto"/>
          <w:sz w:val="24"/>
          <w:szCs w:val="24"/>
          <w:highlight w:val="none"/>
        </w:rPr>
        <w:t xml:space="preserve">月6</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点</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分-</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点</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分（北京时间）；</w:t>
      </w:r>
      <w:r/>
    </w:p>
    <w:p>
      <w:pPr>
        <w:contextualSpacing/>
        <w:ind w:firstLine="3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投标文件截止时间：2024年5</w:t>
      </w:r>
      <w:r>
        <w:rPr>
          <w:rFonts w:hint="eastAsia" w:ascii="宋体" w:hAnsi="宋体" w:eastAsia="宋体" w:cs="Times New Roman"/>
          <w:color w:val="auto"/>
          <w:sz w:val="24"/>
          <w:szCs w:val="24"/>
          <w:highlight w:val="none"/>
        </w:rPr>
        <w:t xml:space="preserve">月6</w:t>
      </w:r>
      <w:r>
        <w:rPr>
          <w:rFonts w:hint="eastAsia" w:ascii="宋体" w:hAnsi="宋体" w:eastAsia="宋体" w:cs="Times New Roman"/>
          <w:color w:val="auto"/>
          <w:sz w:val="24"/>
          <w:szCs w:val="24"/>
          <w:highlight w:val="none"/>
        </w:rPr>
        <w:t xml:space="preserve">日9点00分（北京时间）；</w:t>
      </w:r>
      <w:r/>
    </w:p>
    <w:p>
      <w:pPr>
        <w:contextualSpacing/>
        <w:ind w:firstLine="3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地点：江苏政府采购“苏采云”系统http://jszfcg.jsczt.cn/不见面开标大厅。</w:t>
      </w:r>
      <w:r/>
    </w:p>
    <w:p>
      <w:pPr>
        <w:contextualSpacing/>
        <w:ind w:firstLine="36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开标时间、地点同投标文件截止时间。</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ind w:firstLine="480"/>
        <w:jc w:val="left"/>
        <w:keepLines w:val="0"/>
        <w:keepNext w:val="0"/>
        <w:pageBreakBefore w:val="0"/>
        <w:spacing w:line="360" w:lineRule="auto"/>
        <w:tabs>
          <w:tab w:val="left" w:pos="0" w:leader="none"/>
        </w:tabs>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1.发布招标公告的媒介：“江苏政府采购网  http://www.ccgp-jiangsu.gov.cn/”；</w:t>
      </w:r>
      <w:r/>
    </w:p>
    <w:p>
      <w:pPr>
        <w:ind w:firstLine="480"/>
        <w:jc w:val="left"/>
        <w:keepLines w:val="0"/>
        <w:keepNext w:val="0"/>
        <w:pageBreakBefore w:val="0"/>
        <w:spacing w:line="360" w:lineRule="auto"/>
        <w:tabs>
          <w:tab w:val="left" w:pos="0" w:leader="none"/>
        </w:tabs>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注意事项：有关本项目的更正、补充等内容将通过上述网站公布，请投标人关注。投标人有义务在采购活动期间浏览上述网页，招标人（或招标代理机构）在上述网站公布的与本次项目有关的信息视为已送达各投标人。</w:t>
      </w:r>
      <w:r/>
    </w:p>
    <w:p>
      <w:pPr>
        <w:ind w:firstLine="480"/>
        <w:jc w:val="left"/>
        <w:keepLines w:val="0"/>
        <w:keepNext w:val="0"/>
        <w:pageBreakBefore w:val="0"/>
        <w:spacing w:line="360" w:lineRule="auto"/>
        <w:tabs>
          <w:tab w:val="left" w:pos="0" w:leader="none"/>
        </w:tabs>
        <w:rPr>
          <w:rFonts w:hint="eastAsia" w:ascii="宋体" w:hAnsi="宋体" w:eastAsia="宋体" w:cs="宋体"/>
          <w:b w:val="0"/>
          <w:bCs w:val="0"/>
          <w:color w:val="auto"/>
          <w:sz w:val="24"/>
          <w:szCs w:val="24"/>
          <w:highlight w:val="none"/>
          <w:lang w:val="en-US" w:eastAsia="zh-CN"/>
        </w:rPr>
        <w:outlineLvl w:val="1"/>
      </w:pPr>
      <w:r>
        <w:rPr>
          <w:rFonts w:hint="eastAsia" w:ascii="宋体" w:hAnsi="宋体" w:eastAsia="宋体" w:cs="宋体"/>
          <w:b w:val="0"/>
          <w:bCs w:val="0"/>
          <w:color w:val="auto"/>
          <w:sz w:val="24"/>
          <w:szCs w:val="24"/>
          <w:highlight w:val="none"/>
          <w:lang w:val="en-US" w:eastAsia="zh-CN"/>
        </w:rPr>
        <w:t xml:space="preserve">2.如在制作电子投标文件中有任何疑问，请拨打电子化政府采购技术支持电话：0523-86897512。</w:t>
      </w:r>
      <w:r/>
    </w:p>
    <w:p>
      <w:pPr>
        <w:ind w:firstLine="482"/>
        <w:jc w:val="left"/>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1"/>
      </w:pPr>
      <w:r>
        <w:rPr>
          <w:rFonts w:hint="eastAsia" w:ascii="宋体" w:hAnsi="宋体" w:eastAsia="宋体" w:cs="宋体"/>
          <w:b/>
          <w:bCs/>
          <w:color w:val="auto"/>
          <w:sz w:val="24"/>
          <w:szCs w:val="24"/>
          <w:highlight w:val="none"/>
        </w:rPr>
        <w:t xml:space="preserve">七、对本次招标提出询问，请按以下方式联系。</w:t>
      </w:r>
      <w:bookmarkEnd w:id="1"/>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1.采购单位：江苏省高港现代农业产业园区管理办公室</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地址：泰州市胡庄镇赵市村</w:t>
      </w:r>
      <w:r/>
    </w:p>
    <w:p>
      <w:pPr>
        <w:pStyle w:val="1123"/>
        <w:ind w:firstLine="480"/>
        <w:rPr>
          <w:highlight w:val="none"/>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lang w:val="en-US" w:eastAsia="zh-CN"/>
        </w:rPr>
        <w:t xml:space="preserve">徐女士</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rPr>
        <w:t xml:space="preserve">  联系电话：0523-</w:t>
      </w:r>
      <w:r>
        <w:rPr>
          <w:rFonts w:hint="default" w:ascii="宋体" w:hAnsi="宋体" w:eastAsia="宋体" w:cs="宋体"/>
          <w:bCs/>
          <w:color w:val="auto"/>
          <w:sz w:val="24"/>
          <w:szCs w:val="24"/>
          <w:highlight w:val="none"/>
        </w:rPr>
        <w:t xml:space="preserve">80750201</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2.代理机构：江苏华强工程投资管理咨询有限公司</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 系 人：杨女士，  联系电话：0523-86331260</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办公地址：泰州市海陵南路179号华诚大厦B座9楼西侧    </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邮政编码：225300</w:t>
      </w:r>
      <w:r/>
    </w:p>
    <w:p>
      <w:pPr>
        <w:ind w:firstLine="482"/>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3.项目联系人</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 系 人：杨女士，  联系电话：0523-86331260</w:t>
      </w:r>
      <w:r/>
    </w:p>
    <w:p>
      <w:pPr>
        <w:pStyle w:val="1127"/>
        <w:numPr>
          <w:ilvl w:val="0"/>
          <w:numId w:val="0"/>
        </w:numPr>
        <w:ind w:right="6"/>
        <w:jc w:val="both"/>
        <w:spacing w:line="360" w:lineRule="auto"/>
        <w:widowControl w:val="off"/>
        <w:rPr>
          <w:rFonts w:hint="default" w:ascii="宋体" w:hAnsi="宋体" w:eastAsia="宋体" w:cs="宋体"/>
          <w:bCs/>
          <w:color w:val="auto"/>
          <w:sz w:val="24"/>
          <w:szCs w:val="24"/>
          <w:highlight w:val="none"/>
          <w:lang w:val="en-US" w:eastAsia="zh-CN"/>
        </w:rPr>
        <w:sectPr>
          <w:footnotePr/>
          <w:endnotePr/>
          <w:type w:val="nextPage"/>
          <w:pgSz w:w="11907" w:h="16840" w:orient="portrait"/>
          <w:pgMar w:top="1247" w:right="1080" w:bottom="1247" w:left="1080" w:header="851" w:footer="851" w:gutter="0"/>
          <w:cols w:num="1" w:sep="0" w:space="720" w:equalWidth="1"/>
          <w:docGrid w:linePitch="360"/>
        </w:sectPr>
      </w:pPr>
      <w:r>
        <w:rPr>
          <w:rFonts w:hint="default" w:ascii="宋体" w:hAnsi="宋体" w:eastAsia="宋体" w:cs="宋体"/>
          <w:bCs/>
          <w:color w:val="auto"/>
          <w:sz w:val="24"/>
          <w:szCs w:val="24"/>
          <w:highlight w:val="none"/>
          <w:lang w:val="en-US" w:eastAsia="zh-CN"/>
        </w:rPr>
      </w:r>
      <w:r/>
    </w:p>
    <w:p>
      <w:pPr>
        <w:jc w:val="center"/>
        <w:keepLines/>
        <w:keepNext/>
        <w:pageBreakBefore w:val="0"/>
        <w:spacing w:beforeAutospacing="0" w:afterAutospacing="0" w:line="360" w:lineRule="auto"/>
        <w:rPr>
          <w:rFonts w:hint="eastAsia" w:ascii="Times New Roman" w:hAnsi="Times New Roman"/>
          <w:b/>
          <w:color w:val="auto"/>
          <w:sz w:val="24"/>
          <w:szCs w:val="24"/>
          <w:highlight w:val="none"/>
        </w:rPr>
        <w:outlineLvl w:val="0"/>
      </w:pPr>
      <w:r/>
      <w:bookmarkStart w:id="3" w:name="_Toc21299"/>
      <w:r>
        <w:rPr>
          <w:rFonts w:hint="eastAsia" w:ascii="Times New Roman" w:hAnsi="Times New Roman"/>
          <w:b/>
          <w:color w:val="auto"/>
          <w:sz w:val="24"/>
          <w:szCs w:val="24"/>
          <w:highlight w:val="none"/>
        </w:rPr>
        <w:t xml:space="preserve">第二章</w:t>
      </w:r>
      <w:r>
        <w:rPr>
          <w:rFonts w:ascii="Times New Roman" w:hAnsi="Times New Roman"/>
          <w:b/>
          <w:color w:val="auto"/>
          <w:sz w:val="24"/>
          <w:szCs w:val="24"/>
          <w:highlight w:val="none"/>
        </w:rPr>
        <w:t xml:space="preserve">  </w:t>
      </w:r>
      <w:r>
        <w:rPr>
          <w:rFonts w:hint="eastAsia" w:ascii="Times New Roman" w:hAnsi="Times New Roman"/>
          <w:b/>
          <w:color w:val="auto"/>
          <w:sz w:val="24"/>
          <w:szCs w:val="24"/>
          <w:highlight w:val="none"/>
        </w:rPr>
        <w:t xml:space="preserve">投标人须知</w:t>
      </w:r>
      <w:bookmarkEnd w:id="3"/>
      <w:r/>
      <w:r/>
    </w:p>
    <w:p>
      <w:pPr>
        <w:jc w:val="center"/>
        <w:pageBreakBefore w:val="0"/>
        <w:spacing w:beforeAutospacing="0" w:afterAutospacing="0" w:line="360" w:lineRule="auto"/>
        <w:widowControl/>
        <w:rPr>
          <w:rFonts w:hint="eastAsia" w:ascii="宋体" w:hAnsi="宋体" w:cs="宋体"/>
          <w:color w:val="auto"/>
          <w:sz w:val="24"/>
          <w:highlight w:val="none"/>
        </w:rPr>
      </w:pPr>
      <w:r/>
      <w:bookmarkStart w:id="4" w:name="_Hlk117514635"/>
      <w:r>
        <w:rPr>
          <w:rFonts w:hint="eastAsia" w:ascii="宋体" w:hAnsi="宋体" w:cs="宋体"/>
          <w:color w:val="auto"/>
          <w:sz w:val="24"/>
          <w:highlight w:val="none"/>
        </w:rPr>
        <w:t xml:space="preserve">投标须知前附表</w:t>
      </w:r>
      <w:r/>
    </w:p>
    <w:tbl>
      <w:tblPr>
        <w:tblStyle w:val="1120"/>
        <w:tblW w:w="8887" w:type="dxa"/>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8"/>
        <w:gridCol w:w="8169"/>
      </w:tblGrid>
      <w:tr>
        <w:trPr>
          <w:cantSplit/>
          <w:jc w:val="center"/>
          <w:trHeight w:val="464"/>
        </w:trPr>
        <w:tc>
          <w:tcPr>
            <w:tcW w:w="71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169" w:type="dxa"/>
            <w:vAlign w:val="center"/>
            <w:textDirection w:val="lrTb"/>
            <w:noWrap w:val="false"/>
          </w:tcPr>
          <w:p>
            <w:pPr>
              <w:ind w:firstLine="4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                        容</w:t>
            </w:r>
            <w:r/>
          </w:p>
        </w:tc>
      </w:tr>
      <w:tr>
        <w:trPr>
          <w:cantSplit/>
          <w:jc w:val="center"/>
          <w:trHeight w:val="793"/>
        </w:trPr>
        <w:tc>
          <w:tcPr>
            <w:tcW w:w="7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169" w:type="dxa"/>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项目名称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稻米精深加工产业链条延伸——黄金米（米稀）新建项目</w:t>
            </w:r>
            <w:r/>
          </w:p>
          <w:p>
            <w:pPr>
              <w:spacing w:line="360" w:lineRule="auto"/>
              <w:rPr>
                <w:rFonts w:hint="eastAsia" w:ascii="宋体" w:hAnsi="宋体" w:eastAsia="宋体" w:cs="宋体"/>
                <w:b/>
                <w:color w:val="auto"/>
                <w:spacing w:val="15"/>
                <w:sz w:val="24"/>
                <w:szCs w:val="24"/>
                <w:highlight w:val="none"/>
                <w:lang w:eastAsia="zh-CN"/>
              </w:rPr>
            </w:pPr>
            <w:r>
              <w:rPr>
                <w:rFonts w:hint="eastAsia" w:ascii="宋体" w:hAnsi="宋体" w:eastAsia="宋体" w:cs="宋体"/>
                <w:b/>
                <w:bCs/>
                <w:color w:val="auto"/>
                <w:sz w:val="24"/>
                <w:szCs w:val="24"/>
                <w:highlight w:val="none"/>
              </w:rPr>
              <w:t xml:space="preserve">采购编号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JSZC-321203-HQGC-G2024-0024</w:t>
            </w:r>
            <w:r/>
          </w:p>
        </w:tc>
      </w:tr>
      <w:tr>
        <w:trPr>
          <w:cantSplit/>
          <w:jc w:val="center"/>
          <w:trHeight w:val="819"/>
        </w:trPr>
        <w:tc>
          <w:tcPr>
            <w:tcW w:w="7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16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采购代理单位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江苏华强工程投资管理咨询有限公司</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采购代理单位地址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泰州市海陵南路179号华诚大厦B座9楼</w:t>
            </w:r>
            <w:r/>
          </w:p>
        </w:tc>
      </w:tr>
      <w:tr>
        <w:trPr>
          <w:cantSplit/>
          <w:jc w:val="center"/>
          <w:trHeight w:val="1263"/>
        </w:trPr>
        <w:tc>
          <w:tcPr>
            <w:tcW w:w="7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p>
            <w:pPr>
              <w:pStyle w:val="1127"/>
              <w:jc w:val="center"/>
              <w:tabs>
                <w:tab w:val="left" w:pos="9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1127"/>
              <w:jc w:val="center"/>
              <w:tabs>
                <w:tab w:val="left" w:pos="9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呻</w:t>
            </w:r>
            <w:r/>
          </w:p>
        </w:tc>
        <w:tc>
          <w:tcPr>
            <w:tcW w:w="8169" w:type="dxa"/>
            <w:vAlign w:val="center"/>
            <w:textDirection w:val="lrTb"/>
            <w:noWrap w:val="false"/>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招标文件发放：</w:t>
            </w:r>
            <w:r>
              <w:rPr>
                <w:rFonts w:hint="eastAsia" w:ascii="宋体" w:hAnsi="宋体"/>
                <w:color w:val="auto"/>
                <w:sz w:val="24"/>
                <w:szCs w:val="24"/>
                <w:highlight w:val="none"/>
              </w:rPr>
              <w:t xml:space="preserve">供应商完成注册并办理CA证书后登录“江苏政府采购“苏采云”系统”，免费下载本项目招标文件。</w:t>
            </w:r>
            <w:r/>
          </w:p>
        </w:tc>
      </w:tr>
      <w:tr>
        <w:trPr>
          <w:cantSplit/>
          <w:jc w:val="center"/>
          <w:trHeight w:val="678"/>
        </w:trPr>
        <w:tc>
          <w:tcPr>
            <w:tcW w:w="7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169" w:type="dxa"/>
            <w:vAlign w:val="center"/>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本项目采购预算：</w:t>
            </w:r>
            <w:r>
              <w:rPr>
                <w:rFonts w:hint="eastAsia" w:ascii="宋体" w:hAnsi="宋体" w:eastAsia="宋体" w:cs="宋体"/>
                <w:bCs/>
                <w:color w:val="auto"/>
                <w:sz w:val="24"/>
                <w:szCs w:val="24"/>
                <w:highlight w:val="none"/>
                <w:lang w:val="en-US" w:eastAsia="zh-CN"/>
              </w:rPr>
              <w:t xml:space="preserve">400</w:t>
            </w:r>
            <w:r>
              <w:rPr>
                <w:rFonts w:hint="eastAsia" w:ascii="宋体" w:hAnsi="宋体" w:eastAsia="宋体" w:cs="宋体"/>
                <w:bCs/>
                <w:color w:val="auto"/>
                <w:sz w:val="24"/>
                <w:szCs w:val="24"/>
                <w:highlight w:val="none"/>
              </w:rPr>
              <w:t xml:space="preserve">万元人民币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最高限价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400</w:t>
            </w:r>
            <w:r>
              <w:rPr>
                <w:rFonts w:hint="eastAsia" w:ascii="宋体" w:hAnsi="宋体" w:eastAsia="宋体" w:cs="宋体"/>
                <w:bCs/>
                <w:color w:val="auto"/>
                <w:sz w:val="24"/>
                <w:szCs w:val="24"/>
                <w:highlight w:val="none"/>
              </w:rPr>
              <w:t xml:space="preserve">万元人民币</w:t>
            </w:r>
            <w:r>
              <w:rPr>
                <w:rFonts w:hint="eastAsia" w:ascii="宋体" w:hAnsi="宋体" w:eastAsia="宋体" w:cs="宋体"/>
                <w:color w:val="auto"/>
                <w:sz w:val="24"/>
                <w:szCs w:val="24"/>
                <w:highlight w:val="none"/>
              </w:rPr>
              <w:t xml:space="preserve">。</w:t>
            </w:r>
            <w:r/>
          </w:p>
        </w:tc>
      </w:tr>
      <w:tr>
        <w:trPr>
          <w:cantSplit/>
          <w:jc w:val="center"/>
          <w:trHeight w:val="640"/>
        </w:trPr>
        <w:tc>
          <w:tcPr>
            <w:tcW w:w="71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8169" w:type="dxa"/>
            <w:vAlign w:val="center"/>
            <w:textDirection w:val="lrTb"/>
            <w:noWrap w:val="false"/>
          </w:tcPr>
          <w:p>
            <w:pPr>
              <w:contextualSpacing/>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投标文件的制作要求：</w:t>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本项目通过“苏采云”系统进行电子采购，即供应商投标文件从政府采购客户端工具制作并通过“苏采云”系统提交。</w:t>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供应商应当通过“苏采云”系统提交数据电文形式的投标文件（即电子投标）。未进行线上投标文件提交并解密(因“苏采云”系统导致解密失败的除外)的供应商，响应无效。</w:t>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ascii="宋体" w:hAnsi="宋体" w:cs="宋体"/>
                <w:color w:val="auto"/>
                <w:sz w:val="24"/>
                <w:szCs w:val="24"/>
                <w:highlight w:val="none"/>
              </w:rPr>
              <w:t xml:space="preserve">http://jszfcg.jsczt.cn/</w:t>
            </w:r>
            <w:r>
              <w:rPr>
                <w:rFonts w:ascii="宋体" w:hAnsi="宋体" w:cs="宋体"/>
                <w:color w:val="auto"/>
                <w:sz w:val="24"/>
                <w:szCs w:val="24"/>
                <w:highlight w:val="none"/>
              </w:rPr>
              <w:fldChar w:fldCharType="end"/>
            </w:r>
            <w:r>
              <w:rPr>
                <w:rFonts w:ascii="宋体" w:hAnsi="宋体" w:cs="宋体"/>
                <w:color w:val="auto"/>
                <w:sz w:val="24"/>
                <w:szCs w:val="24"/>
                <w:highlight w:val="none"/>
              </w:rPr>
              <w:t xml:space="preserve">），按照要求通过互联网方式提交投标文件。</w:t>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“苏采云”系统使用要求：</w:t>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使用谷歌浏览器参与不见面开标及相关环节。</w:t>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电脑需提前准备好麦克风、音响，摄像头，提前检查保证能够正常使用。</w:t>
            </w:r>
            <w:r/>
          </w:p>
          <w:p>
            <w:pPr>
              <w:spacing w:before="19" w:line="360" w:lineRule="auto"/>
              <w:widowControl/>
              <w:rPr>
                <w:rFonts w:hint="eastAsia" w:ascii="宋体" w:hAnsi="宋体" w:eastAsia="宋体" w:cs="宋体"/>
                <w:b/>
                <w:bCs/>
                <w:color w:val="auto"/>
                <w:sz w:val="24"/>
                <w:szCs w:val="24"/>
                <w:highlight w:val="none"/>
              </w:rPr>
            </w:pPr>
            <w:r>
              <w:rPr>
                <w:rFonts w:ascii="宋体" w:hAnsi="宋体" w:cs="宋体"/>
                <w:color w:val="auto"/>
                <w:sz w:val="24"/>
                <w:szCs w:val="24"/>
                <w:highlight w:val="none"/>
              </w:rPr>
              <w:t xml:space="preserve">操作系统至少win7以上，建议使用win10操作系统。</w:t>
            </w:r>
            <w:r/>
          </w:p>
        </w:tc>
      </w:tr>
      <w:tr>
        <w:trPr>
          <w:cantSplit/>
          <w:jc w:val="center"/>
          <w:trHeight w:val="476"/>
        </w:trPr>
        <w:tc>
          <w:tcPr>
            <w:tcW w:w="7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169" w:type="dxa"/>
            <w:vAlign w:val="center"/>
            <w:textDirection w:val="lrTb"/>
            <w:noWrap w:val="false"/>
          </w:tcPr>
          <w:p>
            <w:pPr>
              <w:contextualSpacing/>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投标文件递交时间：2024年5</w:t>
            </w:r>
            <w:r>
              <w:rPr>
                <w:rFonts w:hint="eastAsia" w:ascii="宋体" w:hAnsi="宋体"/>
                <w:color w:val="auto"/>
                <w:sz w:val="24"/>
                <w:szCs w:val="24"/>
                <w:highlight w:val="none"/>
              </w:rPr>
              <w:t xml:space="preserve">月6</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点</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分-</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点</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分（北京时间）；</w:t>
            </w:r>
            <w:r/>
          </w:p>
          <w:p>
            <w:pPr>
              <w:contextualSpacing/>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投标文件截止时间：2024年5</w:t>
            </w:r>
            <w:r>
              <w:rPr>
                <w:rFonts w:hint="eastAsia" w:ascii="宋体" w:hAnsi="宋体"/>
                <w:color w:val="auto"/>
                <w:sz w:val="24"/>
                <w:szCs w:val="24"/>
                <w:highlight w:val="none"/>
              </w:rPr>
              <w:t xml:space="preserve">月6</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点</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分（北京时间）；</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cs="宋体"/>
                <w:color w:val="auto"/>
                <w:spacing w:val="15"/>
                <w:sz w:val="24"/>
                <w:szCs w:val="24"/>
                <w:highlight w:val="none"/>
              </w:rPr>
              <w:t xml:space="preserve">投标文件递交地点：“苏采云”</w:t>
            </w:r>
            <w:r>
              <w:rPr>
                <w:rFonts w:hint="eastAsia" w:ascii="宋体" w:hAnsi="宋体"/>
                <w:bCs/>
                <w:color w:val="auto"/>
                <w:sz w:val="24"/>
                <w:szCs w:val="24"/>
                <w:highlight w:val="none"/>
              </w:rPr>
              <w:t xml:space="preserve">（http://jszfcg.jsczt.cn/）</w:t>
            </w:r>
            <w:r>
              <w:rPr>
                <w:rFonts w:hint="eastAsia" w:ascii="宋体" w:hAnsi="宋体" w:cs="宋体"/>
                <w:color w:val="auto"/>
                <w:spacing w:val="15"/>
                <w:sz w:val="24"/>
                <w:szCs w:val="24"/>
                <w:highlight w:val="none"/>
              </w:rPr>
              <w:t xml:space="preserve">不见面开标大厅</w:t>
            </w:r>
            <w:r>
              <w:rPr>
                <w:rFonts w:hint="eastAsia" w:ascii="宋体" w:hAnsi="宋体" w:cs="宋体"/>
                <w:color w:val="auto"/>
                <w:spacing w:val="15"/>
                <w:sz w:val="24"/>
                <w:szCs w:val="24"/>
                <w:highlight w:val="none"/>
                <w:lang w:eastAsia="zh-CN"/>
              </w:rPr>
              <w:t xml:space="preserve">。</w:t>
            </w:r>
            <w:r/>
          </w:p>
        </w:tc>
      </w:tr>
      <w:tr>
        <w:trPr>
          <w:cantSplit/>
          <w:jc w:val="center"/>
          <w:trHeight w:val="425"/>
        </w:trPr>
        <w:tc>
          <w:tcPr>
            <w:tcW w:w="718"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816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投标有效期</w:t>
            </w:r>
            <w:r>
              <w:rPr>
                <w:rFonts w:hint="eastAsia" w:ascii="宋体" w:hAnsi="宋体" w:eastAsia="宋体" w:cs="宋体"/>
                <w:color w:val="auto"/>
                <w:sz w:val="24"/>
                <w:szCs w:val="24"/>
                <w:highlight w:val="none"/>
              </w:rPr>
              <w:t xml:space="preserve">：开标之日后90日历天。</w:t>
            </w:r>
            <w:r/>
          </w:p>
        </w:tc>
      </w:tr>
      <w:tr>
        <w:trPr>
          <w:cantSplit/>
          <w:jc w:val="center"/>
          <w:trHeight w:val="464"/>
        </w:trPr>
        <w:tc>
          <w:tcPr>
            <w:tcW w:w="71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8169" w:type="dxa"/>
            <w:vAlign w:val="top"/>
            <w:textDirection w:val="lrTb"/>
            <w:noWrap w:val="false"/>
          </w:tcPr>
          <w:p>
            <w:pPr>
              <w:contextualSpacing/>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开标时间：2024年</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月6</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点</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rPr>
              <w:t xml:space="preserve">分（北京时间）</w:t>
            </w:r>
            <w:r/>
          </w:p>
          <w:p>
            <w:pPr>
              <w:spacing w:line="360" w:lineRule="auto"/>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开标地址：</w:t>
            </w:r>
            <w:r>
              <w:rPr>
                <w:rFonts w:hint="eastAsia" w:ascii="宋体" w:hAnsi="宋体" w:cs="宋体"/>
                <w:color w:val="auto"/>
                <w:spacing w:val="15"/>
                <w:sz w:val="24"/>
                <w:szCs w:val="24"/>
                <w:highlight w:val="none"/>
              </w:rPr>
              <w:t xml:space="preserve">“苏采云”</w:t>
            </w:r>
            <w:r>
              <w:rPr>
                <w:rFonts w:hint="eastAsia" w:ascii="宋体" w:hAnsi="宋体"/>
                <w:bCs/>
                <w:color w:val="auto"/>
                <w:sz w:val="24"/>
                <w:szCs w:val="24"/>
                <w:highlight w:val="none"/>
              </w:rPr>
              <w:t xml:space="preserve">（http://jszfcg.jsczt.cn/）</w:t>
            </w:r>
            <w:r>
              <w:rPr>
                <w:rFonts w:hint="eastAsia" w:ascii="宋体" w:hAnsi="宋体" w:cs="宋体"/>
                <w:color w:val="auto"/>
                <w:spacing w:val="15"/>
                <w:sz w:val="24"/>
                <w:szCs w:val="24"/>
                <w:highlight w:val="none"/>
              </w:rPr>
              <w:t xml:space="preserve">不见面开标大厅</w:t>
            </w:r>
            <w:r/>
          </w:p>
        </w:tc>
      </w:tr>
      <w:tr>
        <w:trPr>
          <w:cantSplit/>
          <w:jc w:val="center"/>
          <w:trHeight w:val="464"/>
        </w:trPr>
        <w:tc>
          <w:tcPr>
            <w:tcW w:w="71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8169" w:type="dxa"/>
            <w:vAlign w:val="top"/>
            <w:textDirection w:val="lrTb"/>
            <w:noWrap w:val="false"/>
          </w:tcPr>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1.投标保证金：无。</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履约保证金：</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履约保证金金额：</w:t>
            </w:r>
            <w:r>
              <w:rPr>
                <w:rFonts w:hint="eastAsia" w:ascii="宋体" w:hAnsi="宋体" w:eastAsia="宋体" w:cs="宋体"/>
                <w:color w:val="auto"/>
                <w:sz w:val="24"/>
                <w:szCs w:val="24"/>
                <w:highlight w:val="none"/>
              </w:rPr>
              <w:t xml:space="preserve">中标总金额的</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 </w:t>
            </w:r>
            <w:r/>
          </w:p>
          <w:p>
            <w:pPr>
              <w:contextualSpacing/>
              <w:spacing w:line="360" w:lineRule="auto"/>
              <w:rPr>
                <w:rFonts w:ascii="宋体" w:hAnsi="宋体"/>
                <w:bCs/>
                <w:color w:val="auto"/>
                <w:sz w:val="24"/>
                <w:szCs w:val="24"/>
                <w:highlight w:val="none"/>
              </w:rPr>
            </w:pPr>
            <w:r>
              <w:rPr>
                <w:rFonts w:hint="eastAsia" w:ascii="宋体" w:hAnsi="宋体" w:eastAsia="宋体" w:cs="宋体"/>
                <w:b/>
                <w:bCs/>
                <w:color w:val="auto"/>
                <w:sz w:val="24"/>
                <w:szCs w:val="24"/>
                <w:highlight w:val="none"/>
              </w:rPr>
              <w:t xml:space="preserve">递交时间：</w:t>
            </w:r>
            <w:r>
              <w:rPr>
                <w:rFonts w:hint="eastAsia" w:ascii="宋体" w:hAnsi="宋体"/>
                <w:bCs/>
                <w:color w:val="auto"/>
                <w:sz w:val="24"/>
                <w:szCs w:val="24"/>
                <w:highlight w:val="none"/>
              </w:rPr>
              <w:t xml:space="preserve">收到中标通知书后，并在签订合同前提交；</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递交方式：</w:t>
            </w:r>
            <w:r>
              <w:rPr>
                <w:rFonts w:hint="eastAsia" w:ascii="宋体" w:hAnsi="宋体"/>
                <w:bCs/>
                <w:color w:val="auto"/>
                <w:sz w:val="24"/>
                <w:szCs w:val="24"/>
                <w:highlight w:val="none"/>
              </w:rPr>
              <w:t xml:space="preserve">电汇或网银支付或银行保函或履约保证保险；</w:t>
            </w:r>
            <w:r/>
          </w:p>
          <w:p>
            <w:pPr>
              <w:spacing w:line="360" w:lineRule="auto"/>
              <w:rPr>
                <w:rFonts w:hint="eastAsia" w:ascii="宋体" w:hAnsi="宋体"/>
                <w:color w:val="auto"/>
                <w:sz w:val="24"/>
                <w:szCs w:val="24"/>
                <w:highlight w:val="none"/>
              </w:rPr>
            </w:pPr>
            <w:r>
              <w:rPr>
                <w:rFonts w:hint="eastAsia" w:ascii="宋体" w:hAnsi="宋体" w:eastAsia="宋体" w:cs="宋体"/>
                <w:b/>
                <w:bCs/>
                <w:color w:val="auto"/>
                <w:sz w:val="24"/>
                <w:szCs w:val="24"/>
                <w:highlight w:val="none"/>
              </w:rPr>
              <w:t xml:space="preserve">退还时间：</w:t>
            </w:r>
            <w:r>
              <w:rPr>
                <w:rFonts w:hint="eastAsia" w:ascii="宋体" w:hAnsi="宋体" w:eastAsia="宋体" w:cs="宋体"/>
                <w:color w:val="auto"/>
                <w:sz w:val="24"/>
                <w:szCs w:val="24"/>
                <w:highlight w:val="none"/>
                <w:lang w:val="zh-CN"/>
              </w:rPr>
              <w:t xml:space="preserve">自提交之日起至项目验收合格止，</w:t>
            </w:r>
            <w:r>
              <w:rPr>
                <w:rFonts w:hint="eastAsia" w:ascii="宋体" w:hAnsi="宋体" w:eastAsia="宋体" w:cs="宋体"/>
                <w:color w:val="auto"/>
                <w:sz w:val="24"/>
                <w:szCs w:val="24"/>
                <w:highlight w:val="none"/>
              </w:rPr>
              <w:t xml:space="preserve">无息退还</w:t>
            </w:r>
            <w:r>
              <w:rPr>
                <w:rFonts w:hint="eastAsia" w:ascii="宋体" w:hAnsi="宋体" w:eastAsia="宋体" w:cs="宋体"/>
                <w:color w:val="auto"/>
                <w:sz w:val="24"/>
                <w:szCs w:val="24"/>
                <w:highlight w:val="none"/>
                <w:lang w:eastAsia="zh-CN"/>
              </w:rPr>
              <w:t xml:space="preserve">。</w:t>
            </w:r>
            <w:r/>
          </w:p>
        </w:tc>
      </w:tr>
      <w:tr>
        <w:trPr>
          <w:cantSplit/>
          <w:jc w:val="center"/>
          <w:trHeight w:val="482"/>
        </w:trPr>
        <w:tc>
          <w:tcPr>
            <w:tcW w:w="7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816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签订合同地点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指定地点</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合同签订主体：</w:t>
            </w:r>
            <w:r>
              <w:rPr>
                <w:rFonts w:hint="eastAsia" w:ascii="宋体" w:hAnsi="宋体" w:eastAsia="宋体" w:cs="宋体"/>
                <w:color w:val="auto"/>
                <w:sz w:val="24"/>
                <w:szCs w:val="24"/>
                <w:highlight w:val="none"/>
              </w:rPr>
              <w:t xml:space="preserve">江苏江福农业发展有限公司</w:t>
            </w:r>
            <w:r/>
          </w:p>
          <w:p>
            <w:pP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监督主体：</w:t>
            </w:r>
            <w:r>
              <w:rPr>
                <w:rFonts w:hint="eastAsia" w:ascii="宋体" w:hAnsi="宋体" w:eastAsia="宋体" w:cs="宋体"/>
                <w:b w:val="0"/>
                <w:bCs/>
                <w:color w:val="auto"/>
                <w:sz w:val="24"/>
                <w:szCs w:val="24"/>
                <w:highlight w:val="none"/>
                <w:lang w:val="en-US" w:eastAsia="zh-CN"/>
              </w:rPr>
              <w:t xml:space="preserve">江苏省高港现代农业产业园区管理办公室</w:t>
            </w:r>
            <w:r/>
          </w:p>
        </w:tc>
      </w:tr>
      <w:tr>
        <w:trPr>
          <w:cantSplit/>
          <w:jc w:val="center"/>
          <w:trHeight w:val="459"/>
        </w:trPr>
        <w:tc>
          <w:tcPr>
            <w:tcW w:w="7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816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rPr>
              <w:t xml:space="preserve">交付地点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指定地点。</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项目交付</w:t>
            </w:r>
            <w:r>
              <w:rPr>
                <w:rFonts w:hint="eastAsia" w:ascii="宋体" w:hAnsi="宋体" w:eastAsia="宋体" w:cs="宋体"/>
                <w:b/>
                <w:bCs/>
                <w:color w:val="auto"/>
                <w:sz w:val="24"/>
                <w:szCs w:val="24"/>
                <w:highlight w:val="none"/>
              </w:rPr>
              <w:t xml:space="preserve">期限</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lang w:eastAsia="zh-CN"/>
              </w:rPr>
              <w:t xml:space="preserve">合同签订后，</w:t>
            </w:r>
            <w:r>
              <w:rPr>
                <w:rFonts w:hint="eastAsia" w:ascii="宋体" w:hAnsi="宋体" w:cs="宋体"/>
                <w:color w:val="auto"/>
                <w:sz w:val="24"/>
                <w:szCs w:val="24"/>
                <w:highlight w:val="none"/>
                <w:lang w:eastAsia="zh-CN"/>
              </w:rPr>
              <w:t xml:space="preserve">45天内所有货物</w:t>
            </w:r>
            <w:r>
              <w:rPr>
                <w:rFonts w:hint="eastAsia" w:ascii="宋体" w:hAnsi="宋体" w:eastAsia="宋体" w:cs="宋体"/>
                <w:color w:val="auto"/>
                <w:sz w:val="24"/>
                <w:szCs w:val="24"/>
                <w:highlight w:val="none"/>
                <w:lang w:eastAsia="zh-CN"/>
              </w:rPr>
              <w:t xml:space="preserve">到达项目现场，30天内完成安装调试验收。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项目</w:t>
            </w:r>
            <w:r>
              <w:rPr>
                <w:rFonts w:hint="eastAsia" w:ascii="宋体" w:hAnsi="宋体" w:eastAsia="宋体" w:cs="宋体"/>
                <w:b/>
                <w:color w:val="auto"/>
                <w:sz w:val="24"/>
                <w:szCs w:val="24"/>
                <w:highlight w:val="none"/>
              </w:rPr>
              <w:t xml:space="preserve">交付方式：</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和中标人约定，按照合同约定执行。</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合同形式：</w:t>
            </w:r>
            <w:r>
              <w:rPr>
                <w:rFonts w:hint="eastAsia" w:ascii="宋体" w:hAnsi="宋体" w:eastAsia="宋体" w:cs="宋体"/>
                <w:color w:val="auto"/>
                <w:sz w:val="24"/>
                <w:szCs w:val="24"/>
                <w:highlight w:val="none"/>
              </w:rPr>
              <w:t xml:space="preserve">综合单价</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w:t>
            </w:r>
            <w:r/>
          </w:p>
        </w:tc>
      </w:tr>
      <w:tr>
        <w:trPr>
          <w:cantSplit/>
          <w:jc w:val="center"/>
          <w:trHeight w:val="1086"/>
        </w:trPr>
        <w:tc>
          <w:tcPr>
            <w:tcW w:w="718"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8169" w:type="dxa"/>
            <w:vAlign w:val="center"/>
            <w:textDirection w:val="lrTb"/>
            <w:noWrap w:val="false"/>
          </w:tcPr>
          <w:p>
            <w:pPr>
              <w:pStyle w:val="1123"/>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付款方式：</w:t>
            </w:r>
            <w:r>
              <w:rPr>
                <w:rFonts w:hint="eastAsia" w:ascii="宋体" w:hAnsi="宋体" w:eastAsia="宋体" w:cs="Times New Roman"/>
                <w:color w:val="auto"/>
                <w:sz w:val="24"/>
                <w:szCs w:val="24"/>
                <w:highlight w:val="none"/>
                <w:lang w:val="en-US" w:eastAsia="zh-CN" w:bidi="ar-SA"/>
              </w:rPr>
              <w:t xml:space="preserve">合同签订，且乙方按招标文件要求提交的《安装方案》经甲方确认无误后，甲方向乙方支付合同总金额的30%作为预付款；项目</w:t>
            </w:r>
            <w:r>
              <w:rPr>
                <w:rFonts w:hint="eastAsia" w:ascii="宋体" w:hAnsi="宋体" w:eastAsia="宋体" w:cs="Times New Roman"/>
                <w:color w:val="auto"/>
                <w:sz w:val="24"/>
                <w:szCs w:val="24"/>
                <w:highlight w:val="none"/>
                <w:lang w:val="en-US" w:eastAsia="zh-Hans" w:bidi="ar-SA"/>
              </w:rPr>
              <w:t xml:space="preserve">通过审计验收</w:t>
            </w:r>
            <w:r>
              <w:rPr>
                <w:rFonts w:hint="eastAsia" w:ascii="宋体" w:hAnsi="宋体" w:eastAsia="宋体" w:cs="Times New Roman"/>
                <w:color w:val="auto"/>
                <w:sz w:val="24"/>
                <w:szCs w:val="24"/>
                <w:highlight w:val="none"/>
                <w:lang w:val="en-US" w:eastAsia="zh-CN" w:bidi="ar-SA"/>
              </w:rPr>
              <w:t xml:space="preserve">后，甲方向乙方支付至审定总金额的97%；履约满后，付清尾款。</w:t>
            </w:r>
            <w:r/>
          </w:p>
        </w:tc>
      </w:tr>
      <w:tr>
        <w:trPr>
          <w:cantSplit/>
          <w:jc w:val="center"/>
          <w:trHeight w:val="657"/>
        </w:trPr>
        <w:tc>
          <w:tcPr>
            <w:tcW w:w="71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8169" w:type="dxa"/>
            <w:vAlign w:val="center"/>
            <w:textDirection w:val="lrTb"/>
            <w:noWrap w:val="false"/>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以邮递、电子邮件等方式递交的投标文件，投标应由其法人或持法人委托书的授权代表于开标前当面提交。</w:t>
            </w:r>
            <w:r/>
          </w:p>
        </w:tc>
      </w:tr>
      <w:tr>
        <w:trPr>
          <w:cantSplit/>
          <w:jc w:val="center"/>
          <w:trHeight w:val="657"/>
        </w:trPr>
        <w:tc>
          <w:tcPr>
            <w:tcW w:w="71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p>
        </w:tc>
        <w:tc>
          <w:tcPr>
            <w:tcW w:w="8169" w:type="dxa"/>
            <w:vAlign w:val="center"/>
            <w:textDirection w:val="lrTb"/>
            <w:noWrap w:val="false"/>
          </w:tcPr>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bCs/>
                <w:color w:val="auto"/>
                <w:spacing w:val="15"/>
                <w:sz w:val="24"/>
                <w:szCs w:val="24"/>
                <w:highlight w:val="none"/>
              </w:rPr>
              <w:t xml:space="preserve">招标代理服务费</w:t>
            </w:r>
            <w:r>
              <w:rPr>
                <w:rFonts w:hint="eastAsia" w:ascii="宋体" w:hAnsi="宋体" w:eastAsia="宋体" w:cs="宋体"/>
                <w:b/>
                <w:bCs/>
                <w:color w:val="auto"/>
                <w:spacing w:val="15"/>
                <w:sz w:val="24"/>
                <w:szCs w:val="24"/>
                <w:highlight w:val="none"/>
                <w:lang w:val="en-US" w:eastAsia="zh-CN"/>
              </w:rPr>
              <w:t xml:space="preserve">按</w:t>
            </w:r>
            <w:r>
              <w:rPr>
                <w:rFonts w:hint="eastAsia" w:ascii="宋体" w:hAnsi="宋体" w:eastAsia="宋体" w:cs="宋体"/>
                <w:b/>
                <w:bCs/>
                <w:color w:val="auto"/>
                <w:spacing w:val="15"/>
                <w:sz w:val="24"/>
                <w:szCs w:val="24"/>
                <w:highlight w:val="none"/>
              </w:rPr>
              <w:t xml:space="preserve">《江苏省招标代理服务收费的指导意见》（苏招协﹝2022﹞002）规定标准计取，上述费用中标单位须在领取中标通知书前以电汇等付款方式一次性缴清。</w:t>
            </w:r>
            <w:r>
              <w:rPr>
                <w:rFonts w:hint="eastAsia" w:ascii="宋体" w:hAnsi="宋体" w:eastAsia="宋体" w:cs="宋体"/>
                <w:b/>
                <w:bCs/>
                <w:color w:val="auto"/>
                <w:sz w:val="24"/>
                <w:szCs w:val="24"/>
                <w:highlight w:val="none"/>
              </w:rPr>
              <w:t xml:space="preserve">请投标单位在报价时考虑。</w:t>
            </w:r>
            <w:r/>
          </w:p>
        </w:tc>
      </w:tr>
    </w:tbl>
    <w:p>
      <w:pPr>
        <w:jc w:val="center"/>
        <w:pageBreakBefore/>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   总则</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一、招标项目</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稻米精深加工产业链条延伸——黄金米（米稀）新建项目。</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二、投标费用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投标人应自行承担其编制投标文件以及递交投标文件参加招投标过程所产生之一切费用。无论招投标结果如何，招标人及其代理机构对上述费用不负任何责任。</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三、招标文件</w:t>
      </w:r>
      <w:r/>
    </w:p>
    <w:p>
      <w:pPr>
        <w:pStyle w:val="1118"/>
        <w:contextualSpacing/>
        <w:ind w:firstLine="480"/>
        <w:jc w:val="left"/>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招标文件的澄清</w:t>
      </w:r>
      <w:r/>
    </w:p>
    <w:p>
      <w:pPr>
        <w:contextualSpacing/>
        <w:ind w:firstLine="480"/>
        <w:jc w:val="left"/>
        <w:spacing w:line="360" w:lineRule="auto"/>
        <w:rPr>
          <w:rFonts w:hint="eastAsia" w:ascii="宋体" w:hAnsi="宋体" w:eastAsia="宋体" w:cs="宋体"/>
          <w:color w:val="auto"/>
          <w:sz w:val="24"/>
          <w:szCs w:val="24"/>
          <w:highlight w:val="none"/>
        </w:rPr>
      </w:pPr>
      <w:r/>
      <w:bookmarkStart w:id="5" w:name="_Toc246996933"/>
      <w:r/>
      <w:bookmarkStart w:id="6" w:name="_Toc387526194"/>
      <w:r/>
      <w:bookmarkStart w:id="7" w:name="_Toc247085704"/>
      <w:r/>
      <w:bookmarkStart w:id="8" w:name="_Toc19263"/>
      <w:r/>
      <w:bookmarkStart w:id="9" w:name="_Toc387526298"/>
      <w:r/>
      <w:bookmarkStart w:id="10" w:name="_Toc179632563"/>
      <w:r/>
      <w:bookmarkStart w:id="11" w:name="_Toc387526390"/>
      <w:r/>
      <w:bookmarkStart w:id="12" w:name="_Toc397928564"/>
      <w:r/>
      <w:bookmarkStart w:id="13" w:name="_Toc246996190"/>
      <w:r/>
      <w:bookmarkStart w:id="14" w:name="_Toc366679677"/>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投标人应仔细阅读和检查招标文件的全部内容。如发现缺页或附件不全，应及时向招标人提出，以便补齐。如有疑问，应在法定时间内以书面形式（包括信函、电报、传真等可以有形地表现所载内容的形式，下同），要求招标人对招标文件予以澄清，招标人应当在7个工作日内对供应商依法提出的询问作出答复。</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 招标文件的澄清将在投标人须知前附表规定的投标截止时间15天前以“补充答疑”的形式在江苏政府采购网http://www.ccgp-jiangsu.gov.cn/上公开发布，但不指明澄清问题的来源。如果澄清发出的时间距投标截止时间不足15天，且澄清内容影响投标文件编制的，相应延长投标截止时间。</w:t>
      </w:r>
      <w:r/>
    </w:p>
    <w:p>
      <w:pPr>
        <w:pStyle w:val="1118"/>
        <w:contextualSpacing/>
        <w:ind w:firstLine="480"/>
        <w:jc w:val="left"/>
        <w:spacing w:before="0" w:after="0" w:line="360" w:lineRule="auto"/>
        <w:rPr>
          <w:rFonts w:hint="eastAsia" w:ascii="宋体" w:hAnsi="宋体" w:eastAsia="宋体" w:cs="宋体"/>
          <w:color w:val="auto"/>
          <w:sz w:val="24"/>
          <w:szCs w:val="24"/>
          <w:highlight w:val="none"/>
        </w:rPr>
      </w:pPr>
      <w:r/>
      <w:bookmarkStart w:id="15" w:name="_Toc508216894"/>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招标文件的修改</w:t>
      </w:r>
      <w:bookmarkEnd w:id="5"/>
      <w:r/>
      <w:bookmarkEnd w:id="6"/>
      <w:r/>
      <w:bookmarkEnd w:id="7"/>
      <w:r/>
      <w:bookmarkEnd w:id="8"/>
      <w:r/>
      <w:bookmarkEnd w:id="9"/>
      <w:r/>
      <w:bookmarkEnd w:id="10"/>
      <w:r/>
      <w:bookmarkEnd w:id="11"/>
      <w:r/>
      <w:bookmarkEnd w:id="12"/>
      <w:r/>
      <w:bookmarkEnd w:id="13"/>
      <w:r/>
      <w:bookmarkEnd w:id="14"/>
      <w:r/>
      <w:bookmarkEnd w:id="15"/>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投标截止时间15天前，招标人可以以“补充答疑”的形式江苏政府采购网http://www.ccgp-jiangsu.gov.cn/上修改招标文件。如果修改招标文件的时间距投标截止时间不足15天，且修改内容影响投标文件编制的，相应延长投标截止时间。</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投标人提出异议截止时间</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潜在投标人对招标文件有异议的，可以在知道或者应知其权益受到损害之日起七个工作日内，以书面形式向招标人提出质疑。</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四、投标人的义务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投标人应当认真阅读招标文件，完全明了招标项目之名称、用途、数量、质量要求和履约期限，完全明了投标人所应具备的资格条件。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投标人应当按照招标文件的要求编制投标文件。投标文件应对招标文件提出的实质性要求和条件做出完全响应。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投标人应在投标截止时间前按招标文件规定方式提交投标文件。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投标人不得相互串通投标报价，不得排挤其他投标人的公平竞争，损害招标人或者其他投标人合法权益。投标人不得与招标人串通投标，损害国家利益，公众利益或者他人的合法权益。</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   投标文件</w:t>
      </w:r>
      <w:r/>
    </w:p>
    <w:p>
      <w:pPr>
        <w:numPr>
          <w:ilvl w:val="0"/>
          <w:numId w:val="0"/>
        </w:numPr>
        <w:ind w:firstLine="482"/>
        <w:spacing w:line="360" w:lineRule="auto"/>
        <w:rPr>
          <w:rFonts w:hint="eastAsia" w:ascii="宋体" w:hAnsi="宋体" w:eastAsia="宋体" w:cs="宋体"/>
          <w:b/>
          <w:color w:val="auto"/>
          <w:sz w:val="24"/>
          <w:szCs w:val="24"/>
          <w:highlight w:val="none"/>
        </w:rPr>
      </w:pPr>
      <w:r/>
      <w:bookmarkStart w:id="16" w:name="_Toc513029223"/>
      <w:r/>
      <w:bookmarkStart w:id="17" w:name="_Toc14577361"/>
      <w:r/>
      <w:bookmarkStart w:id="18" w:name="_Toc61149561"/>
      <w:r>
        <w:rPr>
          <w:rFonts w:hint="eastAsia" w:ascii="宋体" w:hAnsi="宋体" w:eastAsia="宋体" w:cs="宋体"/>
          <w:b/>
          <w:color w:val="auto"/>
          <w:sz w:val="24"/>
          <w:szCs w:val="24"/>
          <w:highlight w:val="none"/>
          <w:lang w:val="en-US" w:eastAsia="zh-CN"/>
        </w:rPr>
        <w:t xml:space="preserve">五、投标</w:t>
      </w:r>
      <w:r>
        <w:rPr>
          <w:rFonts w:hint="eastAsia" w:ascii="宋体" w:hAnsi="宋体" w:eastAsia="宋体" w:cs="宋体"/>
          <w:b/>
          <w:color w:val="auto"/>
          <w:sz w:val="24"/>
          <w:szCs w:val="24"/>
          <w:highlight w:val="none"/>
        </w:rPr>
        <w:t xml:space="preserve">文件份数和签署</w:t>
      </w:r>
      <w:bookmarkEnd w:id="16"/>
      <w:r/>
      <w:bookmarkEnd w:id="17"/>
      <w:r/>
      <w:bookmarkEnd w:id="18"/>
      <w:r/>
      <w:r/>
    </w:p>
    <w:p>
      <w:pPr>
        <w:contextualSpacing/>
        <w:ind w:firstLine="482"/>
        <w:jc w:val="left"/>
        <w:spacing w:line="360" w:lineRule="auto"/>
        <w:rPr>
          <w:rFonts w:hint="eastAsia" w:ascii="宋体" w:hAnsi="宋体" w:eastAsia="宋体" w:cs="宋体"/>
          <w:b/>
          <w:color w:val="auto"/>
          <w:sz w:val="24"/>
          <w:szCs w:val="24"/>
          <w:highlight w:val="none"/>
        </w:rPr>
      </w:pPr>
      <w:r/>
      <w:bookmarkStart w:id="19" w:name="_Hlt26954834"/>
      <w:r/>
      <w:bookmarkEnd w:id="19"/>
      <w:r/>
      <w:bookmarkStart w:id="20" w:name="_Toc14577352"/>
      <w:r/>
      <w:bookmarkStart w:id="21" w:name="_Toc462564073"/>
      <w:r/>
      <w:bookmarkStart w:id="22" w:name="_Toc61149554"/>
      <w:r/>
      <w:bookmarkStart w:id="23" w:name="_Toc513029214"/>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 完整的</w:t>
      </w:r>
      <w:r>
        <w:rPr>
          <w:rFonts w:hint="eastAsia" w:ascii="宋体" w:hAnsi="宋体" w:eastAsia="宋体" w:cs="宋体"/>
          <w:b/>
          <w:color w:val="auto"/>
          <w:sz w:val="24"/>
          <w:szCs w:val="24"/>
          <w:highlight w:val="none"/>
          <w:lang w:val="en-US" w:eastAsia="zh-CN"/>
        </w:rPr>
        <w:t xml:space="preserve">电子</w:t>
      </w:r>
      <w:r>
        <w:rPr>
          <w:rFonts w:hint="eastAsia" w:ascii="宋体" w:hAnsi="宋体" w:eastAsia="宋体" w:cs="宋体"/>
          <w:b/>
          <w:color w:val="auto"/>
          <w:sz w:val="24"/>
          <w:szCs w:val="24"/>
          <w:highlight w:val="none"/>
        </w:rPr>
        <w:t xml:space="preserve">投标文件应包括商务部分、技术部分和资格证明文件。</w:t>
      </w:r>
      <w:r/>
    </w:p>
    <w:p>
      <w:pPr>
        <w:contextualSpacing/>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中标单位在中标结</w:t>
      </w:r>
      <w:r>
        <w:rPr>
          <w:rFonts w:hint="eastAsia" w:ascii="宋体" w:hAnsi="宋体" w:eastAsia="宋体" w:cs="宋体"/>
          <w:b/>
          <w:bCs/>
          <w:color w:val="auto"/>
          <w:sz w:val="24"/>
          <w:szCs w:val="24"/>
          <w:highlight w:val="none"/>
        </w:rPr>
        <w:t xml:space="preserve">果公告后、领取中标通知书前必须提供与投标文件电子标书一致的纸质投标文件加盖投标人单位公章并装订成册（共五套：正本一套、副本四套）以供招标人、招标代理机构存档。纸质投标文件必须保证与评标时的电子标书完全一致。</w:t>
      </w:r>
      <w:r/>
    </w:p>
    <w:p>
      <w:pPr>
        <w:numPr>
          <w:ilvl w:val="0"/>
          <w:numId w:val="4"/>
        </w:numPr>
        <w:contextualSpacing/>
        <w:ind w:firstLine="480"/>
        <w:jc w:val="left"/>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投标人投标文件中提供的资格审查资料必须为</w:t>
      </w:r>
      <w:r>
        <w:rPr>
          <w:rFonts w:hint="eastAsia" w:ascii="宋体" w:hAnsi="宋体" w:cs="宋体"/>
          <w:b/>
          <w:color w:val="auto"/>
          <w:sz w:val="24"/>
          <w:szCs w:val="24"/>
          <w:highlight w:val="none"/>
        </w:rPr>
        <w:t xml:space="preserve">原件彩色扫描件</w:t>
      </w:r>
      <w:r>
        <w:rPr>
          <w:rFonts w:hint="eastAsia" w:ascii="宋体" w:hAnsi="宋体" w:cs="宋体"/>
          <w:color w:val="auto"/>
          <w:sz w:val="24"/>
          <w:szCs w:val="24"/>
          <w:highlight w:val="none"/>
        </w:rPr>
        <w:t xml:space="preserve">，关键信息齐全、清晰可辨(钢印除外)。</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eastAsia="zh-CN"/>
        </w:rPr>
        <w:t xml:space="preserve">投标文件</w:t>
      </w:r>
      <w:r>
        <w:rPr>
          <w:rFonts w:hint="eastAsia" w:ascii="宋体" w:hAnsi="宋体" w:eastAsia="宋体" w:cs="宋体"/>
          <w:b/>
          <w:bCs/>
          <w:color w:val="auto"/>
          <w:sz w:val="24"/>
          <w:szCs w:val="24"/>
          <w:highlight w:val="none"/>
        </w:rPr>
        <w:t xml:space="preserve">编制要求</w:t>
      </w:r>
      <w:r/>
    </w:p>
    <w:p>
      <w:pPr>
        <w:contextualSpacing/>
        <w:ind w:firstLine="480"/>
        <w:jc w:val="left"/>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投标文件电子投标文件应当按照系统提供的格式编写，纸质投标文件应按第六章“投标文件格式”进行编写，如有必要可自行增加，作为投标文件的组成部分。</w:t>
      </w:r>
      <w:r/>
    </w:p>
    <w:p>
      <w:pPr>
        <w:contextualSpacing/>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投标文件应当对招标文件有关服务期、投标有效期、质量要求、技术标准和要求、招标范围等实质性内容作出响应。</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除技术性能另有规定外，投标文件所使用的度量衡单位，均须采用国家法定计量单位。</w:t>
      </w:r>
      <w:bookmarkEnd w:id="20"/>
      <w:r/>
      <w:bookmarkEnd w:id="21"/>
      <w:r/>
      <w:bookmarkEnd w:id="22"/>
      <w:r/>
      <w:bookmarkEnd w:id="23"/>
      <w:r/>
      <w:r/>
    </w:p>
    <w:p>
      <w:pPr>
        <w:ind w:firstLine="482"/>
        <w:spacing w:line="360" w:lineRule="auto"/>
        <w:rPr>
          <w:rFonts w:ascii="Times New Roman" w:hAnsi="Times New Roman"/>
          <w:color w:val="auto"/>
          <w:szCs w:val="24"/>
          <w:highlight w:val="none"/>
        </w:rPr>
      </w:pPr>
      <w:r>
        <w:rPr>
          <w:rFonts w:hint="eastAsia" w:ascii="宋体" w:hAnsi="宋体" w:cs="宋体"/>
          <w:b/>
          <w:bCs/>
          <w:color w:val="auto"/>
          <w:sz w:val="24"/>
          <w:szCs w:val="24"/>
          <w:highlight w:val="none"/>
        </w:rPr>
        <w:t xml:space="preserve">七、投标文件的制作应当符合以下要求：</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投标人必须依照招标文件提供的表式制作投标文件，对表式投标人可以按同样格式进行扩展。</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全套投标文件应无修改和行间插字。如有修改，须在修改处加盖</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法定代表人或其委托代理人的印鉴。</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投标报价清晰准确，不存在影响其他投标人评分的严重错误。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4.投标文件主要由以下部分构成：</w:t>
      </w:r>
      <w:r>
        <w:rPr>
          <w:rFonts w:hint="eastAsia" w:ascii="宋体" w:hAnsi="宋体" w:cs="宋体"/>
          <w:color w:val="auto"/>
          <w:sz w:val="24"/>
          <w:szCs w:val="24"/>
          <w:highlight w:val="none"/>
        </w:rPr>
        <w:t xml:space="preserve"> </w:t>
      </w:r>
      <w:r/>
    </w:p>
    <w:p>
      <w:pPr>
        <w:ind w:firstLine="48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4.1资格条件证明文件：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法人或者其他组织的营业执照等证明文件</w:t>
      </w:r>
      <w:r>
        <w:rPr>
          <w:rFonts w:hint="eastAsia" w:ascii="宋体" w:hAnsi="宋体" w:cs="宋体"/>
          <w:bCs/>
          <w:color w:val="auto"/>
          <w:sz w:val="24"/>
          <w:szCs w:val="24"/>
          <w:highlight w:val="none"/>
          <w:lang w:eastAsia="zh-CN"/>
        </w:rPr>
        <w:t xml:space="preserve">，自然人的身份证明</w:t>
      </w:r>
      <w:r>
        <w:rPr>
          <w:rFonts w:hint="eastAsia" w:ascii="宋体" w:hAnsi="宋体" w:cs="宋体"/>
          <w:color w:val="auto"/>
          <w:sz w:val="24"/>
          <w:szCs w:val="24"/>
          <w:highlight w:val="none"/>
        </w:rPr>
        <w:t xml:space="preserve">（复印件加盖投标人公章）</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或2023年度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的财务状况报告（提供审计报告或财务报表，成立不满一年不需提供）</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）★投标人近三个月中任意一个月份(不含投标当月)的依法缴纳税收的相关材料（提供相关主管部门证明或银行代扣证明）复印件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投标人近三个月中任意一个月份(不含投标当月)的依法缴纳社会保障资金的相关材料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提供相关主管部门证明或银行代扣证明）复印件； </w:t>
      </w:r>
      <w:r/>
    </w:p>
    <w:p>
      <w:pPr>
        <w:ind w:firstLine="480"/>
        <w:spacing w:line="360" w:lineRule="auto"/>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）★投标人具备履行合同所必需的设备和专业技术能力的证明材料</w:t>
      </w:r>
      <w:r>
        <w:rPr>
          <w:rFonts w:hint="eastAsia" w:ascii="宋体" w:hAnsi="宋体" w:eastAsia="宋体" w:cs="宋体"/>
          <w:b/>
          <w:bCs/>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）★投标人参加政府采购活动前3年内在经营活动中没有重大违法记录的书面声明</w:t>
      </w:r>
      <w:r>
        <w:rPr>
          <w:rFonts w:hint="eastAsia" w:ascii="宋体" w:hAnsi="宋体" w:cs="宋体"/>
          <w:b/>
          <w:bCs/>
          <w:color w:val="auto"/>
          <w:sz w:val="24"/>
          <w:highlight w:val="none"/>
        </w:rPr>
        <w:t xml:space="preserve">； </w:t>
      </w:r>
      <w:r/>
    </w:p>
    <w:p>
      <w:pPr>
        <w:ind w:firstLine="480"/>
        <w:spacing w:line="360" w:lineRule="auto"/>
        <w:rPr>
          <w:rFonts w:hint="default"/>
          <w:color w:val="auto"/>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）未被“信用中国”网站（www.creditchina.gov.cn）列入失信被执行人、重大税收违法案件当事人名单、政府采购严重失信行为记录名单。（</w:t>
      </w:r>
      <w:r>
        <w:rPr>
          <w:rFonts w:hint="eastAsia" w:ascii="宋体" w:hAnsi="宋体" w:eastAsia="宋体" w:cs="宋体"/>
          <w:color w:val="auto"/>
          <w:sz w:val="24"/>
          <w:szCs w:val="24"/>
          <w:highlight w:val="none"/>
          <w:lang w:val="en-US" w:eastAsia="zh-CN"/>
        </w:rPr>
        <w:t xml:space="preserve">提供信用中国查询报告</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4.2</w:t>
      </w:r>
      <w:r>
        <w:rPr>
          <w:rFonts w:hint="eastAsia" w:ascii="宋体" w:hAnsi="宋体" w:cs="宋体"/>
          <w:b/>
          <w:bCs/>
          <w:color w:val="auto"/>
          <w:sz w:val="24"/>
          <w:szCs w:val="24"/>
          <w:highlight w:val="none"/>
        </w:rPr>
        <w:t xml:space="preserve">报价符合性审查：</w:t>
      </w:r>
      <w:r/>
    </w:p>
    <w:p>
      <w:pPr>
        <w:numPr>
          <w:ilvl w:val="0"/>
          <w:numId w:val="5"/>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rPr>
          <w:rFonts w:hint="eastAsia" w:ascii="宋体" w:hAnsi="宋体" w:cs="宋体"/>
          <w:color w:val="auto"/>
          <w:sz w:val="24"/>
          <w:highlight w:val="none"/>
          <w:lang w:eastAsia="zh-CN"/>
        </w:rPr>
        <w:t xml:space="preserve">；</w:t>
      </w:r>
      <w:r/>
    </w:p>
    <w:p>
      <w:pPr>
        <w:numPr>
          <w:ilvl w:val="0"/>
          <w:numId w:val="5"/>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b/>
          <w:color w:val="auto"/>
          <w:sz w:val="24"/>
          <w:szCs w:val="24"/>
          <w:highlight w:val="none"/>
        </w:rPr>
        <w:t xml:space="preserve">开标一览表</w:t>
      </w:r>
      <w:r>
        <w:rPr>
          <w:rFonts w:hint="eastAsia" w:ascii="宋体" w:hAnsi="宋体" w:cs="宋体"/>
          <w:b/>
          <w:color w:val="auto"/>
          <w:sz w:val="24"/>
          <w:szCs w:val="24"/>
          <w:highlight w:val="none"/>
          <w:lang w:eastAsia="zh-CN"/>
        </w:rPr>
        <w:t xml:space="preserve">。</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4.3</w:t>
      </w:r>
      <w:r>
        <w:rPr>
          <w:rFonts w:hint="eastAsia" w:ascii="宋体" w:hAnsi="宋体" w:eastAsia="宋体" w:cs="宋体"/>
          <w:b/>
          <w:bCs/>
          <w:color w:val="auto"/>
          <w:sz w:val="24"/>
          <w:szCs w:val="24"/>
          <w:highlight w:val="none"/>
        </w:rPr>
        <w:t xml:space="preserve">商务部分符合性审查：</w:t>
      </w:r>
      <w:r/>
    </w:p>
    <w:p>
      <w:pPr>
        <w:ind w:firstLine="480"/>
        <w:spacing w:line="360" w:lineRule="auto"/>
        <w:rPr>
          <w:rFonts w:ascii="Times New Roman" w:hAnsi="Times New Roman"/>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）★投标人法定代表人授权委托书（格式见附件，法定代表人亲自参加投标的除外</w:t>
      </w:r>
      <w:r>
        <w:rPr>
          <w:rFonts w:hint="eastAsia" w:ascii="宋体" w:hAnsi="宋体" w:cs="宋体"/>
          <w:color w:val="auto"/>
          <w:sz w:val="24"/>
          <w:szCs w:val="24"/>
          <w:highlight w:val="none"/>
          <w:lang w:eastAsia="zh-CN"/>
        </w:rPr>
        <w:t xml:space="preserve">，</w:t>
      </w:r>
      <w:r>
        <w:rPr>
          <w:rFonts w:hint="eastAsia" w:ascii="宋体" w:hAnsi="宋体" w:cs="宋体"/>
          <w:color w:val="auto"/>
          <w:sz w:val="24"/>
          <w:highlight w:val="none"/>
          <w:lang w:val="en-US" w:eastAsia="zh-CN"/>
        </w:rPr>
        <w:t xml:space="preserve">如为联合体投标，牵头单位提供</w:t>
      </w:r>
      <w:r>
        <w:rPr>
          <w:rFonts w:hint="eastAsia" w:ascii="宋体" w:hAnsi="宋体" w:cs="宋体"/>
          <w:color w:val="auto"/>
          <w:sz w:val="24"/>
          <w:szCs w:val="24"/>
          <w:highlight w:val="none"/>
        </w:rPr>
        <w:t xml:space="preserve">）</w:t>
      </w:r>
      <w:r/>
    </w:p>
    <w:p>
      <w:pPr>
        <w:ind w:firstLine="480"/>
        <w:spacing w:line="360" w:lineRule="auto"/>
        <w:rPr>
          <w:rFonts w:ascii="Times New Roman" w:hAnsi="Times New Roman"/>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）★投标人法定代表人身份证复印件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）★投标人法定代表人授权代表身份证复印件（法定代表人亲自参加投标的除外）</w:t>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szCs w:val="24"/>
          <w:highlight w:val="none"/>
          <w:lang w:val="en-US" w:eastAsia="zh-CN" w:bidi="ar-SA"/>
        </w:rPr>
        <w:t xml:space="preserve">（4）★商务条款响应及偏离表</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评分标准客观分评分须按评分点内容逐项提供证明材料清单</w:t>
      </w:r>
      <w:r/>
    </w:p>
    <w:p>
      <w:p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4.4</w:t>
      </w:r>
      <w:r>
        <w:rPr>
          <w:rFonts w:hint="eastAsia" w:ascii="宋体" w:hAnsi="宋体" w:cs="宋体"/>
          <w:b/>
          <w:bCs/>
          <w:color w:val="auto"/>
          <w:sz w:val="24"/>
          <w:szCs w:val="24"/>
          <w:highlight w:val="none"/>
        </w:rPr>
        <w:t xml:space="preserve">技术部分符合性审查：</w:t>
      </w:r>
      <w:r/>
    </w:p>
    <w:p>
      <w:pPr>
        <w:numPr>
          <w:ilvl w:val="0"/>
          <w:numId w:val="6"/>
        </w:numPr>
        <w:ind w:firstLine="48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cs="宋体"/>
          <w:color w:val="auto"/>
          <w:sz w:val="24"/>
          <w:szCs w:val="24"/>
          <w:highlight w:val="none"/>
        </w:rPr>
        <w:t xml:space="preserve">★采购需求响应及偏离表</w:t>
      </w:r>
      <w:r>
        <w:rPr>
          <w:rFonts w:hint="eastAsia" w:ascii="宋体" w:hAnsi="宋体" w:cs="宋体"/>
          <w:color w:val="auto"/>
          <w:sz w:val="24"/>
          <w:highlight w:val="none"/>
          <w:lang w:eastAsia="zh-CN"/>
        </w:rPr>
        <w:t xml:space="preserve">；</w:t>
      </w:r>
      <w:r/>
    </w:p>
    <w:p>
      <w:pPr>
        <w:numPr>
          <w:ilvl w:val="0"/>
          <w:numId w:val="0"/>
        </w:numPr>
        <w:ind w:firstLine="482"/>
        <w:spacing w:line="360" w:lineRule="auto"/>
        <w:rPr>
          <w:rFonts w:hint="eastAsia"/>
          <w:color w:val="auto"/>
          <w:highlight w:val="none"/>
          <w:lang w:val="en-US" w:eastAsia="zh-CN"/>
        </w:rPr>
      </w:pPr>
      <w:r>
        <w:rPr>
          <w:rFonts w:hint="eastAsia" w:ascii="宋体" w:hAnsi="宋体" w:eastAsia="宋体" w:cs="宋体"/>
          <w:b/>
          <w:bCs/>
          <w:color w:val="auto"/>
          <w:sz w:val="24"/>
          <w:szCs w:val="24"/>
          <w:highlight w:val="none"/>
          <w:lang w:val="en-US" w:eastAsia="zh-CN"/>
        </w:rPr>
        <w:t xml:space="preserve">（2）综合</w:t>
      </w:r>
      <w:r>
        <w:rPr>
          <w:rFonts w:hint="eastAsia" w:ascii="宋体" w:hAnsi="宋体" w:eastAsia="宋体" w:cs="宋体"/>
          <w:b/>
          <w:bCs/>
          <w:color w:val="auto"/>
          <w:sz w:val="24"/>
          <w:szCs w:val="24"/>
          <w:highlight w:val="none"/>
          <w:lang w:val="en-US" w:eastAsia="zh-CN" w:bidi="ar-SA"/>
        </w:rPr>
        <w:t xml:space="preserve">评审评分项：</w:t>
      </w:r>
      <w:r/>
    </w:p>
    <w:p>
      <w:pPr>
        <w:numPr>
          <w:ilvl w:val="0"/>
          <w:numId w:val="0"/>
        </w:numPr>
        <w:ind w:firstLine="480"/>
        <w:spacing w:line="360" w:lineRule="auto"/>
        <w:rPr>
          <w:rFonts w:hint="eastAsia"/>
          <w:color w:val="auto"/>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根据评分细则需要提交的材料</w:t>
      </w:r>
      <w:r>
        <w:rPr>
          <w:rFonts w:hint="eastAsia" w:ascii="宋体" w:hAnsi="宋体" w:eastAsia="宋体" w:cs="宋体"/>
          <w:b/>
          <w:bCs/>
          <w:color w:val="auto"/>
          <w:sz w:val="24"/>
          <w:szCs w:val="24"/>
          <w:highlight w:val="none"/>
          <w:lang w:val="en-US" w:eastAsia="zh-CN" w:bidi="ar-SA"/>
        </w:rPr>
        <w:t xml:space="preserve">（评分标准客观分评分须按评分点内容逐项提供证明材料清单，清单后附明细证明材料，未提供清单商务部分符合性审查不通过，作废标处理）</w:t>
      </w:r>
      <w:r/>
    </w:p>
    <w:p>
      <w:pPr>
        <w:pStyle w:val="1117"/>
        <w:numPr>
          <w:ilvl w:val="0"/>
          <w:numId w:val="0"/>
        </w:numPr>
        <w:ind w:right="210" w:firstLine="482"/>
        <w:spacing w:line="360" w:lineRule="auto"/>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（3）中小微企业声明函</w:t>
      </w:r>
      <w:r/>
    </w:p>
    <w:p>
      <w:pPr>
        <w:pStyle w:val="1122"/>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cs="宋体"/>
          <w:color w:val="auto"/>
          <w:szCs w:val="21"/>
          <w:highlight w:val="none"/>
        </w:rPr>
        <w:t xml:space="preserve">落实政府采购政策需满足的资格要求证明材料，其中如为中小微企业提供符合要求的中小企业声明函原件；如为监狱和戒毒企业（简称监狱企业)提供由省级以上监狱管理局、戒毒管理局(含新疆生产建设兵团)出具的属于监狱企业的证明文件；如为残疾人福利单位提供符合要求的残疾人福利性单位声明函原件。</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上述</w:t>
      </w:r>
      <w:r>
        <w:rPr>
          <w:rFonts w:hint="eastAsia" w:ascii="宋体" w:hAnsi="宋体" w:cs="宋体"/>
          <w:b/>
          <w:bCs/>
          <w:color w:val="auto"/>
          <w:sz w:val="24"/>
          <w:szCs w:val="24"/>
          <w:highlight w:val="none"/>
        </w:rPr>
        <w:t xml:space="preserve">加★项目若有缺失或无效，将导致该投标文件作无效投标文件评定，且不允许在投标截止时间后补正。资格证明文件（复印件须加盖投标人公章，否则视同未提供。本采购文件所表述（指定）的公章是指刻有投标人法定名称的印章，不包括合同、财务、税务、发票等形式的业务专用章）</w:t>
      </w:r>
      <w:r>
        <w:rPr>
          <w:rFonts w:hint="eastAsia" w:ascii="宋体" w:hAnsi="宋体" w:cs="宋体"/>
          <w:b/>
          <w:bCs/>
          <w:color w:val="auto"/>
          <w:sz w:val="24"/>
          <w:szCs w:val="24"/>
          <w:highlight w:val="none"/>
          <w:lang w:eastAsia="zh-CN"/>
        </w:rPr>
        <w:t xml:space="preserve">。</w:t>
      </w:r>
      <w:r/>
    </w:p>
    <w:p>
      <w:pPr>
        <w:jc w:val="cente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360" w:lineRule="auto"/>
        <w:rPr>
          <w:rFonts w:hint="eastAsia" w:ascii="Times New Roman" w:hAnsi="Times New Roman"/>
          <w:color w:val="auto"/>
          <w:szCs w:val="24"/>
          <w:highlight w:val="none"/>
        </w:rPr>
      </w:pPr>
      <w:r>
        <w:rPr>
          <w:rFonts w:hint="eastAsia" w:ascii="宋体" w:hAnsi="宋体" w:cs="宋体"/>
          <w:b/>
          <w:color w:val="auto"/>
          <w:sz w:val="28"/>
          <w:szCs w:val="24"/>
          <w:highlight w:val="none"/>
        </w:rPr>
        <w:t xml:space="preserve">三  投标文件递交</w:t>
      </w:r>
      <w:r/>
    </w:p>
    <w:p>
      <w:pPr>
        <w:ind w:firstLine="397"/>
        <w:spacing w:line="360" w:lineRule="auto"/>
        <w:rPr>
          <w:rFonts w:ascii="Times New Roman" w:hAnsi="Times New Roman"/>
          <w:color w:val="auto"/>
          <w:szCs w:val="24"/>
          <w:highlight w:val="none"/>
        </w:rPr>
      </w:pPr>
      <w:r>
        <w:rPr>
          <w:rFonts w:hint="eastAsia" w:ascii="宋体" w:hAnsi="宋体" w:cs="宋体"/>
          <w:b/>
          <w:color w:val="auto"/>
          <w:sz w:val="24"/>
          <w:szCs w:val="24"/>
          <w:highlight w:val="none"/>
          <w:lang w:val="en-US" w:eastAsia="zh-CN"/>
        </w:rPr>
        <w:t xml:space="preserve">八</w:t>
      </w:r>
      <w:r>
        <w:rPr>
          <w:rFonts w:hint="eastAsia" w:ascii="宋体" w:hAnsi="宋体" w:cs="宋体"/>
          <w:b/>
          <w:color w:val="auto"/>
          <w:sz w:val="24"/>
          <w:szCs w:val="24"/>
          <w:highlight w:val="none"/>
        </w:rPr>
        <w:t xml:space="preserve">、投标文件递交</w:t>
      </w:r>
      <w:r/>
    </w:p>
    <w:p>
      <w:pPr>
        <w:ind w:firstLine="397"/>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投标文件的递交</w:t>
      </w:r>
      <w:r/>
    </w:p>
    <w:p>
      <w:pPr>
        <w:ind w:firstLine="39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投标人应当按照规定，在投标截止时间前制作并</w:t>
      </w:r>
      <w:r>
        <w:rPr>
          <w:rFonts w:hint="eastAsia" w:ascii="宋体" w:hAnsi="宋体" w:eastAsia="宋体" w:cs="宋体"/>
          <w:color w:val="auto"/>
          <w:sz w:val="24"/>
          <w:szCs w:val="24"/>
          <w:highlight w:val="none"/>
          <w:lang w:val="en-US" w:eastAsia="zh-CN"/>
        </w:rPr>
        <w:t xml:space="preserve">递交电子</w:t>
      </w:r>
      <w:r>
        <w:rPr>
          <w:rFonts w:hint="eastAsia" w:ascii="宋体" w:hAnsi="宋体" w:eastAsia="宋体" w:cs="宋体"/>
          <w:color w:val="auto"/>
          <w:sz w:val="24"/>
          <w:szCs w:val="24"/>
          <w:highlight w:val="none"/>
        </w:rPr>
        <w:t xml:space="preserve">投标文件。</w:t>
      </w:r>
      <w:r/>
    </w:p>
    <w:p>
      <w:pPr>
        <w:ind w:firstLine="39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投标截止日期</w:t>
      </w:r>
      <w:r/>
    </w:p>
    <w:p>
      <w:pPr>
        <w:ind w:firstLine="397"/>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 投标人</w:t>
      </w:r>
      <w:r>
        <w:rPr>
          <w:rFonts w:hint="eastAsia" w:ascii="宋体" w:hAnsi="宋体" w:eastAsia="宋体" w:cs="宋体"/>
          <w:b/>
          <w:bCs/>
          <w:color w:val="auto"/>
          <w:sz w:val="24"/>
          <w:szCs w:val="24"/>
          <w:highlight w:val="none"/>
          <w:lang w:val="en-US" w:eastAsia="zh-CN"/>
        </w:rPr>
        <w:t xml:space="preserve">递交电子</w:t>
      </w:r>
      <w:r>
        <w:rPr>
          <w:rFonts w:hint="eastAsia" w:ascii="宋体" w:hAnsi="宋体" w:eastAsia="宋体" w:cs="宋体"/>
          <w:b/>
          <w:bCs/>
          <w:color w:val="auto"/>
          <w:sz w:val="24"/>
          <w:szCs w:val="24"/>
          <w:highlight w:val="none"/>
        </w:rPr>
        <w:t xml:space="preserve">投标文件的时间不得迟于招标公告中规定的投标截止时间，代理机构拒绝接收在其规定的投标截止时间后</w:t>
      </w:r>
      <w:r>
        <w:rPr>
          <w:rFonts w:hint="eastAsia" w:ascii="宋体" w:hAnsi="宋体" w:eastAsia="宋体" w:cs="宋体"/>
          <w:b/>
          <w:bCs/>
          <w:color w:val="auto"/>
          <w:sz w:val="24"/>
          <w:szCs w:val="24"/>
          <w:highlight w:val="none"/>
          <w:lang w:val="en-US" w:eastAsia="zh-CN"/>
        </w:rPr>
        <w:t xml:space="preserve">递交</w:t>
      </w:r>
      <w:r>
        <w:rPr>
          <w:rFonts w:hint="eastAsia" w:ascii="宋体" w:hAnsi="宋体" w:eastAsia="宋体" w:cs="宋体"/>
          <w:b/>
          <w:bCs/>
          <w:color w:val="auto"/>
          <w:sz w:val="24"/>
          <w:szCs w:val="24"/>
          <w:highlight w:val="none"/>
        </w:rPr>
        <w:t xml:space="preserve">的任何投标文件。</w:t>
      </w:r>
      <w:r/>
    </w:p>
    <w:p>
      <w:pPr>
        <w:ind w:firstLine="39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2.2代理机构可以按照规定，通过修改招标文件酌情延长投标截止日期，在此情况下，投标人的所有权利和义务以及投标人受制的截止日期均应以延长后新的截止日期为准。</w:t>
      </w:r>
      <w:r/>
    </w:p>
    <w:p>
      <w:pPr>
        <w:pStyle w:val="1118"/>
        <w:contextualSpacing/>
        <w:ind w:firstLine="482"/>
        <w:jc w:val="left"/>
        <w:spacing w:before="0" w:after="0" w:line="360" w:lineRule="auto"/>
        <w:rPr>
          <w:rFonts w:ascii="宋体" w:hAnsi="宋体" w:eastAsia="宋体" w:cs="宋体"/>
          <w:color w:val="auto"/>
          <w:szCs w:val="24"/>
          <w:highlight w:val="none"/>
        </w:rPr>
      </w:pPr>
      <w:r>
        <w:rPr>
          <w:rFonts w:hint="eastAsia" w:ascii="宋体" w:hAnsi="宋体" w:eastAsia="宋体" w:cs="宋体"/>
          <w:b/>
          <w:color w:val="auto"/>
          <w:sz w:val="24"/>
          <w:szCs w:val="24"/>
          <w:highlight w:val="none"/>
          <w:lang w:val="en-US" w:eastAsia="zh-CN"/>
        </w:rPr>
        <w:t xml:space="preserve">九、备选投标方案</w:t>
      </w:r>
      <w:r/>
    </w:p>
    <w:p>
      <w:pPr>
        <w:contextualSpacing/>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不得提交备选投标方案。允许投标人提交备选投标方案的，只有中标候选人的投标人，其所提交的备选投标方案方可予以考虑。评标委员会认为中标候选人的备选投标方案优于其按照招标文件要求编制的投标方案的，招标人可以接受该备选投标方案。</w:t>
      </w:r>
      <w:r/>
    </w:p>
    <w:p>
      <w:pPr>
        <w:ind w:firstLine="397"/>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投标文件的修改和撤回</w:t>
      </w:r>
      <w:r/>
    </w:p>
    <w:p>
      <w:pPr>
        <w:ind w:firstLine="39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投标文件的撤回</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投标人可在投标截止时间前，撤回其投标文件。</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投标文件的修改</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投标人可在投标截止时间前，对其投标文件进行修改。</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在投标截止时间之后，投标人不得对其投标文件作任何修改。</w:t>
      </w:r>
      <w:r/>
    </w:p>
    <w:p>
      <w:pPr>
        <w:pStyle w:val="1127"/>
        <w:numPr>
          <w:ilvl w:val="0"/>
          <w:numId w:val="0"/>
        </w:numPr>
        <w:ind w:right="6"/>
        <w:rPr>
          <w:rFonts w:hint="eastAsia"/>
          <w:color w:val="auto"/>
          <w:highlight w:val="none"/>
        </w:rPr>
      </w:pPr>
      <w:r>
        <w:rPr>
          <w:rFonts w:hint="eastAsia"/>
          <w:color w:val="auto"/>
          <w:highlight w:val="none"/>
        </w:rPr>
      </w:r>
      <w:r/>
    </w:p>
    <w:p>
      <w:pPr>
        <w:jc w:val="center"/>
        <w:spacing w:line="360" w:lineRule="auto"/>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jc w:val="center"/>
        <w:spacing w:line="360" w:lineRule="auto"/>
        <w:rPr>
          <w:rFonts w:hint="eastAsia" w:ascii="Times New Roman" w:hAnsi="Times New Roman"/>
          <w:color w:val="auto"/>
          <w:szCs w:val="24"/>
          <w:highlight w:val="none"/>
        </w:rPr>
      </w:pPr>
      <w:r>
        <w:rPr>
          <w:rFonts w:hint="eastAsia" w:ascii="宋体" w:hAnsi="宋体" w:cs="宋体"/>
          <w:b/>
          <w:color w:val="auto"/>
          <w:sz w:val="28"/>
          <w:szCs w:val="24"/>
          <w:highlight w:val="none"/>
        </w:rPr>
        <w:t xml:space="preserve">四  投标报价</w:t>
      </w:r>
      <w:r/>
    </w:p>
    <w:p>
      <w:pPr>
        <w:ind w:firstLine="397"/>
        <w:spacing w:line="360" w:lineRule="auto"/>
        <w:rPr>
          <w:rFonts w:ascii="Times New Roman" w:hAnsi="Times New Roman"/>
          <w:color w:val="auto"/>
          <w:szCs w:val="24"/>
          <w:highlight w:val="none"/>
        </w:rPr>
      </w:pPr>
      <w:r>
        <w:rPr>
          <w:rFonts w:hint="eastAsia" w:ascii="宋体" w:hAnsi="宋体" w:cs="宋体"/>
          <w:b/>
          <w:color w:val="auto"/>
          <w:sz w:val="24"/>
          <w:szCs w:val="24"/>
          <w:highlight w:val="none"/>
        </w:rPr>
        <w:t xml:space="preserve">十一、投标报价方式</w:t>
      </w:r>
      <w:r/>
    </w:p>
    <w:p>
      <w:pPr>
        <w:ind w:firstLine="397"/>
        <w:spacing w:line="360" w:lineRule="auto"/>
        <w:rPr>
          <w:rFonts w:ascii="Times New Roman" w:hAnsi="Times New Roman"/>
          <w:color w:val="auto"/>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投标人应按照招标文件中提供的格式完整、正确填写投标函、开标一览表。开标一览表中的报价应与投标函中报价完全一致，</w:t>
      </w:r>
      <w:r>
        <w:rPr>
          <w:rFonts w:hint="eastAsia" w:ascii="宋体" w:hAnsi="宋体" w:cs="宋体"/>
          <w:b/>
          <w:bCs/>
          <w:color w:val="auto"/>
          <w:sz w:val="24"/>
          <w:szCs w:val="24"/>
          <w:highlight w:val="none"/>
        </w:rPr>
        <w:t xml:space="preserve">否则评标时一律按开标一览表中内容为准</w:t>
      </w:r>
      <w:r>
        <w:rPr>
          <w:rFonts w:hint="eastAsia" w:ascii="宋体" w:hAnsi="宋体" w:cs="宋体"/>
          <w:color w:val="auto"/>
          <w:sz w:val="24"/>
          <w:szCs w:val="24"/>
          <w:highlight w:val="none"/>
        </w:rPr>
        <w:t xml:space="preserve">。</w:t>
      </w:r>
      <w:r/>
    </w:p>
    <w:p>
      <w:pPr>
        <w:ind w:firstLine="397"/>
        <w:spacing w:line="360" w:lineRule="auto"/>
        <w:rPr>
          <w:rFonts w:ascii="Times New Roman" w:hAnsi="Times New Roman"/>
          <w:color w:val="auto"/>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本项目报价为一次报价，投标人投标文件中的报价作为最终报价，最终报价作为评审价。</w:t>
      </w:r>
      <w:r/>
    </w:p>
    <w:p>
      <w:pPr>
        <w:ind w:firstLine="480"/>
        <w:spacing w:line="360" w:lineRule="auto"/>
        <w:rPr>
          <w:rFonts w:ascii="宋体" w:hAnsi="宋体" w:cs="Courier New"/>
          <w:color w:val="auto"/>
          <w:sz w:val="20"/>
          <w:szCs w:val="21"/>
          <w:highlight w:val="none"/>
        </w:rPr>
      </w:pPr>
      <w:r>
        <w:rPr>
          <w:rFonts w:hint="eastAsia" w:ascii="宋体" w:hAnsi="宋体" w:cs="宋体"/>
          <w:color w:val="auto"/>
          <w:sz w:val="24"/>
          <w:szCs w:val="21"/>
          <w:highlight w:val="none"/>
          <w:lang w:eastAsia="zh-CN"/>
        </w:rPr>
        <w:t xml:space="preserve">3.</w:t>
      </w:r>
      <w:r>
        <w:rPr>
          <w:rFonts w:hint="eastAsia" w:ascii="宋体" w:hAnsi="宋体" w:cs="宋体"/>
          <w:color w:val="auto"/>
          <w:sz w:val="24"/>
          <w:szCs w:val="21"/>
          <w:highlight w:val="none"/>
        </w:rPr>
        <w:t xml:space="preserve">投标报价：是根据招标文件所确定的范围内的全部服务的价格体现，是为完成招标文件规定的工作所涉及到的一切费用。报价为综合报价，应包括完成本项目工作所需的各项费用，招标文件未列明，而投标人认为必需的费用也需列入报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报价注意事项：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（1）价格一律以人民币计算，以元为单位标准；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（2）投标人报价时应充分考虑所有可能影响到报价的价格因素，一旦评标结束最终中标，总价将包定，不予调整。如发生漏、缺、少项，都将被认为是中标人的报价让利行为，损失自负。</w:t>
      </w:r>
      <w:r/>
    </w:p>
    <w:p>
      <w:pPr>
        <w:jc w:val="center"/>
        <w:spacing w:line="360" w:lineRule="auto"/>
        <w:rPr>
          <w:rFonts w:hint="eastAsia" w:ascii="Times New Roman" w:hAnsi="Times New Roman"/>
          <w:color w:val="auto"/>
          <w:szCs w:val="24"/>
          <w:highlight w:val="none"/>
        </w:rPr>
      </w:pPr>
      <w:r>
        <w:rPr>
          <w:rFonts w:hint="eastAsia" w:ascii="宋体" w:hAnsi="宋体" w:cs="宋体"/>
          <w:b/>
          <w:color w:val="auto"/>
          <w:sz w:val="28"/>
          <w:szCs w:val="24"/>
          <w:highlight w:val="none"/>
        </w:rPr>
        <w:t xml:space="preserve">五  开标、评标、定标</w:t>
      </w:r>
      <w:r/>
    </w:p>
    <w:p>
      <w:pPr>
        <w:ind w:firstLine="482"/>
        <w:spacing w:line="360" w:lineRule="auto"/>
        <w:rPr>
          <w:rFonts w:ascii="Times New Roman" w:hAnsi="Times New Roman"/>
          <w:color w:val="auto"/>
          <w:szCs w:val="24"/>
          <w:highlight w:val="none"/>
        </w:rPr>
      </w:pPr>
      <w:r>
        <w:rPr>
          <w:rFonts w:hint="eastAsia" w:ascii="宋体" w:hAnsi="宋体" w:cs="宋体"/>
          <w:b/>
          <w:color w:val="auto"/>
          <w:sz w:val="24"/>
          <w:szCs w:val="24"/>
          <w:highlight w:val="none"/>
        </w:rPr>
        <w:t xml:space="preserve">十二、评审、定标方法</w:t>
      </w:r>
      <w:r/>
    </w:p>
    <w:p>
      <w:pPr>
        <w:ind w:firstLine="480"/>
        <w:spacing w:line="360" w:lineRule="auto"/>
        <w:rPr>
          <w:rFonts w:hint="eastAsia" w:ascii="Times New Roman" w:hAnsi="Times New Roman" w:eastAsia="宋体"/>
          <w:color w:val="auto"/>
          <w:szCs w:val="24"/>
          <w:highlight w:val="none"/>
          <w:lang w:eastAsia="zh-CN"/>
        </w:rPr>
      </w:pPr>
      <w:r>
        <w:rPr>
          <w:rFonts w:hint="eastAsia" w:ascii="宋体" w:hAnsi="宋体" w:cs="宋体"/>
          <w:color w:val="auto"/>
          <w:sz w:val="24"/>
          <w:szCs w:val="24"/>
          <w:highlight w:val="none"/>
        </w:rPr>
        <w:t xml:space="preserve">本项目采用综合评分法</w:t>
      </w:r>
      <w:r>
        <w:rPr>
          <w:rFonts w:hint="eastAsia" w:ascii="宋体" w:hAnsi="宋体" w:cs="宋体"/>
          <w:color w:val="auto"/>
          <w:sz w:val="24"/>
          <w:szCs w:val="24"/>
          <w:highlight w:val="none"/>
          <w:lang w:eastAsia="zh-CN"/>
        </w:rPr>
        <w:t xml:space="preserve">。</w:t>
      </w:r>
      <w:r/>
    </w:p>
    <w:p>
      <w:pPr>
        <w:ind w:firstLine="482"/>
        <w:spacing w:line="360" w:lineRule="auto"/>
        <w:rPr>
          <w:rFonts w:ascii="Times New Roman" w:hAnsi="Times New Roman"/>
          <w:color w:val="auto"/>
          <w:szCs w:val="24"/>
          <w:highlight w:val="none"/>
        </w:rPr>
      </w:pPr>
      <w:r>
        <w:rPr>
          <w:rFonts w:hint="eastAsia" w:ascii="宋体" w:hAnsi="宋体" w:cs="宋体"/>
          <w:b/>
          <w:color w:val="auto"/>
          <w:sz w:val="24"/>
          <w:szCs w:val="24"/>
          <w:highlight w:val="none"/>
        </w:rPr>
        <w:t xml:space="preserve">十三、开标评标会</w:t>
      </w:r>
      <w:r/>
    </w:p>
    <w:p>
      <w:pPr>
        <w:numPr>
          <w:ilvl w:val="0"/>
          <w:numId w:val="0"/>
        </w:num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lang w:eastAsia="zh-CN"/>
        </w:rPr>
        <w:t xml:space="preserve">招标人</w:t>
      </w:r>
      <w:r>
        <w:rPr>
          <w:rFonts w:hint="eastAsia" w:ascii="宋体" w:hAnsi="宋体" w:cs="宋体"/>
          <w:b/>
          <w:color w:val="auto"/>
          <w:sz w:val="24"/>
          <w:szCs w:val="24"/>
          <w:highlight w:val="none"/>
        </w:rPr>
        <w:t xml:space="preserve">或招标代理将在“</w:t>
      </w:r>
      <w:r>
        <w:rPr>
          <w:rFonts w:hint="eastAsia" w:ascii="宋体" w:hAnsi="宋体" w:cs="宋体"/>
          <w:b/>
          <w:color w:val="auto"/>
          <w:sz w:val="24"/>
          <w:szCs w:val="24"/>
          <w:highlight w:val="none"/>
          <w:lang w:eastAsia="zh-CN"/>
        </w:rPr>
        <w:t xml:space="preserve">投标人</w:t>
      </w:r>
      <w:r>
        <w:rPr>
          <w:rFonts w:hint="eastAsia" w:ascii="宋体" w:hAnsi="宋体" w:cs="宋体"/>
          <w:b/>
          <w:color w:val="auto"/>
          <w:sz w:val="24"/>
          <w:szCs w:val="24"/>
          <w:highlight w:val="none"/>
        </w:rPr>
        <w:t xml:space="preserve">须知前附表”中规定的时间和地点</w:t>
      </w:r>
      <w:r>
        <w:rPr>
          <w:rFonts w:hint="eastAsia" w:ascii="宋体" w:hAnsi="宋体" w:eastAsia="宋体" w:cs="宋体"/>
          <w:b/>
          <w:color w:val="auto"/>
          <w:sz w:val="24"/>
          <w:szCs w:val="24"/>
          <w:highlight w:val="none"/>
        </w:rPr>
        <w:t xml:space="preserve">组织公开开标。</w:t>
      </w:r>
      <w:r>
        <w:rPr>
          <w:rFonts w:hint="eastAsia" w:ascii="宋体" w:hAnsi="宋体" w:eastAsia="宋体" w:cs="宋体"/>
          <w:b/>
          <w:color w:val="auto"/>
          <w:sz w:val="24"/>
          <w:szCs w:val="24"/>
          <w:highlight w:val="none"/>
          <w:lang w:eastAsia="zh-CN"/>
        </w:rPr>
        <w:t xml:space="preserve">投标人</w:t>
      </w:r>
      <w:r>
        <w:rPr>
          <w:rFonts w:hint="eastAsia" w:ascii="宋体" w:hAnsi="宋体" w:eastAsia="宋体" w:cs="宋体"/>
          <w:b/>
          <w:color w:val="auto"/>
          <w:sz w:val="24"/>
          <w:szCs w:val="24"/>
          <w:highlight w:val="none"/>
        </w:rPr>
        <w:t xml:space="preserve">法定代表人或其授权代表必须携带本人身份证按时参加开标会，并签名报到以证明其出席开标会。投标人未参加开标的，视同认可开标结果。</w:t>
      </w:r>
      <w:r/>
    </w:p>
    <w:p>
      <w:pPr>
        <w:numPr>
          <w:ilvl w:val="0"/>
          <w:numId w:val="0"/>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按照第</w:t>
      </w: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条规定，同意撤回的投标将不予开封。</w:t>
      </w:r>
      <w:r/>
    </w:p>
    <w:p>
      <w:pPr>
        <w:ind w:firstLine="482"/>
        <w:spacing w:line="360" w:lineRule="auto"/>
        <w:rPr>
          <w:rFonts w:hint="eastAsia" w:ascii="Times New Roman" w:hAnsi="Times New Roman"/>
          <w:color w:val="auto"/>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开标时，由</w:t>
      </w:r>
      <w:r>
        <w:rPr>
          <w:rFonts w:hint="eastAsia" w:ascii="宋体" w:hAnsi="宋体" w:cs="宋体"/>
          <w:b/>
          <w:color w:val="auto"/>
          <w:sz w:val="24"/>
          <w:szCs w:val="24"/>
          <w:highlight w:val="none"/>
          <w:lang w:eastAsia="zh-CN"/>
        </w:rPr>
        <w:t xml:space="preserve">投标人</w:t>
      </w:r>
      <w:r>
        <w:rPr>
          <w:rFonts w:hint="eastAsia" w:ascii="宋体" w:hAnsi="宋体" w:cs="宋体"/>
          <w:b/>
          <w:color w:val="auto"/>
          <w:sz w:val="24"/>
          <w:szCs w:val="24"/>
          <w:highlight w:val="none"/>
        </w:rPr>
        <w:t xml:space="preserve">或其推选的代表检查投标文件密封情况，确认无误后，进行</w:t>
      </w:r>
      <w:r>
        <w:rPr>
          <w:rFonts w:hint="eastAsia" w:ascii="宋体" w:hAnsi="宋体" w:eastAsia="宋体" w:cs="宋体"/>
          <w:b/>
          <w:color w:val="auto"/>
          <w:sz w:val="24"/>
          <w:szCs w:val="24"/>
          <w:highlight w:val="none"/>
        </w:rPr>
        <w:t xml:space="preserve">开标，宣读各投标人的《开标一览表》</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招标代理机构将对开标过程进行记录。</w:t>
      </w:r>
      <w:r/>
    </w:p>
    <w:p>
      <w:pPr>
        <w:ind w:firstLine="482"/>
        <w:keepLines/>
        <w:keepNext/>
        <w:spacing w:line="360" w:lineRule="auto"/>
        <w:rPr>
          <w:rFonts w:ascii="宋体" w:hAnsi="宋体" w:cs="Arial"/>
          <w:b/>
          <w:color w:val="auto"/>
          <w:szCs w:val="21"/>
          <w:highlight w:val="none"/>
        </w:rPr>
        <w:outlineLvl w:val="3"/>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、评标过程的保密</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开标后至招标人公布中标结果之前，有关投标文件的审查、澄清、评比和定标等信息对与本过程无关的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及其他人员保密。</w:t>
      </w:r>
      <w:r/>
    </w:p>
    <w:p>
      <w:pPr>
        <w:ind w:firstLine="482"/>
        <w:spacing w:line="360" w:lineRule="auto"/>
        <w:rPr>
          <w:rFonts w:ascii="宋体" w:hAnsi="宋体"/>
          <w:color w:val="auto"/>
          <w:szCs w:val="21"/>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在评标过程中，如果</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试图在投标文件审查、澄清、比较及授予合同方面向招标人或评标委员会施加任何影响，都可能导致被取消评标资格。</w:t>
      </w:r>
      <w:r/>
    </w:p>
    <w:p>
      <w:pPr>
        <w:ind w:firstLine="482"/>
        <w:keepLines/>
        <w:keepNext/>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lang w:val="en-US" w:eastAsia="zh-CN"/>
        </w:rPr>
        <w:t xml:space="preserve">十五、</w:t>
      </w:r>
      <w:r>
        <w:rPr>
          <w:rFonts w:hint="eastAsia" w:ascii="宋体" w:hAnsi="宋体" w:eastAsia="宋体" w:cs="宋体"/>
          <w:b/>
          <w:color w:val="auto"/>
          <w:sz w:val="24"/>
          <w:szCs w:val="24"/>
          <w:highlight w:val="none"/>
        </w:rPr>
        <w:t xml:space="preserve">对投标文件的审核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将根据项目特点组建评标委员会，由五人组成，并独立开展评标工作。</w:t>
      </w:r>
      <w:r>
        <w:rPr>
          <w:rFonts w:hint="eastAsia" w:ascii="宋体" w:hAnsi="宋体" w:eastAsia="宋体" w:cs="宋体"/>
          <w:color w:val="auto"/>
          <w:sz w:val="24"/>
          <w:szCs w:val="24"/>
          <w:highlight w:val="none"/>
          <w:lang w:eastAsia="zh-CN"/>
        </w:rPr>
        <w:t xml:space="preserve">评标委员会</w:t>
      </w:r>
      <w:r>
        <w:rPr>
          <w:rFonts w:hint="eastAsia" w:ascii="宋体" w:hAnsi="宋体" w:eastAsia="宋体" w:cs="宋体"/>
          <w:color w:val="auto"/>
          <w:sz w:val="24"/>
          <w:szCs w:val="24"/>
          <w:highlight w:val="none"/>
        </w:rPr>
        <w:t xml:space="preserve">对投标文件进行审查、质疑、评估、比较。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依据法律法规和招标文件的规定，对投标文件中的资格证明进行审查；通过“信用中国”网站（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）查询投标供应商在投标截止时间之前，是否被列入失信执行人、重大税收违法案件当事人名单、政府采购严重违法失信行为记录名单，以确定投标供应商是否具备投标资格。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评标委员会</w:t>
      </w:r>
      <w:r>
        <w:rPr>
          <w:rFonts w:hint="eastAsia" w:ascii="宋体" w:hAnsi="宋体" w:eastAsia="宋体" w:cs="宋体"/>
          <w:color w:val="auto"/>
          <w:sz w:val="24"/>
          <w:szCs w:val="24"/>
          <w:highlight w:val="none"/>
        </w:rPr>
        <w:t xml:space="preserve">将会审查每份投标文件是否实质响应了招标文件的要求。实质上响应的投标是指与招标文件的要求相符，没有重大偏离或保留的投标。所谓重大偏离或保留是指不满足招标文件实质性要求影响招标文件规定的范围、质量和性能；或限制了</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的权利或供应商的义务的内容，而纠正这些偏离或保留将会对其他实质上响应要求的供应商的竞争地位产生不公正的影响。评委决定投标文件的响应性，只根据投标文件本身的内容，而不寻求外部的证据。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如果投标文件实质上没有响应招标文件的要求，</w:t>
      </w:r>
      <w:r>
        <w:rPr>
          <w:rFonts w:hint="eastAsia" w:ascii="宋体" w:hAnsi="宋体" w:eastAsia="宋体" w:cs="宋体"/>
          <w:color w:val="auto"/>
          <w:sz w:val="24"/>
          <w:szCs w:val="24"/>
          <w:highlight w:val="none"/>
          <w:lang w:eastAsia="zh-CN"/>
        </w:rPr>
        <w:t xml:space="preserve">评标委员会</w:t>
      </w:r>
      <w:r>
        <w:rPr>
          <w:rFonts w:hint="eastAsia" w:ascii="宋体" w:hAnsi="宋体" w:eastAsia="宋体" w:cs="宋体"/>
          <w:color w:val="auto"/>
          <w:sz w:val="24"/>
          <w:szCs w:val="24"/>
          <w:highlight w:val="none"/>
        </w:rPr>
        <w:t xml:space="preserve">将予以拒绝，供应商不得通过修改或撤销不合要求的偏离或保留而使其投标成为实质上响应的投标。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未按本文件实质性要求形成投标文件，投标文件内容不全或实质性条款字迹模糊难以辨认的，</w:t>
      </w:r>
      <w:r>
        <w:rPr>
          <w:rFonts w:hint="eastAsia" w:ascii="宋体" w:hAnsi="宋体" w:eastAsia="宋体" w:cs="宋体"/>
          <w:color w:val="auto"/>
          <w:sz w:val="24"/>
          <w:szCs w:val="24"/>
          <w:highlight w:val="none"/>
          <w:lang w:eastAsia="zh-CN"/>
        </w:rPr>
        <w:t xml:space="preserve">评标委员会</w:t>
      </w:r>
      <w:r>
        <w:rPr>
          <w:rFonts w:hint="eastAsia" w:ascii="宋体" w:hAnsi="宋体" w:eastAsia="宋体" w:cs="宋体"/>
          <w:color w:val="auto"/>
          <w:sz w:val="24"/>
          <w:szCs w:val="24"/>
          <w:highlight w:val="none"/>
        </w:rPr>
        <w:t xml:space="preserve">对其投标文件作无效投标文件处理。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评标委员会</w:t>
      </w:r>
      <w:r>
        <w:rPr>
          <w:rFonts w:hint="eastAsia" w:ascii="宋体" w:hAnsi="宋体" w:eastAsia="宋体" w:cs="宋体"/>
          <w:color w:val="auto"/>
          <w:sz w:val="24"/>
          <w:szCs w:val="24"/>
          <w:highlight w:val="none"/>
        </w:rPr>
        <w:t xml:space="preserve">将对确定为实质上响应的投标进行进一步审核，看其是否有计算上或累加上的算术错误，修正错误的原则如下：</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(1)如果用数字表示的金额和用文字表示的金额不一致时，应以文字表示的金额为准进行修正；</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(2)当单价与数量的乘积之和与总价不一致时，以单价为准进行修正。只有在评标委员会认为单价有明显的小数点错误时，才能以标出的总价为准，并修改单价。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评标委员会</w:t>
      </w:r>
      <w:r>
        <w:rPr>
          <w:rFonts w:hint="eastAsia" w:ascii="宋体" w:hAnsi="宋体" w:eastAsia="宋体" w:cs="宋体"/>
          <w:color w:val="auto"/>
          <w:sz w:val="24"/>
          <w:szCs w:val="24"/>
          <w:highlight w:val="none"/>
        </w:rPr>
        <w:t xml:space="preserve">将按上述修正错误的方法调整投标文件中的投标报价，调整后的价格应对供应商具有约束力。如果供应商不接受修正后的价格，则其投标将被拒绝。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评标委员会</w:t>
      </w:r>
      <w:r>
        <w:rPr>
          <w:rFonts w:hint="eastAsia" w:ascii="宋体" w:hAnsi="宋体" w:eastAsia="宋体" w:cs="宋体"/>
          <w:color w:val="auto"/>
          <w:sz w:val="24"/>
          <w:szCs w:val="24"/>
          <w:highlight w:val="none"/>
        </w:rPr>
        <w:t xml:space="preserve">将允许修正投标文件中不构成重大偏离的、微小的、非正规的、不一致的或不规则的地方，但这些修改不能影响任何供应商相应的名次排列。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评标委员会</w:t>
      </w:r>
      <w:r>
        <w:rPr>
          <w:rFonts w:hint="eastAsia" w:ascii="宋体" w:hAnsi="宋体" w:eastAsia="宋体" w:cs="宋体"/>
          <w:color w:val="auto"/>
          <w:sz w:val="24"/>
          <w:szCs w:val="24"/>
          <w:highlight w:val="none"/>
        </w:rPr>
        <w:t xml:space="preserve">审阅投标文件，有权决定供应商是否具有投标资格。</w:t>
      </w:r>
      <w:r/>
    </w:p>
    <w:p>
      <w:pPr>
        <w:ind w:firstLine="482"/>
        <w:spacing w:line="360" w:lineRule="auto"/>
        <w:rPr>
          <w:rFonts w:ascii="Times New Roman" w:hAnsi="Times New Roman"/>
          <w:color w:val="auto"/>
          <w:szCs w:val="24"/>
          <w:highlight w:val="none"/>
        </w:rPr>
      </w:pPr>
      <w:r>
        <w:rPr>
          <w:rFonts w:hint="eastAsia" w:ascii="宋体" w:hAnsi="宋体" w:cs="宋体"/>
          <w:b/>
          <w:color w:val="auto"/>
          <w:sz w:val="24"/>
          <w:szCs w:val="24"/>
          <w:highlight w:val="none"/>
        </w:rPr>
        <w:t xml:space="preserve">十六、</w:t>
      </w:r>
      <w:r>
        <w:rPr>
          <w:rFonts w:hint="eastAsia" w:ascii="宋体" w:hAnsi="宋体" w:cs="宋体"/>
          <w:b/>
          <w:bCs/>
          <w:color w:val="auto"/>
          <w:sz w:val="24"/>
          <w:szCs w:val="24"/>
          <w:highlight w:val="none"/>
        </w:rPr>
        <w:t xml:space="preserve">投标文件出现下列情况之一的，将作为无效投标文件处理，无效投标文件不予参加评标。</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投标函未加盖投标人公章；</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授权委托书无投标人公章、法定代表人的</w:t>
      </w:r>
      <w:r>
        <w:rPr>
          <w:rFonts w:hint="eastAsia" w:ascii="宋体" w:hAnsi="宋体" w:cs="宋体"/>
          <w:color w:val="auto"/>
          <w:sz w:val="24"/>
          <w:szCs w:val="24"/>
          <w:highlight w:val="none"/>
          <w:lang w:val="en-US" w:eastAsia="zh-CN"/>
        </w:rPr>
        <w:t xml:space="preserve">印章</w:t>
      </w:r>
      <w:r>
        <w:rPr>
          <w:rFonts w:hint="eastAsia" w:ascii="宋体" w:hAnsi="宋体" w:cs="宋体"/>
          <w:color w:val="auto"/>
          <w:sz w:val="24"/>
          <w:szCs w:val="24"/>
          <w:highlight w:val="none"/>
        </w:rPr>
        <w:t xml:space="preserve">（或签名）；</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投标文件未按招标文件规定的格式、内容和要求编制，投标文件字迹潦草、模糊、难以辨认；</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投标人在一份投标文件中，对同一招标项目报有两个或多个报价，且未书面确定以哪个报价为准；</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lang w:eastAsia="zh-CN"/>
        </w:rPr>
        <w:t xml:space="preserve">6.</w:t>
      </w:r>
      <w:r>
        <w:rPr>
          <w:rFonts w:hint="eastAsia" w:ascii="宋体" w:hAnsi="宋体" w:cs="宋体"/>
          <w:color w:val="auto"/>
          <w:sz w:val="24"/>
          <w:szCs w:val="24"/>
          <w:highlight w:val="none"/>
        </w:rPr>
        <w:t xml:space="preserve">投标人在投标报价中存在严重错误，影响对其他投标人的评分；</w:t>
      </w:r>
      <w:r/>
    </w:p>
    <w:p>
      <w:pPr>
        <w:ind w:firstLine="480"/>
        <w:spacing w:line="360" w:lineRule="auto"/>
        <w:rPr>
          <w:rFonts w:hint="eastAsia" w:ascii="Times New Roman" w:hAnsi="Times New Roman" w:eastAsia="宋体"/>
          <w:color w:val="auto"/>
          <w:szCs w:val="24"/>
          <w:highlight w:val="none"/>
          <w:lang w:eastAsia="zh-CN"/>
        </w:rPr>
      </w:pPr>
      <w:r>
        <w:rPr>
          <w:rFonts w:hint="eastAsia" w:ascii="宋体" w:hAnsi="宋体" w:cs="宋体"/>
          <w:color w:val="auto"/>
          <w:sz w:val="24"/>
          <w:szCs w:val="24"/>
          <w:highlight w:val="none"/>
          <w:lang w:eastAsia="zh-CN"/>
        </w:rPr>
        <w:t xml:space="preserve">7.</w:t>
      </w:r>
      <w:r>
        <w:rPr>
          <w:rFonts w:hint="eastAsia" w:ascii="宋体" w:hAnsi="宋体" w:cs="宋体"/>
          <w:color w:val="auto"/>
          <w:sz w:val="24"/>
          <w:szCs w:val="24"/>
          <w:highlight w:val="none"/>
        </w:rPr>
        <w:t xml:space="preserve">投标人资格不满足要求，或投标材料所述情况和所附相关资料不实的</w:t>
      </w:r>
      <w:r>
        <w:rPr>
          <w:rFonts w:hint="eastAsia" w:ascii="宋体" w:hAnsi="宋体" w:cs="宋体"/>
          <w:color w:val="auto"/>
          <w:sz w:val="24"/>
          <w:szCs w:val="24"/>
          <w:highlight w:val="none"/>
          <w:lang w:eastAsia="zh-CN"/>
        </w:rPr>
        <w:t xml:space="preserve">。</w:t>
      </w:r>
      <w:r/>
    </w:p>
    <w:p>
      <w:pPr>
        <w:ind w:firstLine="482"/>
        <w:spacing w:line="360" w:lineRule="auto"/>
        <w:rPr>
          <w:rFonts w:ascii="Times New Roman" w:hAnsi="Times New Roman"/>
          <w:color w:val="auto"/>
          <w:szCs w:val="24"/>
          <w:highlight w:val="none"/>
        </w:rPr>
      </w:pPr>
      <w:r>
        <w:rPr>
          <w:rFonts w:hint="eastAsia" w:ascii="宋体" w:hAnsi="宋体" w:cs="宋体"/>
          <w:b/>
          <w:color w:val="auto"/>
          <w:sz w:val="24"/>
          <w:szCs w:val="24"/>
          <w:highlight w:val="none"/>
        </w:rPr>
        <w:t xml:space="preserve">十七、评标、定标</w:t>
      </w:r>
      <w:r/>
    </w:p>
    <w:p>
      <w:pPr>
        <w:ind w:firstLine="480"/>
        <w:spacing w:line="360" w:lineRule="auto"/>
        <w:rPr>
          <w:rFonts w:hint="default" w:ascii="Times New Roman" w:hAnsi="Times New Roman" w:eastAsia="宋体"/>
          <w:color w:val="auto"/>
          <w:szCs w:val="24"/>
          <w:highlight w:val="none"/>
          <w:lang w:val="en-US" w:eastAsia="zh-CN"/>
        </w:rPr>
      </w:pPr>
      <w:r>
        <w:rPr>
          <w:rFonts w:hint="eastAsia" w:ascii="宋体" w:hAnsi="宋体" w:cs="宋体"/>
          <w:color w:val="auto"/>
          <w:sz w:val="24"/>
          <w:szCs w:val="24"/>
          <w:highlight w:val="none"/>
        </w:rPr>
        <w:t xml:space="preserve">评标由依法组建的评标委员会负责。定标时根据评标委员会的书面评标报告和推荐的中标候选人确定中标人</w:t>
      </w:r>
      <w:r>
        <w:rPr>
          <w:rFonts w:hint="eastAsia" w:ascii="宋体" w:hAnsi="宋体" w:cs="宋体"/>
          <w:color w:val="auto"/>
          <w:sz w:val="24"/>
          <w:szCs w:val="24"/>
          <w:highlight w:val="none"/>
          <w:lang w:val="en-US" w:eastAsia="zh-CN"/>
        </w:rPr>
        <w:t xml:space="preserve">。</w:t>
      </w:r>
      <w:r/>
    </w:p>
    <w:p>
      <w:pPr>
        <w:ind w:firstLine="482"/>
        <w:spacing w:line="360" w:lineRule="auto"/>
        <w:rPr>
          <w:rFonts w:ascii="Times New Roman" w:hAnsi="Times New Roman"/>
          <w:color w:val="auto"/>
          <w:szCs w:val="24"/>
          <w:highlight w:val="none"/>
        </w:rPr>
      </w:pPr>
      <w:r>
        <w:rPr>
          <w:rFonts w:hint="eastAsia" w:ascii="宋体" w:hAnsi="宋体" w:cs="宋体"/>
          <w:b/>
          <w:color w:val="auto"/>
          <w:sz w:val="24"/>
          <w:szCs w:val="24"/>
          <w:highlight w:val="none"/>
        </w:rPr>
        <w:t xml:space="preserve">十八、投标文件的澄清</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为有助于对投标文件的审查、评价和比较，</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或招标代理有权要求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对投标书中含义不明确的内容进行澄清。</w:t>
      </w:r>
      <w:r/>
    </w:p>
    <w:p>
      <w:pPr>
        <w:ind w:firstLine="482"/>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有责任按照</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或招标代理通知的时间、地点，进行答疑和澄清，有关澄清的内容应以书面形式提交，但不得对投标内容进行实质性修改。</w:t>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对投标文件中含义不明确、同类问题表述不一致或者有明显文字和计算错误的内容，</w:t>
      </w:r>
      <w:r>
        <w:rPr>
          <w:rFonts w:hint="eastAsia" w:ascii="宋体" w:hAnsi="宋体" w:cs="宋体"/>
          <w:color w:val="auto"/>
          <w:sz w:val="24"/>
          <w:szCs w:val="24"/>
          <w:highlight w:val="none"/>
          <w:lang w:eastAsia="zh-CN"/>
        </w:rPr>
        <w:t xml:space="preserve">评标委员会</w:t>
      </w:r>
      <w:r>
        <w:rPr>
          <w:rFonts w:hint="eastAsia" w:ascii="宋体" w:hAnsi="宋体" w:cs="宋体"/>
          <w:color w:val="auto"/>
          <w:sz w:val="24"/>
          <w:szCs w:val="24"/>
          <w:highlight w:val="none"/>
        </w:rPr>
        <w:t xml:space="preserve">有权要求投标人对其投标文件作出必要的澄清、说明或者纠正，但并非对每个投标人都作澄清要求。</w:t>
      </w:r>
      <w:r>
        <w:rPr>
          <w:rFonts w:hint="eastAsia" w:ascii="宋体" w:hAnsi="宋体" w:cs="宋体"/>
          <w:color w:val="auto"/>
          <w:sz w:val="24"/>
          <w:szCs w:val="24"/>
          <w:highlight w:val="none"/>
          <w:lang w:val="en-US" w:eastAsia="zh-CN"/>
        </w:rPr>
        <w:t xml:space="preserve">投标人应确保通讯畅通，</w:t>
      </w:r>
      <w:r>
        <w:rPr>
          <w:rFonts w:hint="eastAsia" w:ascii="宋体" w:hAnsi="宋体" w:cs="宋体"/>
          <w:color w:val="auto"/>
          <w:sz w:val="24"/>
          <w:szCs w:val="24"/>
          <w:highlight w:val="none"/>
        </w:rPr>
        <w:t xml:space="preserve">接到</w:t>
      </w:r>
      <w:r>
        <w:rPr>
          <w:rFonts w:hint="eastAsia" w:ascii="宋体" w:hAnsi="宋体" w:cs="宋体"/>
          <w:color w:val="auto"/>
          <w:sz w:val="24"/>
          <w:szCs w:val="24"/>
          <w:highlight w:val="none"/>
          <w:lang w:eastAsia="zh-CN"/>
        </w:rPr>
        <w:t xml:space="preserve">评标委员会</w:t>
      </w:r>
      <w:r>
        <w:rPr>
          <w:rFonts w:hint="eastAsia" w:ascii="宋体" w:hAnsi="宋体" w:cs="宋体"/>
          <w:color w:val="auto"/>
          <w:sz w:val="24"/>
          <w:szCs w:val="24"/>
          <w:highlight w:val="none"/>
        </w:rPr>
        <w:t xml:space="preserve">澄清要求的投标人应派人按</w:t>
      </w:r>
      <w:r>
        <w:rPr>
          <w:rFonts w:hint="eastAsia" w:ascii="宋体" w:hAnsi="宋体" w:cs="宋体"/>
          <w:color w:val="auto"/>
          <w:sz w:val="24"/>
          <w:szCs w:val="24"/>
          <w:highlight w:val="none"/>
          <w:lang w:eastAsia="zh-CN"/>
        </w:rPr>
        <w:t xml:space="preserve">评标委员会</w:t>
      </w:r>
      <w:r>
        <w:rPr>
          <w:rFonts w:hint="eastAsia" w:ascii="宋体" w:hAnsi="宋体" w:cs="宋体"/>
          <w:color w:val="auto"/>
          <w:sz w:val="24"/>
          <w:szCs w:val="24"/>
          <w:highlight w:val="none"/>
        </w:rPr>
        <w:t xml:space="preserve">规定的时间和格式做出澄清，由其授权的代表签字，澄清的内容作为投标文件的补充部分，但投标的价格和实质性的内容不得做任何更改。接到</w:t>
      </w:r>
      <w:r>
        <w:rPr>
          <w:rFonts w:hint="eastAsia" w:ascii="宋体" w:hAnsi="宋体" w:cs="宋体"/>
          <w:color w:val="auto"/>
          <w:sz w:val="24"/>
          <w:szCs w:val="24"/>
          <w:highlight w:val="none"/>
          <w:lang w:eastAsia="zh-CN"/>
        </w:rPr>
        <w:t xml:space="preserve">评标委员会</w:t>
      </w:r>
      <w:r>
        <w:rPr>
          <w:rFonts w:hint="eastAsia" w:ascii="宋体" w:hAnsi="宋体" w:cs="宋体"/>
          <w:color w:val="auto"/>
          <w:sz w:val="24"/>
          <w:szCs w:val="24"/>
          <w:highlight w:val="none"/>
        </w:rPr>
        <w:t xml:space="preserve">澄清要求的投标人如未按规定做出澄清，其风险由投标人自行承担。</w:t>
      </w:r>
      <w:r/>
    </w:p>
    <w:p>
      <w:pPr>
        <w:ind w:firstLine="482"/>
        <w:spacing w:line="360" w:lineRule="auto"/>
        <w:rPr>
          <w:rFonts w:hint="eastAsia" w:ascii="Times New Roman" w:hAnsi="Times New Roman"/>
          <w:color w:val="auto"/>
          <w:szCs w:val="24"/>
          <w:highlight w:val="none"/>
        </w:rPr>
      </w:pPr>
      <w:r>
        <w:rPr>
          <w:rFonts w:hint="eastAsia" w:ascii="宋体" w:hAnsi="宋体" w:cs="宋体"/>
          <w:b/>
          <w:color w:val="auto"/>
          <w:sz w:val="24"/>
          <w:szCs w:val="24"/>
          <w:highlight w:val="none"/>
        </w:rPr>
        <w:t xml:space="preserve">十九、评标中作为废标处理的情况：</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在评标过程中，</w:t>
      </w:r>
      <w:r>
        <w:rPr>
          <w:rFonts w:hint="eastAsia" w:ascii="宋体" w:hAnsi="宋体" w:cs="宋体"/>
          <w:color w:val="auto"/>
          <w:sz w:val="24"/>
          <w:szCs w:val="24"/>
          <w:highlight w:val="none"/>
          <w:lang w:eastAsia="zh-CN"/>
        </w:rPr>
        <w:t xml:space="preserve">评标委员会</w:t>
      </w:r>
      <w:r>
        <w:rPr>
          <w:rFonts w:hint="eastAsia" w:ascii="宋体" w:hAnsi="宋体" w:cs="宋体"/>
          <w:color w:val="auto"/>
          <w:sz w:val="24"/>
          <w:szCs w:val="24"/>
          <w:highlight w:val="none"/>
        </w:rPr>
        <w:t xml:space="preserve">若发现投标人以他人的名义投标、串通投标、以行贿手段谋取中标或者以其他弄虚作假方式投标的，该投标人的投标将作废标处理。</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在评标过程中，</w:t>
      </w:r>
      <w:r>
        <w:rPr>
          <w:rFonts w:hint="eastAsia" w:ascii="宋体" w:hAnsi="宋体" w:cs="宋体"/>
          <w:color w:val="auto"/>
          <w:sz w:val="24"/>
          <w:szCs w:val="24"/>
          <w:highlight w:val="none"/>
          <w:lang w:eastAsia="zh-CN"/>
        </w:rPr>
        <w:t xml:space="preserve">评标委员会</w:t>
      </w:r>
      <w:r>
        <w:rPr>
          <w:rFonts w:hint="eastAsia" w:ascii="宋体" w:hAnsi="宋体" w:cs="宋体"/>
          <w:color w:val="auto"/>
          <w:sz w:val="24"/>
          <w:szCs w:val="24"/>
          <w:highlight w:val="none"/>
        </w:rPr>
        <w:t xml:space="preserve">若发现投标人的报价明显低于其他投标报价或者在设有标底时明显低于标底，使得其投标报价可能低于其成本的，将要求该投标人做出书面说明并提供相关证明材料。投标人不能合理说明或者不能提供相关证明材料的，由</w:t>
      </w:r>
      <w:r>
        <w:rPr>
          <w:rFonts w:hint="eastAsia" w:ascii="宋体" w:hAnsi="宋体" w:cs="宋体"/>
          <w:color w:val="auto"/>
          <w:sz w:val="24"/>
          <w:szCs w:val="24"/>
          <w:highlight w:val="none"/>
          <w:lang w:eastAsia="zh-CN"/>
        </w:rPr>
        <w:t xml:space="preserve">评标委员会</w:t>
      </w:r>
      <w:r>
        <w:rPr>
          <w:rFonts w:hint="eastAsia" w:ascii="宋体" w:hAnsi="宋体" w:cs="宋体"/>
          <w:color w:val="auto"/>
          <w:sz w:val="24"/>
          <w:szCs w:val="24"/>
          <w:highlight w:val="none"/>
        </w:rPr>
        <w:t xml:space="preserve">认定该投标人以低于成本报价竞标，其投标将作废标处理。</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投标人价格均超过了采购预算，采购单位无法承担和支付的，其投标将作废标处理。</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投标人资格条件不符合国家有关规定和招标文件要求的，或者拒不按照要求对投标文件进行澄清、说明或者补正的，</w:t>
      </w:r>
      <w:r>
        <w:rPr>
          <w:rFonts w:hint="eastAsia" w:ascii="宋体" w:hAnsi="宋体" w:cs="宋体"/>
          <w:color w:val="auto"/>
          <w:sz w:val="24"/>
          <w:szCs w:val="24"/>
          <w:highlight w:val="none"/>
          <w:lang w:eastAsia="zh-CN"/>
        </w:rPr>
        <w:t xml:space="preserve">评标委员会</w:t>
      </w:r>
      <w:r>
        <w:rPr>
          <w:rFonts w:hint="eastAsia" w:ascii="宋体" w:hAnsi="宋体" w:cs="宋体"/>
          <w:color w:val="auto"/>
          <w:sz w:val="24"/>
          <w:szCs w:val="24"/>
          <w:highlight w:val="none"/>
        </w:rPr>
        <w:t xml:space="preserve">可以否决其投标。</w:t>
      </w:r>
      <w:r/>
    </w:p>
    <w:p>
      <w:pPr>
        <w:ind w:firstLine="482"/>
        <w:spacing w:line="360" w:lineRule="auto"/>
        <w:rPr>
          <w:rFonts w:ascii="Times New Roman" w:hAnsi="Times New Roman"/>
          <w:color w:val="auto"/>
          <w:szCs w:val="24"/>
          <w:highlight w:val="none"/>
        </w:rPr>
      </w:pPr>
      <w:r>
        <w:rPr>
          <w:rFonts w:hint="eastAsia" w:ascii="宋体" w:hAnsi="宋体" w:cs="宋体"/>
          <w:b/>
          <w:color w:val="auto"/>
          <w:sz w:val="24"/>
          <w:szCs w:val="24"/>
          <w:highlight w:val="none"/>
        </w:rPr>
        <w:t xml:space="preserve">二十、中标通知</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rPr>
        <w:t xml:space="preserve">中标人确定后，招标人向中标人发出中标通知，同时将中标结果通知所有未中标的投标人，中标人接到中标通知后的三十日内与招标人签订采购合同。</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rPr>
        <w:t xml:space="preserve">中标通知书对招标人和中标人具有法律约束力。</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rPr>
        <w:t xml:space="preserve">代理机构不负责向任何</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说明中标或不中标的原因。</w:t>
      </w:r>
      <w:r/>
    </w:p>
    <w:p>
      <w:pPr>
        <w:ind w:firstLine="482"/>
        <w:spacing w:line="360" w:lineRule="auto"/>
        <w:rPr>
          <w:rFonts w:ascii="Times New Roman" w:hAnsi="Times New Roman"/>
          <w:color w:val="auto"/>
          <w:szCs w:val="24"/>
          <w:highlight w:val="none"/>
        </w:rPr>
      </w:pPr>
      <w:r>
        <w:rPr>
          <w:rFonts w:hint="eastAsia" w:ascii="宋体" w:hAnsi="宋体" w:cs="宋体"/>
          <w:b/>
          <w:color w:val="auto"/>
          <w:sz w:val="24"/>
          <w:szCs w:val="24"/>
          <w:highlight w:val="none"/>
        </w:rPr>
        <w:t xml:space="preserve">二十一、授予合同，合同条款</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rPr>
        <w:t xml:space="preserve">中标人应按中标通知书指定的时间、地点派代表前来与招标人具体商谈签订合同。招标文件、中标人的投标文件及澄清文件等，均为签订合同的依据。</w:t>
      </w:r>
      <w:r/>
    </w:p>
    <w:p>
      <w:pPr>
        <w:ind w:firstLine="482"/>
        <w:spacing w:line="360" w:lineRule="auto"/>
        <w:rPr>
          <w:rFonts w:ascii="Times New Roman" w:hAnsi="Times New Roman"/>
          <w:color w:val="auto"/>
          <w:szCs w:val="24"/>
          <w:highlight w:val="none"/>
        </w:rPr>
      </w:pPr>
      <w:r>
        <w:rPr>
          <w:rFonts w:hint="eastAsia" w:ascii="宋体" w:hAnsi="宋体" w:cs="宋体"/>
          <w:b/>
          <w:color w:val="auto"/>
          <w:sz w:val="24"/>
          <w:szCs w:val="24"/>
          <w:highlight w:val="none"/>
        </w:rPr>
        <w:t xml:space="preserve">二十二、质疑和投诉</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参加</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认为采购文件、采购过程、中标或者成交结果使自己的权益受到损害的，可以在知道或者应知其权益受到损害之日起七个工作日内，以书面形式向招标人提出质疑。非书面形式、七个工作日之外提交以及匿名的质疑将不予受理 。</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质疑必须以参加</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法定代表人或授权代表以投标文件中所确定的送达方式提交，未按上述要求提交的质疑函招标人有权不予受理。</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未参加投标的</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或在投标活动中本身权益未受到损害或从投标活动中收益的</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所提出的质疑也不予受理。</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招标人将在收到</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的书面质疑后七个工作日内作出答复，并以书面形式通知质疑</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和其他有关</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，但答复的内容不得涉及商业秘密。</w:t>
      </w:r>
      <w:r/>
    </w:p>
    <w:p>
      <w:pPr>
        <w:ind w:firstLine="480"/>
        <w:spacing w:line="360" w:lineRule="auto"/>
        <w:rPr>
          <w:rFonts w:ascii="Times New Roman" w:hAnsi="Times New Roman"/>
          <w:color w:val="auto"/>
          <w:szCs w:val="24"/>
          <w:highlight w:val="none"/>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投标人提出书面质疑必须有理、有据，不得恶意质疑或提交虚假质疑。否则，一经查实，招标人有权依据政府采购的有关规定，报请政府采购监督管理部门对该投标人进行相应的行政处罚。</w:t>
      </w:r>
      <w:bookmarkEnd w:id="4"/>
      <w:r/>
      <w:r/>
    </w:p>
    <w:p>
      <w:pPr>
        <w:ind w:firstLine="480"/>
        <w:jc w:val="both"/>
        <w:spacing w:line="360" w:lineRule="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 xml:space="preserve">二十</w:t>
      </w:r>
      <w:r>
        <w:rPr>
          <w:rFonts w:hint="eastAsia" w:ascii="宋体" w:hAnsi="宋体" w:cs="宋体"/>
          <w:b/>
          <w:color w:val="auto"/>
          <w:sz w:val="24"/>
          <w:szCs w:val="24"/>
          <w:highlight w:val="none"/>
          <w:lang w:val="en-US" w:eastAsia="zh-CN"/>
        </w:rPr>
        <w:t xml:space="preserve">三</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特别提醒</w:t>
      </w:r>
      <w:r/>
    </w:p>
    <w:p>
      <w:pPr>
        <w:numPr>
          <w:ilvl w:val="0"/>
          <w:numId w:val="0"/>
        </w:numPr>
        <w:ind w:firstLine="482"/>
        <w:spacing w:line="360" w:lineRule="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供应商对其投标所提供材料的真实性负责。供应商使用虚假材料投标，招标人、评委会应当拒绝或否决其投标。已被确定的中标人，但尚未签订政府采购合同的，中标结果无效。合同已签订但尚未履行的，招标人可以单方面撤销合同。合同撤销或中标结果无效的，由招标人从其他合格的供应商中选择排名紧跟其后的供应商为中标人，或者重新组织政府采购活动。政府采购合同已履行的，给招标人造成的损失的，由供应商承担赔偿责任。此外，行政监督部门对供应商弄虚作假行为，依法作出相应处理。</w:t>
      </w:r>
      <w:r/>
    </w:p>
    <w:p>
      <w:pPr>
        <w:jc w:val="center"/>
        <w:keepLines/>
        <w:keepNext/>
        <w:spacing w:before="340" w:after="330" w:line="360" w:lineRule="auto"/>
        <w:rPr>
          <w:rFonts w:hint="eastAsia" w:ascii="Times New Roman" w:hAnsi="Times New Roman"/>
          <w:b/>
          <w:color w:val="auto"/>
          <w:sz w:val="24"/>
          <w:szCs w:val="24"/>
          <w:highlight w:val="none"/>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outlineLvl w:val="0"/>
      </w:pPr>
      <w:r/>
      <w:bookmarkStart w:id="24" w:name="_Toc31075"/>
      <w:r/>
      <w:r/>
    </w:p>
    <w:p>
      <w:pPr>
        <w:numPr>
          <w:ilvl w:val="0"/>
          <w:numId w:val="7"/>
        </w:numPr>
        <w:jc w:val="center"/>
        <w:keepLines/>
        <w:keepNext/>
        <w:spacing w:before="340" w:after="330" w:line="360" w:lineRule="auto"/>
        <w:rPr>
          <w:rFonts w:hint="eastAsia" w:ascii="Times New Roman" w:hAnsi="Times New Roman"/>
          <w:b/>
          <w:color w:val="auto"/>
          <w:sz w:val="24"/>
          <w:szCs w:val="24"/>
          <w:highlight w:val="none"/>
        </w:rPr>
        <w:outlineLvl w:val="0"/>
      </w:pPr>
      <w:r>
        <w:rPr>
          <w:rFonts w:ascii="Times New Roman" w:hAnsi="Times New Roman"/>
          <w:b/>
          <w:color w:val="auto"/>
          <w:sz w:val="24"/>
          <w:szCs w:val="24"/>
          <w:highlight w:val="none"/>
        </w:rPr>
        <w:t xml:space="preserve"> </w:t>
      </w:r>
      <w:r>
        <w:rPr>
          <w:rFonts w:hint="eastAsia" w:ascii="Times New Roman" w:hAnsi="Times New Roman"/>
          <w:b/>
          <w:color w:val="auto"/>
          <w:sz w:val="24"/>
          <w:szCs w:val="24"/>
          <w:highlight w:val="none"/>
        </w:rPr>
        <w:t xml:space="preserve">政府采购合同（参考）</w:t>
      </w:r>
      <w:bookmarkEnd w:id="24"/>
      <w:r/>
      <w:r/>
    </w:p>
    <w:p>
      <w:pPr>
        <w:numPr>
          <w:ilvl w:val="0"/>
          <w:numId w:val="0"/>
        </w:numPr>
        <w:jc w:val="center"/>
        <w:keepLines/>
        <w:keepNext/>
        <w:spacing w:before="340" w:after="330" w:line="360" w:lineRule="auto"/>
        <w:widowControl w:val="off"/>
        <w:rPr>
          <w:rFonts w:hint="eastAsia" w:ascii="Times New Roman" w:hAnsi="Times New Roman"/>
          <w:b/>
          <w:color w:val="auto"/>
          <w:sz w:val="24"/>
          <w:szCs w:val="24"/>
          <w:highlight w:val="none"/>
        </w:rPr>
        <w:outlineLvl w:val="0"/>
      </w:pPr>
      <w:r>
        <w:rPr>
          <w:rFonts w:hint="eastAsia" w:ascii="Times New Roman" w:hAnsi="Times New Roman"/>
          <w:b/>
          <w:color w:val="auto"/>
          <w:sz w:val="24"/>
          <w:szCs w:val="24"/>
          <w:highlight w:val="none"/>
        </w:rPr>
      </w:r>
      <w:r/>
    </w:p>
    <w:p>
      <w:pPr>
        <w:jc w:val="center"/>
        <w:spacing w:before="468"/>
        <w:rPr>
          <w:b/>
          <w:color w:val="auto"/>
          <w:sz w:val="44"/>
          <w:szCs w:val="44"/>
          <w:highlight w:val="none"/>
        </w:rPr>
      </w:pPr>
      <w:r>
        <w:rPr>
          <w:rFonts w:hint="eastAsia"/>
          <w:b/>
          <w:color w:val="auto"/>
          <w:sz w:val="36"/>
          <w:szCs w:val="36"/>
          <w:highlight w:val="none"/>
        </w:rPr>
        <w:t xml:space="preserve">稻米精深加工产业链条延伸——黄金米（米稀）新建项目</w:t>
      </w:r>
      <w:r/>
    </w:p>
    <w:p>
      <w:pPr>
        <w:jc w:val="center"/>
        <w:spacing w:line="480" w:lineRule="auto"/>
        <w:rPr>
          <w:b/>
          <w:color w:val="auto"/>
          <w:sz w:val="52"/>
          <w:szCs w:val="52"/>
          <w:highlight w:val="none"/>
        </w:rPr>
      </w:pPr>
      <w:r>
        <w:rPr>
          <w:b/>
          <w:color w:val="auto"/>
          <w:sz w:val="52"/>
          <w:szCs w:val="52"/>
          <w:highlight w:val="none"/>
        </w:rPr>
      </w:r>
      <w:r/>
    </w:p>
    <w:p>
      <w:pPr>
        <w:jc w:val="center"/>
        <w:spacing w:line="480" w:lineRule="auto"/>
        <w:rPr>
          <w:b/>
          <w:color w:val="auto"/>
          <w:sz w:val="52"/>
          <w:szCs w:val="52"/>
          <w:highlight w:val="none"/>
        </w:rPr>
      </w:pPr>
      <w:r>
        <w:rPr>
          <w:b/>
          <w:color w:val="auto"/>
          <w:sz w:val="52"/>
          <w:szCs w:val="52"/>
          <w:highlight w:val="none"/>
        </w:rPr>
        <w:t xml:space="preserve">  合 同 协 议 书</w:t>
      </w:r>
      <w:r/>
    </w:p>
    <w:p>
      <w:pPr>
        <w:spacing w:line="480" w:lineRule="auto"/>
        <w:rPr>
          <w:b/>
          <w:color w:val="auto"/>
          <w:sz w:val="52"/>
          <w:szCs w:val="52"/>
          <w:highlight w:val="none"/>
        </w:rPr>
      </w:pPr>
      <w:r>
        <w:rPr>
          <w:b/>
          <w:color w:val="auto"/>
          <w:sz w:val="52"/>
          <w:szCs w:val="52"/>
          <w:highlight w:val="none"/>
        </w:rPr>
      </w:r>
      <w:r/>
    </w:p>
    <w:p>
      <w:pPr>
        <w:spacing w:line="480" w:lineRule="auto"/>
        <w:rPr>
          <w:b/>
          <w:color w:val="auto"/>
          <w:sz w:val="52"/>
          <w:szCs w:val="52"/>
          <w:highlight w:val="none"/>
        </w:rPr>
      </w:pPr>
      <w:r>
        <w:rPr>
          <w:b/>
          <w:color w:val="auto"/>
          <w:sz w:val="52"/>
          <w:szCs w:val="52"/>
          <w:highlight w:val="none"/>
        </w:rPr>
      </w:r>
      <w:r/>
    </w:p>
    <w:p>
      <w:pPr>
        <w:spacing w:line="480" w:lineRule="auto"/>
        <w:rPr>
          <w:b/>
          <w:color w:val="auto"/>
          <w:sz w:val="52"/>
          <w:szCs w:val="52"/>
          <w:highlight w:val="none"/>
        </w:rPr>
      </w:pPr>
      <w:r>
        <w:rPr>
          <w:b/>
          <w:color w:val="auto"/>
          <w:sz w:val="52"/>
          <w:szCs w:val="52"/>
          <w:highlight w:val="none"/>
        </w:rPr>
      </w:r>
      <w:r/>
    </w:p>
    <w:p>
      <w:pPr>
        <w:spacing w:line="480" w:lineRule="auto"/>
        <w:rPr>
          <w:b/>
          <w:color w:val="auto"/>
          <w:sz w:val="52"/>
          <w:szCs w:val="52"/>
          <w:highlight w:val="none"/>
        </w:rPr>
      </w:pPr>
      <w:r>
        <w:rPr>
          <w:b/>
          <w:color w:val="auto"/>
          <w:sz w:val="52"/>
          <w:szCs w:val="52"/>
          <w:highlight w:val="none"/>
        </w:rPr>
      </w:r>
      <w:r/>
    </w:p>
    <w:p>
      <w:pPr>
        <w:spacing w:line="480" w:lineRule="auto"/>
        <w:rPr>
          <w:b/>
          <w:color w:val="auto"/>
          <w:sz w:val="52"/>
          <w:szCs w:val="52"/>
          <w:highlight w:val="none"/>
        </w:rPr>
      </w:pPr>
      <w:r>
        <w:rPr>
          <w:b/>
          <w:color w:val="auto"/>
          <w:sz w:val="52"/>
          <w:szCs w:val="52"/>
          <w:highlight w:val="none"/>
        </w:rPr>
      </w:r>
      <w:r/>
    </w:p>
    <w:p>
      <w:pPr>
        <w:spacing w:line="480" w:lineRule="auto"/>
        <w:rPr>
          <w:b/>
          <w:color w:val="auto"/>
          <w:sz w:val="52"/>
          <w:szCs w:val="52"/>
          <w:highlight w:val="none"/>
        </w:rPr>
      </w:pPr>
      <w:r>
        <w:rPr>
          <w:b/>
          <w:color w:val="auto"/>
          <w:sz w:val="52"/>
          <w:szCs w:val="52"/>
          <w:highlight w:val="none"/>
        </w:rPr>
      </w:r>
      <w:r/>
    </w:p>
    <w:p>
      <w:pPr>
        <w:jc w:val="both"/>
        <w:spacing w:after="156" w:line="360" w:lineRule="auto"/>
        <w:rPr>
          <w:color w:val="auto"/>
          <w:sz w:val="32"/>
          <w:szCs w:val="32"/>
          <w:highlight w:val="none"/>
          <w:u w:val="single"/>
        </w:rPr>
      </w:pPr>
      <w:r>
        <w:rPr>
          <w:color w:val="auto"/>
          <w:sz w:val="32"/>
          <w:szCs w:val="32"/>
          <w:highlight w:val="none"/>
        </w:rPr>
        <w:t xml:space="preserve">甲方</w:t>
      </w:r>
      <w:r>
        <w:rPr>
          <w:rFonts w:hint="eastAsia"/>
          <w:color w:val="auto"/>
          <w:sz w:val="32"/>
          <w:szCs w:val="32"/>
          <w:highlight w:val="none"/>
          <w:lang w:eastAsia="zh-CN"/>
        </w:rPr>
        <w:t xml:space="preserve">（</w:t>
      </w:r>
      <w:r>
        <w:rPr>
          <w:rFonts w:hint="eastAsia"/>
          <w:color w:val="auto"/>
          <w:sz w:val="32"/>
          <w:szCs w:val="32"/>
          <w:highlight w:val="none"/>
          <w:lang w:val="en-US" w:eastAsia="zh-CN"/>
        </w:rPr>
        <w:t xml:space="preserve">实施主体</w:t>
      </w:r>
      <w:r>
        <w:rPr>
          <w:rFonts w:hint="eastAsia"/>
          <w:color w:val="auto"/>
          <w:sz w:val="32"/>
          <w:szCs w:val="32"/>
          <w:highlight w:val="none"/>
          <w:lang w:eastAsia="zh-CN"/>
        </w:rPr>
        <w:t xml:space="preserve">）</w:t>
      </w:r>
      <w:r>
        <w:rPr>
          <w:color w:val="auto"/>
          <w:sz w:val="32"/>
          <w:szCs w:val="32"/>
          <w:highlight w:val="none"/>
        </w:rPr>
        <w:t xml:space="preserve">：</w:t>
      </w:r>
      <w:r>
        <w:rPr>
          <w:rFonts w:hint="default"/>
          <w:color w:val="auto"/>
          <w:sz w:val="32"/>
          <w:szCs w:val="32"/>
          <w:highlight w:val="none"/>
          <w:u w:val="single"/>
        </w:rPr>
        <w:t xml:space="preserve">   </w:t>
      </w:r>
      <w:r>
        <w:rPr>
          <w:rFonts w:hint="eastAsia"/>
          <w:color w:val="auto"/>
          <w:sz w:val="32"/>
          <w:szCs w:val="32"/>
          <w:highlight w:val="none"/>
          <w:u w:val="single"/>
          <w:lang w:val="en-US" w:eastAsia="zh-Hans"/>
        </w:rPr>
        <w:t xml:space="preserve">江</w:t>
      </w:r>
      <w:r>
        <w:rPr>
          <w:rFonts w:hint="eastAsia"/>
          <w:color w:val="auto"/>
          <w:sz w:val="32"/>
          <w:szCs w:val="32"/>
          <w:highlight w:val="none"/>
          <w:u w:val="single"/>
        </w:rPr>
        <w:t xml:space="preserve">苏江福农业发展有限公司  </w:t>
      </w:r>
      <w:r>
        <w:rPr>
          <w:color w:val="auto"/>
          <w:sz w:val="32"/>
          <w:szCs w:val="32"/>
          <w:highlight w:val="none"/>
          <w:u w:val="single"/>
        </w:rPr>
        <w:t xml:space="preserve">     </w:t>
      </w:r>
      <w:r/>
    </w:p>
    <w:p>
      <w:pPr>
        <w:jc w:val="both"/>
        <w:spacing w:after="156" w:line="360" w:lineRule="auto"/>
        <w:rPr>
          <w:color w:val="auto"/>
          <w:sz w:val="32"/>
          <w:szCs w:val="32"/>
          <w:highlight w:val="none"/>
        </w:rPr>
      </w:pPr>
      <w:r>
        <w:rPr>
          <w:color w:val="auto"/>
          <w:sz w:val="32"/>
          <w:szCs w:val="32"/>
          <w:highlight w:val="none"/>
        </w:rPr>
        <w:t xml:space="preserve">乙</w:t>
      </w:r>
      <w:r>
        <w:rPr>
          <w:rFonts w:hint="eastAsia"/>
          <w:color w:val="auto"/>
          <w:sz w:val="32"/>
          <w:szCs w:val="32"/>
          <w:highlight w:val="none"/>
          <w:lang w:val="en-US" w:eastAsia="zh-CN"/>
        </w:rPr>
        <w:t xml:space="preserve">  </w:t>
      </w:r>
      <w:r>
        <w:rPr>
          <w:color w:val="auto"/>
          <w:sz w:val="32"/>
          <w:szCs w:val="32"/>
          <w:highlight w:val="none"/>
        </w:rPr>
        <w:t xml:space="preserve">方</w:t>
      </w:r>
      <w:r>
        <w:rPr>
          <w:rFonts w:hint="eastAsia"/>
          <w:color w:val="auto"/>
          <w:sz w:val="32"/>
          <w:szCs w:val="32"/>
          <w:highlight w:val="none"/>
          <w:lang w:eastAsia="zh-CN"/>
        </w:rPr>
        <w:t xml:space="preserve">（</w:t>
      </w:r>
      <w:r>
        <w:rPr>
          <w:rFonts w:hint="eastAsia"/>
          <w:color w:val="auto"/>
          <w:sz w:val="32"/>
          <w:szCs w:val="32"/>
          <w:highlight w:val="none"/>
          <w:lang w:val="en-US" w:eastAsia="zh-CN"/>
        </w:rPr>
        <w:t xml:space="preserve">供应商</w:t>
      </w:r>
      <w:r>
        <w:rPr>
          <w:rFonts w:hint="eastAsia"/>
          <w:color w:val="auto"/>
          <w:sz w:val="32"/>
          <w:szCs w:val="32"/>
          <w:highlight w:val="none"/>
          <w:lang w:eastAsia="zh-CN"/>
        </w:rPr>
        <w:t xml:space="preserve">）：</w:t>
      </w:r>
      <w:r>
        <w:rPr>
          <w:color w:val="auto"/>
          <w:sz w:val="32"/>
          <w:szCs w:val="32"/>
          <w:highlight w:val="none"/>
          <w:u w:val="single"/>
        </w:rPr>
        <w:t xml:space="preserve">                                    </w:t>
      </w:r>
      <w:r/>
    </w:p>
    <w:p>
      <w:pPr>
        <w:spacing w:line="360" w:lineRule="auto"/>
        <w:rPr>
          <w:rFonts w:ascii="宋体" w:hAnsi="宋体" w:eastAsia="宋体"/>
          <w:color w:val="auto"/>
          <w:szCs w:val="21"/>
          <w:highlight w:val="none"/>
        </w:rPr>
      </w:pPr>
      <w:r>
        <w:rPr>
          <w:rFonts w:hint="eastAsia" w:ascii="Times New Roman" w:hAnsi="Times New Roman" w:eastAsia="宋体" w:cs="Times New Roman"/>
          <w:color w:val="auto"/>
          <w:sz w:val="32"/>
          <w:szCs w:val="32"/>
          <w:highlight w:val="none"/>
        </w:rPr>
        <w:t xml:space="preserve">丙方（监督主体）</w:t>
      </w:r>
      <w:r>
        <w:rPr>
          <w:rFonts w:hint="eastAsia" w:ascii="Times New Roman" w:hAnsi="Times New Roman" w:eastAsia="宋体" w:cs="Times New Roman"/>
          <w:color w:val="auto"/>
          <w:sz w:val="32"/>
          <w:szCs w:val="32"/>
          <w:highlight w:val="none"/>
          <w:u w:val="none"/>
        </w:rPr>
        <w:t xml:space="preserve">：</w:t>
      </w:r>
      <w:r>
        <w:rPr>
          <w:rFonts w:hint="eastAsia" w:ascii="Times New Roman" w:hAnsi="Times New Roman" w:eastAsia="宋体" w:cs="Times New Roman"/>
          <w:color w:val="auto"/>
          <w:sz w:val="32"/>
          <w:szCs w:val="32"/>
          <w:highlight w:val="none"/>
          <w:u w:val="single"/>
        </w:rPr>
        <w:t xml:space="preserve">江苏省高港现代农业产业园区管理办公室</w:t>
      </w:r>
      <w:r/>
    </w:p>
    <w:p>
      <w:pPr>
        <w:spacing w:line="480" w:lineRule="auto"/>
        <w:rPr>
          <w:b/>
          <w:color w:val="auto"/>
          <w:sz w:val="52"/>
          <w:szCs w:val="52"/>
          <w:highlight w:val="none"/>
        </w:rPr>
      </w:pPr>
      <w:r>
        <w:rPr>
          <w:b/>
          <w:color w:val="auto"/>
          <w:sz w:val="52"/>
          <w:szCs w:val="52"/>
          <w:highlight w:val="none"/>
        </w:rPr>
      </w:r>
      <w:r/>
    </w:p>
    <w:p>
      <w:pPr>
        <w:spacing w:line="480" w:lineRule="auto"/>
        <w:rPr>
          <w:b/>
          <w:color w:val="auto"/>
          <w:sz w:val="52"/>
          <w:szCs w:val="52"/>
          <w:highlight w:val="none"/>
        </w:rPr>
      </w:pPr>
      <w:r>
        <w:rPr>
          <w:b/>
          <w:color w:val="auto"/>
          <w:sz w:val="52"/>
          <w:szCs w:val="52"/>
          <w:highlight w:val="none"/>
        </w:rPr>
      </w:r>
      <w:r/>
    </w:p>
    <w:p>
      <w:pPr>
        <w:jc w:val="center"/>
        <w:spacing w:after="156" w:line="360" w:lineRule="auto"/>
        <w:rPr>
          <w:rFonts w:hint="eastAsia" w:ascii="宋体" w:hAnsi="宋体" w:eastAsia="宋体" w:cs="宋体"/>
          <w:b/>
          <w:color w:val="auto"/>
          <w:sz w:val="24"/>
          <w:szCs w:val="24"/>
          <w:highlight w:val="none"/>
          <w:lang w:val="en-US" w:eastAsia="zh-CN" w:bidi="ar-SA"/>
        </w:rPr>
      </w:pPr>
      <w:r>
        <w:rPr>
          <w:color w:val="auto"/>
          <w:sz w:val="32"/>
          <w:szCs w:val="32"/>
          <w:highlight w:val="none"/>
        </w:rPr>
        <w:t xml:space="preserve">2024年   月</w:t>
      </w:r>
      <w:r>
        <w:rPr>
          <w:color w:val="auto"/>
          <w:sz w:val="32"/>
          <w:szCs w:val="32"/>
          <w:highlight w:val="none"/>
        </w:rPr>
        <w:br w:type="page" w:clear="all"/>
      </w:r>
      <w:r>
        <w:rPr>
          <w:rFonts w:hint="eastAsia" w:ascii="宋体" w:hAnsi="宋体" w:eastAsia="宋体" w:cs="宋体"/>
          <w:b/>
          <w:color w:val="auto"/>
          <w:sz w:val="24"/>
          <w:szCs w:val="24"/>
          <w:highlight w:val="none"/>
          <w:lang w:val="en-US" w:eastAsia="zh-CN" w:bidi="ar-SA"/>
        </w:rPr>
        <w:t xml:space="preserve">稻米精深加工产业链条延伸——黄金米（米稀）新建项目</w:t>
      </w:r>
      <w:r/>
    </w:p>
    <w:p>
      <w:pPr>
        <w:jc w:val="center"/>
        <w:spacing w:after="156"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合同协议书</w:t>
      </w:r>
      <w:r/>
    </w:p>
    <w:p>
      <w:pPr>
        <w:jc w:val="center"/>
        <w:keepLines w:val="0"/>
        <w:keepNext w:val="0"/>
        <w:pageBreakBefore w:val="0"/>
        <w:spacing w:after="156"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2"/>
        <w:ind w:right="0" w:firstLine="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甲方（</w:t>
      </w:r>
      <w:r>
        <w:rPr>
          <w:rFonts w:hint="eastAsia" w:ascii="宋体" w:hAnsi="宋体" w:eastAsia="宋体" w:cs="宋体"/>
          <w:b/>
          <w:color w:val="auto"/>
          <w:sz w:val="24"/>
          <w:szCs w:val="24"/>
          <w:highlight w:val="none"/>
          <w:lang w:eastAsia="zh-CN"/>
        </w:rPr>
        <w:t xml:space="preserve">招标人</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江苏江福农业发展有限公司       </w:t>
      </w:r>
      <w:r/>
    </w:p>
    <w:p>
      <w:pPr>
        <w:pStyle w:val="1132"/>
        <w:ind w:right="0" w:firstLine="0"/>
        <w:keepLines w:val="0"/>
        <w:keepNext w:val="0"/>
        <w:pageBreakBefore w:val="0"/>
        <w:spacing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b/>
          <w:color w:val="auto"/>
          <w:sz w:val="24"/>
          <w:szCs w:val="24"/>
          <w:highlight w:val="none"/>
        </w:rPr>
        <w:t xml:space="preserve">乙方（供应商）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     </w:t>
      </w:r>
      <w:r/>
    </w:p>
    <w:p>
      <w:pPr>
        <w:spacing w:line="360" w:lineRule="auto"/>
        <w:rPr>
          <w:rFonts w:ascii="宋体" w:hAnsi="宋体" w:eastAsia="宋体"/>
          <w:color w:val="auto"/>
          <w:szCs w:val="21"/>
          <w:highlight w:val="none"/>
        </w:rPr>
      </w:pPr>
      <w:r>
        <w:rPr>
          <w:rFonts w:hint="eastAsia" w:ascii="宋体" w:hAnsi="宋体" w:eastAsia="宋体" w:cs="宋体"/>
          <w:b/>
          <w:color w:val="auto"/>
          <w:sz w:val="24"/>
          <w:szCs w:val="24"/>
          <w:highlight w:val="none"/>
          <w:lang w:val="en-US" w:eastAsia="zh-CN" w:bidi="ar-SA"/>
        </w:rPr>
        <w:t xml:space="preserve">丙方（监督主体）</w:t>
      </w:r>
      <w:r>
        <w:rPr>
          <w:rFonts w:hint="eastAsia" w:ascii="宋体" w:hAnsi="宋体" w:eastAsia="宋体"/>
          <w:color w:val="auto"/>
          <w:szCs w:val="21"/>
          <w:highlight w:val="none"/>
        </w:rPr>
        <w:t xml:space="preserve">：</w:t>
      </w:r>
      <w:r>
        <w:rPr>
          <w:rFonts w:hint="eastAsia" w:ascii="宋体" w:hAnsi="宋体" w:eastAsia="宋体" w:cs="宋体"/>
          <w:color w:val="auto"/>
          <w:sz w:val="24"/>
          <w:szCs w:val="24"/>
          <w:highlight w:val="none"/>
          <w:u w:val="single"/>
          <w:lang w:val="en-US" w:eastAsia="zh-CN" w:bidi="ar-SA"/>
        </w:rPr>
        <w:t xml:space="preserve">江苏省高港现代农业产业园区管理办公室</w:t>
      </w:r>
      <w:r/>
    </w:p>
    <w:p>
      <w:pPr>
        <w:pStyle w:val="1132"/>
        <w:ind w:right="0" w:firstLine="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1132"/>
        <w:ind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签订日期</w:t>
      </w:r>
      <w:r>
        <w:rPr>
          <w:rFonts w:hint="eastAsia" w:ascii="宋体" w:hAnsi="宋体" w:eastAsia="宋体" w:cs="宋体"/>
          <w:color w:val="auto"/>
          <w:sz w:val="24"/>
          <w:szCs w:val="24"/>
          <w:highlight w:val="none"/>
        </w:rPr>
        <w:t xml:space="preserve">： 2024 年   月    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根据《中华人民共和国民法典》及相关法律规定，为了明确甲、乙双方的权利、义务，经双方共同协商，本着平等、自愿、有偿的原则，特签订本合同，以便双方共同遵守。</w:t>
      </w:r>
      <w:r/>
    </w:p>
    <w:p>
      <w:pPr>
        <w:pStyle w:val="1132"/>
        <w:numPr>
          <w:ilvl w:val="0"/>
          <w:numId w:val="8"/>
        </w:numPr>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项目基本情况</w:t>
      </w:r>
      <w:r/>
    </w:p>
    <w:p>
      <w:pPr>
        <w:numPr>
          <w:ilvl w:val="0"/>
          <w:numId w:val="9"/>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项目名称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稻米精深加工产业链条延伸——黄金米（米稀）新建项目（以下简称“本项目”）</w:t>
      </w:r>
      <w:r>
        <w:rPr>
          <w:rFonts w:hint="eastAsia" w:ascii="宋体" w:hAnsi="宋体" w:eastAsia="宋体" w:cs="宋体"/>
          <w:color w:val="auto"/>
          <w:sz w:val="24"/>
          <w:szCs w:val="24"/>
          <w:highlight w:val="none"/>
        </w:rPr>
        <w:t xml:space="preserve">。</w:t>
      </w:r>
      <w:r/>
    </w:p>
    <w:p>
      <w:pPr>
        <w:numPr>
          <w:ilvl w:val="0"/>
          <w:numId w:val="9"/>
        </w:numPr>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合同价格形式</w:t>
      </w:r>
      <w:r>
        <w:rPr>
          <w:rFonts w:hint="eastAsia" w:ascii="宋体" w:hAnsi="宋体" w:eastAsia="宋体" w:cs="宋体"/>
          <w:color w:val="auto"/>
          <w:sz w:val="24"/>
          <w:szCs w:val="24"/>
          <w:highlight w:val="none"/>
        </w:rPr>
        <w:t xml:space="preserve">：全费用综合单价。</w:t>
      </w:r>
      <w:r/>
    </w:p>
    <w:p>
      <w:pPr>
        <w:numPr>
          <w:ilvl w:val="0"/>
          <w:numId w:val="9"/>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规格型号</w:t>
      </w:r>
      <w:r>
        <w:rPr>
          <w:rFonts w:hint="eastAsia" w:ascii="宋体" w:hAnsi="宋体" w:eastAsia="宋体" w:cs="宋体"/>
          <w:color w:val="auto"/>
          <w:sz w:val="24"/>
          <w:szCs w:val="24"/>
          <w:highlight w:val="none"/>
        </w:rPr>
        <w:t xml:space="preserve">：清单见附件“黄金米（米稀）新建项目采购清单”。</w:t>
      </w:r>
      <w:r/>
    </w:p>
    <w:p>
      <w:pPr>
        <w:numPr>
          <w:ilvl w:val="0"/>
          <w:numId w:val="9"/>
        </w:numPr>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中标金额</w:t>
      </w: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元（人民币）。</w:t>
      </w:r>
      <w:r/>
    </w:p>
    <w:p>
      <w:pPr>
        <w:pStyle w:val="1132"/>
        <w:numPr>
          <w:ilvl w:val="0"/>
          <w:numId w:val="8"/>
        </w:numPr>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项目结算要求</w:t>
      </w:r>
      <w:r/>
    </w:p>
    <w:p>
      <w:pPr>
        <w:numPr>
          <w:ilvl w:val="0"/>
          <w:numId w:val="10"/>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项目费用结算要求</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本合同价格包括设备（材料）费、制作安装费、调试费、运输费（包括上下人力资费）、管理费、利润、措施费、临时设施费、规费、税金、成品保护费、备品备件、仓储费、检测验收费、保险费、质保费、售后服务与维护费、专利技术费、政策性文件规定所涉及的费用，以及合同中包含的所有风险和责任。</w:t>
      </w:r>
      <w:r/>
    </w:p>
    <w:p>
      <w:pPr>
        <w:numPr>
          <w:ilvl w:val="0"/>
          <w:numId w:val="10"/>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项目税费结算要求</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根据现行税法规定，与本合同相关的税费由各方自行承担支付。甲方承担所有针对甲方的税费，乙方承担所有针对乙方的税费。</w:t>
      </w:r>
      <w:r/>
    </w:p>
    <w:p>
      <w:pPr>
        <w:pStyle w:val="1132"/>
        <w:numPr>
          <w:ilvl w:val="0"/>
          <w:numId w:val="8"/>
        </w:numPr>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货物交付要求</w:t>
      </w:r>
      <w:r/>
    </w:p>
    <w:p>
      <w:pPr>
        <w:numPr>
          <w:ilvl w:val="0"/>
          <w:numId w:val="11"/>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交付期限</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45天内所有货物</w:t>
      </w:r>
      <w:r>
        <w:rPr>
          <w:rFonts w:hint="eastAsia" w:ascii="宋体" w:hAnsi="宋体" w:eastAsia="宋体" w:cs="宋体"/>
          <w:color w:val="auto"/>
          <w:sz w:val="24"/>
          <w:szCs w:val="24"/>
          <w:highlight w:val="none"/>
        </w:rPr>
        <w:t xml:space="preserve">到达项目现场，</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天内完成安装调试验收。</w:t>
      </w:r>
      <w:r/>
    </w:p>
    <w:p>
      <w:pPr>
        <w:numPr>
          <w:ilvl w:val="0"/>
          <w:numId w:val="11"/>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交付地点</w:t>
      </w:r>
      <w:r>
        <w:rPr>
          <w:rFonts w:hint="eastAsia" w:ascii="宋体" w:hAnsi="宋体" w:eastAsia="宋体" w:cs="宋体"/>
          <w:color w:val="auto"/>
          <w:sz w:val="24"/>
          <w:szCs w:val="24"/>
          <w:highlight w:val="none"/>
        </w:rPr>
        <w:t xml:space="preserve">：甲方指定地点。</w:t>
      </w:r>
      <w:r/>
    </w:p>
    <w:p>
      <w:pPr>
        <w:numPr>
          <w:ilvl w:val="0"/>
          <w:numId w:val="11"/>
        </w:numPr>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货物的所有权自货物交付时转移。</w:t>
      </w:r>
      <w:r/>
    </w:p>
    <w:p>
      <w:pPr>
        <w:numPr>
          <w:ilvl w:val="0"/>
          <w:numId w:val="11"/>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包装运输</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乙方应当按照约定的包装方式交付货物。对包装方式没有约定或者约定不明确的，应当按照双方补充协议约定的方式包装，或者按照通用的方式包装，没有通用方式的，应当采取足以保护货物的包装方式。</w:t>
      </w:r>
      <w:r/>
    </w:p>
    <w:p>
      <w:pPr>
        <w:pStyle w:val="1132"/>
        <w:numPr>
          <w:ilvl w:val="0"/>
          <w:numId w:val="8"/>
        </w:numPr>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技术要求</w:t>
      </w:r>
      <w:r/>
    </w:p>
    <w:p>
      <w:pPr>
        <w:numPr>
          <w:ilvl w:val="0"/>
          <w:numId w:val="12"/>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项目技术规范</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所提供货物的生产、制造、安装等各项技术标准，应当符合国家（强制性）标准、各项规范要求；国家没有相应标准、规范的，可使用行业标准、规定；非标设备按招标约定的技术要求和规范。</w:t>
      </w:r>
      <w:r/>
    </w:p>
    <w:p>
      <w:pPr>
        <w:numPr>
          <w:ilvl w:val="0"/>
          <w:numId w:val="12"/>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项目验收要求</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鉴于本项目属于设备货物采购安装类项目，为严格控制项目总价成本，高效推进项目实施，本项目应按“交钥匙”工程的竣工交付标准。乙方必须按照国家及省市安全及其相关规范要求，编制所有设备货物的安装图纸、安装说明、使用说明、维修方案（以下称“安装方案”）。</w:t>
      </w:r>
      <w:r/>
    </w:p>
    <w:p>
      <w:pPr>
        <w:pStyle w:val="1132"/>
        <w:numPr>
          <w:ilvl w:val="0"/>
          <w:numId w:val="8"/>
        </w:numPr>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安装方案总体要求</w:t>
      </w:r>
      <w:r/>
    </w:p>
    <w:p>
      <w:pPr>
        <w:numPr>
          <w:ilvl w:val="0"/>
          <w:numId w:val="13"/>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安装方案编制依据</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本项目安装方案编制时除符合本项目技术方案要求外，还应符合国家和江苏地区颁发的现行有关设计、施工验收等相关方面的规范、规定。采购方案未详尽之处，请乙方按国家及本地区现有规范进行施工。</w:t>
      </w:r>
      <w:r/>
    </w:p>
    <w:p>
      <w:pPr>
        <w:numPr>
          <w:ilvl w:val="0"/>
          <w:numId w:val="13"/>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技术资料提交要求</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乙方应提供包括但不限于满足货物日常使用、专用的维修工具以及使用、维护的技术文件，如设备和附件装箱清单、产品合格证、产品检验报告、保修服务卡、使用说明（原版正本）、中文维护手册。</w:t>
      </w:r>
      <w:r/>
    </w:p>
    <w:p>
      <w:pPr>
        <w:numPr>
          <w:ilvl w:val="0"/>
          <w:numId w:val="13"/>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安装方案编制要求</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乙方的投标文件中实施方案仅作为评标依据，乙方签定合同后，需重新根据甲方的要求和项目现场的实际情况，重新优化编制《安装方案》，直至甲方完全满意为止。《安装方案》的编制应由具有相关资质的单位负责完成，乙方若无相关资质，可分包给具有相关资质的单位。乙方需全部承担《安装方案》编制的质量与安全责任，确保项目建成后所有设备能正常运行，能满足甲方的高效生产要求。</w:t>
      </w:r>
      <w:r/>
    </w:p>
    <w:p>
      <w:pPr>
        <w:numPr>
          <w:ilvl w:val="0"/>
          <w:numId w:val="13"/>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安装方案审核要求</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如《安装方案》未经过甲方认可，经3次协商交流未达成共识后，甲方有权与乙方解除部分或全部合同。</w:t>
      </w:r>
      <w:r/>
    </w:p>
    <w:p>
      <w:pPr>
        <w:numPr>
          <w:ilvl w:val="0"/>
          <w:numId w:val="13"/>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知识产权保护要求</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乙方应承担由于甲方在其本国使用该设备或设备任何一部分时而引起第三方提出的侵犯专利权、商标权或工业设计权的起诉、行动、行政程序索赔、请求等以及甲方为此而产生的损失和损害、费用和支出（包括律师费）。</w:t>
      </w:r>
      <w:r/>
    </w:p>
    <w:p>
      <w:pPr>
        <w:numPr>
          <w:ilvl w:val="0"/>
          <w:numId w:val="13"/>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验收资料上交要求</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产品调试完成后，需经甲方验收合格，乙方负责将全部《安装方案》以及有关技术文件、资料、测试、验收报告等文档汇集成册交付甲方。</w:t>
      </w:r>
      <w:r/>
    </w:p>
    <w:p>
      <w:pPr>
        <w:pStyle w:val="1132"/>
        <w:numPr>
          <w:ilvl w:val="0"/>
          <w:numId w:val="8"/>
        </w:numPr>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项目现场管理要求</w:t>
      </w:r>
      <w:r/>
    </w:p>
    <w:p>
      <w:pPr>
        <w:numPr>
          <w:ilvl w:val="0"/>
          <w:numId w:val="14"/>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安全管理要求</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乙方应遵守现场的一切规章制度，按照甲方要求文明建设，施工人员的安全由乙方负责，甲方监督执行，如发生安全事故，由乙方负全责。现场协调工作由乙方负责，甲方配合。</w:t>
      </w:r>
      <w:r/>
    </w:p>
    <w:p>
      <w:pPr>
        <w:numPr>
          <w:ilvl w:val="0"/>
          <w:numId w:val="14"/>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货物保管要求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乙方负责为工具设备、安装设备等提供适当的保护、包装或覆盖等处理，负责保管、看护进场的工具设备及附配件直至验收合格，以免受损。</w:t>
      </w:r>
      <w:r/>
    </w:p>
    <w:p>
      <w:pPr>
        <w:numPr>
          <w:ilvl w:val="0"/>
          <w:numId w:val="14"/>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垃圾清运要求</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在安装、调试期间或保修过程中，乙方负责及时清理现场垃圾。</w:t>
      </w:r>
      <w:r/>
    </w:p>
    <w:p>
      <w:pPr>
        <w:pStyle w:val="1132"/>
        <w:numPr>
          <w:ilvl w:val="0"/>
          <w:numId w:val="8"/>
        </w:numPr>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货物质量与验收要求</w:t>
      </w:r>
      <w:r/>
    </w:p>
    <w:p>
      <w:pPr>
        <w:numPr>
          <w:ilvl w:val="0"/>
          <w:numId w:val="15"/>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货物质量标准</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供货时所有货物（包括零部件）须为全新的、未使用过的原装正品，并完全符合国家质量标准。需提供厂家出具的合格证书、有国家强制性认证要求的产品须提供相应证书，货物的技术参数及配置情况必须由乙方提供国家相关检测机构出具的检验报告、生产厂家公开发布的印刷资料等技术资料予以支持。</w:t>
      </w:r>
      <w:r/>
    </w:p>
    <w:p>
      <w:pPr>
        <w:numPr>
          <w:ilvl w:val="0"/>
          <w:numId w:val="15"/>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货物包装要求</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货物为原厂商未启封全新包装，具有出厂合格证，序列号、包装箱号与出厂批号一致，并可追溯查阅。</w:t>
      </w:r>
      <w:r/>
    </w:p>
    <w:p>
      <w:pPr>
        <w:numPr>
          <w:ilvl w:val="0"/>
          <w:numId w:val="15"/>
        </w:numPr>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货物检验原则</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color w:val="auto"/>
          <w:sz w:val="24"/>
          <w:szCs w:val="24"/>
          <w:highlight w:val="none"/>
        </w:rPr>
        <w:t xml:space="preserve">指货物的生产、调试、维修、检验、验收原则。有国家标准的执行国家标准；无国家标准的执行行业标准；无行业标准的执行地方标准；无地方标准的执行企业标准。</w:t>
      </w:r>
      <w:r/>
    </w:p>
    <w:p>
      <w:pPr>
        <w:numPr>
          <w:ilvl w:val="0"/>
          <w:numId w:val="15"/>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货物检验标准</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所有设备、附（配）件应符合方案与招标文件要求，无瑕疵和缺陷，质量为合格产品。所有货物在到达现场时须经甲方代表验收，验货时须提交该产品的质量合格证明。如商检或货物测试中发现设备性能指标或功能上不符合招标文件和合同要求时，将被看作性能不合格，甲方有权拒收并要求赔偿。</w:t>
      </w:r>
      <w:r/>
    </w:p>
    <w:p>
      <w:pPr>
        <w:numPr>
          <w:ilvl w:val="0"/>
          <w:numId w:val="15"/>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货物验收内容</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甲方及有关部门依招标文件要求，对全部货物的型号、规格、数量、外型、外观、包装及资料、文件（如装箱单、保修单、随箱介质等）的验收。乙方必须为使用单位调试、维修、使用提供足够的技术资料和技术保障，提供设备的有关证明。</w:t>
      </w:r>
      <w:r/>
    </w:p>
    <w:p>
      <w:pPr>
        <w:numPr>
          <w:ilvl w:val="0"/>
          <w:numId w:val="15"/>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调货换货要求</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如设备运输和调试过程中因事故造成货物短缺、损坏，乙方应及时安排换货，以保证设备调试的成功完成。换货的相关费用由乙方承担。</w:t>
      </w:r>
      <w:r/>
    </w:p>
    <w:p>
      <w:pPr>
        <w:numPr>
          <w:ilvl w:val="0"/>
          <w:numId w:val="15"/>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补充货物说明</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甲方按中标价格和数量向乙方采购本项目货物后，在合同执行期若需增加采购相同品牌型号的货物，乙方必须按相同的配置和不高于中标价格销售给甲方。</w:t>
      </w:r>
      <w:r/>
    </w:p>
    <w:p>
      <w:pPr>
        <w:numPr>
          <w:ilvl w:val="0"/>
          <w:numId w:val="15"/>
        </w:numPr>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逾期交货处罚</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color w:val="auto"/>
          <w:sz w:val="24"/>
          <w:szCs w:val="24"/>
          <w:highlight w:val="none"/>
        </w:rPr>
        <w:t xml:space="preserve">如乙方逾期交付货物、验收超过10个工作日的，应以合同货物总额为基数，按每天2‰向甲方支付滞纳金。</w:t>
      </w:r>
      <w:r/>
    </w:p>
    <w:p>
      <w:pPr>
        <w:pStyle w:val="1132"/>
        <w:numPr>
          <w:ilvl w:val="0"/>
          <w:numId w:val="8"/>
        </w:numPr>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合同价格支付</w:t>
      </w:r>
      <w:r/>
    </w:p>
    <w:p>
      <w:pPr>
        <w:numPr>
          <w:ilvl w:val="0"/>
          <w:numId w:val="16"/>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付款方式</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本合同项下所有款项均以人民币支付。</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（2）本合同项下的采购资金由甲方自行支付，乙方向甲方开具发票。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（3）合同签订，且乙方按招标文件要求提交的《安装方案》经甲方确认无误后，甲方向乙方支付合同总金额的30%作为预付款；项目</w:t>
      </w:r>
      <w:r>
        <w:rPr>
          <w:rFonts w:hint="eastAsia" w:ascii="宋体" w:hAnsi="宋体" w:eastAsia="宋体" w:cs="宋体"/>
          <w:color w:val="auto"/>
          <w:sz w:val="24"/>
          <w:szCs w:val="24"/>
          <w:highlight w:val="none"/>
          <w:lang w:val="en-US" w:eastAsia="zh-Hans"/>
        </w:rPr>
        <w:t xml:space="preserve">通过</w:t>
      </w:r>
      <w:r>
        <w:rPr>
          <w:rFonts w:hint="eastAsia" w:ascii="宋体" w:hAnsi="宋体" w:eastAsia="宋体" w:cs="宋体"/>
          <w:color w:val="auto"/>
          <w:sz w:val="24"/>
          <w:szCs w:val="24"/>
          <w:highlight w:val="none"/>
          <w:lang w:val="en-US" w:eastAsia="zh-CN"/>
        </w:rPr>
        <w:t xml:space="preserve">审计</w:t>
      </w:r>
      <w:r>
        <w:rPr>
          <w:rFonts w:hint="eastAsia" w:ascii="宋体" w:hAnsi="宋体" w:eastAsia="宋体" w:cs="宋体"/>
          <w:color w:val="auto"/>
          <w:sz w:val="24"/>
          <w:szCs w:val="24"/>
          <w:highlight w:val="none"/>
          <w:lang w:val="en-US" w:eastAsia="zh-Hans"/>
        </w:rPr>
        <w:t xml:space="preserve">验收</w:t>
      </w:r>
      <w:r>
        <w:rPr>
          <w:rFonts w:hint="eastAsia" w:ascii="宋体" w:hAnsi="宋体" w:eastAsia="宋体" w:cs="宋体"/>
          <w:color w:val="auto"/>
          <w:sz w:val="24"/>
          <w:szCs w:val="24"/>
          <w:highlight w:val="none"/>
          <w:lang w:val="en-US" w:eastAsia="zh-CN"/>
        </w:rPr>
        <w:t xml:space="preserve">后，甲方向乙方支付至审定总金额的97%；履约满后，付清尾款。</w:t>
      </w:r>
      <w:r/>
    </w:p>
    <w:p>
      <w:pPr>
        <w:numPr>
          <w:ilvl w:val="0"/>
          <w:numId w:val="16"/>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关于结算审核费</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本项目结算审核的核减费费率控制在8%内（含8%）。如8%＜核减费费率≤12%时，审核费用乙方必须承担一半；核减费费率＞12%时，该项目所有审计费均由乙方承担。以上费用不累进。</w:t>
      </w:r>
      <w:r/>
    </w:p>
    <w:p>
      <w:pPr>
        <w:pStyle w:val="1132"/>
        <w:numPr>
          <w:ilvl w:val="0"/>
          <w:numId w:val="8"/>
        </w:numPr>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对货物提出异议的时间和办法</w:t>
      </w:r>
      <w:r/>
    </w:p>
    <w:p>
      <w:pPr>
        <w:numPr>
          <w:ilvl w:val="0"/>
          <w:numId w:val="17"/>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甲方在验收过程中，应当于双方约定的检验期间内将货物的数量或质量不符合约定的情况及处理方式以书面方式通知乙方。</w:t>
      </w:r>
      <w:r/>
    </w:p>
    <w:p>
      <w:pPr>
        <w:numPr>
          <w:ilvl w:val="0"/>
          <w:numId w:val="17"/>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如果甲方在验收期满后既不出具验收合格证明又未提出书面异议的视为乙方所交货物符合合同规定。</w:t>
      </w:r>
      <w:r/>
    </w:p>
    <w:p>
      <w:pPr>
        <w:numPr>
          <w:ilvl w:val="0"/>
          <w:numId w:val="17"/>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乙方应在收到甲方书面异议后七天内负责解决问题，否则将视为默认甲方提出的异议和处理意见。</w:t>
      </w:r>
      <w:r/>
    </w:p>
    <w:p>
      <w:pPr>
        <w:pStyle w:val="1132"/>
        <w:numPr>
          <w:ilvl w:val="0"/>
          <w:numId w:val="8"/>
        </w:numPr>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货物质保与售后要求</w:t>
      </w:r>
      <w:r/>
    </w:p>
    <w:p>
      <w:pPr>
        <w:numPr>
          <w:ilvl w:val="0"/>
          <w:numId w:val="18"/>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质量保证期限</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自验收合格之日起，3年免费质保</w:t>
      </w:r>
      <w:r>
        <w:rPr>
          <w:rFonts w:hint="eastAsia" w:ascii="宋体" w:hAnsi="宋体" w:eastAsia="宋体" w:cs="宋体"/>
          <w:color w:val="auto"/>
          <w:sz w:val="24"/>
          <w:szCs w:val="24"/>
          <w:highlight w:val="none"/>
        </w:rPr>
        <w:t xml:space="preserve">。国家和省市有关三包规定和厂商标准高于该要求的，应按相关规定和厂商标准执行。质保期结束后，乙方对合同中的设备提供免费保修服务，如需更换零配件，乙方只收取零配件费。</w:t>
      </w:r>
      <w:r/>
    </w:p>
    <w:p>
      <w:pPr>
        <w:numPr>
          <w:ilvl w:val="0"/>
          <w:numId w:val="18"/>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质保维修范围</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质保期内因乙方产品质量不可靠，导致产品非主观故意损坏或遗失，由乙方免费负责维修、更换。因台风、地震不可抗力因素或发生偷盗、人为恶意破坏导致产品损坏或遗失，不属于售后服务范围，但乙方需配合甲方承担维修或更换工作，价格依产品审计单价按实结算。</w:t>
      </w:r>
      <w:r/>
    </w:p>
    <w:p>
      <w:pPr>
        <w:numPr>
          <w:ilvl w:val="0"/>
          <w:numId w:val="18"/>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质保响应时间</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无论保修期内还是保修期外，乙方应满足甲方售后服务的紧急需求，提供24小时的全方位技术支持和售后服务。对甲方的故障通知，乙方在接报后1小时内响应，2小时内到达现场，4小时内处理完毕。若在12小时内仍未能有效解决故障的，乙方须免费提供同档次的货物给甲方临时使用，确保甲方的业务正常开展。</w:t>
      </w:r>
      <w:r/>
    </w:p>
    <w:p>
      <w:pPr>
        <w:numPr>
          <w:ilvl w:val="0"/>
          <w:numId w:val="18"/>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货物维护培训</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乙方无偿培训甲方操作使用与维修人员，主要内容包括但不限于货物的基本结构、性能、操作使用方法、主要部件的构造及修理，日常使用保养与管理，安全防范，常见故障的排除，紧急情况的处理等，培训时间按甲方要求，培训地点主要在设备现场或按甲方安排。</w:t>
      </w:r>
      <w:r/>
    </w:p>
    <w:p>
      <w:pPr>
        <w:numPr>
          <w:ilvl w:val="0"/>
          <w:numId w:val="18"/>
        </w:numPr>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缺陷保修要求</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color w:val="auto"/>
          <w:sz w:val="24"/>
          <w:szCs w:val="24"/>
          <w:highlight w:val="none"/>
        </w:rPr>
        <w:t xml:space="preserve">如果设备交付使用后，缺陷多次反复出现，乙方必须提出分析报告和解决方案，直到最后纠正缺陷，乙方提供的质保从纠正之日起重新计算质保期。</w:t>
      </w:r>
      <w:r/>
    </w:p>
    <w:p>
      <w:pPr>
        <w:numPr>
          <w:ilvl w:val="0"/>
          <w:numId w:val="18"/>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货物退回处理</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乙方两次维修仍不能达到合同约定的质量标准和厂家的质量标准，甲方有权单方面决定退货，并依法追究乙方的违约责任。</w:t>
      </w:r>
      <w:r/>
    </w:p>
    <w:p>
      <w:pPr>
        <w:pStyle w:val="1132"/>
        <w:numPr>
          <w:ilvl w:val="0"/>
          <w:numId w:val="8"/>
        </w:numPr>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违约责任</w:t>
      </w:r>
      <w:r/>
    </w:p>
    <w:p>
      <w:pPr>
        <w:numPr>
          <w:ilvl w:val="0"/>
          <w:numId w:val="19"/>
        </w:numPr>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甲方违约责任及违约金支付：</w:t>
      </w:r>
      <w:r/>
    </w:p>
    <w:p>
      <w:pPr>
        <w:numPr>
          <w:ilvl w:val="0"/>
          <w:numId w:val="20"/>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甲方逾期付款的应按照逾期付款金额的每天4‱支付逾期付款违约金。</w:t>
      </w:r>
      <w:r/>
    </w:p>
    <w:p>
      <w:pPr>
        <w:numPr>
          <w:ilvl w:val="0"/>
          <w:numId w:val="20"/>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甲方违反合同规定，拒绝接受乙方交付的合格货物，应当承担乙方由此造成的损失。</w:t>
      </w:r>
      <w:r/>
    </w:p>
    <w:p>
      <w:pPr>
        <w:numPr>
          <w:ilvl w:val="0"/>
          <w:numId w:val="19"/>
        </w:numPr>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乙方违约责任及违约金支付：</w:t>
      </w:r>
      <w:r/>
    </w:p>
    <w:p>
      <w:pPr>
        <w:numPr>
          <w:ilvl w:val="0"/>
          <w:numId w:val="2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乙方不能交货（逾期超过十五天视为不能交货），或交货不合格从而影响甲方按期正常使用的，应向甲方偿付合同总价款5%的违约金，违约金不足以补偿损失的甲方有权要求乙方补足。</w:t>
      </w:r>
      <w:r/>
    </w:p>
    <w:p>
      <w:pPr>
        <w:numPr>
          <w:ilvl w:val="0"/>
          <w:numId w:val="21"/>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乙方逾期交货的，应在发货前与甲方协商，甲方仍需求的，乙方应立即发货并应按照逾期交货部分货款的每天4‱支付逾期交货违约金，同时承担甲方因此遭致的损失费用。</w:t>
      </w:r>
      <w:r/>
    </w:p>
    <w:p>
      <w:pPr>
        <w:pStyle w:val="1132"/>
        <w:numPr>
          <w:ilvl w:val="0"/>
          <w:numId w:val="8"/>
        </w:numPr>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其他责任</w:t>
      </w:r>
      <w:r/>
    </w:p>
    <w:p>
      <w:pPr>
        <w:numPr>
          <w:ilvl w:val="0"/>
          <w:numId w:val="22"/>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凡发生的一切安全事故，按政府规定的手续和程序进行处理，责任由责任方自负。</w:t>
      </w:r>
      <w:r/>
    </w:p>
    <w:p>
      <w:pPr>
        <w:numPr>
          <w:ilvl w:val="0"/>
          <w:numId w:val="22"/>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供货产品本身质量引起的质量缺陷由乙方负责整改，因人为损坏引起的质量缺陷，乙方不承担质量责任，但应积极配合甲方进行整改。</w:t>
      </w:r>
      <w:r/>
    </w:p>
    <w:p>
      <w:pPr>
        <w:numPr>
          <w:ilvl w:val="0"/>
          <w:numId w:val="22"/>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对于合同的货物，乙方应当拥有完整物权，并且乙方负有保证第三人不得向甲方主张任何权利（包括知识产权）的义务。</w:t>
      </w:r>
      <w:r/>
    </w:p>
    <w:p>
      <w:pPr>
        <w:pStyle w:val="1132"/>
        <w:numPr>
          <w:ilvl w:val="0"/>
          <w:numId w:val="8"/>
        </w:numPr>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不可抗力</w:t>
      </w:r>
      <w:r/>
    </w:p>
    <w:p>
      <w:pPr>
        <w:numPr>
          <w:ilvl w:val="0"/>
          <w:numId w:val="23"/>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因不可抗力不能履行合同的，根据不可抗力的影响，部分或者全部免除责任。但合同一方延迟履行后发生不可抗力的，不能免除责任。</w:t>
      </w:r>
      <w:r/>
    </w:p>
    <w:p>
      <w:pPr>
        <w:numPr>
          <w:ilvl w:val="0"/>
          <w:numId w:val="23"/>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合同一方因不可抗力不能履行合同的，应当及时通知对方，以减轻可能给对方造成的损失，并应当在合理期限内提供证明。</w:t>
      </w:r>
      <w:r/>
    </w:p>
    <w:p>
      <w:pPr>
        <w:pStyle w:val="1132"/>
        <w:numPr>
          <w:ilvl w:val="0"/>
          <w:numId w:val="8"/>
        </w:numPr>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索赔</w:t>
      </w:r>
      <w:r/>
    </w:p>
    <w:p>
      <w:pPr>
        <w:numPr>
          <w:ilvl w:val="0"/>
          <w:numId w:val="24"/>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甲方有权根据当地产品质量检验机构或其他有权部门出具的检验证书向乙方提出索赔。</w:t>
      </w:r>
      <w:r/>
    </w:p>
    <w:p>
      <w:pPr>
        <w:numPr>
          <w:ilvl w:val="0"/>
          <w:numId w:val="24"/>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在本合同规定的检验期限和质量保证期内，甲方因乙方原因提出索赔或存在质量差异，乙方需按甲方同意的一种或多种方式解决索赔事宜，具体方式如下：</w:t>
      </w:r>
      <w:r/>
    </w:p>
    <w:p>
      <w:pPr>
        <w:numPr>
          <w:ilvl w:val="0"/>
          <w:numId w:val="25"/>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乙方同意退货，并按合同规定的货币将货款退还给甲方，并且承担由此发生的一切损失和费用，包括利息、银行手续费、运费、保险费、检验费、仓储费、装卸费以及为保护退回货物所需的其他必要费用。</w:t>
      </w:r>
      <w:r/>
    </w:p>
    <w:p>
      <w:pPr>
        <w:numPr>
          <w:ilvl w:val="0"/>
          <w:numId w:val="25"/>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根据货物的低劣程度、损坏程度以及甲方遭受损失的数额，经双方协商确定降低货物的价格。</w:t>
      </w:r>
      <w:r/>
    </w:p>
    <w:p>
      <w:pPr>
        <w:numPr>
          <w:ilvl w:val="0"/>
          <w:numId w:val="25"/>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乙方需以满足规格、质量和性能要求的新部件替换或修补有缺陷的部分，承担所有费用、风险，并支付甲方所产生的全部直接费用。同时应延长替换或修补部件（货物）的保质期。</w:t>
      </w:r>
      <w:r/>
    </w:p>
    <w:p>
      <w:pPr>
        <w:numPr>
          <w:ilvl w:val="0"/>
          <w:numId w:val="24"/>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w:t>
      </w:r>
      <w:r/>
    </w:p>
    <w:p>
      <w:pPr>
        <w:pStyle w:val="1132"/>
        <w:numPr>
          <w:ilvl w:val="0"/>
          <w:numId w:val="8"/>
        </w:numPr>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合同的解除和转让</w:t>
      </w:r>
      <w:r/>
    </w:p>
    <w:p>
      <w:pPr>
        <w:numPr>
          <w:ilvl w:val="0"/>
          <w:numId w:val="26"/>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有下列情形之一，合同一方可以解除合同：</w:t>
      </w:r>
      <w:r/>
    </w:p>
    <w:p>
      <w:pPr>
        <w:numPr>
          <w:ilvl w:val="0"/>
          <w:numId w:val="27"/>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因不可抗力致使不能实现合同目的，未受不可抗力影响的一方有权解除合同；</w:t>
      </w:r>
      <w:r/>
    </w:p>
    <w:p>
      <w:pPr>
        <w:numPr>
          <w:ilvl w:val="0"/>
          <w:numId w:val="27"/>
        </w:num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因合同一方出现违约造成合同无法履行，另一方有权解除合同。</w:t>
      </w:r>
      <w:r/>
    </w:p>
    <w:p>
      <w:pPr>
        <w:numPr>
          <w:ilvl w:val="0"/>
          <w:numId w:val="26"/>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有权解除合同的一方，应当在违约事实或不可抗力发生之后三十天内书面通知对方以主张解除合同，合同在书面通知到达对方时解除。</w:t>
      </w:r>
      <w:r/>
    </w:p>
    <w:p>
      <w:pPr>
        <w:pStyle w:val="1132"/>
        <w:numPr>
          <w:ilvl w:val="0"/>
          <w:numId w:val="8"/>
        </w:numPr>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争议解决办法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因本合同或与本合同有关的一切事项发生争议，由双方友好协商解决。协商不成的，任何一方均可向甲方所在地高港区人民法院起诉。</w:t>
      </w:r>
      <w:r/>
    </w:p>
    <w:p>
      <w:pPr>
        <w:pStyle w:val="1132"/>
        <w:numPr>
          <w:ilvl w:val="0"/>
          <w:numId w:val="8"/>
        </w:numPr>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合同生效及其他</w:t>
      </w:r>
      <w:r/>
    </w:p>
    <w:p>
      <w:pPr>
        <w:numPr>
          <w:ilvl w:val="0"/>
          <w:numId w:val="28"/>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本合同经双方法定（授权）代表人签字（或盖章）并盖单位公章（合同章）后生效。</w:t>
      </w:r>
      <w:r/>
    </w:p>
    <w:p>
      <w:pPr>
        <w:numPr>
          <w:ilvl w:val="0"/>
          <w:numId w:val="28"/>
        </w:num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合同在执行过程中出现的未尽事宜，双方在不违背本合同和采购文件的原则下协商解决，协商结果以书面形式盖章记录在案，作为本合同的附件，与本合同具有同等效力。</w:t>
      </w:r>
      <w:r/>
    </w:p>
    <w:p>
      <w:pPr>
        <w:pStyle w:val="1132"/>
        <w:numPr>
          <w:ilvl w:val="0"/>
          <w:numId w:val="8"/>
        </w:numPr>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未尽事宜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未尽事宜应按照《中华人民共和国民法典》等相关法律法规之规定解释。</w:t>
      </w:r>
      <w:r/>
    </w:p>
    <w:p>
      <w:pPr>
        <w:pStyle w:val="1132"/>
        <w:numPr>
          <w:ilvl w:val="0"/>
          <w:numId w:val="8"/>
        </w:numPr>
        <w:ind w:left="0" w:righ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附则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sectPr>
          <w:footerReference w:type="default" r:id="rId11"/>
          <w:footnotePr/>
          <w:endnotePr/>
          <w:type w:val="nextPage"/>
          <w:pgSz w:w="11906" w:h="16838" w:orient="portrait"/>
          <w:pgMar w:top="1440" w:right="2007" w:bottom="1440" w:left="2007" w:header="851" w:footer="992" w:gutter="0"/>
          <w:cols w:num="1" w:sep="0" w:space="720" w:equalWidth="1"/>
          <w:docGrid w:linePitch="360"/>
        </w:sect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份，甲、乙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丙</w:t>
      </w:r>
      <w:r>
        <w:rPr>
          <w:rFonts w:hint="eastAsia" w:ascii="宋体" w:hAnsi="宋体" w:eastAsia="宋体" w:cs="宋体"/>
          <w:color w:val="auto"/>
          <w:sz w:val="24"/>
          <w:szCs w:val="24"/>
          <w:highlight w:val="none"/>
        </w:rPr>
        <w:t xml:space="preserve">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54" w:name="_GoBack"/>
      <w:r/>
      <w:bookmarkEnd w:id="54"/>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单位名称（盖章）：江苏江福农业发展有限公司</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或授权委托人（签字或盖章）：</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或授权委托人（签字或盖章）：</w:t>
      </w:r>
      <w:r/>
    </w:p>
    <w:p>
      <w:pPr>
        <w:pStyle w:val="1124"/>
        <w:rPr>
          <w:rFonts w:hint="eastAsia"/>
          <w:color w:val="auto"/>
          <w:sz w:val="28"/>
          <w:szCs w:val="28"/>
          <w:highlight w:val="none"/>
        </w:rPr>
      </w:pPr>
      <w:r>
        <w:rPr>
          <w:rFonts w:hint="eastAsia"/>
          <w:color w:val="auto"/>
          <w:sz w:val="28"/>
          <w:szCs w:val="28"/>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丙</w:t>
      </w:r>
      <w:r>
        <w:rPr>
          <w:rFonts w:hint="eastAsia" w:ascii="宋体" w:hAnsi="宋体" w:eastAsia="宋体" w:cs="宋体"/>
          <w:color w:val="auto"/>
          <w:sz w:val="24"/>
          <w:szCs w:val="24"/>
          <w:highlight w:val="none"/>
        </w:rPr>
        <w:t xml:space="preserve">方：</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或授权委托人（签字或盖章</w:t>
      </w:r>
      <w:r/>
    </w:p>
    <w:p>
      <w:pPr>
        <w:rPr>
          <w:rFonts w:hint="eastAsia"/>
          <w:color w:val="auto"/>
          <w:sz w:val="21"/>
          <w:szCs w:val="22"/>
          <w:highlight w:val="none"/>
          <w:lang w:val="en-US" w:eastAsia="zh-CN" w:bidi="ar-SA"/>
        </w:rPr>
      </w:pPr>
      <w:r>
        <w:rPr>
          <w:rFonts w:hint="eastAsia"/>
          <w:color w:val="auto"/>
          <w:sz w:val="21"/>
          <w:szCs w:val="22"/>
          <w:highlight w:val="none"/>
          <w:lang w:val="en-US" w:eastAsia="zh-CN" w:bidi="ar-SA"/>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jc w:val="left"/>
        <w:tabs>
          <w:tab w:val="left" w:pos="2047" w:leader="none"/>
        </w:tabs>
        <w:rPr>
          <w:rFonts w:hint="eastAsia"/>
          <w:color w:val="auto"/>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lang w:val="en-US" w:eastAsia="zh-CN"/>
        </w:rPr>
        <w:tab/>
      </w:r>
      <w:bookmarkStart w:id="25" w:name="_Toc1588"/>
      <w:r/>
      <w:r/>
    </w:p>
    <w:p>
      <w:pPr>
        <w:numPr>
          <w:ilvl w:val="0"/>
          <w:numId w:val="7"/>
        </w:numPr>
        <w:ind w:left="0" w:firstLine="0"/>
        <w:jc w:val="center"/>
        <w:tabs>
          <w:tab w:val="left" w:pos="2047" w:leader="none"/>
        </w:tabs>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 </w:t>
      </w:r>
      <w:r>
        <w:rPr>
          <w:rFonts w:hint="eastAsia" w:ascii="Times New Roman" w:hAnsi="Times New Roman"/>
          <w:b/>
          <w:color w:val="auto"/>
          <w:sz w:val="24"/>
          <w:szCs w:val="24"/>
          <w:highlight w:val="none"/>
        </w:rPr>
        <w:t xml:space="preserve">项目内容及基本要求</w:t>
      </w:r>
      <w:bookmarkEnd w:id="25"/>
      <w:r/>
      <w:r/>
    </w:p>
    <w:p>
      <w:pPr>
        <w:pStyle w:val="1133"/>
        <w:numPr>
          <w:ilvl w:val="0"/>
          <w:numId w:val="29"/>
        </w:numPr>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项目总体概况</w:t>
      </w:r>
      <w:r/>
    </w:p>
    <w:p>
      <w:pPr>
        <w:pStyle w:val="1133"/>
        <w:numPr>
          <w:ilvl w:val="0"/>
          <w:numId w:val="30"/>
        </w:numPr>
        <w:ind w:firstLine="482"/>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项目实施意义</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Cs/>
          <w:color w:val="auto"/>
          <w:sz w:val="24"/>
          <w:szCs w:val="24"/>
          <w:highlight w:val="none"/>
        </w:rPr>
        <w:t xml:space="preserve">本项目的实施，旨在提升高港区现代农业产业高质量发展示范园（以下简称“本示范园”）稻米精深加</w:t>
      </w:r>
      <w:r>
        <w:rPr>
          <w:rFonts w:hint="eastAsia" w:ascii="宋体" w:hAnsi="宋体" w:eastAsia="宋体" w:cs="宋体"/>
          <w:bCs/>
          <w:color w:val="auto"/>
          <w:sz w:val="24"/>
          <w:szCs w:val="24"/>
          <w:highlight w:val="none"/>
        </w:rPr>
        <w:t xml:space="preserve">工和就地转化能力，丰富稻米加工产品种类、延伸稻米产业发展链条。通过特殊的工艺将新鲜大米通过筛选、精洗后进行处理，根据大米粥的共晶点和共熔点，锁住蛋白质、维生素等营养成分，开发出营养米稀这一便捷、方便的即食产品。规划建设日产2吨的营养米稀生产线，年产碗装、立袋装、条装等产品约700吨。组建创新研发实验室，与东南大学、上海大学等科研院所建立合作关系，探索在传统的原料中加入药食同源植物等新工艺，强化稻米加工产品创新开发能力。因此，本项目有助于强化示范园稻米精深加工能力，提升农副产品附加值，开拓稻米产业价值增长点。</w:t>
      </w:r>
      <w:r/>
    </w:p>
    <w:p>
      <w:pPr>
        <w:pStyle w:val="1133"/>
        <w:numPr>
          <w:ilvl w:val="0"/>
          <w:numId w:val="0"/>
        </w:numPr>
        <w:ind w:firstLine="482"/>
        <w:jc w:val="left"/>
        <w:spacing w:line="360" w:lineRule="auto"/>
        <w:tabs>
          <w:tab w:val="left" w:pos="484" w:leader="none"/>
          <w:tab w:val="left" w:pos="55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项目总体要求</w:t>
      </w:r>
      <w:r/>
    </w:p>
    <w:p>
      <w:pPr>
        <w:pStyle w:val="1133"/>
        <w:numPr>
          <w:ilvl w:val="0"/>
          <w:numId w:val="0"/>
        </w:numPr>
        <w:ind w:firstLine="482"/>
        <w:spacing w:line="360" w:lineRule="auto"/>
        <w:rPr>
          <w:rFonts w:hint="eastAsia" w:ascii="宋体" w:hAnsi="宋体" w:eastAsia="宋体" w:cs="宋体"/>
          <w:b/>
          <w:color w:val="auto"/>
          <w:sz w:val="24"/>
          <w:szCs w:val="24"/>
          <w:highlight w:val="none"/>
          <w:u w:val="none"/>
        </w:rPr>
        <w:outlineLvl w:val="2"/>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项目验收标准</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鉴于本项目属于设备货物采购安装类项目，为严格控制项目总价成本，高效推进项目实施，本项目应</w:t>
      </w:r>
      <w:r>
        <w:rPr>
          <w:rFonts w:hint="eastAsia" w:ascii="宋体" w:hAnsi="宋体" w:eastAsia="宋体" w:cs="宋体"/>
          <w:b/>
          <w:bCs/>
          <w:color w:val="auto"/>
          <w:sz w:val="24"/>
          <w:szCs w:val="24"/>
          <w:highlight w:val="none"/>
          <w:u w:val="none"/>
        </w:rPr>
        <w:t xml:space="preserve">按“交钥匙”工程的竣工交付标准。供货方必须按照国家及省市安全及其相关规范要求，编制所有设备货物的安装图纸、安装说明、使用说明、维修方案（以下称《安装方案》），以及这些货物设备的现场勘察、采购、安装、调试、检验、验收、使用培训、售后服务，确保所有生产设施及其设备的质量安全、配套完整、运行顺利，确保本项目所有设备能有序、高效、平稳地正常开展生产、加工、展示、观摩、学习等工作</w:t>
      </w:r>
      <w:r>
        <w:rPr>
          <w:rFonts w:hint="eastAsia" w:ascii="宋体" w:hAnsi="宋体" w:eastAsia="宋体" w:cs="宋体"/>
          <w:bCs/>
          <w:color w:val="auto"/>
          <w:sz w:val="24"/>
          <w:szCs w:val="24"/>
          <w:highlight w:val="none"/>
          <w:u w:val="none"/>
        </w:rPr>
        <w:t xml:space="preserve">。</w:t>
      </w:r>
      <w:r/>
    </w:p>
    <w:p>
      <w:pPr>
        <w:pStyle w:val="1133"/>
        <w:numPr>
          <w:ilvl w:val="0"/>
          <w:numId w:val="0"/>
        </w:numPr>
        <w:ind w:firstLine="482"/>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项目工期要求</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合同签订后，</w:t>
      </w:r>
      <w:r>
        <w:rPr>
          <w:rFonts w:hint="eastAsia" w:ascii="宋体" w:hAnsi="宋体" w:cs="宋体"/>
          <w:bCs/>
          <w:color w:val="auto"/>
          <w:sz w:val="24"/>
          <w:szCs w:val="24"/>
          <w:highlight w:val="none"/>
          <w:lang w:val="en-US" w:eastAsia="zh-CN"/>
        </w:rPr>
        <w:t xml:space="preserve">45天内所有货物</w:t>
      </w:r>
      <w:r>
        <w:rPr>
          <w:rFonts w:hint="eastAsia" w:ascii="宋体" w:hAnsi="宋体" w:eastAsia="宋体" w:cs="宋体"/>
          <w:bCs/>
          <w:color w:val="auto"/>
          <w:sz w:val="24"/>
          <w:szCs w:val="24"/>
          <w:highlight w:val="none"/>
        </w:rPr>
        <w:t xml:space="preserve">到达项目现场，</w:t>
      </w:r>
      <w:r>
        <w:rPr>
          <w:rFonts w:hint="eastAsia" w:ascii="宋体" w:hAnsi="宋体" w:eastAsia="宋体" w:cs="宋体"/>
          <w:bCs/>
          <w:color w:val="auto"/>
          <w:sz w:val="24"/>
          <w:szCs w:val="24"/>
          <w:highlight w:val="none"/>
          <w:lang w:val="en-US" w:eastAsia="zh-CN"/>
        </w:rPr>
        <w:t xml:space="preserve">30</w:t>
      </w:r>
      <w:r>
        <w:rPr>
          <w:rFonts w:hint="eastAsia" w:ascii="宋体" w:hAnsi="宋体" w:eastAsia="宋体" w:cs="宋体"/>
          <w:bCs/>
          <w:color w:val="auto"/>
          <w:sz w:val="24"/>
          <w:szCs w:val="24"/>
          <w:highlight w:val="none"/>
        </w:rPr>
        <w:t xml:space="preserve">天内完成安装调试验收。</w:t>
      </w:r>
      <w:r/>
    </w:p>
    <w:p>
      <w:pPr>
        <w:pStyle w:val="1133"/>
        <w:numPr>
          <w:ilvl w:val="0"/>
          <w:numId w:val="29"/>
        </w:numPr>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项目采购内容</w:t>
      </w:r>
      <w:r/>
    </w:p>
    <w:p>
      <w:pPr>
        <w:ind w:firstLine="480"/>
        <w:spacing w:line="360" w:lineRule="auto"/>
        <w:rPr>
          <w:rFonts w:hint="eastAsia" w:ascii="宋体" w:hAnsi="宋体" w:eastAsia="宋体" w:cs="宋体"/>
          <w:bCs/>
          <w:color w:val="auto"/>
          <w:sz w:val="24"/>
          <w:szCs w:val="24"/>
          <w:highlight w:val="none"/>
        </w:rPr>
      </w:pPr>
      <w:r/>
      <w:bookmarkStart w:id="26" w:name="_Hlk65574500"/>
      <w:r>
        <w:rPr>
          <w:rFonts w:hint="eastAsia" w:ascii="宋体" w:hAnsi="宋体" w:eastAsia="宋体" w:cs="宋体"/>
          <w:bCs/>
          <w:color w:val="auto"/>
          <w:sz w:val="24"/>
          <w:szCs w:val="24"/>
          <w:highlight w:val="none"/>
        </w:rPr>
        <w:t xml:space="preserve">黄金米（米稀）新建项目共采</w:t>
      </w:r>
      <w:r>
        <w:rPr>
          <w:rFonts w:hint="eastAsia" w:ascii="宋体" w:hAnsi="宋体" w:eastAsia="宋体" w:cs="宋体"/>
          <w:b w:val="0"/>
          <w:bCs/>
          <w:color w:val="auto"/>
          <w:sz w:val="24"/>
          <w:szCs w:val="24"/>
          <w:highlight w:val="none"/>
          <w:u w:val="none"/>
        </w:rPr>
        <w:t xml:space="preserve">购45台（套）货物，涉及黄金米（米稀）产品加工设备、产品冻干设备、产品预处理设备等七种类型，其中：产品加工设备包括拌粉机、螺旋自动上料机等7台（套）设备；产品冻干设备包括真空冷冻干燥机组（25平）、真空冷冻干燥机组（3平）2套设备；产品预处理设备包括食材冷藏设备、洗米机、斩切设备等13台（套）设备；产品包装设备包括全自动放料机、高速包装盒贴面机等13台（套）设备；研发实验设备包括蒸汽发生器、超净工作台等6台（套）设备；生产配套系统设备包</w:t>
      </w:r>
      <w:r>
        <w:rPr>
          <w:rFonts w:hint="eastAsia" w:ascii="宋体" w:hAnsi="宋体" w:eastAsia="宋体" w:cs="宋体"/>
          <w:b w:val="0"/>
          <w:bCs/>
          <w:color w:val="auto"/>
          <w:sz w:val="24"/>
          <w:szCs w:val="24"/>
          <w:highlight w:val="none"/>
        </w:rPr>
        <w:t xml:space="preserve">括</w:t>
      </w:r>
      <w:r>
        <w:rPr>
          <w:rFonts w:hint="eastAsia" w:ascii="宋体" w:hAnsi="宋体" w:eastAsia="宋体" w:cs="宋体"/>
          <w:bCs/>
          <w:color w:val="auto"/>
          <w:sz w:val="24"/>
          <w:szCs w:val="24"/>
          <w:highlight w:val="none"/>
        </w:rPr>
        <w:t xml:space="preserve">单极反渗透水处理系统、空压</w:t>
      </w:r>
      <w:r>
        <w:rPr>
          <w:rFonts w:hint="eastAsia" w:ascii="宋体" w:hAnsi="宋体" w:eastAsia="宋体" w:cs="宋体"/>
          <w:b w:val="0"/>
          <w:bCs/>
          <w:color w:val="auto"/>
          <w:sz w:val="24"/>
          <w:szCs w:val="24"/>
          <w:highlight w:val="none"/>
          <w:u w:val="none"/>
        </w:rPr>
        <w:t xml:space="preserve">系统2套设备；生产</w:t>
      </w:r>
      <w:r>
        <w:rPr>
          <w:rFonts w:hint="eastAsia" w:ascii="宋体" w:hAnsi="宋体" w:eastAsia="宋体" w:cs="宋体"/>
          <w:bCs/>
          <w:color w:val="auto"/>
          <w:sz w:val="24"/>
          <w:szCs w:val="24"/>
          <w:highlight w:val="none"/>
        </w:rPr>
        <w:t xml:space="preserve">配套运输设备包括铲车、</w:t>
      </w:r>
      <w:r>
        <w:rPr>
          <w:rFonts w:hint="eastAsia" w:ascii="宋体" w:hAnsi="宋体" w:eastAsia="宋体" w:cs="宋体"/>
          <w:b w:val="0"/>
          <w:bCs/>
          <w:color w:val="auto"/>
          <w:sz w:val="24"/>
          <w:szCs w:val="24"/>
          <w:highlight w:val="none"/>
          <w:u w:val="none"/>
        </w:rPr>
        <w:t xml:space="preserve">电动叉车2台设</w:t>
      </w:r>
      <w:r>
        <w:rPr>
          <w:rFonts w:hint="eastAsia" w:ascii="宋体" w:hAnsi="宋体" w:eastAsia="宋体" w:cs="宋体"/>
          <w:bCs/>
          <w:color w:val="auto"/>
          <w:sz w:val="24"/>
          <w:szCs w:val="24"/>
          <w:highlight w:val="none"/>
        </w:rPr>
        <w:t xml:space="preserve">备。具体内容如下表所示：</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黄金米（米稀）新建项目采购清单表</w:t>
      </w:r>
      <w:r/>
    </w:p>
    <w:tbl>
      <w:tblPr>
        <w:tblStyle w:val="1120"/>
        <w:tblW w:w="8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5"/>
        <w:gridCol w:w="717"/>
        <w:gridCol w:w="11"/>
        <w:gridCol w:w="4289"/>
        <w:gridCol w:w="745"/>
        <w:gridCol w:w="745"/>
      </w:tblGrid>
      <w:tr>
        <w:trPr>
          <w:jc w:val="center"/>
          <w:trHeight w:val="454"/>
        </w:trPr>
        <w:tc>
          <w:tcPr>
            <w:shd w:val="clear" w:color="auto" w:fill="f1f1f1"/>
            <w:tcBorders>
              <w:top w:val="single" w:color="auto" w:sz="4" w:space="0"/>
              <w:left w:val="single" w:color="auto" w:sz="4" w:space="0"/>
              <w:bottom w:val="single" w:color="auto" w:sz="4" w:space="0"/>
              <w:right w:val="single" w:color="auto" w:sz="4" w:space="0"/>
            </w:tcBorders>
            <w:tcW w:w="1715" w:type="dxa"/>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设备类型</w:t>
            </w:r>
            <w:r/>
          </w:p>
        </w:tc>
        <w:tc>
          <w:tcPr>
            <w:shd w:val="clear" w:color="auto" w:fill="f1f1f1"/>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编号</w:t>
            </w:r>
            <w:r/>
          </w:p>
        </w:tc>
        <w:tc>
          <w:tcPr>
            <w:gridSpan w:val="2"/>
            <w:shd w:val="clear" w:color="auto" w:fill="f1f1f1"/>
            <w:tcBorders>
              <w:top w:val="single" w:color="auto" w:sz="4" w:space="0"/>
              <w:left w:val="single" w:color="auto" w:sz="4" w:space="0"/>
              <w:bottom w:val="single" w:color="auto" w:sz="4" w:space="0"/>
              <w:right w:val="single" w:color="auto" w:sz="4" w:space="0"/>
            </w:tcBorders>
            <w:tcW w:w="4300" w:type="dxa"/>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设备名称</w:t>
            </w:r>
            <w:r/>
          </w:p>
        </w:tc>
        <w:tc>
          <w:tcPr>
            <w:shd w:val="clear" w:color="auto" w:fill="f1f1f1"/>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c>
          <w:tcPr>
            <w:shd w:val="clear" w:color="auto" w:fill="f1f1f1"/>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r>
      <w:tr>
        <w:trPr>
          <w:jc w:val="center"/>
          <w:trHeight w:val="454"/>
        </w:trPr>
        <w:tc>
          <w:tcPr>
            <w:tcBorders>
              <w:top w:val="single" w:color="auto" w:sz="4" w:space="0"/>
              <w:left w:val="single" w:color="auto" w:sz="4" w:space="0"/>
              <w:right w:val="single" w:color="auto" w:sz="4" w:space="0"/>
            </w:tcBorders>
            <w:tcW w:w="1715" w:type="dxa"/>
            <w:vAlign w:val="center"/>
            <w:vMerge w:val="restart"/>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产品加工设备</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01</w:t>
            </w:r>
            <w:r/>
          </w:p>
        </w:tc>
        <w:tc>
          <w:tcPr>
            <w:gridSpan w:val="2"/>
            <w:tcBorders>
              <w:top w:val="single" w:color="auto" w:sz="4" w:space="0"/>
              <w:left w:val="single" w:color="auto" w:sz="4" w:space="0"/>
              <w:bottom w:val="single" w:color="auto" w:sz="4" w:space="0"/>
              <w:right w:val="single" w:color="auto" w:sz="4" w:space="0"/>
            </w:tcBorders>
            <w:tcW w:w="4300"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拌粉机</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02</w:t>
            </w:r>
            <w:r/>
          </w:p>
        </w:tc>
        <w:tc>
          <w:tcPr>
            <w:gridSpan w:val="2"/>
            <w:tcBorders>
              <w:top w:val="single" w:color="auto" w:sz="4" w:space="0"/>
              <w:left w:val="single" w:color="auto" w:sz="4" w:space="0"/>
              <w:bottom w:val="single" w:color="auto" w:sz="4" w:space="0"/>
              <w:right w:val="single" w:color="auto" w:sz="4" w:space="0"/>
            </w:tcBorders>
            <w:tcW w:w="4300"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螺旋自动上料机</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03</w:t>
            </w:r>
            <w:r/>
          </w:p>
        </w:tc>
        <w:tc>
          <w:tcPr>
            <w:gridSpan w:val="2"/>
            <w:tcBorders>
              <w:top w:val="single" w:color="auto" w:sz="4" w:space="0"/>
              <w:left w:val="single" w:color="auto" w:sz="4" w:space="0"/>
              <w:bottom w:val="single" w:color="auto" w:sz="4" w:space="0"/>
              <w:right w:val="single" w:color="auto" w:sz="4" w:space="0"/>
            </w:tcBorders>
            <w:tcW w:w="430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双螺杆挤出机</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04</w:t>
            </w:r>
            <w:r/>
          </w:p>
        </w:tc>
        <w:tc>
          <w:tcPr>
            <w:gridSpan w:val="2"/>
            <w:tcBorders>
              <w:top w:val="single" w:color="auto" w:sz="4" w:space="0"/>
              <w:left w:val="single" w:color="auto" w:sz="4" w:space="0"/>
              <w:bottom w:val="single" w:color="auto" w:sz="4" w:space="0"/>
              <w:right w:val="single" w:color="auto" w:sz="4" w:space="0"/>
            </w:tcBorders>
            <w:tcW w:w="4300"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高提升机</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05</w:t>
            </w:r>
            <w:r/>
          </w:p>
        </w:tc>
        <w:tc>
          <w:tcPr>
            <w:gridSpan w:val="2"/>
            <w:tcBorders>
              <w:top w:val="single" w:color="auto" w:sz="4" w:space="0"/>
              <w:left w:val="single" w:color="auto" w:sz="4" w:space="0"/>
              <w:bottom w:val="single" w:color="auto" w:sz="4" w:space="0"/>
              <w:right w:val="single" w:color="auto" w:sz="4" w:space="0"/>
            </w:tcBorders>
            <w:tcW w:w="4300"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连续式烘干箱</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06</w:t>
            </w:r>
            <w:r/>
          </w:p>
        </w:tc>
        <w:tc>
          <w:tcPr>
            <w:gridSpan w:val="2"/>
            <w:tcBorders>
              <w:top w:val="single" w:color="auto" w:sz="4" w:space="0"/>
              <w:left w:val="single" w:color="auto" w:sz="4" w:space="0"/>
              <w:bottom w:val="single" w:color="auto" w:sz="4" w:space="0"/>
              <w:right w:val="single" w:color="auto" w:sz="4" w:space="0"/>
            </w:tcBorders>
            <w:tcW w:w="4300"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中提升机</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bottom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07</w:t>
            </w:r>
            <w:r/>
          </w:p>
        </w:tc>
        <w:tc>
          <w:tcPr>
            <w:gridSpan w:val="2"/>
            <w:tcBorders>
              <w:top w:val="single" w:color="auto" w:sz="4" w:space="0"/>
              <w:left w:val="single" w:color="auto" w:sz="4" w:space="0"/>
              <w:bottom w:val="single" w:color="auto" w:sz="4" w:space="0"/>
              <w:right w:val="single" w:color="auto" w:sz="4" w:space="0"/>
            </w:tcBorders>
            <w:tcW w:w="430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不锈钢粉碎机组</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top w:val="single" w:color="auto" w:sz="4" w:space="0"/>
              <w:left w:val="single" w:color="auto" w:sz="4" w:space="0"/>
              <w:right w:val="single" w:color="auto" w:sz="4" w:space="0"/>
            </w:tcBorders>
            <w:tcW w:w="1715" w:type="dxa"/>
            <w:vAlign w:val="center"/>
            <w:vMerge w:val="restart"/>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产品冻干设备</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08</w:t>
            </w:r>
            <w:r/>
          </w:p>
        </w:tc>
        <w:tc>
          <w:tcPr>
            <w:gridSpan w:val="2"/>
            <w:tcBorders>
              <w:top w:val="single" w:color="auto" w:sz="4" w:space="0"/>
              <w:left w:val="single" w:color="auto" w:sz="4" w:space="0"/>
              <w:bottom w:val="single" w:color="auto" w:sz="4" w:space="0"/>
              <w:right w:val="single" w:color="auto" w:sz="4" w:space="0"/>
            </w:tcBorders>
            <w:tcW w:w="430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真空冷冻干燥机组（25平）</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bottom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09</w:t>
            </w:r>
            <w:r/>
          </w:p>
        </w:tc>
        <w:tc>
          <w:tcPr>
            <w:gridSpan w:val="2"/>
            <w:tcBorders>
              <w:top w:val="single" w:color="auto" w:sz="4" w:space="0"/>
              <w:left w:val="single" w:color="auto" w:sz="4" w:space="0"/>
              <w:bottom w:val="single" w:color="auto" w:sz="4" w:space="0"/>
              <w:right w:val="single" w:color="auto" w:sz="4" w:space="0"/>
            </w:tcBorders>
            <w:tcW w:w="430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真空冷冻干燥机组（3平）</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top w:val="single" w:color="auto" w:sz="4" w:space="0"/>
              <w:left w:val="single" w:color="auto" w:sz="4" w:space="0"/>
              <w:right w:val="single" w:color="auto" w:sz="4" w:space="0"/>
            </w:tcBorders>
            <w:tcW w:w="1715" w:type="dxa"/>
            <w:vAlign w:val="center"/>
            <w:vMerge w:val="restart"/>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产品预处理</w:t>
            </w:r>
            <w:r/>
          </w:p>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设备</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gridSpan w:val="2"/>
            <w:tcBorders>
              <w:top w:val="single" w:color="auto" w:sz="4" w:space="0"/>
              <w:left w:val="single" w:color="auto" w:sz="4" w:space="0"/>
              <w:bottom w:val="single" w:color="auto" w:sz="4" w:space="0"/>
              <w:right w:val="single" w:color="auto" w:sz="4" w:space="0"/>
            </w:tcBorders>
            <w:tcW w:w="430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食材冷藏设备</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w:t>
            </w:r>
            <w:r/>
          </w:p>
        </w:tc>
        <w:tc>
          <w:tcPr>
            <w:gridSpan w:val="2"/>
            <w:tcBorders>
              <w:top w:val="single" w:color="auto" w:sz="4" w:space="0"/>
              <w:left w:val="single" w:color="auto" w:sz="4" w:space="0"/>
              <w:bottom w:val="single" w:color="auto" w:sz="4" w:space="0"/>
              <w:right w:val="single" w:color="auto" w:sz="4" w:space="0"/>
            </w:tcBorders>
            <w:tcW w:w="430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洗米机</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r>
      <w:tr>
        <w:trPr>
          <w:jc w:val="center"/>
          <w:trHeight w:val="454"/>
        </w:trPr>
        <w:tc>
          <w:tcPr>
            <w:tcBorders>
              <w:left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w:t>
            </w:r>
            <w:r/>
          </w:p>
        </w:tc>
        <w:tc>
          <w:tcPr>
            <w:gridSpan w:val="2"/>
            <w:tcBorders>
              <w:top w:val="single" w:color="auto" w:sz="4" w:space="0"/>
              <w:left w:val="single" w:color="auto" w:sz="4" w:space="0"/>
              <w:bottom w:val="single" w:color="auto" w:sz="4" w:space="0"/>
              <w:right w:val="single" w:color="auto" w:sz="4" w:space="0"/>
            </w:tcBorders>
            <w:tcW w:w="430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斩切设备</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r>
      <w:tr>
        <w:trPr>
          <w:jc w:val="center"/>
          <w:trHeight w:val="454"/>
        </w:trPr>
        <w:tc>
          <w:tcPr>
            <w:tcBorders>
              <w:left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w:t>
            </w:r>
            <w:r/>
          </w:p>
        </w:tc>
        <w:tc>
          <w:tcPr>
            <w:gridSpan w:val="2"/>
            <w:tcBorders>
              <w:top w:val="single" w:color="auto" w:sz="4" w:space="0"/>
              <w:left w:val="single" w:color="auto" w:sz="4" w:space="0"/>
              <w:bottom w:val="single" w:color="auto" w:sz="4" w:space="0"/>
              <w:right w:val="single" w:color="auto" w:sz="4" w:space="0"/>
            </w:tcBorders>
            <w:tcW w:w="430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混合机</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w:t>
            </w:r>
            <w:r/>
          </w:p>
        </w:tc>
        <w:tc>
          <w:tcPr>
            <w:gridSpan w:val="2"/>
            <w:tcBorders>
              <w:top w:val="single" w:color="auto" w:sz="4" w:space="0"/>
              <w:left w:val="single" w:color="auto" w:sz="4" w:space="0"/>
              <w:bottom w:val="single" w:color="auto" w:sz="4" w:space="0"/>
              <w:right w:val="single" w:color="auto" w:sz="4" w:space="0"/>
            </w:tcBorders>
            <w:tcW w:w="430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提升机</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bottom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w:t>
            </w:r>
            <w:r/>
          </w:p>
        </w:tc>
        <w:tc>
          <w:tcPr>
            <w:gridSpan w:val="2"/>
            <w:tcBorders>
              <w:top w:val="single" w:color="auto" w:sz="4" w:space="0"/>
              <w:left w:val="single" w:color="auto" w:sz="4" w:space="0"/>
              <w:bottom w:val="single" w:color="auto" w:sz="4" w:space="0"/>
              <w:right w:val="single" w:color="auto" w:sz="4" w:space="0"/>
            </w:tcBorders>
            <w:tcW w:w="430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行星搅拌炒锅（配盖）</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r>
      <w:tr>
        <w:trPr>
          <w:jc w:val="center"/>
          <w:trHeight w:val="454"/>
        </w:trPr>
        <w:tc>
          <w:tcPr>
            <w:tcBorders>
              <w:top w:val="single" w:color="auto" w:sz="4" w:space="0"/>
              <w:left w:val="single" w:color="auto" w:sz="4" w:space="0"/>
              <w:right w:val="single" w:color="auto" w:sz="4" w:space="0"/>
            </w:tcBorders>
            <w:tcW w:w="1715" w:type="dxa"/>
            <w:vAlign w:val="center"/>
            <w:vMerge w:val="restart"/>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产品包装设备</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w:t>
            </w:r>
            <w:r/>
          </w:p>
        </w:tc>
        <w:tc>
          <w:tcPr>
            <w:gridSpan w:val="2"/>
            <w:tcBorders>
              <w:top w:val="single" w:color="auto" w:sz="4" w:space="0"/>
              <w:left w:val="single" w:color="auto" w:sz="4" w:space="0"/>
              <w:bottom w:val="single" w:color="auto" w:sz="4" w:space="0"/>
              <w:right w:val="single" w:color="auto" w:sz="4" w:space="0"/>
            </w:tcBorders>
            <w:tcW w:w="430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全自动放料机</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r>
      <w:tr>
        <w:trPr>
          <w:jc w:val="center"/>
          <w:trHeight w:val="454"/>
        </w:trPr>
        <w:tc>
          <w:tcPr>
            <w:tcBorders>
              <w:left w:val="single" w:color="auto" w:sz="4" w:space="0"/>
              <w:right w:val="single" w:color="auto" w:sz="4" w:space="0"/>
            </w:tcBorders>
            <w:tcW w:w="1715" w:type="dxa"/>
            <w:vAlign w:val="top"/>
            <w:vMerge w:val="continue"/>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w:t>
            </w:r>
            <w:r/>
          </w:p>
        </w:tc>
        <w:tc>
          <w:tcPr>
            <w:gridSpan w:val="2"/>
            <w:tcBorders>
              <w:top w:val="single" w:color="auto" w:sz="4" w:space="0"/>
              <w:left w:val="single" w:color="auto" w:sz="4" w:space="0"/>
              <w:bottom w:val="single" w:color="auto" w:sz="4" w:space="0"/>
              <w:right w:val="single" w:color="auto" w:sz="4" w:space="0"/>
            </w:tcBorders>
            <w:tcW w:w="4300"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高速包装盒贴面机</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right w:val="single" w:color="auto" w:sz="4" w:space="0"/>
            </w:tcBorders>
            <w:tcW w:w="1715" w:type="dxa"/>
            <w:vAlign w:val="center"/>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w:t>
            </w:r>
            <w:r/>
          </w:p>
        </w:tc>
        <w:tc>
          <w:tcPr>
            <w:tcBorders>
              <w:top w:val="single" w:color="auto" w:sz="4" w:space="0"/>
              <w:left w:val="single" w:color="auto" w:sz="4" w:space="0"/>
              <w:bottom w:val="single" w:color="auto" w:sz="4" w:space="0"/>
              <w:right w:val="single" w:color="auto" w:sz="4" w:space="0"/>
            </w:tcBorders>
            <w:tcW w:w="428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全自动封罐机</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right w:val="single" w:color="auto" w:sz="4" w:space="0"/>
            </w:tcBorders>
            <w:tcW w:w="1715" w:type="dxa"/>
            <w:vAlign w:val="center"/>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W w:w="428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全自动封箱机组</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428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全自动卷膜酱料包装机</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r>
      <w:tr>
        <w:trPr>
          <w:jc w:val="center"/>
          <w:trHeight w:val="454"/>
        </w:trPr>
        <w:tc>
          <w:tcPr>
            <w:tcBorders>
              <w:left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w:t>
            </w:r>
            <w:r/>
          </w:p>
        </w:tc>
        <w:tc>
          <w:tcPr>
            <w:tcBorders>
              <w:top w:val="single" w:color="auto" w:sz="4" w:space="0"/>
              <w:left w:val="single" w:color="auto" w:sz="4" w:space="0"/>
              <w:bottom w:val="single" w:color="auto" w:sz="4" w:space="0"/>
              <w:right w:val="single" w:color="auto" w:sz="4" w:space="0"/>
            </w:tcBorders>
            <w:tcW w:w="428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全自动热收缩包装机</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w:t>
            </w:r>
            <w:r/>
          </w:p>
        </w:tc>
        <w:tc>
          <w:tcPr>
            <w:tcBorders>
              <w:top w:val="single" w:color="auto" w:sz="4" w:space="0"/>
              <w:left w:val="single" w:color="auto" w:sz="4" w:space="0"/>
              <w:bottom w:val="single" w:color="auto" w:sz="4" w:space="0"/>
              <w:right w:val="single" w:color="auto" w:sz="4" w:space="0"/>
            </w:tcBorders>
            <w:tcW w:w="428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全自动10头秤给袋机</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bottom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w:t>
            </w:r>
            <w:r/>
          </w:p>
        </w:tc>
        <w:tc>
          <w:tcPr>
            <w:tcBorders>
              <w:top w:val="single" w:color="auto" w:sz="4" w:space="0"/>
              <w:left w:val="single" w:color="auto" w:sz="4" w:space="0"/>
              <w:bottom w:val="single" w:color="auto" w:sz="4" w:space="0"/>
              <w:right w:val="single" w:color="auto" w:sz="4" w:space="0"/>
            </w:tcBorders>
            <w:tcW w:w="428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上走膜伺服自动包装机</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r>
      <w:tr>
        <w:trPr>
          <w:jc w:val="center"/>
          <w:trHeight w:val="454"/>
        </w:trPr>
        <w:tc>
          <w:tcPr>
            <w:tcBorders>
              <w:top w:val="single" w:color="auto" w:sz="4" w:space="0"/>
              <w:left w:val="single" w:color="auto" w:sz="4" w:space="0"/>
              <w:right w:val="single" w:color="auto" w:sz="4" w:space="0"/>
            </w:tcBorders>
            <w:tcW w:w="1715" w:type="dxa"/>
            <w:vAlign w:val="center"/>
            <w:vMerge w:val="restart"/>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研发实验设备</w:t>
            </w:r>
            <w:r/>
          </w:p>
        </w:tc>
        <w:tc>
          <w:tcPr>
            <w:gridSpan w:val="2"/>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w:t>
            </w:r>
            <w:r/>
          </w:p>
        </w:tc>
        <w:tc>
          <w:tcPr>
            <w:tcBorders>
              <w:top w:val="single" w:color="auto" w:sz="4" w:space="0"/>
              <w:left w:val="single" w:color="auto" w:sz="4" w:space="0"/>
              <w:bottom w:val="single" w:color="auto" w:sz="4" w:space="0"/>
              <w:right w:val="single" w:color="auto" w:sz="4" w:space="0"/>
            </w:tcBorders>
            <w:tcW w:w="428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蒸汽发生器</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w:t>
            </w:r>
            <w:r/>
          </w:p>
        </w:tc>
        <w:tc>
          <w:tcPr>
            <w:tcBorders>
              <w:top w:val="single" w:color="auto" w:sz="4" w:space="0"/>
              <w:left w:val="single" w:color="auto" w:sz="4" w:space="0"/>
              <w:bottom w:val="single" w:color="auto" w:sz="4" w:space="0"/>
              <w:right w:val="single" w:color="auto" w:sz="4" w:space="0"/>
            </w:tcBorders>
            <w:tcW w:w="428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超净工作台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w:t>
            </w:r>
            <w:r/>
          </w:p>
        </w:tc>
        <w:tc>
          <w:tcPr>
            <w:tcBorders>
              <w:top w:val="single" w:color="auto" w:sz="4" w:space="0"/>
              <w:left w:val="single" w:color="auto" w:sz="4" w:space="0"/>
              <w:bottom w:val="single" w:color="auto" w:sz="4" w:space="0"/>
              <w:right w:val="single" w:color="auto" w:sz="4" w:space="0"/>
            </w:tcBorders>
            <w:tcW w:w="428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恒温培养箱</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428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钢木试验台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w:t>
            </w:r>
            <w:r/>
          </w:p>
        </w:tc>
        <w:tc>
          <w:tcPr>
            <w:tcBorders>
              <w:top w:val="single" w:color="auto" w:sz="4" w:space="0"/>
              <w:left w:val="single" w:color="auto" w:sz="4" w:space="0"/>
              <w:bottom w:val="single" w:color="auto" w:sz="4" w:space="0"/>
              <w:right w:val="single" w:color="auto" w:sz="4" w:space="0"/>
            </w:tcBorders>
            <w:tcW w:w="428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全钢通风柜</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w:t>
            </w:r>
            <w:r/>
          </w:p>
        </w:tc>
        <w:tc>
          <w:tcPr>
            <w:tcBorders>
              <w:top w:val="single" w:color="auto" w:sz="4" w:space="0"/>
              <w:left w:val="single" w:color="auto" w:sz="4" w:space="0"/>
              <w:bottom w:val="single" w:color="auto" w:sz="4" w:space="0"/>
              <w:right w:val="single" w:color="auto" w:sz="4" w:space="0"/>
            </w:tcBorders>
            <w:tcW w:w="428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全木试剂柜</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right w:val="single" w:color="auto" w:sz="4" w:space="0"/>
            </w:tcBorders>
            <w:tcW w:w="1715" w:type="dxa"/>
            <w:vAlign w:val="center"/>
            <w:vMerge w:val="restart"/>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生产配套</w:t>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系统设备</w:t>
            </w:r>
            <w:r/>
          </w:p>
        </w:tc>
        <w:tc>
          <w:tcPr>
            <w:gridSpan w:val="2"/>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30</w:t>
            </w:r>
            <w:r/>
          </w:p>
        </w:tc>
        <w:tc>
          <w:tcPr>
            <w:tcBorders>
              <w:top w:val="single" w:color="auto" w:sz="4" w:space="0"/>
              <w:left w:val="single" w:color="auto" w:sz="4" w:space="0"/>
              <w:bottom w:val="single" w:color="auto" w:sz="4" w:space="0"/>
              <w:right w:val="single" w:color="auto" w:sz="4" w:space="0"/>
            </w:tcBorders>
            <w:tcW w:w="428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单极反渗透水处理系统</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w:t>
            </w:r>
            <w:r/>
          </w:p>
        </w:tc>
        <w:tc>
          <w:tcPr>
            <w:tcBorders>
              <w:top w:val="single" w:color="auto" w:sz="4" w:space="0"/>
              <w:left w:val="single" w:color="auto" w:sz="4" w:space="0"/>
              <w:bottom w:val="single" w:color="auto" w:sz="4" w:space="0"/>
              <w:right w:val="single" w:color="auto" w:sz="4" w:space="0"/>
            </w:tcBorders>
            <w:tcW w:w="428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空压系统</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right w:val="single" w:color="auto" w:sz="4" w:space="0"/>
            </w:tcBorders>
            <w:tcW w:w="1715" w:type="dxa"/>
            <w:vAlign w:val="top"/>
            <w:vMerge w:val="restart"/>
            <w:textDirection w:val="lrTb"/>
            <w:noWrap w:val="false"/>
          </w:tcPr>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生产配套</w:t>
            </w:r>
            <w:r/>
          </w:p>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运输设备</w:t>
            </w:r>
            <w:r/>
          </w:p>
        </w:tc>
        <w:tc>
          <w:tcPr>
            <w:gridSpan w:val="2"/>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w:t>
            </w:r>
            <w:r/>
          </w:p>
        </w:tc>
        <w:tc>
          <w:tcPr>
            <w:tcBorders>
              <w:top w:val="single" w:color="auto" w:sz="4" w:space="0"/>
              <w:left w:val="single" w:color="auto" w:sz="4" w:space="0"/>
              <w:bottom w:val="single" w:color="auto" w:sz="4" w:space="0"/>
              <w:right w:val="single" w:color="auto" w:sz="4" w:space="0"/>
            </w:tcBorders>
            <w:tcW w:w="428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铲车</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r>
        <w:trPr>
          <w:jc w:val="center"/>
          <w:trHeight w:val="454"/>
        </w:trPr>
        <w:tc>
          <w:tcPr>
            <w:tcBorders>
              <w:left w:val="single" w:color="auto" w:sz="4" w:space="0"/>
              <w:bottom w:val="single" w:color="auto" w:sz="4" w:space="0"/>
              <w:right w:val="single" w:color="auto" w:sz="4" w:space="0"/>
            </w:tcBorders>
            <w:tcW w:w="1715" w:type="dxa"/>
            <w:vAlign w:val="top"/>
            <w:vMerge w:val="continue"/>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w:t>
            </w:r>
            <w:r/>
          </w:p>
        </w:tc>
        <w:tc>
          <w:tcPr>
            <w:tcBorders>
              <w:top w:val="single" w:color="auto" w:sz="4" w:space="0"/>
              <w:left w:val="single" w:color="auto" w:sz="4" w:space="0"/>
              <w:bottom w:val="single" w:color="auto" w:sz="4" w:space="0"/>
              <w:right w:val="single" w:color="auto" w:sz="4" w:space="0"/>
            </w:tcBorders>
            <w:tcW w:w="4289"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电动叉车</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台</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33"/>
        <w:numPr>
          <w:ilvl w:val="0"/>
          <w:numId w:val="31"/>
        </w:numPr>
        <w:jc w:val="left"/>
        <w:spacing w:line="360" w:lineRule="auto"/>
        <w:tabs>
          <w:tab w:val="left" w:pos="484" w:leader="none"/>
          <w:tab w:val="left" w:pos="55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产品加工设备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本生产线加工设备的电压/频率为380V/50Hz；生产线总装机功率为140kW，实际耗电约70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80kW/h；设备可以灵活摆放，也可以根据客户实际情况生产；开始拌料处和出料处需要工人，中间环节无需工人。</w:t>
      </w:r>
      <w:r/>
    </w:p>
    <w:p>
      <w:pPr>
        <w:pStyle w:val="1133"/>
        <w:numPr>
          <w:ilvl w:val="0"/>
          <w:numId w:val="32"/>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拌粉机</w:t>
      </w:r>
      <w:r/>
    </w:p>
    <w:p>
      <w:pPr>
        <w:numPr>
          <w:ilvl w:val="0"/>
          <w:numId w:val="33"/>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：1台。</w:t>
      </w:r>
      <w:r/>
    </w:p>
    <w:p>
      <w:pPr>
        <w:numPr>
          <w:ilvl w:val="0"/>
          <w:numId w:val="33"/>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电机功率：7.5kW；</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容量：100kg~150kg/次；</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L1400×W800×H1500mm；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机架、护板接触部位材质：304不锈钢。</w:t>
      </w:r>
      <w:r/>
    </w:p>
    <w:p>
      <w:pPr>
        <w:pStyle w:val="1133"/>
        <w:numPr>
          <w:ilvl w:val="0"/>
          <w:numId w:val="32"/>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螺旋自动上料机</w:t>
      </w:r>
      <w:r/>
    </w:p>
    <w:p>
      <w:pPr>
        <w:numPr>
          <w:ilvl w:val="0"/>
          <w:numId w:val="35"/>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：1台。</w:t>
      </w:r>
      <w:r/>
    </w:p>
    <w:p>
      <w:pPr>
        <w:numPr>
          <w:ilvl w:val="0"/>
          <w:numId w:val="35"/>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电机功率：1.1kW；</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L4000×W60×H2100mm；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输送机可输送原料：面粉、淀粉、玉米粉、大米粉等粉状及细颗粒物原料，设备整体材质：不锈钢。</w:t>
      </w:r>
      <w:r/>
    </w:p>
    <w:p>
      <w:pPr>
        <w:pStyle w:val="1133"/>
        <w:numPr>
          <w:ilvl w:val="0"/>
          <w:numId w:val="32"/>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双螺杆挤出机</w:t>
      </w:r>
      <w:r/>
    </w:p>
    <w:p>
      <w:pPr>
        <w:numPr>
          <w:ilvl w:val="0"/>
          <w:numId w:val="36"/>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：1台。</w:t>
      </w:r>
      <w:r/>
    </w:p>
    <w:p>
      <w:pPr>
        <w:numPr>
          <w:ilvl w:val="0"/>
          <w:numId w:val="36"/>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产量：120~150kg/h；</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L4100×W1200×H2000mm；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22kW；加热功率：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10kW；</w:t>
      </w:r>
      <w:r>
        <w:rPr>
          <w:rFonts w:hint="eastAsia" w:ascii="宋体" w:hAnsi="宋体" w:eastAsia="宋体" w:cs="宋体"/>
          <w:color w:val="auto"/>
          <w:sz w:val="24"/>
          <w:szCs w:val="24"/>
          <w:highlight w:val="none"/>
        </w:rPr>
        <w:t xml:space="preserve">旋切：0.75kW；喂料：0.75kW；油泵：0.37kW；</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螺杆长度：1050mm；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速度控制：变频调速；</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设备组成：进料系统、挤压系统、切割系统、加热系统、润滑系统、传动系统、控制系统组成；</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机架材质：碳钢；护板材质：不锈钢。</w:t>
      </w:r>
      <w:r/>
    </w:p>
    <w:p>
      <w:pPr>
        <w:pStyle w:val="1133"/>
        <w:numPr>
          <w:ilvl w:val="0"/>
          <w:numId w:val="32"/>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高提升机</w:t>
      </w:r>
      <w:r/>
    </w:p>
    <w:p>
      <w:pPr>
        <w:numPr>
          <w:ilvl w:val="0"/>
          <w:numId w:val="37"/>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：1台。</w:t>
      </w:r>
      <w:r/>
    </w:p>
    <w:p>
      <w:pPr>
        <w:numPr>
          <w:ilvl w:val="0"/>
          <w:numId w:val="37"/>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电机功率：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0.37kW；</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L2200×W800×H1850mm；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PVC裙边带，机架材质：304不锈钢；</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与烤箱进料斗高度配合。</w:t>
      </w:r>
      <w:r/>
    </w:p>
    <w:p>
      <w:pPr>
        <w:pStyle w:val="1133"/>
        <w:numPr>
          <w:ilvl w:val="0"/>
          <w:numId w:val="32"/>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连续式烘干箱</w:t>
      </w:r>
      <w:r/>
    </w:p>
    <w:p>
      <w:pPr>
        <w:numPr>
          <w:ilvl w:val="0"/>
          <w:numId w:val="38"/>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：1台。</w:t>
      </w:r>
      <w:r/>
    </w:p>
    <w:p>
      <w:pPr>
        <w:numPr>
          <w:ilvl w:val="0"/>
          <w:numId w:val="38"/>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电力型；</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电机功率：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2.2kW；</w:t>
      </w:r>
      <w:bookmarkStart w:id="27" w:name="_Hlk157179064"/>
      <w:r>
        <w:rPr>
          <w:rFonts w:hint="eastAsia" w:ascii="宋体" w:hAnsi="宋体" w:eastAsia="宋体" w:cs="宋体"/>
          <w:color w:val="auto"/>
          <w:sz w:val="24"/>
          <w:szCs w:val="24"/>
          <w:highlight w:val="none"/>
        </w:rPr>
        <w:t xml:space="preserve">加热功率：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60kW</w:t>
      </w:r>
      <w:bookmarkEnd w:id="27"/>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L5000×W1200×H2000mm；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机架材质：碳钢；护板接触材质：304不锈钢。</w:t>
      </w:r>
      <w:r/>
    </w:p>
    <w:p>
      <w:pPr>
        <w:pStyle w:val="1133"/>
        <w:numPr>
          <w:ilvl w:val="0"/>
          <w:numId w:val="32"/>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中提升机</w:t>
      </w:r>
      <w:r/>
    </w:p>
    <w:p>
      <w:pPr>
        <w:numPr>
          <w:ilvl w:val="0"/>
          <w:numId w:val="39"/>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：1台。</w:t>
      </w:r>
      <w:r/>
    </w:p>
    <w:p>
      <w:pPr>
        <w:numPr>
          <w:ilvl w:val="0"/>
          <w:numId w:val="39"/>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电机功率：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0.37kW；</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L2000×W800×H1650mm；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PVC裙边带，机架材质：304不锈钢。</w:t>
      </w:r>
      <w:r/>
    </w:p>
    <w:p>
      <w:pPr>
        <w:pStyle w:val="1133"/>
        <w:numPr>
          <w:ilvl w:val="0"/>
          <w:numId w:val="32"/>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不锈钢粉碎机组</w:t>
      </w:r>
      <w:r/>
    </w:p>
    <w:p>
      <w:pPr>
        <w:numPr>
          <w:ilvl w:val="0"/>
          <w:numId w:val="40"/>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：1套。</w:t>
      </w:r>
      <w:r/>
    </w:p>
    <w:p>
      <w:pPr>
        <w:numPr>
          <w:ilvl w:val="0"/>
          <w:numId w:val="40"/>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能力：</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500kg/h；</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20kW；</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罗圈：10~120目；</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粉碎机整体材质：304不锈钢；</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范围：医药、食品化工；</w:t>
      </w:r>
      <w:r/>
    </w:p>
    <w:p>
      <w:pPr>
        <w:pStyle w:val="1133"/>
        <w:numPr>
          <w:ilvl w:val="0"/>
          <w:numId w:val="34"/>
        </w:num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机器特点：</w:t>
      </w:r>
      <w:r>
        <w:rPr>
          <w:rFonts w:hint="eastAsia" w:ascii="宋体" w:hAnsi="宋体" w:eastAsia="宋体" w:cs="宋体"/>
          <w:bCs/>
          <w:color w:val="auto"/>
          <w:sz w:val="24"/>
          <w:szCs w:val="24"/>
          <w:highlight w:val="none"/>
        </w:rPr>
        <w:t xml:space="preserve">结构简单、粉碎室安装、拆除方便、容易清洗，运行平稳、噪音低、振动小，操作简单更换罗圈可以控制颗粒的大小。</w:t>
      </w:r>
      <w:r/>
    </w:p>
    <w:p>
      <w:pPr>
        <w:pStyle w:val="1133"/>
        <w:numPr>
          <w:ilvl w:val="0"/>
          <w:numId w:val="31"/>
        </w:numPr>
        <w:jc w:val="left"/>
        <w:spacing w:line="360" w:lineRule="auto"/>
        <w:tabs>
          <w:tab w:val="left" w:pos="484" w:leader="none"/>
          <w:tab w:val="left" w:pos="55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产品冻干设备</w:t>
      </w:r>
      <w:r/>
    </w:p>
    <w:p>
      <w:pPr>
        <w:pStyle w:val="1133"/>
        <w:numPr>
          <w:ilvl w:val="0"/>
          <w:numId w:val="41"/>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真空冷冻干燥机组（25平）</w:t>
      </w:r>
      <w:r/>
    </w:p>
    <w:p>
      <w:pPr>
        <w:numPr>
          <w:ilvl w:val="0"/>
          <w:numId w:val="42"/>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：1台。</w:t>
      </w:r>
      <w:r/>
    </w:p>
    <w:p>
      <w:pPr>
        <w:numPr>
          <w:ilvl w:val="0"/>
          <w:numId w:val="42"/>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性能特点</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冻干成套设备干燥仓前段仓体（加热部分）采用厚度10mm304不锈钢制成，后端仓体（冷阱部分）采用厚度10mm304不锈钢制成，加热板连接的金属软管均采用不锈钢制成；</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自动化程度高，加热、真空、气动、除霜系统均为自动控制；</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冷却水系统自动操作，配合自动显示报警功能；</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制冷系统设计：冻干仓冷源采用一对一设计，一仓一套冷源；</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关键设备、关键的控制阀门以及关键的电气控制元件采用进口的产品；</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板层内走循环介质，温度可调节，温差≤1℃，制冷加热效果更均匀；</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具有节能、环保、操作方便、使用安全、维修简单等特点，节省电能比同行业节电30%，节约人员管理费，设备维护便捷；</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冻干各系统实现全自动化，实现无人值守，系统能长期安全可靠的运行；</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可与电脑连接，远程操作，存储冻干曲线。</w:t>
      </w:r>
      <w:r/>
    </w:p>
    <w:p>
      <w:pPr>
        <w:numPr>
          <w:ilvl w:val="0"/>
          <w:numId w:val="42"/>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设备组成与规格参数</w:t>
      </w:r>
      <w:r>
        <w:rPr>
          <w:rFonts w:hint="eastAsia" w:ascii="宋体" w:hAnsi="宋体" w:eastAsia="宋体" w:cs="宋体"/>
          <w:color w:val="auto"/>
          <w:sz w:val="24"/>
          <w:szCs w:val="24"/>
          <w:highlight w:val="none"/>
        </w:rPr>
        <w:t xml:space="preserve">：</w:t>
      </w:r>
      <w:r/>
    </w:p>
    <w:p>
      <w:pPr>
        <w:pStyle w:val="1133"/>
        <w:numPr>
          <w:ilvl w:val="0"/>
          <w:numId w:val="43"/>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干燥仓</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干燥仓数量：1台；</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总有效装料</w:t>
      </w:r>
      <w:r>
        <w:rPr>
          <w:rFonts w:hint="eastAsia" w:ascii="宋体" w:hAnsi="宋体" w:eastAsia="宋体" w:cs="宋体"/>
          <w:color w:val="auto"/>
          <w:sz w:val="24"/>
          <w:szCs w:val="24"/>
          <w:highlight w:val="none"/>
        </w:rPr>
        <w:t xml:space="preserve">面积：</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25m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加热方式：辐射式；冷阱形式：后置式；加热板工作温度：常温~120℃；冷阱内制冷剂蒸发温度：常温~零下40℃；燥仓内的工作压强：10Pa~133Pa；</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从1大气压到1Tor的抽空时间（干燥、无负荷）：10~30min；单仓静态极限真空度（压强）：15Pa；单仓冷阱的最大捕水量（以纯冰为实验对象）：100kg/h；</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标准进料能力（理论进料量）：250kg/仓/次；</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一般干燥时间：10~32h；</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制冷需求量（单仓配用冷源）：</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21kW；单仓冷阱冲霜水循环量：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制冷系统循环用制冷介质（闭式循环）：R507；加热系统循环用热媒（闭式循环）：水；冷阱的冲霜水（进水温度要求＜40℃，循环使用）：洁净水；干燥仓以及托盘的清洗用水（一次性使用）：洁净水。</w:t>
      </w:r>
      <w:r/>
    </w:p>
    <w:p>
      <w:pPr>
        <w:pStyle w:val="1133"/>
        <w:numPr>
          <w:ilvl w:val="0"/>
          <w:numId w:val="43"/>
        </w:numPr>
        <w:ind w:left="482" w:hanging="482"/>
        <w:spacing w:line="360" w:lineRule="auto"/>
        <w:rPr>
          <w:rFonts w:hint="eastAsia" w:ascii="宋体" w:hAnsi="宋体" w:eastAsia="宋体" w:cs="宋体"/>
          <w:bCs/>
          <w:color w:val="auto"/>
          <w:sz w:val="24"/>
          <w:szCs w:val="24"/>
          <w:highlight w:val="none"/>
        </w:rPr>
        <w:outlineLvl w:val="4"/>
      </w:pPr>
      <w:r>
        <w:rPr>
          <w:rFonts w:hint="eastAsia" w:ascii="宋体" w:hAnsi="宋体" w:eastAsia="宋体" w:cs="宋体"/>
          <w:b/>
          <w:color w:val="auto"/>
          <w:sz w:val="24"/>
          <w:szCs w:val="24"/>
          <w:highlight w:val="none"/>
        </w:rPr>
        <w:t xml:space="preserve">冻干机</w:t>
      </w:r>
      <w:r/>
    </w:p>
    <w:p>
      <w:pPr>
        <w:pStyle w:val="1133"/>
        <w:numPr>
          <w:ilvl w:val="0"/>
          <w:numId w:val="44"/>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筒体及仓门</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外形尺寸：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L5600×W1900×H2500mm；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仓体重量：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2000kg；冷阱重量：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400kg；加热板重量：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300kg；</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冻干机仓体材质：不锈钢；仓门材质：不锈钢；</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筒体及仓门内直径1800mm，壁厚10mm；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仓体静态漏气率：≤0.025Pa.m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/s。</w:t>
      </w:r>
      <w:r/>
    </w:p>
    <w:p>
      <w:pPr>
        <w:pStyle w:val="1133"/>
        <w:numPr>
          <w:ilvl w:val="0"/>
          <w:numId w:val="44"/>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仓体保温</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保温材质：橡塑保温棉（保温效果好）厚度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50mm；外护：SUS304不锈钢板</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1.2mm；仓体加热部分保温厚度：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50mm；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加热板外形尺寸：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L1035×W940×H16mm；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加热板工作温度：常温~120℃；</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单仓加热板数量：13块；</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单仓加热板的容水量：200kg；</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加热板控温精度：±1℃；</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30℃到120℃加热板最大升温速率：2.25℃/min；60℃到30℃加热板最大降温速率：1℃/min。</w:t>
      </w:r>
      <w:r/>
    </w:p>
    <w:p>
      <w:pPr>
        <w:pStyle w:val="1133"/>
        <w:numPr>
          <w:ilvl w:val="0"/>
          <w:numId w:val="44"/>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冷阱</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冷阱布置：后置式冷阱；</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最大捕水量：200kg/h；</w:t>
      </w:r>
      <w:r>
        <w:rPr>
          <w:rFonts w:hint="eastAsia" w:ascii="宋体" w:hAnsi="宋体" w:eastAsia="宋体" w:cs="宋体"/>
          <w:color w:val="auto"/>
          <w:sz w:val="24"/>
          <w:szCs w:val="24"/>
          <w:highlight w:val="none"/>
        </w:rPr>
        <w:t xml:space="preserve">冷阱工作温度：-35℃~-45℃；冷阱换热面积：42m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；冷阱结构形式：管式冷阱；冷阱管材质：铝合金；冷阱管直径与壁厚：Φ25×2.5；</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冷管及供液、回汽集管：焊接后整体打压处理；冷阱上部布置：不锈钢除霜喷淋系统；</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冷阱融霜形式：水冲霜加浸泡；融霜时间：＜40min。</w:t>
      </w:r>
      <w:r/>
    </w:p>
    <w:p>
      <w:pPr>
        <w:pStyle w:val="1133"/>
        <w:numPr>
          <w:ilvl w:val="0"/>
          <w:numId w:val="44"/>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托盘</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每层放置托盘数量：2只；辐射板层数：14层；</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托盘尺寸：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L1035×W940mm；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托盘材质：304不锈钢；壁厚：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1.2mm；</w:t>
      </w:r>
      <w:r>
        <w:rPr>
          <w:rFonts w:hint="eastAsia" w:ascii="宋体" w:hAnsi="宋体" w:eastAsia="宋体" w:cs="宋体"/>
          <w:color w:val="auto"/>
          <w:sz w:val="24"/>
          <w:szCs w:val="24"/>
          <w:highlight w:val="none"/>
        </w:rPr>
        <w:t xml:space="preserve">托盘成型：整体冲压制成；</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托盘数量：每台26个，备用26个，合计52个。</w:t>
      </w:r>
      <w:r/>
    </w:p>
    <w:p>
      <w:pPr>
        <w:pStyle w:val="1133"/>
        <w:numPr>
          <w:ilvl w:val="0"/>
          <w:numId w:val="43"/>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真空系统</w:t>
      </w:r>
      <w:r/>
    </w:p>
    <w:p>
      <w:pPr>
        <w:pStyle w:val="1133"/>
        <w:numPr>
          <w:ilvl w:val="0"/>
          <w:numId w:val="45"/>
        </w:numPr>
        <w:spacing w:line="360" w:lineRule="auto"/>
        <w:tabs>
          <w:tab w:val="left" w:pos="0" w:leader="none"/>
        </w:tabs>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电容真空规</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参考品牌：日本爱发科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rPr>
        <w:t xml:space="preserve">成都睿宝</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rPr>
        <w:t xml:space="preserve">济宁晨阳</w:t>
      </w:r>
      <w:r>
        <w:rPr>
          <w:rFonts w:hint="eastAsia" w:ascii="宋体" w:hAnsi="宋体" w:eastAsia="宋体" w:cs="宋体"/>
          <w:color w:val="auto"/>
          <w:sz w:val="24"/>
          <w:szCs w:val="24"/>
          <w:highlight w:val="none"/>
          <w:lang w:val="en-US"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测量范围：1bar~20mbar；</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使用温度范围：≤40℃；使用电压：220V。</w:t>
      </w:r>
      <w:r/>
    </w:p>
    <w:p>
      <w:pPr>
        <w:pStyle w:val="1133"/>
        <w:numPr>
          <w:ilvl w:val="0"/>
          <w:numId w:val="45"/>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螺杆真空泵</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参考品牌：德国莱宝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上海上真</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鲍斯真空</w:t>
      </w:r>
      <w:r>
        <w:rPr>
          <w:rFonts w:hint="eastAsia" w:ascii="宋体" w:hAnsi="宋体" w:eastAsia="宋体" w:cs="宋体"/>
          <w:color w:val="auto"/>
          <w:sz w:val="24"/>
          <w:szCs w:val="24"/>
          <w:highlight w:val="none"/>
          <w:lang w:val="zh-TW"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额定抽速：</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640m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/h+4400m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/h+1000m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极限压力：≤6Pa；</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电机额定功率：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5.5kW+3kW+3kW+3kW；电机额定转速：</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1800rpm；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100mbar时功耗：7kW；极限压力时的功耗：5.5kW；</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噪声级（ISO2151）：60DB；</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注油量：6kg；</w:t>
      </w:r>
      <w:r>
        <w:rPr>
          <w:rFonts w:hint="eastAsia" w:ascii="宋体" w:hAnsi="宋体" w:eastAsia="宋体" w:cs="宋体"/>
          <w:color w:val="auto"/>
          <w:sz w:val="24"/>
          <w:szCs w:val="24"/>
          <w:highlight w:val="none"/>
        </w:rPr>
        <w:t xml:space="preserve">设备重量：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300kg；</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L1600×W1600×H800mm；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进气口/排气口：100mm/100mm。</w:t>
      </w:r>
      <w:r/>
    </w:p>
    <w:p>
      <w:pPr>
        <w:pStyle w:val="1133"/>
        <w:numPr>
          <w:ilvl w:val="0"/>
          <w:numId w:val="43"/>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加热系统</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冻干过程要求加热系统具有快速加热功率，精确的温度控制能力和较快的升温速率和降温速率；</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加热板必须在短时间内迅速升到最高温度，在冻干初期的等速升华干燥阶段，还要求加热板给物料提供足够多的热量，满足最大升华速率要求；</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在减速升华干燥阶段，要求加热板控温精确，热惯性小；</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在干燥结束时，要求加热板有较大的降温速率；</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加热系统重要性能指标还有加热板温度均匀性，在实际生产运行中，要求加热板对物料加热均匀，这是影响生产率和单位产品综合能耗的重要环节；</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加热板工作温度：最高120℃；</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60℃到100℃加热板最大升温速率：1℃/min；60℃到30℃加热板最大降温速率：1℃/min；加热板控温精度：±1℃；</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加热系统由热媒膨胀罐、电动调节阀、热媒管道泵、加热板及相应的管道阀门等组成，加热系统：压力闭式循环系统；</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使用的热媒：水；加热的热源：电加热管；</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电热管功率：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24kW（分两组一组备用）</w:t>
      </w:r>
      <w:r>
        <w:rPr>
          <w:rFonts w:hint="eastAsia" w:ascii="宋体" w:hAnsi="宋体" w:eastAsia="宋体" w:cs="宋体"/>
          <w:color w:val="auto"/>
          <w:sz w:val="24"/>
          <w:szCs w:val="24"/>
          <w:highlight w:val="none"/>
        </w:rPr>
        <w:t xml:space="preserve">，采用镍铬丝发热丝包用十年。</w:t>
      </w:r>
      <w:r/>
    </w:p>
    <w:p>
      <w:pPr>
        <w:pStyle w:val="1133"/>
        <w:numPr>
          <w:ilvl w:val="0"/>
          <w:numId w:val="43"/>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除霜系统</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在一个干燥周期结束后，将凝结在冷阱冷管上的霜除去；</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以恢复冷阱的捕冰能力，干燥仓采用水喷淋方式，每台仓分别配有除霜阀、排水阀，喷淋管设置在冷阱上；</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为快速除霜和降低辐射板温度，提高生产效率，喷淋和浸泡同时进行。</w:t>
      </w:r>
      <w:r/>
    </w:p>
    <w:p>
      <w:pPr>
        <w:pStyle w:val="1133"/>
        <w:numPr>
          <w:ilvl w:val="0"/>
          <w:numId w:val="43"/>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自动控制系统</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控制系统的功能是对冻干机的各个重要参数进行测量、显示和记录并根据预制的冻干工艺曲线驱动各系统执行元件对冻干过程进行精确控制，对所发生的故障报警且自动实施应急处理；</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由屏式控制柜，测量变送元件和执行单元组成；</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系统用于干燥过程电气设备控制，被控参数的测量、控制、记录、报警和监测；</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可编程智能控制仪表和PLC为核心，监测、控制和管理整个冻干工艺流程，使全套设备的工作达到和谐与统一；</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可编程智能温控仪表可存贮多种食品冻干工艺曲线，根据不同物料可方便地选择相应的冻干曲线；</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一体化报警和故障处理系统可在冻干过程任何阶段对故障状态报警和显示，并准确作出保护动作。</w:t>
      </w:r>
      <w:r/>
    </w:p>
    <w:p>
      <w:pPr>
        <w:pStyle w:val="1133"/>
        <w:numPr>
          <w:ilvl w:val="0"/>
          <w:numId w:val="43"/>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制冷系统阀门、管路等元件</w:t>
      </w:r>
      <w:r/>
    </w:p>
    <w:p>
      <w:pPr>
        <w:pStyle w:val="1133"/>
        <w:numPr>
          <w:ilvl w:val="0"/>
          <w:numId w:val="46"/>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电磁阀</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参考</w:t>
      </w:r>
      <w:r>
        <w:rPr>
          <w:rFonts w:hint="eastAsia" w:ascii="宋体" w:hAnsi="宋体" w:eastAsia="宋体" w:cs="宋体"/>
          <w:color w:val="auto"/>
          <w:sz w:val="24"/>
          <w:szCs w:val="24"/>
          <w:highlight w:val="none"/>
        </w:rPr>
        <w:t xml:space="preserve">品牌：丹佛斯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亚德客</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轩毅</w:t>
      </w:r>
      <w:r>
        <w:rPr>
          <w:rFonts w:hint="eastAsia" w:ascii="宋体" w:hAnsi="宋体" w:eastAsia="宋体" w:cs="宋体"/>
          <w:color w:val="auto"/>
          <w:sz w:val="24"/>
          <w:szCs w:val="24"/>
          <w:highlight w:val="none"/>
          <w:lang w:val="zh-TW"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制冷剂：R717（氨），R22，R134A，R404A，R12，R502等；</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介质温度：-40~+105℃；</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线圈：10W或12W；</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融霜时最高温度：130℃；</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液管和回气管的额定冷量的测定工况：蒸发温度te=-10℃；阀前液体温度：25℃；阀门压差：Δp=0.15bar；</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热气管额定冷量的测定工况：冷凝温度tc=-10℃；阀门压差：Δp=0.8bar；热气温度：65℃；过冷度：Δtsub=4K。</w:t>
      </w:r>
      <w:r/>
    </w:p>
    <w:p>
      <w:pPr>
        <w:pStyle w:val="1133"/>
        <w:numPr>
          <w:ilvl w:val="0"/>
          <w:numId w:val="46"/>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热力膨胀阀</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参考品牌：丹佛斯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深圳英达</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北京银松</w:t>
      </w:r>
      <w:r>
        <w:rPr>
          <w:rFonts w:hint="eastAsia" w:ascii="宋体" w:hAnsi="宋体" w:eastAsia="宋体" w:cs="宋体"/>
          <w:color w:val="auto"/>
          <w:sz w:val="24"/>
          <w:szCs w:val="24"/>
          <w:highlight w:val="none"/>
          <w:lang w:val="zh-TW"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产品特性：双向流通；</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流量：26-38TR；转速：1440rpm；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连接形式：焊接；压力环境：常压；工作温度：常温；流动方向：双向；驱动方式：热力；</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零部件及配件：阀杆；类型（通道位置）：直通式；适用介质：氟利昂；</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规格：067N2167；用途：节流；材质：紫铜。</w:t>
      </w:r>
      <w:r/>
    </w:p>
    <w:p>
      <w:pPr>
        <w:pStyle w:val="1133"/>
        <w:numPr>
          <w:ilvl w:val="0"/>
          <w:numId w:val="46"/>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过滤桶</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参考品牌：派尔克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博茂</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哲翰</w:t>
      </w:r>
      <w:r>
        <w:rPr>
          <w:rFonts w:hint="eastAsia" w:ascii="宋体" w:hAnsi="宋体" w:eastAsia="宋体" w:cs="宋体"/>
          <w:color w:val="auto"/>
          <w:sz w:val="24"/>
          <w:szCs w:val="24"/>
          <w:highlight w:val="none"/>
          <w:lang w:val="zh-TW"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结构类型：封闭式；类型：点滴式；</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适用范围：冷水机组。</w:t>
      </w:r>
      <w:r/>
    </w:p>
    <w:p>
      <w:pPr>
        <w:pStyle w:val="1133"/>
        <w:numPr>
          <w:ilvl w:val="0"/>
          <w:numId w:val="46"/>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铜球阀</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参考品牌：绿园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诚制</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扬威</w:t>
      </w:r>
      <w:r>
        <w:rPr>
          <w:rFonts w:hint="eastAsia" w:ascii="宋体" w:hAnsi="宋体" w:eastAsia="宋体" w:cs="宋体"/>
          <w:color w:val="auto"/>
          <w:sz w:val="24"/>
          <w:szCs w:val="24"/>
          <w:highlight w:val="none"/>
          <w:lang w:val="zh-TW"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适用介质：水、气体、蒸汽等；</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工作压力：PN10~PN64；工作温度：-20℃~200℃；</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接口尺寸：DN25；</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阀体材质：黄铜；球体材质：铜合金；密封圈材质：橡胶或聚四氟乙烯。</w:t>
      </w:r>
      <w:r/>
    </w:p>
    <w:p>
      <w:pPr>
        <w:pStyle w:val="1133"/>
        <w:numPr>
          <w:ilvl w:val="0"/>
          <w:numId w:val="46"/>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钢制焊接阀</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参考品牌：AMG</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国成</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沪冠</w:t>
      </w:r>
      <w:r>
        <w:rPr>
          <w:rFonts w:hint="eastAsia" w:ascii="宋体" w:hAnsi="宋体" w:eastAsia="宋体" w:cs="宋体"/>
          <w:color w:val="auto"/>
          <w:sz w:val="24"/>
          <w:szCs w:val="24"/>
          <w:highlight w:val="none"/>
          <w:lang w:val="zh-TW"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适用温度：-45℃~150℃；</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适用介质：氨/氟等；</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公称压力：2.5MPa；</w:t>
      </w:r>
      <w:r/>
    </w:p>
    <w:p>
      <w:pPr>
        <w:pStyle w:val="1133"/>
        <w:numPr>
          <w:ilvl w:val="0"/>
          <w:numId w:val="34"/>
        </w:numPr>
        <w:ind w:firstLine="482"/>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材质：铸钢；形态：直通；连接方式：焊接。</w:t>
      </w:r>
      <w:r/>
    </w:p>
    <w:p>
      <w:pPr>
        <w:pStyle w:val="1133"/>
        <w:numPr>
          <w:ilvl w:val="0"/>
          <w:numId w:val="46"/>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电子膨胀阀</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参考品牌：卡乐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四通</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新洲</w:t>
      </w:r>
      <w:r>
        <w:rPr>
          <w:rFonts w:hint="eastAsia" w:ascii="宋体" w:hAnsi="宋体" w:eastAsia="宋体" w:cs="宋体"/>
          <w:color w:val="auto"/>
          <w:sz w:val="24"/>
          <w:szCs w:val="24"/>
          <w:highlight w:val="none"/>
          <w:lang w:val="zh-TW"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最大工作压力（MwWP）：45bar（653psi）；最大工作压差（MOPD）：35bar（508psi）；</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工作条件：制冷剂一侧，-40℃~65℃（-40℉~149℉）；安装环境：-30℃~50℃（-22℉～122℉）；</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关闭步数：550步；控制步数：480步。</w:t>
      </w:r>
      <w:r/>
    </w:p>
    <w:p>
      <w:pPr>
        <w:pStyle w:val="1133"/>
        <w:numPr>
          <w:ilvl w:val="0"/>
          <w:numId w:val="43"/>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电气系统</w:t>
      </w:r>
      <w:r/>
    </w:p>
    <w:p>
      <w:pPr>
        <w:pStyle w:val="1133"/>
        <w:numPr>
          <w:ilvl w:val="0"/>
          <w:numId w:val="47"/>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供电电源</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三相~380V，50Hz，电压波动不大于5%；</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电源进户前做重复接地处理，地零分开。</w:t>
      </w:r>
      <w:r/>
    </w:p>
    <w:p>
      <w:pPr>
        <w:pStyle w:val="1133"/>
        <w:numPr>
          <w:ilvl w:val="0"/>
          <w:numId w:val="47"/>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导线选择</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设备选线按照芯线长期工作温度不超过65℃；</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敷设处环境温度不超过40℃，另加5~10%的余量选择。</w:t>
      </w:r>
      <w:r/>
    </w:p>
    <w:p>
      <w:pPr>
        <w:pStyle w:val="1133"/>
        <w:numPr>
          <w:ilvl w:val="0"/>
          <w:numId w:val="47"/>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设备保护</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机组具有电机过载、排气压力高、吸气压力低、油压低、机头过热等保护，可保证系统安全可靠运行。</w:t>
      </w:r>
      <w:r/>
    </w:p>
    <w:p>
      <w:pPr>
        <w:pStyle w:val="1133"/>
        <w:numPr>
          <w:ilvl w:val="0"/>
          <w:numId w:val="47"/>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系统控制</w:t>
      </w:r>
      <w:r/>
    </w:p>
    <w:p>
      <w:pPr>
        <w:pStyle w:val="1133"/>
        <w:numPr>
          <w:ilvl w:val="0"/>
          <w:numId w:val="34"/>
        </w:numPr>
        <w:ind w:firstLine="482"/>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rPr>
        <w:t xml:space="preserve">电控元件：断路器、接触器、热继电器等主要元器件选用参考品牌浙江正泰，</w:t>
      </w:r>
      <w:r>
        <w:rPr>
          <w:rFonts w:hint="eastAsia" w:ascii="宋体" w:hAnsi="宋体" w:eastAsia="宋体" w:cs="宋体"/>
          <w:color w:val="auto"/>
          <w:sz w:val="24"/>
          <w:szCs w:val="24"/>
          <w:highlight w:val="none"/>
          <w:lang w:val="zh-TW" w:eastAsia="zh-TW"/>
        </w:rPr>
        <w:t xml:space="preserve">志远</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格亚</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rPr>
        <w:t xml:space="preserve">PLC</w:t>
      </w:r>
      <w:r>
        <w:rPr>
          <w:rFonts w:hint="eastAsia" w:ascii="宋体" w:hAnsi="宋体" w:eastAsia="宋体" w:cs="宋体"/>
          <w:color w:val="auto"/>
          <w:sz w:val="24"/>
          <w:szCs w:val="24"/>
          <w:highlight w:val="none"/>
          <w:lang w:val="zh-TW" w:eastAsia="zh-TW"/>
        </w:rPr>
        <w:t xml:space="preserve">选用参考品牌日本三菱</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rPr>
        <w:t xml:space="preserve">汇川</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rPr>
        <w:t xml:space="preserve">信捷</w:t>
      </w:r>
      <w:r>
        <w:rPr>
          <w:rFonts w:hint="eastAsia" w:ascii="宋体" w:hAnsi="宋体" w:eastAsia="宋体" w:cs="宋体"/>
          <w:color w:val="auto"/>
          <w:sz w:val="24"/>
          <w:szCs w:val="24"/>
          <w:highlight w:val="none"/>
          <w:lang w:val="zh-TW"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触摸屏：人机交互界面选用参考品牌日本三菱</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西门子</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慧春</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rPr>
        <w:t xml:space="preserve">显示各种机组运行参数，实时监控机组运行状态；</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特点：全中文可视化组态软件，简洁、大方，使用方便灵活，完善的中文在线帮助系统和多媒体教程真正的32位程序，支持多任务、多线程，运行于Win95/98/NT/2000平台，支持数据采集板卡、智能模块、智能仪表、PLC、变频器、网络设备等。</w:t>
      </w:r>
      <w:r/>
    </w:p>
    <w:p>
      <w:pPr>
        <w:pStyle w:val="1133"/>
        <w:numPr>
          <w:ilvl w:val="0"/>
          <w:numId w:val="34"/>
        </w:numPr>
        <w:ind w:firstLine="482"/>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制冷压缩机参考品牌：德国比泽尔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雪鹰</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企鹅</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rPr>
        <w:t xml:space="preserve">功率：23kW；最低温度：零下50℃。</w:t>
      </w:r>
      <w:r/>
    </w:p>
    <w:p>
      <w:pPr>
        <w:pStyle w:val="1133"/>
        <w:numPr>
          <w:ilvl w:val="0"/>
          <w:numId w:val="41"/>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真空冷冻干燥机组（3平）</w:t>
      </w:r>
      <w:r/>
    </w:p>
    <w:p>
      <w:pPr>
        <w:numPr>
          <w:ilvl w:val="0"/>
          <w:numId w:val="48"/>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：1台。</w:t>
      </w:r>
      <w:r/>
    </w:p>
    <w:p>
      <w:pPr>
        <w:numPr>
          <w:ilvl w:val="0"/>
          <w:numId w:val="48"/>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性能特点</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冻干成套设备干燥仓前段仓体（加热部分）采用厚度10mm304不锈钢制成；后端仓体（冷阱部分）采用厚度10mm优质不锈钢制成；加热板连接的金属软管均采用不锈钢制成；</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自动化程度高，加热、真空、气动、除霜系统均为自动控制；</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冷却水系统自动操作，配合自动显示报警功能；</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制冷系统设计：冻干仓冷源采用一对一设计，一仓一套冷源；</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关键设备、关键的控制阀门以及关键的电气控制元件采用国际品牌；</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后仓门可以和前仓门一样打开，方便对冷井检查维修；</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前后仓门均采用医用硅胶密封圈，为达到密封效果前后仓门均为两道密封圈，使用航空插头，保证了探测温度的准确性和真空舱体的密封性；</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加热管选用镍铬丝发热丝，不干烧的情况下包用十年；</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具有远程协助功能；</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具有节能、环保、操作方便、使用安全、维修简单等特点，节省电能比同行业节电30%，节约人员管理费，设备维护便捷。</w:t>
      </w:r>
      <w:r/>
    </w:p>
    <w:p>
      <w:pPr>
        <w:numPr>
          <w:ilvl w:val="0"/>
          <w:numId w:val="48"/>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设备组成与性能参数</w:t>
      </w:r>
      <w:r>
        <w:rPr>
          <w:rFonts w:hint="eastAsia" w:ascii="宋体" w:hAnsi="宋体" w:eastAsia="宋体" w:cs="宋体"/>
          <w:color w:val="auto"/>
          <w:sz w:val="24"/>
          <w:szCs w:val="24"/>
          <w:highlight w:val="none"/>
        </w:rPr>
        <w:t xml:space="preserve">：</w:t>
      </w:r>
      <w:r/>
    </w:p>
    <w:p>
      <w:pPr>
        <w:pStyle w:val="1133"/>
        <w:numPr>
          <w:ilvl w:val="0"/>
          <w:numId w:val="49"/>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冻干成套设备</w:t>
      </w:r>
      <w:r/>
    </w:p>
    <w:p>
      <w:pPr>
        <w:pStyle w:val="1133"/>
        <w:numPr>
          <w:ilvl w:val="0"/>
          <w:numId w:val="50"/>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基本参数</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从1大气压到1Tor的抽空时间（干燥、无负荷）：20~30min；</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单仓静态极限真空度（压强）：15Pa~130Pa；</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单仓冷阱的最大捕水量（以纯冰为实验对象）：10kg/h。</w:t>
      </w:r>
      <w:r/>
    </w:p>
    <w:p>
      <w:pPr>
        <w:pStyle w:val="1133"/>
        <w:numPr>
          <w:ilvl w:val="0"/>
          <w:numId w:val="50"/>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使用条件</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加热板工作温度：常温~100℃；</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干燥仓内的工作压强：10Pa~133Pa。</w:t>
      </w:r>
      <w:r/>
    </w:p>
    <w:p>
      <w:pPr>
        <w:pStyle w:val="1133"/>
        <w:numPr>
          <w:ilvl w:val="0"/>
          <w:numId w:val="50"/>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产量指标</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bookmarkStart w:id="28" w:name="_Hlk157184475"/>
      <w:r>
        <w:rPr>
          <w:rFonts w:hint="eastAsia" w:ascii="宋体" w:hAnsi="宋体" w:eastAsia="宋体" w:cs="宋体"/>
          <w:color w:val="auto"/>
          <w:sz w:val="24"/>
          <w:szCs w:val="24"/>
          <w:highlight w:val="none"/>
        </w:rPr>
        <w:t xml:space="preserve">标准进料能力（理论进料量）：32kg/仓/次</w:t>
      </w:r>
      <w:bookmarkEnd w:id="28"/>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一般干燥时间：12~32h，物料不同时间有差异。</w:t>
      </w:r>
      <w:r/>
    </w:p>
    <w:p>
      <w:pPr>
        <w:pStyle w:val="1133"/>
        <w:numPr>
          <w:ilvl w:val="0"/>
          <w:numId w:val="50"/>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消耗指标</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制冷需求量：单仓最大配用冷源（+35/-40℃）为3kW；单仓最小配用冷源（+35/-40℃）为2.2kW；</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单仓冷阱冲霜水循环量：1m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w:t>
      </w:r>
      <w:r/>
    </w:p>
    <w:p>
      <w:pPr>
        <w:pStyle w:val="1133"/>
        <w:numPr>
          <w:ilvl w:val="0"/>
          <w:numId w:val="50"/>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介质要求</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制冷系统循环用制冷工质（闭式循环）：R507；</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加热系统循环用热媒（闭式循环）：水；</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冷阱的冲霜水（进水温度要求＜40℃，循环使用）：洁净水。</w:t>
      </w:r>
      <w:r/>
    </w:p>
    <w:p>
      <w:pPr>
        <w:pStyle w:val="1133"/>
        <w:numPr>
          <w:ilvl w:val="0"/>
          <w:numId w:val="49"/>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冻干机</w:t>
      </w:r>
      <w:r/>
    </w:p>
    <w:p>
      <w:pPr>
        <w:pStyle w:val="1133"/>
        <w:numPr>
          <w:ilvl w:val="0"/>
          <w:numId w:val="51"/>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筒体及仓门</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外形尺寸：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L2500×W1600×H1900mm；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仓体重量：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300kg；冷阱重量：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40kg；加热板重量：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30kg；</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托盘数量：7个；</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冻干机仓体材质：不锈钢；仓门材质：不锈钢；</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筒体及仓门内直径</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900mm，壁厚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仓体静态漏气率：≤0.025Pa.m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/s。</w:t>
      </w:r>
      <w:r/>
    </w:p>
    <w:p>
      <w:pPr>
        <w:pStyle w:val="1133"/>
        <w:numPr>
          <w:ilvl w:val="0"/>
          <w:numId w:val="51"/>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仓体保温</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保温材质：橡塑保温棉；外护：1.2mmSUS304不锈钢板；</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仓体加热部分保温：50mm。</w:t>
      </w:r>
      <w:r/>
    </w:p>
    <w:p>
      <w:pPr>
        <w:pStyle w:val="1133"/>
        <w:numPr>
          <w:ilvl w:val="0"/>
          <w:numId w:val="51"/>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制冷压缩机</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参考品牌：德国比泽尔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雪鹰</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企鹅</w:t>
      </w:r>
      <w:r>
        <w:rPr>
          <w:rFonts w:hint="eastAsia" w:ascii="宋体" w:hAnsi="宋体" w:eastAsia="宋体" w:cs="宋体"/>
          <w:color w:val="auto"/>
          <w:sz w:val="24"/>
          <w:szCs w:val="24"/>
          <w:highlight w:val="none"/>
          <w:lang w:val="zh-TW"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2.8kW。</w:t>
      </w:r>
      <w:r/>
    </w:p>
    <w:p>
      <w:pPr>
        <w:pStyle w:val="1133"/>
        <w:numPr>
          <w:ilvl w:val="0"/>
          <w:numId w:val="51"/>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加热板</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加热板外形尺寸：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L700×W636×H16mm；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加热板工作温度：常温~100℃；</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单仓加热板数量：7块。</w:t>
      </w:r>
      <w:r/>
    </w:p>
    <w:p>
      <w:pPr>
        <w:pStyle w:val="1133"/>
        <w:numPr>
          <w:ilvl w:val="0"/>
          <w:numId w:val="51"/>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冷阱辐射板</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冷阱布置：后置式冷阱；</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bookmarkStart w:id="29" w:name="_Hlk157184504"/>
      <w:r>
        <w:rPr>
          <w:rFonts w:hint="eastAsia" w:ascii="宋体" w:hAnsi="宋体" w:eastAsia="宋体" w:cs="宋体"/>
          <w:color w:val="auto"/>
          <w:sz w:val="24"/>
          <w:szCs w:val="24"/>
          <w:highlight w:val="none"/>
        </w:rPr>
        <w:t xml:space="preserve">最大捕水量：10kg/h</w:t>
      </w:r>
      <w:bookmarkEnd w:id="29"/>
      <w:r>
        <w:rPr>
          <w:rFonts w:hint="eastAsia" w:ascii="宋体" w:hAnsi="宋体" w:eastAsia="宋体" w:cs="宋体"/>
          <w:color w:val="auto"/>
          <w:sz w:val="24"/>
          <w:szCs w:val="24"/>
          <w:highlight w:val="none"/>
        </w:rPr>
        <w:t xml:space="preserve">（以纯冰为实验对象）；</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冷阱工作温度：-35℃~-45℃；冷阱换热面积：3.2m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；冷阱结构形式：管式冷阱；冷阱管：铝合金（整支管弯曲成型，减少焊接）；</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冷阱管直径与壁厚：φ25×2.5mm壁厚；</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冷管及供液、回汽集管：焊接后整体打压处理；</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辐射板制冷温度-40℃：输送介质冷冻硅油；</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冷冻油输送泵：低温输送+200℃~-200℃；</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输送泵参考品牌：瑞典格兰富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慧尚</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慧鼎</w:t>
      </w:r>
      <w:r>
        <w:rPr>
          <w:rFonts w:hint="eastAsia" w:ascii="宋体" w:hAnsi="宋体" w:eastAsia="宋体" w:cs="宋体"/>
          <w:color w:val="auto"/>
          <w:sz w:val="24"/>
          <w:szCs w:val="24"/>
          <w:highlight w:val="none"/>
          <w:lang w:val="zh-TW" w:eastAsia="zh-CN"/>
        </w:rPr>
        <w:t xml:space="preserve">；</w:t>
      </w:r>
      <w:r/>
    </w:p>
    <w:p>
      <w:pPr>
        <w:pStyle w:val="1133"/>
        <w:numPr>
          <w:ilvl w:val="0"/>
          <w:numId w:val="51"/>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托盘</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每层放置托盘数量：1只；辐射板层数：7层；</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托盘材质：不锈钢；壁厚：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1.5mm；</w:t>
      </w:r>
      <w:r>
        <w:rPr>
          <w:rFonts w:hint="eastAsia" w:ascii="宋体" w:hAnsi="宋体" w:eastAsia="宋体" w:cs="宋体"/>
          <w:color w:val="auto"/>
          <w:sz w:val="24"/>
          <w:szCs w:val="24"/>
          <w:highlight w:val="none"/>
        </w:rPr>
        <w:t xml:space="preserve">托盘成型：整体冲压制成。</w:t>
      </w:r>
      <w:r/>
    </w:p>
    <w:p>
      <w:pPr>
        <w:pStyle w:val="1133"/>
        <w:numPr>
          <w:ilvl w:val="0"/>
          <w:numId w:val="49"/>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真空系统</w:t>
      </w:r>
      <w:r/>
    </w:p>
    <w:p>
      <w:pPr>
        <w:pStyle w:val="1133"/>
        <w:numPr>
          <w:ilvl w:val="0"/>
          <w:numId w:val="52"/>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电容真空规</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参考品牌：德国莱宝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日本爱发科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睿宝</w:t>
      </w:r>
      <w:r>
        <w:rPr>
          <w:rFonts w:hint="eastAsia" w:ascii="宋体" w:hAnsi="宋体" w:eastAsia="宋体" w:cs="宋体"/>
          <w:color w:val="auto"/>
          <w:sz w:val="24"/>
          <w:szCs w:val="24"/>
          <w:highlight w:val="none"/>
          <w:lang w:val="zh-TW"/>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测量范围：1bar~20mbar；</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使用温度范围：≤40℃；使用电压：220V。</w:t>
      </w:r>
      <w:r/>
    </w:p>
    <w:p>
      <w:pPr>
        <w:pStyle w:val="1133"/>
        <w:numPr>
          <w:ilvl w:val="0"/>
          <w:numId w:val="52"/>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真空泵</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参考品牌：德国莱宝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上真</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鲍斯</w:t>
      </w:r>
      <w:r>
        <w:rPr>
          <w:rFonts w:hint="eastAsia" w:ascii="宋体" w:hAnsi="宋体" w:eastAsia="宋体" w:cs="宋体"/>
          <w:color w:val="auto"/>
          <w:sz w:val="24"/>
          <w:szCs w:val="24"/>
          <w:highlight w:val="none"/>
          <w:lang w:val="zh-TW"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额定抽速：</w:t>
      </w:r>
      <w:bookmarkStart w:id="30" w:name="_Hlk157184597"/>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25m³/h</w:t>
      </w:r>
      <w:bookmarkEnd w:id="30"/>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极限压力：0.1hPa（mbar）；</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电机额定功率：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1.8kW；电机额定转速：</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1800rpm；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100mbar时功耗：0.9kWh；极限压力时的功耗：0.6kWh；</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噪声级（ISO2151）：60dB（A）；</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注油量：1L；</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重量（约）：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36kg；尺寸：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L585×W284×H263mm；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进气口/排气口：G1¼"/G1¼"。</w:t>
      </w:r>
      <w:r/>
    </w:p>
    <w:p>
      <w:pPr>
        <w:pStyle w:val="1133"/>
        <w:numPr>
          <w:ilvl w:val="0"/>
          <w:numId w:val="49"/>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加热系统</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冻干过程要求加热系统具有快速加热功率，精确的温度控制能力；</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加热板必须在短时间内迅速升到最高温度，在冻干初期的等速升华干燥阶段，还要求加热板给物料提供足够多的热量，满足最大升华速率要求；在减速升华干燥阶段，要求加热板控温精确；</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加热系统重要性能指标还有加热板温度均匀性，在实际生产运行中，要求加热板对物料加热均匀，这是影响生产率和单位产品综合能耗的重要环节；</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加热板工作温度：常温~120℃；加热板控温精度：±1℃；</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加热板最大升温速率：60℃~100℃，≤40min；加热板最大降温速率：60℃~30℃，≤30min；</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FD加热系统由热媒膨胀罐、电动调节阀、热媒管道泵、加热管及相应的管道阀门等组成；</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加热系统为压力闭式循环系统，使用的热媒为去离子水或蒸馏水，加热的热源为电加热管，冷却的冷源为＜32℃的循环冷却水。</w:t>
      </w:r>
      <w:r/>
    </w:p>
    <w:p>
      <w:pPr>
        <w:pStyle w:val="1133"/>
        <w:numPr>
          <w:ilvl w:val="0"/>
          <w:numId w:val="49"/>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自动控制系统</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控制系统是对冻干机的各个重要参数进行测量、显示和记录并根据冻干工艺曲线驱动各系统执行元件对冻干过程进行精确控制，对所发生的故障报警且自动实施应急处理；</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由屏式控制柜，测量变送元件和执行单元组成，用于干燥过程电气设备控制，被控参数的测量、控制、记录、报警和监测；</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可编程智能控制仪表以PLC为核心，监测、控制和管理整个冻干工艺流程，使全套设备的工作达到和谐与统一；</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可编程智能仪表可存贮多种食品冻干工艺曲线，根据不同物料可方便地选择相应的冻干曲线；</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一体化报警和故障处理系统可在冻干过程任何阶段对故障状态报警和显示，并准确作出保护动作。</w:t>
      </w:r>
      <w:r/>
    </w:p>
    <w:p>
      <w:pPr>
        <w:pStyle w:val="1133"/>
        <w:numPr>
          <w:ilvl w:val="0"/>
          <w:numId w:val="49"/>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制冷系统阀门、管路等元件</w:t>
      </w:r>
      <w:r/>
    </w:p>
    <w:p>
      <w:pPr>
        <w:pStyle w:val="1133"/>
        <w:numPr>
          <w:ilvl w:val="0"/>
          <w:numId w:val="53"/>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电磁阀</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参考品牌：丹佛斯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亚德客</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轩毅</w:t>
      </w:r>
      <w:r>
        <w:rPr>
          <w:rFonts w:hint="eastAsia" w:ascii="宋体" w:hAnsi="宋体" w:eastAsia="宋体" w:cs="宋体"/>
          <w:color w:val="auto"/>
          <w:sz w:val="24"/>
          <w:szCs w:val="24"/>
          <w:highlight w:val="none"/>
          <w:lang w:val="zh-TW"/>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制冷剂：R717（氨），R22，R134A，R404A，R12，R502等；</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介质温度：-40℃~+105℃；</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线圈：10W或12W；</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融霜时：最高130℃；</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液管和回气管的额定冷量的测定工况：蒸发温度te=-10℃；阀前液体温度：25℃；阀门压差：Δp=0.15bar；</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热气管额定冷量的测定工况：冷凝温度tc=-10℃；阀门压差：Δp=0.8bar；热气温度：65℃；过冷度：Δtsub=4K。</w:t>
      </w:r>
      <w:r/>
    </w:p>
    <w:p>
      <w:pPr>
        <w:pStyle w:val="1133"/>
        <w:numPr>
          <w:ilvl w:val="0"/>
          <w:numId w:val="53"/>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热力膨胀阀</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参考品牌：丹佛斯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英达</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银松</w:t>
      </w:r>
      <w:r>
        <w:rPr>
          <w:rFonts w:hint="eastAsia" w:ascii="宋体" w:hAnsi="宋体" w:eastAsia="宋体" w:cs="宋体"/>
          <w:color w:val="auto"/>
          <w:sz w:val="24"/>
          <w:szCs w:val="24"/>
          <w:highlight w:val="none"/>
          <w:lang w:val="zh-TW"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流量：26~38TR；转速：1440rpm；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连接形式：焊接；</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压力环境：常压；工作温度：常温；</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流动方向：双向流通；驱动方式：热力；</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零部件及配件：阀杆；类型（通道位置）：直通式；适用介质：氟利昂；</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规格：067N2167；用途：节流；材质：紫铜。</w:t>
      </w:r>
      <w:r/>
    </w:p>
    <w:p>
      <w:pPr>
        <w:pStyle w:val="1133"/>
        <w:numPr>
          <w:ilvl w:val="0"/>
          <w:numId w:val="53"/>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过滤桶</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参考品牌：派尔克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博茂</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哲翰</w:t>
      </w:r>
      <w:r>
        <w:rPr>
          <w:rFonts w:hint="eastAsia" w:ascii="宋体" w:hAnsi="宋体" w:eastAsia="宋体" w:cs="宋体"/>
          <w:color w:val="auto"/>
          <w:sz w:val="24"/>
          <w:szCs w:val="24"/>
          <w:highlight w:val="none"/>
          <w:lang w:val="zh-TW"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结构类型：封闭式；类型：点滴式；</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适用范围：冷水机组。</w:t>
      </w:r>
      <w:r/>
    </w:p>
    <w:p>
      <w:pPr>
        <w:pStyle w:val="1133"/>
        <w:numPr>
          <w:ilvl w:val="0"/>
          <w:numId w:val="53"/>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铜球阀</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参考品牌：绿园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诚制</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扬威</w:t>
      </w:r>
      <w:r>
        <w:rPr>
          <w:rFonts w:hint="eastAsia" w:ascii="宋体" w:hAnsi="宋体" w:eastAsia="宋体" w:cs="宋体"/>
          <w:color w:val="auto"/>
          <w:sz w:val="24"/>
          <w:szCs w:val="24"/>
          <w:highlight w:val="none"/>
          <w:lang w:val="zh-TW"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适用介质：水、气体、蒸汽等；</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工作压力：PN10-PN64；工作温度：-20℃~200℃；</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接口尺寸：DN25；</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阀体材质：黄铜；球体材质：铜合金；密封圈材质：橡胶或聚四氟乙烯。</w:t>
      </w:r>
      <w:r/>
    </w:p>
    <w:p>
      <w:pPr>
        <w:pStyle w:val="1133"/>
        <w:numPr>
          <w:ilvl w:val="0"/>
          <w:numId w:val="53"/>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钢制焊接阀</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参考品牌：AMG</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国成</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沪冠</w:t>
      </w:r>
      <w:r>
        <w:rPr>
          <w:rFonts w:hint="eastAsia" w:ascii="宋体" w:hAnsi="宋体" w:eastAsia="宋体" w:cs="宋体"/>
          <w:color w:val="auto"/>
          <w:sz w:val="24"/>
          <w:szCs w:val="24"/>
          <w:highlight w:val="none"/>
          <w:lang w:val="zh-TW"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适用温度：-45℃~150℃；适用介质：氨/氟等；</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公称压力：2.5MPa；</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材质：铸钢；形态：直通；连接方式：焊接。</w:t>
      </w:r>
      <w:r/>
    </w:p>
    <w:p>
      <w:pPr>
        <w:pStyle w:val="1133"/>
        <w:numPr>
          <w:ilvl w:val="0"/>
          <w:numId w:val="53"/>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电子膨胀阀</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参考品牌：卡乐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四通</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新洲</w:t>
      </w:r>
      <w:r>
        <w:rPr>
          <w:rFonts w:hint="eastAsia" w:ascii="宋体" w:hAnsi="宋体" w:eastAsia="宋体" w:cs="宋体"/>
          <w:color w:val="auto"/>
          <w:sz w:val="24"/>
          <w:szCs w:val="24"/>
          <w:highlight w:val="none"/>
          <w:lang w:val="zh-TW"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最大工作压力（MwWP）：45bar（653psi）；最大工作压差（MOPD）：35bar（508psi）；</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PED：不适用，组2液体，art.3，par.3；</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工作条件：制冷剂一侧，-40℃~65℃（-40℉~149℉）；安装环境：-30℃~50℃（-22℉~122℉）；</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关闭步数：550步；控制步数：480步。</w:t>
      </w:r>
      <w:r/>
    </w:p>
    <w:p>
      <w:pPr>
        <w:pStyle w:val="1133"/>
        <w:numPr>
          <w:ilvl w:val="0"/>
          <w:numId w:val="49"/>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电气系统</w:t>
      </w:r>
      <w:r/>
    </w:p>
    <w:p>
      <w:pPr>
        <w:pStyle w:val="1133"/>
        <w:numPr>
          <w:ilvl w:val="0"/>
          <w:numId w:val="54"/>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供电电源</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三相~380V，50Hz，电压波动：≤5%；</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电源进户前做重复接地处理，地零分开。</w:t>
      </w:r>
      <w:r/>
    </w:p>
    <w:p>
      <w:pPr>
        <w:pStyle w:val="1133"/>
        <w:numPr>
          <w:ilvl w:val="0"/>
          <w:numId w:val="54"/>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导线选择</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设备选线按照芯线长期工作温度：≤65℃；</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敷设处环境温度：≤40℃，另加5~10%的余量选择。</w:t>
      </w:r>
      <w:r/>
    </w:p>
    <w:p>
      <w:pPr>
        <w:pStyle w:val="1133"/>
        <w:numPr>
          <w:ilvl w:val="0"/>
          <w:numId w:val="54"/>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设备保护</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机组具有电机过载、排气压力高、吸气压力低、油压低、机头过热等保护，可保证系统安全可靠运行。</w:t>
      </w:r>
      <w:r/>
    </w:p>
    <w:p>
      <w:pPr>
        <w:pStyle w:val="1133"/>
        <w:numPr>
          <w:ilvl w:val="0"/>
          <w:numId w:val="54"/>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系统控制</w:t>
      </w:r>
      <w:r/>
    </w:p>
    <w:p>
      <w:pPr>
        <w:pStyle w:val="1133"/>
        <w:numPr>
          <w:ilvl w:val="0"/>
          <w:numId w:val="34"/>
        </w:numPr>
        <w:ind w:firstLine="482"/>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rPr>
        <w:t xml:space="preserve">电控元件：断路器、接触器、热继电器等主要元器件参考品牌浙江正泰，</w:t>
      </w:r>
      <w:r>
        <w:rPr>
          <w:rFonts w:hint="eastAsia" w:ascii="宋体" w:hAnsi="宋体" w:eastAsia="宋体" w:cs="宋体"/>
          <w:color w:val="auto"/>
          <w:sz w:val="24"/>
          <w:szCs w:val="24"/>
          <w:highlight w:val="none"/>
          <w:lang w:val="zh-TW" w:eastAsia="zh-TW"/>
        </w:rPr>
        <w:t xml:space="preserve">志远</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格亚</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rPr>
        <w:t xml:space="preserve">PLC</w:t>
      </w:r>
      <w:r>
        <w:rPr>
          <w:rFonts w:hint="eastAsia" w:ascii="宋体" w:hAnsi="宋体" w:eastAsia="宋体" w:cs="宋体"/>
          <w:color w:val="auto"/>
          <w:sz w:val="24"/>
          <w:szCs w:val="24"/>
          <w:highlight w:val="none"/>
          <w:lang w:val="zh-TW" w:eastAsia="zh-TW"/>
        </w:rPr>
        <w:t xml:space="preserve">参考品牌日本三菱</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汇川</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信捷</w:t>
      </w:r>
      <w:r>
        <w:rPr>
          <w:rFonts w:hint="eastAsia" w:ascii="宋体" w:hAnsi="宋体" w:eastAsia="宋体" w:cs="宋体"/>
          <w:color w:val="auto"/>
          <w:sz w:val="24"/>
          <w:szCs w:val="24"/>
          <w:highlight w:val="none"/>
          <w:lang w:val="zh-TW"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触摸屏：人机交互界面参考品牌为日本三菱、西门子</w:t>
      </w:r>
      <w:r>
        <w:rPr>
          <w:rFonts w:hint="eastAsia" w:ascii="宋体" w:hAnsi="宋体" w:eastAsia="宋体" w:cs="宋体"/>
          <w:color w:val="auto"/>
          <w:sz w:val="24"/>
          <w:szCs w:val="24"/>
          <w:highlight w:val="none"/>
          <w:lang w:eastAsia="zh-CN"/>
        </w:rPr>
        <w:t xml:space="preserve">、松下</w:t>
      </w:r>
      <w:r>
        <w:rPr>
          <w:rFonts w:hint="eastAsia" w:ascii="宋体" w:hAnsi="宋体" w:eastAsia="宋体" w:cs="宋体"/>
          <w:color w:val="auto"/>
          <w:sz w:val="24"/>
          <w:szCs w:val="24"/>
          <w:highlight w:val="none"/>
        </w:rPr>
        <w:t xml:space="preserve">，显示各种机组运行参数，实时监控机组运行状态；</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功能特点：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全中文可视化组态软件，简洁、大方，使用方便灵活，完善的中文在线帮助系统和多媒体教程真正的32位程序，支持多任务、多线程，运行于Win95/98/NT/2000平台，支持数据采集板卡、智能模块、智能仪表、PLC、变频器、网络设备等。</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制冷压缩机参考品牌：德国比泽尔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雪鹰</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企鹅</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rPr>
        <w:t xml:space="preserve">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2.8kW</w:t>
      </w:r>
      <w:r>
        <w:rPr>
          <w:rFonts w:hint="eastAsia" w:ascii="宋体" w:hAnsi="宋体" w:eastAsia="宋体" w:cs="宋体"/>
          <w:color w:val="auto"/>
          <w:sz w:val="24"/>
          <w:szCs w:val="24"/>
          <w:highlight w:val="none"/>
        </w:rPr>
        <w:t xml:space="preserve">；油分离器：R507；最低温度：零下45℃。</w:t>
      </w:r>
      <w:r/>
    </w:p>
    <w:p>
      <w:pPr>
        <w:pStyle w:val="1133"/>
        <w:numPr>
          <w:ilvl w:val="0"/>
          <w:numId w:val="31"/>
        </w:numPr>
        <w:jc w:val="left"/>
        <w:spacing w:line="360" w:lineRule="auto"/>
        <w:tabs>
          <w:tab w:val="left" w:pos="484" w:leader="none"/>
          <w:tab w:val="left" w:pos="55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产品预处理设备</w:t>
      </w:r>
      <w:r/>
    </w:p>
    <w:p>
      <w:pPr>
        <w:pStyle w:val="1133"/>
        <w:numPr>
          <w:ilvl w:val="0"/>
          <w:numId w:val="5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食材冷藏设备</w:t>
      </w:r>
      <w:r/>
    </w:p>
    <w:p>
      <w:pPr>
        <w:numPr>
          <w:ilvl w:val="0"/>
          <w:numId w:val="56"/>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：1台。</w:t>
      </w:r>
      <w:r/>
    </w:p>
    <w:p>
      <w:pPr>
        <w:numPr>
          <w:ilvl w:val="0"/>
          <w:numId w:val="56"/>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性能特点</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带钩锁盒的聚氨酯保温板库板与库板间利用内偏心锁钩锁紧，使库板结合更紧密，密封性更好，安装拆卸方便，冷库可以按照客户意图任意分割，增容或者搬迁；</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蒸发器铝管为铝管铝翅片，重量轻，散热效果好；</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翅片与换热管采用进口专业设备胀接，两者接触紧密，接触热阻小，散热效果高；</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翅片为大尺寸，整体波状，多孔铝片，不仅热效率高，且利于卫生清洗；</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变片距的翅片也为整体翅片式，非常利于气流组织，有效防止部分结霜；</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翅片上开有水槽，利于融霜水垂直滑入水盘，有效防止融霜水四处飞溅；</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密封条采用进口三元乙丙变性橡胶，耐低温抗老化，耐酸碱密封性良好，使用寿命长，五金件不锈钢附件精度高，开启灵活，省力美观大方。</w:t>
      </w:r>
      <w:r/>
    </w:p>
    <w:p>
      <w:pPr>
        <w:numPr>
          <w:ilvl w:val="0"/>
          <w:numId w:val="56"/>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外形尺寸：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L5500×W6500×H3500mm；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制冷压缩机：参考品牌为德国比泽尔，</w:t>
      </w:r>
      <w:r>
        <w:rPr>
          <w:rFonts w:hint="eastAsia" w:ascii="宋体" w:hAnsi="宋体" w:eastAsia="宋体" w:cs="宋体"/>
          <w:color w:val="auto"/>
          <w:sz w:val="24"/>
          <w:szCs w:val="24"/>
          <w:highlight w:val="none"/>
          <w:lang w:val="zh-TW" w:eastAsia="zh-TW"/>
        </w:rPr>
        <w:t xml:space="preserve">雪鹰</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企鹅</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rPr>
        <w:t xml:space="preserve">20匹双级压缩机；</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150mm聚酯胺双面不锈钢板：密度40kg/m³，高阻燃等级；</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最低温度：零下30℃；</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压缩机：水冷式（省电制冷效果好）；</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冻库门防锁死装置（脱险装置），冻库门加热系统（门框内带电加热丝）；</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冷却塔参考品牌：广东凌田电机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华信</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科宇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1.5kW；</w:t>
      </w:r>
      <w:r/>
    </w:p>
    <w:p>
      <w:pPr>
        <w:pStyle w:val="1133"/>
        <w:numPr>
          <w:ilvl w:val="0"/>
          <w:numId w:val="57"/>
        </w:numPr>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rPr>
        <w:t xml:space="preserve">膨胀阀参考品牌：丹佛斯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英达</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银松</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制冷剂参考品牌：巨化；泰创</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华冷</w:t>
      </w:r>
      <w:r>
        <w:rPr>
          <w:rFonts w:hint="eastAsia" w:ascii="宋体" w:hAnsi="宋体" w:eastAsia="宋体" w:cs="宋体"/>
          <w:color w:val="auto"/>
          <w:sz w:val="24"/>
          <w:szCs w:val="24"/>
          <w:highlight w:val="none"/>
          <w:lang w:val="zh-TW"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库门面用厚度为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0.7mm</w:t>
      </w:r>
      <w:r>
        <w:rPr>
          <w:rFonts w:hint="eastAsia" w:ascii="宋体" w:hAnsi="宋体" w:eastAsia="宋体" w:cs="宋体"/>
          <w:color w:val="auto"/>
          <w:sz w:val="24"/>
          <w:szCs w:val="24"/>
          <w:highlight w:val="none"/>
        </w:rPr>
        <w:t xml:space="preserve">的304不锈钢板包裹；</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电控箱材质：不锈钢；</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电器参考品牌：浙江正泰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志远</w:t>
      </w:r>
      <w:r>
        <w:rPr>
          <w:rFonts w:hint="eastAsia" w:ascii="宋体" w:hAnsi="宋体" w:eastAsia="宋体" w:cs="宋体"/>
          <w:color w:val="auto"/>
          <w:sz w:val="24"/>
          <w:szCs w:val="24"/>
          <w:highlight w:val="none"/>
          <w:lang w:val="zh-TW"/>
        </w:rPr>
        <w:t xml:space="preserve">；</w:t>
      </w:r>
      <w:r>
        <w:rPr>
          <w:rFonts w:hint="eastAsia" w:ascii="宋体" w:hAnsi="宋体" w:eastAsia="宋体" w:cs="宋体"/>
          <w:color w:val="auto"/>
          <w:sz w:val="24"/>
          <w:szCs w:val="24"/>
          <w:highlight w:val="none"/>
          <w:lang w:val="zh-TW" w:eastAsia="zh-TW"/>
        </w:rPr>
        <w:t xml:space="preserve">格亚</w:t>
      </w:r>
      <w:r>
        <w:rPr>
          <w:rFonts w:hint="eastAsia" w:ascii="宋体" w:hAnsi="宋体" w:eastAsia="宋体" w:cs="宋体"/>
          <w:color w:val="auto"/>
          <w:sz w:val="24"/>
          <w:szCs w:val="24"/>
          <w:highlight w:val="none"/>
          <w:lang w:val="zh-TW"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双面聚氨酯夹芯板保温板厚度：150mm；两侧单板厚度：双面钢板均为0.5mm厚；连接形式：钩锁盒连接；发泡密度：≥42kg/m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；吸水率：≤4%；导热系数：&lt;0.024W/m.℃；抗压强度：≥0.16MPa；抗弯强度：≥0.245MPa；离火自熄时间：≤3s。</w:t>
      </w:r>
      <w:r/>
    </w:p>
    <w:p>
      <w:pPr>
        <w:pStyle w:val="1133"/>
        <w:numPr>
          <w:ilvl w:val="0"/>
          <w:numId w:val="5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洗米机</w:t>
      </w:r>
      <w:r/>
    </w:p>
    <w:p>
      <w:pPr>
        <w:numPr>
          <w:ilvl w:val="0"/>
          <w:numId w:val="58"/>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：2台。</w:t>
      </w:r>
      <w:r/>
    </w:p>
    <w:p>
      <w:pPr>
        <w:numPr>
          <w:ilvl w:val="0"/>
          <w:numId w:val="58"/>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淘洗能力：</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500kg/h；</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工作水压：0.23~0.28MPa；排石水压：0.08~0.10MPa；</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排石管直径：≥11mm；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耗水量：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0.00653m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/kg；</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外形尺寸：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L1100×W1000×H820mm；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电机功率：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1.5kW；</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机器重量：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88kg。</w:t>
      </w:r>
      <w:r/>
    </w:p>
    <w:p>
      <w:pPr>
        <w:pStyle w:val="1133"/>
        <w:numPr>
          <w:ilvl w:val="0"/>
          <w:numId w:val="5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斩切设备</w:t>
      </w:r>
      <w:r/>
    </w:p>
    <w:p>
      <w:pPr>
        <w:numPr>
          <w:ilvl w:val="0"/>
          <w:numId w:val="59"/>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：4台。</w:t>
      </w:r>
      <w:r/>
    </w:p>
    <w:p>
      <w:pPr>
        <w:numPr>
          <w:ilvl w:val="0"/>
          <w:numId w:val="59"/>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性能特点</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适用于多种肉类、水果、脱水蔬菜、速冻蔬菜加工厂及食品酱菜行业，将各种根茎类蔬菜切成正方体及长方体形状；</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采用复合刀具，一次成型，形状较规则，切面光滑；</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原理：本机拨盘带动被切物体高速旋转，利用物体离心力，借助立刀将被切物体切成片状，然后经过圆盘切丝刀切成条状，并将被切物料送入横切断刀口，由横切断刀切成所需要的立方体或长方体，切割规格可定做；</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304不锈钢机身，大入料口设计，操作保养简单，内部维护空间大；</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刀具可调节，上下刀间距可根据物料要求调节，避免死角。</w:t>
      </w:r>
      <w:r/>
    </w:p>
    <w:p>
      <w:pPr>
        <w:numPr>
          <w:ilvl w:val="0"/>
          <w:numId w:val="59"/>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效率：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800~1000kg/h；电机功率：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0.75kW；</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外形尺寸：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L560×W600×H1310mm；净重：</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85kg；</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切丁规格：可选择4/5/8/10/12/15/20mm。</w:t>
      </w:r>
      <w:r/>
    </w:p>
    <w:p>
      <w:pPr>
        <w:pStyle w:val="1133"/>
        <w:numPr>
          <w:ilvl w:val="0"/>
          <w:numId w:val="5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混合机</w:t>
      </w:r>
      <w:r/>
    </w:p>
    <w:p>
      <w:pPr>
        <w:numPr>
          <w:ilvl w:val="0"/>
          <w:numId w:val="60"/>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：1套。</w:t>
      </w:r>
      <w:r/>
    </w:p>
    <w:p>
      <w:pPr>
        <w:numPr>
          <w:ilvl w:val="0"/>
          <w:numId w:val="60"/>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设备组成与性能特点</w:t>
      </w:r>
      <w:r>
        <w:rPr>
          <w:rFonts w:hint="eastAsia" w:ascii="宋体" w:hAnsi="宋体" w:eastAsia="宋体" w:cs="宋体"/>
          <w:color w:val="auto"/>
          <w:sz w:val="24"/>
          <w:szCs w:val="24"/>
          <w:highlight w:val="none"/>
        </w:rPr>
        <w:t xml:space="preserve">：</w:t>
      </w:r>
      <w:r/>
    </w:p>
    <w:p>
      <w:pPr>
        <w:pStyle w:val="1133"/>
        <w:numPr>
          <w:ilvl w:val="0"/>
          <w:numId w:val="61"/>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漂烫杀青机</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采用食品级SUS304不锈钢制作，长期使用不上锈、不腐蚀，使用寿命长，且不易变形；</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工作时全程自动输送，可连续进料出料，链条两侧都配有防护装置，以防止物料被链条卷入造成物料损伤；</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设计合理的张紧装置，可有效地调整输送带的松紧程度，防止输送带的松弛和跑偏；</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蒸煮漂烫时间、温度可自由调节，设置控制；</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输送为变频调速，变频器可以更好的保护电机，可以更加准确的控制漂烫时间；</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水槽底部采用一字倾斜无缝焊接，水槽底部一侧到另一侧有6cm坡度，大口径排水口，有利于设备排污、排水彻底；</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入料口设有水流推进装置，防止入料口存料；</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出料刮板采用颗粒板，产品不易粘在上面，跟着输送带循环到水池；</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加热管12kW×5组，总功率60kW，分档可单独控制每组电热管的开关，电热管材质为304不锈钢无缝管，发热丝为镍铬丝，使用寿命长，电热管包用十年；</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整机设计为独立内胆结构，外形框架焊接而成，结实耐用，增加设备使用寿命；</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内胆结构的优点首先便于清洗，每班生产结束后可以通过内胆与架体的空隙，将高压水枪深入到水槽底部，保证设备的清洁度，其次输送带不受框架限制，如有较严重的碰撞受损，也不影响输送带的输送；</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采用优质温度传感器，当槽体内的温度到达设定数据以后，设备会自动停止加热，当温度低于设定温度以后，自动进行升温加热；</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配有循环水泵让蒸煮漂烫池内的水流动起来，以保证池内用水温度的均匀。水泵采用广东粤华不锈钢泵头水泵，经久耐用；</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整体设计保温盖子，避免使用过程中浪费能源，槽体有50mm保温层以减少热量的损失，上端设有蒸汽出口，使用过程中有效排除多余的水蒸气，避免污染产品；</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底端配有地角，可调节地角高度使设备与地面保持平稳；</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减速电机、水泵均设有防水罩，防止水进入，影响设备正常运转；</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设备提升出料端设有接水盘，物料带出的水分落入接水盘流进水池利用，既节约了用水，而且防止水落到地面上，影响工作环境，同时设有出料收口，可以更好的将物料聚拢，输送至下一工序。</w:t>
      </w:r>
      <w:r/>
    </w:p>
    <w:p>
      <w:pPr>
        <w:pStyle w:val="1133"/>
        <w:numPr>
          <w:ilvl w:val="0"/>
          <w:numId w:val="61"/>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冷却机</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用于物料漂烫后迅速降温冷却，以中断热效力，防止物料软化变黑；</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采用食品级SUS304不锈钢制作，长期使用不上锈、不腐蚀；</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工作时全程自动输送，可连续进料出料，链条两侧都配有防护装置，以防止物料被链条卷入造成物料损伤；</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冷却时间可自由调节，设置控制，输送为变频调速，变频器可以更好的保护电机，可以更加准确的控制冷却时间；</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设计合理的张紧装置，可有效地调整输送带的松紧程度，防止输送带的松弛和跑偏；</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配有气泡冲浪系统设计，使冷却池内的水翻滚起来形成活水，加速了冷却速度，提高了冷却效果，还起到了一定的清洗作用；</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水槽底部采用一字倾斜无缝焊接，水槽底部一侧到另一侧有6cm坡度，大口径排水口，有利于设备排污、排水彻底；</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整机设计为独立内胆结构，外形框架焊接而成，结实耐用，增加设备使用寿命；</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内胆结构的优点首先便于清洗，每班生产结束后可以通过内胆与架体的空隙，将高压水枪深入到水槽底部，保证设备的清洁度，其次输送带不受框架限制，如有较严重的碰撞受损，也不影响输送带的输送；</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设有可调节溢流口，水槽水位可调节；</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底端配有地角，可调节地角高度使设备与地面保持平稳；</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减速电机设有防水罩，防止水进入，影响设备正常运转。</w:t>
      </w:r>
      <w:r/>
    </w:p>
    <w:p>
      <w:pPr>
        <w:pStyle w:val="1133"/>
        <w:numPr>
          <w:ilvl w:val="0"/>
          <w:numId w:val="61"/>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翻转式热风风干机</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共4排风机，对物料起到风干除水的作用，每一排风机有一个控制按钮，可根据需求开、关风机数量；</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产品在风吹过程中可以翻转，从而可以吹到产品背面的水。</w:t>
      </w:r>
      <w:r/>
    </w:p>
    <w:p>
      <w:pPr>
        <w:numPr>
          <w:ilvl w:val="0"/>
          <w:numId w:val="60"/>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62"/>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漂烫杀青机</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L3000×W1050×H1100mm；输送带宽：</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800mm；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500kg；</w:t>
      </w:r>
      <w:r>
        <w:rPr>
          <w:rFonts w:hint="eastAsia" w:ascii="宋体" w:hAnsi="宋体" w:eastAsia="宋体" w:cs="宋体"/>
          <w:color w:val="auto"/>
          <w:sz w:val="24"/>
          <w:szCs w:val="24"/>
          <w:highlight w:val="none"/>
        </w:rPr>
        <w:t xml:space="preserve">材质：304不锈钢链板；</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加热方式：电加热；</w:t>
      </w:r>
      <w:r/>
    </w:p>
    <w:p>
      <w:pPr>
        <w:pStyle w:val="1133"/>
        <w:numPr>
          <w:ilvl w:val="0"/>
          <w:numId w:val="62"/>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冷却机</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外形尺寸：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L5000×W1050×H1200mm；输送带宽：</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800mm；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架体：</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60×40×2mm不锈钢方管制作；箱体：</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2mmSUS304不锈钢板制作；导轨：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40×40×3mmSUS304不锈钢角钢制作；</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输送带材质：304不锈钢链板；输送带宽度：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800mm；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主动力源配用山东至邦减速电机一台</w:t>
      </w:r>
      <w:r>
        <w:rPr>
          <w:rFonts w:hint="eastAsia" w:ascii="宋体" w:hAnsi="宋体" w:eastAsia="宋体" w:cs="宋体"/>
          <w:color w:val="auto"/>
          <w:sz w:val="24"/>
          <w:szCs w:val="24"/>
          <w:highlight w:val="none"/>
        </w:rPr>
        <w:t xml:space="preserve">，功率：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1.5kW；输入转速：</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80rpm；减速比：</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60；</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高压气泵参考品牌：上海德凌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格之凌</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全风</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rPr>
        <w:t xml:space="preserve">数量：1台；电压：380V；</w:t>
      </w:r>
      <w:r>
        <w:rPr>
          <w:rFonts w:hint="eastAsia" w:ascii="宋体" w:hAnsi="宋体" w:eastAsia="宋体" w:cs="宋体"/>
          <w:color w:val="auto"/>
          <w:sz w:val="24"/>
          <w:szCs w:val="24"/>
          <w:highlight w:val="none"/>
        </w:rPr>
        <w:t xml:space="preserve">转速：</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2800rpm；</w:t>
      </w:r>
      <w:r>
        <w:rPr>
          <w:rFonts w:hint="eastAsia" w:ascii="宋体" w:hAnsi="宋体" w:eastAsia="宋体" w:cs="宋体"/>
          <w:color w:val="auto"/>
          <w:sz w:val="24"/>
          <w:szCs w:val="24"/>
          <w:highlight w:val="none"/>
        </w:rPr>
        <w:t xml:space="preserve">电流：1.2A；绝缘等级：B；功率：0.55kW；</w:t>
      </w:r>
      <w:r>
        <w:rPr>
          <w:rFonts w:hint="eastAsia" w:ascii="宋体" w:hAnsi="宋体" w:eastAsia="宋体" w:cs="宋体"/>
          <w:color w:val="auto"/>
          <w:sz w:val="24"/>
          <w:szCs w:val="24"/>
          <w:highlight w:val="none"/>
        </w:rPr>
        <w:t xml:space="preserve">最大流量：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105m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12.5kg；</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变频器参考品牌：深圳金钟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奥卓</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汇川</w:t>
      </w:r>
      <w:r>
        <w:rPr>
          <w:rFonts w:hint="eastAsia" w:ascii="宋体" w:hAnsi="宋体" w:eastAsia="宋体" w:cs="宋体"/>
          <w:color w:val="auto"/>
          <w:sz w:val="24"/>
          <w:szCs w:val="24"/>
          <w:highlight w:val="none"/>
        </w:rPr>
        <w:t xml:space="preserve">；数量：1台；</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电器元件参考品牌：浙江正泰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志远</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格亚</w:t>
      </w:r>
      <w:r>
        <w:rPr>
          <w:rFonts w:hint="eastAsia" w:ascii="宋体" w:hAnsi="宋体" w:eastAsia="宋体" w:cs="宋体"/>
          <w:color w:val="auto"/>
          <w:sz w:val="24"/>
          <w:szCs w:val="24"/>
          <w:highlight w:val="none"/>
          <w:lang w:val="zh-TW"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650kg</w:t>
      </w:r>
      <w:r>
        <w:rPr>
          <w:rFonts w:hint="eastAsia" w:ascii="宋体" w:hAnsi="宋体" w:eastAsia="宋体" w:cs="宋体"/>
          <w:color w:val="auto"/>
          <w:sz w:val="24"/>
          <w:szCs w:val="24"/>
          <w:highlight w:val="none"/>
        </w:rPr>
        <w:t xml:space="preserve">。</w:t>
      </w:r>
      <w:r/>
    </w:p>
    <w:p>
      <w:pPr>
        <w:pStyle w:val="1133"/>
        <w:numPr>
          <w:ilvl w:val="0"/>
          <w:numId w:val="62"/>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翻转式热风风干机</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风机功率：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0.55kW×8台=4.4kW；</w:t>
      </w:r>
      <w:r>
        <w:rPr>
          <w:rFonts w:hint="eastAsia" w:ascii="宋体" w:hAnsi="宋体" w:eastAsia="宋体" w:cs="宋体"/>
          <w:color w:val="auto"/>
          <w:sz w:val="24"/>
          <w:szCs w:val="24"/>
          <w:highlight w:val="none"/>
        </w:rPr>
        <w:t xml:space="preserve">风干方式：双通道双风吹；</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网带宽度：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1000mm，网带前进速度可以调节；</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304不锈钢方管架体规格：</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60×40mm；方管厚度：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箱体：</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2mmSUS304不锈钢板制作；</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304不锈钢方管导轨规格：</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40×40mm；方管厚度：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输送带材质：304不锈钢链板；宽度：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1000mm；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主动力源配用减速电机参考品牌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山东至邦，</w:t>
      </w:r>
      <w:r>
        <w:rPr>
          <w:rFonts w:hint="eastAsia" w:ascii="宋体" w:hAnsi="宋体" w:eastAsia="宋体" w:cs="宋体"/>
          <w:color w:val="auto"/>
          <w:sz w:val="24"/>
          <w:szCs w:val="24"/>
          <w:highlight w:val="none"/>
          <w:lang w:val="zh-TW" w:eastAsia="zh-TW"/>
        </w:rPr>
        <w:t xml:space="preserve">杰牌</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利宇</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rPr>
        <w:t xml:space="preserve">数量1台；功率：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1.5kW；输入转速：</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80rpm；减速比：</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60；</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400kg。</w:t>
      </w:r>
      <w:r/>
    </w:p>
    <w:p>
      <w:pPr>
        <w:pStyle w:val="1133"/>
        <w:numPr>
          <w:ilvl w:val="0"/>
          <w:numId w:val="5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提升机</w:t>
      </w:r>
      <w:r/>
    </w:p>
    <w:p>
      <w:pPr>
        <w:numPr>
          <w:ilvl w:val="0"/>
          <w:numId w:val="63"/>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：1台。</w:t>
      </w:r>
      <w:r/>
    </w:p>
    <w:p>
      <w:pPr>
        <w:numPr>
          <w:ilvl w:val="0"/>
          <w:numId w:val="63"/>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操作步骤</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将水箱内清洗干净，加满水；主槽体内注入清水至溢水口有水溢出；</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启动输送网带电机，使网带正常运行，方向正确；</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启动旋涡泵，随着压缩气的吹动，水体翻腾，进行对物料的清洗；</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开启喷淋管阀门，使水均匀的喷淋在网带上；</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检查各运转部位，确定正常运行后即可工作。</w:t>
      </w:r>
      <w:r/>
    </w:p>
    <w:p>
      <w:pPr>
        <w:numPr>
          <w:ilvl w:val="0"/>
          <w:numId w:val="63"/>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工作原理</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料落入水中，利用槽体中翻腾的水将物料搅动清洗，物料上带有的泥沙等污物脱离后落入沉淀区，物料在水的推动下逐渐移动到输送网带上，被提升出内槽体，再经过喷淋清洗，将物料二次洗净，进入下面的工序；</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清洗下来的漂洗物，经过滤网拦截；</w:t>
      </w:r>
      <w:r/>
    </w:p>
    <w:p>
      <w:pPr>
        <w:pStyle w:val="1133"/>
        <w:numPr>
          <w:ilvl w:val="0"/>
          <w:numId w:val="34"/>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工作过程中，喷淋水管始终供水，使水箱内的污水逐步被替换。</w:t>
      </w:r>
      <w:r/>
    </w:p>
    <w:p>
      <w:pPr>
        <w:numPr>
          <w:ilvl w:val="0"/>
          <w:numId w:val="63"/>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设备优势</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气泡冲浪和喷淋清洗同时进行，对物料进行全方位清洗；</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整机304食品级不锈钢；</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风机配有相序保护装置，对风机起到很大的保护作用，网带前进速度可调节快慢，排渣：水箱底部设排水口。</w:t>
      </w:r>
      <w:r/>
    </w:p>
    <w:p>
      <w:pPr>
        <w:numPr>
          <w:ilvl w:val="0"/>
          <w:numId w:val="63"/>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性能特点</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采用食品级SUS304不锈钢制作，长期使用不上锈、不腐蚀；</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工作时全程自动输送，可连续进料出料，链条两侧都配有防护装置，以防止物料被链条卷入造成物料损伤；</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水槽底部采用一字倾斜无缝焊接，水槽底部一侧到另一侧有6cm坡度，大口径排水口，有利于设备排污、排水彻底；</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采用循环过滤水功能，清洗后的水经过循环过滤水箱，过滤掉杂质，通过循环水泵重新注入清洗池内，实现水的循环再利用；</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设计合理的张紧装置，可有效地调整输送带的松紧程度，防止输送带的松弛和跑偏；</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整机设计为独立内胆结构，外形框架焊接而成，结实耐用，增加设备使用寿命；</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内胆结构的优点首先便于清洗，每班生产结束后可以通过内胆与架体的空隙，将高压水枪深入到水槽底部，保证设备的清洁度；其次输送带不受框架限制，如有较严重的碰撞受损，也不影响输送带的输送；</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水槽上部设有喷淋管道和喷头，通过高压水泵进行循环喷淋，同时对物料进行二次清洗，有助于物料翻滚，防止物料一个角度漂浮；</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设有可调节溢流口，水槽水位可调节，往上水位高，往下水位低；</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提升出料处设有二次净水喷淋装置，（此处连接的干净的水）确保物料清洗彻底。</w:t>
      </w:r>
      <w:r/>
    </w:p>
    <w:p>
      <w:pPr>
        <w:numPr>
          <w:ilvl w:val="0"/>
          <w:numId w:val="63"/>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结构：由槽体、内槽体、气泡发生装置、输送网带等主要部分组成；</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外形尺寸：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L2500×W900×H1200mm；</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高压喷淋：漩涡气泵，</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0.75kW一台</w:t>
      </w:r>
      <w:r>
        <w:rPr>
          <w:rFonts w:hint="eastAsia" w:ascii="宋体" w:hAnsi="宋体" w:eastAsia="宋体" w:cs="宋体"/>
          <w:color w:val="auto"/>
          <w:sz w:val="24"/>
          <w:szCs w:val="24"/>
          <w:highlight w:val="none"/>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调速网带电机：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1.5kW；</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水槽板：</w:t>
      </w:r>
      <w:r>
        <w:rPr>
          <w:rFonts w:hint="eastAsia" w:ascii="宋体" w:hAnsi="宋体" w:eastAsia="宋体" w:cs="宋体"/>
          <w:color w:val="auto"/>
          <w:sz w:val="24"/>
          <w:szCs w:val="24"/>
          <w:highlight w:val="none"/>
        </w:rPr>
        <w:t xml:space="preserve">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2mm，</w:t>
      </w:r>
      <w:r>
        <w:rPr>
          <w:rFonts w:hint="eastAsia" w:ascii="宋体" w:hAnsi="宋体" w:eastAsia="宋体" w:cs="宋体"/>
          <w:color w:val="auto"/>
          <w:sz w:val="24"/>
          <w:szCs w:val="24"/>
          <w:highlight w:val="none"/>
        </w:rPr>
        <w:t xml:space="preserve">全不锈钢制作，精细成熟可靠；</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槽体：</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60mm×40mm×3mm</w:t>
      </w:r>
      <w:r>
        <w:rPr>
          <w:rFonts w:hint="eastAsia" w:ascii="宋体" w:hAnsi="宋体" w:eastAsia="宋体" w:cs="宋体"/>
          <w:color w:val="auto"/>
          <w:sz w:val="24"/>
          <w:szCs w:val="24"/>
          <w:highlight w:val="none"/>
        </w:rPr>
        <w:t xml:space="preserve">不锈钢方管；</w:t>
      </w:r>
      <w:r>
        <w:rPr>
          <w:rFonts w:hint="eastAsia" w:ascii="宋体" w:hAnsi="宋体" w:eastAsia="宋体" w:cs="宋体"/>
          <w:color w:val="auto"/>
          <w:sz w:val="24"/>
          <w:szCs w:val="24"/>
          <w:highlight w:val="none"/>
        </w:rPr>
        <w:t xml:space="preserve">304不锈钢网带宽度：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700mm；</w:t>
      </w:r>
      <w:r/>
    </w:p>
    <w:p>
      <w:pPr>
        <w:pStyle w:val="1133"/>
        <w:numPr>
          <w:ilvl w:val="0"/>
          <w:numId w:val="34"/>
        </w:numPr>
        <w:ind w:firstLine="482"/>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rPr>
        <w:t xml:space="preserve">旋涡气泵参考品牌：浙江瑞凌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TW" w:eastAsia="zh-TW"/>
        </w:rPr>
        <w:t xml:space="preserve">全风</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格之凌</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减速机参考品牌：青岛红星</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杰牌</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利宇</w:t>
      </w:r>
      <w:r>
        <w:rPr>
          <w:rFonts w:hint="eastAsia" w:ascii="宋体" w:hAnsi="宋体" w:eastAsia="宋体" w:cs="宋体"/>
          <w:color w:val="auto"/>
          <w:sz w:val="24"/>
          <w:szCs w:val="24"/>
          <w:highlight w:val="none"/>
          <w:lang w:val="zh-TW" w:eastAsia="zh-CN"/>
        </w:rPr>
        <w:t xml:space="preserve">；</w:t>
      </w:r>
      <w:r/>
    </w:p>
    <w:p>
      <w:pPr>
        <w:pStyle w:val="1133"/>
        <w:numPr>
          <w:ilvl w:val="0"/>
          <w:numId w:val="3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设备重量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450kg。</w:t>
      </w:r>
      <w:r/>
    </w:p>
    <w:p>
      <w:pPr>
        <w:pStyle w:val="1133"/>
        <w:numPr>
          <w:ilvl w:val="0"/>
          <w:numId w:val="5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行星搅拌炒锅（配盖）</w:t>
      </w:r>
      <w:r/>
    </w:p>
    <w:p>
      <w:pPr>
        <w:numPr>
          <w:ilvl w:val="0"/>
          <w:numId w:val="64"/>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：4台。</w:t>
      </w:r>
      <w:r/>
    </w:p>
    <w:p>
      <w:pPr>
        <w:numPr>
          <w:ilvl w:val="0"/>
          <w:numId w:val="64"/>
        </w:numPr>
        <w:ind w:hanging="482"/>
        <w:spacing w:line="360" w:lineRule="auto"/>
        <w:rPr>
          <w:rFonts w:hint="eastAsia" w:ascii="宋体" w:hAnsi="宋体" w:eastAsia="宋体" w:cs="宋体"/>
          <w:b/>
          <w:color w:val="auto"/>
          <w:sz w:val="24"/>
          <w:szCs w:val="24"/>
          <w:highlight w:val="none"/>
        </w:rPr>
        <w:outlineLvl w:val="3"/>
      </w:pPr>
      <w:r/>
      <w:bookmarkStart w:id="31" w:name="_Hlk153719459"/>
      <w:r>
        <w:rPr>
          <w:rFonts w:hint="eastAsia" w:ascii="宋体" w:hAnsi="宋体" w:eastAsia="宋体" w:cs="宋体"/>
          <w:b/>
          <w:color w:val="auto"/>
          <w:sz w:val="24"/>
          <w:szCs w:val="24"/>
          <w:highlight w:val="none"/>
        </w:rPr>
        <w:t xml:space="preserve">性能特点</w:t>
      </w:r>
      <w:r>
        <w:rPr>
          <w:rFonts w:hint="eastAsia" w:ascii="宋体" w:hAnsi="宋体" w:eastAsia="宋体" w:cs="宋体"/>
          <w:color w:val="auto"/>
          <w:sz w:val="24"/>
          <w:szCs w:val="24"/>
          <w:highlight w:val="none"/>
        </w:rPr>
        <w:t xml:space="preserve">：</w:t>
      </w:r>
      <w:bookmarkEnd w:id="31"/>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搅拌配变频器：根据使用情况可随意调节搅拌速度；</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用最细密的硅酸铝作为保温层，防止烫伤工作人员，同时也起到了防止热量散失，节能的作用；</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行星搅拌形式：整锅无死角刮底搅拌，对于粥类和酱类产品更适合，不会出现糊锅现象；</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配备锅盖可以阻止蒸汽挥发，从而蒸汽产生的水会流到锅里（不让蒸汽留到地上保持工作环境卫生）；</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采用精确温控仪，精确度达到±0.1度；</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可以根据用户实际需求定制，比如锅底可以开一个圆形出料口，管道出口由阀门控制粥从阀门直接淌到冻干磨具内，或者有其他需求都可以定制；</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搅拌刮板材质为食品级四氟板，可以耐1000度高温。</w:t>
      </w:r>
      <w:r/>
    </w:p>
    <w:p>
      <w:pPr>
        <w:numPr>
          <w:ilvl w:val="0"/>
          <w:numId w:val="64"/>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27kW，分三组电热管分档控制，根据物料的加热需要，开一组或者两组或者全开（柔性加热方式）；</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L1680×W1200×H1600mm；锅体尺寸：直径</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1000mm，深度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640mm；内锅胆厚度：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4mm；外锅胆厚度：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4mm；外保温板厚度：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1.5mm；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材质：整机食品级304不锈钢。</w:t>
      </w:r>
      <w:r/>
    </w:p>
    <w:p>
      <w:pPr>
        <w:pStyle w:val="1133"/>
        <w:numPr>
          <w:ilvl w:val="0"/>
          <w:numId w:val="31"/>
        </w:numPr>
        <w:jc w:val="left"/>
        <w:spacing w:line="360" w:lineRule="auto"/>
        <w:tabs>
          <w:tab w:val="left" w:pos="484" w:leader="none"/>
          <w:tab w:val="left" w:pos="55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产品包装设备</w:t>
      </w:r>
      <w:r/>
    </w:p>
    <w:p>
      <w:pPr>
        <w:pStyle w:val="1133"/>
        <w:numPr>
          <w:ilvl w:val="0"/>
          <w:numId w:val="6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全自动放料机</w:t>
      </w:r>
      <w:r/>
    </w:p>
    <w:p>
      <w:pPr>
        <w:numPr>
          <w:ilvl w:val="0"/>
          <w:numId w:val="66"/>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：3台。</w:t>
      </w:r>
      <w:r/>
    </w:p>
    <w:p>
      <w:pPr>
        <w:numPr>
          <w:ilvl w:val="0"/>
          <w:numId w:val="66"/>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性能特点</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该放料机是一种全自动定量热封装设备，该机主要特点是在纸杯底部自动定量放入物料，盖上滤纸通过热封装热封，工作时无噪音，稳定可靠，目前该机是国内外最新设备。</w:t>
      </w:r>
      <w:r/>
    </w:p>
    <w:p>
      <w:pPr>
        <w:numPr>
          <w:ilvl w:val="0"/>
          <w:numId w:val="66"/>
        </w:numPr>
        <w:ind w:hanging="482"/>
        <w:spacing w:line="360" w:lineRule="auto"/>
        <w:rPr>
          <w:rFonts w:hint="eastAsia" w:ascii="宋体" w:hAnsi="宋体" w:eastAsia="宋体" w:cs="宋体"/>
          <w:b/>
          <w:color w:val="auto"/>
          <w:sz w:val="24"/>
          <w:szCs w:val="24"/>
          <w:highlight w:val="none"/>
        </w:rPr>
        <w:outlineLvl w:val="3"/>
      </w:pPr>
      <w:r/>
      <w:bookmarkStart w:id="32" w:name="_Hlk153717803"/>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bookmarkEnd w:id="32"/>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生产速度：1800~3000杯/h；</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含量：1~20g/杯（混合下料，分开下料，组合下料）；</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过滤纸规格：</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120mm滤纸；</w:t>
      </w:r>
      <w:r>
        <w:rPr>
          <w:rFonts w:hint="eastAsia" w:ascii="宋体" w:hAnsi="宋体" w:eastAsia="宋体" w:cs="宋体"/>
          <w:color w:val="auto"/>
          <w:sz w:val="24"/>
          <w:szCs w:val="24"/>
          <w:highlight w:val="none"/>
        </w:rPr>
        <w:t xml:space="preserve">纸杯规格：7~16安国标纸杯；</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3kW；</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气源压力：≥0.6MPa；</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电源电压：220V/50Hz；</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设备外形：</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L1200×W1400×H2150mm；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1000㎏；</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材质：304不锈钢。</w:t>
      </w:r>
      <w:r/>
    </w:p>
    <w:p>
      <w:pPr>
        <w:pStyle w:val="1133"/>
        <w:numPr>
          <w:ilvl w:val="0"/>
          <w:numId w:val="6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高速包装盒贴面机</w:t>
      </w:r>
      <w:r/>
    </w:p>
    <w:p>
      <w:pPr>
        <w:numPr>
          <w:ilvl w:val="0"/>
          <w:numId w:val="67"/>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：1台。</w:t>
      </w:r>
      <w:r/>
    </w:p>
    <w:p>
      <w:pPr>
        <w:numPr>
          <w:ilvl w:val="0"/>
          <w:numId w:val="67"/>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上口径：最小65mm~最大94mm；下口径：最小45mm~最大60mm；高度：最小60mm~最大135mm；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材料要求：PE淋膜纸、波纹纸等；</w:t>
      </w:r>
      <w:r/>
    </w:p>
    <w:p>
      <w:pPr>
        <w:pStyle w:val="1133"/>
        <w:numPr>
          <w:ilvl w:val="0"/>
          <w:numId w:val="34"/>
        </w:numPr>
        <w:spacing w:line="360" w:lineRule="auto"/>
        <w:rPr>
          <w:rFonts w:hint="eastAsia" w:ascii="宋体" w:hAnsi="宋体" w:eastAsia="宋体" w:cs="宋体"/>
          <w:color w:val="auto"/>
          <w:sz w:val="24"/>
          <w:szCs w:val="24"/>
          <w:highlight w:val="none"/>
        </w:rPr>
      </w:pPr>
      <w:r/>
      <w:bookmarkStart w:id="33" w:name="_Hlk157175871"/>
      <w:r>
        <w:rPr>
          <w:rFonts w:hint="eastAsia" w:ascii="宋体" w:hAnsi="宋体" w:eastAsia="宋体" w:cs="宋体"/>
          <w:color w:val="auto"/>
          <w:sz w:val="24"/>
          <w:szCs w:val="24"/>
          <w:highlight w:val="none"/>
        </w:rPr>
        <w:t xml:space="preserve">速度：50~55pcs/min</w:t>
      </w:r>
      <w:bookmarkEnd w:id="33"/>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纸张厚度：150~350gsm（g/m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电压要求：380V/50Hz；</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4.7kW；</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1500kg；</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L2450×W1300×H1850mm。</w:t>
      </w:r>
      <w:r/>
    </w:p>
    <w:p>
      <w:pPr>
        <w:pStyle w:val="1133"/>
        <w:numPr>
          <w:ilvl w:val="0"/>
          <w:numId w:val="6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全自动封罐机</w:t>
      </w:r>
      <w:r/>
    </w:p>
    <w:p>
      <w:pPr>
        <w:numPr>
          <w:ilvl w:val="0"/>
          <w:numId w:val="68"/>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：1台。</w:t>
      </w:r>
      <w:r/>
    </w:p>
    <w:p>
      <w:pPr>
        <w:numPr>
          <w:ilvl w:val="0"/>
          <w:numId w:val="68"/>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产品功能与适用范围</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包装范围广泛：广泛适用于各种马口铁罐、铝合金罐、纸罐等各种圆形规格易拉罐的封口；</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操作简单方便：采用触摸显示屏可视操作，人机界面操作系统；</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高自动化：空罐自动传送、自动下盖自动封口；</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机器调节方便：机器适用范围广泛，根据不同产品可自行更换不同模具进行封口生产；</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性能稳定：成熟的罐子封口技术、保障成品率；低噪音、高寿命；</w:t>
      </w:r>
      <w:r/>
    </w:p>
    <w:p>
      <w:pPr>
        <w:pStyle w:val="1133"/>
        <w:numPr>
          <w:ilvl w:val="0"/>
          <w:numId w:val="34"/>
        </w:numPr>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适用行业：饮料行业、食品行业、保健品行业等。</w:t>
      </w:r>
      <w:r/>
    </w:p>
    <w:p>
      <w:pPr>
        <w:numPr>
          <w:ilvl w:val="0"/>
          <w:numId w:val="68"/>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名称：自动封罐机总装；</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材料：304不锈钢；</w:t>
      </w:r>
      <w:r/>
    </w:p>
    <w:p>
      <w:pPr>
        <w:pStyle w:val="1133"/>
        <w:numPr>
          <w:ilvl w:val="0"/>
          <w:numId w:val="34"/>
        </w:numPr>
        <w:spacing w:line="360" w:lineRule="auto"/>
        <w:rPr>
          <w:rFonts w:hint="eastAsia" w:ascii="宋体" w:hAnsi="宋体" w:eastAsia="宋体" w:cs="宋体"/>
          <w:color w:val="auto"/>
          <w:sz w:val="24"/>
          <w:szCs w:val="24"/>
          <w:highlight w:val="none"/>
        </w:rPr>
      </w:pPr>
      <w:r/>
      <w:bookmarkStart w:id="34" w:name="_Hlk157175836"/>
      <w:r>
        <w:rPr>
          <w:rFonts w:hint="eastAsia" w:ascii="宋体" w:hAnsi="宋体" w:eastAsia="宋体" w:cs="宋体"/>
          <w:color w:val="auto"/>
          <w:sz w:val="24"/>
          <w:szCs w:val="24"/>
          <w:highlight w:val="none"/>
        </w:rPr>
        <w:t xml:space="preserve">封罐速度：70~120罐/min</w:t>
      </w:r>
      <w:bookmarkEnd w:id="34"/>
      <w:r>
        <w:rPr>
          <w:rFonts w:hint="eastAsia" w:ascii="宋体" w:hAnsi="宋体" w:eastAsia="宋体" w:cs="宋体"/>
          <w:color w:val="auto"/>
          <w:sz w:val="24"/>
          <w:szCs w:val="24"/>
          <w:highlight w:val="none"/>
        </w:rPr>
        <w:t xml:space="preserve">；封罐高度：50~200mm；瓶型直径：50~130mm；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2kW；</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400kg；设备尺寸：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L2000（含输送带）×W900×H1550mm。</w:t>
      </w:r>
      <w:r/>
    </w:p>
    <w:p>
      <w:pPr>
        <w:pStyle w:val="1133"/>
        <w:numPr>
          <w:ilvl w:val="0"/>
          <w:numId w:val="6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全自动封箱机组</w:t>
      </w:r>
      <w:r/>
    </w:p>
    <w:p>
      <w:pPr>
        <w:numPr>
          <w:ilvl w:val="0"/>
          <w:numId w:val="69"/>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：1套。</w:t>
      </w:r>
      <w:r/>
    </w:p>
    <w:p>
      <w:pPr>
        <w:numPr>
          <w:ilvl w:val="0"/>
          <w:numId w:val="69"/>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性能特点：</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自动封箱机组是由左右驱动封箱机与L型角边机组成，机器采纸箱上下及四个角边同时封口抚平，封箱效果平整规范、美观，可根据纸箱规格进行手动调节宽度和高度，简单方便快捷，可替代人工，提高80%生产效能效率。节省5~10%耗材，是企业节省成本提高生产效率实现包装标准化的最好选择。</w:t>
      </w:r>
      <w:r/>
    </w:p>
    <w:p>
      <w:pPr>
        <w:numPr>
          <w:ilvl w:val="0"/>
          <w:numId w:val="69"/>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电源：220V/50Hz；</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0.75kW；</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外型尺寸：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L3000×W1350×H1375mm；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工作台面高：650~700mm；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封箱速度：6~8/min；</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纸箱规格：最小L300×200×200mm，最大700×500×500mm；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胶带尺寸：48/60/72mm；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封箱胶带：牛皮纸胶带、BOPP胶带（可定制非标尺寸、可单机操作、可与自动化包装流水线配套使用，如：自动开箱机、折盖封箱机、全自动打包机）；</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电机参考品牌：台邦、晟邦</w:t>
      </w:r>
      <w:r>
        <w:rPr>
          <w:rFonts w:hint="eastAsia" w:ascii="宋体" w:hAnsi="宋体" w:eastAsia="宋体" w:cs="宋体"/>
          <w:color w:val="auto"/>
          <w:sz w:val="24"/>
          <w:szCs w:val="24"/>
          <w:highlight w:val="none"/>
          <w:lang w:eastAsia="zh-CN"/>
        </w:rPr>
        <w:t xml:space="preserve">、松下</w:t>
      </w:r>
      <w:r>
        <w:rPr>
          <w:rFonts w:hint="eastAsia" w:ascii="宋体" w:hAnsi="宋体" w:eastAsia="宋体" w:cs="宋体"/>
          <w:color w:val="auto"/>
          <w:sz w:val="24"/>
          <w:szCs w:val="24"/>
          <w:highlight w:val="none"/>
        </w:rPr>
        <w:t xml:space="preserve">；PC版控制/PLC控制参考品牌：三菱</w:t>
      </w:r>
      <w:r>
        <w:rPr>
          <w:rFonts w:hint="eastAsia" w:ascii="宋体" w:hAnsi="宋体" w:eastAsia="宋体" w:cs="宋体"/>
          <w:color w:val="auto"/>
          <w:sz w:val="24"/>
          <w:szCs w:val="24"/>
          <w:highlight w:val="none"/>
          <w:lang w:eastAsia="zh-CN"/>
        </w:rPr>
        <w:t xml:space="preserve">、飞利浦、松下</w:t>
      </w:r>
      <w:r>
        <w:rPr>
          <w:rFonts w:hint="eastAsia" w:ascii="宋体" w:hAnsi="宋体" w:eastAsia="宋体" w:cs="宋体"/>
          <w:color w:val="auto"/>
          <w:sz w:val="24"/>
          <w:szCs w:val="24"/>
          <w:highlight w:val="none"/>
        </w:rPr>
        <w:t xml:space="preserve">；接触器参考品牌：法国施耐德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台邦、</w:t>
      </w:r>
      <w:r>
        <w:rPr>
          <w:rFonts w:hint="eastAsia" w:ascii="宋体" w:hAnsi="宋体" w:eastAsia="宋体" w:cs="宋体"/>
          <w:color w:val="auto"/>
          <w:sz w:val="24"/>
          <w:szCs w:val="24"/>
          <w:highlight w:val="none"/>
          <w:lang w:eastAsia="zh-CN"/>
        </w:rPr>
        <w:t xml:space="preserve">松下</w:t>
      </w:r>
      <w:r>
        <w:rPr>
          <w:rFonts w:hint="eastAsia" w:ascii="宋体" w:hAnsi="宋体" w:eastAsia="宋体" w:cs="宋体"/>
          <w:color w:val="auto"/>
          <w:sz w:val="24"/>
          <w:szCs w:val="24"/>
          <w:highlight w:val="none"/>
        </w:rPr>
        <w:t xml:space="preserve">；按钮开关参考品牌：法国施耐德</w:t>
      </w:r>
      <w:r>
        <w:rPr>
          <w:rFonts w:hint="eastAsia" w:ascii="宋体" w:hAnsi="宋体" w:eastAsia="宋体" w:cs="宋体"/>
          <w:color w:val="auto"/>
          <w:sz w:val="24"/>
          <w:szCs w:val="24"/>
          <w:highlight w:val="none"/>
          <w:lang w:eastAsia="zh-CN"/>
        </w:rPr>
        <w:t xml:space="preserve">，松下，</w:t>
      </w:r>
      <w:r>
        <w:rPr>
          <w:rFonts w:hint="eastAsia" w:ascii="宋体" w:hAnsi="宋体" w:eastAsia="宋体" w:cs="宋体"/>
          <w:color w:val="auto"/>
          <w:sz w:val="24"/>
          <w:szCs w:val="24"/>
          <w:highlight w:val="none"/>
        </w:rPr>
        <w:t xml:space="preserve">台邦；气动元件参考品牌：台湾亚德客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新恭</w:t>
      </w:r>
      <w:r>
        <w:rPr>
          <w:rFonts w:hint="eastAsia" w:ascii="宋体" w:hAnsi="宋体" w:eastAsia="宋体" w:cs="宋体"/>
          <w:color w:val="auto"/>
          <w:sz w:val="24"/>
          <w:szCs w:val="24"/>
          <w:highlight w:val="none"/>
          <w:lang w:eastAsia="zh-CN"/>
        </w:rPr>
        <w:t xml:space="preserve">，松下</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环境条件：湿度≤98%，温度0℃~40℃；</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噪音：工作环境下噪音≤75DB；</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颜色：本封箱机主体颜色为红色；</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适用行业：应用于国内外95%制作业，如食品、五金、医药、烟草、日化、玩具、电子、家居家纺、数码3c、电子、塑胶硅胶、服饰箱包等各行业。</w:t>
      </w:r>
      <w:r/>
    </w:p>
    <w:p>
      <w:pPr>
        <w:pStyle w:val="1133"/>
        <w:numPr>
          <w:ilvl w:val="0"/>
          <w:numId w:val="6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全自动卷膜酱料包装机</w:t>
      </w:r>
      <w:r/>
    </w:p>
    <w:p>
      <w:pPr>
        <w:numPr>
          <w:ilvl w:val="0"/>
          <w:numId w:val="70"/>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：2台。</w:t>
      </w:r>
      <w:r/>
    </w:p>
    <w:p>
      <w:pPr>
        <w:numPr>
          <w:ilvl w:val="0"/>
          <w:numId w:val="70"/>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性能特点</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机架采用304不锈钢，不生锈、不氧化、耐腐蚀、使用寿命长；</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装有安全防护，符合企业安全管理要求；</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主机采用独立的温控系统，能保证温度控制准确，使封口美观、平整；</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触摸屏操作，PLC</w:t>
      </w:r>
      <w:r>
        <w:rPr>
          <w:rFonts w:hint="eastAsia" w:ascii="宋体" w:hAnsi="宋体" w:eastAsia="宋体" w:cs="宋体"/>
          <w:color w:val="auto"/>
          <w:sz w:val="24"/>
          <w:szCs w:val="24"/>
          <w:highlight w:val="none"/>
          <w:lang w:val="zh-TW" w:eastAsia="zh-TW"/>
        </w:rPr>
        <w:t xml:space="preserve">控制</w:t>
      </w:r>
      <w:r>
        <w:rPr>
          <w:rFonts w:hint="eastAsia" w:ascii="宋体" w:hAnsi="宋体" w:eastAsia="宋体" w:cs="宋体"/>
          <w:color w:val="auto"/>
          <w:sz w:val="24"/>
          <w:szCs w:val="24"/>
          <w:highlight w:val="none"/>
          <w:lang w:val="zh-TW"/>
        </w:rPr>
        <w:t xml:space="preserve">，</w:t>
      </w:r>
      <w:r>
        <w:rPr>
          <w:rFonts w:hint="eastAsia" w:ascii="宋体" w:hAnsi="宋体" w:eastAsia="宋体" w:cs="宋体"/>
          <w:color w:val="auto"/>
          <w:sz w:val="24"/>
          <w:szCs w:val="24"/>
          <w:highlight w:val="none"/>
          <w:lang w:val="zh-TW" w:eastAsia="zh-TW"/>
        </w:rPr>
        <w:t xml:space="preserve">驱动步进电机控制袋长，性能稳定、调整方便、检测准确；</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智能式温控仪，</w:t>
      </w:r>
      <w:r>
        <w:rPr>
          <w:rFonts w:hint="eastAsia" w:ascii="宋体" w:hAnsi="宋体" w:eastAsia="宋体" w:cs="宋体"/>
          <w:color w:val="auto"/>
          <w:sz w:val="24"/>
          <w:szCs w:val="24"/>
          <w:highlight w:val="none"/>
        </w:rPr>
        <w:t xml:space="preserve">PID</w:t>
      </w:r>
      <w:r>
        <w:rPr>
          <w:rFonts w:hint="eastAsia" w:ascii="宋体" w:hAnsi="宋体" w:eastAsia="宋体" w:cs="宋体"/>
          <w:color w:val="auto"/>
          <w:sz w:val="24"/>
          <w:szCs w:val="24"/>
          <w:highlight w:val="none"/>
          <w:lang w:val="zh-TW" w:eastAsia="zh-TW"/>
        </w:rPr>
        <w:t xml:space="preserve">调节，保证将温度的误差范围控制在</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TW" w:eastAsia="zh-TW"/>
        </w:rPr>
        <w:t xml:space="preserve">以内；</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可自动完成制袋、计量、下料、封合、分切、计数，且可根据客户要求配置打印批号等功能。</w:t>
      </w:r>
      <w:r/>
    </w:p>
    <w:p>
      <w:pPr>
        <w:numPr>
          <w:ilvl w:val="0"/>
          <w:numId w:val="70"/>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设备材质：304不锈钢；</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w:t>
      </w:r>
      <w:r>
        <w:rPr>
          <w:rFonts w:hint="eastAsia" w:ascii="宋体" w:hAnsi="宋体" w:eastAsia="宋体" w:cs="宋体"/>
          <w:color w:val="auto"/>
          <w:sz w:val="24"/>
          <w:szCs w:val="24"/>
          <w:highlight w:val="none"/>
          <w:lang w:eastAsia="zh-TW"/>
        </w:rPr>
        <w:t xml:space="preserve">900×W1100×H1590mm</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计量重量：1~100g；</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包装袋材料：OPP/CPP、OPP/PE、PET/PE等复合袋；包装袋规格：</w:t>
      </w:r>
      <w:r>
        <w:rPr>
          <w:rFonts w:hint="eastAsia" w:ascii="宋体" w:hAnsi="宋体" w:eastAsia="宋体" w:cs="宋体"/>
          <w:color w:val="auto"/>
          <w:sz w:val="24"/>
          <w:szCs w:val="24"/>
          <w:highlight w:val="none"/>
          <w:lang w:val="zh-TW" w:eastAsia="zh-TW"/>
        </w:rPr>
        <w:t xml:space="preserve">长</w:t>
      </w:r>
      <w:r>
        <w:rPr>
          <w:rFonts w:hint="eastAsia" w:ascii="宋体" w:hAnsi="宋体" w:eastAsia="宋体" w:cs="宋体"/>
          <w:color w:val="auto"/>
          <w:sz w:val="24"/>
          <w:szCs w:val="24"/>
          <w:highlight w:val="none"/>
          <w:lang w:eastAsia="zh-TW"/>
        </w:rPr>
        <w:t xml:space="preserve">30~170mm，</w:t>
      </w:r>
      <w:r>
        <w:rPr>
          <w:rFonts w:hint="eastAsia" w:ascii="宋体" w:hAnsi="宋体" w:eastAsia="宋体" w:cs="宋体"/>
          <w:color w:val="auto"/>
          <w:sz w:val="24"/>
          <w:szCs w:val="24"/>
          <w:highlight w:val="none"/>
          <w:lang w:val="zh-TW" w:eastAsia="zh-TW"/>
        </w:rPr>
        <w:t xml:space="preserve">宽</w:t>
      </w:r>
      <w:r>
        <w:rPr>
          <w:rFonts w:hint="eastAsia" w:ascii="宋体" w:hAnsi="宋体" w:eastAsia="宋体" w:cs="宋体"/>
          <w:color w:val="auto"/>
          <w:sz w:val="24"/>
          <w:szCs w:val="24"/>
          <w:highlight w:val="none"/>
          <w:lang w:eastAsia="zh-TW"/>
        </w:rPr>
        <w:t xml:space="preserve">30~130mm；</w:t>
      </w:r>
      <w:r>
        <w:rPr>
          <w:rFonts w:hint="eastAsia" w:ascii="宋体" w:hAnsi="宋体" w:eastAsia="宋体" w:cs="宋体"/>
          <w:color w:val="auto"/>
          <w:sz w:val="24"/>
          <w:szCs w:val="24"/>
          <w:highlight w:val="none"/>
        </w:rPr>
        <w:t xml:space="preserve">包装袋型：背封尺切；包装速度：10~60小袋/min（因物料而定）；</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电源：220V/50Hz</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1.4kW；</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整机重量：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400kg。</w:t>
      </w:r>
      <w:r/>
    </w:p>
    <w:p>
      <w:pPr>
        <w:pStyle w:val="1133"/>
        <w:numPr>
          <w:ilvl w:val="0"/>
          <w:numId w:val="6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全自动热收缩包装机</w:t>
      </w:r>
      <w:r/>
    </w:p>
    <w:p>
      <w:pPr>
        <w:numPr>
          <w:ilvl w:val="0"/>
          <w:numId w:val="71"/>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：1台。</w:t>
      </w:r>
      <w:r/>
    </w:p>
    <w:p>
      <w:pPr>
        <w:numPr>
          <w:ilvl w:val="0"/>
          <w:numId w:val="71"/>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工作描述</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人工将需要包装的产品摆放在模具板上—产品按照包装膜的尺寸位置调整中心—输送出去（按钮开关）—围包—切膜—收缩；</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该设备主要是用于瓶装、灌装、纸箱装之类的产品塑封包装，具有效率高、塑封效果好、节省包装材料、降低劳动强度等特点；</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可与生产线衔接，实现无人化流水作业。</w:t>
      </w:r>
      <w:r/>
    </w:p>
    <w:p>
      <w:pPr>
        <w:numPr>
          <w:ilvl w:val="0"/>
          <w:numId w:val="71"/>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性能特点</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感应式送膜，大大减少薄膜的损耗；</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原厂欧姆龙数显式温控器，温度精确，可直接看到封切时的温度状态；</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无级机械式调速装置，调整进料输送带的速度；</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采用OMRON“PLC”可编程程序控制器，实现机、电、气一体化；</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采用三片式封刀，封口线牢固、不开裂、不易粘刀；</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进料输送带采用直进式进料；</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采用进口双运风电机，让炉腔内热风散布均匀，收缩后效果更加美观；</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输送采用变频器控制传送速度，无级调速；</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超大风量冷却气流，产品热缩后迅速冷却定型；</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整机采用变频器控制传送速度，无级调速。</w:t>
      </w:r>
      <w:r/>
    </w:p>
    <w:p>
      <w:pPr>
        <w:numPr>
          <w:ilvl w:val="0"/>
          <w:numId w:val="71"/>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72"/>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收缩炉</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电源：380V/50Hz；功率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18kW；</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包装速度：4000~6000pcs/h；</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炉腔尺寸：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L1500×W520×H400mm；包装尺寸：（长度不限）宽620mm×高400mm；外形尺寸：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L3300×W820×H1600mm；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800kg。</w:t>
      </w:r>
      <w:r/>
    </w:p>
    <w:p>
      <w:pPr>
        <w:pStyle w:val="1133"/>
        <w:numPr>
          <w:ilvl w:val="0"/>
          <w:numId w:val="72"/>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纸塑封机</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电源：220V/50~60Hz；</w:t>
      </w:r>
      <w:r>
        <w:rPr>
          <w:rFonts w:hint="eastAsia" w:ascii="宋体" w:hAnsi="宋体" w:eastAsia="宋体" w:cs="宋体"/>
          <w:color w:val="auto"/>
          <w:sz w:val="24"/>
          <w:szCs w:val="24"/>
          <w:highlight w:val="none"/>
        </w:rPr>
        <w:t xml:space="preserve">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2.5kW</w:t>
      </w:r>
      <w:r>
        <w:rPr>
          <w:rFonts w:hint="eastAsia" w:ascii="宋体" w:hAnsi="宋体" w:eastAsia="宋体" w:cs="宋体"/>
          <w:color w:val="auto"/>
          <w:sz w:val="24"/>
          <w:szCs w:val="24"/>
          <w:highlight w:val="none"/>
        </w:rPr>
        <w:t xml:space="preserve">；最大电流：6.5A；</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温度：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240℃；</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包装速度：10~35pcs/min；</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刀的尺寸：横刀450mm，纵刀555mm；包装尺寸：W+H&lt;380，H&lt;100，H+L&lt;450，L&gt;100mm；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输送台高度：800+30mm（可调）；</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工作气压：0.5~0.85MPa；</w:t>
      </w:r>
      <w:r/>
    </w:p>
    <w:p>
      <w:pPr>
        <w:pStyle w:val="1133"/>
        <w:numPr>
          <w:ilvl w:val="0"/>
          <w:numId w:val="34"/>
        </w:numPr>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外形尺寸：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L1740×W1265×H1310mm；设备重量：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800kg。</w:t>
      </w:r>
      <w:r/>
    </w:p>
    <w:p>
      <w:pPr>
        <w:pStyle w:val="1133"/>
        <w:numPr>
          <w:ilvl w:val="0"/>
          <w:numId w:val="6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全自动10头秤给袋机</w:t>
      </w:r>
      <w:r/>
    </w:p>
    <w:p>
      <w:pPr>
        <w:numPr>
          <w:ilvl w:val="0"/>
          <w:numId w:val="73"/>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：1台。</w:t>
      </w:r>
      <w:r/>
    </w:p>
    <w:p>
      <w:pPr>
        <w:numPr>
          <w:ilvl w:val="0"/>
          <w:numId w:val="73"/>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性能特点</w:t>
      </w:r>
      <w:r>
        <w:rPr>
          <w:rFonts w:hint="eastAsia" w:ascii="宋体" w:hAnsi="宋体" w:eastAsia="宋体" w:cs="宋体"/>
          <w:color w:val="auto"/>
          <w:sz w:val="24"/>
          <w:szCs w:val="24"/>
          <w:highlight w:val="none"/>
        </w:rPr>
        <w:t xml:space="preserve">：</w:t>
      </w:r>
      <w:r/>
    </w:p>
    <w:p>
      <w:pPr>
        <w:pStyle w:val="1133"/>
        <w:numPr>
          <w:ilvl w:val="0"/>
          <w:numId w:val="74"/>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整体设备特点</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设备机架采用304不锈钢，符合食品QS和医药GMP卫生标准；</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机械采用PLC控制，触摸屏人机界面；参考品牌：德国西门子</w:t>
      </w:r>
      <w:r>
        <w:rPr>
          <w:rFonts w:hint="eastAsia" w:ascii="宋体" w:hAnsi="宋体" w:eastAsia="宋体" w:cs="宋体"/>
          <w:color w:val="auto"/>
          <w:sz w:val="24"/>
          <w:szCs w:val="24"/>
          <w:highlight w:val="none"/>
          <w:lang w:eastAsia="zh-CN"/>
        </w:rPr>
        <w:t xml:space="preserve">，飞利浦，松下</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本机工作速度可在规定范围内由变频调速装置随意无极调节；</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过载保护，安全装置，在机器工作气压异常或者加热管故障时自动报警提示；</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可智能检测空袋，不热封，不浪费袋子，可为用户节约可观的成本；</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本机优势：机械式摇摆8个工位同时自动调节袋子宽度，适用于不同宽度的袋子；</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在部分组件中配用进口公差塑料轴承，不需加油，减少对食品的污染；</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使用预制的产品包装袋，图案完美，封口效果佳，成品档次高；</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可以包装多层复合膜、单层PE、PP等材料制成的预制袋、纸袋，包装范围广；</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采用真空过滤器，清洁卫生无污染；</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安全性能：机器门打开时会自动停机，防止被机器误伤。</w:t>
      </w:r>
      <w:r/>
    </w:p>
    <w:p>
      <w:pPr>
        <w:pStyle w:val="1133"/>
        <w:numPr>
          <w:ilvl w:val="0"/>
          <w:numId w:val="74"/>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电子秤特点</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采用高精度、高标准的特制传感器，分别率提升到2位小数；</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出厂参数设置恢复功能，支持多段重量标定；</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缺料时自动暂停，使称重量更加稳定；</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存贮100套参数设置，实现多种物料需求，帮助菜单，方便学习使用；</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运行中各线振幅可独立调节，使加料加均匀；</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多种语言可供选用，操作方便，适用于全球；西班牙语言；</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称重与数粒两种模式可供使用，满足您更多方面的需求；</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振幅时间自动适应，确保加料充足，有效提升称重精度；</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增加专用MCU参与物料判断和控制振幅，有效提升称重精度；</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特制宽V型线振盘，每个振盘都由关电传感器控制，确保物料均匀；</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可选称重式物料检测，准确控制加料时间物料厚度，保证称重精度；</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铸铝加厚整体中座增强了机器的强度，使得称量的稳定时间更短。</w:t>
      </w:r>
      <w:r/>
    </w:p>
    <w:p>
      <w:pPr>
        <w:numPr>
          <w:ilvl w:val="0"/>
          <w:numId w:val="73"/>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75"/>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整体设备参数</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设备构成：提升机+10头秤+工作平台+SF-200给袋机；</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设备材质：机架304不锈钢；</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计量方式：10头电子秤；</w:t>
      </w:r>
      <w:r/>
    </w:p>
    <w:p>
      <w:pPr>
        <w:pStyle w:val="1133"/>
        <w:numPr>
          <w:ilvl w:val="0"/>
          <w:numId w:val="34"/>
        </w:numPr>
        <w:spacing w:line="360" w:lineRule="auto"/>
        <w:rPr>
          <w:rFonts w:hint="eastAsia" w:ascii="宋体" w:hAnsi="宋体" w:eastAsia="宋体" w:cs="宋体"/>
          <w:color w:val="auto"/>
          <w:sz w:val="24"/>
          <w:szCs w:val="24"/>
          <w:highlight w:val="none"/>
        </w:rPr>
      </w:pPr>
      <w:r/>
      <w:bookmarkStart w:id="35" w:name="_Hlk157177108"/>
      <w:r>
        <w:rPr>
          <w:rFonts w:hint="eastAsia" w:ascii="宋体" w:hAnsi="宋体" w:eastAsia="宋体" w:cs="宋体"/>
          <w:color w:val="auto"/>
          <w:sz w:val="24"/>
          <w:szCs w:val="24"/>
          <w:highlight w:val="none"/>
        </w:rPr>
        <w:t xml:space="preserve">包装重量：50~500g</w:t>
      </w:r>
      <w:bookmarkEnd w:id="35"/>
      <w:r>
        <w:rPr>
          <w:rFonts w:hint="eastAsia" w:ascii="宋体" w:hAnsi="宋体" w:eastAsia="宋体" w:cs="宋体"/>
          <w:color w:val="auto"/>
          <w:sz w:val="24"/>
          <w:szCs w:val="24"/>
          <w:highlight w:val="none"/>
        </w:rPr>
        <w:t xml:space="preserve">；重量误差：±1~2g（视物料而定）；</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袋子材料：OPP/CPP，OPP/PE，PET/PE，PET+AL+PE，PET/VMPET/PE；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包装袋型：四边封袋、站立拉链袋、八边封袋、M袋等；</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袋子宽度：90mm~200mm；袋子长度：120mm~300mm；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包装速度：10~60小袋/min；</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封口方式：两次封口压合；</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电源规格：3.6kW/80V/50Hz/3相；</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设备尺寸：L5000×W2000×H3700mm；整机重量：2800kg；</w:t>
      </w:r>
      <w:r/>
    </w:p>
    <w:p>
      <w:pPr>
        <w:pStyle w:val="1133"/>
        <w:numPr>
          <w:ilvl w:val="0"/>
          <w:numId w:val="34"/>
        </w:numPr>
        <w:spacing w:line="360" w:lineRule="auto"/>
        <w:rPr>
          <w:rFonts w:hint="eastAsia" w:ascii="宋体" w:hAnsi="宋体" w:eastAsia="宋体" w:cs="宋体"/>
          <w:color w:val="auto"/>
          <w:sz w:val="24"/>
          <w:szCs w:val="24"/>
          <w:highlight w:val="none"/>
        </w:rPr>
      </w:pPr>
      <w:r/>
      <w:bookmarkStart w:id="36" w:name="_Hlk157177124"/>
      <w:r>
        <w:rPr>
          <w:rFonts w:hint="eastAsia" w:ascii="宋体" w:hAnsi="宋体" w:eastAsia="宋体" w:cs="宋体"/>
          <w:color w:val="auto"/>
          <w:sz w:val="24"/>
          <w:szCs w:val="24"/>
          <w:highlight w:val="none"/>
        </w:rPr>
        <w:t xml:space="preserve">压缩空气消耗量：0.6m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/min</w:t>
      </w:r>
      <w:bookmarkEnd w:id="36"/>
      <w:r>
        <w:rPr>
          <w:rFonts w:hint="eastAsia" w:ascii="宋体" w:hAnsi="宋体" w:eastAsia="宋体" w:cs="宋体"/>
          <w:color w:val="auto"/>
          <w:sz w:val="24"/>
          <w:szCs w:val="24"/>
          <w:highlight w:val="none"/>
        </w:rPr>
        <w:t xml:space="preserve">。</w:t>
      </w:r>
      <w:r/>
    </w:p>
    <w:p>
      <w:pPr>
        <w:pStyle w:val="1133"/>
        <w:numPr>
          <w:ilvl w:val="0"/>
          <w:numId w:val="75"/>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电子秤参数</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型号：10头；</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称重范围：</w:t>
      </w:r>
      <w:bookmarkStart w:id="37" w:name="_Hlk157176429"/>
      <w:r>
        <w:rPr>
          <w:rFonts w:hint="eastAsia" w:ascii="宋体" w:hAnsi="宋体" w:eastAsia="宋体" w:cs="宋体"/>
          <w:color w:val="auto"/>
          <w:sz w:val="24"/>
          <w:szCs w:val="24"/>
          <w:highlight w:val="none"/>
        </w:rPr>
        <w:t xml:space="preserve">&lt;50~500g</w:t>
      </w:r>
      <w:bookmarkEnd w:id="37"/>
      <w:r>
        <w:rPr>
          <w:rFonts w:hint="eastAsia" w:ascii="宋体" w:hAnsi="宋体" w:eastAsia="宋体" w:cs="宋体"/>
          <w:color w:val="auto"/>
          <w:sz w:val="24"/>
          <w:szCs w:val="24"/>
          <w:highlight w:val="none"/>
        </w:rPr>
        <w:t xml:space="preserve">；称量精度范围：×0.5；</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最大称重速度：30~70bags/min；</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料斗容量：1.6L双开门料斗；</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驱动方式：步进电机；</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操作界面：7英寸触摸屏；选构装置：花纹秤斗/集料斗/打印装置/超差选别装置；</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电源规格：210V/1500W/50~60Hz/12A；</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490kg。</w:t>
      </w:r>
      <w:r/>
    </w:p>
    <w:p>
      <w:pPr>
        <w:numPr>
          <w:ilvl w:val="0"/>
          <w:numId w:val="73"/>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电器配置</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油水过滤器参考品牌：台湾亚德客</w:t>
      </w:r>
      <w:r>
        <w:rPr>
          <w:rFonts w:hint="eastAsia" w:ascii="宋体" w:hAnsi="宋体" w:eastAsia="宋体" w:cs="宋体"/>
          <w:color w:val="auto"/>
          <w:sz w:val="24"/>
          <w:szCs w:val="24"/>
          <w:highlight w:val="none"/>
          <w:lang w:eastAsia="zh-CN"/>
        </w:rPr>
        <w:t xml:space="preserve">，唐纳森，诺冠</w:t>
      </w:r>
      <w:r>
        <w:rPr>
          <w:rFonts w:hint="eastAsia" w:ascii="宋体" w:hAnsi="宋体" w:eastAsia="宋体" w:cs="宋体"/>
          <w:color w:val="auto"/>
          <w:sz w:val="24"/>
          <w:szCs w:val="24"/>
          <w:highlight w:val="none"/>
        </w:rPr>
        <w:t xml:space="preserve">；标准标称流量：2.1L/min；外壳材料：不锈钢；使用压力：1.05MPa；结构特点：FDX；流动方向：DFS；</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减速机</w:t>
      </w:r>
      <w:r>
        <w:rPr>
          <w:rFonts w:hint="eastAsia" w:ascii="宋体" w:hAnsi="宋体" w:eastAsia="宋体" w:cs="宋体"/>
          <w:color w:val="auto"/>
          <w:sz w:val="24"/>
          <w:szCs w:val="24"/>
          <w:highlight w:val="none"/>
        </w:rPr>
        <w:t xml:space="preserve">：功率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1.1kW</w:t>
      </w:r>
      <w:r>
        <w:rPr>
          <w:rFonts w:hint="eastAsia" w:ascii="宋体" w:hAnsi="宋体" w:eastAsia="宋体" w:cs="宋体"/>
          <w:color w:val="auto"/>
          <w:sz w:val="24"/>
          <w:szCs w:val="24"/>
          <w:highlight w:val="none"/>
        </w:rPr>
        <w:t xml:space="preserve">，参考品牌为浙江恒齿</w:t>
      </w:r>
      <w:r>
        <w:rPr>
          <w:rFonts w:hint="eastAsia" w:ascii="宋体" w:hAnsi="宋体" w:eastAsia="宋体" w:cs="宋体"/>
          <w:color w:val="auto"/>
          <w:sz w:val="24"/>
          <w:szCs w:val="24"/>
          <w:highlight w:val="none"/>
          <w:lang w:eastAsia="zh-CN"/>
        </w:rPr>
        <w:t xml:space="preserve">，富士，尼得科；</w:t>
      </w:r>
      <w:r/>
    </w:p>
    <w:p>
      <w:pPr>
        <w:pStyle w:val="1133"/>
        <w:numPr>
          <w:ilvl w:val="0"/>
          <w:numId w:val="6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上走膜伺服自动包装机</w:t>
      </w:r>
      <w:r/>
    </w:p>
    <w:p>
      <w:pPr>
        <w:numPr>
          <w:ilvl w:val="0"/>
          <w:numId w:val="76"/>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：3台。</w:t>
      </w:r>
      <w:r/>
    </w:p>
    <w:p>
      <w:pPr>
        <w:numPr>
          <w:ilvl w:val="0"/>
          <w:numId w:val="76"/>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性能特点</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3伺服电机控制（送料机构、送膜机构、刀封机构）；</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快速响应各种命令的运动控制器；</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产品精准定位；</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中封机构和刀封机构的独立温度控制；</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与产品接触部分采用304不锈钢，触摸屏控制。</w:t>
      </w:r>
      <w:r/>
    </w:p>
    <w:p>
      <w:pPr>
        <w:numPr>
          <w:ilvl w:val="0"/>
          <w:numId w:val="76"/>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速度：20~200包/min；</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制袋长度：不限长；制袋宽度：≤165mm；制袋高度：≤55mm；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包装膜材料：OPP/CPP膜、OPP/PE膜、OPP膜；</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膜厚度：25~80μm；外径：≤300mm；最大宽度：≤350mm；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电压：220V/50Hz；</w:t>
      </w:r>
      <w:r>
        <w:rPr>
          <w:rFonts w:hint="eastAsia" w:ascii="宋体" w:hAnsi="宋体" w:eastAsia="宋体" w:cs="宋体"/>
          <w:color w:val="auto"/>
          <w:sz w:val="24"/>
          <w:szCs w:val="24"/>
          <w:highlight w:val="none"/>
        </w:rPr>
        <w:t xml:space="preserve">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3.8kW；</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600kg；外形尺寸：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L3900mm×W850mm×H1500mm；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切刀方式：旋转刀；</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电机配置：全伺服（三伺服）；可选配置：皮带理料、打码机、自动落饼器、充气装置、自动称重、自动贴标；</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配件：工具盒1个，φ9.8×220发热管2个，内六角匙1个，十字螺丝批1个，一字螺丝批1个，300×36活动扳手1个，切刀1对，固态继电器1个，热电偶1个，0~9配个别英文的字粒及工具1盒，墨轮3个。</w:t>
      </w:r>
      <w:r/>
    </w:p>
    <w:p>
      <w:pPr>
        <w:numPr>
          <w:ilvl w:val="0"/>
          <w:numId w:val="76"/>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设备优势</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触摸屏界面：参数设置简单方便；</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防空包功能：有产品启动包装，无产品停机等待，节省包装膜；</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防切料功能：切到产品的时候，刀座反转，机器停机，免损刀座；</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记忆功能：可存储99组包装参数（产品位置、包装速度、袋长）；</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产品长度无限制。</w:t>
      </w:r>
      <w:r/>
    </w:p>
    <w:p>
      <w:pPr>
        <w:pStyle w:val="1133"/>
        <w:numPr>
          <w:ilvl w:val="0"/>
          <w:numId w:val="31"/>
        </w:numPr>
        <w:jc w:val="left"/>
        <w:spacing w:line="360" w:lineRule="auto"/>
        <w:tabs>
          <w:tab w:val="left" w:pos="484" w:leader="none"/>
          <w:tab w:val="left" w:pos="55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研发实验设备</w:t>
      </w:r>
      <w:r/>
    </w:p>
    <w:p>
      <w:pPr>
        <w:pStyle w:val="1133"/>
        <w:numPr>
          <w:ilvl w:val="0"/>
          <w:numId w:val="77"/>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蒸汽发生器</w:t>
      </w:r>
      <w:r/>
    </w:p>
    <w:p>
      <w:pPr>
        <w:numPr>
          <w:ilvl w:val="0"/>
          <w:numId w:val="78"/>
        </w:numPr>
        <w:ind w:hanging="482"/>
        <w:spacing w:line="360" w:lineRule="auto"/>
        <w:rPr>
          <w:rFonts w:hint="eastAsia" w:ascii="宋体" w:hAnsi="宋体" w:eastAsia="宋体" w:cs="宋体"/>
          <w:b/>
          <w:color w:val="auto"/>
          <w:sz w:val="24"/>
          <w:szCs w:val="24"/>
          <w:highlight w:val="none"/>
        </w:rPr>
        <w:outlineLvl w:val="3"/>
      </w:pPr>
      <w:r/>
      <w:bookmarkStart w:id="38" w:name="_Hlk153728683"/>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：1台。</w:t>
      </w:r>
      <w:bookmarkEnd w:id="38"/>
      <w:r/>
      <w:r/>
    </w:p>
    <w:p>
      <w:pPr>
        <w:numPr>
          <w:ilvl w:val="0"/>
          <w:numId w:val="78"/>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48kW；</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60kW</w:t>
      </w:r>
      <w:r>
        <w:rPr>
          <w:rFonts w:hint="eastAsia" w:ascii="宋体" w:hAnsi="宋体" w:eastAsia="宋体" w:cs="宋体"/>
          <w:color w:val="auto"/>
          <w:sz w:val="24"/>
          <w:szCs w:val="24"/>
          <w:highlight w:val="none"/>
        </w:rPr>
        <w:t xml:space="preserve">；额定压力：0.1~0.3MPa；额定电压：380V；</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250kg；设备尺寸：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L800×W1050×H1400mm。</w:t>
      </w:r>
      <w:r/>
    </w:p>
    <w:p>
      <w:pPr>
        <w:pStyle w:val="1133"/>
        <w:numPr>
          <w:ilvl w:val="0"/>
          <w:numId w:val="77"/>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超净工作台</w:t>
      </w:r>
      <w:r/>
    </w:p>
    <w:p>
      <w:pPr>
        <w:numPr>
          <w:ilvl w:val="0"/>
          <w:numId w:val="79"/>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：1台。</w:t>
      </w:r>
      <w:r/>
    </w:p>
    <w:p>
      <w:pPr>
        <w:numPr>
          <w:ilvl w:val="0"/>
          <w:numId w:val="79"/>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应用范围及性能特点</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净化工作台是一种能通过智能设定来控制操作区高洁净度空气的净化设备，该设备采用单向空气流动，室内空气经过预过滤器进入净压箱，再经过高效滤器，最后在操作区内形成高度洁净的单向空气流；</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HEPA破损、预失效报警功能，差压显示功能，恒风速功能，杀菌、照明联锁功能，多参数定量显示功能，累计工作时间、时钟、过滤器寿命条显示功能；</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外壳采用优质冷轧钢板，操作台面采用SUS304拉丝不锈钢材质，耐腐蚀，清洗方便；</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采用高效离心式风机，转速稳定，噪音小；</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采用LCD大屏幕液晶显示屏，定量显示风速、累计工作时间、压差、时钟、HEAP运行状态等工作参数；</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配置有高效HEPA空气过滤器，设有预过滤器为中效过滤系统，可有效延长高效过滤器的使用寿命；</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HEPA出现失效、破损能实现声光可视报警提示；</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风速能在0.3~0.6m/s范围内，设定为六段并能实数显示；</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移动门采用配重式移门，可在规定范围内任意定位；</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照明灯、杀菌灯联锁装置，确保使用安全；</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配置防溅内置电源插座及气源、水源接口；</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前部5°角倾斜，满足人体工程学原理，操作更舒适；</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机架带有移动脚轮及定位平衡立柱，移动灵活，固定方便可靠。</w:t>
      </w:r>
      <w:r/>
    </w:p>
    <w:p>
      <w:pPr>
        <w:numPr>
          <w:ilvl w:val="0"/>
          <w:numId w:val="79"/>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显示方式：LCD；空气流向：垂直流；工作面：一个；</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洁净等级：100级（≥0.5μm过滤效率达到99.99％）；</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工作区风速范围：0.3~0.6m/s（可调）；噪音：≤67dB；</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振动半峰值：≤5μm（X、Y、Z方向）；</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照度：≥300LX；</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工作区尺寸：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L830×W700×H495mm；</w:t>
      </w:r>
      <w:r>
        <w:rPr>
          <w:rFonts w:hint="eastAsia" w:ascii="宋体" w:hAnsi="宋体" w:eastAsia="宋体" w:cs="宋体"/>
          <w:color w:val="auto"/>
          <w:sz w:val="24"/>
          <w:szCs w:val="24"/>
          <w:highlight w:val="none"/>
        </w:rPr>
        <w:t xml:space="preserve">外型尺寸：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L990×W744×H1680mm；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高效过滤器规格及</w:t>
      </w:r>
      <w:r>
        <w:rPr>
          <w:rFonts w:hint="eastAsia" w:ascii="宋体" w:hAnsi="宋体" w:eastAsia="宋体" w:cs="宋体"/>
          <w:color w:val="auto"/>
          <w:sz w:val="24"/>
          <w:szCs w:val="24"/>
          <w:highlight w:val="none"/>
        </w:rPr>
        <w:t xml:space="preserve">数量：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L800×W604×H50mm</w:t>
      </w:r>
      <w:r>
        <w:rPr>
          <w:rFonts w:hint="eastAsia" w:ascii="宋体" w:hAnsi="宋体" w:eastAsia="宋体" w:cs="宋体"/>
          <w:color w:val="auto"/>
          <w:sz w:val="24"/>
          <w:szCs w:val="24"/>
          <w:highlight w:val="none"/>
        </w:rPr>
        <w:t xml:space="preserve">×①；荧光灯/紫外线规格及数量：30W×①/20W×①；</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115kg；</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0.2kW</w:t>
      </w:r>
      <w:r>
        <w:rPr>
          <w:rFonts w:hint="eastAsia" w:ascii="宋体" w:hAnsi="宋体" w:eastAsia="宋体" w:cs="宋体"/>
          <w:color w:val="auto"/>
          <w:sz w:val="24"/>
          <w:szCs w:val="24"/>
          <w:highlight w:val="none"/>
        </w:rPr>
        <w:t xml:space="preserve">；电源：AC220±10V，50/60Hz。</w:t>
      </w:r>
      <w:r/>
    </w:p>
    <w:p>
      <w:pPr>
        <w:pStyle w:val="1133"/>
        <w:numPr>
          <w:ilvl w:val="0"/>
          <w:numId w:val="77"/>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恒温培养箱</w:t>
      </w:r>
      <w:r/>
    </w:p>
    <w:p>
      <w:pPr>
        <w:numPr>
          <w:ilvl w:val="0"/>
          <w:numId w:val="80"/>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：1台。</w:t>
      </w:r>
      <w:r/>
    </w:p>
    <w:p>
      <w:pPr>
        <w:numPr>
          <w:ilvl w:val="0"/>
          <w:numId w:val="80"/>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性能特点：</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电热恒温培养箱是供各医药、生物、农业、科研等部门作储藏、培养、科研的必备设备；</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外壳采用冷轧钢板制造，表面静电喷塑，内胆镜面不锈钢，隔板可以任意调节；</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温控系统采用微电脑单片机技术，液晶屏显示各种参数，温控具有控温、定时、超温报警等功能；</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采用进口电机及风叶，合理风道和循环系统，使工作室内温度均匀度变化小，风机6段调速；</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箱门具有大视角玻璃观察窗，便于用户观察；</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采用纳米材料门封条及保温材料令性能体现更加优越；</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可编程程序设计，可设置10段100周期；</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具有因停电、死机状态造成数据丢失而保护的参数记忆、来电恢复功能；</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参考标准：YY0027-1990。</w:t>
      </w:r>
      <w:r/>
    </w:p>
    <w:p>
      <w:pPr>
        <w:numPr>
          <w:ilvl w:val="0"/>
          <w:numId w:val="80"/>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电源电压：AC220V±10%/50Hz±2%；</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控温范围：室温+5℃~85℃；温度分辨率：0.1℃；</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温度波动度：±0.5℃（37℃时）；温度均匀度：±1℃（37℃时）；</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稳定时间：≤20min；</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定时范围：0~9999min/h（可切换）。</w:t>
      </w:r>
      <w:r/>
    </w:p>
    <w:p>
      <w:pPr>
        <w:pStyle w:val="1133"/>
        <w:numPr>
          <w:ilvl w:val="0"/>
          <w:numId w:val="77"/>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钢木试验台</w:t>
      </w:r>
      <w:r/>
    </w:p>
    <w:p>
      <w:pPr>
        <w:numPr>
          <w:ilvl w:val="0"/>
          <w:numId w:val="81"/>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：1套。</w:t>
      </w:r>
      <w:r/>
    </w:p>
    <w:p>
      <w:pPr>
        <w:numPr>
          <w:ilvl w:val="0"/>
          <w:numId w:val="81"/>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钢木边台尺寸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L5000×W750×H800m；钢木中央台尺寸：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L5000×W1500×H800mm；中央试剂架尺寸：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L4200×W350×H750mm；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钢木结构台面：采用12.7mm实心理化板，40×60框架，耐强酸碱腐蚀、耐高温；</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柜体：</w:t>
      </w: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18mm厚优质密度板</w:t>
      </w:r>
      <w:r>
        <w:rPr>
          <w:rFonts w:hint="eastAsia" w:ascii="宋体" w:hAnsi="宋体" w:eastAsia="宋体" w:cs="宋体"/>
          <w:color w:val="auto"/>
          <w:sz w:val="24"/>
          <w:szCs w:val="24"/>
          <w:highlight w:val="none"/>
        </w:rPr>
        <w:t xml:space="preserve">，外缘以1mm厚PVC封边条封边防水处理；</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铰链：采用105°铰链；可承受连续开合破坏性试验八万次以上，达到国际五金行业标准，耐腐蚀性能强；</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拉手：PVC长拉手；</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立柱</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40×100×1.0mm厚度镀锌钢板折边而成，表面环氧树脂静电喷涂，高温固化；</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50×1.0mm折边挡板；</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支撑件1.0mm厚的镀锌钢板冲压成型，表面环氧树脂静电喷涂，高温固话，边试剂架宽为300mm，中试剂架宽为400mm，支撑件悬挂于立柱上，可以自由调节高度；</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电源10A或16A防溅插座；</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固定件4mm厚专用合金件，充分保证试剂架安装后的稳定性；</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水槽尺寸：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L540×W440×H310mm，</w:t>
      </w:r>
      <w:r>
        <w:rPr>
          <w:rFonts w:hint="eastAsia" w:ascii="宋体" w:hAnsi="宋体" w:eastAsia="宋体" w:cs="宋体"/>
          <w:color w:val="auto"/>
          <w:sz w:val="24"/>
          <w:szCs w:val="24"/>
          <w:highlight w:val="none"/>
        </w:rPr>
        <w:t xml:space="preserve">水槽材质：采用高密度PP新料注塑成型，耐腐蚀耐酸碱、耐热，稳定性强，并具弹性、韧性，不易老化耐划；</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附件：高密度PP去水，含阻水盖、PP提笼；</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水龙头：主体加厚铜质，涂层经环氧树脂粉末涂料热固处理，防紫外线辐射，耐酸碱、耐腐蚀。</w:t>
      </w:r>
      <w:r/>
    </w:p>
    <w:p>
      <w:pPr>
        <w:pStyle w:val="1133"/>
        <w:numPr>
          <w:ilvl w:val="0"/>
          <w:numId w:val="77"/>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全钢通风柜</w:t>
      </w:r>
      <w:r/>
    </w:p>
    <w:p>
      <w:pPr>
        <w:numPr>
          <w:ilvl w:val="0"/>
          <w:numId w:val="82"/>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：1套。</w:t>
      </w:r>
      <w:r/>
    </w:p>
    <w:p>
      <w:pPr>
        <w:numPr>
          <w:ilvl w:val="0"/>
          <w:numId w:val="82"/>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L1500×W850×H2350mm</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左右旁板、前钢板、背板、顶板、下柜体可采用1.0~1.2mm厚钢板，德国进口2000W全自动数控激光切割机下料，折弯采用全自动数控折弯机一次性一体折弯成型，表面经环氧树脂粉末静电流水线自动化喷涂及高温固化；</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内衬板、导流板采用5mm厚实芯抗倍特板具有良好的防腐蚀、化学抗性；</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导流板固定件使用PP优质材质制作一体成型；</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移动视窗玻璃两侧PP夹条包裹，拉手PP一体成型，嵌入5mm钢化玻璃，门开启高度为760mm，自由升降，移门上下滑动装置采用滑轮钢丝绳结构，无级任意停留，移门导向装置由抗腐蚀的聚氯乙稀材质构成；</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固定视窗框架为钢板制作环氧树脂喷涂，框内嵌入5mm厚钢化玻璃。</w:t>
      </w:r>
      <w:r/>
    </w:p>
    <w:p>
      <w:pPr>
        <w:pStyle w:val="1133"/>
        <w:numPr>
          <w:ilvl w:val="0"/>
          <w:numId w:val="77"/>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全木试剂柜</w:t>
      </w:r>
      <w:r/>
    </w:p>
    <w:p>
      <w:pPr>
        <w:numPr>
          <w:ilvl w:val="0"/>
          <w:numId w:val="83"/>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：1套。</w:t>
      </w:r>
      <w:r/>
    </w:p>
    <w:p>
      <w:pPr>
        <w:numPr>
          <w:ilvl w:val="0"/>
          <w:numId w:val="83"/>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L900×W450×H1800mm；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柜体：木质基材采用优质环保型E0级实木颗粒板，厚18mm，具有防腐、防火、防蛀等性能；</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柜门：木平开门，木质基材采用优质环保型E0级实木颗粒板，厚18mm，全部截面1mm厚PVC封边条封边处理，采用专用模具一字型铝合金拉手；</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玻璃木框平开门：5mm玻璃国标，镶木门框，木质基材采用优质环保型E0级实木颗粒板，厚18mm，全部截面1mm厚PVC封边条封边处理，采用专用模具一字型铝合金拉手；</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活动层板：采用环保型E0级实木颗粒板，全部截面1mm厚PVC封边条封边处理；</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铰链：采用实验室专用DTC铰链，具有耐酸碱、抗腐蚀、承重力强、可承重75kg以上，耐磨损、不生锈等优良性能，开起5万次以上无损坏，无噪音，不回弹，不折断；</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螺丝：采用尼龙及不锈钢螺丝，牢固优质，且美观耐用。</w:t>
      </w:r>
      <w:r/>
    </w:p>
    <w:p>
      <w:pPr>
        <w:pStyle w:val="1133"/>
        <w:numPr>
          <w:ilvl w:val="0"/>
          <w:numId w:val="31"/>
        </w:numPr>
        <w:jc w:val="left"/>
        <w:spacing w:line="360" w:lineRule="auto"/>
        <w:tabs>
          <w:tab w:val="left" w:pos="484" w:leader="none"/>
          <w:tab w:val="left" w:pos="55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生产配套系统设备</w:t>
      </w:r>
      <w:r/>
    </w:p>
    <w:p>
      <w:pPr>
        <w:pStyle w:val="1133"/>
        <w:numPr>
          <w:ilvl w:val="0"/>
          <w:numId w:val="84"/>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单极反渗透水处理系统</w:t>
      </w:r>
      <w:r/>
    </w:p>
    <w:p>
      <w:pPr>
        <w:numPr>
          <w:ilvl w:val="0"/>
          <w:numId w:val="85"/>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：1台。</w:t>
      </w:r>
      <w:r/>
    </w:p>
    <w:p>
      <w:pPr>
        <w:numPr>
          <w:ilvl w:val="0"/>
          <w:numId w:val="85"/>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性能特点</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溶液高压的作用下，水分子以外的其它物质不能通过半透膜而将这些物质和水分离开来，由于反渗入膜的膜孔径非常小（仅为10A左右，1A=1×10~10m），因此可以有效地清除水中的溶解盐类、胶体、微生物、有机物等（清除率高达97%~98%），反渗透是目前纯水设备中应用最广泛的一种脱盐技术，它的分离对象是溶液中的离子范畴和分子量几百的有机物；</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预处理系统对不符合反渗透膜进水条件的原水进行处理，改善供水环境，使之达到要求，延长反渗透膜的寿命；</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系统处理的对象主要是原水进水中的微生物、细菌、胶体、有机物、重金属离子、固体颗粒及游离氯等物质，保证后续膜处理装置能长期稳定运行；</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系统由原水箱、原水泵、石英砂过滤器、活性炭过滤器、精密过滤系统组成；</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RO反渗透系统为设备的主体单</w:t>
      </w:r>
      <w:r>
        <w:rPr>
          <w:rFonts w:hint="eastAsia" w:ascii="宋体" w:hAnsi="宋体" w:eastAsia="宋体" w:cs="宋体"/>
          <w:color w:val="auto"/>
          <w:sz w:val="24"/>
          <w:szCs w:val="24"/>
          <w:highlight w:val="none"/>
        </w:rPr>
        <w:t xml:space="preserve">元，它主要由高压泵、RO反渗透膜组、纯水箱和紫外线杀菌装置等组成，通过高压泵加压，利用孔径为1/10000mm（相当于大肠杆菌大小的1/6000，病毒的1/300）的反渗透膜（RO膜）使较高浓度的水变为低浓度水，同时可去除水中的浊度、色度、硬度，和镭、铀等放射性元素，三卤甲烷、石棉等致癌物质及无机离子，特别是有害的铅、锑、砷、镐、铝、铜等金属离子及氰化物（砒酸），亚硝酸、农药等化学物质，从而达到纯化水规定的纯度指标及卫生标准，RO膜是纯水机重要的配件，一般更换周期约三年，视进水水质及用水等情况确定更换周期；</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RO纯水储存在纯水箱内，该水箱对纯水的供水起到缓冲作用，协调RO纯水的供给量与纯水泵的输出量，水箱分高、低二水位，低于低水位时启动高压泵、原水泵，直至水箱高水位（工作水箱水位低位）时，（PLC控制）自动关闭高压泵、原水泵停止；</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紫外线发出的光能量被生物体吸收，而引起细胞本身的变化，尤其是细胞中的核酸，对240~260nm间的紫外线吸收得多，引起核酸中遗传因子的变化，使其机能破坏，失去繁殖能力，失去繁殖能力的微生物，再受到紫外线的照射时，生物体发生膨胀，使生物体内的物质开始外流，直至坏死，导致了细菌的死亡，从而起到杀菌保鲜的作用。</w:t>
      </w:r>
      <w:r/>
    </w:p>
    <w:p>
      <w:pPr>
        <w:numPr>
          <w:ilvl w:val="0"/>
          <w:numId w:val="85"/>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设备组成与性能参数</w:t>
      </w:r>
      <w:r>
        <w:rPr>
          <w:rFonts w:hint="eastAsia" w:ascii="宋体" w:hAnsi="宋体" w:eastAsia="宋体" w:cs="宋体"/>
          <w:color w:val="auto"/>
          <w:sz w:val="24"/>
          <w:szCs w:val="24"/>
          <w:highlight w:val="none"/>
        </w:rPr>
        <w:t xml:space="preserve">：</w:t>
      </w:r>
      <w:r/>
    </w:p>
    <w:p>
      <w:pPr>
        <w:pStyle w:val="1133"/>
        <w:numPr>
          <w:ilvl w:val="0"/>
          <w:numId w:val="86"/>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总体设备</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原水水源：当地市政供水；进水流量：≥8m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/h；原水压力：≥0.2MPa；原水温度：5℃~30℃；</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产水用途：工艺用水；产水量：4t/h；产水水质：电导率≤10µs/cm；回收率：≥60%；脱盐率：≥97%；运行方式：自动运行；</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给排水：供水管辅设至水处理房间内，供水水压应大于0.3MPa，用水量约2m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/h，房间应设有排水地漏及排水沟；</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供电：水处理房间内设置总配电箱，380V/4ph/50Hz；</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动力总容量：约12kW；</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本套水处理设备占地面积：约为5m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w:t>
      </w:r>
      <w:r/>
    </w:p>
    <w:p>
      <w:pPr>
        <w:pStyle w:val="1133"/>
        <w:numPr>
          <w:ilvl w:val="0"/>
          <w:numId w:val="86"/>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原水箱系统</w:t>
      </w:r>
      <w:r/>
    </w:p>
    <w:p>
      <w:pPr>
        <w:pStyle w:val="1133"/>
        <w:numPr>
          <w:ilvl w:val="0"/>
          <w:numId w:val="87"/>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原水箱</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数量：1台；</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容积：</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8000L；规格：</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Φ2000×2400×3mm；</w:t>
      </w:r>
      <w:r>
        <w:rPr>
          <w:rFonts w:hint="eastAsia" w:ascii="宋体" w:hAnsi="宋体" w:eastAsia="宋体" w:cs="宋体"/>
          <w:color w:val="auto"/>
          <w:sz w:val="24"/>
          <w:szCs w:val="24"/>
          <w:highlight w:val="none"/>
        </w:rPr>
        <w:t xml:space="preserve">材质：SUS304。</w:t>
      </w:r>
      <w:r/>
    </w:p>
    <w:p>
      <w:pPr>
        <w:pStyle w:val="1133"/>
        <w:numPr>
          <w:ilvl w:val="0"/>
          <w:numId w:val="87"/>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出水阀</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数量：1台；</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规格：Φ50mm；材质：SUS304；参考品牌：龙泽</w:t>
      </w:r>
      <w:r>
        <w:rPr>
          <w:rFonts w:hint="eastAsia" w:ascii="宋体" w:hAnsi="宋体" w:eastAsia="宋体" w:cs="宋体"/>
          <w:color w:val="auto"/>
          <w:sz w:val="24"/>
          <w:szCs w:val="24"/>
          <w:highlight w:val="none"/>
          <w:lang w:eastAsia="zh-CN"/>
        </w:rPr>
        <w:t xml:space="preserve">/宇岳/龙祺</w:t>
      </w:r>
      <w:r>
        <w:rPr>
          <w:rFonts w:hint="eastAsia" w:ascii="宋体" w:hAnsi="宋体" w:eastAsia="宋体" w:cs="宋体"/>
          <w:color w:val="auto"/>
          <w:sz w:val="24"/>
          <w:szCs w:val="24"/>
          <w:highlight w:val="none"/>
        </w:rPr>
        <w:t xml:space="preserve">。</w:t>
      </w:r>
      <w:r/>
    </w:p>
    <w:p>
      <w:pPr>
        <w:pStyle w:val="1133"/>
        <w:numPr>
          <w:ilvl w:val="0"/>
          <w:numId w:val="87"/>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原水进水阀</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数量：1台；</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规格：Φ50mm；材质：SUS304；参考品牌：龙泽</w:t>
      </w:r>
      <w:r>
        <w:rPr>
          <w:rFonts w:hint="eastAsia" w:ascii="宋体" w:hAnsi="宋体" w:eastAsia="宋体" w:cs="宋体"/>
          <w:color w:val="auto"/>
          <w:sz w:val="24"/>
          <w:szCs w:val="24"/>
          <w:highlight w:val="none"/>
          <w:lang w:eastAsia="zh-CN"/>
        </w:rPr>
        <w:t xml:space="preserve">/宇岳/龙祺</w:t>
      </w:r>
      <w:r>
        <w:rPr>
          <w:rFonts w:hint="eastAsia" w:ascii="宋体" w:hAnsi="宋体" w:eastAsia="宋体" w:cs="宋体"/>
          <w:color w:val="auto"/>
          <w:sz w:val="24"/>
          <w:szCs w:val="24"/>
          <w:highlight w:val="none"/>
        </w:rPr>
        <w:t xml:space="preserve">。</w:t>
      </w:r>
      <w:r/>
    </w:p>
    <w:p>
      <w:pPr>
        <w:pStyle w:val="1133"/>
        <w:numPr>
          <w:ilvl w:val="0"/>
          <w:numId w:val="87"/>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液位开关</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数量：1只；</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规格：0~2m；材质：SUS304；参考品牌：三晶</w:t>
      </w:r>
      <w:r>
        <w:rPr>
          <w:rFonts w:hint="eastAsia" w:ascii="宋体" w:hAnsi="宋体" w:eastAsia="宋体" w:cs="宋体"/>
          <w:color w:val="auto"/>
          <w:sz w:val="24"/>
          <w:szCs w:val="24"/>
          <w:highlight w:val="none"/>
          <w:lang w:eastAsia="zh-CN"/>
        </w:rPr>
        <w:t xml:space="preserve">/霍尼韦尔/正泰</w:t>
      </w:r>
      <w:r>
        <w:rPr>
          <w:rFonts w:hint="eastAsia" w:ascii="宋体" w:hAnsi="宋体" w:eastAsia="宋体" w:cs="宋体"/>
          <w:color w:val="auto"/>
          <w:sz w:val="24"/>
          <w:szCs w:val="24"/>
          <w:highlight w:val="none"/>
        </w:rPr>
        <w:t xml:space="preserve">。</w:t>
      </w:r>
      <w:r/>
    </w:p>
    <w:p>
      <w:pPr>
        <w:pStyle w:val="1133"/>
        <w:numPr>
          <w:ilvl w:val="0"/>
          <w:numId w:val="87"/>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空气呼吸器</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数量：1套；</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规格：Φ50mm；材质：SUS304；参考品牌：三晶</w:t>
      </w:r>
      <w:r>
        <w:rPr>
          <w:rFonts w:hint="eastAsia" w:ascii="宋体" w:hAnsi="宋体" w:eastAsia="宋体" w:cs="宋体"/>
          <w:color w:val="auto"/>
          <w:sz w:val="24"/>
          <w:szCs w:val="24"/>
          <w:highlight w:val="none"/>
          <w:lang w:eastAsia="zh-CN"/>
        </w:rPr>
        <w:t xml:space="preserve">/霍尼韦尔/正泰</w:t>
      </w:r>
      <w:r>
        <w:rPr>
          <w:rFonts w:hint="eastAsia" w:ascii="宋体" w:hAnsi="宋体" w:eastAsia="宋体" w:cs="宋体"/>
          <w:color w:val="auto"/>
          <w:sz w:val="24"/>
          <w:szCs w:val="24"/>
          <w:highlight w:val="none"/>
        </w:rPr>
        <w:t xml:space="preserve">。</w:t>
      </w:r>
      <w:r/>
    </w:p>
    <w:p>
      <w:pPr>
        <w:pStyle w:val="1133"/>
        <w:numPr>
          <w:ilvl w:val="0"/>
          <w:numId w:val="87"/>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管道、管件</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数量：1批；</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规格：Φ50mm；材质：SUS304；参考品牌：龙泽</w:t>
      </w:r>
      <w:r>
        <w:rPr>
          <w:rFonts w:hint="eastAsia" w:ascii="宋体" w:hAnsi="宋体" w:eastAsia="宋体" w:cs="宋体"/>
          <w:color w:val="auto"/>
          <w:sz w:val="24"/>
          <w:szCs w:val="24"/>
          <w:highlight w:val="none"/>
          <w:lang w:eastAsia="zh-CN"/>
        </w:rPr>
        <w:t xml:space="preserve">/宇岳/龙祺</w:t>
      </w:r>
      <w:r>
        <w:rPr>
          <w:rFonts w:hint="eastAsia" w:ascii="宋体" w:hAnsi="宋体" w:eastAsia="宋体" w:cs="宋体"/>
          <w:color w:val="auto"/>
          <w:sz w:val="24"/>
          <w:szCs w:val="24"/>
          <w:highlight w:val="none"/>
        </w:rPr>
        <w:t xml:space="preserve">。</w:t>
      </w:r>
      <w:r/>
    </w:p>
    <w:p>
      <w:pPr>
        <w:pStyle w:val="1133"/>
        <w:numPr>
          <w:ilvl w:val="0"/>
          <w:numId w:val="86"/>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原水泵系统</w:t>
      </w:r>
      <w:r/>
    </w:p>
    <w:p>
      <w:pPr>
        <w:pStyle w:val="1133"/>
        <w:numPr>
          <w:ilvl w:val="0"/>
          <w:numId w:val="88"/>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原水泵</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数量：1台；</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型号：BJZ；功率：3kW；流量：8m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/h；参考品牌：凌霄</w:t>
      </w:r>
      <w:r>
        <w:rPr>
          <w:rFonts w:hint="eastAsia" w:ascii="宋体" w:hAnsi="宋体" w:eastAsia="宋体" w:cs="宋体"/>
          <w:color w:val="auto"/>
          <w:sz w:val="24"/>
          <w:szCs w:val="24"/>
          <w:highlight w:val="none"/>
          <w:lang w:eastAsia="zh-CN"/>
        </w:rPr>
        <w:t xml:space="preserve">/南方泵业/</w:t>
      </w:r>
      <w:r>
        <w:rPr>
          <w:rFonts w:hint="eastAsia" w:ascii="宋体" w:hAnsi="宋体" w:eastAsia="宋体" w:cs="宋体"/>
          <w:color w:val="auto"/>
          <w:sz w:val="24"/>
          <w:szCs w:val="24"/>
          <w:highlight w:val="none"/>
        </w:rPr>
        <w:t xml:space="preserve">阿尔道斯</w:t>
      </w:r>
      <w:r>
        <w:rPr>
          <w:rFonts w:hint="eastAsia" w:ascii="宋体" w:hAnsi="宋体" w:eastAsia="宋体" w:cs="宋体"/>
          <w:color w:val="auto"/>
          <w:sz w:val="24"/>
          <w:szCs w:val="24"/>
          <w:highlight w:val="none"/>
        </w:rPr>
        <w:t xml:space="preserve">。</w:t>
      </w:r>
      <w:r/>
    </w:p>
    <w:p>
      <w:pPr>
        <w:pStyle w:val="1133"/>
        <w:numPr>
          <w:ilvl w:val="0"/>
          <w:numId w:val="88"/>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基本型变频器</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数量：1台；</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功率：3kW；材质：SUS304；参考品牌：西门子</w:t>
      </w:r>
      <w:r>
        <w:rPr>
          <w:rFonts w:hint="eastAsia" w:ascii="宋体" w:hAnsi="宋体" w:eastAsia="宋体" w:cs="宋体"/>
          <w:color w:val="auto"/>
          <w:sz w:val="24"/>
          <w:szCs w:val="24"/>
          <w:highlight w:val="none"/>
          <w:lang w:eastAsia="zh-CN"/>
        </w:rPr>
        <w:t xml:space="preserve">/三菱/台达</w:t>
      </w:r>
      <w:r>
        <w:rPr>
          <w:rFonts w:hint="eastAsia" w:ascii="宋体" w:hAnsi="宋体" w:eastAsia="宋体" w:cs="宋体"/>
          <w:color w:val="auto"/>
          <w:sz w:val="24"/>
          <w:szCs w:val="24"/>
          <w:highlight w:val="none"/>
        </w:rPr>
        <w:t xml:space="preserve">。</w:t>
      </w:r>
      <w:r/>
    </w:p>
    <w:p>
      <w:pPr>
        <w:pStyle w:val="1133"/>
        <w:numPr>
          <w:ilvl w:val="0"/>
          <w:numId w:val="88"/>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进水阀</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数量：1台；</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规格：Φ50mm；材质：SUS304；参考品牌：龙泽</w:t>
      </w:r>
      <w:r>
        <w:rPr>
          <w:rFonts w:hint="eastAsia" w:ascii="宋体" w:hAnsi="宋体" w:eastAsia="宋体" w:cs="宋体"/>
          <w:color w:val="auto"/>
          <w:sz w:val="24"/>
          <w:szCs w:val="24"/>
          <w:highlight w:val="none"/>
          <w:lang w:eastAsia="zh-CN"/>
        </w:rPr>
        <w:t xml:space="preserve">/宇岳/龙祺</w:t>
      </w:r>
      <w:r>
        <w:rPr>
          <w:rFonts w:hint="eastAsia" w:ascii="宋体" w:hAnsi="宋体" w:eastAsia="宋体" w:cs="宋体"/>
          <w:color w:val="auto"/>
          <w:sz w:val="24"/>
          <w:szCs w:val="24"/>
          <w:highlight w:val="none"/>
        </w:rPr>
        <w:t xml:space="preserve">。</w:t>
      </w:r>
      <w:r/>
    </w:p>
    <w:p>
      <w:pPr>
        <w:pStyle w:val="1133"/>
        <w:numPr>
          <w:ilvl w:val="0"/>
          <w:numId w:val="88"/>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出水阀</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数量：1台；</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规格：Φ50mm；材质：SUS304；参考品牌：龙泽</w:t>
      </w:r>
      <w:r>
        <w:rPr>
          <w:rFonts w:hint="eastAsia" w:ascii="宋体" w:hAnsi="宋体" w:eastAsia="宋体" w:cs="宋体"/>
          <w:color w:val="auto"/>
          <w:sz w:val="24"/>
          <w:szCs w:val="24"/>
          <w:highlight w:val="none"/>
          <w:lang w:eastAsia="zh-CN"/>
        </w:rPr>
        <w:t xml:space="preserve">/宇岳/龙祺</w:t>
      </w:r>
      <w:r>
        <w:rPr>
          <w:rFonts w:hint="eastAsia" w:ascii="宋体" w:hAnsi="宋体" w:eastAsia="宋体" w:cs="宋体"/>
          <w:color w:val="auto"/>
          <w:sz w:val="24"/>
          <w:szCs w:val="24"/>
          <w:highlight w:val="none"/>
        </w:rPr>
        <w:t xml:space="preserve">。</w:t>
      </w:r>
      <w:r/>
    </w:p>
    <w:p>
      <w:pPr>
        <w:pStyle w:val="1133"/>
        <w:numPr>
          <w:ilvl w:val="0"/>
          <w:numId w:val="88"/>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管道、管件</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数量：1台；</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规格：Φ50mm；材质：SUS304；参考品牌：龙泽</w:t>
      </w:r>
      <w:r>
        <w:rPr>
          <w:rFonts w:hint="eastAsia" w:ascii="宋体" w:hAnsi="宋体" w:eastAsia="宋体" w:cs="宋体"/>
          <w:color w:val="auto"/>
          <w:sz w:val="24"/>
          <w:szCs w:val="24"/>
          <w:highlight w:val="none"/>
          <w:lang w:eastAsia="zh-CN"/>
        </w:rPr>
        <w:t xml:space="preserve">/宇岳/龙祺</w:t>
      </w:r>
      <w:r>
        <w:rPr>
          <w:rFonts w:hint="eastAsia" w:ascii="宋体" w:hAnsi="宋体" w:eastAsia="宋体" w:cs="宋体"/>
          <w:color w:val="auto"/>
          <w:sz w:val="24"/>
          <w:szCs w:val="24"/>
          <w:highlight w:val="none"/>
        </w:rPr>
        <w:t xml:space="preserve">。</w:t>
      </w:r>
      <w:r/>
    </w:p>
    <w:p>
      <w:pPr>
        <w:pStyle w:val="1133"/>
        <w:numPr>
          <w:ilvl w:val="0"/>
          <w:numId w:val="86"/>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加药装置系统</w:t>
      </w:r>
      <w:r/>
    </w:p>
    <w:p>
      <w:pPr>
        <w:pStyle w:val="1133"/>
        <w:numPr>
          <w:ilvl w:val="0"/>
          <w:numId w:val="89"/>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计量泵</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数量：1台；</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规格：0-7L；参考品牌：阿尔道斯</w:t>
      </w:r>
      <w:r>
        <w:rPr>
          <w:rFonts w:hint="eastAsia" w:ascii="宋体" w:hAnsi="宋体" w:eastAsia="宋体" w:cs="宋体"/>
          <w:color w:val="auto"/>
          <w:sz w:val="24"/>
          <w:szCs w:val="24"/>
          <w:highlight w:val="none"/>
          <w:lang w:eastAsia="zh-CN"/>
        </w:rPr>
        <w:t xml:space="preserve">/南方泵业/凌霄</w:t>
      </w:r>
      <w:r>
        <w:rPr>
          <w:rFonts w:hint="eastAsia" w:ascii="宋体" w:hAnsi="宋体" w:eastAsia="宋体" w:cs="宋体"/>
          <w:color w:val="auto"/>
          <w:sz w:val="24"/>
          <w:szCs w:val="24"/>
          <w:highlight w:val="none"/>
        </w:rPr>
        <w:t xml:space="preserve">。</w:t>
      </w:r>
      <w:r/>
    </w:p>
    <w:p>
      <w:pPr>
        <w:pStyle w:val="1133"/>
        <w:numPr>
          <w:ilvl w:val="0"/>
          <w:numId w:val="89"/>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药箱</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数量：1台；</w:t>
      </w:r>
      <w:r/>
    </w:p>
    <w:p>
      <w:pPr>
        <w:pStyle w:val="1133"/>
        <w:numPr>
          <w:ilvl w:val="0"/>
          <w:numId w:val="34"/>
        </w:numPr>
        <w:spacing w:line="360" w:lineRule="auto"/>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规格：PE-80L；材质：PE。</w:t>
      </w:r>
      <w:r/>
    </w:p>
    <w:p>
      <w:pPr>
        <w:pStyle w:val="1133"/>
        <w:numPr>
          <w:ilvl w:val="0"/>
          <w:numId w:val="89"/>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止回阀</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数量：1台；</w:t>
      </w:r>
      <w:r/>
    </w:p>
    <w:p>
      <w:pPr>
        <w:pStyle w:val="1133"/>
        <w:numPr>
          <w:ilvl w:val="0"/>
          <w:numId w:val="34"/>
        </w:numPr>
        <w:spacing w:line="360" w:lineRule="auto"/>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规格：Φ15mm；材质：SUS304；参考品牌：龙泽</w:t>
      </w:r>
      <w:r>
        <w:rPr>
          <w:rFonts w:hint="eastAsia" w:ascii="宋体" w:hAnsi="宋体" w:eastAsia="宋体" w:cs="宋体"/>
          <w:color w:val="auto"/>
          <w:sz w:val="24"/>
          <w:szCs w:val="24"/>
          <w:highlight w:val="none"/>
          <w:lang w:eastAsia="zh-CN"/>
        </w:rPr>
        <w:t xml:space="preserve">/宇岳/龙祺</w:t>
      </w:r>
      <w:r>
        <w:rPr>
          <w:rFonts w:hint="eastAsia" w:ascii="宋体" w:hAnsi="宋体" w:eastAsia="宋体" w:cs="宋体"/>
          <w:color w:val="auto"/>
          <w:sz w:val="24"/>
          <w:szCs w:val="24"/>
          <w:highlight w:val="none"/>
        </w:rPr>
        <w:t xml:space="preserve">。</w:t>
      </w:r>
      <w:r/>
    </w:p>
    <w:p>
      <w:pPr>
        <w:pStyle w:val="1133"/>
        <w:numPr>
          <w:ilvl w:val="0"/>
          <w:numId w:val="89"/>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管道、管件</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数量：1台；</w:t>
      </w:r>
      <w:r/>
    </w:p>
    <w:p>
      <w:pPr>
        <w:pStyle w:val="1133"/>
        <w:numPr>
          <w:ilvl w:val="0"/>
          <w:numId w:val="34"/>
        </w:numPr>
        <w:spacing w:line="360" w:lineRule="auto"/>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规格：Φ50mm；材质：SUS304；参考品牌：龙泽</w:t>
      </w:r>
      <w:r>
        <w:rPr>
          <w:rFonts w:hint="eastAsia" w:ascii="宋体" w:hAnsi="宋体" w:eastAsia="宋体" w:cs="宋体"/>
          <w:color w:val="auto"/>
          <w:sz w:val="24"/>
          <w:szCs w:val="24"/>
          <w:highlight w:val="none"/>
          <w:lang w:eastAsia="zh-CN"/>
        </w:rPr>
        <w:t xml:space="preserve">/宇岳/龙祺</w:t>
      </w:r>
      <w:r>
        <w:rPr>
          <w:rFonts w:hint="eastAsia" w:ascii="宋体" w:hAnsi="宋体" w:eastAsia="宋体" w:cs="宋体"/>
          <w:color w:val="auto"/>
          <w:sz w:val="24"/>
          <w:szCs w:val="24"/>
          <w:highlight w:val="none"/>
        </w:rPr>
        <w:t xml:space="preserve">。</w:t>
      </w:r>
      <w:r/>
    </w:p>
    <w:p>
      <w:pPr>
        <w:pStyle w:val="1133"/>
        <w:numPr>
          <w:ilvl w:val="0"/>
          <w:numId w:val="86"/>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石英砂过滤器系统</w:t>
      </w:r>
      <w:r/>
    </w:p>
    <w:p>
      <w:pPr>
        <w:pStyle w:val="1133"/>
        <w:numPr>
          <w:ilvl w:val="0"/>
          <w:numId w:val="90"/>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石英砂过滤器</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采购数量：1台；</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规格：Φ600×1950×1.5mm；材质：SUS304；压力：0.6MPa。</w:t>
      </w:r>
      <w:r/>
    </w:p>
    <w:p>
      <w:pPr>
        <w:pStyle w:val="1133"/>
        <w:numPr>
          <w:ilvl w:val="0"/>
          <w:numId w:val="90"/>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采样阀</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采购数量：1台；</w:t>
      </w:r>
      <w:r/>
    </w:p>
    <w:p>
      <w:pPr>
        <w:pStyle w:val="1133"/>
        <w:numPr>
          <w:ilvl w:val="0"/>
          <w:numId w:val="34"/>
        </w:numPr>
        <w:spacing w:line="360" w:lineRule="auto"/>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规格：Φ50mm；材质：SUS304；参考品牌：龙泽</w:t>
      </w:r>
      <w:r>
        <w:rPr>
          <w:rFonts w:hint="eastAsia" w:ascii="宋体" w:hAnsi="宋体" w:eastAsia="宋体" w:cs="宋体"/>
          <w:color w:val="auto"/>
          <w:sz w:val="24"/>
          <w:szCs w:val="24"/>
          <w:highlight w:val="none"/>
          <w:lang w:eastAsia="zh-CN"/>
        </w:rPr>
        <w:t xml:space="preserve">/宇岳/龙祺</w:t>
      </w:r>
      <w:r>
        <w:rPr>
          <w:rFonts w:hint="eastAsia" w:ascii="宋体" w:hAnsi="宋体" w:eastAsia="宋体" w:cs="宋体"/>
          <w:color w:val="auto"/>
          <w:sz w:val="24"/>
          <w:szCs w:val="24"/>
          <w:highlight w:val="none"/>
        </w:rPr>
        <w:t xml:space="preserve">。</w:t>
      </w:r>
      <w:r/>
    </w:p>
    <w:p>
      <w:pPr>
        <w:pStyle w:val="1133"/>
        <w:numPr>
          <w:ilvl w:val="0"/>
          <w:numId w:val="90"/>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石英砂</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采购数量：400kg；</w:t>
      </w:r>
      <w:r/>
    </w:p>
    <w:p>
      <w:pPr>
        <w:pStyle w:val="1133"/>
        <w:numPr>
          <w:ilvl w:val="0"/>
          <w:numId w:val="34"/>
        </w:numPr>
        <w:spacing w:line="360" w:lineRule="auto"/>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参考品牌：展望</w:t>
      </w:r>
      <w:r>
        <w:rPr>
          <w:rFonts w:hint="eastAsia" w:ascii="宋体" w:hAnsi="宋体" w:eastAsia="宋体" w:cs="宋体"/>
          <w:color w:val="auto"/>
          <w:sz w:val="24"/>
          <w:szCs w:val="24"/>
          <w:highlight w:val="none"/>
          <w:lang w:eastAsia="zh-CN"/>
        </w:rPr>
        <w:t xml:space="preserve">/聚森源碳业/缘百年</w:t>
      </w:r>
      <w:r>
        <w:rPr>
          <w:rFonts w:hint="eastAsia" w:ascii="宋体" w:hAnsi="宋体" w:eastAsia="宋体" w:cs="宋体"/>
          <w:color w:val="auto"/>
          <w:sz w:val="24"/>
          <w:szCs w:val="24"/>
          <w:highlight w:val="none"/>
        </w:rPr>
        <w:t xml:space="preserve">。</w:t>
      </w:r>
      <w:r/>
    </w:p>
    <w:p>
      <w:pPr>
        <w:pStyle w:val="1133"/>
        <w:numPr>
          <w:ilvl w:val="0"/>
          <w:numId w:val="90"/>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压力表</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采购数量：1只；</w:t>
      </w:r>
      <w:r/>
    </w:p>
    <w:p>
      <w:pPr>
        <w:pStyle w:val="1133"/>
        <w:numPr>
          <w:ilvl w:val="0"/>
          <w:numId w:val="34"/>
        </w:numPr>
        <w:spacing w:line="360" w:lineRule="auto"/>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规格：0~1.5MPa；材质：SUS304；参考品牌：华俄</w:t>
      </w:r>
      <w:r>
        <w:rPr>
          <w:rFonts w:hint="eastAsia" w:ascii="宋体" w:hAnsi="宋体" w:eastAsia="宋体" w:cs="宋体"/>
          <w:color w:val="auto"/>
          <w:sz w:val="24"/>
          <w:szCs w:val="24"/>
          <w:highlight w:val="none"/>
          <w:lang w:eastAsia="zh-CN"/>
        </w:rPr>
        <w:t xml:space="preserve">/富阳/红旗</w:t>
      </w:r>
      <w:r>
        <w:rPr>
          <w:rFonts w:hint="eastAsia" w:ascii="宋体" w:hAnsi="宋体" w:eastAsia="宋体" w:cs="宋体"/>
          <w:color w:val="auto"/>
          <w:sz w:val="24"/>
          <w:szCs w:val="24"/>
          <w:highlight w:val="none"/>
        </w:rPr>
        <w:t xml:space="preserve">。</w:t>
      </w:r>
      <w:r/>
    </w:p>
    <w:p>
      <w:pPr>
        <w:pStyle w:val="1133"/>
        <w:numPr>
          <w:ilvl w:val="0"/>
          <w:numId w:val="90"/>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管道、管件</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采购数量：1批；</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规格：Φ50mm；材质：SUS304；参考品牌：龙泽</w:t>
      </w:r>
      <w:r>
        <w:rPr>
          <w:rFonts w:hint="eastAsia" w:ascii="宋体" w:hAnsi="宋体" w:eastAsia="宋体" w:cs="宋体"/>
          <w:color w:val="auto"/>
          <w:sz w:val="24"/>
          <w:szCs w:val="24"/>
          <w:highlight w:val="none"/>
          <w:lang w:eastAsia="zh-CN"/>
        </w:rPr>
        <w:t xml:space="preserve">/宇岳/龙祺</w:t>
      </w:r>
      <w:r>
        <w:rPr>
          <w:rFonts w:hint="eastAsia" w:ascii="宋体" w:hAnsi="宋体" w:eastAsia="宋体" w:cs="宋体"/>
          <w:color w:val="auto"/>
          <w:sz w:val="24"/>
          <w:szCs w:val="24"/>
          <w:highlight w:val="none"/>
        </w:rPr>
        <w:t xml:space="preserve">。</w:t>
      </w:r>
      <w:r/>
    </w:p>
    <w:p>
      <w:pPr>
        <w:pStyle w:val="1133"/>
        <w:numPr>
          <w:ilvl w:val="0"/>
          <w:numId w:val="86"/>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活性炭过滤器系统</w:t>
      </w:r>
      <w:r/>
    </w:p>
    <w:p>
      <w:pPr>
        <w:pStyle w:val="1133"/>
        <w:numPr>
          <w:ilvl w:val="0"/>
          <w:numId w:val="91"/>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石英砂过滤器</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采购数量：1只；</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规格：Φ600×1950×1.5mm；材质：SUS304；压力：0.6MPa。</w:t>
      </w:r>
      <w:r/>
    </w:p>
    <w:p>
      <w:pPr>
        <w:pStyle w:val="1133"/>
        <w:numPr>
          <w:ilvl w:val="0"/>
          <w:numId w:val="91"/>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压力表</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采购数量：1只；</w:t>
      </w:r>
      <w:r/>
    </w:p>
    <w:p>
      <w:pPr>
        <w:pStyle w:val="1133"/>
        <w:numPr>
          <w:ilvl w:val="0"/>
          <w:numId w:val="34"/>
        </w:numPr>
        <w:spacing w:line="360" w:lineRule="auto"/>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规格：0~1.5MPa；材质：SUS304；参考品牌：华俄</w:t>
      </w:r>
      <w:r>
        <w:rPr>
          <w:rFonts w:hint="eastAsia" w:ascii="宋体" w:hAnsi="宋体" w:eastAsia="宋体" w:cs="宋体"/>
          <w:color w:val="auto"/>
          <w:sz w:val="24"/>
          <w:szCs w:val="24"/>
          <w:highlight w:val="none"/>
          <w:lang w:eastAsia="zh-CN"/>
        </w:rPr>
        <w:t xml:space="preserve">/富阳/红旗</w:t>
      </w:r>
      <w:r>
        <w:rPr>
          <w:rFonts w:hint="eastAsia" w:ascii="宋体" w:hAnsi="宋体" w:eastAsia="宋体" w:cs="宋体"/>
          <w:color w:val="auto"/>
          <w:sz w:val="24"/>
          <w:szCs w:val="24"/>
          <w:highlight w:val="none"/>
        </w:rPr>
        <w:t xml:space="preserve">。</w:t>
      </w:r>
      <w:r/>
    </w:p>
    <w:p>
      <w:pPr>
        <w:pStyle w:val="1133"/>
        <w:numPr>
          <w:ilvl w:val="0"/>
          <w:numId w:val="91"/>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活性炭</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采购数量：200kg；</w:t>
      </w:r>
      <w:r/>
    </w:p>
    <w:p>
      <w:pPr>
        <w:pStyle w:val="1133"/>
        <w:numPr>
          <w:ilvl w:val="0"/>
          <w:numId w:val="34"/>
        </w:numPr>
        <w:spacing w:line="360" w:lineRule="auto"/>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参考品牌：展望</w:t>
      </w:r>
      <w:r>
        <w:rPr>
          <w:rFonts w:hint="eastAsia" w:ascii="宋体" w:hAnsi="宋体" w:eastAsia="宋体" w:cs="宋体"/>
          <w:color w:val="auto"/>
          <w:sz w:val="24"/>
          <w:szCs w:val="24"/>
          <w:highlight w:val="none"/>
          <w:lang w:eastAsia="zh-CN"/>
        </w:rPr>
        <w:t xml:space="preserve">/聚森源碳业/缘百年</w:t>
      </w:r>
      <w:r>
        <w:rPr>
          <w:rFonts w:hint="eastAsia" w:ascii="宋体" w:hAnsi="宋体" w:eastAsia="宋体" w:cs="宋体"/>
          <w:color w:val="auto"/>
          <w:sz w:val="24"/>
          <w:szCs w:val="24"/>
          <w:highlight w:val="none"/>
        </w:rPr>
        <w:t xml:space="preserve">。</w:t>
      </w:r>
      <w:r/>
    </w:p>
    <w:p>
      <w:pPr>
        <w:pStyle w:val="1133"/>
        <w:numPr>
          <w:ilvl w:val="0"/>
          <w:numId w:val="91"/>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管道、管件</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采购数量：1批；</w:t>
      </w:r>
      <w:r/>
    </w:p>
    <w:p>
      <w:pPr>
        <w:pStyle w:val="1133"/>
        <w:numPr>
          <w:ilvl w:val="0"/>
          <w:numId w:val="34"/>
        </w:numPr>
        <w:spacing w:line="360" w:lineRule="auto"/>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规格：Φ50mm；材质：SUS304；参考品牌：龙泽</w:t>
      </w:r>
      <w:r>
        <w:rPr>
          <w:rFonts w:hint="eastAsia" w:ascii="宋体" w:hAnsi="宋体" w:eastAsia="宋体" w:cs="宋体"/>
          <w:color w:val="auto"/>
          <w:sz w:val="24"/>
          <w:szCs w:val="24"/>
          <w:highlight w:val="none"/>
          <w:lang w:eastAsia="zh-CN"/>
        </w:rPr>
        <w:t xml:space="preserve">/宇岳/龙祺</w:t>
      </w:r>
      <w:r>
        <w:rPr>
          <w:rFonts w:hint="eastAsia" w:ascii="宋体" w:hAnsi="宋体" w:eastAsia="宋体" w:cs="宋体"/>
          <w:color w:val="auto"/>
          <w:sz w:val="24"/>
          <w:szCs w:val="24"/>
          <w:highlight w:val="none"/>
        </w:rPr>
        <w:t xml:space="preserve">。</w:t>
      </w:r>
      <w:r/>
    </w:p>
    <w:p>
      <w:pPr>
        <w:pStyle w:val="1133"/>
        <w:numPr>
          <w:ilvl w:val="0"/>
          <w:numId w:val="86"/>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精密过滤器系统</w:t>
      </w:r>
      <w:r/>
    </w:p>
    <w:p>
      <w:pPr>
        <w:pStyle w:val="1133"/>
        <w:numPr>
          <w:ilvl w:val="0"/>
          <w:numId w:val="92"/>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精密过滤器</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采购数量：1台；</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规格：30″×5芯；材质：SUS304。</w:t>
      </w:r>
      <w:r/>
    </w:p>
    <w:p>
      <w:pPr>
        <w:pStyle w:val="1133"/>
        <w:numPr>
          <w:ilvl w:val="0"/>
          <w:numId w:val="92"/>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折叠PP滤芯</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采购数量：5只；</w:t>
      </w:r>
      <w:r/>
    </w:p>
    <w:p>
      <w:pPr>
        <w:pStyle w:val="1133"/>
        <w:numPr>
          <w:ilvl w:val="0"/>
          <w:numId w:val="34"/>
        </w:numPr>
        <w:spacing w:line="360" w:lineRule="auto"/>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规格：5.0μm30″；材质：PP。</w:t>
      </w:r>
      <w:r/>
    </w:p>
    <w:p>
      <w:pPr>
        <w:pStyle w:val="1133"/>
        <w:numPr>
          <w:ilvl w:val="0"/>
          <w:numId w:val="92"/>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压力表</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采购数量：1个；</w:t>
      </w:r>
      <w:r/>
    </w:p>
    <w:p>
      <w:pPr>
        <w:pStyle w:val="1133"/>
        <w:numPr>
          <w:ilvl w:val="0"/>
          <w:numId w:val="34"/>
        </w:numPr>
        <w:spacing w:line="360" w:lineRule="auto"/>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规格：0~400psi；材质：SUS304；参考品牌：华俄</w:t>
      </w:r>
      <w:r>
        <w:rPr>
          <w:rFonts w:hint="eastAsia" w:ascii="宋体" w:hAnsi="宋体" w:eastAsia="宋体" w:cs="宋体"/>
          <w:color w:val="auto"/>
          <w:sz w:val="24"/>
          <w:szCs w:val="24"/>
          <w:highlight w:val="none"/>
          <w:lang w:eastAsia="zh-CN"/>
        </w:rPr>
        <w:t xml:space="preserve">/南控/广一</w:t>
      </w:r>
      <w:r>
        <w:rPr>
          <w:rFonts w:hint="eastAsia" w:ascii="宋体" w:hAnsi="宋体" w:eastAsia="宋体" w:cs="宋体"/>
          <w:color w:val="auto"/>
          <w:sz w:val="24"/>
          <w:szCs w:val="24"/>
          <w:highlight w:val="none"/>
        </w:rPr>
        <w:t xml:space="preserve">。</w:t>
      </w:r>
      <w:r/>
    </w:p>
    <w:p>
      <w:pPr>
        <w:pStyle w:val="1133"/>
        <w:numPr>
          <w:ilvl w:val="0"/>
          <w:numId w:val="92"/>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管道、管件</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采购数量：1批；</w:t>
      </w:r>
      <w:r/>
    </w:p>
    <w:p>
      <w:pPr>
        <w:pStyle w:val="1133"/>
        <w:numPr>
          <w:ilvl w:val="0"/>
          <w:numId w:val="34"/>
        </w:numPr>
        <w:spacing w:line="360" w:lineRule="auto"/>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规格：Φ50mm；材质：SUS304；参考品牌：龙泽</w:t>
      </w:r>
      <w:r>
        <w:rPr>
          <w:rFonts w:hint="eastAsia" w:ascii="宋体" w:hAnsi="宋体" w:eastAsia="宋体" w:cs="宋体"/>
          <w:color w:val="auto"/>
          <w:sz w:val="24"/>
          <w:szCs w:val="24"/>
          <w:highlight w:val="none"/>
          <w:lang w:eastAsia="zh-CN"/>
        </w:rPr>
        <w:t xml:space="preserve">/宇岳/龙祺</w:t>
      </w:r>
      <w:r>
        <w:rPr>
          <w:rFonts w:hint="eastAsia" w:ascii="宋体" w:hAnsi="宋体" w:eastAsia="宋体" w:cs="宋体"/>
          <w:color w:val="auto"/>
          <w:sz w:val="24"/>
          <w:szCs w:val="24"/>
          <w:highlight w:val="none"/>
        </w:rPr>
        <w:t xml:space="preserve">。</w:t>
      </w:r>
      <w:r/>
    </w:p>
    <w:p>
      <w:pPr>
        <w:pStyle w:val="1133"/>
        <w:numPr>
          <w:ilvl w:val="0"/>
          <w:numId w:val="86"/>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RO系统</w:t>
      </w:r>
      <w:r/>
    </w:p>
    <w:p>
      <w:pPr>
        <w:pStyle w:val="1133"/>
        <w:numPr>
          <w:ilvl w:val="0"/>
          <w:numId w:val="93"/>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高压泵</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数量：1台</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功率：4kW；流量：12m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/h；扬程：160m；参考品牌：南方泵业</w:t>
      </w:r>
      <w:r>
        <w:rPr>
          <w:rFonts w:hint="eastAsia" w:ascii="宋体" w:hAnsi="宋体" w:eastAsia="宋体" w:cs="宋体"/>
          <w:color w:val="auto"/>
          <w:sz w:val="24"/>
          <w:szCs w:val="24"/>
          <w:highlight w:val="none"/>
          <w:lang w:eastAsia="zh-CN"/>
        </w:rPr>
        <w:t xml:space="preserve">/东方泵业/格兰富</w:t>
      </w:r>
      <w:r>
        <w:rPr>
          <w:rFonts w:hint="eastAsia" w:ascii="宋体" w:hAnsi="宋体" w:eastAsia="宋体" w:cs="宋体"/>
          <w:color w:val="auto"/>
          <w:sz w:val="24"/>
          <w:szCs w:val="24"/>
          <w:highlight w:val="none"/>
        </w:rPr>
        <w:t xml:space="preserve">。</w:t>
      </w:r>
      <w:r/>
    </w:p>
    <w:p>
      <w:pPr>
        <w:pStyle w:val="1133"/>
        <w:numPr>
          <w:ilvl w:val="0"/>
          <w:numId w:val="93"/>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基本型变频器</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数量：1个；</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功率：4kW；材质：SUS304；参考品牌：西门子</w:t>
      </w:r>
      <w:r>
        <w:rPr>
          <w:rFonts w:hint="eastAsia" w:ascii="宋体" w:hAnsi="宋体" w:eastAsia="宋体" w:cs="宋体"/>
          <w:color w:val="auto"/>
          <w:sz w:val="24"/>
          <w:szCs w:val="24"/>
          <w:highlight w:val="none"/>
          <w:lang w:eastAsia="zh-CN"/>
        </w:rPr>
        <w:t xml:space="preserve">/台达/三菱</w:t>
      </w:r>
      <w:r>
        <w:rPr>
          <w:rFonts w:hint="eastAsia" w:ascii="宋体" w:hAnsi="宋体" w:eastAsia="宋体" w:cs="宋体"/>
          <w:color w:val="auto"/>
          <w:sz w:val="24"/>
          <w:szCs w:val="24"/>
          <w:highlight w:val="none"/>
        </w:rPr>
        <w:t xml:space="preserve">。</w:t>
      </w:r>
      <w:r/>
    </w:p>
    <w:p>
      <w:pPr>
        <w:pStyle w:val="1133"/>
        <w:numPr>
          <w:ilvl w:val="0"/>
          <w:numId w:val="93"/>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RO膜元件</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数量：4支；</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规格：OV-LCLE-8040；材质：TFC；参考品牌：奥维</w:t>
      </w:r>
      <w:r>
        <w:rPr>
          <w:rFonts w:hint="eastAsia" w:ascii="宋体" w:hAnsi="宋体" w:eastAsia="宋体" w:cs="宋体"/>
          <w:color w:val="auto"/>
          <w:sz w:val="24"/>
          <w:szCs w:val="24"/>
          <w:highlight w:val="none"/>
          <w:lang w:eastAsia="zh-CN"/>
        </w:rPr>
        <w:t xml:space="preserve">/陶氏/汇通</w:t>
      </w:r>
      <w:r>
        <w:rPr>
          <w:rFonts w:hint="eastAsia" w:ascii="宋体" w:hAnsi="宋体" w:eastAsia="宋体" w:cs="宋体"/>
          <w:color w:val="auto"/>
          <w:sz w:val="24"/>
          <w:szCs w:val="24"/>
          <w:highlight w:val="none"/>
        </w:rPr>
        <w:t xml:space="preserve">。</w:t>
      </w:r>
      <w:r/>
    </w:p>
    <w:p>
      <w:pPr>
        <w:pStyle w:val="1133"/>
        <w:numPr>
          <w:ilvl w:val="0"/>
          <w:numId w:val="93"/>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RO膜壳</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数量：2支；</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规格：OV-LCLE-8040；材质：TFC。</w:t>
      </w:r>
      <w:r/>
    </w:p>
    <w:p>
      <w:pPr>
        <w:pStyle w:val="1133"/>
        <w:numPr>
          <w:ilvl w:val="0"/>
          <w:numId w:val="93"/>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手动调节阀</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数量：2个；</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规格：Φ32mm；材质：SUS304；参考品牌：龙泽</w:t>
      </w:r>
      <w:r>
        <w:rPr>
          <w:rFonts w:hint="eastAsia" w:ascii="宋体" w:hAnsi="宋体" w:eastAsia="宋体" w:cs="宋体"/>
          <w:color w:val="auto"/>
          <w:sz w:val="24"/>
          <w:szCs w:val="24"/>
          <w:highlight w:val="none"/>
          <w:lang w:eastAsia="zh-CN"/>
        </w:rPr>
        <w:t xml:space="preserve">/宇岳/龙祺</w:t>
      </w:r>
      <w:r>
        <w:rPr>
          <w:rFonts w:hint="eastAsia" w:ascii="宋体" w:hAnsi="宋体" w:eastAsia="宋体" w:cs="宋体"/>
          <w:color w:val="auto"/>
          <w:sz w:val="24"/>
          <w:szCs w:val="24"/>
          <w:highlight w:val="none"/>
        </w:rPr>
        <w:t xml:space="preserve">。</w:t>
      </w:r>
      <w:r/>
    </w:p>
    <w:p>
      <w:pPr>
        <w:pStyle w:val="1133"/>
        <w:numPr>
          <w:ilvl w:val="0"/>
          <w:numId w:val="93"/>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回流阀</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数量：1个；</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规格：Φ32mm；材质：SUS304；参考品牌：龙泽</w:t>
      </w:r>
      <w:r>
        <w:rPr>
          <w:rFonts w:hint="eastAsia" w:ascii="宋体" w:hAnsi="宋体" w:eastAsia="宋体" w:cs="宋体"/>
          <w:color w:val="auto"/>
          <w:sz w:val="24"/>
          <w:szCs w:val="24"/>
          <w:highlight w:val="none"/>
          <w:lang w:eastAsia="zh-CN"/>
        </w:rPr>
        <w:t xml:space="preserve">/宇岳/龙祺</w:t>
      </w:r>
      <w:r>
        <w:rPr>
          <w:rFonts w:hint="eastAsia" w:ascii="宋体" w:hAnsi="宋体" w:eastAsia="宋体" w:cs="宋体"/>
          <w:color w:val="auto"/>
          <w:sz w:val="24"/>
          <w:szCs w:val="24"/>
          <w:highlight w:val="none"/>
        </w:rPr>
        <w:t xml:space="preserve">。</w:t>
      </w:r>
      <w:r/>
    </w:p>
    <w:p>
      <w:pPr>
        <w:pStyle w:val="1133"/>
        <w:numPr>
          <w:ilvl w:val="0"/>
          <w:numId w:val="93"/>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电磁阀</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数量：2个；</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规格：Φ32mm；材质：SUS304；参考品牌：昊业</w:t>
      </w:r>
      <w:r>
        <w:rPr>
          <w:rFonts w:hint="eastAsia" w:ascii="宋体" w:hAnsi="宋体" w:eastAsia="宋体" w:cs="宋体"/>
          <w:color w:val="auto"/>
          <w:sz w:val="24"/>
          <w:szCs w:val="24"/>
          <w:highlight w:val="none"/>
          <w:lang w:eastAsia="zh-CN"/>
        </w:rPr>
        <w:t xml:space="preserve">/亚德客/星辰</w:t>
      </w:r>
      <w:r>
        <w:rPr>
          <w:rFonts w:hint="eastAsia" w:ascii="宋体" w:hAnsi="宋体" w:eastAsia="宋体" w:cs="宋体"/>
          <w:color w:val="auto"/>
          <w:sz w:val="24"/>
          <w:szCs w:val="24"/>
          <w:highlight w:val="none"/>
        </w:rPr>
        <w:t xml:space="preserve">。</w:t>
      </w:r>
      <w:r/>
    </w:p>
    <w:p>
      <w:pPr>
        <w:pStyle w:val="1133"/>
        <w:numPr>
          <w:ilvl w:val="0"/>
          <w:numId w:val="93"/>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压力表</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数量：1个；</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规格：0~400psi；材质：SUS304；参考品牌：华俄</w:t>
      </w:r>
      <w:r>
        <w:rPr>
          <w:rFonts w:hint="eastAsia" w:ascii="宋体" w:hAnsi="宋体" w:eastAsia="宋体" w:cs="宋体"/>
          <w:color w:val="auto"/>
          <w:sz w:val="24"/>
          <w:szCs w:val="24"/>
          <w:highlight w:val="none"/>
          <w:lang w:eastAsia="zh-CN"/>
        </w:rPr>
        <w:t xml:space="preserve">/南控/广一</w:t>
      </w:r>
      <w:r>
        <w:rPr>
          <w:rFonts w:hint="eastAsia" w:ascii="宋体" w:hAnsi="宋体" w:eastAsia="宋体" w:cs="宋体"/>
          <w:color w:val="auto"/>
          <w:sz w:val="24"/>
          <w:szCs w:val="24"/>
          <w:highlight w:val="none"/>
        </w:rPr>
        <w:t xml:space="preserve">。</w:t>
      </w:r>
      <w:r/>
    </w:p>
    <w:p>
      <w:pPr>
        <w:pStyle w:val="1133"/>
        <w:numPr>
          <w:ilvl w:val="0"/>
          <w:numId w:val="93"/>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低压保护</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数量：1个；</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规格：LP6-G1/4；范围：-0.7~6bar；材质：SUS304；参考品牌：奉申</w:t>
      </w:r>
      <w:r>
        <w:rPr>
          <w:rFonts w:hint="eastAsia" w:ascii="宋体" w:hAnsi="宋体" w:eastAsia="宋体" w:cs="宋体"/>
          <w:color w:val="auto"/>
          <w:sz w:val="24"/>
          <w:szCs w:val="24"/>
          <w:highlight w:val="none"/>
          <w:lang w:eastAsia="zh-CN"/>
        </w:rPr>
        <w:t xml:space="preserve">/正泰/德力西</w:t>
      </w:r>
      <w:r>
        <w:rPr>
          <w:rFonts w:hint="eastAsia" w:ascii="宋体" w:hAnsi="宋体" w:eastAsia="宋体" w:cs="宋体"/>
          <w:color w:val="auto"/>
          <w:sz w:val="24"/>
          <w:szCs w:val="24"/>
          <w:highlight w:val="none"/>
        </w:rPr>
        <w:t xml:space="preserve">。</w:t>
      </w:r>
      <w:r/>
    </w:p>
    <w:p>
      <w:pPr>
        <w:pStyle w:val="1133"/>
        <w:numPr>
          <w:ilvl w:val="0"/>
          <w:numId w:val="93"/>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电导率仪</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数量：2个；</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规格：CM-230；量程：0~200us；材质：SUS304；参考品牌：先河</w:t>
      </w:r>
      <w:r>
        <w:rPr>
          <w:rFonts w:hint="eastAsia" w:ascii="宋体" w:hAnsi="宋体" w:eastAsia="宋体" w:cs="宋体"/>
          <w:color w:val="auto"/>
          <w:sz w:val="24"/>
          <w:szCs w:val="24"/>
          <w:highlight w:val="none"/>
          <w:lang w:eastAsia="zh-CN"/>
        </w:rPr>
        <w:t xml:space="preserve">/雷磁/力辰科技</w:t>
      </w:r>
      <w:r>
        <w:rPr>
          <w:rFonts w:hint="eastAsia" w:ascii="宋体" w:hAnsi="宋体" w:eastAsia="宋体" w:cs="宋体"/>
          <w:color w:val="auto"/>
          <w:sz w:val="24"/>
          <w:szCs w:val="24"/>
          <w:highlight w:val="none"/>
        </w:rPr>
        <w:t xml:space="preserve">。</w:t>
      </w:r>
      <w:r/>
    </w:p>
    <w:p>
      <w:pPr>
        <w:pStyle w:val="1133"/>
        <w:numPr>
          <w:ilvl w:val="0"/>
          <w:numId w:val="93"/>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流量计</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数量：2个；</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规格：25加仑；量程：0~12t/h；材质：SUS304；参考品牌：舜环</w:t>
      </w:r>
      <w:r>
        <w:rPr>
          <w:rFonts w:hint="eastAsia" w:ascii="宋体" w:hAnsi="宋体" w:eastAsia="宋体" w:cs="宋体"/>
          <w:color w:val="auto"/>
          <w:sz w:val="24"/>
          <w:szCs w:val="24"/>
          <w:highlight w:val="none"/>
          <w:lang w:eastAsia="zh-CN"/>
        </w:rPr>
        <w:t xml:space="preserve">/美控/艾默生</w:t>
      </w:r>
      <w:r>
        <w:rPr>
          <w:rFonts w:hint="eastAsia" w:ascii="宋体" w:hAnsi="宋体" w:eastAsia="宋体" w:cs="宋体"/>
          <w:color w:val="auto"/>
          <w:sz w:val="24"/>
          <w:szCs w:val="24"/>
          <w:highlight w:val="none"/>
        </w:rPr>
        <w:t xml:space="preserve">。</w:t>
      </w:r>
      <w:r/>
    </w:p>
    <w:p>
      <w:pPr>
        <w:pStyle w:val="1133"/>
        <w:numPr>
          <w:ilvl w:val="0"/>
          <w:numId w:val="93"/>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管道、管件</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数量：1批；</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规格：Φ50mm；材质：SUS304；参考品牌：龙泽</w:t>
      </w:r>
      <w:r>
        <w:rPr>
          <w:rFonts w:hint="eastAsia" w:ascii="宋体" w:hAnsi="宋体" w:eastAsia="宋体" w:cs="宋体"/>
          <w:color w:val="auto"/>
          <w:sz w:val="24"/>
          <w:szCs w:val="24"/>
          <w:highlight w:val="none"/>
          <w:lang w:eastAsia="zh-CN"/>
        </w:rPr>
        <w:t xml:space="preserve">/宇岳/龙祺</w:t>
      </w:r>
      <w:r>
        <w:rPr>
          <w:rFonts w:hint="eastAsia" w:ascii="宋体" w:hAnsi="宋体" w:eastAsia="宋体" w:cs="宋体"/>
          <w:color w:val="auto"/>
          <w:sz w:val="24"/>
          <w:szCs w:val="24"/>
          <w:highlight w:val="none"/>
        </w:rPr>
        <w:t xml:space="preserve">。</w:t>
      </w:r>
      <w:r/>
    </w:p>
    <w:p>
      <w:pPr>
        <w:pStyle w:val="1133"/>
        <w:numPr>
          <w:ilvl w:val="0"/>
          <w:numId w:val="86"/>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纯水箱系统</w:t>
      </w:r>
      <w:r/>
    </w:p>
    <w:p>
      <w:pPr>
        <w:pStyle w:val="1133"/>
        <w:numPr>
          <w:ilvl w:val="0"/>
          <w:numId w:val="94"/>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纯水箱</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采购数量：1台；</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容积：5000L；规格：Φ2000×2400×3mm；材质：SUS304。</w:t>
      </w:r>
      <w:r/>
    </w:p>
    <w:p>
      <w:pPr>
        <w:pStyle w:val="1133"/>
        <w:numPr>
          <w:ilvl w:val="0"/>
          <w:numId w:val="94"/>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排水阀</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采购数量：1台；</w:t>
      </w:r>
      <w:r/>
    </w:p>
    <w:p>
      <w:pPr>
        <w:pStyle w:val="1133"/>
        <w:numPr>
          <w:ilvl w:val="0"/>
          <w:numId w:val="34"/>
        </w:numPr>
        <w:spacing w:line="360" w:lineRule="auto"/>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规格：DN32；材质：SUS304；参考品牌：龙泽</w:t>
      </w:r>
      <w:r>
        <w:rPr>
          <w:rFonts w:hint="eastAsia" w:ascii="宋体" w:hAnsi="宋体" w:eastAsia="宋体" w:cs="宋体"/>
          <w:color w:val="auto"/>
          <w:sz w:val="24"/>
          <w:szCs w:val="24"/>
          <w:highlight w:val="none"/>
          <w:lang w:eastAsia="zh-CN"/>
        </w:rPr>
        <w:t xml:space="preserve">/宇岳/龙祺</w:t>
      </w:r>
      <w:r>
        <w:rPr>
          <w:rFonts w:hint="eastAsia" w:ascii="宋体" w:hAnsi="宋体" w:eastAsia="宋体" w:cs="宋体"/>
          <w:color w:val="auto"/>
          <w:sz w:val="24"/>
          <w:szCs w:val="24"/>
          <w:highlight w:val="none"/>
        </w:rPr>
        <w:t xml:space="preserve">。</w:t>
      </w:r>
      <w:r/>
    </w:p>
    <w:p>
      <w:pPr>
        <w:pStyle w:val="1133"/>
        <w:numPr>
          <w:ilvl w:val="0"/>
          <w:numId w:val="94"/>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出水阀</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采购数量：1台；</w:t>
      </w:r>
      <w:r/>
    </w:p>
    <w:p>
      <w:pPr>
        <w:pStyle w:val="1133"/>
        <w:numPr>
          <w:ilvl w:val="0"/>
          <w:numId w:val="34"/>
        </w:numPr>
        <w:spacing w:line="360" w:lineRule="auto"/>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规格：DN32；材质：SUS304；参考品牌：龙泽</w:t>
      </w:r>
      <w:r>
        <w:rPr>
          <w:rFonts w:hint="eastAsia" w:ascii="宋体" w:hAnsi="宋体" w:eastAsia="宋体" w:cs="宋体"/>
          <w:color w:val="auto"/>
          <w:sz w:val="24"/>
          <w:szCs w:val="24"/>
          <w:highlight w:val="none"/>
          <w:lang w:eastAsia="zh-CN"/>
        </w:rPr>
        <w:t xml:space="preserve">/宇岳/龙祺</w:t>
      </w:r>
      <w:r>
        <w:rPr>
          <w:rFonts w:hint="eastAsia" w:ascii="宋体" w:hAnsi="宋体" w:eastAsia="宋体" w:cs="宋体"/>
          <w:color w:val="auto"/>
          <w:sz w:val="24"/>
          <w:szCs w:val="24"/>
          <w:highlight w:val="none"/>
        </w:rPr>
        <w:t xml:space="preserve">。</w:t>
      </w:r>
      <w:r/>
    </w:p>
    <w:p>
      <w:pPr>
        <w:pStyle w:val="1133"/>
        <w:numPr>
          <w:ilvl w:val="0"/>
          <w:numId w:val="94"/>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空气呼吸器</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采购数量：1套；</w:t>
      </w:r>
      <w:r/>
    </w:p>
    <w:p>
      <w:pPr>
        <w:pStyle w:val="1133"/>
        <w:numPr>
          <w:ilvl w:val="0"/>
          <w:numId w:val="34"/>
        </w:numPr>
        <w:spacing w:line="360" w:lineRule="auto"/>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rPr>
        <w:t xml:space="preserve">规格：Φ50mm；材质：SUS304；参考品牌：三晶</w:t>
      </w:r>
      <w:r>
        <w:rPr>
          <w:rFonts w:hint="eastAsia" w:ascii="宋体" w:hAnsi="宋体" w:eastAsia="宋体" w:cs="宋体"/>
          <w:color w:val="auto"/>
          <w:sz w:val="24"/>
          <w:szCs w:val="24"/>
          <w:highlight w:val="none"/>
          <w:lang w:eastAsia="zh-CN"/>
        </w:rPr>
        <w:t xml:space="preserve">/霍尼韦尔/海固</w:t>
      </w:r>
      <w:r>
        <w:rPr>
          <w:rFonts w:hint="eastAsia" w:ascii="宋体" w:hAnsi="宋体" w:eastAsia="宋体" w:cs="宋体"/>
          <w:color w:val="auto"/>
          <w:sz w:val="24"/>
          <w:szCs w:val="24"/>
          <w:highlight w:val="none"/>
        </w:rPr>
        <w:t xml:space="preserve">。</w:t>
      </w:r>
      <w:r/>
    </w:p>
    <w:p>
      <w:pPr>
        <w:pStyle w:val="1133"/>
        <w:numPr>
          <w:ilvl w:val="0"/>
          <w:numId w:val="86"/>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供水杀菌系统</w:t>
      </w:r>
      <w:r/>
    </w:p>
    <w:p>
      <w:pPr>
        <w:pStyle w:val="1133"/>
        <w:numPr>
          <w:ilvl w:val="0"/>
          <w:numId w:val="95"/>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紫外线杀菌灯</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采购数量：1套；</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功率：320W；流量：5m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/h；材质：SUS304。</w:t>
      </w:r>
      <w:r/>
    </w:p>
    <w:p>
      <w:pPr>
        <w:pStyle w:val="1133"/>
        <w:numPr>
          <w:ilvl w:val="0"/>
          <w:numId w:val="95"/>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供水泵</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采购数量：1台；</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规格：CMI8-16；功率：7.5kW；材质：SUS304；参考品牌：凌霄</w:t>
      </w:r>
      <w:r>
        <w:rPr>
          <w:rFonts w:hint="eastAsia" w:ascii="宋体" w:hAnsi="宋体" w:eastAsia="宋体" w:cs="宋体"/>
          <w:color w:val="auto"/>
          <w:sz w:val="24"/>
          <w:szCs w:val="24"/>
          <w:highlight w:val="none"/>
          <w:lang w:eastAsia="zh-CN"/>
        </w:rPr>
        <w:t xml:space="preserve">/南方泵业/东方泵业</w:t>
      </w:r>
      <w:r>
        <w:rPr>
          <w:rFonts w:hint="eastAsia" w:ascii="宋体" w:hAnsi="宋体" w:eastAsia="宋体" w:cs="宋体"/>
          <w:color w:val="auto"/>
          <w:sz w:val="24"/>
          <w:szCs w:val="24"/>
          <w:highlight w:val="none"/>
        </w:rPr>
        <w:t xml:space="preserve">。</w:t>
      </w:r>
      <w:r/>
    </w:p>
    <w:p>
      <w:pPr>
        <w:pStyle w:val="1133"/>
        <w:numPr>
          <w:ilvl w:val="0"/>
          <w:numId w:val="95"/>
        </w:numPr>
        <w:spacing w:line="360" w:lineRule="auto"/>
        <w:rPr>
          <w:rFonts w:hint="eastAsia" w:ascii="宋体" w:hAnsi="宋体" w:eastAsia="宋体" w:cs="宋体"/>
          <w:b/>
          <w:color w:val="auto"/>
          <w:sz w:val="24"/>
          <w:szCs w:val="24"/>
          <w:highlight w:val="none"/>
        </w:rPr>
        <w:outlineLvl w:val="5"/>
      </w:pPr>
      <w:r>
        <w:rPr>
          <w:rFonts w:hint="eastAsia" w:ascii="宋体" w:hAnsi="宋体" w:eastAsia="宋体" w:cs="宋体"/>
          <w:b/>
          <w:color w:val="auto"/>
          <w:sz w:val="24"/>
          <w:szCs w:val="24"/>
          <w:highlight w:val="none"/>
        </w:rPr>
        <w:t xml:space="preserve">电子水流开关</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采购数量：1台；</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规格：DN32；材质：SUS304；参考品牌：龙泽</w:t>
      </w:r>
      <w:r>
        <w:rPr>
          <w:rFonts w:hint="eastAsia" w:ascii="宋体" w:hAnsi="宋体" w:eastAsia="宋体" w:cs="宋体"/>
          <w:color w:val="auto"/>
          <w:sz w:val="24"/>
          <w:szCs w:val="24"/>
          <w:highlight w:val="none"/>
          <w:lang w:eastAsia="zh-CN"/>
        </w:rPr>
        <w:t xml:space="preserve">/宇岳/龙祺</w:t>
      </w:r>
      <w:r>
        <w:rPr>
          <w:rFonts w:hint="eastAsia" w:ascii="宋体" w:hAnsi="宋体" w:eastAsia="宋体" w:cs="宋体"/>
          <w:color w:val="auto"/>
          <w:sz w:val="24"/>
          <w:szCs w:val="24"/>
          <w:highlight w:val="none"/>
        </w:rPr>
        <w:t xml:space="preserve">。</w:t>
      </w:r>
      <w:r/>
    </w:p>
    <w:p>
      <w:pPr>
        <w:pStyle w:val="1133"/>
        <w:numPr>
          <w:ilvl w:val="0"/>
          <w:numId w:val="84"/>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空压系统</w:t>
      </w:r>
      <w:r/>
    </w:p>
    <w:p>
      <w:pPr>
        <w:numPr>
          <w:ilvl w:val="0"/>
          <w:numId w:val="96"/>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：1套。</w:t>
      </w:r>
      <w:r/>
    </w:p>
    <w:p>
      <w:pPr>
        <w:numPr>
          <w:ilvl w:val="0"/>
          <w:numId w:val="96"/>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97"/>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空压机与储气罐</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公称容积流量：1.1m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/min；额定排气压力：0.8MPa；</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环境温度：-5℃~+45℃；冷却方式：风冷；排气温度：≤环境温度+15℃；</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轴承润滑油量：3.3L；</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传动方式：皮带式；气量调节方式：加卸载；气体含油量：≤3ppm；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噪声：70±2dB（A）；</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安全阀设定压力：额定工作压力×1.1MPa；</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电动机功率：7.5kW；转速：2900rpm；起动方式：直接启动；电压/频率：380V/50Hz；防护等级/绝缘等级：IP54，F级；</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风机功率：0.12kW；电压/频率，380V/50Hz；转速：1440rpm；风量：2100m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/h；外形尺寸：L800×W650×H870mm；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空压机重量：182kg；空压机储罐净重：209kg；储罐容积：1000L；</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出口管径：G1/2in；</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设计压力：0.84MPa；设计温度：150℃；耐压力测试：1.26MPa；</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主体材料：Q345R。</w:t>
      </w:r>
      <w:r/>
    </w:p>
    <w:p>
      <w:pPr>
        <w:pStyle w:val="1133"/>
        <w:numPr>
          <w:ilvl w:val="0"/>
          <w:numId w:val="97"/>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制氮机与储罐</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氮气产量：5Nm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/h；氮气纯度：99.9%；</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原料压力：0.7~0.8MPa；氮气压力：0~0.65MPa；</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压力露点：-10℃；</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整机重量：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158kg；</w:t>
      </w:r>
      <w:r>
        <w:rPr>
          <w:rFonts w:hint="eastAsia" w:ascii="宋体" w:hAnsi="宋体" w:eastAsia="宋体" w:cs="宋体"/>
          <w:color w:val="auto"/>
          <w:sz w:val="24"/>
          <w:szCs w:val="24"/>
          <w:highlight w:val="none"/>
        </w:rPr>
        <w:t xml:space="preserve">材质：201不锈钢；</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储罐容积：</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300L；储罐净重：</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70kg；</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L820×W650×H1300mm；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设计压力：0.84MPa；设计温度：150℃；耐压力测试：1.26MPa；</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主体材料：Q235B。</w:t>
      </w:r>
      <w:r/>
    </w:p>
    <w:p>
      <w:pPr>
        <w:pStyle w:val="1133"/>
        <w:numPr>
          <w:ilvl w:val="0"/>
          <w:numId w:val="97"/>
        </w:numPr>
        <w:ind w:left="482" w:hanging="482"/>
        <w:spacing w:line="360" w:lineRule="auto"/>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冷干机</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容量：1.5m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/min；；</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功率：0.943kW；</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频率：380V/50Hz；</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L730×W395×H700mm。</w:t>
      </w:r>
      <w:r/>
    </w:p>
    <w:p>
      <w:pPr>
        <w:pStyle w:val="1133"/>
        <w:numPr>
          <w:ilvl w:val="0"/>
          <w:numId w:val="31"/>
        </w:numPr>
        <w:jc w:val="left"/>
        <w:spacing w:line="360" w:lineRule="auto"/>
        <w:tabs>
          <w:tab w:val="left" w:pos="484" w:leader="none"/>
          <w:tab w:val="left" w:pos="55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生产配套运输设备</w:t>
      </w:r>
      <w:r/>
    </w:p>
    <w:p>
      <w:pPr>
        <w:pStyle w:val="1133"/>
        <w:numPr>
          <w:ilvl w:val="0"/>
          <w:numId w:val="98"/>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铲车</w:t>
      </w:r>
      <w:r/>
    </w:p>
    <w:p>
      <w:pPr>
        <w:numPr>
          <w:ilvl w:val="0"/>
          <w:numId w:val="99"/>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：1台。</w:t>
      </w:r>
      <w:r/>
    </w:p>
    <w:p>
      <w:pPr>
        <w:numPr>
          <w:ilvl w:val="0"/>
          <w:numId w:val="99"/>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能源：柴油；</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承载力：</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3000kg；承载中心：</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500mm；升降高度：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3500mm；自由升降高度：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115mm；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货叉规格：</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L1070×W125×H45mm；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门架倾斜前/后：6/12°；</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最小旋转半径：</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2500mm；最小离地间隙：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115mm；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驾驶室高度：2200mm；座椅至护顶高度：955mm；前横梁：480mm；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最大行驶速度（满载）：20km/h；最大升降速度（满载/空载），470/520mm/s；</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牵引力/爬坡力：18/20KN%；</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车长（无货叉）：2780mm；车宽：1230mm；桅杆最低高度：2325mm；桅杆上升高度：4760mm；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轮胎：前轮28×9-15-12PR，后轮6.50-10-10PR；</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轮轴：1700mm；轮宽（前轮/后轮）：1000/970mm；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净重（空载）：4350kg；</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电池（电压/容量）：12/90V/Ah；</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发动机额定功率：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42.1kW；转速：</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2300rpm；扭矩：</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196.3Nm；</w:t>
      </w:r>
      <w:r>
        <w:rPr>
          <w:rFonts w:hint="eastAsia" w:ascii="宋体" w:hAnsi="宋体" w:eastAsia="宋体" w:cs="宋体"/>
          <w:color w:val="auto"/>
          <w:sz w:val="24"/>
          <w:szCs w:val="24"/>
          <w:highlight w:val="none"/>
        </w:rPr>
        <w:t xml:space="preserve">液压缸数：4个；</w:t>
      </w:r>
      <w:r>
        <w:rPr>
          <w:rFonts w:hint="eastAsia" w:ascii="宋体" w:hAnsi="宋体" w:eastAsia="宋体" w:cs="宋体"/>
          <w:color w:val="auto"/>
          <w:sz w:val="24"/>
          <w:szCs w:val="24"/>
          <w:highlight w:val="none"/>
        </w:rPr>
        <w:t xml:space="preserve">升程：</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98×110mm；容量：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3.319L</w:t>
      </w:r>
      <w:r>
        <w:rPr>
          <w:rFonts w:hint="eastAsia" w:ascii="宋体" w:hAnsi="宋体" w:eastAsia="宋体" w:cs="宋体"/>
          <w:color w:val="auto"/>
          <w:sz w:val="24"/>
          <w:szCs w:val="24"/>
          <w:highlight w:val="none"/>
        </w:rPr>
        <w:t xml:space="preserve">；油箱：70L；档位：1/1机械自动；</w:t>
      </w:r>
      <w:r>
        <w:rPr>
          <w:rFonts w:hint="eastAsia" w:ascii="宋体" w:hAnsi="宋体" w:eastAsia="宋体" w:cs="宋体"/>
          <w:color w:val="auto"/>
          <w:sz w:val="24"/>
          <w:szCs w:val="24"/>
          <w:highlight w:val="none"/>
        </w:rPr>
        <w:t xml:space="preserve">工作压力：</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17.5MPa。</w:t>
      </w:r>
      <w:r/>
    </w:p>
    <w:p>
      <w:pPr>
        <w:pStyle w:val="1133"/>
        <w:numPr>
          <w:ilvl w:val="0"/>
          <w:numId w:val="98"/>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电动叉车</w:t>
      </w:r>
      <w:r/>
    </w:p>
    <w:p>
      <w:pPr>
        <w:numPr>
          <w:ilvl w:val="0"/>
          <w:numId w:val="100"/>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采购数量</w:t>
      </w:r>
      <w:r>
        <w:rPr>
          <w:rFonts w:hint="eastAsia" w:ascii="宋体" w:hAnsi="宋体" w:eastAsia="宋体" w:cs="宋体"/>
          <w:color w:val="auto"/>
          <w:sz w:val="24"/>
          <w:szCs w:val="24"/>
          <w:highlight w:val="none"/>
        </w:rPr>
        <w:t xml:space="preserve">：1台。</w:t>
      </w:r>
      <w:r/>
    </w:p>
    <w:p>
      <w:pPr>
        <w:numPr>
          <w:ilvl w:val="0"/>
          <w:numId w:val="100"/>
        </w:numPr>
        <w:ind w:hanging="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规格参数</w:t>
      </w:r>
      <w:r>
        <w:rPr>
          <w:rFonts w:hint="eastAsia" w:ascii="宋体" w:hAnsi="宋体" w:eastAsia="宋体" w:cs="宋体"/>
          <w:color w:val="auto"/>
          <w:sz w:val="24"/>
          <w:szCs w:val="24"/>
          <w:highlight w:val="none"/>
        </w:rPr>
        <w:t xml:space="preserve">：</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能源：电池，FB15（全交流AC）；</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承载力：</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1500kg；承载中心：</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500mm；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升降高度：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3000mm双框架；自由升降高度：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135mm；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货叉规格：</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L920×W100×H35mm；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门架前倾后仰度数：6/12度；</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最小转弯半径：1850mm；最小直角堆垛宽度：3460mm；最小直角转弯窄道宽度：1840mm；最小离地间隙：100mm；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护顶高度：2100mm；座位至护顶的高度：1005mm；前梁：405mm；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最大行驶速度（满载）：12km/h；最大上升速度（满载）：300mm/s；</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爬坡力：15%；</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整车长度（无货叉）：1990mm；整车宽度：1070mm；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门架伸展高度：4025mm；门架最低高度：1990mm；</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轮胎（前胎）：6.50-10-10PR；轮胎（后胎）：5.00-8-10PR；轴距：1250mm；轮距（前轮/后轮）：890/920mm；净重（空载）：2990kg；</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电池（电压/电容量）：48/450V/Ah；</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电机（行驶电机）：8kW；电机（升降电机）：10kW；</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控制器款式：100%全交流；</w:t>
      </w:r>
      <w:r/>
    </w:p>
    <w:p>
      <w:pPr>
        <w:pStyle w:val="1133"/>
        <w:numPr>
          <w:ilvl w:val="0"/>
          <w:numId w:val="3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工作压力：14.5MPa。</w:t>
      </w:r>
      <w:bookmarkEnd w:id="26"/>
      <w:r/>
      <w:r/>
    </w:p>
    <w:p>
      <w:pPr>
        <w:pStyle w:val="1133"/>
        <w:numPr>
          <w:ilvl w:val="0"/>
          <w:numId w:val="29"/>
        </w:numPr>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项目实施要求</w:t>
      </w:r>
      <w:r/>
    </w:p>
    <w:p>
      <w:pPr>
        <w:pStyle w:val="1133"/>
        <w:numPr>
          <w:ilvl w:val="0"/>
          <w:numId w:val="101"/>
        </w:numPr>
        <w:jc w:val="left"/>
        <w:spacing w:line="360" w:lineRule="auto"/>
        <w:tabs>
          <w:tab w:val="left" w:pos="484" w:leader="none"/>
          <w:tab w:val="left" w:pos="550" w:leader="none"/>
        </w:tabs>
        <w:rPr>
          <w:rFonts w:hint="eastAsia" w:ascii="宋体" w:hAnsi="宋体" w:eastAsia="宋体" w:cs="宋体"/>
          <w:b/>
          <w:bCs/>
          <w:color w:val="auto"/>
          <w:sz w:val="24"/>
          <w:szCs w:val="24"/>
          <w:highlight w:val="none"/>
        </w:rPr>
        <w:outlineLvl w:val="1"/>
      </w:pPr>
      <w:r/>
      <w:bookmarkStart w:id="39" w:name="_Hlk142117001"/>
      <w:r>
        <w:rPr>
          <w:rFonts w:hint="eastAsia" w:ascii="宋体" w:hAnsi="宋体" w:eastAsia="宋体" w:cs="宋体"/>
          <w:b/>
          <w:bCs/>
          <w:color w:val="auto"/>
          <w:sz w:val="24"/>
          <w:szCs w:val="24"/>
          <w:highlight w:val="none"/>
        </w:rPr>
        <w:t xml:space="preserve">安装方案编制要求</w:t>
      </w:r>
      <w:r/>
    </w:p>
    <w:p>
      <w:pPr>
        <w:pStyle w:val="1133"/>
        <w:numPr>
          <w:ilvl w:val="0"/>
          <w:numId w:val="102"/>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安装方案编制依据</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本项目安装方案编制时除符合本项目技术方案要求外，还应符合国家和江苏地区颁发的现行有关设计、施工验收等相关方面的规范、规定。采购方案未详尽之处，请供货方按国家及本地区现有规范进行施工。</w:t>
      </w:r>
      <w:r/>
    </w:p>
    <w:p>
      <w:pPr>
        <w:pStyle w:val="1133"/>
        <w:numPr>
          <w:ilvl w:val="0"/>
          <w:numId w:val="102"/>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技术资料提交要求</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供货方应提供包括但不限于满足货物日常使用、专用的维修工具以及使用、维护的技术文件，如设备和附件装箱清单、产品合格证、产品检验报告、保修服务卡、使用说明（原版正本）、中文维护手册。</w:t>
      </w:r>
      <w:r/>
    </w:p>
    <w:p>
      <w:pPr>
        <w:pStyle w:val="1133"/>
        <w:numPr>
          <w:ilvl w:val="0"/>
          <w:numId w:val="103"/>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安装方案编制要求</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供货方的投标文件中实施方案仅作为评标依据，供货方签定合同后，需重新根据采购方的要求和项目现场的实际情况，重新优化编制《安装方案》，直至采购方完全满意为止。《安装方案》的编制应由具有相关资质的单位负责完成，供货方无相关资质的可分包。供货方需全部承担《安装方案》编制的质量与安全责任，确保项目建成后所有设备能正常运行，能满足设备使用人高效的生产要求。</w:t>
      </w:r>
      <w:r/>
    </w:p>
    <w:p>
      <w:pPr>
        <w:pStyle w:val="1133"/>
        <w:numPr>
          <w:ilvl w:val="0"/>
          <w:numId w:val="103"/>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安装方案审核要求</w:t>
      </w:r>
      <w:r/>
    </w:p>
    <w:p>
      <w:pPr>
        <w:pStyle w:val="1133"/>
        <w:numPr>
          <w:ilvl w:val="0"/>
          <w:numId w:val="0"/>
        </w:numPr>
        <w:ind w:firstLine="480"/>
        <w:spacing w:line="360" w:lineRule="auto"/>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如《安装方案》未经过采购方认可，经3次协商交流未达成共识后，采购方有权与供货方解除部分或全部合同。</w:t>
      </w:r>
      <w:r/>
    </w:p>
    <w:p>
      <w:pPr>
        <w:pStyle w:val="1133"/>
        <w:numPr>
          <w:ilvl w:val="0"/>
          <w:numId w:val="103"/>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知识产权保护要求</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供货方应承担由于采购方在其本国使用该设备或设备任何一部分时而引起第三方提出的侵犯专利权、商标权或工业设计权的起诉、行动、行政程序索赔、请求等以及采购方为此而产生的损失和损害、费用和支出（包括律师费）。</w:t>
      </w:r>
      <w:r/>
    </w:p>
    <w:p>
      <w:pPr>
        <w:pStyle w:val="1133"/>
        <w:numPr>
          <w:ilvl w:val="0"/>
          <w:numId w:val="103"/>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验收资料上交要求</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产品调试完成后，需经采购方验收合格，供货方负责将全部《安装方案》以及有关技术文件、资料、测试、验收报告等文档汇集成册交付采购方。</w:t>
      </w:r>
      <w:r/>
    </w:p>
    <w:p>
      <w:pPr>
        <w:pStyle w:val="1133"/>
        <w:numPr>
          <w:ilvl w:val="0"/>
          <w:numId w:val="101"/>
        </w:numPr>
        <w:jc w:val="left"/>
        <w:spacing w:line="360" w:lineRule="auto"/>
        <w:tabs>
          <w:tab w:val="left" w:pos="484" w:leader="none"/>
          <w:tab w:val="left" w:pos="55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项目现场管理要求</w:t>
      </w:r>
      <w:r/>
    </w:p>
    <w:p>
      <w:pPr>
        <w:pStyle w:val="1133"/>
        <w:numPr>
          <w:ilvl w:val="0"/>
          <w:numId w:val="104"/>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安全管理要求</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供货方应遵守现场的一切规章制度，按照采购方要求文明建设，施工人员的安全由供货方负责，采购方监督执行，如发生安全事故，由供货方负全责。现场协调工作由供货方负责，采购方配合。</w:t>
      </w:r>
      <w:r/>
    </w:p>
    <w:p>
      <w:pPr>
        <w:pStyle w:val="1133"/>
        <w:numPr>
          <w:ilvl w:val="0"/>
          <w:numId w:val="104"/>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货物保管要求</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供货方负责为工具设备、安装设备等提供适当的保护、包装或覆盖等处理，负责保管、看护进场的工具设备及附配件直至验收合格，以免受损。</w:t>
      </w:r>
      <w:r/>
    </w:p>
    <w:p>
      <w:pPr>
        <w:pStyle w:val="1133"/>
        <w:numPr>
          <w:ilvl w:val="0"/>
          <w:numId w:val="104"/>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垃圾清运要求</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在安装、调试期间或保修过程中，供货方负责及时清理现场垃圾。</w:t>
      </w:r>
      <w:bookmarkEnd w:id="39"/>
      <w:r/>
      <w:r/>
    </w:p>
    <w:p>
      <w:pPr>
        <w:pStyle w:val="1133"/>
        <w:numPr>
          <w:ilvl w:val="0"/>
          <w:numId w:val="101"/>
        </w:numPr>
        <w:jc w:val="left"/>
        <w:spacing w:line="360" w:lineRule="auto"/>
        <w:tabs>
          <w:tab w:val="left" w:pos="484" w:leader="none"/>
          <w:tab w:val="left" w:pos="550" w:leader="none"/>
        </w:tabs>
        <w:rPr>
          <w:rFonts w:hint="eastAsia" w:ascii="宋体" w:hAnsi="宋体" w:eastAsia="宋体" w:cs="宋体"/>
          <w:b/>
          <w:bCs/>
          <w:color w:val="auto"/>
          <w:sz w:val="24"/>
          <w:szCs w:val="24"/>
          <w:highlight w:val="none"/>
        </w:rPr>
        <w:outlineLvl w:val="1"/>
      </w:pPr>
      <w:r/>
      <w:bookmarkStart w:id="40" w:name="_Hlk142117040"/>
      <w:r>
        <w:rPr>
          <w:rFonts w:hint="eastAsia" w:ascii="宋体" w:hAnsi="宋体" w:eastAsia="宋体" w:cs="宋体"/>
          <w:b/>
          <w:bCs/>
          <w:color w:val="auto"/>
          <w:sz w:val="24"/>
          <w:szCs w:val="24"/>
          <w:highlight w:val="none"/>
        </w:rPr>
        <w:t xml:space="preserve">货物质量与验收要求</w:t>
      </w:r>
      <w:bookmarkEnd w:id="40"/>
      <w:r/>
      <w:r/>
    </w:p>
    <w:p>
      <w:pPr>
        <w:pStyle w:val="1133"/>
        <w:numPr>
          <w:ilvl w:val="0"/>
          <w:numId w:val="10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货物质量标准</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供货时所有货物（包括零部件）须为全新的、未使用过的原装正品，并完全符合国家质量标准。需提供厂家出具的合格证书、有国家强制性认证要求的产品须提供相应证书，货物的技术参数及配置情况必须由投标人提供国家相关检测机构出具的检验报告、生产厂家公开发布的印刷资料等技术资料予以支持。</w:t>
      </w:r>
      <w:r/>
    </w:p>
    <w:p>
      <w:pPr>
        <w:pStyle w:val="1133"/>
        <w:numPr>
          <w:ilvl w:val="0"/>
          <w:numId w:val="10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货物包装要求</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货物为原厂商未启封全新包装，具有出厂合格证，序列号、包装箱号与出厂批号一致，并可追溯查阅。</w:t>
      </w:r>
      <w:r/>
    </w:p>
    <w:p>
      <w:pPr>
        <w:pStyle w:val="1133"/>
        <w:numPr>
          <w:ilvl w:val="0"/>
          <w:numId w:val="10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货物检验原则</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货物的生产、调试、维修、检验、验收原则为：有国家标准的执行国家标准；无国家标准的执行行业标准；无行业标准的执行地方标准；无地方标准的执行企业标准。所有设备在到达现场时须经采购方代表验收，验货时须提交该产品的质量合格证明。</w:t>
      </w:r>
      <w:r/>
    </w:p>
    <w:p>
      <w:pPr>
        <w:pStyle w:val="1133"/>
        <w:numPr>
          <w:ilvl w:val="0"/>
          <w:numId w:val="10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货物检验标准</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所有设备、附（配）件应符合本方案与招标文件要求，无瑕疵和缺陷，质量为合格产品。所有货物在到达现场时须经采购方代表验收，验货时须提交该产品的质量合格证明。如商检或货物测试中发现设备性能指标或功能上不符合招标文件和合同要求时，将被看作性能不合格，采购方有权拒收并要求赔偿。</w:t>
      </w:r>
      <w:r/>
    </w:p>
    <w:p>
      <w:pPr>
        <w:pStyle w:val="1133"/>
        <w:numPr>
          <w:ilvl w:val="0"/>
          <w:numId w:val="10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货物验收内容</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采购方及有关部门依招标文件要求，对全部货物的型号、规格、数量、外型、外观、包装及资料、文件(如装箱单、保修单、随箱介质等）的验收。供货方必须为使用单位调试、维修、使用提供足够的技术资料和技术保障，提供设备的有关证明。</w:t>
      </w:r>
      <w:r/>
    </w:p>
    <w:p>
      <w:pPr>
        <w:pStyle w:val="1133"/>
        <w:numPr>
          <w:ilvl w:val="0"/>
          <w:numId w:val="10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调货换货要求</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如设备运输和调试过程中因事故造成货物短缺、损坏，供货方应及时安排换货，以保证设备调试的成功完成。换货的相关费用由供货方承担。</w:t>
      </w:r>
      <w:r/>
    </w:p>
    <w:p>
      <w:pPr>
        <w:pStyle w:val="1133"/>
        <w:numPr>
          <w:ilvl w:val="0"/>
          <w:numId w:val="10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补充货物说明</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采购方按中标价格和数量向供货方采购本项目货物后，在合同执行期若需增加采购相同品牌型号的货物，供货方必须按相同的配置和不高于中标价格销售给采购方。</w:t>
      </w:r>
      <w:r/>
    </w:p>
    <w:p>
      <w:pPr>
        <w:pStyle w:val="1133"/>
        <w:numPr>
          <w:ilvl w:val="0"/>
          <w:numId w:val="105"/>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逾期交货处罚</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如供货方逾期交付货物、验收超过10个工作日的，应以合同货物总额为基数，按每天2‰向采购方支付滞纳金。</w:t>
      </w:r>
      <w:r/>
    </w:p>
    <w:p>
      <w:pPr>
        <w:pStyle w:val="1133"/>
        <w:numPr>
          <w:ilvl w:val="0"/>
          <w:numId w:val="101"/>
        </w:numPr>
        <w:jc w:val="left"/>
        <w:spacing w:line="360" w:lineRule="auto"/>
        <w:tabs>
          <w:tab w:val="left" w:pos="484" w:leader="none"/>
          <w:tab w:val="left" w:pos="55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货物质保与维修要求</w:t>
      </w:r>
      <w:r/>
    </w:p>
    <w:p>
      <w:pPr>
        <w:pStyle w:val="1133"/>
        <w:numPr>
          <w:ilvl w:val="0"/>
          <w:numId w:val="106"/>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质量保证期限</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自验收合格之日起，</w:t>
      </w:r>
      <w:r>
        <w:rPr>
          <w:rFonts w:hint="eastAsia" w:ascii="宋体" w:hAnsi="宋体" w:eastAsia="宋体" w:cs="宋体"/>
          <w:color w:val="auto"/>
          <w:sz w:val="24"/>
          <w:szCs w:val="24"/>
          <w:highlight w:val="none"/>
          <w:u w:val="none"/>
        </w:rPr>
        <w:t xml:space="preserve">3年免费质保。</w:t>
      </w:r>
      <w:r>
        <w:rPr>
          <w:rFonts w:hint="eastAsia" w:ascii="宋体" w:hAnsi="宋体" w:eastAsia="宋体" w:cs="宋体"/>
          <w:color w:val="auto"/>
          <w:sz w:val="24"/>
          <w:szCs w:val="24"/>
          <w:highlight w:val="none"/>
          <w:u w:val="single"/>
        </w:rPr>
        <w:t xml:space="preserve">国家和省市有关三包规定和厂商标准高于该要求的，应按相关规定和厂商标准执行</w:t>
      </w:r>
      <w:r>
        <w:rPr>
          <w:rFonts w:hint="eastAsia" w:ascii="宋体" w:hAnsi="宋体" w:eastAsia="宋体" w:cs="宋体"/>
          <w:color w:val="auto"/>
          <w:sz w:val="24"/>
          <w:szCs w:val="24"/>
          <w:highlight w:val="none"/>
        </w:rPr>
        <w:t xml:space="preserve">。质保期结束后，供货方对合同中的设备提供免费保修服务，如需更换零配件，供货方只收取零配件费。</w:t>
      </w:r>
      <w:r/>
    </w:p>
    <w:p>
      <w:pPr>
        <w:pStyle w:val="1133"/>
        <w:numPr>
          <w:ilvl w:val="0"/>
          <w:numId w:val="106"/>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质保维修范围</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质保期内因供货方产品质量不可靠，导致产品非主观故意损坏或遗失，由供货方免费负责维修、更换。因台风、地震不可抗力因素或发生偷盗、人为恶意破坏导致产品损坏或遗失，不属于售后服务范围，但供货方需配合采购方承担维修或更换工作，价格依产品审计单价按实结算。</w:t>
      </w:r>
      <w:r/>
    </w:p>
    <w:p>
      <w:pPr>
        <w:pStyle w:val="1133"/>
        <w:numPr>
          <w:ilvl w:val="0"/>
          <w:numId w:val="106"/>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质保响应时间</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无论保修期内还是保修期外，供货方应满足采购方售后服务的紧急需求，提供24小时的全方位技术支持和售后服务。对采购方的故障通知，供货方在接报后1小时内响应，2小时内到达现场，4小时内处理完毕。若在12小时内仍未能有效解决故障的，供货方须免费提供同档次的货物给采购方临时使用，确保采购方的业务正常开展。</w:t>
      </w:r>
      <w:r/>
    </w:p>
    <w:p>
      <w:pPr>
        <w:pStyle w:val="1133"/>
        <w:numPr>
          <w:ilvl w:val="0"/>
          <w:numId w:val="106"/>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货物维护培训</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供货方无偿培训采购方操作使用与维修人员，主要内容包括但不限于货物的基本结构、性能、操作使用方法、主要部件的构造及修理，日常使用保养与管理，安全防范，常见故障的排除，紧急情况的处理等，培训时间按采购方要求，培训地点主要在设备现场或按采购方安排。</w:t>
      </w:r>
      <w:r/>
    </w:p>
    <w:p>
      <w:pPr>
        <w:pStyle w:val="1133"/>
        <w:numPr>
          <w:ilvl w:val="0"/>
          <w:numId w:val="106"/>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缺陷保修要求</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如果设备交付使用后，缺陷多次反复出现，供货方必须提出分析报告和解决方案，直到最后纠正缺陷，供货方提供的质保从纠正之日起重新计算质保期。</w:t>
      </w:r>
      <w:r/>
    </w:p>
    <w:p>
      <w:pPr>
        <w:pStyle w:val="1133"/>
        <w:numPr>
          <w:ilvl w:val="0"/>
          <w:numId w:val="106"/>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货物退回处理</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供货方两次维修仍不能达到合同约定的质量标准和厂家的质量标准，采购方有权单方面决定退货，并依法追究供货方的违约责任。</w:t>
      </w:r>
      <w:r/>
    </w:p>
    <w:p>
      <w:pPr>
        <w:pStyle w:val="1133"/>
        <w:numPr>
          <w:ilvl w:val="0"/>
          <w:numId w:val="29"/>
        </w:numPr>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en-US" w:eastAsia="zh-CN"/>
        </w:rPr>
        <w:t xml:space="preserve">商务</w:t>
      </w:r>
      <w:r>
        <w:rPr>
          <w:rFonts w:hint="eastAsia" w:ascii="宋体" w:hAnsi="宋体" w:eastAsia="宋体" w:cs="宋体"/>
          <w:b/>
          <w:bCs/>
          <w:color w:val="auto"/>
          <w:sz w:val="24"/>
          <w:szCs w:val="24"/>
          <w:highlight w:val="none"/>
        </w:rPr>
        <w:t xml:space="preserve">要求</w:t>
      </w:r>
      <w:r/>
    </w:p>
    <w:p>
      <w:pPr>
        <w:pStyle w:val="1133"/>
        <w:numPr>
          <w:ilvl w:val="0"/>
          <w:numId w:val="107"/>
        </w:numPr>
        <w:jc w:val="left"/>
        <w:spacing w:line="360" w:lineRule="auto"/>
        <w:tabs>
          <w:tab w:val="left" w:pos="484" w:leader="none"/>
          <w:tab w:val="left" w:pos="55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报价清单编制要求</w:t>
      </w:r>
      <w:r/>
    </w:p>
    <w:p>
      <w:pPr>
        <w:pStyle w:val="1133"/>
        <w:numPr>
          <w:ilvl w:val="0"/>
          <w:numId w:val="108"/>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投标报价范围</w:t>
      </w:r>
      <w:r/>
    </w:p>
    <w:p>
      <w:pPr>
        <w:pStyle w:val="1133"/>
        <w:numPr>
          <w:ilvl w:val="0"/>
          <w:numId w:val="0"/>
        </w:numPr>
        <w:ind w:firstLine="482"/>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投标报价应包括本项目按“交钥匙工程”竣工交付时所需全部费用</w:t>
      </w:r>
      <w:r>
        <w:rPr>
          <w:rFonts w:hint="eastAsia" w:ascii="宋体" w:hAnsi="宋体" w:eastAsia="宋体" w:cs="宋体"/>
          <w:color w:val="auto"/>
          <w:sz w:val="24"/>
          <w:szCs w:val="24"/>
          <w:highlight w:val="none"/>
        </w:rPr>
        <w:t xml:space="preserve">，包括但不限于：安装方案编制和修改完善，所有设备及配套设施采购、安装、施工、保修（执行国家相关规定）、竣工验收及相关服务等全过程的交钥匙工程全部内容，以及为</w:t>
      </w:r>
      <w:r>
        <w:rPr>
          <w:rFonts w:hint="eastAsia" w:ascii="宋体" w:hAnsi="宋体" w:eastAsia="宋体" w:cs="宋体"/>
          <w:color w:val="auto"/>
          <w:sz w:val="24"/>
          <w:szCs w:val="24"/>
          <w:highlight w:val="none"/>
        </w:rPr>
        <w:t xml:space="preserve">完成上述内容所必须的包装、运输、附属工程、临时工程、开办费、技术措施费、工程施工过程现场服务咨询费、资料增加成本费、风险费（含设计变更）、材料、劳务、机械设备、安装、维护、管理、利润、税金、建筑垃圾清运费用（施工过程中产生的建筑垃圾，就地资源化利用或运至场外建筑垃圾具备资质的处置企业处置，且不得掺杂其他垃圾。垃圾处置费用由供货方自行考虑列入报价，结算时不再调整）、招标投标综合服务费、政策性文件规定费用等；相关设备应提供采购方操作手册、配件备件等。供货方需踏勘现场、充分考虑现场情况后综合考虑，结算时不再调整。</w:t>
      </w:r>
      <w:r/>
    </w:p>
    <w:p>
      <w:pPr>
        <w:pStyle w:val="1133"/>
        <w:numPr>
          <w:ilvl w:val="0"/>
          <w:numId w:val="108"/>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投标报价要求</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投标时货物单价为</w:t>
      </w:r>
      <w:r>
        <w:rPr>
          <w:rFonts w:hint="eastAsia" w:ascii="宋体" w:hAnsi="宋体" w:eastAsia="宋体" w:cs="宋体"/>
          <w:b/>
          <w:bCs/>
          <w:color w:val="auto"/>
          <w:sz w:val="24"/>
          <w:szCs w:val="24"/>
          <w:highlight w:val="none"/>
          <w:u w:val="none"/>
        </w:rPr>
        <w:t xml:space="preserve">全费用综合单价</w:t>
      </w:r>
      <w:r>
        <w:rPr>
          <w:rFonts w:hint="eastAsia" w:ascii="宋体" w:hAnsi="宋体" w:eastAsia="宋体" w:cs="宋体"/>
          <w:color w:val="auto"/>
          <w:sz w:val="24"/>
          <w:szCs w:val="24"/>
          <w:highlight w:val="none"/>
          <w:u w:val="none"/>
        </w:rPr>
        <w:t xml:space="preserve">。</w:t>
      </w:r>
      <w:r>
        <w:rPr>
          <w:rFonts w:hint="eastAsia" w:ascii="宋体" w:hAnsi="宋体" w:eastAsia="宋体" w:cs="宋体"/>
          <w:b/>
          <w:bCs/>
          <w:color w:val="auto"/>
          <w:sz w:val="24"/>
          <w:szCs w:val="24"/>
          <w:highlight w:val="none"/>
          <w:u w:val="none"/>
        </w:rPr>
        <w:t xml:space="preserve">报价清单中若有漏项、缺项、少算部分，视同分摊至其余综合单价中，结算时不予增加</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除采购方认可的方案变更引起的调整外，供货方不得提出任何增加费用的要求。</w:t>
      </w:r>
      <w:r/>
    </w:p>
    <w:p>
      <w:pPr>
        <w:pStyle w:val="1133"/>
        <w:numPr>
          <w:ilvl w:val="0"/>
          <w:numId w:val="108"/>
        </w:numPr>
        <w:spacing w:line="360" w:lineRule="auto"/>
        <w:rPr>
          <w:rFonts w:hint="eastAsia" w:ascii="宋体" w:hAnsi="宋体" w:eastAsia="宋体" w:cs="宋体"/>
          <w:b/>
          <w:bCs/>
          <w:color w:val="auto"/>
          <w:sz w:val="24"/>
          <w:szCs w:val="24"/>
          <w:highlight w:val="none"/>
          <w:u w:val="none"/>
        </w:rPr>
        <w:outlineLvl w:val="2"/>
      </w:pPr>
      <w:r>
        <w:rPr>
          <w:rFonts w:hint="eastAsia" w:ascii="宋体" w:hAnsi="宋体" w:eastAsia="宋体" w:cs="宋体"/>
          <w:b/>
          <w:color w:val="auto"/>
          <w:sz w:val="24"/>
          <w:szCs w:val="24"/>
          <w:highlight w:val="none"/>
        </w:rPr>
        <w:t xml:space="preserve">现场踏勘要求</w:t>
      </w:r>
      <w:r/>
    </w:p>
    <w:p>
      <w:pPr>
        <w:pStyle w:val="1133"/>
        <w:numPr>
          <w:ilvl w:val="0"/>
          <w:numId w:val="0"/>
        </w:numPr>
        <w:ind w:firstLine="480"/>
        <w:spacing w:line="360" w:lineRule="auto"/>
        <w:rPr>
          <w:rFonts w:hint="eastAsia" w:ascii="宋体" w:hAnsi="宋体" w:eastAsia="宋体" w:cs="宋体"/>
          <w:b/>
          <w:bCs/>
          <w:color w:val="auto"/>
          <w:sz w:val="24"/>
          <w:szCs w:val="24"/>
          <w:highlight w:val="none"/>
          <w:u w:val="none"/>
        </w:rPr>
        <w:outlineLvl w:val="2"/>
      </w:pPr>
      <w:r>
        <w:rPr>
          <w:rFonts w:hint="eastAsia" w:ascii="宋体" w:hAnsi="宋体" w:eastAsia="宋体" w:cs="宋体"/>
          <w:color w:val="auto"/>
          <w:sz w:val="24"/>
          <w:szCs w:val="24"/>
          <w:highlight w:val="none"/>
        </w:rPr>
        <w:t xml:space="preserve">供货方需自行组织</w:t>
      </w:r>
      <w:r>
        <w:rPr>
          <w:rFonts w:hint="eastAsia" w:ascii="宋体" w:hAnsi="宋体" w:eastAsia="宋体" w:cs="宋体"/>
          <w:b/>
          <w:color w:val="auto"/>
          <w:sz w:val="24"/>
          <w:szCs w:val="24"/>
          <w:highlight w:val="none"/>
        </w:rPr>
        <w:t xml:space="preserve">现场踏勘</w:t>
      </w:r>
      <w:r>
        <w:rPr>
          <w:rFonts w:hint="eastAsia" w:ascii="宋体" w:hAnsi="宋体" w:eastAsia="宋体" w:cs="宋体"/>
          <w:color w:val="auto"/>
          <w:sz w:val="24"/>
          <w:szCs w:val="24"/>
          <w:highlight w:val="none"/>
        </w:rPr>
        <w:t xml:space="preserve">，要结合设备安装实际情况勘测现场布线及辅材实际用量。</w:t>
      </w:r>
      <w:r>
        <w:rPr>
          <w:rFonts w:hint="eastAsia" w:ascii="宋体" w:hAnsi="宋体" w:eastAsia="宋体" w:cs="宋体"/>
          <w:b/>
          <w:bCs/>
          <w:color w:val="auto"/>
          <w:sz w:val="24"/>
          <w:szCs w:val="24"/>
          <w:highlight w:val="none"/>
          <w:u w:val="none"/>
        </w:rPr>
        <w:t xml:space="preserve">供货方无权因现场调查不周而修改有关文件或要求补偿。</w:t>
      </w:r>
      <w:r/>
    </w:p>
    <w:p>
      <w:pPr>
        <w:pStyle w:val="1133"/>
        <w:numPr>
          <w:ilvl w:val="0"/>
          <w:numId w:val="107"/>
        </w:numPr>
        <w:jc w:val="left"/>
        <w:spacing w:line="360" w:lineRule="auto"/>
        <w:tabs>
          <w:tab w:val="left" w:pos="484" w:leader="none"/>
          <w:tab w:val="left" w:pos="55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货物资料完善要求</w:t>
      </w:r>
      <w:r/>
    </w:p>
    <w:p>
      <w:pPr>
        <w:pStyle w:val="1133"/>
        <w:numPr>
          <w:ilvl w:val="0"/>
          <w:numId w:val="109"/>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货物参数优化</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供货方必须严格按照项目实施要求，结合现场实际条件，依据自己的工艺标准，在不低于本文件</w:t>
      </w:r>
      <w:r>
        <w:rPr>
          <w:rFonts w:hint="eastAsia" w:ascii="宋体" w:hAnsi="宋体" w:eastAsia="宋体" w:cs="宋体"/>
          <w:b/>
          <w:color w:val="auto"/>
          <w:sz w:val="24"/>
          <w:szCs w:val="24"/>
          <w:highlight w:val="none"/>
        </w:rPr>
        <w:t xml:space="preserve">要求参数的基础之上，编制完整的、准确的报价清单，进一步明确所选用的主材、辅材、设备等的品牌、规格、型号、参数等，并详述具体的安装工艺</w:t>
      </w:r>
      <w:r>
        <w:rPr>
          <w:rFonts w:hint="eastAsia" w:ascii="宋体" w:hAnsi="宋体" w:eastAsia="宋体" w:cs="宋体"/>
          <w:color w:val="auto"/>
          <w:sz w:val="24"/>
          <w:szCs w:val="24"/>
          <w:highlight w:val="none"/>
        </w:rPr>
        <w:t xml:space="preserve">。供货方对采购方案中规定的技术参数、规格、数量和要求等必须等于或高于招标文件提供的详细参数。</w:t>
      </w:r>
      <w:r/>
    </w:p>
    <w:p>
      <w:pPr>
        <w:pStyle w:val="1133"/>
        <w:numPr>
          <w:ilvl w:val="0"/>
          <w:numId w:val="109"/>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货物供应保证</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供货方投标的设备货物型号必须是真实存在的且尚未停产，在供货周期内按照所投设施设备的品牌、型号、规格参数供应设施设备，否则供货方需处以该货物3倍以上罚款。</w:t>
      </w:r>
      <w:r/>
    </w:p>
    <w:p>
      <w:pPr>
        <w:pStyle w:val="1133"/>
        <w:numPr>
          <w:ilvl w:val="0"/>
          <w:numId w:val="109"/>
        </w:numPr>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货物品牌要求</w:t>
      </w:r>
      <w:r/>
    </w:p>
    <w:p>
      <w:pPr>
        <w:pStyle w:val="1133"/>
        <w:numPr>
          <w:ilvl w:val="0"/>
          <w:numId w:val="0"/>
        </w:num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color w:val="auto"/>
          <w:sz w:val="24"/>
          <w:szCs w:val="24"/>
          <w:highlight w:val="none"/>
        </w:rPr>
        <w:t xml:space="preserve">报价清单中所列品牌（如有）均为参考品牌，不作为指定品牌，供货方可以自行选择其它品牌报价，但各投标单位必须在投标文件中提供相关证明材料证明所报产品品质、档次、性能、技术参数相当于或优于参考品牌，否则其投标无效。</w:t>
      </w:r>
      <w:r/>
    </w:p>
    <w:p>
      <w:pPr>
        <w:numPr>
          <w:ilvl w:val="0"/>
          <w:numId w:val="107"/>
        </w:numPr>
        <w:ind w:left="0" w:firstLine="0"/>
        <w:spacing w:line="36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付款方式</w:t>
      </w:r>
      <w:bookmarkStart w:id="41" w:name="_Toc15397"/>
      <w:r/>
      <w:r/>
    </w:p>
    <w:p>
      <w:pPr>
        <w:numPr>
          <w:ilvl w:val="0"/>
          <w:numId w:val="0"/>
        </w:numPr>
        <w:ind w:firstLine="24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合同签订，且乙方按招标文件要求提交的《安装方案》经甲方确认无误后，甲方向乙方支付合同总金额的30%作为预付款；项目</w:t>
      </w:r>
      <w:r>
        <w:rPr>
          <w:rFonts w:hint="eastAsia" w:ascii="宋体" w:hAnsi="宋体" w:eastAsia="宋体" w:cs="宋体"/>
          <w:color w:val="auto"/>
          <w:sz w:val="24"/>
          <w:szCs w:val="24"/>
          <w:highlight w:val="none"/>
          <w:lang w:val="en-US" w:eastAsia="zh-Hans" w:bidi="ar-SA"/>
        </w:rPr>
        <w:t xml:space="preserve">通过</w:t>
      </w:r>
      <w:r>
        <w:rPr>
          <w:rFonts w:hint="eastAsia" w:ascii="宋体" w:hAnsi="宋体" w:eastAsia="宋体" w:cs="宋体"/>
          <w:color w:val="auto"/>
          <w:sz w:val="24"/>
          <w:szCs w:val="24"/>
          <w:highlight w:val="none"/>
          <w:lang w:val="en-US" w:eastAsia="zh-CN" w:bidi="ar-SA"/>
        </w:rPr>
        <w:t xml:space="preserve">审计</w:t>
      </w:r>
      <w:r>
        <w:rPr>
          <w:rFonts w:hint="eastAsia" w:ascii="宋体" w:hAnsi="宋体" w:eastAsia="宋体" w:cs="宋体"/>
          <w:color w:val="auto"/>
          <w:sz w:val="24"/>
          <w:szCs w:val="24"/>
          <w:highlight w:val="none"/>
          <w:lang w:val="en-US" w:eastAsia="zh-Hans" w:bidi="ar-SA"/>
        </w:rPr>
        <w:t xml:space="preserve">验收</w:t>
      </w:r>
      <w:r>
        <w:rPr>
          <w:rFonts w:hint="eastAsia" w:ascii="宋体" w:hAnsi="宋体" w:eastAsia="宋体" w:cs="宋体"/>
          <w:color w:val="auto"/>
          <w:sz w:val="24"/>
          <w:szCs w:val="24"/>
          <w:highlight w:val="none"/>
          <w:lang w:val="en-US" w:eastAsia="zh-CN" w:bidi="ar-SA"/>
        </w:rPr>
        <w:t xml:space="preserve">后，甲方向乙方支付至审定总金额的97%；履约满后，付清尾款。</w:t>
      </w:r>
      <w:r/>
    </w:p>
    <w:p>
      <w:pPr>
        <w:jc w:val="center"/>
        <w:keepLines/>
        <w:keepNext/>
        <w:spacing w:before="340" w:after="330" w:line="360" w:lineRule="auto"/>
        <w:rPr>
          <w:rFonts w:hint="eastAsia" w:ascii="Times New Roman" w:hAnsi="Times New Roman"/>
          <w:b/>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ascii="Times New Roman" w:hAnsi="Times New Roman"/>
          <w:b/>
          <w:color w:val="auto"/>
          <w:sz w:val="24"/>
          <w:szCs w:val="24"/>
          <w:highlight w:val="none"/>
        </w:rPr>
      </w:r>
      <w:r/>
    </w:p>
    <w:p>
      <w:pPr>
        <w:jc w:val="center"/>
        <w:keepLines/>
        <w:keepNext/>
        <w:spacing w:before="340" w:after="330" w:line="360" w:lineRule="auto"/>
        <w:rPr>
          <w:rFonts w:ascii="Times New Roman" w:hAnsi="Times New Roman"/>
          <w:b/>
          <w:color w:val="auto"/>
          <w:sz w:val="24"/>
          <w:szCs w:val="24"/>
          <w:highlight w:val="none"/>
        </w:rPr>
        <w:outlineLvl w:val="0"/>
      </w:pPr>
      <w:r>
        <w:rPr>
          <w:rFonts w:hint="eastAsia" w:ascii="Times New Roman" w:hAnsi="Times New Roman"/>
          <w:b/>
          <w:color w:val="auto"/>
          <w:sz w:val="24"/>
          <w:szCs w:val="24"/>
          <w:highlight w:val="none"/>
        </w:rPr>
        <w:t xml:space="preserve">第五章</w:t>
      </w:r>
      <w:r>
        <w:rPr>
          <w:rFonts w:ascii="Times New Roman" w:hAnsi="Times New Roman"/>
          <w:b/>
          <w:color w:val="auto"/>
          <w:sz w:val="24"/>
          <w:szCs w:val="24"/>
          <w:highlight w:val="none"/>
        </w:rPr>
        <w:t xml:space="preserve">   </w:t>
      </w:r>
      <w:r>
        <w:rPr>
          <w:rFonts w:hint="eastAsia" w:ascii="Times New Roman" w:hAnsi="Times New Roman"/>
          <w:b/>
          <w:color w:val="auto"/>
          <w:sz w:val="24"/>
          <w:szCs w:val="24"/>
          <w:highlight w:val="none"/>
        </w:rPr>
        <w:t xml:space="preserve">评</w:t>
      </w:r>
      <w:r>
        <w:rPr>
          <w:rFonts w:ascii="Times New Roman" w:hAnsi="Times New Roman"/>
          <w:b/>
          <w:color w:val="auto"/>
          <w:sz w:val="24"/>
          <w:szCs w:val="24"/>
          <w:highlight w:val="none"/>
        </w:rPr>
        <w:t xml:space="preserve"> </w:t>
      </w:r>
      <w:r>
        <w:rPr>
          <w:rFonts w:hint="eastAsia" w:ascii="Times New Roman" w:hAnsi="Times New Roman"/>
          <w:b/>
          <w:color w:val="auto"/>
          <w:sz w:val="24"/>
          <w:szCs w:val="24"/>
          <w:highlight w:val="none"/>
        </w:rPr>
        <w:t xml:space="preserve">审</w:t>
      </w:r>
      <w:r>
        <w:rPr>
          <w:rFonts w:ascii="Times New Roman" w:hAnsi="Times New Roman"/>
          <w:b/>
          <w:color w:val="auto"/>
          <w:sz w:val="24"/>
          <w:szCs w:val="24"/>
          <w:highlight w:val="none"/>
        </w:rPr>
        <w:t xml:space="preserve"> </w:t>
      </w:r>
      <w:r>
        <w:rPr>
          <w:rFonts w:hint="eastAsia" w:ascii="Times New Roman" w:hAnsi="Times New Roman"/>
          <w:b/>
          <w:color w:val="auto"/>
          <w:sz w:val="24"/>
          <w:szCs w:val="24"/>
          <w:highlight w:val="none"/>
        </w:rPr>
        <w:t xml:space="preserve">办</w:t>
      </w:r>
      <w:r>
        <w:rPr>
          <w:rFonts w:ascii="Times New Roman" w:hAnsi="Times New Roman"/>
          <w:b/>
          <w:color w:val="auto"/>
          <w:sz w:val="24"/>
          <w:szCs w:val="24"/>
          <w:highlight w:val="none"/>
        </w:rPr>
        <w:t xml:space="preserve"> </w:t>
      </w:r>
      <w:r>
        <w:rPr>
          <w:rFonts w:hint="eastAsia" w:ascii="Times New Roman" w:hAnsi="Times New Roman"/>
          <w:b/>
          <w:color w:val="auto"/>
          <w:sz w:val="24"/>
          <w:szCs w:val="24"/>
          <w:highlight w:val="none"/>
        </w:rPr>
        <w:t xml:space="preserve">法</w:t>
      </w:r>
      <w:bookmarkEnd w:id="41"/>
      <w:r/>
      <w:r/>
    </w:p>
    <w:p>
      <w:pPr>
        <w:ind w:firstLine="480"/>
        <w:spacing w:line="360" w:lineRule="auto"/>
        <w:rPr>
          <w:rFonts w:hint="eastAsia" w:ascii="宋体" w:hAnsi="宋体" w:cs="宋体"/>
          <w:bCs/>
          <w:color w:val="auto"/>
          <w:sz w:val="24"/>
          <w:highlight w:val="none"/>
        </w:rPr>
      </w:pPr>
      <w:r/>
      <w:bookmarkStart w:id="42" w:name="EB41ab225cafa04b3cae8183c7622128f1"/>
      <w:r/>
      <w:bookmarkEnd w:id="42"/>
      <w:r>
        <w:rPr>
          <w:rFonts w:hint="eastAsia" w:ascii="宋体" w:hAnsi="宋体" w:cs="宋体"/>
          <w:bCs/>
          <w:color w:val="auto"/>
          <w:sz w:val="24"/>
          <w:highlight w:val="none"/>
        </w:rPr>
        <w:t xml:space="preserve">为做好招标投标工作，根据国家有关规定特制订本标准及办法。</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评标办法制订依据</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政府采购</w:t>
      </w:r>
      <w:r>
        <w:rPr>
          <w:rFonts w:hint="eastAsia" w:ascii="宋体" w:hAnsi="宋体" w:cs="宋体"/>
          <w:bCs/>
          <w:color w:val="auto"/>
          <w:sz w:val="24"/>
          <w:highlight w:val="none"/>
          <w:lang w:val="en-US" w:eastAsia="zh-CN"/>
        </w:rPr>
        <w:t xml:space="preserve">法律</w:t>
      </w:r>
      <w:r>
        <w:rPr>
          <w:rFonts w:hint="eastAsia" w:ascii="宋体" w:hAnsi="宋体" w:cs="宋体"/>
          <w:bCs/>
          <w:color w:val="auto"/>
          <w:sz w:val="24"/>
          <w:highlight w:val="none"/>
        </w:rPr>
        <w:t xml:space="preserve">法规、制度。</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评标原则</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评标活动遵循</w:t>
      </w:r>
      <w:r>
        <w:rPr>
          <w:rFonts w:hint="eastAsia" w:ascii="宋体" w:hAnsi="宋体" w:cs="宋体"/>
          <w:bCs/>
          <w:color w:val="auto"/>
          <w:sz w:val="24"/>
          <w:highlight w:val="none"/>
          <w:lang w:val="en-US" w:eastAsia="zh-CN"/>
        </w:rPr>
        <w:t xml:space="preserve">客观、</w:t>
      </w:r>
      <w:r>
        <w:rPr>
          <w:rFonts w:hint="eastAsia" w:ascii="宋体" w:hAnsi="宋体" w:cs="宋体"/>
          <w:bCs/>
          <w:color w:val="auto"/>
          <w:sz w:val="24"/>
          <w:highlight w:val="none"/>
        </w:rPr>
        <w:t xml:space="preserve">公正、</w:t>
      </w:r>
      <w:r>
        <w:rPr>
          <w:rFonts w:hint="eastAsia" w:ascii="宋体" w:hAnsi="宋体" w:cs="宋体"/>
          <w:bCs/>
          <w:color w:val="auto"/>
          <w:sz w:val="24"/>
          <w:highlight w:val="none"/>
          <w:lang w:val="en-US" w:eastAsia="zh-CN"/>
        </w:rPr>
        <w:t xml:space="preserve">审慎</w:t>
      </w:r>
      <w:r>
        <w:rPr>
          <w:rFonts w:hint="eastAsia" w:ascii="宋体" w:hAnsi="宋体" w:cs="宋体"/>
          <w:bCs/>
          <w:color w:val="auto"/>
          <w:sz w:val="24"/>
          <w:highlight w:val="none"/>
        </w:rPr>
        <w:t xml:space="preserve">的原则。</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cs="宋体"/>
          <w:bCs/>
          <w:color w:val="auto"/>
          <w:sz w:val="24"/>
          <w:highlight w:val="none"/>
        </w:rPr>
        <w:t xml:space="preserve">评标机构</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评标委员会由 </w:t>
      </w:r>
      <w:r>
        <w:rPr>
          <w:rFonts w:hint="eastAsia" w:ascii="宋体" w:hAnsi="宋体" w:cs="宋体"/>
          <w:b w:val="0"/>
          <w:bCs/>
          <w:color w:val="auto"/>
          <w:sz w:val="24"/>
          <w:highlight w:val="none"/>
          <w:lang w:val="en-US" w:eastAsia="zh-CN"/>
        </w:rPr>
        <w:t xml:space="preserve">5</w:t>
      </w:r>
      <w:r>
        <w:rPr>
          <w:rFonts w:hint="eastAsia" w:ascii="宋体" w:hAnsi="宋体" w:cs="宋体"/>
          <w:b w:val="0"/>
          <w:bCs/>
          <w:color w:val="auto"/>
          <w:sz w:val="24"/>
          <w:highlight w:val="none"/>
        </w:rPr>
        <w:t xml:space="preserve">人（含 </w:t>
      </w:r>
      <w:r>
        <w:rPr>
          <w:rFonts w:hint="eastAsia" w:ascii="宋体" w:hAnsi="宋体" w:cs="宋体"/>
          <w:b w:val="0"/>
          <w:bCs/>
          <w:color w:val="auto"/>
          <w:sz w:val="24"/>
          <w:highlight w:val="none"/>
          <w:lang w:val="en-US" w:eastAsia="zh-CN"/>
        </w:rPr>
        <w:t xml:space="preserve">5</w:t>
      </w:r>
      <w:r>
        <w:rPr>
          <w:rFonts w:hint="eastAsia" w:ascii="宋体" w:hAnsi="宋体" w:cs="宋体"/>
          <w:b w:val="0"/>
          <w:bCs/>
          <w:color w:val="auto"/>
          <w:sz w:val="24"/>
          <w:highlight w:val="none"/>
        </w:rPr>
        <w:t xml:space="preserve">人）以上单数的评委组成。开标前，按照政府采购评审专家管理的有关规定产生专家评委。</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4.</w:t>
      </w:r>
      <w:r>
        <w:rPr>
          <w:rFonts w:hint="eastAsia" w:ascii="宋体" w:hAnsi="宋体" w:cs="宋体"/>
          <w:bCs/>
          <w:color w:val="auto"/>
          <w:sz w:val="24"/>
          <w:highlight w:val="none"/>
        </w:rPr>
        <w:t xml:space="preserve">评标程序</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w:t>
      </w:r>
      <w:r>
        <w:rPr>
          <w:rFonts w:hint="eastAsia" w:ascii="宋体" w:hAnsi="宋体" w:cs="宋体"/>
          <w:color w:val="auto"/>
          <w:sz w:val="24"/>
          <w:highlight w:val="none"/>
        </w:rPr>
        <w:t xml:space="preserve">由于本项目资格审查采用“资格后审法”，因此只有通过资格审查的投标人的投标文件才可进入详细评审。</w:t>
      </w:r>
      <w:r>
        <w:rPr>
          <w:rFonts w:hint="eastAsia" w:ascii="宋体" w:hAnsi="宋体" w:cs="宋体"/>
          <w:bCs/>
          <w:color w:val="auto"/>
          <w:sz w:val="24"/>
          <w:highlight w:val="none"/>
        </w:rPr>
        <w:t xml:space="preserve">资格审查将由</w:t>
      </w:r>
      <w:r>
        <w:rPr>
          <w:rFonts w:hint="eastAsia" w:ascii="宋体" w:hAnsi="宋体" w:cs="宋体"/>
          <w:bCs/>
          <w:color w:val="auto"/>
          <w:sz w:val="24"/>
          <w:highlight w:val="none"/>
          <w:lang w:eastAsia="zh-CN"/>
        </w:rPr>
        <w:t xml:space="preserve">招标人</w:t>
      </w:r>
      <w:r>
        <w:rPr>
          <w:rFonts w:hint="eastAsia" w:ascii="宋体" w:hAnsi="宋体" w:cs="宋体"/>
          <w:bCs/>
          <w:color w:val="auto"/>
          <w:sz w:val="24"/>
          <w:highlight w:val="none"/>
        </w:rPr>
        <w:t xml:space="preserve">在开标后评审前对所有投标人进行资格审查，通过资格审查的投标人才能继续参加评审。</w:t>
      </w:r>
      <w:r/>
    </w:p>
    <w:p>
      <w:pPr>
        <w:ind w:firstLine="480"/>
        <w:jc w:val="left"/>
        <w:spacing w:line="360" w:lineRule="auto"/>
        <w:widowControl/>
        <w:rPr>
          <w:rFonts w:hint="eastAsia" w:ascii="宋体" w:hAnsi="宋体" w:cs="宋体"/>
          <w:b/>
          <w:color w:val="auto"/>
          <w:sz w:val="24"/>
          <w:highlight w:val="none"/>
        </w:rPr>
      </w:pPr>
      <w:r>
        <w:rPr>
          <w:rFonts w:hint="eastAsia" w:ascii="宋体" w:hAnsi="宋体" w:cs="宋体"/>
          <w:bCs/>
          <w:color w:val="auto"/>
          <w:sz w:val="24"/>
          <w:highlight w:val="none"/>
        </w:rPr>
        <w:t xml:space="preserve">（二）</w:t>
      </w:r>
      <w:r>
        <w:rPr>
          <w:rFonts w:hint="eastAsia" w:ascii="宋体" w:hAnsi="宋体" w:cs="宋体"/>
          <w:color w:val="auto"/>
          <w:sz w:val="24"/>
          <w:highlight w:val="none"/>
        </w:rPr>
        <w:t xml:space="preserve">评标委员会首先对各投标文件进行符合性审查，未通过审查的为无效标。</w:t>
      </w:r>
      <w:r/>
    </w:p>
    <w:p>
      <w:pPr>
        <w:ind w:firstLine="480"/>
        <w:jc w:val="left"/>
        <w:spacing w:line="360" w:lineRule="auto"/>
        <w:widowControl/>
        <w:rPr>
          <w:rFonts w:hint="eastAsia" w:ascii="宋体" w:hAnsi="宋体" w:cs="宋体"/>
          <w:b/>
          <w:color w:val="auto"/>
          <w:sz w:val="24"/>
          <w:highlight w:val="none"/>
        </w:rPr>
      </w:pPr>
      <w:r>
        <w:rPr>
          <w:rFonts w:hint="eastAsia" w:ascii="宋体" w:hAnsi="宋体" w:cs="宋体"/>
          <w:color w:val="auto"/>
          <w:sz w:val="24"/>
          <w:highlight w:val="none"/>
        </w:rPr>
        <w:t xml:space="preserve">符合性检查：依据招标文件的规定，从投标文件的有效性、完整性和对招标文件的响应程度进行审查，以确定是否对招标文件的要求作出了实质性的响应，</w:t>
      </w:r>
      <w:r>
        <w:rPr>
          <w:rFonts w:hint="eastAsia" w:ascii="宋体" w:hAnsi="宋体" w:cs="宋体"/>
          <w:bCs/>
          <w:color w:val="auto"/>
          <w:sz w:val="24"/>
          <w:highlight w:val="none"/>
        </w:rPr>
        <w:t xml:space="preserve">审查并逐项列出投标文件的全部投标偏差。投标偏差分为重大偏差和细微偏差</w:t>
      </w:r>
      <w:r>
        <w:rPr>
          <w:rFonts w:hint="eastAsia" w:ascii="宋体" w:hAnsi="宋体" w:cs="宋体"/>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下列情况属于重大偏差：</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要求盖章签字</w:t>
      </w:r>
      <w:r>
        <w:rPr>
          <w:rFonts w:hint="eastAsia" w:ascii="宋体" w:hAnsi="宋体" w:cs="宋体"/>
          <w:bCs/>
          <w:color w:val="auto"/>
          <w:sz w:val="24"/>
          <w:highlight w:val="none"/>
        </w:rPr>
        <w:t xml:space="preserve">无单位盖章，无法定代表人或法定代表人授权的代理人签字或盖章的；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（2）无法定代表人出具的授权委托书的；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（3）未按规定的格式填写，内容不全或关键字迹模糊、无法辨认的；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（4）投标人递交两份或多份内容不同的投标文件，或在一份投标文件中对同一招标货物报有两个或多个报价，且未声明哪一个为最终报价的，按招标文件规定提交备选投标方案的除外；</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（5）投标人名称或组织结构与本次指投标报名时不一致且未提供有效证明的；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（6）投标有效期不满足招标文件要求的；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（7）招标文件明确规定可以废标的其他情形。</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①投标函无投标人盖章，无法定代表人或法定代表人授权的代理人签字或盖章的；</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②授权委托书无法定代表人（或代理人）手签或法人印章；</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③投标文件中含有虚假材料；</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④其他不满足法律法规、招标文件规定或评标委员会讨论通过确定为废标的情形。</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投标文件出现上述情形之一的，属未能对招标文件作出实质性的响应，作废标处理。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在评标过程中，评标委员会发现投标人以他人名义投标、串通投标、以行贿手段谋取中标或者以其他弄虚作假方式投标的，该投标人的投标作废标处理。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细微偏差是指投标文件在实质上响应招标文件要求，但在个别地方存在漏项或者提供了不完整的技术信息和数据等情况，并且补正这些遗漏或者不完整不会对其他投标人造成不公平的结果。评标委员会书面要求存在细微偏差的投标人在评标结束前予以补正。</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三）评标委员会以书面方式要求投标人对投标文件中含义不明确、对同类问题表达不一致或者有明显文字和计算错误的内容作必要的澄清或者补正。澄清、说明或者有补正的以书面方式并不得超出投标文件的范围或者改变投标文件的实质性内容；</w:t>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（四）</w:t>
      </w:r>
      <w:r>
        <w:rPr>
          <w:rFonts w:hint="eastAsia" w:ascii="宋体" w:hAnsi="宋体" w:cs="宋体"/>
          <w:color w:val="auto"/>
          <w:sz w:val="24"/>
          <w:highlight w:val="none"/>
        </w:rPr>
        <w:t xml:space="preserve"> 投标文件算术错误的修正：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将对确定为实质上响应招标文件要求的投标文件进行校核。投标文件有算术错误的，评标委员会按以下原则对投标报价进行修正，修正的价格经投标人书面确认后具有约束力。投标人不接受修正价格的，其投标作废标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投标文件中的大写金额与小写金额不一致的，以大写金额为准；</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总价金额与依据单价计算出的结果不一致的，以单价金额为准修正总价，但单价金额小数点有明显错误的除外。</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（五）报价评审及细微偏差量化；</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（六）评委评价投标文件。评委阅读、审查、评价投标文件，依据评分标准进行有记名打分；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（七）根据实际需要，对有关投标人进行核实和考察；</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（八）评标委员会在评标过程中发现的问题，应及时作出处理或者向招标人提出处理建议，并作出书面记录；</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（九）计算经综合评审的评分，综合评分为各评委评分的算术平均值；</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（十）评标委员会完成评标后，向招标人提出书面评标报告。</w:t>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（十一）</w:t>
      </w:r>
      <w:r>
        <w:rPr>
          <w:rFonts w:hint="eastAsia" w:ascii="宋体" w:hAnsi="宋体" w:cs="宋体"/>
          <w:color w:val="auto"/>
          <w:sz w:val="24"/>
          <w:highlight w:val="none"/>
        </w:rPr>
        <w:t xml:space="preserve">中标人的确定</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本次招标项目的评标办法采用“综合评分法”。评标委员会仅对确定为实质上响应招标文件要求的投标进行评价和比较。</w:t>
      </w:r>
      <w:r/>
    </w:p>
    <w:p>
      <w:pPr>
        <w:ind w:firstLine="482"/>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评标委员会根据综合评分高低进行排序确定中标候选单位。若综合得分相同，按商务标报价分由高到低顺序排列；若综合得分相同且商务标报价分相同，按技术标得分由高到低顺序排列。</w:t>
      </w:r>
      <w:r>
        <w:rPr>
          <w:rFonts w:hint="eastAsia" w:ascii="宋体" w:hAnsi="宋体" w:cs="宋体"/>
          <w:b/>
          <w:bCs/>
          <w:color w:val="auto"/>
          <w:sz w:val="24"/>
          <w:highlight w:val="none"/>
          <w:lang w:eastAsia="zh-CN"/>
        </w:rPr>
        <w:t xml:space="preserve">招标人</w:t>
      </w:r>
      <w:r>
        <w:rPr>
          <w:rFonts w:hint="eastAsia" w:ascii="宋体" w:hAnsi="宋体" w:cs="宋体"/>
          <w:b/>
          <w:bCs/>
          <w:color w:val="auto"/>
          <w:sz w:val="24"/>
          <w:highlight w:val="none"/>
        </w:rPr>
        <w:t xml:space="preserve">确定排名第一的中标候选单位为本项目</w:t>
      </w:r>
      <w:r>
        <w:rPr>
          <w:rFonts w:hint="eastAsia" w:ascii="宋体" w:hAnsi="宋体" w:cs="宋体"/>
          <w:b/>
          <w:bCs/>
          <w:color w:val="auto"/>
          <w:sz w:val="24"/>
          <w:highlight w:val="none"/>
          <w:lang w:eastAsia="zh-CN"/>
        </w:rPr>
        <w:t xml:space="preserve">中标人。</w:t>
      </w:r>
      <w:r/>
    </w:p>
    <w:p>
      <w:pPr>
        <w:pStyle w:val="1130"/>
        <w:jc w:val="center"/>
        <w:rPr>
          <w:rFonts w:hint="default"/>
          <w:highlight w:val="none"/>
          <w:lang w:val="en-US" w:eastAsia="zh-CN"/>
        </w:rPr>
      </w:pPr>
      <w:r>
        <w:rPr>
          <w:rFonts w:hint="eastAsia" w:ascii="宋体" w:hAnsi="宋体" w:cs="宋体"/>
          <w:b/>
          <w:bCs/>
          <w:color w:val="auto"/>
          <w:sz w:val="24"/>
          <w:highlight w:val="none"/>
          <w:lang w:val="en-US" w:eastAsia="zh-CN"/>
        </w:rPr>
        <w:t xml:space="preserve">评审标准</w:t>
      </w:r>
      <w:r/>
    </w:p>
    <w:tbl>
      <w:tblPr>
        <w:tblStyle w:val="112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992"/>
        <w:gridCol w:w="6573"/>
      </w:tblGrid>
      <w:tr>
        <w:trPr>
          <w:jc w:val="center"/>
          <w:trHeight w:val="849"/>
        </w:trPr>
        <w:tc>
          <w:tcPr>
            <w:tcW w:w="56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val="0"/>
                <w:sz w:val="24"/>
                <w:szCs w:val="24"/>
                <w:highlight w:val="none"/>
              </w:rPr>
            </w:pPr>
            <w:r/>
            <w:bookmarkStart w:id="43" w:name="_Toc15528"/>
            <w:r>
              <w:rPr>
                <w:rFonts w:hint="eastAsia" w:ascii="宋体" w:hAnsi="宋体" w:eastAsia="宋体" w:cs="宋体"/>
                <w:b w:val="0"/>
                <w:bCs w:val="0"/>
                <w:sz w:val="24"/>
                <w:szCs w:val="24"/>
                <w:highlight w:val="none"/>
              </w:rPr>
              <w:t xml:space="preserve">评分项</w:t>
            </w:r>
            <w:r/>
          </w:p>
        </w:tc>
        <w:tc>
          <w:tcPr>
            <w:tcW w:w="58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权值</w:t>
            </w:r>
            <w:r/>
          </w:p>
        </w:tc>
        <w:tc>
          <w:tcPr>
            <w:tcW w:w="38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评分标准</w:t>
            </w:r>
            <w:r/>
          </w:p>
        </w:tc>
      </w:tr>
      <w:tr>
        <w:trPr>
          <w:jc w:val="center"/>
          <w:trHeight w:val="1622"/>
        </w:trPr>
        <w:tc>
          <w:tcPr>
            <w:tcBorders>
              <w:bottom w:val="single" w:color="000000" w:sz="4" w:space="0"/>
            </w:tcBorders>
            <w:tcW w:w="56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w:t>
            </w:r>
            <w:r/>
          </w:p>
        </w:tc>
        <w:tc>
          <w:tcPr>
            <w:tcBorders>
              <w:bottom w:val="single" w:color="000000" w:sz="4" w:space="0"/>
            </w:tcBorders>
            <w:tcW w:w="58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30分</w:t>
            </w:r>
            <w:r/>
          </w:p>
        </w:tc>
        <w:tc>
          <w:tcPr>
            <w:tcW w:w="3856" w:type="pct"/>
            <w:vAlign w:val="center"/>
            <w:textDirection w:val="lrTb"/>
            <w:noWrap w:val="false"/>
          </w:tcPr>
          <w:p>
            <w:pPr>
              <w:spacing w:line="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价格分采用低价优先法计算，即满足招标文件要求且投标价格最低的投标报价为评标基准价，其价格分为满分。其他投标人的价格分别按照下列公式计算（计算结果四舍五入保留两位小数）：报价得分 =（评标基准价/报价）×</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0%×100</w:t>
            </w:r>
            <w:r>
              <w:rPr>
                <w:rFonts w:hint="eastAsia" w:ascii="宋体" w:hAnsi="宋体" w:eastAsia="宋体" w:cs="宋体"/>
                <w:sz w:val="24"/>
                <w:szCs w:val="24"/>
                <w:highlight w:val="none"/>
                <w:lang w:eastAsia="zh-CN"/>
              </w:rPr>
              <w:t xml:space="preserve">。</w:t>
            </w:r>
            <w:r/>
          </w:p>
        </w:tc>
      </w:tr>
      <w:tr>
        <w:trPr>
          <w:jc w:val="center"/>
          <w:trHeight w:val="3362"/>
        </w:trPr>
        <w:tc>
          <w:tcPr>
            <w:tcW w:w="56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产品销售业绩</w:t>
            </w:r>
            <w:r/>
          </w:p>
        </w:tc>
        <w:tc>
          <w:tcPr>
            <w:tcW w:w="58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tc>
        <w:tc>
          <w:tcPr>
            <w:tcW w:w="3856"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投标单位提供202</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年1月1日至今（以合同签订时间为准）具有同类产品业绩，每提供1份同类产品业绩的得1分，</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highlight w:val="none"/>
              </w:rPr>
              <w:t xml:space="preserve">最多得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p>
            <w:pPr>
              <w:ind w:firstLine="0"/>
              <w:jc w:val="both"/>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rPr>
              <w:t xml:space="preserve">上述销售业</w:t>
            </w:r>
            <w:r>
              <w:rPr>
                <w:rFonts w:hint="eastAsia" w:ascii="宋体" w:hAnsi="宋体" w:eastAsia="宋体" w:cs="宋体"/>
                <w:b/>
                <w:bCs/>
                <w:sz w:val="24"/>
                <w:szCs w:val="24"/>
                <w:highlight w:val="none"/>
                <w:lang w:val="en-US" w:eastAsia="zh-CN"/>
              </w:rPr>
              <w:t xml:space="preserve">绩不包含生产厂商与经销商或代理商的供货业绩。业绩证明须同时提供对应的合同复印件及对应合同发票（至少一张）复印件并加盖投标单位公章，</w:t>
            </w:r>
            <w:r>
              <w:rPr>
                <w:rFonts w:hint="eastAsia" w:ascii="宋体" w:hAnsi="宋体" w:eastAsia="宋体" w:cs="宋体"/>
                <w:b/>
                <w:bCs/>
                <w:sz w:val="24"/>
                <w:szCs w:val="24"/>
                <w:highlight w:val="none"/>
              </w:rPr>
              <w:t xml:space="preserve">合同复印件应能清晰的反映合同签订时间、销售的产品品牌等相关信息。不符合上述规定的业绩在评审时不予计分。</w:t>
            </w:r>
            <w:r/>
          </w:p>
        </w:tc>
      </w:tr>
      <w:tr>
        <w:trPr>
          <w:jc w:val="center"/>
          <w:trHeight w:val="1859"/>
        </w:trPr>
        <w:tc>
          <w:tcPr>
            <w:tcW w:w="56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企业认证及专利</w:t>
            </w:r>
            <w:r/>
          </w:p>
        </w:tc>
        <w:tc>
          <w:tcPr>
            <w:tcW w:w="58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c>
          <w:tcPr>
            <w:tcW w:w="3856" w:type="pct"/>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所投产品</w:t>
            </w:r>
            <w:r>
              <w:rPr>
                <w:rFonts w:hint="eastAsia" w:ascii="宋体" w:hAnsi="宋体" w:eastAsia="宋体" w:cs="宋体"/>
                <w:sz w:val="24"/>
                <w:szCs w:val="24"/>
                <w:highlight w:val="none"/>
              </w:rPr>
              <w:t xml:space="preserve">制造商（生产者）或投标单位具有与</w:t>
            </w:r>
            <w:r>
              <w:rPr>
                <w:rFonts w:hint="eastAsia" w:ascii="宋体" w:hAnsi="宋体" w:eastAsia="宋体" w:cs="宋体"/>
                <w:sz w:val="24"/>
                <w:szCs w:val="24"/>
                <w:highlight w:val="none"/>
                <w:lang w:val="en-US" w:eastAsia="zh-CN"/>
              </w:rPr>
              <w:t xml:space="preserve">本次采购产品</w:t>
            </w:r>
            <w:r>
              <w:rPr>
                <w:rFonts w:hint="eastAsia" w:ascii="宋体" w:hAnsi="宋体" w:eastAsia="宋体" w:cs="宋体"/>
                <w:sz w:val="24"/>
                <w:szCs w:val="24"/>
                <w:highlight w:val="none"/>
              </w:rPr>
              <w:t xml:space="preserve">相关专利证书的有一个得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highlight w:val="none"/>
              </w:rPr>
              <w:t xml:space="preserve">最多得</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p>
            <w:pPr>
              <w:numPr>
                <w:ilvl w:val="0"/>
                <w:numId w:val="0"/>
              </w:numPr>
              <w:jc w:val="both"/>
              <w:keepLines w:val="0"/>
              <w:keepNext w:val="0"/>
              <w:pageBreakBefore w:val="0"/>
              <w:spacing w:line="240" w:lineRule="auto"/>
              <w:widowControl/>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 xml:space="preserve">注：投标</w:t>
            </w:r>
            <w:r>
              <w:rPr>
                <w:rFonts w:hint="eastAsia" w:ascii="宋体" w:hAnsi="宋体" w:eastAsia="宋体" w:cs="宋体"/>
                <w:b/>
                <w:bCs/>
                <w:sz w:val="24"/>
                <w:szCs w:val="24"/>
                <w:highlight w:val="none"/>
              </w:rPr>
              <w:t xml:space="preserve">文件中提供复印件并加盖投标单位公章</w:t>
            </w:r>
            <w:r>
              <w:rPr>
                <w:rFonts w:hint="eastAsia" w:ascii="宋体" w:hAnsi="宋体" w:eastAsia="宋体" w:cs="宋体"/>
                <w:b/>
                <w:bCs/>
                <w:sz w:val="24"/>
                <w:szCs w:val="24"/>
                <w:highlight w:val="none"/>
                <w:lang w:eastAsia="zh-CN"/>
              </w:rPr>
              <w:t xml:space="preserve">。</w:t>
            </w:r>
            <w:r/>
          </w:p>
        </w:tc>
      </w:tr>
      <w:tr>
        <w:trPr>
          <w:jc w:val="center"/>
          <w:trHeight w:val="2036"/>
        </w:trPr>
        <w:tc>
          <w:tcPr>
            <w:tcW w:w="56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质保及保修期</w:t>
            </w:r>
            <w:r/>
          </w:p>
        </w:tc>
        <w:tc>
          <w:tcPr>
            <w:tcW w:w="58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6分</w:t>
            </w:r>
            <w:r/>
          </w:p>
        </w:tc>
        <w:tc>
          <w:tcPr>
            <w:tcW w:w="3856"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承诺</w:t>
            </w:r>
            <w:r>
              <w:rPr>
                <w:rFonts w:hint="eastAsia" w:ascii="宋体" w:hAnsi="宋体" w:eastAsia="宋体" w:cs="宋体"/>
                <w:sz w:val="24"/>
                <w:szCs w:val="24"/>
                <w:highlight w:val="none"/>
                <w:lang w:val="en-US" w:eastAsia="zh-CN"/>
              </w:rPr>
              <w:t xml:space="preserve">所投产品在3年</w:t>
            </w:r>
            <w:r>
              <w:rPr>
                <w:rFonts w:hint="eastAsia" w:ascii="宋体" w:hAnsi="宋体" w:eastAsia="宋体" w:cs="宋体"/>
                <w:sz w:val="24"/>
                <w:szCs w:val="24"/>
                <w:highlight w:val="none"/>
              </w:rPr>
              <w:t xml:space="preserve">质保期</w:t>
            </w:r>
            <w:r>
              <w:rPr>
                <w:rFonts w:hint="eastAsia" w:ascii="宋体" w:hAnsi="宋体" w:eastAsia="宋体" w:cs="宋体"/>
                <w:sz w:val="24"/>
                <w:szCs w:val="24"/>
                <w:highlight w:val="none"/>
                <w:lang w:val="en-US" w:eastAsia="zh-CN"/>
              </w:rPr>
              <w:t xml:space="preserve">基础上</w:t>
            </w:r>
            <w:r>
              <w:rPr>
                <w:rFonts w:hint="eastAsia" w:ascii="宋体" w:hAnsi="宋体" w:eastAsia="宋体" w:cs="宋体"/>
                <w:sz w:val="24"/>
                <w:szCs w:val="24"/>
                <w:highlight w:val="none"/>
              </w:rPr>
              <w:t xml:space="preserve">每延长6个月得1分，</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sz w:val="24"/>
                <w:szCs w:val="24"/>
                <w:highlight w:val="none"/>
              </w:rPr>
              <w:t xml:space="preserve">最高得4分。</w:t>
            </w:r>
            <w:r/>
          </w:p>
          <w:p>
            <w:pPr>
              <w:ind w:firstLine="0"/>
              <w:jc w:val="both"/>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2.承诺质保期内非质保范围内产生的相关费用（除材料费）免费的得2分。</w:t>
            </w:r>
            <w:r/>
          </w:p>
          <w:p>
            <w:pPr>
              <w:ind w:firstLine="0"/>
              <w:jc w:val="both"/>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上述内容应在</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sz w:val="24"/>
                <w:szCs w:val="24"/>
                <w:highlight w:val="none"/>
              </w:rPr>
              <w:t xml:space="preserve">文件中提供相关承诺函并加盖投标单位公章，不提供不得分。</w:t>
            </w:r>
            <w:r/>
          </w:p>
        </w:tc>
      </w:tr>
      <w:tr>
        <w:trPr>
          <w:jc w:val="center"/>
          <w:trHeight w:val="2591"/>
        </w:trPr>
        <w:tc>
          <w:tcPr>
            <w:tcW w:w="561" w:type="pct"/>
            <w:vAlign w:val="center"/>
            <w:vMerge w:val="restart"/>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项目实施方案</w:t>
            </w:r>
            <w:r/>
          </w:p>
        </w:tc>
        <w:tc>
          <w:tcPr>
            <w:tcW w:w="582" w:type="pct"/>
            <w:vAlign w:val="center"/>
            <w:vMerge w:val="restart"/>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c>
          <w:tcPr>
            <w:tcW w:w="3856"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针对本项目详细的供货、调试等方案，包括设备供货、验货、调试、试运行等描述：</w:t>
            </w:r>
            <w:r/>
          </w:p>
          <w:p>
            <w:pPr>
              <w:ind w:firstLine="0"/>
              <w:jc w:val="both"/>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1.方案内容要素齐全、科学合理、操作性强、贴近用户需求，得5分；</w:t>
            </w:r>
            <w:r/>
          </w:p>
          <w:p>
            <w:pPr>
              <w:ind w:firstLine="0"/>
              <w:jc w:val="both"/>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2.方案内容要素较齐全、较科学合理、操作性较强，得3分；</w:t>
            </w:r>
            <w:r/>
          </w:p>
          <w:p>
            <w:pPr>
              <w:ind w:firstLine="0"/>
              <w:jc w:val="both"/>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3.方案内容要素有缺漏、科学性一般、操作性一般，得1分；</w:t>
            </w:r>
            <w:r/>
          </w:p>
          <w:p>
            <w:pPr>
              <w:ind w:firstLine="0"/>
              <w:jc w:val="both"/>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4.未提供此项方案的，得0分。</w:t>
            </w:r>
            <w:r/>
          </w:p>
        </w:tc>
      </w:tr>
      <w:tr>
        <w:trPr>
          <w:jc w:val="center"/>
          <w:trHeight w:val="3131"/>
        </w:trPr>
        <w:tc>
          <w:tcPr>
            <w:tcW w:w="561"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58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856" w:type="pct"/>
            <w:vAlign w:val="center"/>
            <w:textDirection w:val="lrTb"/>
            <w:noWrap w:val="false"/>
          </w:tcPr>
          <w:p>
            <w:pPr>
              <w:ind w:firstLine="0"/>
              <w:jc w:val="both"/>
              <w:keepLines w:val="0"/>
              <w:keepNext w:val="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针</w:t>
            </w:r>
            <w:r>
              <w:rPr>
                <w:rFonts w:hint="eastAsia" w:ascii="宋体" w:hAnsi="宋体" w:eastAsia="宋体" w:cs="宋体"/>
                <w:sz w:val="24"/>
                <w:szCs w:val="24"/>
                <w:highlight w:val="none"/>
              </w:rPr>
              <w:t xml:space="preserve">对用户的操作培训、业务功能培训等相关培训计划方案</w:t>
            </w:r>
            <w:r>
              <w:rPr>
                <w:rFonts w:hint="eastAsia" w:ascii="宋体" w:hAnsi="宋体" w:eastAsia="宋体" w:cs="宋体"/>
                <w:sz w:val="24"/>
                <w:szCs w:val="24"/>
                <w:highlight w:val="none"/>
                <w:lang w:eastAsia="zh-CN"/>
              </w:rPr>
              <w:t xml:space="preserve">：</w:t>
            </w:r>
            <w:r/>
          </w:p>
          <w:p>
            <w:pPr>
              <w:ind w:firstLine="0"/>
              <w:jc w:val="both"/>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1.技术培训保障方案内容详实、科学、合理，考虑周全，培训计划针对性强、内容详实，培训人员配备齐全、技术水平高、分工明确、岗位设置科学合理，培训率承诺高，得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p>
          <w:p>
            <w:pPr>
              <w:ind w:firstLine="0"/>
              <w:jc w:val="both"/>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技术培训保障方案内容详实、考虑较全，培训计划具体，培训人员齐全，培训率承诺较高，得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ind w:firstLine="0"/>
              <w:jc w:val="both"/>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技术培训保障方案表述简单，培训计划简单、培训人员较少，培训率承诺一般，得1分。</w:t>
            </w:r>
            <w:r/>
          </w:p>
          <w:p>
            <w:pPr>
              <w:ind w:firstLine="0"/>
              <w:jc w:val="both"/>
              <w:keepLines w:val="0"/>
              <w:keepNext w:val="0"/>
              <w:pageBreakBefore w:val="0"/>
              <w:spacing w:line="24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未提供此项方案的，得0分。</w:t>
            </w:r>
            <w:r/>
          </w:p>
        </w:tc>
      </w:tr>
      <w:tr>
        <w:trPr>
          <w:jc w:val="center"/>
          <w:trHeight w:val="2578"/>
        </w:trPr>
        <w:tc>
          <w:tcPr>
            <w:tcW w:w="56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技术参数响应性</w:t>
            </w:r>
            <w:r/>
          </w:p>
        </w:tc>
        <w:tc>
          <w:tcPr>
            <w:tcW w:w="58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36分</w:t>
            </w:r>
            <w:r/>
          </w:p>
        </w:tc>
        <w:tc>
          <w:tcPr>
            <w:tcW w:w="3856" w:type="pct"/>
            <w:vAlign w:val="center"/>
            <w:textDirection w:val="lrTb"/>
            <w:noWrap w:val="false"/>
          </w:tcPr>
          <w:p>
            <w:pPr>
              <w:ind w:firstLine="0"/>
              <w:jc w:val="both"/>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w:t>
            </w:r>
            <w:r>
              <w:rPr>
                <w:rFonts w:hint="eastAsia" w:ascii="宋体" w:hAnsi="宋体" w:eastAsia="宋体" w:cs="宋体"/>
                <w:sz w:val="24"/>
                <w:szCs w:val="24"/>
                <w:highlight w:val="none"/>
                <w:lang w:val="en-US" w:eastAsia="zh-CN"/>
              </w:rPr>
              <w:t xml:space="preserve">单位投标</w:t>
            </w:r>
            <w:r>
              <w:rPr>
                <w:rFonts w:hint="eastAsia" w:ascii="宋体" w:hAnsi="宋体" w:eastAsia="宋体" w:cs="宋体"/>
                <w:sz w:val="24"/>
                <w:szCs w:val="24"/>
                <w:highlight w:val="none"/>
              </w:rPr>
              <w:t xml:space="preserve">文件完全满足</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文件“技术参数要求”</w:t>
            </w:r>
            <w:r>
              <w:rPr>
                <w:rFonts w:hint="eastAsia" w:ascii="宋体" w:hAnsi="宋体" w:eastAsia="宋体" w:cs="宋体"/>
                <w:sz w:val="24"/>
                <w:szCs w:val="24"/>
                <w:highlight w:val="none"/>
                <w:lang w:val="en-US" w:eastAsia="zh-CN"/>
              </w:rPr>
              <w:t xml:space="preserve">或正</w:t>
            </w:r>
            <w:r>
              <w:rPr>
                <w:rFonts w:hint="eastAsia" w:ascii="宋体" w:hAnsi="宋体" w:eastAsia="宋体" w:cs="宋体"/>
                <w:sz w:val="24"/>
                <w:szCs w:val="24"/>
                <w:highlight w:val="none"/>
              </w:rPr>
              <w:t xml:space="preserve">偏离的得36分；</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文件与</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文件“技术参数要求”有负偏离的，每负偏离一项扣1分，扣完为止。</w:t>
            </w:r>
            <w:r/>
          </w:p>
          <w:p>
            <w:pPr>
              <w:ind w:firstLine="0"/>
              <w:jc w:val="both"/>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投标单位须如实详细填写“技术部分偏离表”，并如实填写所投</w:t>
            </w:r>
            <w:r>
              <w:rPr>
                <w:rFonts w:hint="eastAsia" w:ascii="宋体" w:hAnsi="宋体" w:eastAsia="宋体" w:cs="宋体"/>
                <w:sz w:val="24"/>
                <w:szCs w:val="24"/>
                <w:highlight w:val="none"/>
                <w:lang w:val="en-US" w:eastAsia="zh-CN"/>
              </w:rPr>
              <w:t xml:space="preserve">产品</w:t>
            </w:r>
            <w:r>
              <w:rPr>
                <w:rFonts w:hint="eastAsia" w:ascii="宋体" w:hAnsi="宋体" w:eastAsia="宋体" w:cs="宋体"/>
                <w:sz w:val="24"/>
                <w:szCs w:val="24"/>
                <w:highlight w:val="none"/>
              </w:rPr>
              <w:t xml:space="preserve">的真实参数。技术参数表中要求提供检测报告的应在响应文件中提供相应报告的复印件作为参数查验支撑，否则该项参数认定为负偏离。</w:t>
            </w:r>
            <w:r/>
          </w:p>
        </w:tc>
      </w:tr>
      <w:tr>
        <w:trPr>
          <w:jc w:val="center"/>
          <w:trHeight w:val="525"/>
        </w:trPr>
        <w:tc>
          <w:tcPr>
            <w:tcW w:w="56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合计</w:t>
            </w:r>
            <w:r>
              <w:rPr>
                <w:rFonts w:hint="eastAsia" w:ascii="宋体" w:hAnsi="宋体" w:eastAsia="宋体" w:cs="宋体"/>
                <w:sz w:val="24"/>
                <w:szCs w:val="24"/>
                <w:highlight w:val="none"/>
                <w:lang w:eastAsia="zh-CN"/>
              </w:rPr>
              <w:t xml:space="preserve">：</w:t>
            </w:r>
            <w:r/>
          </w:p>
        </w:tc>
        <w:tc>
          <w:tcPr>
            <w:gridSpan w:val="2"/>
            <w:tcW w:w="443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100分</w:t>
            </w:r>
            <w:r/>
          </w:p>
        </w:tc>
      </w:tr>
    </w:tbl>
    <w:p>
      <w:pPr>
        <w:pStyle w:val="1125"/>
        <w:spacing w:line="360" w:lineRule="auto"/>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注：</w:t>
      </w:r>
      <w:r/>
    </w:p>
    <w:p>
      <w:pPr>
        <w:pStyle w:val="1125"/>
        <w:ind w:firstLine="480"/>
        <w:spacing w:line="360" w:lineRule="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（1）针对评分标准中评分的每一条，投标单位均应按要求提供相关资料并作出相应说明供评标委员会评判，不提供相关资料或所提供资料无法证明的视为不具备该项得分的条件，资料须编好目录及页码；</w:t>
      </w:r>
      <w:r/>
    </w:p>
    <w:p>
      <w:pPr>
        <w:pStyle w:val="1125"/>
        <w:ind w:firstLine="480"/>
        <w:spacing w:line="360" w:lineRule="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（2）投标报价超过最高限价的，不得进入评标程序；</w:t>
      </w:r>
      <w:r/>
    </w:p>
    <w:p>
      <w:pPr>
        <w:pStyle w:val="1125"/>
        <w:ind w:firstLine="480"/>
        <w:spacing w:line="360" w:lineRule="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（3）投标文件中如出现前后不一致时,评标委员会有权要求投标单位澄清说明，澄清说明事项涉及评分时，该项不得分；</w:t>
      </w:r>
      <w:r/>
    </w:p>
    <w:p>
      <w:pPr>
        <w:pStyle w:val="1125"/>
        <w:ind w:firstLine="480"/>
        <w:spacing w:line="360" w:lineRule="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4）投标单位必须保证全部投标资料的真实性，招标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1125"/>
        <w:ind w:firstLine="480"/>
        <w:spacing w:line="360" w:lineRule="auto"/>
        <w:rPr>
          <w:rFonts w:hint="eastAsia" w:ascii="Times New Roman" w:hAnsi="Times New Roman"/>
          <w:b w:val="0"/>
          <w:bCs/>
          <w:color w:val="auto"/>
          <w:sz w:val="24"/>
          <w:szCs w:val="24"/>
          <w:highlight w:val="none"/>
        </w:rPr>
      </w:pPr>
      <w:r>
        <w:rPr>
          <w:rFonts w:hint="eastAsia" w:ascii="宋体" w:hAnsi="宋体" w:eastAsia="宋体" w:cs="宋体"/>
          <w:b w:val="0"/>
          <w:bCs/>
          <w:sz w:val="24"/>
          <w:szCs w:val="24"/>
          <w:highlight w:val="none"/>
          <w:lang w:val="en-US" w:eastAsia="zh-CN" w:bidi="ar-SA"/>
        </w:rPr>
        <w:t xml:space="preserve">（5</w:t>
      </w:r>
      <w:r>
        <w:rPr>
          <w:rFonts w:hint="eastAsia" w:ascii="宋体" w:hAnsi="宋体" w:eastAsia="宋体" w:cs="宋体"/>
          <w:b w:val="0"/>
          <w:bCs/>
          <w:sz w:val="24"/>
          <w:szCs w:val="24"/>
          <w:highlight w:val="none"/>
        </w:rPr>
        <w:t xml:space="preserve">）投标单位的最终得分取</w:t>
      </w:r>
      <w:r>
        <w:rPr>
          <w:rFonts w:hint="eastAsia" w:ascii="宋体" w:hAnsi="宋体" w:eastAsia="宋体" w:cs="宋体"/>
          <w:b w:val="0"/>
          <w:bCs/>
          <w:sz w:val="24"/>
          <w:szCs w:val="24"/>
          <w:highlight w:val="none"/>
          <w:lang w:eastAsia="zh-CN"/>
        </w:rPr>
        <w:t xml:space="preserve">评标委员会</w:t>
      </w:r>
      <w:r>
        <w:rPr>
          <w:rFonts w:hint="eastAsia" w:ascii="宋体" w:hAnsi="宋体" w:eastAsia="宋体" w:cs="宋体"/>
          <w:b w:val="0"/>
          <w:bCs/>
          <w:sz w:val="24"/>
          <w:szCs w:val="24"/>
          <w:highlight w:val="none"/>
        </w:rPr>
        <w:t xml:space="preserve">各成员所评定分值的平均值（小数点后保留两位）。</w:t>
      </w:r>
      <w:r/>
    </w:p>
    <w:p>
      <w:pPr>
        <w:jc w:val="center"/>
        <w:keepLines/>
        <w:keepNext/>
        <w:spacing w:before="340" w:after="330" w:line="360" w:lineRule="auto"/>
        <w:rPr>
          <w:rFonts w:hint="eastAsia" w:ascii="Times New Roman" w:hAnsi="Times New Roman"/>
          <w:b/>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ascii="Times New Roman" w:hAnsi="Times New Roman"/>
          <w:b/>
          <w:color w:val="auto"/>
          <w:sz w:val="24"/>
          <w:szCs w:val="24"/>
          <w:highlight w:val="none"/>
        </w:rPr>
      </w:r>
      <w:r/>
    </w:p>
    <w:p>
      <w:pPr>
        <w:jc w:val="center"/>
        <w:keepLines/>
        <w:keepNext/>
        <w:spacing w:before="340" w:after="330" w:line="360" w:lineRule="auto"/>
        <w:rPr>
          <w:rFonts w:hint="eastAsia" w:ascii="Times New Roman" w:hAnsi="Times New Roman"/>
          <w:b/>
          <w:color w:val="auto"/>
          <w:sz w:val="24"/>
          <w:szCs w:val="24"/>
          <w:highlight w:val="none"/>
        </w:rPr>
        <w:outlineLvl w:val="0"/>
      </w:pPr>
      <w:r>
        <w:rPr>
          <w:rFonts w:hint="eastAsia" w:ascii="Times New Roman" w:hAnsi="Times New Roman"/>
          <w:b/>
          <w:color w:val="auto"/>
          <w:sz w:val="24"/>
          <w:szCs w:val="24"/>
          <w:highlight w:val="none"/>
        </w:rPr>
        <w:t xml:space="preserve">第六章</w:t>
      </w:r>
      <w:r>
        <w:rPr>
          <w:rFonts w:ascii="Times New Roman" w:hAnsi="Times New Roman"/>
          <w:b/>
          <w:color w:val="auto"/>
          <w:sz w:val="24"/>
          <w:szCs w:val="24"/>
          <w:highlight w:val="none"/>
        </w:rPr>
        <w:t xml:space="preserve">    </w:t>
      </w:r>
      <w:r>
        <w:rPr>
          <w:rFonts w:hint="eastAsia" w:ascii="Times New Roman" w:hAnsi="Times New Roman"/>
          <w:b/>
          <w:color w:val="auto"/>
          <w:sz w:val="24"/>
          <w:szCs w:val="24"/>
          <w:highlight w:val="none"/>
        </w:rPr>
        <w:t xml:space="preserve">投标文件格式</w:t>
      </w:r>
      <w:bookmarkEnd w:id="43"/>
      <w:r/>
      <w:r/>
    </w:p>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contextualSpacing/>
        <w:ind w:firstLine="1446"/>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eastAsia="zh-CN"/>
        </w:rPr>
        <w:t xml:space="preserve">稻米精深加工产业链条延伸——黄金米（米稀）新建项目</w:t>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contextualSpacing/>
        <w:ind w:firstLine="1446"/>
        <w:jc w:val="center"/>
        <w:spacing w:line="360" w:lineRule="auto"/>
        <w:rPr>
          <w:rFonts w:ascii="宋体" w:hAnsi="宋体" w:cs="宋体"/>
          <w:b/>
          <w:color w:val="auto"/>
          <w:sz w:val="72"/>
          <w:szCs w:val="72"/>
          <w:highlight w:val="none"/>
        </w:rPr>
      </w:pPr>
      <w:r>
        <w:rPr>
          <w:rFonts w:hint="eastAsia" w:ascii="宋体" w:hAnsi="宋体" w:cs="宋体"/>
          <w:b/>
          <w:color w:val="auto"/>
          <w:sz w:val="72"/>
          <w:szCs w:val="72"/>
          <w:highlight w:val="none"/>
        </w:rPr>
        <w:t xml:space="preserve">投 标 文 件</w:t>
      </w:r>
      <w:r/>
    </w:p>
    <w:p>
      <w:pPr>
        <w:jc w:val="cente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contextualSpacing/>
        <w:ind w:firstLine="1245"/>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项目编号：****</w:t>
      </w:r>
      <w:r/>
    </w:p>
    <w:p>
      <w:pPr>
        <w:contextualSpacing/>
        <w:ind w:firstLine="562"/>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62"/>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Style w:val="1128"/>
        <w:contextualSpacing/>
        <w:spacing w:line="360" w:lineRule="auto"/>
        <w:rPr>
          <w:rFonts w:hAnsi="宋体" w:cs="宋体"/>
          <w:color w:val="auto"/>
          <w:highlight w:val="none"/>
        </w:rPr>
      </w:pPr>
      <w:r>
        <w:rPr>
          <w:rFonts w:hAnsi="宋体" w:cs="宋体"/>
          <w:color w:val="auto"/>
          <w:highlight w:val="none"/>
        </w:rPr>
      </w:r>
      <w:r/>
    </w:p>
    <w:p>
      <w:pPr>
        <w:pStyle w:val="1122"/>
        <w:contextualSpacing/>
        <w:spacing w:line="360" w:lineRule="auto"/>
        <w:rPr>
          <w:color w:val="auto"/>
          <w:highlight w:val="none"/>
        </w:rPr>
      </w:pPr>
      <w:r>
        <w:rPr>
          <w:color w:val="auto"/>
          <w:highlight w:val="none"/>
        </w:rPr>
      </w:r>
      <w:r/>
    </w:p>
    <w:p>
      <w:pPr>
        <w:contextualSpacing/>
        <w:ind w:firstLine="562"/>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1245"/>
        <w:spacing w:line="360" w:lineRule="auto"/>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投标人名称：</w:t>
      </w:r>
      <w:r>
        <w:rPr>
          <w:rFonts w:hint="eastAsia" w:ascii="宋体" w:hAnsi="宋体" w:cs="宋体"/>
          <w:b/>
          <w:color w:val="auto"/>
          <w:sz w:val="28"/>
          <w:szCs w:val="28"/>
          <w:highlight w:val="none"/>
          <w:u w:val="single"/>
        </w:rPr>
        <w:t xml:space="preserve">                    （盖单位公章）</w:t>
      </w:r>
      <w:r/>
    </w:p>
    <w:p>
      <w:pPr>
        <w:contextualSpacing/>
        <w:ind w:firstLine="1245"/>
        <w:spacing w:line="360" w:lineRule="auto"/>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委托代理人：</w:t>
      </w:r>
      <w:r>
        <w:rPr>
          <w:rFonts w:hint="eastAsia" w:ascii="宋体" w:hAnsi="宋体" w:cs="宋体"/>
          <w:b/>
          <w:color w:val="auto"/>
          <w:sz w:val="28"/>
          <w:szCs w:val="28"/>
          <w:highlight w:val="none"/>
          <w:u w:val="single"/>
        </w:rPr>
        <w:t xml:space="preserve">                     （签字或盖章）</w:t>
      </w:r>
      <w:r/>
    </w:p>
    <w:p>
      <w:pPr>
        <w:contextualSpacing/>
        <w:ind w:firstLine="562"/>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  日期：</w:t>
      </w:r>
      <w:r>
        <w:rPr>
          <w:rFonts w:hint="eastAsia" w:ascii="宋体" w:hAnsi="宋体" w:cs="宋体"/>
          <w:b/>
          <w:color w:val="auto"/>
          <w:sz w:val="28"/>
          <w:szCs w:val="28"/>
          <w:highlight w:val="none"/>
          <w:lang w:val="en-US" w:eastAsia="zh-CN"/>
        </w:rPr>
        <w:t xml:space="preserve"> </w:t>
      </w:r>
      <w:r>
        <w:rPr>
          <w:rFonts w:hint="eastAsia" w:ascii="宋体" w:hAnsi="宋体" w:cs="宋体"/>
          <w:b/>
          <w:color w:val="auto"/>
          <w:sz w:val="28"/>
          <w:szCs w:val="28"/>
          <w:highlight w:val="none"/>
        </w:rPr>
        <w:t xml:space="preserve">年</w:t>
      </w:r>
      <w:r>
        <w:rPr>
          <w:rFonts w:hint="eastAsia" w:ascii="宋体" w:hAnsi="宋体" w:cs="宋体"/>
          <w:b/>
          <w:color w:val="auto"/>
          <w:sz w:val="28"/>
          <w:szCs w:val="28"/>
          <w:highlight w:val="none"/>
          <w:lang w:val="en-US" w:eastAsia="zh-CN"/>
        </w:rPr>
        <w:t xml:space="preserve"> </w:t>
      </w:r>
      <w:r>
        <w:rPr>
          <w:rFonts w:hint="eastAsia" w:ascii="宋体" w:hAnsi="宋体" w:cs="宋体"/>
          <w:b/>
          <w:color w:val="auto"/>
          <w:sz w:val="28"/>
          <w:szCs w:val="28"/>
          <w:highlight w:val="none"/>
        </w:rPr>
        <w:t xml:space="preserve">月</w:t>
      </w:r>
      <w:r>
        <w:rPr>
          <w:rFonts w:hint="eastAsia" w:ascii="宋体" w:hAnsi="宋体" w:cs="宋体"/>
          <w:b/>
          <w:color w:val="auto"/>
          <w:sz w:val="28"/>
          <w:szCs w:val="28"/>
          <w:highlight w:val="none"/>
          <w:lang w:val="en-US" w:eastAsia="zh-CN"/>
        </w:rPr>
        <w:t xml:space="preserve"> </w:t>
      </w:r>
      <w:r>
        <w:rPr>
          <w:rFonts w:hint="eastAsia" w:ascii="宋体" w:hAnsi="宋体" w:cs="宋体"/>
          <w:b/>
          <w:color w:val="auto"/>
          <w:sz w:val="28"/>
          <w:szCs w:val="28"/>
          <w:highlight w:val="none"/>
        </w:rPr>
        <w:t xml:space="preserve">日</w:t>
      </w:r>
      <w:r/>
    </w:p>
    <w:p>
      <w:pPr>
        <w:contextualSpacing/>
        <w:ind w:firstLine="723"/>
        <w:jc w:val="center"/>
        <w:spacing w:line="360" w:lineRule="auto"/>
        <w:rPr>
          <w:rFonts w:ascii="宋体"/>
          <w:b/>
          <w:color w:val="auto"/>
          <w:sz w:val="36"/>
          <w:szCs w:val="36"/>
          <w:highlight w:val="none"/>
        </w:rPr>
        <w:sectPr>
          <w:footnotePr/>
          <w:endnotePr/>
          <w:type w:val="nextPage"/>
          <w:pgSz w:w="11907" w:h="16840" w:orient="portrait"/>
          <w:pgMar w:top="1531" w:right="1406" w:bottom="1361" w:left="1474" w:header="720" w:footer="720" w:gutter="0"/>
          <w:cols w:num="1" w:sep="0" w:space="720" w:equalWidth="1"/>
          <w:docGrid w:linePitch="360"/>
        </w:sectPr>
      </w:pPr>
      <w:r>
        <w:rPr>
          <w:rFonts w:ascii="宋体"/>
          <w:b/>
          <w:color w:val="auto"/>
          <w:sz w:val="36"/>
          <w:szCs w:val="36"/>
          <w:highlight w:val="none"/>
        </w:rPr>
      </w:r>
      <w:r/>
    </w:p>
    <w:p>
      <w:pPr>
        <w:spacing w:line="360" w:lineRule="auto"/>
        <w:rPr>
          <w:rFonts w:ascii="Times New Roman" w:hAnsi="Times New Roman"/>
          <w:b/>
          <w:bCs/>
          <w:color w:val="auto"/>
          <w:szCs w:val="24"/>
          <w:highlight w:val="none"/>
        </w:rPr>
      </w:pPr>
      <w:r>
        <w:rPr>
          <w:rFonts w:hint="eastAsia" w:ascii="宋体" w:hAnsi="宋体" w:cs="宋体"/>
          <w:b/>
          <w:bCs/>
          <w:color w:val="auto"/>
          <w:sz w:val="24"/>
          <w:szCs w:val="24"/>
          <w:highlight w:val="none"/>
          <w:lang w:val="en-US" w:eastAsia="zh-CN"/>
        </w:rPr>
        <w:t xml:space="preserve">附件1</w:t>
      </w:r>
      <w:r>
        <w:rPr>
          <w:rFonts w:hint="eastAsia" w:ascii="宋体" w:hAnsi="宋体" w:cs="宋体"/>
          <w:b/>
          <w:bCs/>
          <w:color w:val="auto"/>
          <w:sz w:val="24"/>
          <w:szCs w:val="24"/>
          <w:highlight w:val="none"/>
        </w:rPr>
        <w:t xml:space="preserve">：</w:t>
      </w:r>
      <w:r/>
    </w:p>
    <w:p>
      <w:pPr>
        <w:jc w:val="center"/>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投 标 函</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u w:val="single"/>
        </w:rPr>
        <w:t xml:space="preserve">（招标人</w:t>
      </w:r>
      <w:r>
        <w:rPr>
          <w:rFonts w:hint="eastAsia" w:ascii="宋体" w:hAnsi="宋体" w:cs="宋体"/>
          <w:color w:val="auto"/>
          <w:sz w:val="24"/>
          <w:highlight w:val="none"/>
          <w:u w:val="single"/>
          <w:lang w:val="en-US" w:eastAsia="zh-CN"/>
        </w:rPr>
        <w:t xml:space="preserve">名称</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根据贵方为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（项目名称及编号）项目招标采购服务的投标邀请,签字人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（姓名、职务或职称）经正式授权并代表投标人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（投标人名称、地址）提交投标文件正本一份（包括招标文件要求提供的全部资料）；</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据此函，签字代表宣布同意如下：</w:t>
      </w:r>
      <w:r/>
    </w:p>
    <w:p>
      <w:pPr>
        <w:numPr>
          <w:ilvl w:val="0"/>
          <w:numId w:val="110"/>
        </w:num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按招标文件规定的各项要求，</w:t>
      </w:r>
      <w:r>
        <w:rPr>
          <w:rFonts w:hint="eastAsia" w:ascii="宋体" w:hAnsi="宋体" w:eastAsia="宋体" w:cs="宋体"/>
          <w:color w:val="auto"/>
          <w:sz w:val="24"/>
          <w:highlight w:val="none"/>
        </w:rPr>
        <w:t xml:space="preserve">向</w:t>
      </w:r>
      <w:r>
        <w:rPr>
          <w:rFonts w:hint="eastAsia" w:ascii="宋体" w:hAnsi="宋体" w:eastAsia="宋体" w:cs="宋体"/>
          <w:color w:val="auto"/>
          <w:sz w:val="24"/>
          <w:highlight w:val="none"/>
          <w:lang w:val="en-US" w:eastAsia="zh-CN"/>
        </w:rPr>
        <w:t xml:space="preserve">贵方</w:t>
      </w:r>
      <w:r>
        <w:rPr>
          <w:rFonts w:hint="eastAsia" w:ascii="宋体" w:hAnsi="宋体" w:cs="宋体"/>
          <w:color w:val="auto"/>
          <w:sz w:val="24"/>
          <w:highlight w:val="none"/>
        </w:rPr>
        <w:t xml:space="preserve">提供所需的</w:t>
      </w:r>
      <w:r>
        <w:rPr>
          <w:rFonts w:hint="eastAsia" w:ascii="宋体" w:hAnsi="宋体" w:cs="宋体"/>
          <w:color w:val="auto"/>
          <w:sz w:val="24"/>
          <w:highlight w:val="none"/>
          <w:lang w:val="en-US" w:eastAsia="zh-CN"/>
        </w:rPr>
        <w:t xml:space="preserve">货物及配套</w:t>
      </w:r>
      <w:r>
        <w:rPr>
          <w:rFonts w:hint="eastAsia" w:ascii="宋体" w:hAnsi="宋体" w:cs="宋体"/>
          <w:color w:val="auto"/>
          <w:sz w:val="24"/>
          <w:highlight w:val="none"/>
        </w:rPr>
        <w:t xml:space="preserve">服务</w:t>
      </w:r>
      <w:r>
        <w:rPr>
          <w:rFonts w:hint="eastAsia" w:ascii="宋体" w:hAnsi="宋体" w:cs="宋体"/>
          <w:b/>
          <w:bCs/>
          <w:color w:val="auto"/>
          <w:sz w:val="24"/>
          <w:highlight w:val="none"/>
          <w:lang w:val="en-US" w:eastAsia="zh-CN"/>
        </w:rPr>
        <w:t xml:space="preserve">总</w:t>
      </w:r>
      <w:r>
        <w:rPr>
          <w:rFonts w:hint="eastAsia" w:ascii="宋体" w:hAnsi="宋体" w:cs="宋体"/>
          <w:b/>
          <w:bCs/>
          <w:color w:val="auto"/>
          <w:sz w:val="24"/>
          <w:highlight w:val="none"/>
        </w:rPr>
        <w:t xml:space="preserve">报价</w:t>
      </w:r>
      <w:r>
        <w:rPr>
          <w:rFonts w:hint="eastAsia" w:ascii="宋体" w:hAnsi="宋体" w:eastAsia="宋体" w:cs="宋体"/>
          <w:b/>
          <w:bCs/>
          <w:color w:val="auto"/>
          <w:sz w:val="24"/>
          <w:highlight w:val="none"/>
          <w:lang w:val="en-US" w:eastAsia="zh-CN"/>
        </w:rPr>
        <w:t xml:space="preserve">为</w:t>
      </w:r>
      <w:r>
        <w:rPr>
          <w:rFonts w:hint="eastAsia" w:ascii="宋体" w:hAnsi="宋体" w:eastAsia="宋体" w:cs="宋体"/>
          <w:b/>
          <w:bCs/>
          <w:color w:val="auto"/>
          <w:sz w:val="24"/>
          <w:highlight w:val="none"/>
        </w:rPr>
        <w:t xml:space="preserve">人民币</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rPr>
        <w:t xml:space="preserve">万元</w:t>
      </w:r>
      <w:r>
        <w:rPr>
          <w:rFonts w:hint="eastAsia" w:ascii="宋体" w:hAnsi="宋体"/>
          <w:color w:val="auto"/>
          <w:sz w:val="24"/>
          <w:highlight w:val="none"/>
        </w:rPr>
        <w:t xml:space="preserve">；</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 我方已详细审查全部招标文件，包括有关澄清和补充说明（如果有的话）。我们完全理解并同意放弃对这方面有不明及误解的权力。</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 本投标文件有效期为自开标日起90个日历天。在这期间，本投标文件将始终对我方具有约束力，并可随时被接受。本次招标文件和本投标文件将作为买卖合同的附件。</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 如果在规定的开标时间后，我方在投标有效期内撤回或撤销投标，由此给</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造成损失的，我方愿意承担相应赔偿责任。</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 我方愿意向招标人提供与本次招标的相关资料，并对其真实性、合法性、有效性负责。</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 我方将严格履行本投标文件中的全部承诺和责任，并遵守招标文件中对投标人的所有规定。</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 我方完全理解招标人有保留在授标之前任何时候根据评标小组的意见接受或拒绝任何投标的权力，并完全理解招标人对此无解释的义务。</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 我方承诺在此次招标过程中涉及的一切应当保密的事项，不向任何第三方泄露，否则承担一切法律责任。</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 如果我方中标，我们将在接到招标人的中标通知书后按工期要求的时间内完成本项目的所有工作。并将按招标文件的规定履行合同责任和义务。</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 如果我方中标，为执行合同，我们将按照招标文件要求提交履约保证金。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 如果我方中标，我们将在招标文件第二章“投标人须知”规定的金额向有关单位支付招标代理费。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 与本次投标有关的一切往来信函请寄：</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地址：         </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电话：</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电子邮件： </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投标人名称（公章）：</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法定代表人（</w:t>
      </w:r>
      <w:r>
        <w:rPr>
          <w:rFonts w:hint="eastAsia" w:ascii="宋体" w:hAnsi="宋体" w:cs="宋体"/>
          <w:color w:val="auto"/>
          <w:sz w:val="24"/>
          <w:highlight w:val="none"/>
        </w:rPr>
        <w:t xml:space="preserve">授 权 代 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签 字：</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color w:val="auto"/>
          <w:highlight w:val="none"/>
        </w:rPr>
      </w:pPr>
      <w:r>
        <w:rPr>
          <w:color w:val="auto"/>
          <w:highlight w:val="none"/>
        </w:rPr>
      </w:r>
      <w:r/>
    </w:p>
    <w:p>
      <w:pPr>
        <w:pStyle w:val="1121"/>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附件2：</w:t>
      </w:r>
      <w:r/>
    </w:p>
    <w:p>
      <w:pPr>
        <w:contextualSpacing/>
        <w:ind w:firstLine="723"/>
        <w:jc w:val="center"/>
        <w:spacing w:line="360" w:lineRule="auto"/>
        <w:rPr>
          <w:rFonts w:ascii="宋体"/>
          <w:b/>
          <w:sz w:val="32"/>
          <w:szCs w:val="32"/>
          <w:highlight w:val="none"/>
        </w:rPr>
      </w:pPr>
      <w:r>
        <w:rPr>
          <w:rFonts w:hint="eastAsia" w:ascii="宋体"/>
          <w:b/>
          <w:sz w:val="32"/>
          <w:szCs w:val="32"/>
          <w:highlight w:val="none"/>
        </w:rPr>
        <w:t xml:space="preserve">开标一览表</w:t>
      </w:r>
      <w:r/>
    </w:p>
    <w:tbl>
      <w:tblPr>
        <w:tblStyle w:val="1120"/>
        <w:tblW w:w="5000"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16"/>
        <w:gridCol w:w="7213"/>
      </w:tblGrid>
      <w:tr>
        <w:trPr>
          <w:cantSplit/>
          <w:jc w:val="center"/>
          <w:trHeight w:val="1204"/>
        </w:trPr>
        <w:tc>
          <w:tcPr>
            <w:tcBorders>
              <w:top w:val="single" w:color="000000" w:sz="6" w:space="0"/>
            </w:tcBorders>
            <w:tcW w:w="1175" w:type="pct"/>
            <w:vAlign w:val="center"/>
            <w:textDirection w:val="lrTb"/>
            <w:noWrap w:val="false"/>
          </w:tcPr>
          <w:p>
            <w:pPr>
              <w:contextualSpacing/>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项目名称</w:t>
            </w:r>
            <w:r/>
          </w:p>
        </w:tc>
        <w:tc>
          <w:tcPr>
            <w:tcBorders>
              <w:top w:val="single" w:color="000000" w:sz="6" w:space="0"/>
              <w:right w:val="single" w:color="auto" w:sz="4" w:space="0"/>
            </w:tcBorders>
            <w:tcW w:w="3824" w:type="pct"/>
            <w:vAlign w:val="center"/>
            <w:textDirection w:val="lrTb"/>
            <w:noWrap w:val="false"/>
          </w:tcPr>
          <w:p>
            <w:pPr>
              <w:contextualSpacing/>
              <w:jc w:val="left"/>
              <w:spacing w:line="36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1204"/>
        </w:trPr>
        <w:tc>
          <w:tcPr>
            <w:tcBorders>
              <w:top w:val="single" w:color="000000" w:sz="6" w:space="0"/>
            </w:tcBorders>
            <w:tcW w:w="1175" w:type="pct"/>
            <w:vAlign w:val="center"/>
            <w:textDirection w:val="lrTb"/>
            <w:noWrap w:val="false"/>
          </w:tcPr>
          <w:p>
            <w:pPr>
              <w:contextualSpacing/>
              <w:ind w:firstLine="480"/>
              <w:jc w:val="left"/>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项目编号</w:t>
            </w:r>
            <w:r/>
          </w:p>
        </w:tc>
        <w:tc>
          <w:tcPr>
            <w:tcBorders>
              <w:top w:val="single" w:color="000000" w:sz="6" w:space="0"/>
              <w:right w:val="single" w:color="auto" w:sz="4" w:space="0"/>
            </w:tcBorders>
            <w:tcW w:w="3824" w:type="pct"/>
            <w:vAlign w:val="center"/>
            <w:textDirection w:val="lrTb"/>
            <w:noWrap w:val="false"/>
          </w:tcPr>
          <w:p>
            <w:pPr>
              <w:contextualSpacing/>
              <w:jc w:val="left"/>
              <w:spacing w:line="36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1232"/>
        </w:trPr>
        <w:tc>
          <w:tcPr>
            <w:tcW w:w="1175" w:type="pct"/>
            <w:vAlign w:val="center"/>
            <w:textDirection w:val="lrTb"/>
            <w:noWrap w:val="false"/>
          </w:tcPr>
          <w:p>
            <w:pPr>
              <w:contextualSpacing/>
              <w:jc w:val="center"/>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总</w:t>
            </w:r>
            <w:r>
              <w:rPr>
                <w:rFonts w:hint="eastAsia" w:ascii="宋体" w:hAnsi="宋体" w:cs="宋体"/>
                <w:sz w:val="24"/>
                <w:szCs w:val="24"/>
                <w:highlight w:val="none"/>
                <w:lang w:val="en-US" w:eastAsia="zh-CN"/>
              </w:rPr>
              <w:t xml:space="preserve">报</w:t>
            </w:r>
            <w:r>
              <w:rPr>
                <w:rFonts w:hint="eastAsia" w:ascii="宋体" w:hAnsi="宋体" w:cs="宋体"/>
                <w:sz w:val="24"/>
                <w:szCs w:val="24"/>
                <w:highlight w:val="none"/>
              </w:rPr>
              <w:t xml:space="preserve">价（元）</w:t>
            </w:r>
            <w:r/>
          </w:p>
        </w:tc>
        <w:tc>
          <w:tcPr>
            <w:tcBorders>
              <w:right w:val="single" w:color="auto" w:sz="4" w:space="0"/>
            </w:tcBorders>
            <w:tcW w:w="3824" w:type="pct"/>
            <w:vAlign w:val="center"/>
            <w:textDirection w:val="lrTb"/>
            <w:noWrap w:val="false"/>
          </w:tcPr>
          <w:p>
            <w:pPr>
              <w:contextualSpacing/>
              <w:ind w:firstLine="480"/>
              <w:jc w:val="left"/>
              <w:spacing w:line="360" w:lineRule="auto"/>
              <w:rPr>
                <w:rFonts w:hint="eastAsia" w:ascii="宋体" w:hAnsi="宋体" w:cs="宋体"/>
                <w:sz w:val="24"/>
                <w:szCs w:val="24"/>
                <w:highlight w:val="none"/>
                <w:u w:val="none"/>
                <w:lang w:val="en-US" w:eastAsia="zh-CN"/>
              </w:rPr>
            </w:pPr>
            <w:r>
              <w:rPr>
                <w:rFonts w:hint="eastAsia" w:ascii="宋体" w:hAnsi="宋体" w:cs="宋体"/>
                <w:sz w:val="24"/>
                <w:szCs w:val="24"/>
                <w:highlight w:val="none"/>
              </w:rPr>
              <w:t xml:space="preserve">人民币：</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（大写）</w:t>
            </w:r>
            <w:r/>
          </w:p>
          <w:p>
            <w:pPr>
              <w:contextualSpacing/>
              <w:ind w:firstLine="480"/>
              <w:jc w:val="left"/>
              <w:spacing w:line="360" w:lineRule="auto"/>
              <w:rPr>
                <w:rFonts w:hint="default" w:ascii="宋体" w:hAnsi="宋体" w:cs="宋体"/>
                <w:sz w:val="24"/>
                <w:szCs w:val="24"/>
                <w:highlight w:val="none"/>
                <w:u w:val="none"/>
                <w:lang w:val="en-US" w:eastAsia="zh-CN"/>
              </w:rPr>
            </w:pPr>
            <w:r>
              <w:rPr>
                <w:rFonts w:hint="eastAsia" w:ascii="宋体" w:hAnsi="宋体" w:cs="宋体"/>
                <w:sz w:val="24"/>
                <w:szCs w:val="24"/>
                <w:highlight w:val="none"/>
              </w:rPr>
              <w:t xml:space="preserve">人民币：</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none"/>
                <w:lang w:val="en-US" w:eastAsia="zh-CN"/>
              </w:rPr>
              <w:t xml:space="preserve">（小写）</w:t>
            </w:r>
            <w:r/>
          </w:p>
        </w:tc>
      </w:tr>
      <w:tr>
        <w:trPr>
          <w:cantSplit/>
          <w:jc w:val="center"/>
          <w:trHeight w:val="1232"/>
        </w:trPr>
        <w:tc>
          <w:tcPr>
            <w:tcW w:w="1175" w:type="pct"/>
            <w:vAlign w:val="center"/>
            <w:textDirection w:val="lrTb"/>
            <w:noWrap w:val="false"/>
          </w:tcPr>
          <w:p>
            <w:pPr>
              <w:contextualSpacing/>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供货</w:t>
            </w:r>
            <w:r>
              <w:rPr>
                <w:rFonts w:hint="eastAsia" w:ascii="宋体" w:hAnsi="宋体" w:cs="宋体"/>
                <w:sz w:val="24"/>
                <w:szCs w:val="24"/>
                <w:highlight w:val="none"/>
              </w:rPr>
              <w:t xml:space="preserve">期限</w:t>
            </w:r>
            <w:r/>
          </w:p>
        </w:tc>
        <w:tc>
          <w:tcPr>
            <w:tcBorders>
              <w:right w:val="single" w:color="auto" w:sz="4" w:space="0"/>
            </w:tcBorders>
            <w:tcW w:w="3824" w:type="pct"/>
            <w:vAlign w:val="center"/>
            <w:textDirection w:val="lrTb"/>
            <w:noWrap w:val="false"/>
          </w:tcPr>
          <w:p>
            <w:pPr>
              <w:contextualSpacing/>
              <w:ind w:firstLine="480"/>
              <w:jc w:val="left"/>
              <w:spacing w:line="36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1232"/>
        </w:trPr>
        <w:tc>
          <w:tcPr>
            <w:tcW w:w="1175" w:type="pct"/>
            <w:vAlign w:val="center"/>
            <w:textDirection w:val="lrTb"/>
            <w:noWrap w:val="false"/>
          </w:tcPr>
          <w:p>
            <w:pPr>
              <w:contextualSpacing/>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投标有效期：</w:t>
            </w:r>
            <w:r/>
          </w:p>
        </w:tc>
        <w:tc>
          <w:tcPr>
            <w:tcBorders>
              <w:right w:val="single" w:color="auto" w:sz="4" w:space="0"/>
            </w:tcBorders>
            <w:tcW w:w="3824" w:type="pct"/>
            <w:vAlign w:val="center"/>
            <w:textDirection w:val="lrTb"/>
            <w:noWrap w:val="false"/>
          </w:tcPr>
          <w:p>
            <w:pPr>
              <w:contextualSpacing/>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9</w:t>
            </w:r>
            <w:r>
              <w:rPr>
                <w:rFonts w:ascii="宋体" w:hAnsi="宋体" w:cs="宋体"/>
                <w:sz w:val="24"/>
                <w:szCs w:val="24"/>
                <w:highlight w:val="none"/>
              </w:rPr>
              <w:t xml:space="preserve">0</w:t>
            </w:r>
            <w:r>
              <w:rPr>
                <w:rFonts w:hint="eastAsia" w:ascii="宋体" w:hAnsi="宋体" w:cs="宋体"/>
                <w:sz w:val="24"/>
                <w:szCs w:val="24"/>
                <w:highlight w:val="none"/>
              </w:rPr>
              <w:t xml:space="preserve">天</w:t>
            </w:r>
            <w:r/>
          </w:p>
        </w:tc>
      </w:tr>
    </w:tbl>
    <w:p>
      <w:pPr>
        <w:contextualSpacing/>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填写说明：</w:t>
      </w:r>
      <w:r/>
    </w:p>
    <w:p>
      <w:pPr>
        <w:contextualSpacing/>
        <w:ind w:firstLine="480"/>
        <w:jc w:val="left"/>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投标人应按格式，完整、正确填写开标一览表，加盖投标人公章，并经投标人法定代表人或其授权代表签字或盖章，否则该投标文件为无效投标文件（复印件无效）</w:t>
      </w:r>
      <w:r>
        <w:rPr>
          <w:rFonts w:hint="eastAsia" w:ascii="宋体" w:hAnsi="宋体" w:cs="宋体"/>
          <w:sz w:val="24"/>
          <w:szCs w:val="24"/>
          <w:highlight w:val="none"/>
          <w:lang w:eastAsia="zh-CN"/>
        </w:rPr>
        <w:t xml:space="preserve">。</w:t>
      </w:r>
      <w:r/>
    </w:p>
    <w:p>
      <w:pPr>
        <w:contextualSpacing/>
        <w:ind w:firstLine="480"/>
        <w:jc w:val="right"/>
        <w:spacing w:line="360" w:lineRule="auto"/>
        <w:rPr>
          <w:rFonts w:ascii="宋体" w:hAnsi="宋体"/>
          <w:bCs/>
          <w:sz w:val="24"/>
          <w:szCs w:val="24"/>
          <w:highlight w:val="none"/>
        </w:rPr>
      </w:pPr>
      <w:r>
        <w:rPr>
          <w:rFonts w:ascii="宋体" w:hAnsi="宋体"/>
          <w:bCs/>
          <w:sz w:val="24"/>
          <w:szCs w:val="24"/>
          <w:highlight w:val="none"/>
        </w:rPr>
      </w:r>
      <w:r/>
    </w:p>
    <w:p>
      <w:pPr>
        <w:contextualSpacing/>
        <w:ind w:firstLine="480"/>
        <w:jc w:val="right"/>
        <w:spacing w:line="360" w:lineRule="auto"/>
        <w:rPr>
          <w:rFonts w:ascii="宋体" w:hAnsi="宋体"/>
          <w:sz w:val="24"/>
          <w:szCs w:val="24"/>
          <w:highlight w:val="none"/>
        </w:rPr>
      </w:pPr>
      <w:r>
        <w:rPr>
          <w:rFonts w:hint="eastAsia" w:ascii="宋体" w:hAnsi="宋体" w:eastAsia="宋体" w:cs="Times New Roman"/>
          <w:sz w:val="24"/>
          <w:szCs w:val="24"/>
          <w:highlight w:val="none"/>
          <w:lang w:val="en-US" w:eastAsia="zh-CN" w:bidi="ar-SA"/>
        </w:rPr>
        <w:t xml:space="preserve"> 投标人名称</w:t>
      </w:r>
      <w:r>
        <w:rPr>
          <w:rFonts w:hint="eastAsia" w:ascii="宋体" w:hAnsi="宋体"/>
          <w:sz w:val="24"/>
          <w:szCs w:val="24"/>
          <w:highlight w:val="none"/>
        </w:rPr>
        <w:t xml:space="preserve">：        （盖章）</w:t>
      </w:r>
      <w:r/>
    </w:p>
    <w:p>
      <w:pPr>
        <w:contextualSpacing/>
        <w:ind w:firstLine="480"/>
        <w:jc w:val="right"/>
        <w:spacing w:line="360" w:lineRule="auto"/>
        <w:rPr>
          <w:rFonts w:ascii="宋体" w:hAnsi="宋体"/>
          <w:sz w:val="24"/>
          <w:szCs w:val="24"/>
          <w:highlight w:val="none"/>
        </w:rPr>
      </w:pPr>
      <w:r>
        <w:rPr>
          <w:rFonts w:ascii="宋体" w:hAnsi="宋体"/>
          <w:sz w:val="24"/>
          <w:szCs w:val="24"/>
          <w:highlight w:val="none"/>
        </w:rPr>
      </w:r>
      <w:r/>
    </w:p>
    <w:p>
      <w:pPr>
        <w:contextualSpacing/>
        <w:ind w:firstLine="480"/>
        <w:jc w:val="right"/>
        <w:spacing w:line="360" w:lineRule="auto"/>
        <w:rPr>
          <w:rFonts w:ascii="宋体" w:hAnsi="宋体"/>
          <w:sz w:val="24"/>
          <w:szCs w:val="24"/>
          <w:highlight w:val="none"/>
        </w:rPr>
      </w:pPr>
      <w:r>
        <w:rPr>
          <w:rFonts w:hint="eastAsia" w:ascii="宋体" w:hAnsi="宋体"/>
          <w:sz w:val="24"/>
          <w:szCs w:val="24"/>
          <w:highlight w:val="none"/>
        </w:rPr>
        <w:t xml:space="preserve">法定代表人或授权委托代理人（签字或盖章）：</w:t>
      </w:r>
      <w:r/>
    </w:p>
    <w:p>
      <w:pPr>
        <w:contextualSpacing/>
        <w:ind w:firstLine="480"/>
        <w:jc w:val="right"/>
        <w:spacing w:line="360" w:lineRule="auto"/>
        <w:rPr>
          <w:rFonts w:ascii="宋体" w:hAnsi="宋体"/>
          <w:sz w:val="24"/>
          <w:szCs w:val="24"/>
          <w:highlight w:val="none"/>
        </w:rPr>
      </w:pPr>
      <w:r>
        <w:rPr>
          <w:rFonts w:ascii="宋体" w:hAnsi="宋体"/>
          <w:sz w:val="24"/>
          <w:szCs w:val="24"/>
          <w:highlight w:val="none"/>
        </w:rPr>
      </w:r>
      <w:r/>
    </w:p>
    <w:p>
      <w:pPr>
        <w:contextualSpacing/>
        <w:ind w:firstLine="480"/>
        <w:jc w:val="right"/>
        <w:spacing w:line="360" w:lineRule="auto"/>
        <w:rPr>
          <w:rFonts w:ascii="宋体" w:hAnsi="宋体"/>
          <w:sz w:val="24"/>
          <w:szCs w:val="24"/>
          <w:highlight w:val="none"/>
        </w:rPr>
      </w:pPr>
      <w:r>
        <w:rPr>
          <w:rFonts w:hint="eastAsia" w:ascii="宋体" w:hAnsi="宋体"/>
          <w:sz w:val="24"/>
          <w:szCs w:val="24"/>
          <w:highlight w:val="none"/>
        </w:rPr>
        <w:t xml:space="preserve">日期：</w:t>
      </w:r>
      <w:r/>
    </w:p>
    <w:p>
      <w:pPr>
        <w:contextualSpacing/>
        <w:jc w:val="right"/>
        <w:spacing w:line="360" w:lineRule="auto"/>
        <w:rPr>
          <w:rFonts w:ascii="宋体" w:hAnsi="宋体" w:cs="宋体"/>
          <w:sz w:val="24"/>
          <w:szCs w:val="24"/>
          <w:highlight w:val="none"/>
        </w:rPr>
      </w:pPr>
      <w:r>
        <w:rPr>
          <w:rFonts w:ascii="宋体" w:hAnsi="宋体" w:cs="宋体"/>
          <w:sz w:val="24"/>
          <w:szCs w:val="24"/>
          <w:highlight w:val="none"/>
        </w:rPr>
      </w:r>
      <w:r/>
    </w:p>
    <w:p>
      <w:pPr>
        <w:pStyle w:val="1134"/>
        <w:spacing w:line="360" w:lineRule="auto"/>
        <w:rPr>
          <w:rFonts w:hint="eastAsia" w:cs="宋体"/>
          <w:color w:val="auto"/>
          <w:sz w:val="24"/>
          <w:highlight w:val="none"/>
        </w:rPr>
      </w:pPr>
      <w:r>
        <w:rPr>
          <w:rFonts w:hint="eastAsia" w:cs="宋体"/>
          <w:color w:val="auto"/>
          <w:sz w:val="24"/>
          <w:highlight w:val="none"/>
        </w:rPr>
      </w:r>
      <w:r/>
    </w:p>
    <w:p>
      <w:pPr>
        <w:pStyle w:val="1117"/>
        <w:numPr>
          <w:ilvl w:val="0"/>
          <w:numId w:val="0"/>
        </w:numPr>
        <w:spacing w:before="0" w:after="0" w:line="360" w:lineRule="auto"/>
        <w:rPr>
          <w:rFonts w:hint="eastAsia" w:ascii="宋体" w:hAnsi="宋体" w:eastAsia="宋体"/>
          <w:sz w:val="21"/>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sz w:val="21"/>
          <w:szCs w:val="21"/>
          <w:highlight w:val="none"/>
        </w:rPr>
      </w:r>
      <w:r/>
    </w:p>
    <w:p>
      <w:pPr>
        <w:pStyle w:val="1121"/>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报价分析表</w:t>
      </w:r>
      <w:r/>
    </w:p>
    <w:p>
      <w:pPr>
        <w:pStyle w:val="1122"/>
        <w:rPr>
          <w:sz w:val="24"/>
          <w:szCs w:val="24"/>
          <w:highlight w:val="none"/>
        </w:rPr>
      </w:pPr>
      <w:r>
        <w:rPr>
          <w:sz w:val="24"/>
          <w:szCs w:val="24"/>
          <w:highlight w:val="none"/>
        </w:rPr>
      </w:r>
      <w:r/>
    </w:p>
    <w:tbl>
      <w:tblPr>
        <w:tblStyle w:val="112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19"/>
        <w:gridCol w:w="1608"/>
        <w:gridCol w:w="1219"/>
        <w:gridCol w:w="870"/>
        <w:gridCol w:w="720"/>
        <w:gridCol w:w="720"/>
        <w:gridCol w:w="996"/>
        <w:gridCol w:w="1116"/>
      </w:tblGrid>
      <w:tr>
        <w:trPr>
          <w:jc w:val="center"/>
          <w:trHeight w:val="567"/>
        </w:trPr>
        <w:tc>
          <w:tcPr>
            <w:tcBorders>
              <w:top w:val="single" w:color="auto" w:sz="4" w:space="0"/>
              <w:left w:val="single" w:color="auto" w:sz="4" w:space="0"/>
              <w:bottom w:val="single" w:color="auto" w:sz="6" w:space="0"/>
              <w:right w:val="single" w:color="auto" w:sz="6" w:space="0"/>
            </w:tcBorders>
            <w:tcW w:w="1419" w:type="dxa"/>
            <w:vAlign w:val="center"/>
            <w:textDirection w:val="lrTb"/>
            <w:noWrap w:val="false"/>
          </w:tcPr>
          <w:p>
            <w:pPr>
              <w:pStyle w:val="1135"/>
              <w:jc w:val="center"/>
              <w:spacing w:line="240" w:lineRule="auto"/>
              <w:rPr>
                <w:rFonts w:ascii="宋体" w:hAnsi="宋体" w:cs="宋体"/>
                <w:bCs/>
                <w:sz w:val="24"/>
                <w:szCs w:val="24"/>
                <w:highlight w:val="none"/>
              </w:rPr>
            </w:pPr>
            <w:r>
              <w:rPr>
                <w:rFonts w:hint="eastAsia" w:ascii="宋体" w:hAnsi="宋体" w:cs="宋体"/>
                <w:bCs/>
                <w:sz w:val="24"/>
                <w:szCs w:val="24"/>
                <w:highlight w:val="none"/>
              </w:rPr>
              <w:t xml:space="preserve">序号</w:t>
            </w:r>
            <w:r/>
          </w:p>
        </w:tc>
        <w:tc>
          <w:tcPr>
            <w:tcBorders>
              <w:top w:val="single" w:color="auto" w:sz="4" w:space="0"/>
              <w:left w:val="single" w:color="auto" w:sz="6" w:space="0"/>
              <w:bottom w:val="single" w:color="auto" w:sz="6" w:space="0"/>
              <w:right w:val="single" w:color="auto" w:sz="6" w:space="0"/>
            </w:tcBorders>
            <w:tcW w:w="1608" w:type="dxa"/>
            <w:vAlign w:val="center"/>
            <w:textDirection w:val="lrTb"/>
            <w:noWrap w:val="false"/>
          </w:tcPr>
          <w:p>
            <w:pPr>
              <w:pStyle w:val="1135"/>
              <w:jc w:val="center"/>
              <w:spacing w:line="240" w:lineRule="auto"/>
              <w:rPr>
                <w:rFonts w:ascii="宋体" w:hAnsi="宋体" w:cs="宋体"/>
                <w:bCs/>
                <w:sz w:val="24"/>
                <w:szCs w:val="24"/>
                <w:highlight w:val="none"/>
              </w:rPr>
            </w:pPr>
            <w:r>
              <w:rPr>
                <w:rFonts w:hint="eastAsia" w:ascii="宋体" w:hAnsi="宋体" w:cs="宋体"/>
                <w:bCs/>
                <w:sz w:val="24"/>
                <w:szCs w:val="24"/>
                <w:highlight w:val="none"/>
              </w:rPr>
              <w:t xml:space="preserve">标的物名称</w:t>
            </w:r>
            <w:r/>
          </w:p>
        </w:tc>
        <w:tc>
          <w:tcPr>
            <w:tcBorders>
              <w:top w:val="single" w:color="auto" w:sz="4" w:space="0"/>
              <w:left w:val="single" w:color="auto" w:sz="6" w:space="0"/>
              <w:bottom w:val="single" w:color="auto" w:sz="4" w:space="0"/>
              <w:right w:val="single" w:color="auto" w:sz="6" w:space="0"/>
            </w:tcBorders>
            <w:tcW w:w="1219" w:type="dxa"/>
            <w:vAlign w:val="center"/>
            <w:textDirection w:val="lrTb"/>
            <w:noWrap w:val="false"/>
          </w:tcPr>
          <w:p>
            <w:pPr>
              <w:pStyle w:val="1135"/>
              <w:jc w:val="center"/>
              <w:spacing w:line="240" w:lineRule="auto"/>
              <w:rPr>
                <w:rFonts w:ascii="宋体" w:hAnsi="宋体" w:cs="宋体"/>
                <w:bCs/>
                <w:sz w:val="24"/>
                <w:szCs w:val="24"/>
                <w:highlight w:val="none"/>
              </w:rPr>
            </w:pPr>
            <w:r>
              <w:rPr>
                <w:rFonts w:hint="eastAsia" w:ascii="宋体" w:hAnsi="宋体" w:cs="宋体"/>
                <w:bCs/>
                <w:sz w:val="24"/>
                <w:szCs w:val="24"/>
                <w:highlight w:val="none"/>
              </w:rPr>
              <w:t xml:space="preserve">品牌、规格</w:t>
            </w:r>
            <w:r/>
          </w:p>
        </w:tc>
        <w:tc>
          <w:tcPr>
            <w:tcBorders>
              <w:top w:val="single" w:color="auto" w:sz="4" w:space="0"/>
              <w:left w:val="single" w:color="auto" w:sz="6" w:space="0"/>
              <w:bottom w:val="single" w:color="auto" w:sz="6" w:space="0"/>
              <w:right w:val="single" w:color="auto" w:sz="4" w:space="0"/>
            </w:tcBorders>
            <w:tcW w:w="870" w:type="dxa"/>
            <w:vAlign w:val="center"/>
            <w:textDirection w:val="lrTb"/>
            <w:noWrap w:val="false"/>
          </w:tcPr>
          <w:p>
            <w:pPr>
              <w:pStyle w:val="1135"/>
              <w:jc w:val="center"/>
              <w:spacing w:line="240" w:lineRule="auto"/>
              <w:rPr>
                <w:rFonts w:ascii="宋体" w:hAnsi="宋体" w:cs="宋体"/>
                <w:bCs/>
                <w:sz w:val="24"/>
                <w:szCs w:val="24"/>
                <w:highlight w:val="none"/>
              </w:rPr>
            </w:pPr>
            <w:r>
              <w:rPr>
                <w:rFonts w:hint="eastAsia" w:ascii="宋体" w:hAnsi="宋体" w:cs="宋体"/>
                <w:bCs/>
                <w:sz w:val="24"/>
                <w:szCs w:val="24"/>
                <w:highlight w:val="none"/>
              </w:rPr>
              <w:t xml:space="preserve">单位</w:t>
            </w:r>
            <w:r/>
          </w:p>
        </w:tc>
        <w:tc>
          <w:tcPr>
            <w:tcBorders>
              <w:top w:val="single" w:color="auto" w:sz="4" w:space="0"/>
              <w:left w:val="single" w:color="auto" w:sz="4" w:space="0"/>
              <w:bottom w:val="single" w:color="auto" w:sz="6" w:space="0"/>
              <w:right w:val="single" w:color="auto" w:sz="6" w:space="0"/>
            </w:tcBorders>
            <w:tcW w:w="720" w:type="dxa"/>
            <w:vAlign w:val="center"/>
            <w:textDirection w:val="lrTb"/>
            <w:noWrap w:val="false"/>
          </w:tcPr>
          <w:p>
            <w:pPr>
              <w:pStyle w:val="1135"/>
              <w:jc w:val="center"/>
              <w:spacing w:line="240" w:lineRule="auto"/>
              <w:rPr>
                <w:rFonts w:ascii="宋体" w:hAnsi="宋体" w:cs="宋体"/>
                <w:bCs/>
                <w:sz w:val="24"/>
                <w:szCs w:val="24"/>
                <w:highlight w:val="none"/>
              </w:rPr>
            </w:pPr>
            <w:r>
              <w:rPr>
                <w:rFonts w:hint="eastAsia" w:ascii="宋体" w:hAnsi="宋体" w:cs="宋体"/>
                <w:bCs/>
                <w:sz w:val="24"/>
                <w:szCs w:val="24"/>
                <w:highlight w:val="none"/>
              </w:rPr>
              <w:t xml:space="preserve">数量</w:t>
            </w:r>
            <w:r/>
          </w:p>
        </w:tc>
        <w:tc>
          <w:tcPr>
            <w:tcBorders>
              <w:top w:val="single" w:color="auto" w:sz="4" w:space="0"/>
              <w:left w:val="single" w:color="auto" w:sz="6" w:space="0"/>
              <w:bottom w:val="single" w:color="auto" w:sz="6" w:space="0"/>
              <w:right w:val="single" w:color="auto" w:sz="6" w:space="0"/>
            </w:tcBorders>
            <w:tcW w:w="720" w:type="dxa"/>
            <w:vAlign w:val="center"/>
            <w:textDirection w:val="lrTb"/>
            <w:noWrap w:val="false"/>
          </w:tcPr>
          <w:p>
            <w:pPr>
              <w:pStyle w:val="1135"/>
              <w:jc w:val="center"/>
              <w:spacing w:line="240" w:lineRule="auto"/>
              <w:rPr>
                <w:rFonts w:ascii="宋体" w:hAnsi="宋体" w:cs="宋体"/>
                <w:bCs/>
                <w:sz w:val="24"/>
                <w:szCs w:val="24"/>
                <w:highlight w:val="none"/>
              </w:rPr>
            </w:pPr>
            <w:r>
              <w:rPr>
                <w:rFonts w:hint="eastAsia" w:ascii="宋体" w:hAnsi="宋体" w:cs="宋体"/>
                <w:bCs/>
                <w:sz w:val="24"/>
                <w:szCs w:val="24"/>
                <w:highlight w:val="none"/>
              </w:rPr>
              <w:t xml:space="preserve">单价</w:t>
            </w:r>
            <w:r/>
          </w:p>
        </w:tc>
        <w:tc>
          <w:tcPr>
            <w:tcBorders>
              <w:top w:val="single" w:color="auto" w:sz="4" w:space="0"/>
              <w:left w:val="single" w:color="auto" w:sz="6" w:space="0"/>
              <w:bottom w:val="single" w:color="auto" w:sz="6" w:space="0"/>
              <w:right w:val="single" w:color="auto" w:sz="4" w:space="0"/>
            </w:tcBorders>
            <w:tcW w:w="996" w:type="dxa"/>
            <w:vAlign w:val="center"/>
            <w:textDirection w:val="lrTb"/>
            <w:noWrap w:val="false"/>
          </w:tcPr>
          <w:p>
            <w:pPr>
              <w:pStyle w:val="1135"/>
              <w:jc w:val="center"/>
              <w:spacing w:line="240" w:lineRule="auto"/>
              <w:rPr>
                <w:rFonts w:ascii="宋体" w:hAnsi="宋体" w:cs="宋体"/>
                <w:bCs/>
                <w:sz w:val="24"/>
                <w:szCs w:val="24"/>
                <w:highlight w:val="none"/>
              </w:rPr>
            </w:pPr>
            <w:r>
              <w:rPr>
                <w:rFonts w:hint="eastAsia" w:ascii="宋体" w:hAnsi="宋体" w:cs="宋体"/>
                <w:bCs/>
                <w:sz w:val="24"/>
                <w:szCs w:val="24"/>
                <w:highlight w:val="none"/>
              </w:rPr>
              <w:t xml:space="preserve">总价</w:t>
            </w:r>
            <w:r/>
          </w:p>
        </w:tc>
        <w:tc>
          <w:tcPr>
            <w:tcBorders>
              <w:top w:val="single" w:color="auto" w:sz="4" w:space="0"/>
              <w:left w:val="single" w:color="auto" w:sz="6" w:space="0"/>
              <w:bottom w:val="single" w:color="auto" w:sz="6" w:space="0"/>
              <w:right w:val="single" w:color="auto" w:sz="4" w:space="0"/>
            </w:tcBorders>
            <w:tcW w:w="1116" w:type="dxa"/>
            <w:vAlign w:val="center"/>
            <w:textDirection w:val="lrTb"/>
            <w:noWrap w:val="false"/>
          </w:tcPr>
          <w:p>
            <w:pPr>
              <w:pStyle w:val="1135"/>
              <w:jc w:val="center"/>
              <w:spacing w:line="240" w:lineRule="auto"/>
              <w:rPr>
                <w:rFonts w:ascii="宋体" w:hAnsi="宋体" w:cs="宋体"/>
                <w:bCs/>
                <w:sz w:val="24"/>
                <w:szCs w:val="24"/>
                <w:highlight w:val="none"/>
              </w:rPr>
            </w:pPr>
            <w:r>
              <w:rPr>
                <w:rFonts w:hint="eastAsia" w:ascii="宋体" w:hAnsi="宋体" w:cs="宋体"/>
                <w:bCs/>
                <w:sz w:val="24"/>
                <w:szCs w:val="24"/>
                <w:highlight w:val="none"/>
              </w:rPr>
              <w:t xml:space="preserve">交付期</w:t>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1135"/>
              <w:jc w:val="center"/>
              <w:spacing w:line="240" w:lineRule="auto"/>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1135"/>
              <w:jc w:val="center"/>
              <w:spacing w:line="240" w:lineRule="auto"/>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1135"/>
              <w:jc w:val="center"/>
              <w:spacing w:line="240" w:lineRule="auto"/>
              <w:rPr>
                <w:rFonts w:ascii="宋体" w:hAnsi="宋体" w:cs="宋体"/>
                <w:bCs/>
                <w:sz w:val="24"/>
                <w:szCs w:val="24"/>
                <w:highlight w:val="none"/>
              </w:rPr>
            </w:pPr>
            <w:r>
              <w:rPr>
                <w:rFonts w:ascii="宋体" w:hAnsi="宋体" w:cs="宋体"/>
                <w:bCs/>
                <w:sz w:val="24"/>
                <w:szCs w:val="24"/>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1135"/>
              <w:jc w:val="center"/>
              <w:spacing w:line="240" w:lineRule="auto"/>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1135"/>
              <w:jc w:val="center"/>
              <w:spacing w:line="240" w:lineRule="auto"/>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1135"/>
              <w:jc w:val="center"/>
              <w:spacing w:line="240" w:lineRule="auto"/>
              <w:rPr>
                <w:rFonts w:ascii="宋体" w:hAnsi="宋体" w:cs="宋体"/>
                <w:bCs/>
                <w:sz w:val="24"/>
                <w:szCs w:val="24"/>
                <w:highlight w:val="none"/>
              </w:rPr>
            </w:pPr>
            <w:r>
              <w:rPr>
                <w:rFonts w:ascii="宋体" w:hAnsi="宋体" w:cs="宋体"/>
                <w:bCs/>
                <w:sz w:val="24"/>
                <w:szCs w:val="24"/>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1135"/>
              <w:jc w:val="center"/>
              <w:spacing w:line="240" w:lineRule="auto"/>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1135"/>
              <w:jc w:val="center"/>
              <w:spacing w:line="240" w:lineRule="auto"/>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1135"/>
              <w:jc w:val="center"/>
              <w:spacing w:line="240" w:lineRule="auto"/>
              <w:rPr>
                <w:rFonts w:ascii="宋体" w:hAnsi="宋体" w:cs="宋体"/>
                <w:bCs/>
                <w:sz w:val="24"/>
                <w:szCs w:val="24"/>
                <w:highlight w:val="none"/>
              </w:rPr>
            </w:pPr>
            <w:r>
              <w:rPr>
                <w:rFonts w:ascii="宋体" w:hAnsi="宋体" w:cs="宋体"/>
                <w:bCs/>
                <w:sz w:val="24"/>
                <w:szCs w:val="24"/>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1419"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608"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1219"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870"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pStyle w:val="1135"/>
              <w:jc w:val="center"/>
              <w:spacing w:line="240" w:lineRule="auto"/>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996" w:type="dxa"/>
            <w:vAlign w:val="center"/>
            <w:textDirection w:val="lrTb"/>
            <w:noWrap w:val="false"/>
          </w:tcPr>
          <w:p>
            <w:pPr>
              <w:pStyle w:val="1135"/>
              <w:jc w:val="center"/>
              <w:spacing w:line="240" w:lineRule="auto"/>
              <w:rPr>
                <w:rFonts w:ascii="宋体" w:hAnsi="宋体" w:cs="宋体"/>
                <w:bCs/>
                <w:sz w:val="24"/>
                <w:szCs w:val="24"/>
                <w:highlight w:val="none"/>
              </w:rPr>
            </w:pPr>
            <w:r>
              <w:rPr>
                <w:rFonts w:ascii="宋体" w:hAnsi="宋体" w:cs="宋体"/>
                <w:bCs/>
                <w:sz w:val="24"/>
                <w:szCs w:val="24"/>
                <w:highlight w:val="none"/>
              </w:rPr>
            </w:r>
            <w:r/>
          </w:p>
        </w:tc>
        <w:tc>
          <w:tcPr>
            <w:tcBorders>
              <w:top w:val="single" w:color="auto" w:sz="6" w:space="0"/>
              <w:left w:val="single" w:color="auto" w:sz="6" w:space="0"/>
              <w:bottom w:val="single" w:color="auto" w:sz="6" w:space="0"/>
              <w:right w:val="single" w:color="auto" w:sz="4" w:space="0"/>
            </w:tcBorders>
            <w:tcW w:w="1116" w:type="dxa"/>
            <w:vAlign w:val="center"/>
            <w:textDirection w:val="lrTb"/>
            <w:noWrap w:val="false"/>
          </w:tcPr>
          <w:p>
            <w:pPr>
              <w:pStyle w:val="1135"/>
              <w:jc w:val="center"/>
              <w:spacing w:line="240" w:lineRule="auto"/>
              <w:rPr>
                <w:rFonts w:ascii="宋体" w:hAnsi="宋体" w:cs="宋体"/>
                <w:bCs/>
                <w:sz w:val="24"/>
                <w:szCs w:val="24"/>
                <w:highlight w:val="none"/>
              </w:rPr>
            </w:pPr>
            <w:r>
              <w:rPr>
                <w:rFonts w:ascii="宋体" w:hAnsi="宋体" w:cs="宋体"/>
                <w:bCs/>
                <w:sz w:val="24"/>
                <w:szCs w:val="24"/>
                <w:highlight w:val="none"/>
              </w:rPr>
            </w:r>
            <w:r/>
          </w:p>
        </w:tc>
      </w:tr>
      <w:tr>
        <w:trPr>
          <w:jc w:val="center"/>
          <w:trHeight w:val="567"/>
        </w:trPr>
        <w:tc>
          <w:tcPr>
            <w:tcBorders>
              <w:top w:val="single" w:color="auto" w:sz="4" w:space="0"/>
              <w:left w:val="single" w:color="auto" w:sz="6" w:space="0"/>
              <w:bottom w:val="single" w:color="auto" w:sz="6" w:space="0"/>
              <w:right w:val="single" w:color="auto" w:sz="6" w:space="0"/>
            </w:tcBorders>
            <w:tcW w:w="1419"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投标总报价</w:t>
            </w:r>
            <w:r/>
          </w:p>
        </w:tc>
        <w:tc>
          <w:tcPr>
            <w:gridSpan w:val="7"/>
            <w:tcBorders>
              <w:top w:val="single" w:color="auto" w:sz="4" w:space="0"/>
              <w:left w:val="single" w:color="auto" w:sz="6" w:space="0"/>
              <w:bottom w:val="single" w:color="auto" w:sz="6" w:space="0"/>
              <w:right w:val="single" w:color="auto" w:sz="6" w:space="0"/>
            </w:tcBorders>
            <w:tcW w:w="7249" w:type="dxa"/>
            <w:vAlign w:val="center"/>
            <w:textDirection w:val="lrTb"/>
            <w:noWrap w:val="false"/>
          </w:tcPr>
          <w:p>
            <w:pPr>
              <w:pStyle w:val="1135"/>
              <w:jc w:val="left"/>
              <w:spacing w:line="240" w:lineRule="auto"/>
              <w:rPr>
                <w:rFonts w:ascii="宋体" w:hAnsi="宋体" w:cs="宋体"/>
                <w:bCs/>
                <w:sz w:val="24"/>
                <w:szCs w:val="24"/>
                <w:highlight w:val="none"/>
              </w:rPr>
            </w:pPr>
            <w:r>
              <w:rPr>
                <w:rFonts w:hint="eastAsia" w:ascii="宋体" w:hAnsi="宋体" w:cs="宋体"/>
                <w:bCs/>
                <w:sz w:val="24"/>
                <w:szCs w:val="24"/>
                <w:highlight w:val="none"/>
              </w:rPr>
              <w:t xml:space="preserve">金额大写                      元      （¥：              元）</w:t>
            </w:r>
            <w:r/>
          </w:p>
        </w:tc>
      </w:tr>
    </w:tbl>
    <w:p>
      <w:pPr>
        <w:pStyle w:val="1136"/>
        <w:ind w:firstLine="482"/>
        <w:spacing w:line="360" w:lineRule="auto"/>
        <w:rPr>
          <w:rFonts w:hAnsi="宋体" w:eastAsia="宋体" w:cs="宋体"/>
          <w:b/>
          <w:bCs/>
          <w:sz w:val="24"/>
          <w:szCs w:val="24"/>
          <w:highlight w:val="none"/>
        </w:rPr>
      </w:pPr>
      <w:r>
        <w:rPr>
          <w:rFonts w:hAnsi="宋体" w:eastAsia="宋体" w:cs="宋体"/>
          <w:b/>
          <w:bCs/>
          <w:sz w:val="24"/>
          <w:szCs w:val="24"/>
          <w:highlight w:val="none"/>
        </w:rPr>
      </w:r>
      <w:r/>
    </w:p>
    <w:p>
      <w:pPr>
        <w:pStyle w:val="1136"/>
        <w:ind w:firstLine="482"/>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注：“投标总报价”金额与</w:t>
      </w:r>
      <w:r>
        <w:rPr>
          <w:rFonts w:hint="eastAsia" w:hAnsi="宋体" w:eastAsia="宋体" w:cs="宋体"/>
          <w:b/>
          <w:bCs/>
          <w:sz w:val="24"/>
          <w:szCs w:val="24"/>
          <w:highlight w:val="none"/>
          <w:lang w:val="en-US" w:eastAsia="zh-CN"/>
        </w:rPr>
        <w:t xml:space="preserve">报价函、开标一览表</w:t>
      </w:r>
      <w:r>
        <w:rPr>
          <w:rFonts w:hint="eastAsia" w:hAnsi="宋体" w:eastAsia="宋体" w:cs="宋体"/>
          <w:b/>
          <w:bCs/>
          <w:sz w:val="24"/>
          <w:szCs w:val="24"/>
          <w:highlight w:val="none"/>
        </w:rPr>
        <w:t xml:space="preserve">表须保持一致。</w:t>
      </w:r>
      <w:r/>
    </w:p>
    <w:p>
      <w:pPr>
        <w:pStyle w:val="1136"/>
        <w:ind w:firstLine="405"/>
        <w:spacing w:line="360" w:lineRule="auto"/>
        <w:rPr>
          <w:rFonts w:hAnsi="宋体" w:eastAsia="宋体" w:cs="宋体"/>
          <w:sz w:val="21"/>
          <w:szCs w:val="21"/>
          <w:highlight w:val="none"/>
        </w:rPr>
      </w:pPr>
      <w:r>
        <w:rPr>
          <w:rFonts w:hAnsi="宋体" w:eastAsia="宋体" w:cs="宋体"/>
          <w:sz w:val="21"/>
          <w:szCs w:val="21"/>
          <w:highlight w:val="none"/>
        </w:rPr>
      </w:r>
      <w:r/>
    </w:p>
    <w:p>
      <w:pPr>
        <w:pStyle w:val="1136"/>
        <w:ind w:firstLine="405"/>
        <w:jc w:val="center"/>
        <w:spacing w:line="360" w:lineRule="auto"/>
        <w:rPr>
          <w:rFonts w:hint="eastAsia" w:ascii="宋体" w:hAnsi="宋体" w:eastAsia="宋体" w:cs="Times New Roman"/>
          <w:sz w:val="24"/>
          <w:szCs w:val="24"/>
          <w:highlight w:val="none"/>
          <w:lang w:val="en-US" w:eastAsia="zh-CN" w:bidi="ar-SA"/>
        </w:rPr>
      </w:pPr>
      <w:r>
        <w:rPr>
          <w:rFonts w:hint="eastAsia" w:hAnsi="宋体" w:eastAsia="宋体" w:cs="宋体"/>
          <w:sz w:val="21"/>
          <w:szCs w:val="21"/>
          <w:highlight w:val="none"/>
          <w:lang w:val="en-US" w:eastAsia="zh-CN"/>
        </w:rPr>
        <w:t xml:space="preserve">                                      </w:t>
      </w:r>
      <w:r>
        <w:rPr>
          <w:rFonts w:hint="eastAsia" w:ascii="宋体" w:hAnsi="宋体" w:eastAsia="宋体" w:cs="Times New Roman"/>
          <w:sz w:val="24"/>
          <w:szCs w:val="24"/>
          <w:highlight w:val="none"/>
          <w:lang w:val="en-US" w:eastAsia="zh-CN" w:bidi="ar-SA"/>
        </w:rPr>
        <w:t xml:space="preserve">   投标人名称：（盖章）</w:t>
      </w:r>
      <w:r/>
    </w:p>
    <w:p>
      <w:pPr>
        <w:pStyle w:val="1136"/>
        <w:ind w:firstLine="405"/>
        <w:jc w:val="right"/>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法定代表人或代理人：（签字或盖章）  </w:t>
      </w:r>
      <w:r/>
    </w:p>
    <w:p>
      <w:pPr>
        <w:pStyle w:val="1122"/>
        <w:jc w:val="right"/>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日期：     年     月     日</w:t>
      </w:r>
      <w:r/>
    </w:p>
    <w:p>
      <w:pPr>
        <w:ind w:firstLine="420"/>
        <w:jc w:val="right"/>
        <w:spacing w:line="360" w:lineRule="auto"/>
        <w:rPr>
          <w:rFonts w:ascii="宋体" w:hAnsi="宋体"/>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szCs w:val="21"/>
          <w:highlight w:val="none"/>
        </w:rPr>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附件3：</w:t>
      </w:r>
      <w:r/>
    </w:p>
    <w:p>
      <w:pPr>
        <w:jc w:val="center"/>
        <w:spacing w:line="360" w:lineRule="auto"/>
        <w:rPr>
          <w:rFonts w:ascii="宋体" w:hAnsi="宋体" w:cs="宋体"/>
          <w:b/>
          <w:bCs w:val="0"/>
          <w:color w:val="auto"/>
          <w:sz w:val="24"/>
          <w:highlight w:val="none"/>
        </w:rPr>
      </w:pPr>
      <w:r>
        <w:rPr>
          <w:rFonts w:hint="eastAsia" w:ascii="宋体" w:hAnsi="宋体" w:cs="宋体"/>
          <w:b/>
          <w:bCs w:val="0"/>
          <w:color w:val="auto"/>
          <w:sz w:val="24"/>
          <w:highlight w:val="none"/>
        </w:rPr>
        <w:t xml:space="preserve">法定代表人</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负责人</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rPr>
        <w:t xml:space="preserve">身份证明书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单位名称：</w:t>
      </w:r>
      <w:r>
        <w:rPr>
          <w:rFonts w:ascii="宋体" w:hAnsi="宋体" w:cs="宋体"/>
          <w:color w:val="auto"/>
          <w:sz w:val="24"/>
          <w:highlight w:val="none"/>
          <w:u w:val="singl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单位性质：</w:t>
      </w:r>
      <w:r>
        <w:rPr>
          <w:rFonts w:ascii="宋体" w:hAnsi="宋体" w:cs="宋体"/>
          <w:color w:val="auto"/>
          <w:sz w:val="24"/>
          <w:highlight w:val="none"/>
          <w:u w:val="singl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w:t>
      </w:r>
      <w:r>
        <w:rPr>
          <w:rFonts w:ascii="宋体" w:hAnsi="宋体" w:cs="宋体"/>
          <w:color w:val="auto"/>
          <w:sz w:val="24"/>
          <w:highlight w:val="none"/>
        </w:rPr>
        <w:t xml:space="preserve">    </w:t>
      </w:r>
      <w:r>
        <w:rPr>
          <w:rFonts w:hint="eastAsia" w:ascii="宋体" w:hAnsi="宋体" w:cs="宋体"/>
          <w:color w:val="auto"/>
          <w:sz w:val="24"/>
          <w:highlight w:val="none"/>
        </w:rPr>
        <w:t xml:space="preserve">址：</w:t>
      </w:r>
      <w:r>
        <w:rPr>
          <w:rFonts w:ascii="宋体" w:hAnsi="宋体" w:cs="宋体"/>
          <w:color w:val="auto"/>
          <w:sz w:val="24"/>
          <w:highlight w:val="none"/>
          <w:u w:val="singl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成立时间：</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经营期限：</w:t>
      </w:r>
      <w:r>
        <w:rPr>
          <w:rFonts w:ascii="宋体" w:hAnsi="宋体" w:cs="宋体"/>
          <w:color w:val="auto"/>
          <w:sz w:val="24"/>
          <w:highlight w:val="none"/>
          <w:u w:val="single"/>
        </w:rPr>
        <w:t xml:space="preserve">                          </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姓</w:t>
      </w:r>
      <w:r>
        <w:rPr>
          <w:rFonts w:ascii="宋体" w:hAnsi="宋体" w:cs="宋体"/>
          <w:color w:val="auto"/>
          <w:sz w:val="24"/>
          <w:highlight w:val="none"/>
        </w:rPr>
        <w:t xml:space="preserve">    </w:t>
      </w:r>
      <w:r>
        <w:rPr>
          <w:rFonts w:hint="eastAsia" w:ascii="宋体" w:hAnsi="宋体" w:cs="宋体"/>
          <w:color w:val="auto"/>
          <w:sz w:val="24"/>
          <w:highlight w:val="none"/>
        </w:rPr>
        <w:t xml:space="preserve">名：</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身份证号：</w:t>
      </w:r>
      <w:r>
        <w:rPr>
          <w:rFonts w:ascii="宋体" w:hAnsi="宋体" w:cs="宋体"/>
          <w:color w:val="auto"/>
          <w:sz w:val="24"/>
          <w:highlight w:val="none"/>
          <w:u w:val="singl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系</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rPr>
          <w:rFonts w:hint="eastAsia" w:ascii="宋体" w:hAnsi="宋体" w:cs="宋体"/>
          <w:color w:val="auto"/>
          <w:sz w:val="24"/>
          <w:highlight w:val="none"/>
        </w:rPr>
        <w:t xml:space="preserve">投标人名称</w:t>
      </w:r>
      <w:r>
        <w:rPr>
          <w:rFonts w:ascii="宋体" w:hAnsi="宋体" w:cs="宋体"/>
          <w:color w:val="auto"/>
          <w:sz w:val="24"/>
          <w:highlight w:val="none"/>
        </w:rPr>
        <w:t xml:space="preserve">)</w:t>
      </w:r>
      <w:r>
        <w:rPr>
          <w:rFonts w:hint="eastAsia" w:ascii="宋体" w:hAnsi="宋体" w:cs="宋体"/>
          <w:color w:val="auto"/>
          <w:sz w:val="24"/>
          <w:highlight w:val="none"/>
        </w:rPr>
        <w:t xml:space="preserve">的法定代表人（负责人）。</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特此证明。</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444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lang w:val="en-US" w:eastAsia="zh-CN"/>
        </w:rPr>
        <w:t xml:space="preserve">名称</w:t>
      </w:r>
      <w:r>
        <w:rPr>
          <w:rFonts w:ascii="宋体" w:hAnsi="宋体" w:cs="宋体"/>
          <w:color w:val="auto"/>
          <w:sz w:val="24"/>
          <w:highlight w:val="none"/>
        </w:rPr>
        <w:t xml:space="preserve">(</w:t>
      </w:r>
      <w:r>
        <w:rPr>
          <w:rFonts w:hint="eastAsia" w:ascii="宋体" w:hAnsi="宋体" w:cs="宋体"/>
          <w:color w:val="auto"/>
          <w:sz w:val="24"/>
          <w:highlight w:val="none"/>
        </w:rPr>
        <w:t xml:space="preserve">公章</w:t>
      </w:r>
      <w:r>
        <w:rPr>
          <w:rFonts w:ascii="宋体" w:hAnsi="宋体" w:cs="宋体"/>
          <w:color w:val="auto"/>
          <w:sz w:val="24"/>
          <w:highlight w:val="none"/>
        </w:rPr>
        <w:t xml:space="preserve">) </w:t>
      </w:r>
      <w:r>
        <w:rPr>
          <w:rFonts w:hint="eastAsia" w:ascii="宋体" w:hAnsi="宋体" w:cs="宋体"/>
          <w:color w:val="auto"/>
          <w:sz w:val="24"/>
          <w:highlight w:val="none"/>
        </w:rPr>
        <w:t xml:space="preserve">：</w:t>
      </w:r>
      <w:r>
        <w:rPr>
          <w:rFonts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444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180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附法定代表人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身份证正反面复印件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br w:type="page" w:clear="all"/>
      </w:r>
      <w:r>
        <w:rPr>
          <w:rFonts w:hint="eastAsia" w:ascii="宋体" w:hAnsi="宋体" w:cs="宋体"/>
          <w:b/>
          <w:bCs/>
          <w:color w:val="auto"/>
          <w:sz w:val="24"/>
          <w:highlight w:val="none"/>
        </w:rPr>
        <w:t xml:space="preserve">附件4：</w:t>
      </w:r>
      <w:r/>
    </w:p>
    <w:p>
      <w:pPr>
        <w:jc w:val="center"/>
        <w:spacing w:line="360" w:lineRule="auto"/>
        <w:rPr>
          <w:rFonts w:ascii="宋体" w:hAnsi="宋体" w:cs="宋体"/>
          <w:b/>
          <w:bCs w:val="0"/>
          <w:color w:val="auto"/>
          <w:sz w:val="24"/>
          <w:highlight w:val="none"/>
        </w:rPr>
      </w:pPr>
      <w:r>
        <w:rPr>
          <w:rFonts w:hint="eastAsia" w:ascii="宋体" w:hAnsi="宋体" w:cs="宋体"/>
          <w:b/>
          <w:bCs w:val="0"/>
          <w:color w:val="auto"/>
          <w:sz w:val="24"/>
          <w:highlight w:val="none"/>
        </w:rPr>
        <w:t xml:space="preserve">授</w:t>
      </w:r>
      <w:r>
        <w:rPr>
          <w:rFonts w:ascii="宋体" w:hAnsi="宋体" w:cs="宋体"/>
          <w:b/>
          <w:bCs w:val="0"/>
          <w:color w:val="auto"/>
          <w:sz w:val="24"/>
          <w:highlight w:val="none"/>
        </w:rPr>
        <w:t xml:space="preserve"> </w:t>
      </w:r>
      <w:r>
        <w:rPr>
          <w:rFonts w:hint="eastAsia" w:ascii="宋体" w:hAnsi="宋体" w:cs="宋体"/>
          <w:b/>
          <w:bCs w:val="0"/>
          <w:color w:val="auto"/>
          <w:sz w:val="24"/>
          <w:highlight w:val="none"/>
        </w:rPr>
        <w:t xml:space="preserve">权</w:t>
      </w:r>
      <w:r>
        <w:rPr>
          <w:rFonts w:ascii="宋体" w:hAnsi="宋体" w:cs="宋体"/>
          <w:b/>
          <w:bCs w:val="0"/>
          <w:color w:val="auto"/>
          <w:sz w:val="24"/>
          <w:highlight w:val="none"/>
        </w:rPr>
        <w:t xml:space="preserve"> </w:t>
      </w:r>
      <w:r>
        <w:rPr>
          <w:rFonts w:hint="eastAsia" w:ascii="宋体" w:hAnsi="宋体" w:cs="宋体"/>
          <w:b/>
          <w:bCs w:val="0"/>
          <w:color w:val="auto"/>
          <w:sz w:val="24"/>
          <w:highlight w:val="none"/>
        </w:rPr>
        <w:t xml:space="preserve">委</w:t>
      </w:r>
      <w:r>
        <w:rPr>
          <w:rFonts w:ascii="宋体" w:hAnsi="宋体" w:cs="宋体"/>
          <w:b/>
          <w:bCs w:val="0"/>
          <w:color w:val="auto"/>
          <w:sz w:val="24"/>
          <w:highlight w:val="none"/>
        </w:rPr>
        <w:t xml:space="preserve"> </w:t>
      </w:r>
      <w:r>
        <w:rPr>
          <w:rFonts w:hint="eastAsia" w:ascii="宋体" w:hAnsi="宋体" w:cs="宋体"/>
          <w:b/>
          <w:bCs w:val="0"/>
          <w:color w:val="auto"/>
          <w:sz w:val="24"/>
          <w:highlight w:val="none"/>
        </w:rPr>
        <w:t xml:space="preserve">托</w:t>
      </w:r>
      <w:r>
        <w:rPr>
          <w:rFonts w:ascii="宋体" w:hAnsi="宋体" w:cs="宋体"/>
          <w:b/>
          <w:bCs w:val="0"/>
          <w:color w:val="auto"/>
          <w:sz w:val="24"/>
          <w:highlight w:val="none"/>
        </w:rPr>
        <w:t xml:space="preserve"> </w:t>
      </w:r>
      <w:r>
        <w:rPr>
          <w:rFonts w:hint="eastAsia" w:ascii="宋体" w:hAnsi="宋体" w:cs="宋体"/>
          <w:b/>
          <w:bCs w:val="0"/>
          <w:color w:val="auto"/>
          <w:sz w:val="24"/>
          <w:highlight w:val="none"/>
        </w:rPr>
        <w:t xml:space="preserve">书</w:t>
      </w:r>
      <w:r/>
    </w:p>
    <w:p>
      <w:pPr>
        <w:jc w:val="center"/>
        <w:spacing w:line="360" w:lineRule="auto"/>
        <w:rPr>
          <w:rFonts w:ascii="宋体" w:hAnsi="宋体" w:cs="宋体"/>
          <w:bCs/>
          <w:color w:val="auto"/>
          <w:sz w:val="24"/>
          <w:highlight w:val="none"/>
        </w:rPr>
      </w:pPr>
      <w:r>
        <w:rPr>
          <w:rFonts w:ascii="宋体" w:hAnsi="宋体" w:cs="宋体"/>
          <w:bCs/>
          <w:color w:val="auto"/>
          <w:sz w:val="24"/>
          <w:highlight w:val="none"/>
        </w:rPr>
        <w:t xml:space="preserve">(</w:t>
      </w:r>
      <w:r>
        <w:rPr>
          <w:rFonts w:hint="eastAsia" w:ascii="宋体" w:hAnsi="宋体" w:cs="宋体"/>
          <w:bCs/>
          <w:color w:val="auto"/>
          <w:sz w:val="24"/>
          <w:highlight w:val="none"/>
        </w:rPr>
        <w:t xml:space="preserve">原件</w:t>
      </w:r>
      <w:r>
        <w:rPr>
          <w:rFonts w:ascii="宋体" w:hAnsi="宋体" w:cs="宋体"/>
          <w:bCs/>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本授权委托书声明：本人</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rPr>
          <w:rFonts w:hint="eastAsia" w:ascii="宋体" w:hAnsi="宋体" w:cs="宋体"/>
          <w:color w:val="auto"/>
          <w:sz w:val="24"/>
          <w:highlight w:val="none"/>
        </w:rPr>
        <w:t xml:space="preserve">姓名</w:t>
      </w:r>
      <w:r>
        <w:rPr>
          <w:rFonts w:ascii="宋体" w:hAnsi="宋体" w:cs="宋体"/>
          <w:color w:val="auto"/>
          <w:sz w:val="24"/>
          <w:highlight w:val="none"/>
        </w:rPr>
        <w:t xml:space="preserve">)</w:t>
      </w:r>
      <w:r>
        <w:rPr>
          <w:rFonts w:hint="eastAsia" w:ascii="宋体" w:hAnsi="宋体" w:cs="宋体"/>
          <w:color w:val="auto"/>
          <w:sz w:val="24"/>
          <w:highlight w:val="none"/>
        </w:rPr>
        <w:t xml:space="preserve">系</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rPr>
          <w:rFonts w:hint="eastAsia" w:ascii="宋体" w:hAnsi="宋体" w:cs="宋体"/>
          <w:color w:val="auto"/>
          <w:sz w:val="24"/>
          <w:highlight w:val="none"/>
        </w:rPr>
        <w:t xml:space="preserve">单位全称</w:t>
      </w:r>
      <w:r>
        <w:rPr>
          <w:rFonts w:ascii="宋体" w:hAnsi="宋体" w:cs="宋体"/>
          <w:color w:val="auto"/>
          <w:sz w:val="24"/>
          <w:highlight w:val="none"/>
        </w:rPr>
        <w:t xml:space="preserve">)</w:t>
      </w:r>
      <w:r>
        <w:rPr>
          <w:rFonts w:hint="eastAsia" w:ascii="宋体" w:hAnsi="宋体" w:cs="宋体"/>
          <w:color w:val="auto"/>
          <w:sz w:val="24"/>
          <w:highlight w:val="none"/>
        </w:rPr>
        <w:t xml:space="preserve">的法定代表人（负责人），现代表本单位（公司）授权我单位（公司）</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rPr>
          <w:rFonts w:hint="eastAsia" w:ascii="宋体" w:hAnsi="宋体" w:cs="宋体"/>
          <w:color w:val="auto"/>
          <w:sz w:val="24"/>
          <w:highlight w:val="none"/>
        </w:rPr>
        <w:t xml:space="preserve">部门、职务或职称、姓名</w:t>
      </w:r>
      <w:r>
        <w:rPr>
          <w:rFonts w:ascii="宋体" w:hAnsi="宋体" w:cs="宋体"/>
          <w:color w:val="auto"/>
          <w:sz w:val="24"/>
          <w:highlight w:val="none"/>
        </w:rPr>
        <w:t xml:space="preserve">)</w:t>
      </w:r>
      <w:r>
        <w:rPr>
          <w:rFonts w:hint="eastAsia" w:ascii="宋体" w:hAnsi="宋体" w:cs="宋体"/>
          <w:color w:val="auto"/>
          <w:sz w:val="24"/>
          <w:highlight w:val="none"/>
        </w:rPr>
        <w:t xml:space="preserve">作为本单位（公司）的合法代理人，以本单位（公司）的名义参加</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rPr>
          <w:rFonts w:hint="eastAsia" w:ascii="宋体" w:hAnsi="宋体" w:cs="宋体"/>
          <w:color w:val="auto"/>
          <w:sz w:val="24"/>
          <w:highlight w:val="none"/>
        </w:rPr>
        <w:t xml:space="preserve">招标单位名称</w:t>
      </w:r>
      <w:r>
        <w:rPr>
          <w:rFonts w:ascii="宋体" w:hAnsi="宋体" w:cs="宋体"/>
          <w:color w:val="auto"/>
          <w:sz w:val="24"/>
          <w:highlight w:val="none"/>
        </w:rPr>
        <w:t xml:space="preserve">)</w:t>
      </w:r>
      <w:r>
        <w:rPr>
          <w:rFonts w:hint="eastAsia" w:ascii="宋体" w:hAnsi="宋体" w:cs="宋体"/>
          <w:color w:val="auto"/>
          <w:sz w:val="24"/>
          <w:highlight w:val="none"/>
        </w:rPr>
        <w:t xml:space="preserve">的</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rPr>
          <w:rFonts w:hint="eastAsia" w:ascii="宋体" w:hAnsi="宋体" w:cs="宋体"/>
          <w:color w:val="auto"/>
          <w:sz w:val="24"/>
          <w:highlight w:val="none"/>
        </w:rPr>
        <w:t xml:space="preserve">项目名称</w:t>
      </w:r>
      <w:r>
        <w:rPr>
          <w:rFonts w:ascii="宋体" w:hAnsi="宋体" w:cs="宋体"/>
          <w:color w:val="auto"/>
          <w:sz w:val="24"/>
          <w:highlight w:val="none"/>
        </w:rPr>
        <w:t xml:space="preserve">)</w:t>
      </w:r>
      <w:r>
        <w:rPr>
          <w:rFonts w:hint="eastAsia" w:ascii="宋体" w:hAnsi="宋体" w:cs="宋体"/>
          <w:color w:val="auto"/>
          <w:sz w:val="24"/>
          <w:highlight w:val="none"/>
        </w:rPr>
        <w:t xml:space="preserve">投标。授权代表签署与本次招标相关的一切文件和处理与之有关的一切事务，本人均予以承认。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授权委托人无转委托权。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特此声明</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w:t>
      </w:r>
      <w:r>
        <w:rPr>
          <w:rFonts w:hint="eastAsia" w:ascii="宋体" w:hAnsi="宋体" w:cs="宋体"/>
          <w:color w:val="auto"/>
          <w:sz w:val="24"/>
          <w:highlight w:val="none"/>
          <w:lang w:val="en-US" w:eastAsia="zh-CN"/>
        </w:rPr>
        <w:t xml:space="preserve">人名称</w:t>
      </w:r>
      <w:r>
        <w:rPr>
          <w:rFonts w:ascii="宋体" w:hAnsi="宋体" w:cs="宋体"/>
          <w:color w:val="auto"/>
          <w:sz w:val="24"/>
          <w:highlight w:val="none"/>
        </w:rPr>
        <w:t xml:space="preserve">(</w:t>
      </w:r>
      <w:r>
        <w:rPr>
          <w:rFonts w:hint="eastAsia" w:ascii="宋体" w:hAnsi="宋体" w:cs="宋体"/>
          <w:color w:val="auto"/>
          <w:sz w:val="24"/>
          <w:highlight w:val="none"/>
        </w:rPr>
        <w:t xml:space="preserve">公章</w:t>
      </w:r>
      <w:r>
        <w:rPr>
          <w:rFonts w:ascii="宋体" w:hAnsi="宋体" w:cs="宋体"/>
          <w:color w:val="auto"/>
          <w:sz w:val="24"/>
          <w:highlight w:val="none"/>
        </w:rPr>
        <w:t xml:space="preserve">) </w:t>
      </w:r>
      <w:r>
        <w:rPr>
          <w:rFonts w:hint="eastAsia" w:ascii="宋体" w:hAnsi="宋体" w:cs="宋体"/>
          <w:color w:val="auto"/>
          <w:sz w:val="24"/>
          <w:highlight w:val="none"/>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法定代表人（负责人）签字：</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授权委托人</w:t>
      </w:r>
      <w:r>
        <w:rPr>
          <w:rFonts w:ascii="宋体" w:hAnsi="宋体" w:cs="宋体"/>
          <w:b/>
          <w:bCs/>
          <w:color w:val="auto"/>
          <w:sz w:val="24"/>
          <w:highlight w:val="none"/>
        </w:rPr>
        <w:t xml:space="preserve">(</w:t>
      </w:r>
      <w:r>
        <w:rPr>
          <w:rFonts w:hint="eastAsia" w:ascii="宋体" w:hAnsi="宋体" w:cs="宋体"/>
          <w:b/>
          <w:bCs/>
          <w:color w:val="auto"/>
          <w:sz w:val="24"/>
          <w:highlight w:val="none"/>
        </w:rPr>
        <w:t xml:space="preserve">签字</w:t>
      </w:r>
      <w:r>
        <w:rPr>
          <w:rFonts w:ascii="宋体" w:hAnsi="宋体" w:cs="宋体"/>
          <w:b/>
          <w:bCs/>
          <w:color w:val="auto"/>
          <w:sz w:val="24"/>
          <w:highlight w:val="none"/>
        </w:rPr>
        <w:t xml:space="preserve">) </w:t>
      </w:r>
      <w:r>
        <w:rPr>
          <w:rFonts w:hint="eastAsia" w:ascii="宋体" w:hAnsi="宋体" w:cs="宋体"/>
          <w:b/>
          <w:bCs/>
          <w:color w:val="auto"/>
          <w:sz w:val="24"/>
          <w:highlight w:val="none"/>
        </w:rPr>
        <w:t xml:space="preserve">：</w:t>
      </w:r>
      <w:r>
        <w:rPr>
          <w:rFonts w:ascii="宋体" w:hAnsi="宋体" w:cs="宋体"/>
          <w:b/>
          <w:bCs/>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r>
        <w:rPr>
          <w:rFonts w:ascii="宋体" w:hAnsi="宋体" w:cs="宋体"/>
          <w:color w:val="auto"/>
          <w:sz w:val="24"/>
          <w:highlight w:val="none"/>
        </w:rPr>
        <w:t xml:space="preserve">   </w:t>
      </w:r>
      <w:r>
        <w:rPr>
          <w:rFonts w:hint="eastAsia" w:ascii="宋体" w:hAnsi="宋体" w:cs="宋体"/>
          <w:color w:val="auto"/>
          <w:sz w:val="24"/>
          <w:highlight w:val="none"/>
        </w:rPr>
        <w:t xml:space="preserve">年</w:t>
      </w:r>
      <w:r>
        <w:rPr>
          <w:rFonts w:ascii="宋体" w:hAnsi="宋体" w:cs="宋体"/>
          <w:color w:val="auto"/>
          <w:sz w:val="24"/>
          <w:highlight w:val="none"/>
        </w:rPr>
        <w:t xml:space="preserve">   </w:t>
      </w:r>
      <w:r>
        <w:rPr>
          <w:rFonts w:hint="eastAsia" w:ascii="宋体" w:hAnsi="宋体" w:cs="宋体"/>
          <w:color w:val="auto"/>
          <w:sz w:val="24"/>
          <w:highlight w:val="none"/>
        </w:rPr>
        <w:t xml:space="preserve">月</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附授权委托人身份证正反面复印件</w:t>
      </w:r>
      <w:r/>
    </w:p>
    <w:p>
      <w:pPr>
        <w:jc w:val="cente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hint="eastAsia" w:ascii="宋体" w:hAnsi="宋体" w:cs="宋体"/>
          <w:color w:val="auto"/>
          <w:sz w:val="24"/>
          <w:highlight w:val="none"/>
        </w:rPr>
      </w:pPr>
      <w:r>
        <w:rPr>
          <w:rFonts w:ascii="宋体" w:hAnsi="宋体"/>
          <w:color w:val="auto"/>
          <w:sz w:val="24"/>
          <w:highlight w:val="none"/>
        </w:rPr>
        <w:br w:type="page" w:clear="all"/>
      </w:r>
      <w:r>
        <w:rPr>
          <w:rFonts w:hint="eastAsia" w:ascii="宋体" w:hAnsi="宋体" w:cs="宋体"/>
          <w:b/>
          <w:bCs/>
          <w:color w:val="auto"/>
          <w:sz w:val="24"/>
          <w:highlight w:val="none"/>
        </w:rPr>
        <w:t xml:space="preserve">附件5：</w:t>
      </w:r>
      <w:r/>
    </w:p>
    <w:p>
      <w:pPr>
        <w:ind w:firstLine="482"/>
        <w:jc w:val="center"/>
        <w:spacing w:line="360" w:lineRule="auto"/>
        <w:rPr>
          <w:rFonts w:hint="eastAsia" w:ascii="宋体" w:hAnsi="宋体" w:cs="宋体"/>
          <w:b/>
          <w:bCs w:val="0"/>
          <w:color w:val="auto"/>
          <w:sz w:val="24"/>
          <w:szCs w:val="24"/>
          <w:highlight w:val="none"/>
        </w:rPr>
      </w:pPr>
      <w:r>
        <w:rPr>
          <w:rFonts w:hint="eastAsia" w:ascii="宋体" w:hAnsi="宋体"/>
          <w:b/>
          <w:bCs w:val="0"/>
          <w:color w:val="auto"/>
          <w:sz w:val="24"/>
          <w:highlight w:val="none"/>
        </w:rPr>
        <w:t xml:space="preserve">具备履行合同所必需的设备和专业技术能力的证明材料</w:t>
      </w:r>
      <w:r>
        <w:rPr>
          <w:rFonts w:hint="eastAsia" w:ascii="宋体" w:hAnsi="宋体"/>
          <w:b/>
          <w:bCs w:val="0"/>
          <w:color w:val="auto"/>
          <w:sz w:val="24"/>
          <w:highlight w:val="none"/>
          <w:lang w:eastAsia="zh-CN"/>
        </w:rPr>
        <w:t xml:space="preserve">、</w:t>
      </w:r>
      <w:r>
        <w:rPr>
          <w:rFonts w:ascii="宋体" w:hAnsi="宋体"/>
          <w:b/>
          <w:bCs w:val="0"/>
          <w:color w:val="auto"/>
          <w:highlight w:val="none"/>
        </w:rPr>
        <w:t xml:space="preserve">                      </w:t>
      </w:r>
      <w:bookmarkStart w:id="44" w:name="_Toc414607925"/>
      <w:r>
        <w:rPr>
          <w:rFonts w:hint="eastAsia" w:ascii="宋体" w:hAnsi="宋体" w:cs="宋体"/>
          <w:b/>
          <w:bCs w:val="0"/>
          <w:color w:val="auto"/>
          <w:sz w:val="24"/>
          <w:szCs w:val="24"/>
          <w:highlight w:val="none"/>
        </w:rPr>
        <w:t xml:space="preserve">参加政府采购活动前</w:t>
      </w:r>
      <w:r>
        <w:rPr>
          <w:rFonts w:ascii="宋体" w:hAnsi="宋体" w:cs="宋体"/>
          <w:b/>
          <w:bCs w:val="0"/>
          <w:color w:val="auto"/>
          <w:sz w:val="24"/>
          <w:szCs w:val="24"/>
          <w:highlight w:val="none"/>
        </w:rPr>
        <w:t xml:space="preserve">3</w:t>
      </w:r>
      <w:r>
        <w:rPr>
          <w:rFonts w:hint="eastAsia" w:ascii="宋体" w:hAnsi="宋体" w:cs="宋体"/>
          <w:b/>
          <w:bCs w:val="0"/>
          <w:color w:val="auto"/>
          <w:sz w:val="24"/>
          <w:szCs w:val="24"/>
          <w:highlight w:val="none"/>
        </w:rPr>
        <w:t xml:space="preserve">年内在经营活动中没有重大违法记录的书面声明</w:t>
      </w:r>
      <w:r/>
    </w:p>
    <w:p>
      <w:pPr>
        <w:pStyle w:val="1137"/>
        <w:ind w:left="0" w:firstLine="0"/>
        <w:jc w:val="center"/>
        <w:spacing w:line="360" w:lineRule="auto"/>
        <w:rPr>
          <w:rFonts w:ascii="宋体" w:hAnsi="宋体" w:cs="宋体"/>
          <w:b w:val="0"/>
          <w:color w:val="auto"/>
          <w:sz w:val="24"/>
          <w:szCs w:val="24"/>
          <w:highlight w:val="none"/>
        </w:rPr>
      </w:pPr>
      <w:r>
        <w:rPr>
          <w:rFonts w:ascii="宋体" w:hAnsi="宋体" w:cs="宋体"/>
          <w:b w:val="0"/>
          <w:color w:val="auto"/>
          <w:sz w:val="24"/>
          <w:szCs w:val="24"/>
          <w:highlight w:val="none"/>
        </w:rPr>
        <w:t xml:space="preserve">(</w:t>
      </w:r>
      <w:r>
        <w:rPr>
          <w:rFonts w:hint="eastAsia" w:ascii="宋体" w:hAnsi="宋体" w:cs="宋体"/>
          <w:b w:val="0"/>
          <w:color w:val="auto"/>
          <w:sz w:val="24"/>
          <w:szCs w:val="24"/>
          <w:highlight w:val="none"/>
        </w:rPr>
        <w:t xml:space="preserve">参考格式</w:t>
      </w:r>
      <w:r>
        <w:rPr>
          <w:rFonts w:ascii="宋体" w:hAnsi="宋体" w:cs="宋体"/>
          <w:b w:val="0"/>
          <w:color w:val="auto"/>
          <w:sz w:val="24"/>
          <w:szCs w:val="24"/>
          <w:highlight w:val="none"/>
        </w:rPr>
        <w:t xml:space="preserve">)</w:t>
      </w:r>
      <w:bookmarkEnd w:id="44"/>
      <w:r>
        <w:rPr>
          <w:rFonts w:ascii="宋体" w:hAnsi="宋体" w:cs="宋体"/>
          <w:b w:val="0"/>
          <w:color w:val="auto"/>
          <w:sz w:val="24"/>
          <w:szCs w:val="24"/>
          <w:highlight w:val="none"/>
        </w:rPr>
        <w:t xml:space="preserve"> </w:t>
      </w:r>
      <w:r/>
    </w:p>
    <w:p>
      <w:pPr>
        <w:pStyle w:val="1117"/>
        <w:numPr>
          <w:ilvl w:val="0"/>
          <w:numId w:val="0"/>
        </w:numPr>
        <w:jc w:val="center"/>
        <w:pageBreakBefore w:val="0"/>
        <w:spacing w:line="360" w:lineRule="auto"/>
        <w:rPr>
          <w:rFonts w:ascii="宋体" w:hAnsi="宋体" w:eastAsia="宋体"/>
          <w:b/>
          <w:bCs/>
          <w:sz w:val="24"/>
          <w:szCs w:val="24"/>
          <w:highlight w:val="none"/>
        </w:rPr>
      </w:pPr>
      <w:r>
        <w:rPr>
          <w:rFonts w:hint="eastAsia" w:ascii="宋体" w:hAnsi="宋体" w:eastAsia="宋体"/>
          <w:b/>
          <w:bCs/>
          <w:sz w:val="24"/>
          <w:szCs w:val="24"/>
          <w:highlight w:val="none"/>
          <w:lang w:val="en-US" w:eastAsia="zh-CN"/>
        </w:rPr>
        <w:t xml:space="preserve">投标人</w:t>
      </w:r>
      <w:r>
        <w:rPr>
          <w:rFonts w:hint="eastAsia" w:ascii="宋体" w:hAnsi="宋体" w:eastAsia="宋体"/>
          <w:b/>
          <w:bCs/>
          <w:sz w:val="24"/>
          <w:szCs w:val="24"/>
          <w:highlight w:val="none"/>
        </w:rPr>
        <w:t xml:space="preserve">资格声明书</w:t>
      </w:r>
      <w:r/>
    </w:p>
    <w:p>
      <w:pPr>
        <w:pageBreakBefore w:val="0"/>
        <w:spacing w:line="360" w:lineRule="auto"/>
        <w:tabs>
          <w:tab w:val="left" w:pos="5580" w:leader="none"/>
        </w:tabs>
        <w:rPr>
          <w:rFonts w:hint="default" w:eastAsia="宋体"/>
          <w:sz w:val="24"/>
          <w:szCs w:val="24"/>
          <w:highlight w:val="none"/>
          <w:lang w:val="en-US" w:eastAsia="zh-CN"/>
        </w:rPr>
      </w:pPr>
      <w:r>
        <w:rPr>
          <w:rFonts w:hint="eastAsia"/>
          <w:sz w:val="24"/>
          <w:szCs w:val="24"/>
          <w:highlight w:val="none"/>
        </w:rPr>
        <w:t xml:space="preserve">致：</w:t>
      </w:r>
      <w:r>
        <w:rPr>
          <w:rFonts w:hint="eastAsia"/>
          <w:sz w:val="24"/>
          <w:szCs w:val="24"/>
          <w:highlight w:val="none"/>
          <w:u w:val="single"/>
          <w:lang w:val="en-US" w:eastAsia="zh-CN"/>
        </w:rPr>
        <w:t xml:space="preserve">                  （招标人名称）</w:t>
      </w:r>
      <w:r/>
    </w:p>
    <w:p>
      <w:pPr>
        <w:ind w:firstLine="480"/>
        <w:pageBreakBefore w:val="0"/>
        <w:spacing w:line="360" w:lineRule="auto"/>
        <w:rPr>
          <w:sz w:val="24"/>
          <w:szCs w:val="24"/>
          <w:highlight w:val="none"/>
        </w:rPr>
      </w:pPr>
      <w:r>
        <w:rPr>
          <w:rFonts w:hint="eastAsia"/>
          <w:sz w:val="24"/>
          <w:szCs w:val="24"/>
          <w:highlight w:val="none"/>
        </w:rPr>
        <w:t xml:space="preserve">在参与本次项目响应中，我单位承诺：</w:t>
      </w:r>
      <w:r/>
    </w:p>
    <w:p>
      <w:pPr>
        <w:numPr>
          <w:ilvl w:val="0"/>
          <w:numId w:val="111"/>
        </w:numPr>
        <w:ind w:left="1134"/>
        <w:jc w:val="left"/>
        <w:pageBreakBefore w:val="0"/>
        <w:spacing w:line="360" w:lineRule="auto"/>
        <w:rPr>
          <w:sz w:val="24"/>
          <w:szCs w:val="24"/>
          <w:highlight w:val="none"/>
        </w:rPr>
      </w:pPr>
      <w:r>
        <w:rPr>
          <w:rFonts w:hint="eastAsia"/>
          <w:sz w:val="24"/>
          <w:szCs w:val="24"/>
          <w:highlight w:val="none"/>
        </w:rPr>
        <w:t xml:space="preserve">具有良好的商业信誉和健全的财务会计制度；</w:t>
      </w:r>
      <w:r/>
    </w:p>
    <w:p>
      <w:pPr>
        <w:numPr>
          <w:ilvl w:val="0"/>
          <w:numId w:val="111"/>
        </w:numPr>
        <w:ind w:left="1134"/>
        <w:jc w:val="left"/>
        <w:pageBreakBefore w:val="0"/>
        <w:spacing w:line="360" w:lineRule="auto"/>
        <w:rPr>
          <w:sz w:val="24"/>
          <w:szCs w:val="24"/>
          <w:highlight w:val="none"/>
        </w:rPr>
      </w:pPr>
      <w:r>
        <w:rPr>
          <w:rFonts w:hint="eastAsia"/>
          <w:sz w:val="24"/>
          <w:szCs w:val="24"/>
          <w:highlight w:val="none"/>
        </w:rPr>
        <w:t xml:space="preserve">具有履行合同所必需的设备和专业技术能力；</w:t>
      </w:r>
      <w:r/>
    </w:p>
    <w:p>
      <w:pPr>
        <w:numPr>
          <w:ilvl w:val="0"/>
          <w:numId w:val="111"/>
        </w:numPr>
        <w:ind w:left="1134"/>
        <w:jc w:val="left"/>
        <w:pageBreakBefore w:val="0"/>
        <w:spacing w:line="360" w:lineRule="auto"/>
        <w:rPr>
          <w:sz w:val="24"/>
          <w:szCs w:val="24"/>
          <w:highlight w:val="none"/>
        </w:rPr>
      </w:pPr>
      <w:r>
        <w:rPr>
          <w:rFonts w:hint="eastAsia"/>
          <w:sz w:val="24"/>
          <w:szCs w:val="24"/>
          <w:highlight w:val="none"/>
        </w:rPr>
        <w:t xml:space="preserve">具有依法缴纳税收和社会保障资金的良好记录；</w:t>
      </w:r>
      <w:r/>
    </w:p>
    <w:p>
      <w:pPr>
        <w:numPr>
          <w:ilvl w:val="0"/>
          <w:numId w:val="111"/>
        </w:numPr>
        <w:ind w:left="1134"/>
        <w:jc w:val="left"/>
        <w:pageBreakBefore w:val="0"/>
        <w:spacing w:line="360" w:lineRule="auto"/>
        <w:rPr>
          <w:sz w:val="24"/>
          <w:szCs w:val="24"/>
          <w:highlight w:val="none"/>
        </w:rPr>
      </w:pPr>
      <w:r>
        <w:rPr>
          <w:rFonts w:hint="eastAsia"/>
          <w:sz w:val="24"/>
          <w:szCs w:val="24"/>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numPr>
          <w:ilvl w:val="0"/>
          <w:numId w:val="111"/>
        </w:numPr>
        <w:ind w:left="1134"/>
        <w:jc w:val="left"/>
        <w:pageBreakBefore w:val="0"/>
        <w:spacing w:line="360" w:lineRule="auto"/>
        <w:rPr>
          <w:sz w:val="24"/>
          <w:szCs w:val="24"/>
          <w:highlight w:val="none"/>
        </w:rPr>
      </w:pPr>
      <w:r>
        <w:rPr>
          <w:rFonts w:hint="eastAsia"/>
          <w:sz w:val="24"/>
          <w:szCs w:val="24"/>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111"/>
        </w:numPr>
        <w:ind w:left="1134"/>
        <w:jc w:val="left"/>
        <w:pageBreakBefore w:val="0"/>
        <w:spacing w:line="360" w:lineRule="auto"/>
        <w:rPr>
          <w:sz w:val="24"/>
          <w:szCs w:val="24"/>
          <w:highlight w:val="none"/>
        </w:rPr>
      </w:pPr>
      <w:r>
        <w:rPr>
          <w:rFonts w:hint="eastAsia"/>
          <w:sz w:val="24"/>
          <w:szCs w:val="24"/>
          <w:highlight w:val="none"/>
        </w:rPr>
        <w:t xml:space="preserve">与我单位存在“单位负责人为同一人或者存在直接控股、管理关系”的其他法人单位信息如下（如有，不论其是否参加同一合同项下的政府采购活动均须填写）：</w:t>
      </w:r>
      <w:r/>
    </w:p>
    <w:tbl>
      <w:tblPr>
        <w:tblStyle w:val="11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 w:val="24"/>
                <w:szCs w:val="24"/>
                <w:highlight w:val="none"/>
              </w:rPr>
            </w:pPr>
            <w:r>
              <w:rPr>
                <w:rFonts w:hint="eastAsia"/>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sz w:val="24"/>
                <w:szCs w:val="24"/>
                <w:highlight w:val="none"/>
              </w:rPr>
            </w:pPr>
            <w:r>
              <w:rPr>
                <w:rFonts w:hint="eastAsia"/>
                <w:sz w:val="24"/>
                <w:szCs w:val="24"/>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sz w:val="24"/>
                <w:szCs w:val="24"/>
                <w:highlight w:val="none"/>
              </w:rPr>
            </w:pPr>
            <w:r>
              <w:rPr>
                <w:rFonts w:hint="eastAsia"/>
                <w:sz w:val="24"/>
                <w:szCs w:val="24"/>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 w:val="24"/>
                <w:szCs w:val="24"/>
                <w:highlight w:val="none"/>
              </w:rPr>
            </w:pPr>
            <w:r>
              <w:rPr>
                <w:rFonts w:hint="eastAsia"/>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 w:val="24"/>
                <w:szCs w:val="24"/>
                <w:highlight w:val="none"/>
              </w:rPr>
            </w:pPr>
            <w:r>
              <w:rPr>
                <w:rFonts w:hint="eastAsia"/>
                <w:b/>
                <w:bCs/>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 w:val="24"/>
                <w:szCs w:val="24"/>
                <w:highlight w:val="none"/>
              </w:rPr>
            </w:pPr>
            <w:r>
              <w:rPr>
                <w:rFonts w:hint="eastAsia"/>
                <w:b/>
                <w:bCs/>
                <w:sz w:val="24"/>
                <w:szCs w:val="24"/>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 w:val="24"/>
                <w:szCs w:val="24"/>
                <w:highlight w:val="none"/>
              </w:rPr>
            </w:pPr>
            <w:r>
              <w:rPr>
                <w:rFonts w:hint="eastAsia"/>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 w:val="24"/>
                <w:szCs w:val="24"/>
                <w:highlight w:val="none"/>
              </w:rPr>
            </w:pPr>
            <w:r>
              <w:rPr>
                <w:rFonts w:hint="eastAsia"/>
                <w:b/>
                <w:bCs/>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 w:val="24"/>
                <w:szCs w:val="24"/>
                <w:highlight w:val="none"/>
              </w:rPr>
            </w:pPr>
            <w:r>
              <w:rPr>
                <w:rFonts w:hint="eastAsia"/>
                <w:b/>
                <w:bCs/>
                <w:sz w:val="24"/>
                <w:szCs w:val="24"/>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 w:val="24"/>
                <w:szCs w:val="24"/>
                <w:highlight w:val="none"/>
              </w:rPr>
            </w:pPr>
            <w:r>
              <w:rPr>
                <w:rFonts w:hint="eastAsia"/>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 w:val="24"/>
                <w:szCs w:val="24"/>
                <w:highlight w:val="none"/>
              </w:rPr>
            </w:pPr>
            <w:r>
              <w:rPr>
                <w:rFonts w:hint="eastAsia"/>
                <w:b/>
                <w:bCs/>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 w:val="24"/>
                <w:szCs w:val="24"/>
                <w:highlight w:val="none"/>
              </w:rPr>
            </w:pPr>
            <w:r>
              <w:rPr>
                <w:rFonts w:hint="eastAsia"/>
                <w:b/>
                <w:bCs/>
                <w:sz w:val="24"/>
                <w:szCs w:val="24"/>
                <w:highlight w:val="none"/>
              </w:rPr>
              <w:t xml:space="preserve">/</w:t>
            </w:r>
            <w:r/>
          </w:p>
        </w:tc>
      </w:tr>
    </w:tbl>
    <w:p>
      <w:pPr>
        <w:pageBreakBefore w:val="0"/>
        <w:spacing w:line="360" w:lineRule="auto"/>
        <w:rPr>
          <w:sz w:val="24"/>
          <w:szCs w:val="24"/>
          <w:highlight w:val="none"/>
        </w:rPr>
      </w:pPr>
      <w:r>
        <w:rPr>
          <w:sz w:val="24"/>
          <w:szCs w:val="24"/>
          <w:highlight w:val="none"/>
        </w:rPr>
      </w:r>
      <w:r/>
    </w:p>
    <w:p>
      <w:pPr>
        <w:ind w:firstLine="480"/>
        <w:pageBreakBefore w:val="0"/>
        <w:spacing w:line="360" w:lineRule="auto"/>
        <w:rPr>
          <w:sz w:val="24"/>
          <w:szCs w:val="24"/>
          <w:highlight w:val="none"/>
        </w:rPr>
      </w:pPr>
      <w:r>
        <w:rPr>
          <w:rFonts w:hint="eastAsia"/>
          <w:sz w:val="24"/>
          <w:szCs w:val="24"/>
          <w:highlight w:val="none"/>
        </w:rPr>
        <w:t xml:space="preserve">上述声明真实有效，否则我方负全部责任。</w:t>
      </w:r>
      <w:r/>
    </w:p>
    <w:p>
      <w:pPr>
        <w:pageBreakBefore w:val="0"/>
        <w:spacing w:line="360" w:lineRule="auto"/>
        <w:rPr>
          <w:sz w:val="24"/>
          <w:szCs w:val="24"/>
          <w:highlight w:val="none"/>
        </w:rPr>
      </w:pPr>
      <w:r>
        <w:rPr>
          <w:sz w:val="24"/>
          <w:szCs w:val="24"/>
          <w:highlight w:val="none"/>
        </w:rPr>
      </w:r>
      <w:r/>
    </w:p>
    <w:p>
      <w:pPr>
        <w:jc w:val="right"/>
        <w:pageBreakBefore w:val="0"/>
        <w:spacing w:before="25" w:after="25" w:line="360" w:lineRule="auto"/>
        <w:rPr>
          <w:color w:val="000000"/>
          <w:sz w:val="24"/>
          <w:szCs w:val="24"/>
          <w:highlight w:val="none"/>
        </w:rPr>
      </w:pPr>
      <w:r>
        <w:rPr>
          <w:rFonts w:hint="eastAsia"/>
          <w:color w:val="000000"/>
          <w:sz w:val="24"/>
          <w:szCs w:val="24"/>
          <w:highlight w:val="none"/>
          <w:lang w:val="en-US" w:eastAsia="zh-CN"/>
        </w:rPr>
        <w:t xml:space="preserve">投标人</w:t>
      </w:r>
      <w:r>
        <w:rPr>
          <w:rFonts w:hint="eastAsia"/>
          <w:color w:val="000000"/>
          <w:sz w:val="24"/>
          <w:szCs w:val="24"/>
          <w:highlight w:val="none"/>
        </w:rPr>
        <w:t xml:space="preserve">名称（加盖公章）：</w:t>
      </w:r>
      <w:r>
        <w:rPr>
          <w:rFonts w:hint="eastAsia"/>
          <w:color w:val="000000"/>
          <w:sz w:val="24"/>
          <w:szCs w:val="24"/>
          <w:highlight w:val="none"/>
          <w:u w:val="single"/>
        </w:rPr>
        <w:t xml:space="preserve">            </w:t>
      </w:r>
      <w:r>
        <w:rPr>
          <w:rFonts w:hint="eastAsia"/>
          <w:color w:val="000000"/>
          <w:sz w:val="24"/>
          <w:szCs w:val="24"/>
          <w:highlight w:val="none"/>
        </w:rPr>
        <w:t xml:space="preserve"> </w:t>
      </w:r>
      <w:r/>
    </w:p>
    <w:p>
      <w:pPr>
        <w:ind w:right="360" w:firstLine="480"/>
        <w:jc w:val="right"/>
        <w:pageBreakBefore w:val="0"/>
        <w:spacing w:line="360" w:lineRule="auto"/>
        <w:rPr>
          <w:color w:val="000000"/>
          <w:sz w:val="24"/>
          <w:szCs w:val="24"/>
          <w:highlight w:val="none"/>
        </w:rPr>
      </w:pPr>
      <w:r>
        <w:rPr>
          <w:rFonts w:hint="eastAsia"/>
          <w:color w:val="000000"/>
          <w:sz w:val="24"/>
          <w:szCs w:val="24"/>
          <w:highlight w:val="none"/>
        </w:rPr>
        <w:t xml:space="preserve">日期：</w:t>
      </w:r>
      <w:r>
        <w:rPr>
          <w:rFonts w:hint="eastAsia"/>
          <w:color w:val="000000"/>
          <w:sz w:val="24"/>
          <w:szCs w:val="24"/>
          <w:highlight w:val="none"/>
          <w:u w:val="single"/>
        </w:rPr>
        <w:t xml:space="preserve"> </w:t>
      </w:r>
      <w:r>
        <w:rPr>
          <w:color w:val="000000"/>
          <w:sz w:val="24"/>
          <w:szCs w:val="24"/>
          <w:highlight w:val="none"/>
          <w:u w:val="single"/>
        </w:rPr>
        <w:t xml:space="preserve">  </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w:t>
      </w:r>
      <w:r/>
    </w:p>
    <w:p>
      <w:pPr>
        <w:jc w:val="right"/>
        <w:pageBreakBefore w:val="0"/>
        <w:spacing w:before="25" w:after="25" w:line="360" w:lineRule="auto"/>
        <w:rPr>
          <w:color w:val="000000"/>
          <w:sz w:val="24"/>
          <w:szCs w:val="24"/>
          <w:highlight w:val="none"/>
        </w:rPr>
      </w:pPr>
      <w:r>
        <w:rPr>
          <w:color w:val="000000"/>
          <w:sz w:val="24"/>
          <w:szCs w:val="24"/>
          <w:highlight w:val="none"/>
        </w:rPr>
      </w:r>
      <w:r/>
    </w:p>
    <w:p>
      <w:pPr>
        <w:pageBreakBefore w:val="0"/>
        <w:spacing w:line="360" w:lineRule="auto"/>
        <w:rPr>
          <w:sz w:val="24"/>
          <w:szCs w:val="24"/>
          <w:highlight w:val="none"/>
        </w:rPr>
      </w:pPr>
      <w:r>
        <w:rPr>
          <w:rFonts w:hint="eastAsia"/>
          <w:sz w:val="24"/>
          <w:szCs w:val="24"/>
          <w:highlight w:val="none"/>
        </w:rPr>
        <w:t xml:space="preserve">说明：</w:t>
      </w:r>
      <w:r>
        <w:rPr>
          <w:rFonts w:hint="eastAsia"/>
          <w:sz w:val="24"/>
          <w:szCs w:val="24"/>
          <w:highlight w:val="none"/>
          <w:lang w:val="en-US" w:eastAsia="zh-CN"/>
        </w:rPr>
        <w:t xml:space="preserve">投标人</w:t>
      </w:r>
      <w:r>
        <w:rPr>
          <w:rFonts w:hint="eastAsia"/>
          <w:sz w:val="24"/>
          <w:szCs w:val="24"/>
          <w:highlight w:val="none"/>
        </w:rPr>
        <w:t xml:space="preserve">承诺不实的，依据《</w:t>
      </w:r>
      <w:r>
        <w:rPr>
          <w:rFonts w:hint="eastAsia" w:ascii="宋体" w:hAnsi="宋体" w:cs="宋体"/>
          <w:sz w:val="24"/>
          <w:szCs w:val="24"/>
          <w:highlight w:val="none"/>
        </w:rPr>
        <w:t xml:space="preserve">中华人民共和国政府采购法</w:t>
      </w:r>
      <w:r>
        <w:rPr>
          <w:rFonts w:hint="eastAsia"/>
          <w:sz w:val="24"/>
          <w:szCs w:val="24"/>
          <w:highlight w:val="none"/>
        </w:rPr>
        <w:t xml:space="preserve">》第七十七条“提供虚假材料谋取中标、成交的”有关规定予以处理。</w:t>
      </w:r>
      <w:r/>
    </w:p>
    <w:p>
      <w:pPr>
        <w:contextualSpacing/>
        <w:ind w:firstLine="480"/>
        <w:pageBreakBefore w:val="0"/>
        <w:spacing w:line="360" w:lineRule="auto"/>
        <w:rPr>
          <w:rFonts w:ascii="宋体" w:hAnsi="宋体"/>
          <w:bCs/>
          <w:sz w:val="24"/>
          <w:szCs w:val="24"/>
          <w:highlight w:val="none"/>
        </w:rPr>
      </w:pPr>
      <w:r>
        <w:rPr>
          <w:rFonts w:ascii="宋体" w:hAnsi="宋体"/>
          <w:bCs/>
          <w:sz w:val="24"/>
          <w:szCs w:val="24"/>
          <w:highlight w:val="none"/>
        </w:rPr>
      </w:r>
      <w:r/>
    </w:p>
    <w:p>
      <w:pPr>
        <w:contextualSpacing/>
        <w:ind w:firstLine="480"/>
        <w:pageBreakBefore w:val="0"/>
        <w:spacing w:line="360" w:lineRule="auto"/>
        <w:rPr>
          <w:rFonts w:ascii="宋体" w:hAnsi="宋体"/>
          <w:bCs/>
          <w:sz w:val="24"/>
          <w:szCs w:val="24"/>
          <w:highlight w:val="none"/>
        </w:rPr>
      </w:pPr>
      <w:r>
        <w:rPr>
          <w:rFonts w:ascii="宋体" w:hAnsi="宋体"/>
          <w:bCs/>
          <w:sz w:val="24"/>
          <w:szCs w:val="24"/>
          <w:highlight w:val="none"/>
        </w:rPr>
      </w:r>
      <w:r/>
    </w:p>
    <w:p>
      <w:pPr>
        <w:pStyle w:val="1138"/>
        <w:jc w:val="right"/>
        <w:spacing w:before="0" w:after="0" w:line="360" w:lineRule="auto"/>
        <w:rPr>
          <w:rFonts w:ascii="宋体" w:hAnsi="宋体"/>
          <w:color w:val="auto"/>
          <w:sz w:val="24"/>
          <w:szCs w:val="24"/>
          <w:highlight w:val="none"/>
        </w:rPr>
      </w:pPr>
      <w:r>
        <w:rPr>
          <w:rFonts w:ascii="宋体" w:hAnsi="宋体"/>
          <w:color w:val="auto"/>
          <w:sz w:val="24"/>
          <w:szCs w:val="24"/>
          <w:highlight w:val="none"/>
        </w:rPr>
        <w:t xml:space="preserve">                   </w:t>
      </w:r>
      <w:r/>
    </w:p>
    <w:p>
      <w:pPr>
        <w:pStyle w:val="1137"/>
        <w:ind w:left="0" w:firstLine="0"/>
        <w:jc w:val="both"/>
        <w:spacing w:line="360" w:lineRule="auto"/>
        <w:rPr>
          <w:rFonts w:hint="eastAsia" w:ascii="宋体" w:hAnsi="宋体" w:cs="宋体"/>
          <w:color w:val="auto"/>
          <w:sz w:val="24"/>
          <w:szCs w:val="24"/>
          <w:highlight w:val="none"/>
          <w:lang w:val="en-US" w:eastAsia="zh-CN"/>
        </w:rPr>
      </w:pPr>
      <w:r/>
      <w:bookmarkStart w:id="45" w:name="_Toc481072027"/>
      <w:r/>
      <w:bookmarkStart w:id="46" w:name="_Toc475009311"/>
      <w:r/>
      <w:bookmarkStart w:id="47" w:name="_Toc481071981"/>
      <w:r/>
      <w:bookmarkStart w:id="48" w:name="_Toc496184265"/>
      <w:r/>
      <w:bookmarkStart w:id="49" w:name="_Toc496188859"/>
      <w:r/>
      <w:bookmarkStart w:id="50" w:name="_Toc496079296"/>
      <w:r>
        <w:rPr>
          <w:rFonts w:ascii="宋体" w:hAnsi="宋体" w:cs="宋体"/>
          <w:color w:val="auto"/>
          <w:sz w:val="24"/>
          <w:szCs w:val="24"/>
          <w:highlight w:val="none"/>
        </w:rPr>
        <w:br w:type="page" w:clear="all"/>
      </w:r>
      <w:r>
        <w:rPr>
          <w:rFonts w:hint="eastAsia" w:ascii="宋体" w:hAnsi="宋体" w:cs="宋体"/>
          <w:b/>
          <w:bCs w:val="0"/>
          <w:color w:val="auto"/>
          <w:sz w:val="24"/>
          <w:szCs w:val="24"/>
          <w:highlight w:val="none"/>
        </w:rPr>
        <w:t xml:space="preserve">附件</w:t>
      </w:r>
      <w:bookmarkEnd w:id="45"/>
      <w:r/>
      <w:bookmarkEnd w:id="46"/>
      <w:r/>
      <w:bookmarkEnd w:id="47"/>
      <w:r/>
      <w:bookmarkEnd w:id="48"/>
      <w:r/>
      <w:bookmarkEnd w:id="49"/>
      <w:r/>
      <w:bookmarkEnd w:id="50"/>
      <w:r>
        <w:rPr>
          <w:rFonts w:hint="eastAsia" w:ascii="宋体" w:hAnsi="宋体" w:cs="宋体"/>
          <w:b/>
          <w:bCs w:val="0"/>
          <w:color w:val="auto"/>
          <w:sz w:val="24"/>
          <w:szCs w:val="24"/>
          <w:highlight w:val="none"/>
          <w:lang w:val="en-US" w:eastAsia="zh-CN"/>
        </w:rPr>
        <w:t xml:space="preserve">6：</w:t>
      </w:r>
      <w:r/>
    </w:p>
    <w:p>
      <w:pPr>
        <w:pStyle w:val="1137"/>
        <w:ind w:left="0"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技术</w:t>
      </w:r>
      <w:r>
        <w:rPr>
          <w:rFonts w:hint="eastAsia" w:ascii="宋体" w:hAnsi="宋体" w:eastAsia="宋体" w:cs="宋体"/>
          <w:b/>
          <w:color w:val="auto"/>
          <w:sz w:val="24"/>
          <w:szCs w:val="24"/>
          <w:highlight w:val="none"/>
        </w:rPr>
        <w:t xml:space="preserve">条款响应及偏离表</w:t>
      </w:r>
      <w:r/>
    </w:p>
    <w:tbl>
      <w:tblPr>
        <w:tblStyle w:val="11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852"/>
        <w:gridCol w:w="2535"/>
        <w:gridCol w:w="1134"/>
        <w:gridCol w:w="1347"/>
      </w:tblGrid>
      <w:tr>
        <w:trPr>
          <w:cantSplit/>
          <w:trHeight w:val="509"/>
        </w:trPr>
        <w:tc>
          <w:tcPr>
            <w:tcW w:w="675"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852"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pacing w:val="15"/>
                <w:sz w:val="24"/>
                <w:highlight w:val="none"/>
              </w:rPr>
              <w:t xml:space="preserve">招标文件要求</w:t>
            </w:r>
            <w:r/>
          </w:p>
        </w:tc>
        <w:tc>
          <w:tcPr>
            <w:tcW w:w="2535" w:type="dxa"/>
            <w:vAlign w:val="center"/>
            <w:textDirection w:val="lrTb"/>
            <w:noWrap w:val="false"/>
          </w:tcPr>
          <w:p>
            <w:pPr>
              <w:ind w:firstLine="135"/>
              <w:jc w:val="center"/>
              <w:spacing w:line="360" w:lineRule="auto"/>
              <w:rPr>
                <w:rFonts w:hint="eastAsia" w:ascii="宋体" w:hAnsi="宋体" w:cs="宋体"/>
                <w:color w:val="auto"/>
                <w:sz w:val="24"/>
                <w:highlight w:val="none"/>
              </w:rPr>
            </w:pPr>
            <w:r>
              <w:rPr>
                <w:rFonts w:hint="eastAsia" w:ascii="宋体" w:hAnsi="宋体" w:cs="宋体"/>
                <w:color w:val="auto"/>
                <w:spacing w:val="15"/>
                <w:sz w:val="24"/>
                <w:highlight w:val="none"/>
              </w:rPr>
              <w:t xml:space="preserve">投标文件响应</w:t>
            </w:r>
            <w:r/>
          </w:p>
        </w:tc>
        <w:tc>
          <w:tcPr>
            <w:tcW w:w="1134"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超出、</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符合或偏离</w:t>
            </w:r>
            <w:r/>
          </w:p>
        </w:tc>
        <w:tc>
          <w:tcPr>
            <w:tcW w:w="1347"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trHeight w:val="640"/>
        </w:trPr>
        <w:tc>
          <w:tcPr>
            <w:tcW w:w="675"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852"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4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675"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852"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4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675"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852"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4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675"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852"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4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675"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852"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4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675"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852"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4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675"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852"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4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640"/>
        </w:trPr>
        <w:tc>
          <w:tcPr>
            <w:tcW w:w="675"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852"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2535"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W w:w="1347" w:type="dxa"/>
            <w:vAlign w:val="top"/>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pStyle w:val="1122"/>
        <w:ind w:left="15" w:hanging="12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r>
      <w:r/>
    </w:p>
    <w:p>
      <w:pPr>
        <w:pStyle w:val="1122"/>
        <w:ind w:left="15" w:hanging="12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投标人</w:t>
      </w:r>
      <w:r>
        <w:rPr>
          <w:rFonts w:hint="eastAsia" w:ascii="宋体" w:hAnsi="宋体" w:cs="宋体"/>
          <w:color w:val="auto"/>
          <w:szCs w:val="24"/>
          <w:highlight w:val="none"/>
        </w:rPr>
        <w:t xml:space="preserve">名称（公章）：</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w:t>
      </w:r>
      <w:r/>
    </w:p>
    <w:p>
      <w:pPr>
        <w:pStyle w:val="1122"/>
        <w:ind w:left="15" w:hanging="120"/>
        <w:spacing w:line="360" w:lineRule="auto"/>
        <w:rPr>
          <w:rFonts w:hint="eastAsia" w:ascii="宋体" w:hAnsi="宋体" w:cs="宋体"/>
          <w:color w:val="auto"/>
          <w:szCs w:val="24"/>
          <w:highlight w:val="none"/>
        </w:rPr>
      </w:pPr>
      <w:r>
        <w:rPr>
          <w:rFonts w:hint="eastAsia" w:ascii="宋体" w:hAnsi="宋体" w:cs="宋体"/>
          <w:color w:val="auto"/>
          <w:szCs w:val="24"/>
          <w:highlight w:val="none"/>
        </w:rPr>
      </w:r>
      <w:r/>
    </w:p>
    <w:p>
      <w:pPr>
        <w:ind w:hanging="315"/>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填写说明：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按照基本技术要求详细填列；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行数不够，可自行添加。</w:t>
      </w:r>
      <w:r/>
    </w:p>
    <w:p>
      <w:pPr>
        <w:pStyle w:val="1139"/>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139"/>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122"/>
        <w:ind w:firstLine="480"/>
        <w:spacing w:line="360" w:lineRule="auto"/>
        <w:rPr>
          <w:rFonts w:hint="eastAsia" w:ascii="宋体" w:hAnsi="宋体"/>
          <w:color w:val="auto"/>
          <w:szCs w:val="24"/>
          <w:highlight w:val="none"/>
        </w:rPr>
      </w:pPr>
      <w:r>
        <w:rPr>
          <w:rFonts w:hint="eastAsia" w:ascii="宋体" w:hAnsi="宋体"/>
          <w:color w:val="auto"/>
          <w:szCs w:val="24"/>
          <w:highlight w:val="none"/>
        </w:rPr>
      </w:r>
      <w:r/>
    </w:p>
    <w:p>
      <w:pPr>
        <w:pStyle w:val="1122"/>
        <w:ind w:firstLine="480"/>
        <w:spacing w:line="360" w:lineRule="auto"/>
        <w:rPr>
          <w:rFonts w:hint="eastAsia" w:ascii="宋体" w:hAnsi="宋体"/>
          <w:color w:val="auto"/>
          <w:szCs w:val="24"/>
          <w:highlight w:val="none"/>
        </w:rPr>
      </w:pPr>
      <w:r>
        <w:rPr>
          <w:rFonts w:hint="eastAsia" w:ascii="宋体" w:hAnsi="宋体"/>
          <w:color w:val="auto"/>
          <w:szCs w:val="24"/>
          <w:highlight w:val="none"/>
        </w:rPr>
      </w:r>
      <w:r/>
    </w:p>
    <w:p>
      <w:pPr>
        <w:pStyle w:val="1122"/>
        <w:ind w:firstLine="480"/>
        <w:spacing w:line="360" w:lineRule="auto"/>
        <w:rPr>
          <w:rFonts w:hint="eastAsia" w:ascii="宋体" w:hAnsi="宋体"/>
          <w:color w:val="auto"/>
          <w:szCs w:val="24"/>
          <w:highlight w:val="none"/>
        </w:rPr>
      </w:pPr>
      <w:r>
        <w:rPr>
          <w:rFonts w:hint="eastAsia" w:ascii="宋体" w:hAnsi="宋体"/>
          <w:color w:val="auto"/>
          <w:szCs w:val="24"/>
          <w:highlight w:val="none"/>
        </w:rPr>
      </w:r>
      <w:r/>
    </w:p>
    <w:p>
      <w:pPr>
        <w:pStyle w:val="1137"/>
        <w:ind w:left="0" w:firstLine="0"/>
        <w:jc w:val="center"/>
        <w:spacing w:line="360" w:lineRule="auto"/>
        <w:rPr>
          <w:rFonts w:hint="eastAsia" w:ascii="宋体" w:hAnsi="宋体" w:eastAsia="宋体" w:cs="宋体"/>
          <w:b/>
          <w:color w:val="auto"/>
          <w:sz w:val="24"/>
          <w:szCs w:val="24"/>
          <w:highlight w:val="none"/>
        </w:rPr>
      </w:pPr>
      <w:r/>
      <w:bookmarkStart w:id="51" w:name="_Toc15683"/>
      <w:r/>
      <w:bookmarkStart w:id="52" w:name="_Toc20755"/>
      <w:r/>
      <w:bookmarkStart w:id="53" w:name="_Toc528398513"/>
      <w:r>
        <w:rPr>
          <w:rFonts w:hint="eastAsia" w:ascii="宋体" w:hAnsi="宋体" w:eastAsia="宋体" w:cs="宋体"/>
          <w:b/>
          <w:color w:val="auto"/>
          <w:sz w:val="24"/>
          <w:szCs w:val="24"/>
          <w:highlight w:val="none"/>
        </w:rPr>
        <w:t xml:space="preserve">商务条款响应及偏离表</w:t>
      </w:r>
      <w:bookmarkEnd w:id="51"/>
      <w:r/>
      <w:bookmarkEnd w:id="52"/>
      <w:r/>
      <w:r/>
    </w:p>
    <w:tbl>
      <w:tblPr>
        <w:tblStyle w:val="112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235"/>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56" w:line="360" w:lineRule="auto"/>
              <w:rPr>
                <w:color w:val="auto"/>
                <w:szCs w:val="21"/>
                <w:highlight w:val="none"/>
              </w:rPr>
            </w:pPr>
            <w:r>
              <w:rPr>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56" w:line="360" w:lineRule="auto"/>
              <w:rPr>
                <w:color w:val="auto"/>
                <w:szCs w:val="21"/>
                <w:highlight w:val="none"/>
              </w:rPr>
            </w:pPr>
            <w:r>
              <w:rPr>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before="156" w:line="360" w:lineRule="auto"/>
              <w:rPr>
                <w:color w:val="auto"/>
                <w:szCs w:val="21"/>
                <w:highlight w:val="none"/>
              </w:rPr>
            </w:pPr>
            <w:r>
              <w:rPr>
                <w:color w:val="auto"/>
                <w:szCs w:val="21"/>
                <w:highlight w:val="none"/>
              </w:rPr>
              <w:t xml:space="preserve">招标要求</w:t>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jc w:val="center"/>
              <w:spacing w:before="156" w:line="360" w:lineRule="auto"/>
              <w:rPr>
                <w:color w:val="auto"/>
                <w:szCs w:val="21"/>
                <w:highlight w:val="none"/>
              </w:rPr>
            </w:pPr>
            <w:r>
              <w:rPr>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1884" w:type="dxa"/>
            <w:vAlign w:val="top"/>
            <w:textDirection w:val="lrTb"/>
            <w:noWrap w:val="false"/>
          </w:tcPr>
          <w:p>
            <w:pPr>
              <w:jc w:val="center"/>
              <w:spacing w:before="156" w:line="360" w:lineRule="auto"/>
              <w:rPr>
                <w:color w:val="auto"/>
                <w:szCs w:val="21"/>
                <w:highlight w:val="none"/>
              </w:rPr>
            </w:pPr>
            <w:r>
              <w:rPr>
                <w:color w:val="auto"/>
                <w:szCs w:val="21"/>
                <w:highlight w:val="none"/>
              </w:rPr>
              <w:t xml:space="preserve">投标人的承诺或说明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56"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56"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合同履行期限</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56"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56"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服务地点</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56"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56"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付款方式</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56"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before="156" w:line="36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line="360" w:lineRule="auto"/>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auto"/>
                <w:szCs w:val="21"/>
                <w:highlight w:val="none"/>
              </w:rPr>
            </w:pPr>
            <w:r>
              <w:rPr>
                <w:color w:val="auto"/>
                <w:szCs w:val="21"/>
                <w:highlight w:val="none"/>
              </w:rPr>
            </w:r>
            <w:r/>
          </w:p>
        </w:tc>
      </w:tr>
    </w:tbl>
    <w:p>
      <w:pPr>
        <w:pStyle w:val="1122"/>
        <w:ind w:firstLine="480"/>
        <w:keepLines w:val="0"/>
        <w:keepNext w:val="0"/>
        <w:pageBreakBefore w:val="0"/>
        <w:spacing w:line="360" w:lineRule="auto"/>
        <w:widowControl w:val="off"/>
        <w:rPr>
          <w:rFonts w:hint="eastAsia"/>
          <w:color w:val="auto"/>
          <w:szCs w:val="21"/>
          <w:highlight w:val="none"/>
        </w:rPr>
      </w:pPr>
      <w:r>
        <w:rPr>
          <w:rFonts w:hint="eastAsia"/>
          <w:color w:val="auto"/>
          <w:szCs w:val="21"/>
          <w:highlight w:val="none"/>
        </w:rPr>
      </w:r>
      <w:r/>
    </w:p>
    <w:p>
      <w:pPr>
        <w:pStyle w:val="1122"/>
        <w:ind w:firstLine="480"/>
        <w:keepLines w:val="0"/>
        <w:keepNext w:val="0"/>
        <w:pageBreakBefore w:val="0"/>
        <w:spacing w:line="360" w:lineRule="auto"/>
        <w:widowControl w:val="off"/>
        <w:rPr>
          <w:rFonts w:hint="eastAsia"/>
          <w:color w:val="auto"/>
          <w:szCs w:val="21"/>
          <w:highlight w:val="none"/>
        </w:rPr>
      </w:pPr>
      <w:r>
        <w:rPr>
          <w:rFonts w:hint="eastAsia"/>
          <w:color w:val="auto"/>
          <w:szCs w:val="21"/>
          <w:highlight w:val="none"/>
        </w:rPr>
        <w:t xml:space="preserve">投标人名称（公章）：   </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w:t>
      </w:r>
      <w:r>
        <w:rPr>
          <w:rFonts w:hint="eastAsia"/>
          <w:color w:val="auto"/>
          <w:szCs w:val="21"/>
          <w:highlight w:val="none"/>
        </w:rPr>
        <w:t xml:space="preserve">                   </w:t>
      </w:r>
      <w:r/>
    </w:p>
    <w:p>
      <w:pPr>
        <w:pStyle w:val="1122"/>
        <w:ind w:firstLine="480"/>
        <w:keepLines w:val="0"/>
        <w:keepNext w:val="0"/>
        <w:pageBreakBefore w:val="0"/>
        <w:spacing w:line="360" w:lineRule="auto"/>
        <w:widowControl w:val="off"/>
        <w:rPr>
          <w:rFonts w:hint="eastAsia"/>
          <w:color w:val="auto"/>
          <w:szCs w:val="21"/>
          <w:highlight w:val="none"/>
        </w:rPr>
      </w:pPr>
      <w:r>
        <w:rPr>
          <w:rFonts w:hint="eastAsia"/>
          <w:color w:val="auto"/>
          <w:szCs w:val="21"/>
          <w:highlight w:val="none"/>
        </w:rPr>
      </w:r>
      <w:r/>
    </w:p>
    <w:p>
      <w:pPr>
        <w:ind w:hanging="315"/>
        <w:spacing w:line="360" w:lineRule="auto"/>
        <w:rPr>
          <w:color w:val="auto"/>
          <w:szCs w:val="21"/>
          <w:highlight w:val="none"/>
        </w:rPr>
      </w:pPr>
      <w:r>
        <w:rPr>
          <w:color w:val="auto"/>
          <w:szCs w:val="21"/>
          <w:highlight w:val="none"/>
        </w:rPr>
        <w:t xml:space="preserve">                                           </w:t>
      </w:r>
      <w:r>
        <w:rPr>
          <w:rFonts w:hint="eastAsia"/>
          <w:color w:val="auto"/>
          <w:szCs w:val="21"/>
          <w:highlight w:val="none"/>
          <w:lang w:val="en-US" w:eastAsia="zh-CN"/>
        </w:rPr>
        <w:t xml:space="preserve">                   </w:t>
      </w:r>
      <w:r>
        <w:rPr>
          <w:color w:val="auto"/>
          <w:szCs w:val="21"/>
          <w:highlight w:val="none"/>
        </w:rPr>
        <w:t xml:space="preserve">日期： </w:t>
      </w:r>
      <w:r>
        <w:rPr>
          <w:rFonts w:hint="eastAsia"/>
          <w:color w:val="auto"/>
          <w:szCs w:val="21"/>
          <w:highlight w:val="none"/>
          <w:lang w:val="en-US" w:eastAsia="zh-CN"/>
        </w:rPr>
        <w:t xml:space="preserve">   </w:t>
      </w:r>
      <w:r>
        <w:rPr>
          <w:color w:val="auto"/>
          <w:szCs w:val="21"/>
          <w:highlight w:val="none"/>
        </w:rPr>
        <w:t xml:space="preserve">年</w:t>
      </w:r>
      <w:r>
        <w:rPr>
          <w:rFonts w:hint="eastAsia"/>
          <w:color w:val="auto"/>
          <w:szCs w:val="21"/>
          <w:highlight w:val="none"/>
          <w:lang w:val="en-US" w:eastAsia="zh-CN"/>
        </w:rPr>
        <w:t xml:space="preserve">  </w:t>
      </w:r>
      <w:r>
        <w:rPr>
          <w:color w:val="auto"/>
          <w:szCs w:val="21"/>
          <w:highlight w:val="none"/>
        </w:rPr>
        <w:t xml:space="preserve">月</w:t>
      </w:r>
      <w:r>
        <w:rPr>
          <w:rFonts w:hint="eastAsia"/>
          <w:color w:val="auto"/>
          <w:szCs w:val="21"/>
          <w:highlight w:val="none"/>
          <w:lang w:val="en-US" w:eastAsia="zh-CN"/>
        </w:rPr>
        <w:t xml:space="preserve">   </w:t>
      </w:r>
      <w:r>
        <w:rPr>
          <w:color w:val="auto"/>
          <w:szCs w:val="21"/>
          <w:highlight w:val="none"/>
        </w:rPr>
        <w:t xml:space="preserve">日</w:t>
      </w:r>
      <w:r/>
    </w:p>
    <w:p>
      <w:pPr>
        <w:spacing w:line="360" w:lineRule="auto"/>
        <w:rPr>
          <w:rFonts w:hint="eastAsia" w:ascii="宋体" w:hAnsi="宋体" w:cs="宋体"/>
          <w:b/>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w:t>
      </w:r>
      <w:bookmarkEnd w:id="53"/>
      <w:r/>
      <w:r/>
    </w:p>
    <w:p>
      <w:pPr>
        <w:ind w:firstLine="482"/>
        <w:jc w:val="center"/>
        <w:spacing w:line="360" w:lineRule="auto"/>
        <w:widowControl/>
        <w:rPr>
          <w:rFonts w:ascii="宋体" w:hAnsi="宋体" w:cs="宋体"/>
          <w:b/>
          <w:sz w:val="24"/>
          <w:szCs w:val="24"/>
          <w:highlight w:val="none"/>
        </w:rPr>
      </w:pPr>
      <w:r>
        <w:rPr>
          <w:rFonts w:hint="eastAsia" w:ascii="宋体" w:hAnsi="宋体" w:cs="宋体"/>
          <w:b/>
          <w:sz w:val="24"/>
          <w:szCs w:val="24"/>
          <w:highlight w:val="none"/>
        </w:rPr>
        <w:t xml:space="preserve">中小企业声明函</w:t>
      </w:r>
      <w:r/>
    </w:p>
    <w:p>
      <w:pPr>
        <w:contextualSpacing/>
        <w:ind w:firstLine="480"/>
        <w:spacing w:line="360" w:lineRule="auto"/>
        <w:rPr>
          <w:rFonts w:ascii="宋体" w:hAnsi="宋体" w:cs="宋体"/>
          <w:sz w:val="24"/>
          <w:szCs w:val="24"/>
          <w:highlight w:val="none"/>
          <w:lang w:val="zh-CN"/>
        </w:rPr>
      </w:pPr>
      <w:r>
        <w:rPr>
          <w:rFonts w:hint="eastAsia" w:ascii="宋体" w:hAnsi="宋体" w:cs="宋体"/>
          <w:sz w:val="24"/>
          <w:szCs w:val="24"/>
          <w:highlight w:val="none"/>
          <w:lang w:val="zh-CN"/>
        </w:rPr>
        <w:t xml:space="preserve">本公司郑重声明，根据《政府采购促进中小企业发展</w:t>
      </w:r>
      <w:r>
        <w:rPr>
          <w:rFonts w:hint="eastAsia" w:ascii="宋体" w:hAnsi="宋体" w:cs="宋体"/>
          <w:sz w:val="24"/>
          <w:szCs w:val="24"/>
          <w:highlight w:val="none"/>
        </w:rPr>
        <w:t xml:space="preserve">管理</w:t>
      </w:r>
      <w:r>
        <w:rPr>
          <w:rFonts w:hint="eastAsia" w:ascii="宋体" w:hAnsi="宋体" w:cs="宋体"/>
          <w:sz w:val="24"/>
          <w:szCs w:val="24"/>
          <w:highlight w:val="none"/>
          <w:lang w:val="zh-CN"/>
        </w:rPr>
        <w:t xml:space="preserve">办法》（财库[20</w:t>
      </w:r>
      <w:r>
        <w:rPr>
          <w:rFonts w:hint="eastAsia" w:ascii="宋体" w:hAnsi="宋体" w:cs="宋体"/>
          <w:sz w:val="24"/>
          <w:szCs w:val="24"/>
          <w:highlight w:val="none"/>
        </w:rPr>
        <w:t xml:space="preserve">20</w:t>
      </w: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46</w:t>
      </w:r>
      <w:r>
        <w:rPr>
          <w:rFonts w:hint="eastAsia" w:ascii="宋体" w:hAnsi="宋体" w:cs="宋体"/>
          <w:sz w:val="24"/>
          <w:szCs w:val="24"/>
          <w:highlight w:val="none"/>
          <w:lang w:val="zh-CN"/>
        </w:rPr>
        <w:t xml:space="preserve">号）的规定，本公司</w:t>
      </w:r>
      <w:r>
        <w:rPr>
          <w:rFonts w:hint="eastAsia" w:ascii="宋体" w:hAnsi="宋体" w:cs="宋体"/>
          <w:sz w:val="24"/>
          <w:szCs w:val="24"/>
          <w:highlight w:val="none"/>
        </w:rPr>
        <w:t xml:space="preserve">参加（单位名称）的（项目名称）采购活动，提供的货物全部由符合政策要求的中小企业制造。相关企业的具体情况如下：</w:t>
      </w:r>
      <w:r/>
    </w:p>
    <w:p>
      <w:pPr>
        <w:contextualSpacing/>
        <w:ind w:firstLine="48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（标的名称）</w:t>
      </w:r>
      <w:r>
        <w:rPr>
          <w:rFonts w:hint="eastAsia" w:ascii="宋体" w:hAnsi="宋体" w:cs="宋体"/>
          <w:sz w:val="24"/>
          <w:szCs w:val="24"/>
          <w:highlight w:val="none"/>
        </w:rPr>
        <w:t xml:space="preserve">，属于</w:t>
      </w:r>
      <w:r>
        <w:rPr>
          <w:rFonts w:hint="eastAsia" w:ascii="宋体" w:hAnsi="宋体" w:cs="宋体"/>
          <w:i/>
          <w:sz w:val="24"/>
          <w:szCs w:val="24"/>
          <w:highlight w:val="none"/>
          <w:u w:val="single"/>
          <w:lang w:val="en-US" w:eastAsia="zh-CN"/>
        </w:rPr>
        <w:t xml:space="preserve">制造业</w:t>
      </w:r>
      <w:r>
        <w:rPr>
          <w:rFonts w:hint="eastAsia" w:ascii="宋体" w:hAnsi="宋体" w:cs="宋体"/>
          <w:sz w:val="24"/>
          <w:szCs w:val="24"/>
          <w:highlight w:val="none"/>
        </w:rPr>
        <w:t xml:space="preserve">（行业）；制造商为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万元，属于企业</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（中型企业、小型企业、微型企业）。</w:t>
      </w:r>
      <w:r/>
    </w:p>
    <w:p>
      <w:pPr>
        <w:contextualSpacing/>
        <w:ind w:firstLine="48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2.（标的名称），属于（行业）；制造商为，从业人员人，营业收入为万元，资产总额为万元，属于企业（中型企业、小型企业、微型企业）。</w:t>
      </w:r>
      <w:r/>
    </w:p>
    <w:p>
      <w:pPr>
        <w:contextualSpacing/>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p>
    <w:p>
      <w:pPr>
        <w:contextualSpacing/>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以上企业，不属于大型企业的分支机构，不存在控股股东为大企业的情形，也不存在与大企业的负责人为同一人的情形。</w:t>
      </w:r>
      <w:r/>
    </w:p>
    <w:p>
      <w:pPr>
        <w:contextualSpacing/>
        <w:ind w:firstLine="482"/>
        <w:spacing w:line="360" w:lineRule="auto"/>
        <w:rPr>
          <w:rFonts w:ascii="宋体" w:hAnsi="宋体" w:cs="宋体"/>
          <w:b/>
          <w:bCs/>
          <w:sz w:val="24"/>
          <w:szCs w:val="24"/>
          <w:highlight w:val="none"/>
          <w:lang w:val="zh-CN"/>
        </w:rPr>
      </w:pPr>
      <w:r>
        <w:rPr>
          <w:rFonts w:hint="eastAsia" w:ascii="宋体" w:hAnsi="宋体" w:cs="宋体"/>
          <w:b/>
          <w:bCs/>
          <w:sz w:val="24"/>
          <w:szCs w:val="24"/>
          <w:highlight w:val="none"/>
          <w:lang w:val="zh-CN"/>
        </w:rPr>
        <w:t xml:space="preserve">本</w:t>
      </w:r>
      <w:r>
        <w:rPr>
          <w:rFonts w:hint="eastAsia" w:ascii="宋体" w:hAnsi="宋体" w:cs="宋体"/>
          <w:b/>
          <w:bCs/>
          <w:sz w:val="24"/>
          <w:szCs w:val="24"/>
          <w:highlight w:val="none"/>
        </w:rPr>
        <w:t xml:space="preserve">企业</w:t>
      </w:r>
      <w:r>
        <w:rPr>
          <w:rFonts w:hint="eastAsia" w:ascii="宋体" w:hAnsi="宋体" w:cs="宋体"/>
          <w:b/>
          <w:bCs/>
          <w:sz w:val="24"/>
          <w:szCs w:val="24"/>
          <w:highlight w:val="none"/>
          <w:lang w:val="zh-CN"/>
        </w:rPr>
        <w:t xml:space="preserve">对上述声明</w:t>
      </w:r>
      <w:r>
        <w:rPr>
          <w:rFonts w:hint="eastAsia" w:ascii="宋体" w:hAnsi="宋体" w:cs="宋体"/>
          <w:b/>
          <w:bCs/>
          <w:sz w:val="24"/>
          <w:szCs w:val="24"/>
          <w:highlight w:val="none"/>
        </w:rPr>
        <w:t xml:space="preserve">内容</w:t>
      </w:r>
      <w:r>
        <w:rPr>
          <w:rFonts w:hint="eastAsia" w:ascii="宋体" w:hAnsi="宋体" w:cs="宋体"/>
          <w:b/>
          <w:bCs/>
          <w:sz w:val="24"/>
          <w:szCs w:val="24"/>
          <w:highlight w:val="none"/>
          <w:lang w:val="zh-CN"/>
        </w:rPr>
        <w:t xml:space="preserve">的真实性负责。如有虚假，将依法承担相应责任。</w:t>
      </w:r>
      <w:r/>
    </w:p>
    <w:p>
      <w:pPr>
        <w:contextualSpacing/>
        <w:spacing w:line="360" w:lineRule="auto"/>
        <w:rPr>
          <w:rFonts w:ascii="宋体" w:hAnsi="宋体" w:cs="宋体"/>
          <w:bCs/>
          <w:sz w:val="24"/>
          <w:szCs w:val="24"/>
          <w:highlight w:val="none"/>
        </w:rPr>
      </w:pPr>
      <w:r>
        <w:rPr>
          <w:rFonts w:ascii="宋体" w:hAnsi="宋体" w:cs="宋体"/>
          <w:bCs/>
          <w:sz w:val="24"/>
          <w:szCs w:val="24"/>
          <w:highlight w:val="none"/>
        </w:rPr>
      </w:r>
      <w:r/>
    </w:p>
    <w:p>
      <w:pPr>
        <w:contextualSpacing/>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企业名称（盖章）：</w:t>
      </w:r>
      <w:r/>
    </w:p>
    <w:p>
      <w:pPr>
        <w:contextualSpacing/>
        <w:jc w:val="cente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日　　　　　　期：</w:t>
      </w:r>
      <w:r/>
    </w:p>
    <w:p>
      <w:pPr>
        <w:pStyle w:val="1128"/>
        <w:contextualSpacing/>
        <w:ind w:firstLine="482"/>
        <w:spacing w:line="360" w:lineRule="auto"/>
        <w:rPr>
          <w:rFonts w:hAnsi="宋体" w:cs="宋体"/>
          <w:b/>
          <w:sz w:val="24"/>
          <w:szCs w:val="24"/>
          <w:highlight w:val="none"/>
        </w:rPr>
      </w:pPr>
      <w:r>
        <w:rPr>
          <w:rFonts w:hint="eastAsia" w:hAnsi="宋体" w:cs="宋体"/>
          <w:b/>
          <w:sz w:val="24"/>
          <w:szCs w:val="24"/>
          <w:highlight w:val="none"/>
        </w:rPr>
        <w:t xml:space="preserve">备注：1.小型、微型企业提供中型企业的服务的，视同为中型企业。若供应商提供的《中小企业声明函》为虚假声明则视同提供虚假材料，按《政府采购法》相关规定处理并报请政府监督部门给予行政处罚。</w:t>
      </w:r>
      <w:r/>
    </w:p>
    <w:p>
      <w:pPr>
        <w:pStyle w:val="1128"/>
        <w:contextualSpacing/>
        <w:ind w:firstLine="482"/>
        <w:spacing w:line="360" w:lineRule="auto"/>
        <w:rPr>
          <w:rFonts w:hAnsi="宋体" w:cs="宋体"/>
          <w:b/>
          <w:sz w:val="24"/>
          <w:szCs w:val="24"/>
          <w:highlight w:val="none"/>
        </w:rPr>
      </w:pPr>
      <w:r>
        <w:rPr>
          <w:rFonts w:hint="eastAsia" w:hAnsi="宋体" w:cs="宋体"/>
          <w:b/>
          <w:sz w:val="24"/>
          <w:szCs w:val="24"/>
          <w:highlight w:val="none"/>
        </w:rPr>
        <w:t xml:space="preserve">2.从业人员、营业收入、资产总额填报上一年度数据，无上一年度数据的新成立企业可不填报。</w:t>
      </w:r>
      <w:r/>
    </w:p>
    <w:p>
      <w:pPr>
        <w:pStyle w:val="1128"/>
        <w:contextualSpacing/>
        <w:ind w:firstLine="482"/>
        <w:spacing w:line="360" w:lineRule="auto"/>
        <w:rPr>
          <w:rFonts w:hAnsi="宋体" w:cs="宋体"/>
          <w:b/>
          <w:sz w:val="24"/>
          <w:szCs w:val="24"/>
          <w:highlight w:val="none"/>
        </w:rPr>
      </w:pPr>
      <w:r>
        <w:rPr>
          <w:rFonts w:hint="eastAsia" w:hAnsi="宋体" w:cs="宋体"/>
          <w:b/>
          <w:sz w:val="24"/>
          <w:szCs w:val="24"/>
          <w:highlight w:val="none"/>
        </w:rPr>
        <w:t xml:space="preserve">3.参照《关于印发中小企业划型标准规定的通知》（工信部联企业[2011]300号）文件，本项目采购标的所属行业为工业。</w:t>
      </w:r>
      <w:r/>
    </w:p>
    <w:p>
      <w:pPr>
        <w:contextualSpacing/>
        <w:ind w:firstLine="643"/>
        <w:jc w:val="center"/>
        <w:spacing w:line="360" w:lineRule="auto"/>
        <w:rPr>
          <w:rFonts w:ascii="宋体" w:hAnsi="宋体" w:cs="宋体"/>
          <w:b/>
          <w:sz w:val="24"/>
          <w:szCs w:val="24"/>
          <w:highlight w:val="none"/>
        </w:rPr>
      </w:pPr>
      <w:r>
        <w:rPr>
          <w:rFonts w:ascii="宋体" w:hAnsi="宋体" w:cs="宋体"/>
          <w:b/>
          <w:sz w:val="24"/>
          <w:szCs w:val="24"/>
          <w:highlight w:val="none"/>
        </w:rPr>
      </w:r>
      <w:r/>
    </w:p>
    <w:p>
      <w:pPr>
        <w:contextualSpacing/>
        <w:ind w:firstLine="643"/>
        <w:jc w:val="center"/>
        <w:spacing w:line="360" w:lineRule="auto"/>
        <w:rPr>
          <w:rFonts w:ascii="宋体" w:hAnsi="宋体" w:cs="宋体"/>
          <w:b/>
          <w:sz w:val="24"/>
          <w:szCs w:val="24"/>
          <w:highlight w:val="none"/>
        </w:rPr>
      </w:pPr>
      <w:r>
        <w:rPr>
          <w:rFonts w:hint="eastAsia" w:ascii="宋体" w:hAnsi="宋体" w:cs="宋体"/>
          <w:b/>
          <w:sz w:val="24"/>
          <w:szCs w:val="24"/>
          <w:highlight w:val="none"/>
        </w:rPr>
        <w:t xml:space="preserve">残疾人福利性单位声明函</w:t>
      </w:r>
      <w:r/>
    </w:p>
    <w:p>
      <w:pPr>
        <w:contextualSpacing/>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本单位对上述声明的真实性负责。如有虚假，将依法承担相应责任。</w:t>
      </w:r>
      <w:r/>
    </w:p>
    <w:p>
      <w:pPr>
        <w:contextualSpacing/>
        <w:ind w:firstLine="643"/>
        <w:jc w:val="center"/>
        <w:spacing w:line="360" w:lineRule="auto"/>
        <w:rPr>
          <w:rFonts w:ascii="宋体" w:hAnsi="宋体" w:cs="宋体"/>
          <w:b/>
          <w:sz w:val="24"/>
          <w:szCs w:val="24"/>
          <w:highlight w:val="none"/>
        </w:rPr>
      </w:pPr>
      <w:r>
        <w:rPr>
          <w:rFonts w:ascii="宋体" w:hAnsi="宋体" w:cs="宋体"/>
          <w:b/>
          <w:sz w:val="24"/>
          <w:szCs w:val="24"/>
          <w:highlight w:val="none"/>
        </w:rPr>
      </w:r>
      <w:r/>
    </w:p>
    <w:p>
      <w:pPr>
        <w:contextualSpacing/>
        <w:ind w:firstLine="643"/>
        <w:jc w:val="center"/>
        <w:spacing w:line="360" w:lineRule="auto"/>
        <w:rPr>
          <w:rFonts w:ascii="宋体" w:hAnsi="宋体" w:cs="宋体"/>
          <w:b/>
          <w:sz w:val="24"/>
          <w:szCs w:val="24"/>
          <w:highlight w:val="none"/>
        </w:rPr>
      </w:pPr>
      <w:r>
        <w:rPr>
          <w:rFonts w:ascii="宋体" w:hAnsi="宋体" w:cs="宋体"/>
          <w:b/>
          <w:sz w:val="24"/>
          <w:szCs w:val="24"/>
          <w:highlight w:val="none"/>
        </w:rPr>
      </w:r>
      <w:r/>
    </w:p>
    <w:p>
      <w:pPr>
        <w:contextualSpacing/>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申请人名称：     （盖单位公章）</w:t>
      </w:r>
      <w:r/>
    </w:p>
    <w:p>
      <w:pPr>
        <w:pStyle w:val="1140"/>
        <w:contextualSpacing/>
        <w:rPr>
          <w:rFonts w:ascii="宋体" w:hAnsi="宋体" w:cs="宋体"/>
          <w:sz w:val="24"/>
          <w:szCs w:val="24"/>
          <w:highlight w:val="none"/>
        </w:rPr>
      </w:pPr>
      <w:r>
        <w:rPr>
          <w:rFonts w:ascii="宋体" w:hAnsi="宋体" w:cs="宋体"/>
          <w:sz w:val="24"/>
          <w:szCs w:val="24"/>
          <w:highlight w:val="none"/>
        </w:rPr>
      </w:r>
      <w:r/>
    </w:p>
    <w:p>
      <w:pPr>
        <w:contextualSpacing/>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日 期：    年     月     日</w:t>
      </w:r>
      <w:r/>
    </w:p>
    <w:p>
      <w:pPr>
        <w:contextualSpacing/>
        <w:ind w:firstLine="643"/>
        <w:jc w:val="center"/>
        <w:spacing w:line="360" w:lineRule="auto"/>
        <w:rPr>
          <w:rFonts w:ascii="宋体" w:hAnsi="宋体" w:cs="宋体"/>
          <w:b/>
          <w:sz w:val="24"/>
          <w:szCs w:val="24"/>
          <w:highlight w:val="none"/>
        </w:rPr>
      </w:pPr>
      <w:r>
        <w:rPr>
          <w:rFonts w:ascii="宋体" w:hAnsi="宋体" w:cs="宋体"/>
          <w:b/>
          <w:sz w:val="24"/>
          <w:szCs w:val="24"/>
          <w:highlight w:val="none"/>
        </w:rPr>
      </w:r>
      <w:r/>
    </w:p>
    <w:p>
      <w:pPr>
        <w:contextualSpacing/>
        <w:ind w:firstLine="643"/>
        <w:jc w:val="center"/>
        <w:spacing w:line="360" w:lineRule="auto"/>
        <w:rPr>
          <w:rFonts w:ascii="宋体" w:hAnsi="宋体" w:cs="宋体"/>
          <w:b/>
          <w:sz w:val="24"/>
          <w:szCs w:val="24"/>
          <w:highlight w:val="none"/>
        </w:rPr>
      </w:pPr>
      <w:r>
        <w:rPr>
          <w:rFonts w:ascii="宋体" w:hAnsi="宋体" w:cs="宋体"/>
          <w:b/>
          <w:sz w:val="24"/>
          <w:szCs w:val="24"/>
          <w:highlight w:val="none"/>
        </w:rPr>
      </w:r>
      <w:r/>
    </w:p>
    <w:p>
      <w:pPr>
        <w:contextualSpacing/>
        <w:ind w:firstLine="643"/>
        <w:jc w:val="center"/>
        <w:spacing w:line="360" w:lineRule="auto"/>
        <w:rPr>
          <w:rFonts w:ascii="宋体" w:hAnsi="宋体" w:cs="宋体"/>
          <w:b/>
          <w:sz w:val="24"/>
          <w:szCs w:val="24"/>
          <w:highlight w:val="none"/>
        </w:rPr>
      </w:pPr>
      <w:r>
        <w:rPr>
          <w:rFonts w:ascii="宋体" w:hAnsi="宋体" w:cs="宋体"/>
          <w:b/>
          <w:sz w:val="24"/>
          <w:szCs w:val="24"/>
          <w:highlight w:val="none"/>
        </w:rPr>
      </w:r>
      <w:r/>
    </w:p>
    <w:p>
      <w:pPr>
        <w:contextualSpacing/>
        <w:ind w:firstLine="643"/>
        <w:jc w:val="center"/>
        <w:spacing w:line="360" w:lineRule="auto"/>
        <w:rPr>
          <w:rFonts w:ascii="宋体" w:hAnsi="宋体" w:cs="宋体"/>
          <w:b/>
          <w:sz w:val="24"/>
          <w:szCs w:val="24"/>
          <w:highlight w:val="none"/>
        </w:rPr>
      </w:pPr>
      <w:r>
        <w:rPr>
          <w:rFonts w:ascii="宋体" w:hAnsi="宋体" w:cs="宋体"/>
          <w:b/>
          <w:sz w:val="24"/>
          <w:szCs w:val="24"/>
          <w:highlight w:val="none"/>
        </w:rPr>
      </w:r>
      <w:r/>
    </w:p>
    <w:p>
      <w:pPr>
        <w:contextualSpacing/>
        <w:ind w:firstLine="643"/>
        <w:jc w:val="center"/>
        <w:spacing w:line="360" w:lineRule="auto"/>
        <w:rPr>
          <w:rFonts w:ascii="宋体" w:hAnsi="宋体" w:cs="宋体"/>
          <w:b/>
          <w:sz w:val="24"/>
          <w:szCs w:val="24"/>
          <w:highlight w:val="none"/>
        </w:rPr>
      </w:pPr>
      <w:r>
        <w:rPr>
          <w:rFonts w:ascii="宋体" w:hAnsi="宋体" w:cs="宋体"/>
          <w:b/>
          <w:sz w:val="24"/>
          <w:szCs w:val="24"/>
          <w:highlight w:val="none"/>
        </w:rPr>
      </w:r>
      <w:r/>
    </w:p>
    <w:p>
      <w:pPr>
        <w:contextualSpacing/>
        <w:ind w:firstLine="643"/>
        <w:jc w:val="center"/>
        <w:spacing w:line="360" w:lineRule="auto"/>
        <w:rPr>
          <w:rFonts w:ascii="宋体" w:hAnsi="宋体" w:cs="宋体"/>
          <w:b/>
          <w:sz w:val="24"/>
          <w:szCs w:val="24"/>
          <w:highlight w:val="none"/>
        </w:rPr>
      </w:pPr>
      <w:r>
        <w:rPr>
          <w:rFonts w:ascii="宋体" w:hAnsi="宋体" w:cs="宋体"/>
          <w:b/>
          <w:sz w:val="24"/>
          <w:szCs w:val="24"/>
          <w:highlight w:val="none"/>
        </w:rPr>
      </w:r>
      <w:r/>
    </w:p>
    <w:p>
      <w:pPr>
        <w:contextualSpacing/>
        <w:ind w:firstLine="643"/>
        <w:jc w:val="center"/>
        <w:spacing w:line="360" w:lineRule="auto"/>
        <w:rPr>
          <w:rFonts w:ascii="宋体" w:hAnsi="宋体" w:cs="宋体"/>
          <w:b/>
          <w:sz w:val="24"/>
          <w:szCs w:val="24"/>
          <w:highlight w:val="none"/>
        </w:rPr>
      </w:pPr>
      <w:r>
        <w:rPr>
          <w:rFonts w:hint="eastAsia" w:ascii="宋体" w:hAnsi="宋体" w:cs="宋体"/>
          <w:b/>
          <w:sz w:val="24"/>
          <w:szCs w:val="24"/>
          <w:highlight w:val="none"/>
        </w:rPr>
        <w:t xml:space="preserve">监狱企业证明材料</w:t>
      </w:r>
      <w:r/>
    </w:p>
    <w:p>
      <w:pPr>
        <w:contextualSpacing/>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参加政府采购活动的监狱企业应当提供省级以上监狱管理局、戒毒管理局（含新疆生产建设兵团）出具的属于监狱企业的证明文件复印件加盖申请人公章。</w:t>
      </w:r>
      <w:r/>
    </w:p>
    <w:p>
      <w:pPr>
        <w:contextualSpacing/>
        <w:ind w:firstLine="643"/>
        <w:jc w:val="center"/>
        <w:spacing w:line="360" w:lineRule="auto"/>
        <w:rPr>
          <w:rFonts w:ascii="宋体" w:hAnsi="宋体" w:cs="宋体"/>
          <w:b/>
          <w:sz w:val="32"/>
          <w:szCs w:val="32"/>
          <w:highlight w:val="none"/>
        </w:rPr>
      </w:pPr>
      <w:r>
        <w:rPr>
          <w:rFonts w:ascii="宋体" w:hAnsi="宋体" w:cs="宋体"/>
          <w:b/>
          <w:sz w:val="32"/>
          <w:szCs w:val="32"/>
          <w:highlight w:val="none"/>
        </w:rPr>
      </w:r>
      <w:r/>
    </w:p>
    <w:p>
      <w:pPr>
        <w:pStyle w:val="1131"/>
        <w:contextualSpacing/>
        <w:ind w:firstLine="321"/>
        <w:spacing w:line="360" w:lineRule="auto"/>
        <w:rPr>
          <w:rFonts w:ascii="宋体" w:hAnsi="宋体" w:cs="宋体"/>
          <w:b/>
          <w:sz w:val="32"/>
          <w:szCs w:val="32"/>
          <w:highlight w:val="none"/>
          <w:lang w:eastAsia="zh-CN"/>
        </w:rPr>
      </w:pPr>
      <w:r>
        <w:rPr>
          <w:rFonts w:ascii="宋体" w:hAnsi="宋体" w:cs="宋体"/>
          <w:b/>
          <w:sz w:val="32"/>
          <w:szCs w:val="32"/>
          <w:highlight w:val="none"/>
          <w:lang w:eastAsia="zh-CN"/>
        </w:rPr>
      </w:r>
      <w:r/>
    </w:p>
    <w:p>
      <w:pPr>
        <w:pStyle w:val="1131"/>
        <w:contextualSpacing/>
        <w:ind w:firstLine="321"/>
        <w:spacing w:line="360" w:lineRule="auto"/>
        <w:rPr>
          <w:rFonts w:ascii="宋体" w:hAnsi="宋体" w:cs="宋体"/>
          <w:b/>
          <w:sz w:val="32"/>
          <w:szCs w:val="32"/>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sz w:val="32"/>
          <w:szCs w:val="32"/>
          <w:highlight w:val="none"/>
          <w:lang w:eastAsia="zh-CN"/>
        </w:rPr>
      </w:r>
      <w:r/>
    </w:p>
    <w:p>
      <w:pPr>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附件8：</w:t>
      </w:r>
      <w:r/>
    </w:p>
    <w:p>
      <w:pPr>
        <w:contextualSpacing/>
        <w:ind w:firstLine="643"/>
        <w:jc w:val="center"/>
        <w:spacing w:line="360" w:lineRule="auto"/>
        <w:rPr>
          <w:rFonts w:ascii="宋体" w:hAnsi="宋体" w:cs="宋体"/>
          <w:b/>
          <w:sz w:val="24"/>
          <w:szCs w:val="24"/>
          <w:highlight w:val="none"/>
        </w:rPr>
      </w:pPr>
      <w:r>
        <w:rPr>
          <w:rFonts w:hint="eastAsia" w:ascii="宋体" w:hAnsi="宋体" w:cs="宋体"/>
          <w:b/>
          <w:sz w:val="24"/>
          <w:szCs w:val="24"/>
          <w:highlight w:val="none"/>
        </w:rPr>
        <w:t xml:space="preserve">项目技术方案</w:t>
      </w:r>
      <w:r/>
    </w:p>
    <w:p>
      <w:pPr>
        <w:contextualSpacing/>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技术方案内容见评标办法，但不仅限于这些内容，投标人可根据其对项目的理解自行增加，格式自拟。</w:t>
      </w:r>
      <w:r/>
    </w:p>
    <w:p>
      <w:pPr>
        <w:contextualSpacing/>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contextualSpacing/>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contextualSpacing/>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contextualSpacing/>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pStyle w:val="1117"/>
        <w:numPr>
          <w:ilvl w:val="0"/>
          <w:numId w:val="0"/>
        </w:numPr>
        <w:contextualSpacing/>
        <w:spacing w:before="0" w:line="360" w:lineRule="auto"/>
        <w:rPr>
          <w:rFonts w:hint="default"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附件9：</w:t>
      </w:r>
      <w:r/>
    </w:p>
    <w:p>
      <w:pPr>
        <w:contextualSpacing/>
        <w:ind w:firstLine="643"/>
        <w:jc w:val="center"/>
        <w:spacing w:line="360" w:lineRule="auto"/>
        <w:rPr>
          <w:rFonts w:ascii="宋体" w:hAnsi="宋体" w:cs="宋体"/>
          <w:b/>
          <w:sz w:val="24"/>
          <w:szCs w:val="24"/>
          <w:highlight w:val="none"/>
        </w:rPr>
      </w:pPr>
      <w:r>
        <w:rPr>
          <w:rFonts w:hint="eastAsia" w:ascii="宋体" w:hAnsi="宋体" w:cs="宋体"/>
          <w:b/>
          <w:sz w:val="24"/>
          <w:szCs w:val="24"/>
          <w:highlight w:val="none"/>
        </w:rPr>
        <w:t xml:space="preserve">其它资料</w:t>
      </w:r>
      <w:r/>
    </w:p>
    <w:p>
      <w:pPr>
        <w:contextualSpacing/>
        <w:ind w:firstLine="480"/>
        <w:spacing w:line="360" w:lineRule="auto"/>
        <w:rPr>
          <w:rFonts w:ascii="宋体" w:hAnsi="宋体" w:cs="宋体"/>
          <w:bCs/>
          <w:sz w:val="24"/>
          <w:szCs w:val="24"/>
          <w:highlight w:val="none"/>
        </w:rPr>
      </w:pPr>
      <w:r>
        <w:rPr>
          <w:rFonts w:ascii="宋体" w:hAnsi="宋体" w:cs="宋体"/>
          <w:bCs/>
          <w:sz w:val="24"/>
          <w:szCs w:val="24"/>
          <w:highlight w:val="none"/>
        </w:rPr>
      </w:r>
      <w:r/>
    </w:p>
    <w:p>
      <w:pPr>
        <w:contextualSpacing/>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投标人认为有必要提供的声明或其他证明材料，附上的材料请在此列出清单；如无后附文件，请说明。</w:t>
      </w:r>
      <w:r/>
    </w:p>
    <w:p>
      <w:pPr>
        <w:pStyle w:val="1131"/>
        <w:contextualSpacing/>
        <w:ind w:firstLine="321"/>
        <w:spacing w:line="360" w:lineRule="auto"/>
        <w:rPr>
          <w:rFonts w:ascii="宋体" w:hAnsi="宋体" w:cs="宋体"/>
          <w:b/>
          <w:sz w:val="24"/>
          <w:szCs w:val="24"/>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sz w:val="24"/>
          <w:szCs w:val="24"/>
          <w:highlight w:val="none"/>
          <w:lang w:eastAsia="zh-CN"/>
        </w:rPr>
      </w:r>
      <w:r/>
    </w:p>
    <w:p>
      <w:pPr>
        <w:contextualSpacing/>
        <w:ind w:firstLine="643"/>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评标要素索引表</w:t>
      </w:r>
      <w:r/>
    </w:p>
    <w:tbl>
      <w:tblPr>
        <w:tblStyle w:val="1120"/>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6067"/>
        <w:gridCol w:w="1633"/>
      </w:tblGrid>
      <w:tr>
        <w:trPr>
          <w:jc w:val="center"/>
          <w:trHeight w:val="510"/>
        </w:trPr>
        <w:tc>
          <w:tcPr>
            <w:tcW w:w="828" w:type="dxa"/>
            <w:vAlign w:val="center"/>
            <w:textDirection w:val="lrTb"/>
            <w:noWrap w:val="false"/>
          </w:tcPr>
          <w:p>
            <w:pPr>
              <w:contextualSpacing/>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6067" w:type="dxa"/>
            <w:vAlign w:val="center"/>
            <w:textDirection w:val="lrTb"/>
            <w:noWrap w:val="false"/>
          </w:tcPr>
          <w:p>
            <w:pPr>
              <w:contextualSpacing/>
              <w:ind w:firstLine="482"/>
              <w:jc w:val="center"/>
              <w:spacing w:line="360" w:lineRule="auto"/>
              <w:rPr>
                <w:rFonts w:ascii="宋体" w:hAnsi="宋体" w:cs="宋体"/>
                <w:b/>
                <w:szCs w:val="21"/>
                <w:highlight w:val="none"/>
              </w:rPr>
            </w:pPr>
            <w:r>
              <w:rPr>
                <w:rFonts w:hint="eastAsia" w:ascii="宋体" w:hAnsi="宋体" w:cs="宋体"/>
                <w:b/>
                <w:szCs w:val="21"/>
                <w:highlight w:val="none"/>
              </w:rPr>
              <w:t xml:space="preserve">评审内容</w:t>
            </w:r>
            <w:r/>
          </w:p>
        </w:tc>
        <w:tc>
          <w:tcPr>
            <w:tcW w:w="1633" w:type="dxa"/>
            <w:vAlign w:val="center"/>
            <w:textDirection w:val="lrTb"/>
            <w:noWrap w:val="false"/>
          </w:tcPr>
          <w:p>
            <w:pPr>
              <w:contextualSpacing/>
              <w:jc w:val="center"/>
              <w:spacing w:line="360" w:lineRule="auto"/>
              <w:rPr>
                <w:rFonts w:ascii="宋体" w:hAnsi="宋体" w:cs="宋体"/>
                <w:b/>
                <w:szCs w:val="21"/>
                <w:highlight w:val="none"/>
              </w:rPr>
            </w:pPr>
            <w:r>
              <w:rPr>
                <w:rFonts w:hint="eastAsia" w:ascii="宋体" w:hAnsi="宋体" w:cs="宋体"/>
                <w:b/>
                <w:szCs w:val="21"/>
                <w:highlight w:val="none"/>
              </w:rPr>
              <w:t xml:space="preserve">投标文件页码范围</w:t>
            </w:r>
            <w:r/>
          </w:p>
        </w:tc>
      </w:tr>
      <w:tr>
        <w:trPr>
          <w:cantSplit/>
          <w:jc w:val="center"/>
          <w:trHeight w:val="510"/>
        </w:trPr>
        <w:tc>
          <w:tcPr>
            <w:tcW w:w="828" w:type="dxa"/>
            <w:vAlign w:val="center"/>
            <w:textDirection w:val="lrTb"/>
            <w:noWrap w:val="false"/>
          </w:tcPr>
          <w:p>
            <w:pPr>
              <w:pStyle w:val="1141"/>
              <w:contextualSpacing/>
              <w:ind w:firstLine="422"/>
              <w:spacing w:before="0" w:beforeAutospacing="0" w:after="0" w:afterAutospacing="0" w:line="360" w:lineRule="auto"/>
              <w:widowControl w:val="off"/>
              <w:rPr>
                <w:rFonts w:hint="default" w:ascii="宋体" w:eastAsia="宋体" w:cs="宋体"/>
                <w:b/>
                <w:sz w:val="21"/>
                <w:szCs w:val="21"/>
                <w:highlight w:val="none"/>
              </w:rPr>
            </w:pPr>
            <w:r>
              <w:rPr>
                <w:rFonts w:ascii="宋体" w:eastAsia="宋体" w:cs="宋体"/>
                <w:b/>
                <w:sz w:val="21"/>
                <w:szCs w:val="21"/>
                <w:highlight w:val="none"/>
              </w:rPr>
              <w:t xml:space="preserve">一</w:t>
            </w:r>
            <w:r/>
          </w:p>
        </w:tc>
        <w:tc>
          <w:tcPr>
            <w:gridSpan w:val="2"/>
            <w:tcW w:w="7700" w:type="dxa"/>
            <w:vAlign w:val="center"/>
            <w:textDirection w:val="lrTb"/>
            <w:noWrap w:val="false"/>
          </w:tcPr>
          <w:p>
            <w:pPr>
              <w:contextualSpacing/>
              <w:ind w:firstLine="2108"/>
              <w:jc w:val="both"/>
              <w:spacing w:line="360" w:lineRule="auto"/>
              <w:rPr>
                <w:rFonts w:ascii="宋体" w:hAnsi="宋体" w:cs="宋体"/>
                <w:b/>
                <w:szCs w:val="21"/>
                <w:highlight w:val="none"/>
              </w:rPr>
            </w:pPr>
            <w:r>
              <w:rPr>
                <w:rFonts w:hint="eastAsia" w:ascii="宋体" w:hAnsi="宋体" w:cs="宋体"/>
                <w:b/>
                <w:szCs w:val="21"/>
                <w:highlight w:val="none"/>
              </w:rPr>
              <w:t xml:space="preserve">商务</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highlight w:val="none"/>
              </w:rPr>
            </w:pPr>
            <w:r>
              <w:rPr>
                <w:rFonts w:hint="eastAsia" w:ascii="宋体" w:hAnsi="宋体" w:cs="宋体"/>
                <w:b/>
                <w:bCs/>
                <w:szCs w:val="21"/>
                <w:highlight w:val="none"/>
              </w:rPr>
              <w:t xml:space="preserve">1</w:t>
            </w:r>
            <w:r/>
          </w:p>
        </w:tc>
        <w:tc>
          <w:tcPr>
            <w:tcW w:w="6067" w:type="dxa"/>
            <w:vAlign w:val="center"/>
            <w:textDirection w:val="lrTb"/>
            <w:noWrap w:val="false"/>
          </w:tcPr>
          <w:p>
            <w:pPr>
              <w:contextualSpacing/>
              <w:ind w:firstLine="480"/>
              <w:jc w:val="both"/>
              <w:spacing w:line="360" w:lineRule="auto"/>
              <w:rPr>
                <w:rFonts w:ascii="宋体" w:hAnsi="宋体" w:cs="宋体"/>
                <w:bCs/>
                <w:szCs w:val="21"/>
                <w:highlight w:val="none"/>
                <w:u w:val="singl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jc w:val="both"/>
              <w:spacing w:line="360" w:lineRule="auto"/>
              <w:rPr>
                <w:rFonts w:ascii="宋体" w:hAnsi="宋体" w:cs="宋体"/>
                <w:bCs/>
                <w:szCs w:val="21"/>
                <w:highlight w:val="none"/>
                <w:u w:val="singl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highlight w:val="none"/>
              </w:rPr>
            </w:pPr>
            <w:r>
              <w:rPr>
                <w:rFonts w:hint="eastAsia" w:ascii="宋体" w:hAnsi="宋体" w:cs="宋体"/>
                <w:b/>
                <w:bCs/>
                <w:szCs w:val="21"/>
                <w:highlight w:val="none"/>
              </w:rPr>
              <w:t xml:space="preserve">2</w:t>
            </w:r>
            <w:r/>
          </w:p>
        </w:tc>
        <w:tc>
          <w:tcPr>
            <w:tcW w:w="6067" w:type="dxa"/>
            <w:vAlign w:val="center"/>
            <w:textDirection w:val="lrTb"/>
            <w:noWrap w:val="false"/>
          </w:tcPr>
          <w:p>
            <w:pPr>
              <w:contextualSpacing/>
              <w:ind w:firstLine="480"/>
              <w:jc w:val="both"/>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jc w:val="both"/>
              <w:spacing w:line="360" w:lineRule="auto"/>
              <w:rPr>
                <w:rFonts w:ascii="宋体" w:hAnsi="宋体" w:cs="宋体"/>
                <w:bCs/>
                <w:szCs w:val="21"/>
                <w:highlight w:val="non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highlight w:val="none"/>
              </w:rPr>
            </w:pPr>
            <w:r>
              <w:rPr>
                <w:rFonts w:hint="eastAsia" w:ascii="宋体" w:hAnsi="宋体" w:cs="宋体"/>
                <w:b/>
                <w:bCs/>
                <w:szCs w:val="21"/>
                <w:highlight w:val="none"/>
              </w:rPr>
              <w:t xml:space="preserve">3</w:t>
            </w:r>
            <w:r/>
          </w:p>
        </w:tc>
        <w:tc>
          <w:tcPr>
            <w:tcW w:w="6067" w:type="dxa"/>
            <w:vAlign w:val="center"/>
            <w:textDirection w:val="lrTb"/>
            <w:noWrap w:val="false"/>
          </w:tcPr>
          <w:p>
            <w:pPr>
              <w:contextualSpacing/>
              <w:ind w:firstLine="480"/>
              <w:jc w:val="both"/>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jc w:val="both"/>
              <w:spacing w:line="360" w:lineRule="auto"/>
              <w:rPr>
                <w:rFonts w:ascii="宋体" w:hAnsi="宋体" w:cs="宋体"/>
                <w:bCs/>
                <w:szCs w:val="21"/>
                <w:highlight w:val="non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highlight w:val="none"/>
              </w:rPr>
            </w:pPr>
            <w:r>
              <w:rPr>
                <w:rFonts w:hint="eastAsia" w:ascii="宋体" w:hAnsi="宋体" w:cs="宋体"/>
                <w:b/>
                <w:bCs/>
                <w:szCs w:val="21"/>
                <w:highlight w:val="none"/>
              </w:rPr>
              <w:t xml:space="preserve">…</w:t>
            </w:r>
            <w:r/>
          </w:p>
        </w:tc>
        <w:tc>
          <w:tcPr>
            <w:tcW w:w="6067" w:type="dxa"/>
            <w:vAlign w:val="center"/>
            <w:textDirection w:val="lrTb"/>
            <w:noWrap w:val="false"/>
          </w:tcPr>
          <w:p>
            <w:pPr>
              <w:contextualSpacing/>
              <w:ind w:firstLine="480"/>
              <w:jc w:val="both"/>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jc w:val="both"/>
              <w:spacing w:line="360" w:lineRule="auto"/>
              <w:rPr>
                <w:rFonts w:ascii="宋体" w:hAnsi="宋体" w:cs="宋体"/>
                <w:bCs/>
                <w:szCs w:val="21"/>
                <w:highlight w:val="non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highlight w:val="none"/>
              </w:rPr>
            </w:pPr>
            <w:r>
              <w:rPr>
                <w:rFonts w:hint="eastAsia" w:ascii="宋体" w:hAnsi="宋体" w:cs="宋体"/>
                <w:b/>
                <w:bCs/>
                <w:szCs w:val="21"/>
                <w:highlight w:val="none"/>
              </w:rPr>
              <w:t xml:space="preserve">…</w:t>
            </w:r>
            <w:r/>
          </w:p>
        </w:tc>
        <w:tc>
          <w:tcPr>
            <w:tcW w:w="6067" w:type="dxa"/>
            <w:vAlign w:val="center"/>
            <w:textDirection w:val="lrTb"/>
            <w:noWrap w:val="false"/>
          </w:tcPr>
          <w:p>
            <w:pPr>
              <w:contextualSpacing/>
              <w:ind w:firstLine="480"/>
              <w:jc w:val="both"/>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jc w:val="both"/>
              <w:spacing w:line="360" w:lineRule="auto"/>
              <w:rPr>
                <w:rFonts w:ascii="宋体" w:hAnsi="宋体" w:cs="宋体"/>
                <w:bCs/>
                <w:szCs w:val="21"/>
                <w:highlight w:val="non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szCs w:val="21"/>
                <w:highlight w:val="none"/>
              </w:rPr>
            </w:pPr>
            <w:r>
              <w:rPr>
                <w:rFonts w:hint="eastAsia" w:ascii="宋体" w:hAnsi="宋体" w:cs="宋体"/>
                <w:b/>
                <w:szCs w:val="21"/>
                <w:highlight w:val="none"/>
              </w:rPr>
              <w:t xml:space="preserve">二</w:t>
            </w:r>
            <w:r/>
          </w:p>
        </w:tc>
        <w:tc>
          <w:tcPr>
            <w:gridSpan w:val="2"/>
            <w:tcW w:w="7700" w:type="dxa"/>
            <w:vAlign w:val="center"/>
            <w:textDirection w:val="lrTb"/>
            <w:noWrap w:val="false"/>
          </w:tcPr>
          <w:p>
            <w:pPr>
              <w:contextualSpacing/>
              <w:ind w:firstLine="2108"/>
              <w:jc w:val="both"/>
              <w:spacing w:line="360" w:lineRule="auto"/>
              <w:rPr>
                <w:rFonts w:ascii="宋体" w:hAnsi="宋体" w:cs="宋体"/>
                <w:b/>
                <w:szCs w:val="21"/>
                <w:highlight w:val="none"/>
              </w:rPr>
            </w:pPr>
            <w:r>
              <w:rPr>
                <w:rFonts w:hint="eastAsia" w:ascii="宋体" w:hAnsi="宋体" w:cs="宋体"/>
                <w:b/>
                <w:szCs w:val="21"/>
                <w:highlight w:val="none"/>
              </w:rPr>
              <w:t xml:space="preserve">技术</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highlight w:val="none"/>
              </w:rPr>
            </w:pPr>
            <w:r>
              <w:rPr>
                <w:rFonts w:hint="eastAsia" w:ascii="宋体" w:hAnsi="宋体" w:cs="宋体"/>
                <w:b/>
                <w:bCs/>
                <w:szCs w:val="21"/>
                <w:highlight w:val="none"/>
              </w:rPr>
              <w:t xml:space="preserve">1</w:t>
            </w:r>
            <w:r/>
          </w:p>
        </w:tc>
        <w:tc>
          <w:tcPr>
            <w:tcW w:w="6067" w:type="dxa"/>
            <w:vAlign w:val="center"/>
            <w:textDirection w:val="lrTb"/>
            <w:noWrap w:val="false"/>
          </w:tcPr>
          <w:p>
            <w:pPr>
              <w:contextualSpacing/>
              <w:ind w:firstLine="480"/>
              <w:jc w:val="both"/>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jc w:val="both"/>
              <w:spacing w:line="360" w:lineRule="auto"/>
              <w:rPr>
                <w:rFonts w:ascii="宋体" w:hAnsi="宋体" w:cs="宋体"/>
                <w:bCs/>
                <w:szCs w:val="21"/>
                <w:highlight w:val="none"/>
                <w:u w:val="singl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highlight w:val="none"/>
              </w:rPr>
            </w:pPr>
            <w:r>
              <w:rPr>
                <w:rFonts w:hint="eastAsia" w:ascii="宋体" w:hAnsi="宋体" w:cs="宋体"/>
                <w:b/>
                <w:bCs/>
                <w:szCs w:val="21"/>
                <w:highlight w:val="none"/>
              </w:rPr>
              <w:t xml:space="preserve">2</w:t>
            </w:r>
            <w:r/>
          </w:p>
        </w:tc>
        <w:tc>
          <w:tcPr>
            <w:tcW w:w="6067" w:type="dxa"/>
            <w:vAlign w:val="center"/>
            <w:textDirection w:val="lrTb"/>
            <w:noWrap w:val="false"/>
          </w:tcPr>
          <w:p>
            <w:pPr>
              <w:contextualSpacing/>
              <w:ind w:firstLine="480"/>
              <w:jc w:val="center"/>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highlight w:val="non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highlight w:val="none"/>
              </w:rPr>
            </w:pPr>
            <w:r>
              <w:rPr>
                <w:rFonts w:hint="eastAsia" w:ascii="宋体" w:hAnsi="宋体" w:cs="宋体"/>
                <w:b/>
                <w:bCs/>
                <w:szCs w:val="21"/>
                <w:highlight w:val="none"/>
              </w:rPr>
              <w:t xml:space="preserve">3</w:t>
            </w:r>
            <w:r/>
          </w:p>
        </w:tc>
        <w:tc>
          <w:tcPr>
            <w:tcW w:w="6067" w:type="dxa"/>
            <w:vAlign w:val="center"/>
            <w:textDirection w:val="lrTb"/>
            <w:noWrap w:val="false"/>
          </w:tcPr>
          <w:p>
            <w:pPr>
              <w:contextualSpacing/>
              <w:ind w:firstLine="480"/>
              <w:jc w:val="center"/>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highlight w:val="non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0"/>
              <w:jc w:val="center"/>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6067" w:type="dxa"/>
            <w:vAlign w:val="center"/>
            <w:textDirection w:val="lrTb"/>
            <w:noWrap w:val="false"/>
          </w:tcPr>
          <w:p>
            <w:pPr>
              <w:contextualSpacing/>
              <w:ind w:firstLine="480"/>
              <w:jc w:val="center"/>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highlight w:val="non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0"/>
              <w:jc w:val="center"/>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6067" w:type="dxa"/>
            <w:vAlign w:val="center"/>
            <w:textDirection w:val="lrTb"/>
            <w:noWrap w:val="false"/>
          </w:tcPr>
          <w:p>
            <w:pPr>
              <w:contextualSpacing/>
              <w:ind w:firstLine="480"/>
              <w:jc w:val="center"/>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highlight w:val="none"/>
              </w:rPr>
            </w:pPr>
            <w:r>
              <w:rPr>
                <w:rFonts w:hint="eastAsia" w:ascii="宋体" w:hAnsi="宋体" w:cs="宋体"/>
                <w:bCs/>
                <w:szCs w:val="21"/>
                <w:highlight w:val="none"/>
              </w:rPr>
              <w:t xml:space="preserve">P～P</w:t>
            </w:r>
            <w:r/>
          </w:p>
        </w:tc>
      </w:tr>
      <w:tr>
        <w:trPr>
          <w:cantSplit/>
          <w:jc w:val="center"/>
          <w:trHeight w:val="510"/>
        </w:trPr>
        <w:tc>
          <w:tcPr>
            <w:tcW w:w="828" w:type="dxa"/>
            <w:vAlign w:val="center"/>
            <w:textDirection w:val="lrTb"/>
            <w:noWrap w:val="false"/>
          </w:tcPr>
          <w:p>
            <w:pPr>
              <w:contextualSpacing/>
              <w:ind w:firstLine="480"/>
              <w:jc w:val="center"/>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6067" w:type="dxa"/>
            <w:vAlign w:val="center"/>
            <w:textDirection w:val="lrTb"/>
            <w:noWrap w:val="false"/>
          </w:tcPr>
          <w:p>
            <w:pPr>
              <w:contextualSpacing/>
              <w:ind w:firstLine="480"/>
              <w:jc w:val="center"/>
              <w:spacing w:line="360" w:lineRule="auto"/>
              <w:rPr>
                <w:rFonts w:ascii="宋体" w:hAnsi="宋体" w:cs="宋体"/>
                <w:bCs/>
                <w:szCs w:val="21"/>
                <w:highlight w:val="none"/>
              </w:rPr>
            </w:pPr>
            <w:r>
              <w:rPr>
                <w:rFonts w:hint="eastAsia" w:ascii="宋体" w:hAnsi="宋体" w:cs="宋体"/>
                <w:bCs/>
                <w:szCs w:val="21"/>
                <w:highlight w:val="none"/>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highlight w:val="none"/>
              </w:rPr>
            </w:pPr>
            <w:r>
              <w:rPr>
                <w:rFonts w:hint="eastAsia" w:ascii="宋体" w:hAnsi="宋体" w:cs="宋体"/>
                <w:bCs/>
                <w:szCs w:val="21"/>
                <w:highlight w:val="none"/>
              </w:rPr>
              <w:t xml:space="preserve">P～P</w:t>
            </w:r>
            <w:r/>
          </w:p>
        </w:tc>
      </w:tr>
    </w:tbl>
    <w:p>
      <w:pPr>
        <w:contextualSpacing/>
        <w:ind w:firstLine="420"/>
        <w:spacing w:line="360" w:lineRule="auto"/>
        <w:tabs>
          <w:tab w:val="left" w:pos="1269" w:leader="none"/>
        </w:tabs>
        <w:rPr>
          <w:rFonts w:ascii="宋体" w:hAnsi="宋体" w:cs="宋体"/>
          <w:szCs w:val="21"/>
          <w:highlight w:val="none"/>
        </w:rPr>
      </w:pPr>
      <w:r>
        <w:rPr>
          <w:rFonts w:ascii="宋体" w:hAnsi="宋体" w:cs="宋体"/>
          <w:szCs w:val="21"/>
          <w:highlight w:val="none"/>
        </w:rPr>
      </w:r>
      <w:r/>
    </w:p>
    <w:p>
      <w:pPr>
        <w:contextualSpacing/>
        <w:ind w:firstLine="240"/>
        <w:keepLines w:val="0"/>
        <w:keepNext w:val="0"/>
        <w:pageBreakBefore w:val="0"/>
        <w:spacing w:line="360" w:lineRule="auto"/>
        <w:widowControl w:val="off"/>
        <w:tabs>
          <w:tab w:val="left" w:pos="1269"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w:t>
      </w:r>
      <w:r/>
    </w:p>
    <w:p>
      <w:pPr>
        <w:contextualSpacing/>
        <w:ind w:firstLine="480"/>
        <w:keepLines w:val="0"/>
        <w:keepNext w:val="0"/>
        <w:pageBreakBefore w:val="0"/>
        <w:spacing w:line="360" w:lineRule="auto"/>
        <w:widowControl w:val="off"/>
        <w:tabs>
          <w:tab w:val="left" w:pos="1269"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
          <w:color w:val="auto"/>
          <w:sz w:val="24"/>
          <w:szCs w:val="24"/>
          <w:highlight w:val="none"/>
        </w:rPr>
        <w:t xml:space="preserve">.</w:t>
      </w:r>
      <w:r>
        <w:rPr>
          <w:rFonts w:hint="eastAsia" w:ascii="宋体" w:hAnsi="宋体" w:cs="宋体"/>
          <w:bCs/>
          <w:color w:val="auto"/>
          <w:sz w:val="24"/>
          <w:szCs w:val="24"/>
          <w:highlight w:val="none"/>
        </w:rPr>
        <w:t xml:space="preserve">中标人应对提交的纸质投标文件逐页标注页码。</w:t>
      </w:r>
      <w:r/>
    </w:p>
    <w:p>
      <w:pPr>
        <w:contextualSpacing/>
        <w:ind w:firstLine="480"/>
        <w:keepLines w:val="0"/>
        <w:keepNext w:val="0"/>
        <w:pageBreakBefore w:val="0"/>
        <w:spacing w:line="360" w:lineRule="auto"/>
        <w:widowControl w:val="off"/>
        <w:tabs>
          <w:tab w:val="left" w:pos="1269"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
          <w:color w:val="auto"/>
          <w:sz w:val="24"/>
          <w:szCs w:val="24"/>
          <w:highlight w:val="none"/>
        </w:rPr>
        <w:t xml:space="preserve">.</w:t>
      </w:r>
      <w:r>
        <w:rPr>
          <w:rFonts w:hint="eastAsia" w:ascii="宋体" w:hAnsi="宋体" w:cs="宋体"/>
          <w:bCs/>
          <w:color w:val="auto"/>
          <w:sz w:val="24"/>
          <w:szCs w:val="24"/>
          <w:highlight w:val="none"/>
        </w:rPr>
        <w:t xml:space="preserve"> 评标要素索引表的位置应布置在纸质投标文件前面（顺序：投标文件封面后、投标文件目录前）。</w:t>
      </w:r>
      <w:r/>
    </w:p>
    <w:p>
      <w:pPr>
        <w:contextualSpacing/>
        <w:ind w:firstLine="480"/>
        <w:keepLines w:val="0"/>
        <w:keepNext w:val="0"/>
        <w:pageBreakBefore w:val="0"/>
        <w:spacing w:line="360" w:lineRule="auto"/>
        <w:widowControl w:val="off"/>
        <w:tabs>
          <w:tab w:val="left" w:pos="1269" w:leader="none"/>
        </w:tabs>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b/>
          <w:color w:val="auto"/>
          <w:sz w:val="24"/>
          <w:szCs w:val="24"/>
          <w:highlight w:val="none"/>
        </w:rPr>
        <w:t xml:space="preserve">.</w:t>
      </w:r>
      <w:r>
        <w:rPr>
          <w:rFonts w:hint="eastAsia" w:ascii="宋体" w:hAnsi="宋体" w:cs="宋体"/>
          <w:bCs/>
          <w:color w:val="auto"/>
          <w:sz w:val="24"/>
          <w:szCs w:val="24"/>
          <w:highlight w:val="none"/>
        </w:rPr>
        <w:t xml:space="preserve">中标人应按上表的格式，</w:t>
      </w:r>
      <w:r>
        <w:rPr>
          <w:rFonts w:hint="eastAsia" w:ascii="宋体" w:hAnsi="宋体" w:cs="宋体"/>
          <w:b/>
          <w:bCs/>
          <w:color w:val="auto"/>
          <w:sz w:val="24"/>
          <w:szCs w:val="24"/>
          <w:highlight w:val="none"/>
        </w:rPr>
        <w:t xml:space="preserve">对照招标文件中评标办法的评审内容</w:t>
      </w:r>
      <w:r>
        <w:rPr>
          <w:rFonts w:hint="eastAsia" w:ascii="宋体" w:hAnsi="宋体" w:cs="宋体"/>
          <w:bCs/>
          <w:color w:val="auto"/>
          <w:sz w:val="24"/>
          <w:szCs w:val="24"/>
          <w:highlight w:val="none"/>
        </w:rPr>
        <w:t xml:space="preserve">，建立起投标文件相关评审内容与页码之间的索引。</w:t>
      </w:r>
      <w:r/>
    </w:p>
    <w:p>
      <w:pPr>
        <w:contextualSpacing/>
        <w:ind w:firstLine="482"/>
        <w:keepLines w:val="0"/>
        <w:keepNext w:val="0"/>
        <w:pageBreakBefore w:val="0"/>
        <w:spacing w:line="360" w:lineRule="auto"/>
        <w:widowControl w:val="off"/>
        <w:tabs>
          <w:tab w:val="left" w:pos="1269"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4.纸质投标文件应当与投标文件电子标书一致。</w:t>
      </w:r>
      <w:r/>
    </w:p>
    <w:p>
      <w:pPr>
        <w:pStyle w:val="1128"/>
        <w:contextualSpacing/>
        <w:spacing w:line="360" w:lineRule="auto"/>
        <w:rPr>
          <w:rFonts w:hAnsi="宋体" w:cs="宋体"/>
          <w:color w:val="auto"/>
          <w:sz w:val="24"/>
          <w:szCs w:val="24"/>
          <w:highlight w:val="none"/>
        </w:rPr>
      </w:pPr>
      <w:r>
        <w:rPr>
          <w:rFonts w:hAnsi="宋体" w:cs="宋体"/>
          <w:color w:val="auto"/>
          <w:sz w:val="24"/>
          <w:szCs w:val="24"/>
          <w:highlight w:val="none"/>
        </w:rPr>
      </w:r>
      <w:r/>
    </w:p>
    <w:p>
      <w:pPr>
        <w:pStyle w:val="1128"/>
        <w:contextualSpacing/>
        <w:spacing w:line="360" w:lineRule="auto"/>
        <w:rPr>
          <w:rFonts w:hAnsi="宋体" w:cs="宋体"/>
          <w:sz w:val="24"/>
          <w:szCs w:val="24"/>
          <w:highlight w:val="none"/>
        </w:rPr>
      </w:pPr>
      <w:r>
        <w:rPr>
          <w:rFonts w:hAnsi="宋体" w:cs="宋体"/>
          <w:sz w:val="24"/>
          <w:szCs w:val="24"/>
          <w:highlight w:val="none"/>
        </w:rPr>
      </w:r>
      <w:r/>
    </w:p>
    <w:p>
      <w:pPr>
        <w:pStyle w:val="1131"/>
        <w:contextualSpacing/>
        <w:ind w:firstLine="321"/>
        <w:spacing w:line="360" w:lineRule="auto"/>
        <w:rPr>
          <w:rFonts w:ascii="宋体" w:hAnsi="宋体" w:cs="宋体"/>
          <w:b/>
          <w:sz w:val="32"/>
          <w:szCs w:val="32"/>
          <w:highlight w:val="none"/>
          <w:lang w:eastAsia="zh-CN"/>
        </w:rPr>
      </w:pPr>
      <w:r>
        <w:rPr>
          <w:rFonts w:ascii="宋体" w:hAnsi="宋体" w:cs="宋体"/>
          <w:b/>
          <w:sz w:val="32"/>
          <w:szCs w:val="32"/>
          <w:highlight w:val="none"/>
          <w:lang w:eastAsia="zh-CN"/>
        </w:rPr>
      </w:r>
      <w:r/>
    </w:p>
    <w:p>
      <w:pPr>
        <w:pStyle w:val="1131"/>
        <w:contextualSpacing/>
        <w:ind w:firstLine="321"/>
        <w:spacing w:line="360" w:lineRule="auto"/>
        <w:rPr>
          <w:rFonts w:ascii="宋体" w:hAnsi="宋体" w:cs="宋体"/>
          <w:b/>
          <w:sz w:val="32"/>
          <w:szCs w:val="32"/>
          <w:highlight w:val="none"/>
          <w:lang w:eastAsia="zh-CN"/>
        </w:rPr>
      </w:pPr>
      <w:r>
        <w:rPr>
          <w:rFonts w:ascii="宋体" w:hAnsi="宋体" w:cs="宋体"/>
          <w:b/>
          <w:sz w:val="32"/>
          <w:szCs w:val="32"/>
          <w:highlight w:val="none"/>
          <w:lang w:eastAsia="zh-CN"/>
        </w:rPr>
      </w:r>
      <w:r/>
    </w:p>
    <w:p>
      <w:pPr>
        <w:ind w:firstLine="560"/>
        <w:jc w:val="left"/>
        <w:spacing w:line="360" w:lineRule="auto"/>
        <w:widowControl/>
        <w:rPr>
          <w:rFonts w:hint="eastAsia" w:ascii="宋体" w:hAnsi="宋体" w:cs="宋体"/>
          <w:color w:val="auto"/>
          <w:sz w:val="28"/>
          <w:szCs w:val="24"/>
          <w:highlight w:val="none"/>
        </w:rPr>
      </w:pPr>
      <w:r>
        <w:rPr>
          <w:rFonts w:hint="eastAsia" w:ascii="宋体" w:hAnsi="宋体" w:cs="宋体"/>
          <w:color w:val="auto"/>
          <w:sz w:val="28"/>
          <w:szCs w:val="24"/>
          <w:highlight w:val="none"/>
        </w:rPr>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Arial Black">
    <w:panose1 w:val="020B0A04020102020204"/>
  </w:font>
  <w:font w:name="宋体">
    <w:panose1 w:val="02010600030101010101"/>
  </w:font>
  <w:font w:name="Times New Roman">
    <w:panose1 w:val="02020603050405020304"/>
  </w:font>
  <w:font w:name="Arial Unicode MS">
    <w:panose1 w:val="020B06040202020202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rPr>
        <w:sz w:val="21"/>
      </w:rPr>
    </w:pPr>
    <w:r>
      <w:rPr>
        <w:sz w:val="21"/>
      </w:rPr>
      <w:fldChar w:fldCharType="begin"/>
    </w:r>
    <w:r>
      <w:rPr>
        <w:sz w:val="21"/>
      </w:rPr>
      <w:instrText xml:space="preserve">PAGE   \* MERGEFORMAT</w:instrText>
    </w:r>
    <w:r>
      <w:rPr>
        <w:sz w:val="21"/>
      </w:rPr>
      <w:fldChar w:fldCharType="separate"/>
    </w:r>
    <w:r>
      <w:rPr>
        <w:sz w:val="21"/>
        <w:lang w:val="zh-CN"/>
      </w:rPr>
      <w:t xml:space="preserve">2</w:t>
    </w:r>
    <w:r>
      <w:rPr>
        <w:sz w:val="21"/>
      </w:rPr>
      <w:fldChar w:fldCharType="end"/>
    </w:r>
    <w:r/>
  </w:p>
  <w:p>
    <w:pPr>
      <w:pStyle w:val="11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none"/>
      <w:isLgl w:val="false"/>
      <w:suff w:val="nothing"/>
      <w:lvlText w:val=""/>
      <w:lvlJc w:val="left"/>
      <w:pPr>
        <w:ind w:left="0" w:firstLine="0"/>
        <w:tabs>
          <w:tab w:val="left" w:pos="0" w:leader="none"/>
        </w:tabs>
      </w:pPr>
    </w:lvl>
    <w:lvl w:ilvl="1">
      <w:start w:val="1"/>
      <w:numFmt w:val="decimal"/>
      <w:pStyle w:val="1117"/>
      <w:isLgl w:val="false"/>
      <w:suff w:val="tab"/>
      <w:lvlText w:val="%1.%2"/>
      <w:lvlJc w:val="left"/>
      <w:pPr>
        <w:ind w:left="0" w:firstLine="0"/>
        <w:tabs>
          <w:tab w:val="left" w:pos="0" w:leader="none"/>
        </w:tabs>
      </w:pPr>
    </w:lvl>
    <w:lvl w:ilvl="2">
      <w:start w:val="1"/>
      <w:numFmt w:val="none"/>
      <w:isLgl w:val="false"/>
      <w:suff w:val="nothing"/>
      <w:lvlText w:val=""/>
      <w:lvlJc w:val="left"/>
      <w:pPr>
        <w:ind w:left="0" w:firstLine="0"/>
        <w:tabs>
          <w:tab w:val="left" w:pos="0" w:leader="none"/>
        </w:tabs>
      </w:pPr>
    </w:lvl>
    <w:lvl w:ilvl="3">
      <w:start w:val="1"/>
      <w:numFmt w:val="none"/>
      <w:isLgl w:val="false"/>
      <w:suff w:val="nothing"/>
      <w:lvlText w:val=""/>
      <w:lvlJc w:val="left"/>
      <w:pPr>
        <w:ind w:left="0" w:firstLine="0"/>
        <w:tabs>
          <w:tab w:val="left" w:pos="0" w:leader="none"/>
        </w:tabs>
      </w:pPr>
    </w:lvl>
    <w:lvl w:ilvl="4">
      <w:start w:val="1"/>
      <w:numFmt w:val="none"/>
      <w:isLgl w:val="false"/>
      <w:suff w:val="nothing"/>
      <w:lvlText w:val=""/>
      <w:lvlJc w:val="left"/>
      <w:pPr>
        <w:ind w:left="0" w:firstLine="0"/>
        <w:tabs>
          <w:tab w:val="left" w:pos="0" w:leader="none"/>
        </w:tabs>
      </w:pPr>
    </w:lvl>
    <w:lvl w:ilvl="5">
      <w:start w:val="1"/>
      <w:numFmt w:val="none"/>
      <w:isLgl w:val="false"/>
      <w:suff w:val="nothing"/>
      <w:lvlText w:val=""/>
      <w:lvlJc w:val="left"/>
      <w:pPr>
        <w:ind w:left="0" w:firstLine="0"/>
        <w:tabs>
          <w:tab w:val="left" w:pos="0" w:leader="none"/>
        </w:tabs>
      </w:pPr>
    </w:lvl>
    <w:lvl w:ilvl="6">
      <w:start w:val="1"/>
      <w:numFmt w:val="none"/>
      <w:isLgl w:val="false"/>
      <w:suff w:val="nothing"/>
      <w:lvlText w:val=""/>
      <w:lvlJc w:val="left"/>
      <w:pPr>
        <w:ind w:left="0" w:firstLine="0"/>
        <w:tabs>
          <w:tab w:val="left" w:pos="0" w:leader="none"/>
        </w:tabs>
      </w:pPr>
    </w:lvl>
    <w:lvl w:ilvl="7">
      <w:start w:val="1"/>
      <w:numFmt w:val="none"/>
      <w:isLgl w:val="false"/>
      <w:suff w:val="nothing"/>
      <w:lvlText w:val=""/>
      <w:lvlJc w:val="left"/>
      <w:pPr>
        <w:ind w:left="0" w:firstLine="0"/>
        <w:tabs>
          <w:tab w:val="left" w:pos="0" w:leader="none"/>
        </w:tabs>
      </w:pPr>
    </w:lvl>
    <w:lvl w:ilvl="8">
      <w:start w:val="1"/>
      <w:numFmt w:val="none"/>
      <w:isLgl w:val="false"/>
      <w:suff w:val="nothing"/>
      <w:lvlText w:val=""/>
      <w:lvlJc w:val="left"/>
      <w:pPr>
        <w:ind w:left="0" w:firstLine="0"/>
        <w:tabs>
          <w:tab w:val="left" w:pos="0" w:leader="none"/>
        </w:tabs>
      </w:pPr>
    </w:lvl>
  </w:abstractNum>
  <w:abstractNum w:abstractNumId="5">
    <w:multiLevelType w:val="hybridMultilevel"/>
    <w:lvl w:ilvl="0">
      <w:start w:val="1"/>
      <w:numFmt w:val="chineseCountingThousand"/>
      <w:isLgl w:val="false"/>
      <w:suff w:val="space"/>
      <w:lvlText w:val="第%1章"/>
      <w:lvlJc w:val="left"/>
      <w:pPr>
        <w:ind w:left="0" w:firstLine="0"/>
        <w:tabs>
          <w:tab w:val="left" w:pos="0" w:leader="none"/>
        </w:tabs>
      </w:pPr>
      <w:rPr>
        <w:rFonts w:hint="eastAsia"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Thousand"/>
      <w:isLgl w:val="false"/>
      <w:suff w:val="nothing"/>
      <w:lvlText w:val="（%1）"/>
      <w:lvlJc w:val="left"/>
      <w:pPr>
        <w:ind w:left="0" w:firstLine="0"/>
        <w:tabs>
          <w:tab w:val="left" w:pos="0" w:leader="none"/>
        </w:tabs>
      </w:pPr>
      <w:rPr>
        <w:rFonts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upperLetter"/>
      <w:isLgl w:val="false"/>
      <w:suff w:val="tab"/>
      <w:lvlText w:val="%1."/>
      <w:lvlJc w:val="left"/>
      <w:pPr>
        <w:ind w:left="0" w:firstLine="482"/>
      </w:pPr>
      <w:rPr>
        <w:rFonts w:hint="eastAsia"/>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EnclosedCircle"/>
      <w:isLgl w:val="false"/>
      <w:suff w:val="tab"/>
      <w:lvlText w:val="%1"/>
      <w:lvlJc w:val="left"/>
      <w:pPr>
        <w:ind w:left="902" w:hanging="420"/>
      </w:pPr>
      <w:rPr>
        <w:rFonts w:hint="default" w:ascii="Times New Roman" w:hAnsi="Times New Roman" w:eastAsia="宋体"/>
        <w:b/>
        <w:i w:val="0"/>
        <w:sz w:val="24"/>
        <w:szCs w:val="21"/>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1"/>
      <w:numFmt w:val="chineseCountingThousand"/>
      <w:isLgl w:val="false"/>
      <w:suff w:val="nothing"/>
      <w:lvlText w:val="%1、"/>
      <w:lvlJc w:val="left"/>
      <w:pPr>
        <w:ind w:left="482" w:hanging="482"/>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upperLetter"/>
      <w:isLgl w:val="false"/>
      <w:suff w:val="tab"/>
      <w:lvlText w:val="%1."/>
      <w:lvlJc w:val="left"/>
      <w:pPr>
        <w:ind w:left="0" w:firstLine="482"/>
      </w:pPr>
      <w:rPr>
        <w:rFonts w:hint="eastAsia"/>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9">
    <w:multiLevelType w:val="hybridMultilevel"/>
    <w:lvl w:ilvl="0">
      <w:start w:val="1"/>
      <w:numFmt w:val="decimalEnclosedCircle"/>
      <w:isLgl w:val="false"/>
      <w:suff w:val="tab"/>
      <w:lvlText w:val="%1"/>
      <w:lvlJc w:val="left"/>
      <w:pPr>
        <w:ind w:left="902" w:hanging="420"/>
      </w:pPr>
      <w:rPr>
        <w:rFonts w:hint="default" w:ascii="Times New Roman" w:hAnsi="Times New Roman" w:eastAsia="宋体"/>
        <w:b/>
        <w:i w:val="0"/>
        <w:sz w:val="24"/>
        <w:szCs w:val="21"/>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0">
    <w:multiLevelType w:val="hybridMultilevel"/>
    <w:lvl w:ilvl="0">
      <w:start w:val="1"/>
      <w:numFmt w:val="upperLetter"/>
      <w:isLgl w:val="false"/>
      <w:suff w:val="tab"/>
      <w:lvlText w:val="%1."/>
      <w:lvlJc w:val="left"/>
      <w:pPr>
        <w:ind w:left="0" w:firstLine="482"/>
      </w:pPr>
      <w:rPr>
        <w:rFonts w:hint="eastAsia"/>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1">
    <w:multiLevelType w:val="hybridMultilevel"/>
    <w:lvl w:ilvl="0">
      <w:start w:val="1"/>
      <w:numFmt w:val="decimal"/>
      <w:isLgl w:val="false"/>
      <w:suff w:val="tab"/>
      <w:lvlText w:val="2.%1"/>
      <w:lvlJc w:val="left"/>
      <w:pPr>
        <w:ind w:left="420" w:hanging="420"/>
      </w:pPr>
      <w:rPr>
        <w:rFonts w:hint="eastAsia"/>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1.%1"/>
      <w:lvlJc w:val="left"/>
      <w:pPr>
        <w:ind w:left="482" w:hanging="482"/>
      </w:pPr>
      <w:rPr>
        <w:rFonts w:hint="default" w:ascii="Times New Roman" w:hAnsi="Times New Roman" w:eastAsia="宋体"/>
        <w:b/>
        <w:i w:val="0"/>
        <w:color w:val="auto"/>
        <w:sz w:val="24"/>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upperLetter"/>
      <w:isLgl w:val="false"/>
      <w:suff w:val="tab"/>
      <w:lvlText w:val="%1."/>
      <w:lvlJc w:val="left"/>
      <w:pPr>
        <w:ind w:left="0" w:firstLine="482"/>
      </w:pPr>
      <w:rPr>
        <w:rFonts w:hint="eastAsia"/>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4">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5">
    <w:multiLevelType w:val="hybridMultilevel"/>
    <w:lvl w:ilvl="0">
      <w:start w:val="1"/>
      <w:numFmt w:val="decimal"/>
      <w:isLgl w:val="false"/>
      <w:suff w:val="tab"/>
      <w:lvlText w:val="4.%1"/>
      <w:lvlJc w:val="left"/>
      <w:pPr>
        <w:ind w:left="482" w:hanging="482"/>
      </w:pPr>
      <w:rPr>
        <w:rFonts w:hint="default" w:ascii="Times New Roman" w:hAnsi="Times New Roman" w:eastAsia="宋体"/>
        <w:b/>
        <w:i w:val="0"/>
        <w:color w:val="auto"/>
        <w:sz w:val="24"/>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3.%1"/>
      <w:lvlJc w:val="left"/>
      <w:pPr>
        <w:ind w:left="482" w:hanging="482"/>
      </w:pPr>
      <w:rPr>
        <w:rFonts w:hint="default" w:ascii="Times New Roman" w:hAnsi="Times New Roman" w:eastAsia="宋体"/>
        <w:b/>
        <w:i w:val="0"/>
        <w:color w:val="auto"/>
        <w:sz w:val="24"/>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isLgl w:val="false"/>
      <w:suff w:val="space"/>
      <w:lvlText w:val="10.%1"/>
      <w:lvlJc w:val="left"/>
      <w:pPr>
        <w:ind w:left="420" w:hanging="420"/>
      </w:pPr>
      <w:rPr>
        <w:rFonts w:hint="eastAsia"/>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space"/>
      <w:lvlText w:val="12.%1"/>
      <w:lvlJc w:val="left"/>
      <w:pPr>
        <w:ind w:left="420" w:hanging="420"/>
      </w:pPr>
      <w:rPr>
        <w:rFonts w:hint="eastAsia"/>
        <w:b/>
      </w:rPr>
    </w:lvl>
    <w:lvl w:ilvl="1">
      <w:start w:val="1"/>
      <w:numFmt w:val="decimal"/>
      <w:isLgl w:val="false"/>
      <w:suff w:val="tab"/>
      <w:lvlText w:val="（%2）"/>
      <w:lvlJc w:val="left"/>
      <w:pPr>
        <w:ind w:left="1140" w:hanging="72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isLgl w:val="false"/>
      <w:suff w:val="tab"/>
      <w:lvlText w:val="2.%1"/>
      <w:lvlJc w:val="left"/>
      <w:pPr>
        <w:ind w:left="482" w:hanging="482"/>
      </w:pPr>
      <w:rPr>
        <w:rFonts w:hint="default" w:ascii="Times New Roman" w:hAnsi="Times New Roman" w:eastAsia="宋体"/>
        <w:b/>
        <w:i w:val="0"/>
        <w:color w:val="auto"/>
        <w:sz w:val="24"/>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2">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3">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upperLetter"/>
      <w:isLgl w:val="false"/>
      <w:suff w:val="tab"/>
      <w:lvlText w:val="%1."/>
      <w:lvlJc w:val="left"/>
      <w:pPr>
        <w:ind w:left="0" w:firstLine="482"/>
      </w:pPr>
      <w:rPr>
        <w:rFonts w:hint="eastAsia"/>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6">
    <w:multiLevelType w:val="hybridMultilevel"/>
    <w:lvl w:ilvl="0">
      <w:start w:val="1"/>
      <w:numFmt w:val="decimal"/>
      <w:isLgl w:val="false"/>
      <w:suff w:val="tab"/>
      <w:lvlText w:val="8.%1"/>
      <w:lvlJc w:val="left"/>
      <w:pPr>
        <w:ind w:left="420" w:hanging="420"/>
      </w:pPr>
      <w:rPr>
        <w:rFonts w:hint="eastAsia"/>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isLgl w:val="false"/>
      <w:suff w:val="tab"/>
      <w:lvlText w:val="3.%1"/>
      <w:lvlJc w:val="left"/>
      <w:pPr>
        <w:ind w:left="420" w:hanging="420"/>
      </w:pPr>
      <w:rPr>
        <w:rFonts w:hint="eastAsia"/>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decimal"/>
      <w:isLgl w:val="false"/>
      <w:suff w:val="space"/>
      <w:lvlText w:val="11.%1"/>
      <w:lvlJc w:val="left"/>
      <w:pPr>
        <w:ind w:left="420" w:hanging="420"/>
      </w:pPr>
      <w:rPr>
        <w:rFonts w:hint="eastAsia"/>
        <w:b/>
      </w:rPr>
    </w:lvl>
    <w:lvl w:ilvl="1">
      <w:start w:val="1"/>
      <w:numFmt w:val="decimal"/>
      <w:isLgl w:val="false"/>
      <w:suff w:val="tab"/>
      <w:lvlText w:val="（%2）"/>
      <w:lvlJc w:val="left"/>
      <w:pPr>
        <w:ind w:left="1140" w:hanging="72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9">
    <w:multiLevelType w:val="hybridMultilevel"/>
    <w:lvl w:ilvl="0">
      <w:start w:val="1"/>
      <w:numFmt w:val="decimal"/>
      <w:isLgl w:val="false"/>
      <w:suff w:val="tab"/>
      <w:lvlText w:val="6.%1"/>
      <w:lvlJc w:val="left"/>
      <w:pPr>
        <w:ind w:left="420" w:hanging="420"/>
      </w:pPr>
      <w:rPr>
        <w:rFonts w:hint="eastAsia"/>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0">
    <w:multiLevelType w:val="hybridMultilevel"/>
    <w:lvl w:ilvl="0">
      <w:start w:val="1"/>
      <w:numFmt w:val="decimalEnclosedCircle"/>
      <w:isLgl w:val="false"/>
      <w:suff w:val="tab"/>
      <w:lvlText w:val="%1"/>
      <w:lvlJc w:val="left"/>
      <w:pPr>
        <w:ind w:left="902" w:hanging="420"/>
      </w:pPr>
      <w:rPr>
        <w:rFonts w:hint="default" w:ascii="Times New Roman" w:hAnsi="Times New Roman" w:eastAsia="宋体"/>
        <w:b/>
        <w:i w:val="0"/>
        <w:sz w:val="24"/>
        <w:szCs w:val="21"/>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1">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2">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3">
    <w:multiLevelType w:val="hybridMultilevel"/>
    <w:lvl w:ilvl="0">
      <w:start w:val="1"/>
      <w:numFmt w:val="upperLetter"/>
      <w:isLgl w:val="false"/>
      <w:suff w:val="tab"/>
      <w:lvlText w:val="%1."/>
      <w:lvlJc w:val="left"/>
      <w:pPr>
        <w:ind w:left="0" w:firstLine="482"/>
      </w:pPr>
      <w:rPr>
        <w:rFonts w:hint="eastAsia"/>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4">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5">
    <w:multiLevelType w:val="hybridMultilevel"/>
    <w:lvl w:ilvl="0">
      <w:start w:val="1"/>
      <w:numFmt w:val="decimal"/>
      <w:isLgl w:val="false"/>
      <w:suff w:val="space"/>
      <w:lvlText w:val="14.%1"/>
      <w:lvlJc w:val="left"/>
      <w:pPr>
        <w:ind w:left="420" w:hanging="420"/>
      </w:pPr>
      <w:rPr>
        <w:rFonts w:hint="eastAsia"/>
        <w:b/>
      </w:rPr>
    </w:lvl>
    <w:lvl w:ilvl="1">
      <w:start w:val="1"/>
      <w:numFmt w:val="decimal"/>
      <w:isLgl w:val="false"/>
      <w:suff w:val="tab"/>
      <w:lvlText w:val="（%2）"/>
      <w:lvlJc w:val="left"/>
      <w:pPr>
        <w:ind w:left="1140" w:hanging="72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6">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7">
    <w:multiLevelType w:val="hybridMultilevel"/>
    <w:lvl w:ilvl="0">
      <w:start w:val="1"/>
      <w:numFmt w:val="decimal"/>
      <w:isLgl w:val="false"/>
      <w:suff w:val="tab"/>
      <w:lvlText w:val="%1."/>
      <w:lvlJc w:val="left"/>
      <w:pPr>
        <w:ind w:left="0" w:firstLine="0"/>
      </w:pPr>
      <w:rPr>
        <w:rFonts w:hint="default" w:ascii="Times New Roman" w:hAnsi="Times New Roman" w:eastAsia="宋体"/>
        <w:b/>
        <w:i w:val="0"/>
        <w:sz w:val="24"/>
        <w:szCs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8">
    <w:multiLevelType w:val="hybridMultilevel"/>
    <w:lvl w:ilvl="0">
      <w:start w:val="1"/>
      <w:numFmt w:val="upperLetter"/>
      <w:isLgl w:val="false"/>
      <w:suff w:val="tab"/>
      <w:lvlText w:val="%1."/>
      <w:lvlJc w:val="left"/>
      <w:pPr>
        <w:ind w:left="0" w:firstLine="482"/>
      </w:pPr>
      <w:rPr>
        <w:rFonts w:hint="eastAsia"/>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9">
    <w:multiLevelType w:val="hybridMultilevel"/>
    <w:lvl w:ilvl="0">
      <w:start w:val="1"/>
      <w:numFmt w:val="upperLetter"/>
      <w:isLgl w:val="false"/>
      <w:suff w:val="tab"/>
      <w:lvlText w:val="%1."/>
      <w:lvlJc w:val="left"/>
      <w:pPr>
        <w:ind w:left="0" w:firstLine="482"/>
      </w:pPr>
      <w:rPr>
        <w:rFonts w:hint="eastAsia"/>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0">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51">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2">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3">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4">
    <w:multiLevelType w:val="hybridMultilevel"/>
    <w:lvl w:ilvl="0">
      <w:start w:val="1"/>
      <w:numFmt w:val="upperLetter"/>
      <w:isLgl w:val="false"/>
      <w:suff w:val="tab"/>
      <w:lvlText w:val="%1."/>
      <w:lvlJc w:val="left"/>
      <w:pPr>
        <w:ind w:left="0" w:firstLine="482"/>
      </w:pPr>
      <w:rPr>
        <w:rFonts w:hint="eastAsia"/>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5">
    <w:multiLevelType w:val="hybridMultilevel"/>
    <w:lvl w:ilvl="0">
      <w:start w:val="1"/>
      <w:numFmt w:val="decimal"/>
      <w:isLgl w:val="false"/>
      <w:suff w:val="tab"/>
      <w:lvlText w:val="2.%1"/>
      <w:lvlJc w:val="left"/>
      <w:pPr>
        <w:ind w:left="482" w:hanging="482"/>
      </w:pPr>
      <w:rPr>
        <w:rFonts w:hint="default" w:ascii="Times New Roman" w:hAnsi="Times New Roman" w:eastAsia="宋体"/>
        <w:b/>
        <w:i w:val="0"/>
        <w:color w:val="auto"/>
        <w:sz w:val="24"/>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6">
    <w:multiLevelType w:val="hybridMultilevel"/>
    <w:lvl w:ilvl="0">
      <w:start w:val="1"/>
      <w:numFmt w:val="decimal"/>
      <w:isLgl w:val="false"/>
      <w:suff w:val="nothing"/>
      <w:lvlText w:val="（%1）"/>
      <w:lvlJc w:val="left"/>
      <w:pPr>
        <w:ind w:left="420" w:hanging="420"/>
      </w:pPr>
      <w:rPr>
        <w:rFonts w:hint="default" w:ascii="Times New Roman" w:hAnsi="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7">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8">
    <w:multiLevelType w:val="hybridMultilevel"/>
    <w:lvl w:ilvl="0">
      <w:start w:val="1"/>
      <w:numFmt w:val="chineseCountingThousand"/>
      <w:isLgl w:val="false"/>
      <w:suff w:val="tab"/>
      <w:lvlText w:val="第%1条"/>
      <w:lvlJc w:val="left"/>
      <w:pPr>
        <w:ind w:left="4672" w:hanging="420"/>
      </w:pPr>
      <w:rPr>
        <w:rFonts w:hint="eastAsia"/>
        <w:b/>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9">
    <w:multiLevelType w:val="hybridMultilevel"/>
    <w:lvl w:ilvl="0">
      <w:start w:val="1"/>
      <w:numFmt w:val="decimalEnclosedCircle"/>
      <w:isLgl w:val="false"/>
      <w:suff w:val="tab"/>
      <w:lvlText w:val="%1"/>
      <w:lvlJc w:val="left"/>
      <w:pPr>
        <w:ind w:left="902" w:hanging="420"/>
      </w:pPr>
      <w:rPr>
        <w:rFonts w:hint="default" w:ascii="Times New Roman" w:hAnsi="Times New Roman" w:eastAsia="宋体"/>
        <w:b/>
        <w:i w:val="0"/>
        <w:sz w:val="24"/>
        <w:szCs w:val="21"/>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0">
    <w:multiLevelType w:val="hybridMultilevel"/>
    <w:lvl w:ilvl="0">
      <w:start w:val="1"/>
      <w:numFmt w:val="upperLetter"/>
      <w:isLgl w:val="false"/>
      <w:suff w:val="tab"/>
      <w:lvlText w:val="%1."/>
      <w:lvlJc w:val="left"/>
      <w:pPr>
        <w:ind w:left="0" w:firstLine="482"/>
      </w:pPr>
      <w:rPr>
        <w:rFonts w:hint="eastAsia"/>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1">
    <w:multiLevelType w:val="hybridMultilevel"/>
    <w:lvl w:ilvl="0">
      <w:start w:val="1"/>
      <w:numFmt w:val="upperLetter"/>
      <w:isLgl w:val="false"/>
      <w:suff w:val="tab"/>
      <w:lvlText w:val="%1."/>
      <w:lvlJc w:val="left"/>
      <w:pPr>
        <w:ind w:left="0" w:firstLine="482"/>
      </w:pPr>
      <w:rPr>
        <w:rFonts w:hint="eastAsia"/>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2">
    <w:multiLevelType w:val="hybridMultilevel"/>
    <w:lvl w:ilvl="0">
      <w:start w:val="1"/>
      <w:numFmt w:val="decimal"/>
      <w:isLgl w:val="false"/>
      <w:suff w:val="tab"/>
      <w:lvlText w:val="2.%1"/>
      <w:lvlJc w:val="left"/>
      <w:pPr>
        <w:ind w:left="482" w:hanging="482"/>
      </w:pPr>
      <w:rPr>
        <w:rFonts w:hint="default" w:ascii="Times New Roman" w:hAnsi="Times New Roman" w:eastAsia="宋体"/>
        <w:b/>
        <w:i w:val="0"/>
        <w:color w:val="auto"/>
        <w:sz w:val="24"/>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3">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4">
    <w:multiLevelType w:val="hybridMultilevel"/>
    <w:lvl w:ilvl="0">
      <w:start w:val="1"/>
      <w:numFmt w:val="decimal"/>
      <w:isLgl w:val="false"/>
      <w:suff w:val="tab"/>
      <w:lvlText w:val="1.%1"/>
      <w:lvlJc w:val="left"/>
      <w:pPr>
        <w:ind w:left="420" w:hanging="420"/>
      </w:pPr>
      <w:rPr>
        <w:rFonts w:hint="eastAsia"/>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5">
    <w:multiLevelType w:val="hybridMultilevel"/>
    <w:lvl w:ilvl="0">
      <w:start w:val="1"/>
      <w:numFmt w:val="upperLetter"/>
      <w:isLgl w:val="false"/>
      <w:suff w:val="tab"/>
      <w:lvlText w:val="%1."/>
      <w:lvlJc w:val="left"/>
      <w:pPr>
        <w:ind w:left="0" w:firstLine="482"/>
      </w:pPr>
      <w:rPr>
        <w:rFonts w:hint="eastAsia"/>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6">
    <w:multiLevelType w:val="hybridMultilevel"/>
    <w:lvl w:ilvl="0">
      <w:start w:val="1"/>
      <w:numFmt w:val="decimal"/>
      <w:isLgl w:val="false"/>
      <w:suff w:val="tab"/>
      <w:lvlText w:val="6.%1"/>
      <w:lvlJc w:val="left"/>
      <w:pPr>
        <w:ind w:left="482" w:hanging="482"/>
      </w:pPr>
      <w:rPr>
        <w:rFonts w:hint="default" w:ascii="Times New Roman" w:hAnsi="Times New Roman" w:eastAsia="宋体"/>
        <w:b/>
        <w:i w:val="0"/>
        <w:color w:val="auto"/>
        <w:sz w:val="24"/>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7">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8">
    <w:multiLevelType w:val="hybridMultilevel"/>
    <w:lvl w:ilvl="0">
      <w:start w:val="1"/>
      <w:numFmt w:val="upperLetter"/>
      <w:isLgl w:val="false"/>
      <w:suff w:val="tab"/>
      <w:lvlText w:val="%1."/>
      <w:lvlJc w:val="left"/>
      <w:pPr>
        <w:ind w:left="0" w:firstLine="482"/>
      </w:pPr>
      <w:rPr>
        <w:rFonts w:hint="eastAsia"/>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9">
    <w:multiLevelType w:val="hybridMultilevel"/>
    <w:lvl w:ilvl="0">
      <w:start w:val="1"/>
      <w:numFmt w:val="decimalEnclosedCircle"/>
      <w:isLgl w:val="false"/>
      <w:suff w:val="tab"/>
      <w:lvlText w:val="%1"/>
      <w:lvlJc w:val="left"/>
      <w:pPr>
        <w:ind w:left="902" w:hanging="420"/>
      </w:pPr>
      <w:rPr>
        <w:rFonts w:hint="default" w:ascii="Times New Roman" w:hAnsi="Times New Roman" w:eastAsia="宋体"/>
        <w:b/>
        <w:i w:val="0"/>
        <w:sz w:val="24"/>
        <w:szCs w:val="21"/>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0">
    <w:multiLevelType w:val="hybridMultilevel"/>
    <w:lvl w:ilvl="0">
      <w:start w:val="1"/>
      <w:numFmt w:val="decimalEnclosedCircle"/>
      <w:isLgl w:val="false"/>
      <w:suff w:val="tab"/>
      <w:lvlText w:val="%1"/>
      <w:lvlJc w:val="left"/>
      <w:pPr>
        <w:ind w:left="902" w:hanging="420"/>
      </w:pPr>
      <w:rPr>
        <w:rFonts w:hint="default" w:ascii="Times New Roman" w:hAnsi="Times New Roman" w:eastAsia="宋体"/>
        <w:b/>
        <w:i w:val="0"/>
        <w:sz w:val="24"/>
        <w:szCs w:val="21"/>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1">
    <w:multiLevelType w:val="hybridMultilevel"/>
    <w:lvl w:ilvl="0">
      <w:start w:val="1"/>
      <w:numFmt w:val="upperLetter"/>
      <w:isLgl w:val="false"/>
      <w:suff w:val="tab"/>
      <w:lvlText w:val="%1."/>
      <w:lvlJc w:val="left"/>
      <w:pPr>
        <w:ind w:left="0" w:firstLine="482"/>
      </w:pPr>
      <w:rPr>
        <w:rFonts w:hint="eastAsia"/>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2">
    <w:multiLevelType w:val="hybridMultilevel"/>
    <w:lvl w:ilvl="0">
      <w:start w:val="1"/>
      <w:numFmt w:val="decimal"/>
      <w:isLgl w:val="false"/>
      <w:suff w:val="space"/>
      <w:lvlText w:val="15.%1"/>
      <w:lvlJc w:val="left"/>
      <w:pPr>
        <w:ind w:left="420" w:hanging="420"/>
      </w:pPr>
      <w:rPr>
        <w:rFonts w:hint="eastAsia"/>
        <w:b/>
      </w:rPr>
    </w:lvl>
    <w:lvl w:ilvl="1">
      <w:start w:val="1"/>
      <w:numFmt w:val="decimal"/>
      <w:isLgl w:val="false"/>
      <w:suff w:val="tab"/>
      <w:lvlText w:val="（%2）"/>
      <w:lvlJc w:val="left"/>
      <w:pPr>
        <w:ind w:left="1140" w:hanging="72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3">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4">
    <w:multiLevelType w:val="hybridMultilevel"/>
    <w:lvl w:ilvl="0">
      <w:start w:val="1"/>
      <w:numFmt w:val="decimal"/>
      <w:isLgl w:val="false"/>
      <w:suff w:val="tab"/>
      <w:lvlText w:val="9.%1"/>
      <w:lvlJc w:val="left"/>
      <w:pPr>
        <w:ind w:left="420" w:hanging="420"/>
      </w:pPr>
      <w:rPr>
        <w:rFonts w:hint="eastAsia"/>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5">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6">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7">
    <w:multiLevelType w:val="hybridMultilevel"/>
    <w:lvl w:ilvl="0">
      <w:start w:val="1"/>
      <w:numFmt w:val="decimal"/>
      <w:isLgl w:val="false"/>
      <w:suff w:val="tab"/>
      <w:lvlText w:val="%1."/>
      <w:lvlJc w:val="left"/>
      <w:pPr>
        <w:ind w:left="0" w:firstLine="0"/>
      </w:pPr>
      <w:rPr>
        <w:rFonts w:hint="default" w:ascii="Times New Roman" w:hAnsi="Times New Roman" w:eastAsia="宋体"/>
        <w:b/>
        <w:i w:val="0"/>
        <w:sz w:val="24"/>
        <w:szCs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8">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9">
    <w:multiLevelType w:val="hybridMultilevel"/>
    <w:lvl w:ilvl="0">
      <w:start w:val="1"/>
      <w:numFmt w:val="decimal"/>
      <w:isLgl w:val="false"/>
      <w:suff w:val="tab"/>
      <w:lvlText w:val="%1."/>
      <w:lvlJc w:val="left"/>
      <w:pPr>
        <w:ind w:left="0" w:firstLine="0"/>
      </w:pPr>
      <w:rPr>
        <w:rFonts w:hint="default" w:ascii="Times New Roman" w:hAnsi="Times New Roman" w:eastAsia="宋体"/>
        <w:b/>
        <w:i w:val="0"/>
        <w:sz w:val="24"/>
        <w:szCs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0">
    <w:multiLevelType w:val="hybridMultilevel"/>
    <w:lvl w:ilvl="0">
      <w:start w:val="1"/>
      <w:numFmt w:val="decimal"/>
      <w:isLgl w:val="false"/>
      <w:suff w:val="space"/>
      <w:lvlText w:val="13.%1"/>
      <w:lvlJc w:val="left"/>
      <w:pPr>
        <w:ind w:left="420" w:hanging="420"/>
      </w:pPr>
      <w:rPr>
        <w:rFonts w:hint="eastAsia"/>
        <w:b/>
      </w:rPr>
    </w:lvl>
    <w:lvl w:ilvl="1">
      <w:start w:val="1"/>
      <w:numFmt w:val="decimal"/>
      <w:isLgl w:val="false"/>
      <w:suff w:val="tab"/>
      <w:lvlText w:val="（%2）"/>
      <w:lvlJc w:val="left"/>
      <w:pPr>
        <w:ind w:left="1140" w:hanging="72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1">
    <w:multiLevelType w:val="hybridMultilevel"/>
    <w:lvl w:ilvl="0">
      <w:start w:val="1"/>
      <w:numFmt w:val="decimal"/>
      <w:isLgl w:val="false"/>
      <w:suff w:val="tab"/>
      <w:lvlText w:val="1.%1"/>
      <w:lvlJc w:val="left"/>
      <w:pPr>
        <w:ind w:left="482" w:hanging="482"/>
      </w:pPr>
      <w:rPr>
        <w:rFonts w:hint="default" w:ascii="Times New Roman" w:hAnsi="Times New Roman" w:eastAsia="宋体"/>
        <w:b/>
        <w:i w:val="0"/>
        <w:color w:val="auto"/>
        <w:sz w:val="24"/>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2">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3">
    <w:multiLevelType w:val="hybridMultilevel"/>
    <w:lvl w:ilvl="0">
      <w:start w:val="1"/>
      <w:numFmt w:val="decimal"/>
      <w:isLgl w:val="false"/>
      <w:suff w:val="tab"/>
      <w:lvlText w:val="1.%1"/>
      <w:lvlJc w:val="left"/>
      <w:pPr>
        <w:ind w:left="482" w:hanging="482"/>
      </w:pPr>
      <w:rPr>
        <w:rFonts w:hint="default" w:ascii="Times New Roman" w:hAnsi="Times New Roman" w:eastAsia="宋体"/>
        <w:b/>
        <w:i w:val="0"/>
        <w:color w:val="auto"/>
        <w:sz w:val="24"/>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4">
    <w:multiLevelType w:val="hybridMultilevel"/>
    <w:lvl w:ilvl="0">
      <w:start w:val="1"/>
      <w:numFmt w:val="decimal"/>
      <w:isLgl w:val="false"/>
      <w:suff w:val="tab"/>
      <w:lvlText w:val="4.%1"/>
      <w:lvlJc w:val="left"/>
      <w:pPr>
        <w:ind w:left="482" w:hanging="482"/>
      </w:pPr>
      <w:rPr>
        <w:rFonts w:hint="default" w:ascii="Times New Roman" w:hAnsi="Times New Roman" w:eastAsia="宋体"/>
        <w:b/>
        <w:i w:val="0"/>
        <w:color w:val="auto"/>
        <w:sz w:val="24"/>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5">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6">
    <w:multiLevelType w:val="hybridMultilevel"/>
    <w:lvl w:ilvl="0">
      <w:start w:val="1"/>
      <w:numFmt w:val="decimalEnclosedCircle"/>
      <w:isLgl w:val="false"/>
      <w:suff w:val="tab"/>
      <w:lvlText w:val="%1"/>
      <w:lvlJc w:val="left"/>
      <w:pPr>
        <w:ind w:left="902" w:hanging="420"/>
      </w:pPr>
      <w:rPr>
        <w:rFonts w:hint="default" w:ascii="Times New Roman" w:hAnsi="Times New Roman" w:eastAsia="宋体"/>
        <w:b/>
        <w:i w:val="0"/>
        <w:sz w:val="24"/>
        <w:szCs w:val="21"/>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7">
    <w:multiLevelType w:val="hybridMultilevel"/>
    <w:lvl w:ilvl="0">
      <w:start w:val="1"/>
      <w:numFmt w:val="decimal"/>
      <w:isLgl w:val="false"/>
      <w:suff w:val="tab"/>
      <w:lvlText w:val="4.%1"/>
      <w:lvlJc w:val="left"/>
      <w:pPr>
        <w:ind w:left="420" w:hanging="420"/>
      </w:pPr>
      <w:rPr>
        <w:rFonts w:hint="eastAsia"/>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8">
    <w:multiLevelType w:val="hybridMultilevel"/>
    <w:lvl w:ilvl="0">
      <w:start w:val="1"/>
      <w:numFmt w:val="decimal"/>
      <w:isLgl w:val="false"/>
      <w:suff w:val="tab"/>
      <w:lvlText w:val="7.%1"/>
      <w:lvlJc w:val="left"/>
      <w:pPr>
        <w:ind w:left="420" w:hanging="420"/>
      </w:pPr>
      <w:rPr>
        <w:rFonts w:hint="eastAsia"/>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9">
    <w:multiLevelType w:val="hybridMultilevel"/>
    <w:lvl w:ilvl="0">
      <w:start w:val="1"/>
      <w:numFmt w:val="decimal"/>
      <w:isLgl w:val="false"/>
      <w:suff w:val="tab"/>
      <w:lvlText w:val="6.%1"/>
      <w:lvlJc w:val="left"/>
      <w:pPr>
        <w:ind w:left="482" w:hanging="482"/>
      </w:pPr>
      <w:rPr>
        <w:rFonts w:hint="default" w:ascii="Times New Roman" w:hAnsi="Times New Roman" w:eastAsia="宋体"/>
        <w:b/>
        <w:i w:val="0"/>
        <w:color w:val="auto"/>
        <w:sz w:val="24"/>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0">
    <w:multiLevelType w:val="hybridMultilevel"/>
    <w:lvl w:ilvl="0">
      <w:start w:val="1"/>
      <w:numFmt w:val="upperLetter"/>
      <w:isLgl w:val="false"/>
      <w:suff w:val="tab"/>
      <w:lvlText w:val="%1."/>
      <w:lvlJc w:val="left"/>
      <w:pPr>
        <w:ind w:left="0" w:firstLine="482"/>
      </w:pPr>
      <w:rPr>
        <w:rFonts w:hint="eastAsia"/>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1">
    <w:multiLevelType w:val="hybridMultilevel"/>
    <w:lvl w:ilvl="0">
      <w:start w:val="1"/>
      <w:numFmt w:val="decimal"/>
      <w:isLgl w:val="false"/>
      <w:suff w:val="tab"/>
      <w:lvlText w:val="5.%1"/>
      <w:lvlJc w:val="left"/>
      <w:pPr>
        <w:ind w:left="420" w:hanging="420"/>
      </w:pPr>
      <w:rPr>
        <w:rFonts w:hint="eastAsia"/>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2">
    <w:multiLevelType w:val="hybridMultilevel"/>
    <w:lvl w:ilvl="0">
      <w:start w:val="1"/>
      <w:numFmt w:val="decimal"/>
      <w:isLgl w:val="false"/>
      <w:suff w:val="tab"/>
      <w:lvlText w:val="3.%1"/>
      <w:lvlJc w:val="left"/>
      <w:pPr>
        <w:ind w:left="482" w:hanging="482"/>
      </w:pPr>
      <w:rPr>
        <w:rFonts w:hint="default" w:ascii="Times New Roman" w:hAnsi="Times New Roman" w:eastAsia="宋体"/>
        <w:b/>
        <w:i w:val="0"/>
        <w:color w:val="auto"/>
        <w:sz w:val="24"/>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3">
    <w:multiLevelType w:val="hybridMultilevel"/>
    <w:lvl w:ilvl="0">
      <w:start w:val="1"/>
      <w:numFmt w:val="decimalEnclosedCircle"/>
      <w:isLgl w:val="false"/>
      <w:suff w:val="tab"/>
      <w:lvlText w:val="%1"/>
      <w:lvlJc w:val="left"/>
      <w:pPr>
        <w:ind w:left="902" w:hanging="420"/>
      </w:pPr>
      <w:rPr>
        <w:rFonts w:hint="default" w:ascii="Times New Roman" w:hAnsi="Times New Roman" w:eastAsia="宋体"/>
        <w:b/>
        <w:i w:val="0"/>
        <w:sz w:val="24"/>
        <w:szCs w:val="21"/>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4">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5">
    <w:multiLevelType w:val="hybridMultilevel"/>
    <w:lvl w:ilvl="0">
      <w:start w:val="1"/>
      <w:numFmt w:val="decimal"/>
      <w:isLgl w:val="false"/>
      <w:suff w:val="nothing"/>
      <w:lvlText w:val="（%1）"/>
      <w:lvlJc w:val="left"/>
      <w:pPr>
        <w:ind w:left="420" w:hanging="420"/>
      </w:pPr>
      <w:rPr>
        <w:rFonts w:hint="default" w:ascii="Times New Roman" w:hAnsi="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6">
    <w:multiLevelType w:val="hybridMultilevel"/>
    <w:lvl w:ilvl="0">
      <w:start w:val="1"/>
      <w:numFmt w:val="decimal"/>
      <w:isLgl w:val="false"/>
      <w:suff w:val="tab"/>
      <w:lvlText w:val="5.%1"/>
      <w:lvlJc w:val="left"/>
      <w:pPr>
        <w:ind w:left="482" w:hanging="482"/>
      </w:pPr>
      <w:rPr>
        <w:rFonts w:hint="default" w:ascii="Times New Roman" w:hAnsi="Times New Roman" w:eastAsia="宋体"/>
        <w:b/>
        <w:i w:val="0"/>
        <w:color w:val="auto"/>
        <w:sz w:val="24"/>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7">
    <w:multiLevelType w:val="hybridMultilevel"/>
    <w:lvl w:ilvl="0">
      <w:start w:val="1"/>
      <w:numFmt w:val="decimal"/>
      <w:isLgl w:val="false"/>
      <w:suff w:val="tab"/>
      <w:lvlText w:val="1.%1"/>
      <w:lvlJc w:val="left"/>
      <w:pPr>
        <w:ind w:left="482" w:hanging="482"/>
      </w:pPr>
      <w:rPr>
        <w:rFonts w:hint="default" w:ascii="Times New Roman" w:hAnsi="Times New Roman" w:eastAsia="宋体"/>
        <w:b/>
        <w:i w:val="0"/>
        <w:color w:val="auto"/>
        <w:sz w:val="24"/>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8">
    <w:multiLevelType w:val="hybridMultilevel"/>
    <w:lvl w:ilvl="0">
      <w:start w:val="1"/>
      <w:numFmt w:val="upperLetter"/>
      <w:isLgl w:val="false"/>
      <w:suff w:val="tab"/>
      <w:lvlText w:val="%1."/>
      <w:lvlJc w:val="left"/>
      <w:pPr>
        <w:ind w:left="0" w:firstLine="482"/>
      </w:pPr>
      <w:rPr>
        <w:rFonts w:hint="eastAsia"/>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9">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0">
    <w:multiLevelType w:val="hybridMultilevel"/>
    <w:lvl w:ilvl="0">
      <w:start w:val="1"/>
      <w:numFmt w:val="upperLetter"/>
      <w:isLgl w:val="false"/>
      <w:suff w:val="tab"/>
      <w:lvlText w:val="%1."/>
      <w:lvlJc w:val="left"/>
      <w:pPr>
        <w:ind w:left="0" w:firstLine="482"/>
      </w:pPr>
      <w:rPr>
        <w:rFonts w:hint="eastAsia"/>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01">
    <w:multiLevelType w:val="hybridMultilevel"/>
    <w:lvl w:ilvl="0">
      <w:start w:val="1"/>
      <w:numFmt w:val="decimalEnclosedCircle"/>
      <w:isLgl w:val="false"/>
      <w:suff w:val="tab"/>
      <w:lvlText w:val="%1"/>
      <w:lvlJc w:val="left"/>
      <w:pPr>
        <w:ind w:left="902" w:hanging="420"/>
      </w:pPr>
      <w:rPr>
        <w:rFonts w:hint="default" w:ascii="Times New Roman" w:hAnsi="Times New Roman" w:eastAsia="宋体"/>
        <w:b/>
        <w:i w:val="0"/>
        <w:sz w:val="24"/>
        <w:szCs w:val="21"/>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02">
    <w:multiLevelType w:val="hybridMultilevel"/>
    <w:lvl w:ilvl="0">
      <w:start w:val="1"/>
      <w:numFmt w:val="decimal"/>
      <w:isLgl w:val="false"/>
      <w:suff w:val="nothing"/>
      <w:lvlText w:val="（%1）"/>
      <w:lvlJc w:val="left"/>
      <w:pPr>
        <w:ind w:left="420" w:hanging="420"/>
      </w:pPr>
      <w:rPr>
        <w:rFonts w:hint="default" w:ascii="Times New Roman" w:hAnsi="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3">
    <w:multiLevelType w:val="hybridMultilevel"/>
    <w:lvl w:ilvl="0">
      <w:start w:val="1"/>
      <w:numFmt w:val="decimal"/>
      <w:isLgl w:val="false"/>
      <w:suff w:val="space"/>
      <w:lvlText w:val="17.%1"/>
      <w:lvlJc w:val="left"/>
      <w:pPr>
        <w:ind w:left="420" w:hanging="420"/>
      </w:pPr>
      <w:rPr>
        <w:rFonts w:hint="eastAsia"/>
        <w:b/>
      </w:rPr>
    </w:lvl>
    <w:lvl w:ilvl="1">
      <w:start w:val="1"/>
      <w:numFmt w:val="decimal"/>
      <w:isLgl w:val="false"/>
      <w:suff w:val="tab"/>
      <w:lvlText w:val="（%2）"/>
      <w:lvlJc w:val="left"/>
      <w:pPr>
        <w:ind w:left="1140" w:hanging="72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4">
    <w:multiLevelType w:val="hybridMultilevel"/>
    <w:lvl w:ilvl="0">
      <w:start w:val="1"/>
      <w:numFmt w:val="bullet"/>
      <w:isLgl w:val="false"/>
      <w:suff w:val="tab"/>
      <w:lvlText w:val="◇"/>
      <w:lvlJc w:val="left"/>
      <w:pPr>
        <w:ind w:left="358" w:firstLine="124"/>
        <w:tabs>
          <w:tab w:val="left" w:pos="840" w:leader="none"/>
        </w:tabs>
      </w:pPr>
      <w:rPr>
        <w:rFonts w:ascii="Arial Unicode MS" w:hAnsi="Arial Unicode MS" w:eastAsia="Arial Unicode MS" w:cs="Arial Unicode MS"/>
        <w:b w:val="0"/>
        <w:bCs w:val="0"/>
        <w:i w:val="0"/>
        <w:iCs w:val="0"/>
        <w:caps w:val="0"/>
        <w:smallCaps w:val="0"/>
        <w:strike w:val="0"/>
        <w:spacing w:val="0"/>
        <w:position w:val="0"/>
        <w:highlight w:val="none"/>
        <w:vertAlign w:val="baseline"/>
      </w:rPr>
    </w:lvl>
    <w:lvl w:ilvl="1">
      <w:start w:val="1"/>
      <w:numFmt w:val="bullet"/>
      <w:isLgl w:val="false"/>
      <w:suff w:val="tab"/>
      <w:lvlText w:val="■"/>
      <w:lvlJc w:val="left"/>
      <w:pPr>
        <w:ind w:left="1320" w:firstLine="64"/>
        <w:tabs>
          <w:tab w:val="left" w:pos="1802" w:leader="none"/>
        </w:tabs>
      </w:pPr>
      <w:rPr>
        <w:rFonts w:ascii="Arial Unicode MS" w:hAnsi="Arial Unicode MS" w:eastAsia="Arial Unicode MS" w:cs="Arial Unicode MS"/>
        <w:b w:val="0"/>
        <w:bCs w:val="0"/>
        <w:i w:val="0"/>
        <w:iCs w:val="0"/>
        <w:caps w:val="0"/>
        <w:smallCaps w:val="0"/>
        <w:strike w:val="0"/>
        <w:spacing w:val="0"/>
        <w:position w:val="0"/>
        <w:highlight w:val="none"/>
        <w:vertAlign w:val="baseline"/>
      </w:rPr>
    </w:lvl>
    <w:lvl w:ilvl="2">
      <w:start w:val="1"/>
      <w:numFmt w:val="bullet"/>
      <w:isLgl w:val="false"/>
      <w:suff w:val="tab"/>
      <w:lvlText w:val="◆"/>
      <w:lvlJc w:val="left"/>
      <w:pPr>
        <w:ind w:left="1740" w:firstLine="64"/>
        <w:tabs>
          <w:tab w:val="left" w:pos="2222" w:leader="none"/>
        </w:tabs>
      </w:pPr>
      <w:rPr>
        <w:rFonts w:ascii="Arial Unicode MS" w:hAnsi="Arial Unicode MS" w:eastAsia="Arial Unicode MS" w:cs="Arial Unicode MS"/>
        <w:b w:val="0"/>
        <w:bCs w:val="0"/>
        <w:i w:val="0"/>
        <w:iCs w:val="0"/>
        <w:caps w:val="0"/>
        <w:smallCaps w:val="0"/>
        <w:strike w:val="0"/>
        <w:spacing w:val="0"/>
        <w:position w:val="0"/>
        <w:highlight w:val="none"/>
        <w:vertAlign w:val="baseline"/>
      </w:rPr>
    </w:lvl>
    <w:lvl w:ilvl="3">
      <w:start w:val="1"/>
      <w:numFmt w:val="bullet"/>
      <w:isLgl w:val="false"/>
      <w:suff w:val="tab"/>
      <w:lvlText w:val="●"/>
      <w:lvlJc w:val="left"/>
      <w:pPr>
        <w:ind w:left="2160" w:firstLine="64"/>
        <w:tabs>
          <w:tab w:val="left" w:pos="2642" w:leader="none"/>
        </w:tabs>
      </w:pPr>
      <w:rPr>
        <w:rFonts w:ascii="Arial Unicode MS" w:hAnsi="Arial Unicode MS" w:eastAsia="Arial Unicode MS" w:cs="Arial Unicode MS"/>
        <w:b w:val="0"/>
        <w:bCs w:val="0"/>
        <w:i w:val="0"/>
        <w:iCs w:val="0"/>
        <w:caps w:val="0"/>
        <w:smallCaps w:val="0"/>
        <w:strike w:val="0"/>
        <w:spacing w:val="0"/>
        <w:position w:val="0"/>
        <w:highlight w:val="none"/>
        <w:vertAlign w:val="baseline"/>
      </w:rPr>
    </w:lvl>
    <w:lvl w:ilvl="4">
      <w:start w:val="1"/>
      <w:numFmt w:val="bullet"/>
      <w:isLgl w:val="false"/>
      <w:suff w:val="tab"/>
      <w:lvlText w:val="■"/>
      <w:lvlJc w:val="left"/>
      <w:pPr>
        <w:ind w:left="2580" w:firstLine="64"/>
        <w:tabs>
          <w:tab w:val="left" w:pos="3062" w:leader="none"/>
        </w:tabs>
      </w:pPr>
      <w:rPr>
        <w:rFonts w:ascii="Arial Unicode MS" w:hAnsi="Arial Unicode MS" w:eastAsia="Arial Unicode MS" w:cs="Arial Unicode MS"/>
        <w:b w:val="0"/>
        <w:bCs w:val="0"/>
        <w:i w:val="0"/>
        <w:iCs w:val="0"/>
        <w:caps w:val="0"/>
        <w:smallCaps w:val="0"/>
        <w:strike w:val="0"/>
        <w:spacing w:val="0"/>
        <w:position w:val="0"/>
        <w:highlight w:val="none"/>
        <w:vertAlign w:val="baseline"/>
      </w:rPr>
    </w:lvl>
    <w:lvl w:ilvl="5">
      <w:start w:val="1"/>
      <w:numFmt w:val="bullet"/>
      <w:isLgl w:val="false"/>
      <w:suff w:val="tab"/>
      <w:lvlText w:val="◆"/>
      <w:lvlJc w:val="left"/>
      <w:pPr>
        <w:ind w:left="3000" w:firstLine="64"/>
        <w:tabs>
          <w:tab w:val="left" w:pos="3482" w:leader="none"/>
        </w:tabs>
      </w:pPr>
      <w:rPr>
        <w:rFonts w:ascii="Arial Unicode MS" w:hAnsi="Arial Unicode MS" w:eastAsia="Arial Unicode MS" w:cs="Arial Unicode MS"/>
        <w:b w:val="0"/>
        <w:bCs w:val="0"/>
        <w:i w:val="0"/>
        <w:iCs w:val="0"/>
        <w:caps w:val="0"/>
        <w:smallCaps w:val="0"/>
        <w:strike w:val="0"/>
        <w:spacing w:val="0"/>
        <w:position w:val="0"/>
        <w:highlight w:val="none"/>
        <w:vertAlign w:val="baseline"/>
      </w:rPr>
    </w:lvl>
    <w:lvl w:ilvl="6">
      <w:start w:val="1"/>
      <w:numFmt w:val="bullet"/>
      <w:isLgl w:val="false"/>
      <w:suff w:val="tab"/>
      <w:lvlText w:val="●"/>
      <w:lvlJc w:val="left"/>
      <w:pPr>
        <w:ind w:left="3420" w:firstLine="64"/>
        <w:tabs>
          <w:tab w:val="left" w:pos="3902" w:leader="none"/>
        </w:tabs>
      </w:pPr>
      <w:rPr>
        <w:rFonts w:ascii="Arial Unicode MS" w:hAnsi="Arial Unicode MS" w:eastAsia="Arial Unicode MS" w:cs="Arial Unicode MS"/>
        <w:b w:val="0"/>
        <w:bCs w:val="0"/>
        <w:i w:val="0"/>
        <w:iCs w:val="0"/>
        <w:caps w:val="0"/>
        <w:smallCaps w:val="0"/>
        <w:strike w:val="0"/>
        <w:spacing w:val="0"/>
        <w:position w:val="0"/>
        <w:highlight w:val="none"/>
        <w:vertAlign w:val="baseline"/>
      </w:rPr>
    </w:lvl>
    <w:lvl w:ilvl="7">
      <w:start w:val="1"/>
      <w:numFmt w:val="bullet"/>
      <w:isLgl w:val="false"/>
      <w:suff w:val="tab"/>
      <w:lvlText w:val="■"/>
      <w:lvlJc w:val="left"/>
      <w:pPr>
        <w:ind w:left="3840" w:firstLine="64"/>
        <w:tabs>
          <w:tab w:val="left" w:pos="4322" w:leader="none"/>
        </w:tabs>
      </w:pPr>
      <w:rPr>
        <w:rFonts w:ascii="Arial Unicode MS" w:hAnsi="Arial Unicode MS" w:eastAsia="Arial Unicode MS" w:cs="Arial Unicode MS"/>
        <w:b w:val="0"/>
        <w:bCs w:val="0"/>
        <w:i w:val="0"/>
        <w:iCs w:val="0"/>
        <w:caps w:val="0"/>
        <w:smallCaps w:val="0"/>
        <w:strike w:val="0"/>
        <w:spacing w:val="0"/>
        <w:position w:val="0"/>
        <w:highlight w:val="none"/>
        <w:vertAlign w:val="baseline"/>
      </w:rPr>
    </w:lvl>
    <w:lvl w:ilvl="8">
      <w:start w:val="1"/>
      <w:numFmt w:val="bullet"/>
      <w:isLgl w:val="false"/>
      <w:suff w:val="tab"/>
      <w:lvlText w:val="◆"/>
      <w:lvlJc w:val="left"/>
      <w:pPr>
        <w:ind w:left="4260" w:firstLine="64"/>
        <w:tabs>
          <w:tab w:val="left" w:pos="4742" w:leader="none"/>
        </w:tabs>
      </w:pPr>
      <w:rPr>
        <w:rFonts w:ascii="Arial Unicode MS" w:hAnsi="Arial Unicode MS" w:eastAsia="Arial Unicode MS" w:cs="Arial Unicode MS"/>
        <w:b w:val="0"/>
        <w:bCs w:val="0"/>
        <w:i w:val="0"/>
        <w:iCs w:val="0"/>
        <w:caps w:val="0"/>
        <w:smallCaps w:val="0"/>
        <w:strike w:val="0"/>
        <w:spacing w:val="0"/>
        <w:position w:val="0"/>
        <w:highlight w:val="none"/>
        <w:vertAlign w:val="baseline"/>
      </w:rPr>
    </w:lvl>
  </w:abstractNum>
  <w:abstractNum w:abstractNumId="105">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6">
    <w:multiLevelType w:val="hybridMultilevel"/>
    <w:lvl w:ilvl="0">
      <w:start w:val="1"/>
      <w:numFmt w:val="decimal"/>
      <w:isLgl w:val="false"/>
      <w:suff w:val="nothing"/>
      <w:lvlText w:val="（%1）"/>
      <w:lvlJc w:val="left"/>
      <w:pPr>
        <w:ind w:left="420" w:hanging="420"/>
      </w:pPr>
      <w:rPr>
        <w:rFonts w:hint="default" w:ascii="Times New Roman" w:hAnsi="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7">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8">
    <w:multiLevelType w:val="hybridMultilevel"/>
    <w:lvl w:ilvl="0">
      <w:start w:val="1"/>
      <w:numFmt w:val="bullet"/>
      <w:isLgl w:val="false"/>
      <w:suff w:val="tab"/>
      <w:lvlText w:val=""/>
      <w:lvlJc w:val="left"/>
      <w:pPr>
        <w:ind w:left="0" w:firstLine="48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09">
    <w:multiLevelType w:val="hybridMultilevel"/>
    <w:lvl w:ilvl="0">
      <w:start w:val="1"/>
      <w:numFmt w:val="upperLetter"/>
      <w:isLgl w:val="false"/>
      <w:suff w:val="tab"/>
      <w:lvlText w:val="%1."/>
      <w:lvlJc w:val="left"/>
      <w:pPr>
        <w:ind w:left="0" w:firstLine="482"/>
      </w:pPr>
      <w:rPr>
        <w:rFonts w:hint="eastAsia"/>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0">
    <w:multiLevelType w:val="hybridMultilevel"/>
    <w:lvl w:ilvl="0">
      <w:start w:val="1"/>
      <w:numFmt w:val="decimal"/>
      <w:isLgl w:val="false"/>
      <w:suff w:val="tab"/>
      <w:lvlText w:val="(%1)"/>
      <w:lvlJc w:val="left"/>
      <w:pPr>
        <w:ind w:left="482" w:firstLine="0"/>
        <w:tabs>
          <w:tab w:val="left" w:pos="482" w:leader="none"/>
        </w:tabs>
      </w:pPr>
      <w:rPr>
        <w:rFonts w:hint="default" w:ascii="Times New Roman" w:hAnsi="Times New Roman" w:cs="Times New Roman"/>
        <w:b/>
        <w:i w:val="0"/>
        <w:sz w:val="24"/>
        <w:szCs w:val="24"/>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num>
  <w:num w:numId="3">
    <w:abstractNumId w:val="6"/>
    <w:lvlOverride w:ilvl="0">
      <w:startOverride w:val="2"/>
    </w:lvlOverride>
  </w:num>
  <w:num w:numId="4">
    <w:abstractNumId w:val="26"/>
  </w:num>
  <w:num w:numId="5">
    <w:abstractNumId w:val="3"/>
  </w:num>
  <w:num w:numId="6">
    <w:abstractNumId w:val="0"/>
  </w:num>
  <w:num w:numId="7">
    <w:abstractNumId w:val="2"/>
  </w:num>
  <w:num w:numId="8">
    <w:abstractNumId w:val="58"/>
  </w:num>
  <w:num w:numId="9">
    <w:abstractNumId w:val="64"/>
  </w:num>
  <w:num w:numId="10">
    <w:abstractNumId w:val="21"/>
  </w:num>
  <w:num w:numId="11">
    <w:abstractNumId w:val="37"/>
  </w:num>
  <w:num w:numId="12">
    <w:abstractNumId w:val="87"/>
  </w:num>
  <w:num w:numId="13">
    <w:abstractNumId w:val="91"/>
  </w:num>
  <w:num w:numId="14">
    <w:abstractNumId w:val="39"/>
  </w:num>
  <w:num w:numId="15">
    <w:abstractNumId w:val="88"/>
  </w:num>
  <w:num w:numId="16">
    <w:abstractNumId w:val="36"/>
  </w:num>
  <w:num w:numId="17">
    <w:abstractNumId w:val="74"/>
  </w:num>
  <w:num w:numId="18">
    <w:abstractNumId w:val="28"/>
  </w:num>
  <w:num w:numId="19">
    <w:abstractNumId w:val="38"/>
  </w:num>
  <w:num w:numId="20">
    <w:abstractNumId w:val="106"/>
  </w:num>
  <w:num w:numId="21">
    <w:abstractNumId w:val="102"/>
  </w:num>
  <w:num w:numId="22">
    <w:abstractNumId w:val="29"/>
  </w:num>
  <w:num w:numId="23">
    <w:abstractNumId w:val="80"/>
  </w:num>
  <w:num w:numId="24">
    <w:abstractNumId w:val="45"/>
  </w:num>
  <w:num w:numId="25">
    <w:abstractNumId w:val="95"/>
  </w:num>
  <w:num w:numId="26">
    <w:abstractNumId w:val="72"/>
  </w:num>
  <w:num w:numId="27">
    <w:abstractNumId w:val="56"/>
  </w:num>
  <w:num w:numId="28">
    <w:abstractNumId w:val="103"/>
  </w:num>
  <w:num w:numId="29">
    <w:abstractNumId w:val="16"/>
  </w:num>
  <w:num w:numId="30">
    <w:abstractNumId w:val="1"/>
  </w:num>
  <w:num w:numId="31">
    <w:abstractNumId w:val="79"/>
  </w:num>
  <w:num w:numId="32">
    <w:abstractNumId w:val="83"/>
  </w:num>
  <w:num w:numId="33">
    <w:abstractNumId w:val="53"/>
  </w:num>
  <w:num w:numId="34">
    <w:abstractNumId w:val="108"/>
  </w:num>
  <w:num w:numId="35">
    <w:abstractNumId w:val="85"/>
  </w:num>
  <w:num w:numId="36">
    <w:abstractNumId w:val="76"/>
  </w:num>
  <w:num w:numId="37">
    <w:abstractNumId w:val="13"/>
  </w:num>
  <w:num w:numId="38">
    <w:abstractNumId w:val="7"/>
  </w:num>
  <w:num w:numId="39">
    <w:abstractNumId w:val="46"/>
  </w:num>
  <w:num w:numId="40">
    <w:abstractNumId w:val="11"/>
  </w:num>
  <w:num w:numId="41">
    <w:abstractNumId w:val="30"/>
  </w:num>
  <w:num w:numId="42">
    <w:abstractNumId w:val="17"/>
  </w:num>
  <w:num w:numId="43">
    <w:abstractNumId w:val="69"/>
  </w:num>
  <w:num w:numId="44">
    <w:abstractNumId w:val="98"/>
  </w:num>
  <w:num w:numId="45">
    <w:abstractNumId w:val="109"/>
  </w:num>
  <w:num w:numId="46">
    <w:abstractNumId w:val="48"/>
  </w:num>
  <w:num w:numId="47">
    <w:abstractNumId w:val="60"/>
  </w:num>
  <w:num w:numId="48">
    <w:abstractNumId w:val="44"/>
  </w:num>
  <w:num w:numId="49">
    <w:abstractNumId w:val="93"/>
  </w:num>
  <w:num w:numId="50">
    <w:abstractNumId w:val="71"/>
  </w:num>
  <w:num w:numId="51">
    <w:abstractNumId w:val="65"/>
  </w:num>
  <w:num w:numId="52">
    <w:abstractNumId w:val="20"/>
  </w:num>
  <w:num w:numId="53">
    <w:abstractNumId w:val="23"/>
  </w:num>
  <w:num w:numId="54">
    <w:abstractNumId w:val="61"/>
  </w:num>
  <w:num w:numId="55">
    <w:abstractNumId w:val="92"/>
  </w:num>
  <w:num w:numId="56">
    <w:abstractNumId w:val="82"/>
  </w:num>
  <w:num w:numId="57">
    <w:abstractNumId w:val="104"/>
  </w:num>
  <w:num w:numId="58">
    <w:abstractNumId w:val="94"/>
  </w:num>
  <w:num w:numId="59">
    <w:abstractNumId w:val="107"/>
  </w:num>
  <w:num w:numId="60">
    <w:abstractNumId w:val="99"/>
  </w:num>
  <w:num w:numId="61">
    <w:abstractNumId w:val="86"/>
  </w:num>
  <w:num w:numId="62">
    <w:abstractNumId w:val="19"/>
  </w:num>
  <w:num w:numId="63">
    <w:abstractNumId w:val="9"/>
  </w:num>
  <w:num w:numId="64">
    <w:abstractNumId w:val="110"/>
  </w:num>
  <w:num w:numId="65">
    <w:abstractNumId w:val="25"/>
  </w:num>
  <w:num w:numId="66">
    <w:abstractNumId w:val="52"/>
  </w:num>
  <w:num w:numId="67">
    <w:abstractNumId w:val="15"/>
  </w:num>
  <w:num w:numId="68">
    <w:abstractNumId w:val="31"/>
  </w:num>
  <w:num w:numId="69">
    <w:abstractNumId w:val="63"/>
  </w:num>
  <w:num w:numId="70">
    <w:abstractNumId w:val="32"/>
  </w:num>
  <w:num w:numId="71">
    <w:abstractNumId w:val="51"/>
  </w:num>
  <w:num w:numId="72">
    <w:abstractNumId w:val="59"/>
  </w:num>
  <w:num w:numId="73">
    <w:abstractNumId w:val="14"/>
  </w:num>
  <w:num w:numId="74">
    <w:abstractNumId w:val="10"/>
  </w:num>
  <w:num w:numId="75">
    <w:abstractNumId w:val="101"/>
  </w:num>
  <w:num w:numId="76">
    <w:abstractNumId w:val="78"/>
  </w:num>
  <w:num w:numId="77">
    <w:abstractNumId w:val="96"/>
  </w:num>
  <w:num w:numId="78">
    <w:abstractNumId w:val="75"/>
  </w:num>
  <w:num w:numId="79">
    <w:abstractNumId w:val="12"/>
  </w:num>
  <w:num w:numId="80">
    <w:abstractNumId w:val="24"/>
  </w:num>
  <w:num w:numId="81">
    <w:abstractNumId w:val="57"/>
  </w:num>
  <w:num w:numId="82">
    <w:abstractNumId w:val="41"/>
  </w:num>
  <w:num w:numId="83">
    <w:abstractNumId w:val="33"/>
  </w:num>
  <w:num w:numId="84">
    <w:abstractNumId w:val="66"/>
  </w:num>
  <w:num w:numId="85">
    <w:abstractNumId w:val="42"/>
  </w:num>
  <w:num w:numId="86">
    <w:abstractNumId w:val="70"/>
  </w:num>
  <w:num w:numId="87">
    <w:abstractNumId w:val="49"/>
  </w:num>
  <w:num w:numId="88">
    <w:abstractNumId w:val="68"/>
  </w:num>
  <w:num w:numId="89">
    <w:abstractNumId w:val="8"/>
  </w:num>
  <w:num w:numId="90">
    <w:abstractNumId w:val="35"/>
  </w:num>
  <w:num w:numId="91">
    <w:abstractNumId w:val="18"/>
  </w:num>
  <w:num w:numId="92">
    <w:abstractNumId w:val="54"/>
  </w:num>
  <w:num w:numId="93">
    <w:abstractNumId w:val="90"/>
  </w:num>
  <w:num w:numId="94">
    <w:abstractNumId w:val="43"/>
  </w:num>
  <w:num w:numId="95">
    <w:abstractNumId w:val="100"/>
  </w:num>
  <w:num w:numId="96">
    <w:abstractNumId w:val="105"/>
  </w:num>
  <w:num w:numId="97">
    <w:abstractNumId w:val="40"/>
  </w:num>
  <w:num w:numId="98">
    <w:abstractNumId w:val="89"/>
  </w:num>
  <w:num w:numId="99">
    <w:abstractNumId w:val="67"/>
  </w:num>
  <w:num w:numId="100">
    <w:abstractNumId w:val="73"/>
  </w:num>
  <w:num w:numId="101">
    <w:abstractNumId w:val="77"/>
  </w:num>
  <w:num w:numId="102">
    <w:abstractNumId w:val="81"/>
  </w:num>
  <w:num w:numId="103">
    <w:abstractNumId w:val="22"/>
  </w:num>
  <w:num w:numId="104">
    <w:abstractNumId w:val="62"/>
  </w:num>
  <w:num w:numId="105">
    <w:abstractNumId w:val="27"/>
  </w:num>
  <w:num w:numId="106">
    <w:abstractNumId w:val="84"/>
  </w:num>
  <w:num w:numId="107">
    <w:abstractNumId w:val="47"/>
  </w:num>
  <w:num w:numId="108">
    <w:abstractNumId w:val="97"/>
  </w:num>
  <w:num w:numId="109">
    <w:abstractNumId w:val="55"/>
  </w:num>
  <w:num w:numId="110">
    <w:abstractNumId w:val="34"/>
  </w:num>
  <w:num w:numId="11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2">
    <w:name w:val="Heading 1"/>
    <w:basedOn w:val="1116"/>
    <w:next w:val="1116"/>
    <w:link w:val="943"/>
    <w:uiPriority w:val="9"/>
    <w:qFormat/>
    <w:pPr>
      <w:keepLines/>
      <w:keepNext/>
      <w:spacing w:before="480" w:after="200"/>
      <w:outlineLvl w:val="0"/>
    </w:pPr>
    <w:rPr>
      <w:rFonts w:ascii="Arial" w:hAnsi="Arial" w:eastAsia="Arial" w:cs="Arial"/>
      <w:sz w:val="40"/>
      <w:szCs w:val="40"/>
    </w:rPr>
  </w:style>
  <w:style w:type="character" w:styleId="943">
    <w:name w:val="Heading 1 Char"/>
    <w:basedOn w:val="1119"/>
    <w:link w:val="942"/>
    <w:uiPriority w:val="9"/>
    <w:rPr>
      <w:rFonts w:ascii="Arial" w:hAnsi="Arial" w:eastAsia="Arial" w:cs="Arial"/>
      <w:sz w:val="40"/>
      <w:szCs w:val="40"/>
    </w:rPr>
  </w:style>
  <w:style w:type="character" w:styleId="944">
    <w:name w:val="Heading 2 Char"/>
    <w:basedOn w:val="1119"/>
    <w:link w:val="1117"/>
    <w:uiPriority w:val="9"/>
    <w:rPr>
      <w:rFonts w:ascii="Arial" w:hAnsi="Arial" w:eastAsia="Arial" w:cs="Arial"/>
      <w:sz w:val="34"/>
    </w:rPr>
  </w:style>
  <w:style w:type="character" w:styleId="945">
    <w:name w:val="Heading 3 Char"/>
    <w:basedOn w:val="1119"/>
    <w:link w:val="1118"/>
    <w:uiPriority w:val="9"/>
    <w:rPr>
      <w:rFonts w:ascii="Arial" w:hAnsi="Arial" w:eastAsia="Arial" w:cs="Arial"/>
      <w:sz w:val="30"/>
      <w:szCs w:val="30"/>
    </w:rPr>
  </w:style>
  <w:style w:type="paragraph" w:styleId="946">
    <w:name w:val="Heading 4"/>
    <w:basedOn w:val="1116"/>
    <w:next w:val="1116"/>
    <w:link w:val="947"/>
    <w:uiPriority w:val="9"/>
    <w:unhideWhenUsed/>
    <w:qFormat/>
    <w:pPr>
      <w:keepLines/>
      <w:keepNext/>
      <w:spacing w:before="320" w:after="200"/>
      <w:outlineLvl w:val="3"/>
    </w:pPr>
    <w:rPr>
      <w:rFonts w:ascii="Arial" w:hAnsi="Arial" w:eastAsia="Arial" w:cs="Arial"/>
      <w:b/>
      <w:bCs/>
      <w:sz w:val="26"/>
      <w:szCs w:val="26"/>
    </w:rPr>
  </w:style>
  <w:style w:type="character" w:styleId="947">
    <w:name w:val="Heading 4 Char"/>
    <w:basedOn w:val="1119"/>
    <w:link w:val="946"/>
    <w:uiPriority w:val="9"/>
    <w:rPr>
      <w:rFonts w:ascii="Arial" w:hAnsi="Arial" w:eastAsia="Arial" w:cs="Arial"/>
      <w:b/>
      <w:bCs/>
      <w:sz w:val="26"/>
      <w:szCs w:val="26"/>
    </w:rPr>
  </w:style>
  <w:style w:type="paragraph" w:styleId="948">
    <w:name w:val="Heading 5"/>
    <w:basedOn w:val="1116"/>
    <w:next w:val="1116"/>
    <w:link w:val="949"/>
    <w:uiPriority w:val="9"/>
    <w:unhideWhenUsed/>
    <w:qFormat/>
    <w:pPr>
      <w:keepLines/>
      <w:keepNext/>
      <w:spacing w:before="320" w:after="200"/>
      <w:outlineLvl w:val="4"/>
    </w:pPr>
    <w:rPr>
      <w:rFonts w:ascii="Arial" w:hAnsi="Arial" w:eastAsia="Arial" w:cs="Arial"/>
      <w:b/>
      <w:bCs/>
      <w:sz w:val="24"/>
      <w:szCs w:val="24"/>
    </w:rPr>
  </w:style>
  <w:style w:type="character" w:styleId="949">
    <w:name w:val="Heading 5 Char"/>
    <w:basedOn w:val="1119"/>
    <w:link w:val="948"/>
    <w:uiPriority w:val="9"/>
    <w:rPr>
      <w:rFonts w:ascii="Arial" w:hAnsi="Arial" w:eastAsia="Arial" w:cs="Arial"/>
      <w:b/>
      <w:bCs/>
      <w:sz w:val="24"/>
      <w:szCs w:val="24"/>
    </w:rPr>
  </w:style>
  <w:style w:type="paragraph" w:styleId="950">
    <w:name w:val="Heading 6"/>
    <w:basedOn w:val="1116"/>
    <w:next w:val="1116"/>
    <w:link w:val="951"/>
    <w:uiPriority w:val="9"/>
    <w:unhideWhenUsed/>
    <w:qFormat/>
    <w:pPr>
      <w:keepLines/>
      <w:keepNext/>
      <w:spacing w:before="320" w:after="200"/>
      <w:outlineLvl w:val="5"/>
    </w:pPr>
    <w:rPr>
      <w:rFonts w:ascii="Arial" w:hAnsi="Arial" w:eastAsia="Arial" w:cs="Arial"/>
      <w:b/>
      <w:bCs/>
      <w:sz w:val="22"/>
      <w:szCs w:val="22"/>
    </w:rPr>
  </w:style>
  <w:style w:type="character" w:styleId="951">
    <w:name w:val="Heading 6 Char"/>
    <w:basedOn w:val="1119"/>
    <w:link w:val="950"/>
    <w:uiPriority w:val="9"/>
    <w:rPr>
      <w:rFonts w:ascii="Arial" w:hAnsi="Arial" w:eastAsia="Arial" w:cs="Arial"/>
      <w:b/>
      <w:bCs/>
      <w:sz w:val="22"/>
      <w:szCs w:val="22"/>
    </w:rPr>
  </w:style>
  <w:style w:type="paragraph" w:styleId="952">
    <w:name w:val="Heading 7"/>
    <w:basedOn w:val="1116"/>
    <w:next w:val="1116"/>
    <w:link w:val="953"/>
    <w:uiPriority w:val="9"/>
    <w:unhideWhenUsed/>
    <w:qFormat/>
    <w:pPr>
      <w:keepLines/>
      <w:keepNext/>
      <w:spacing w:before="320" w:after="200"/>
      <w:outlineLvl w:val="6"/>
    </w:pPr>
    <w:rPr>
      <w:rFonts w:ascii="Arial" w:hAnsi="Arial" w:eastAsia="Arial" w:cs="Arial"/>
      <w:b/>
      <w:bCs/>
      <w:i/>
      <w:iCs/>
      <w:sz w:val="22"/>
      <w:szCs w:val="22"/>
    </w:rPr>
  </w:style>
  <w:style w:type="character" w:styleId="953">
    <w:name w:val="Heading 7 Char"/>
    <w:basedOn w:val="1119"/>
    <w:link w:val="952"/>
    <w:uiPriority w:val="9"/>
    <w:rPr>
      <w:rFonts w:ascii="Arial" w:hAnsi="Arial" w:eastAsia="Arial" w:cs="Arial"/>
      <w:b/>
      <w:bCs/>
      <w:i/>
      <w:iCs/>
      <w:sz w:val="22"/>
      <w:szCs w:val="22"/>
    </w:rPr>
  </w:style>
  <w:style w:type="paragraph" w:styleId="954">
    <w:name w:val="Heading 8"/>
    <w:basedOn w:val="1116"/>
    <w:next w:val="1116"/>
    <w:link w:val="955"/>
    <w:uiPriority w:val="9"/>
    <w:unhideWhenUsed/>
    <w:qFormat/>
    <w:pPr>
      <w:keepLines/>
      <w:keepNext/>
      <w:spacing w:before="320" w:after="200"/>
      <w:outlineLvl w:val="7"/>
    </w:pPr>
    <w:rPr>
      <w:rFonts w:ascii="Arial" w:hAnsi="Arial" w:eastAsia="Arial" w:cs="Arial"/>
      <w:i/>
      <w:iCs/>
      <w:sz w:val="22"/>
      <w:szCs w:val="22"/>
    </w:rPr>
  </w:style>
  <w:style w:type="character" w:styleId="955">
    <w:name w:val="Heading 8 Char"/>
    <w:basedOn w:val="1119"/>
    <w:link w:val="954"/>
    <w:uiPriority w:val="9"/>
    <w:rPr>
      <w:rFonts w:ascii="Arial" w:hAnsi="Arial" w:eastAsia="Arial" w:cs="Arial"/>
      <w:i/>
      <w:iCs/>
      <w:sz w:val="22"/>
      <w:szCs w:val="22"/>
    </w:rPr>
  </w:style>
  <w:style w:type="paragraph" w:styleId="956">
    <w:name w:val="Heading 9"/>
    <w:basedOn w:val="1116"/>
    <w:next w:val="1116"/>
    <w:link w:val="957"/>
    <w:uiPriority w:val="9"/>
    <w:unhideWhenUsed/>
    <w:qFormat/>
    <w:pPr>
      <w:keepLines/>
      <w:keepNext/>
      <w:spacing w:before="320" w:after="200"/>
      <w:outlineLvl w:val="8"/>
    </w:pPr>
    <w:rPr>
      <w:rFonts w:ascii="Arial" w:hAnsi="Arial" w:eastAsia="Arial" w:cs="Arial"/>
      <w:i/>
      <w:iCs/>
      <w:sz w:val="21"/>
      <w:szCs w:val="21"/>
    </w:rPr>
  </w:style>
  <w:style w:type="character" w:styleId="957">
    <w:name w:val="Heading 9 Char"/>
    <w:basedOn w:val="1119"/>
    <w:link w:val="956"/>
    <w:uiPriority w:val="9"/>
    <w:rPr>
      <w:rFonts w:ascii="Arial" w:hAnsi="Arial" w:eastAsia="Arial" w:cs="Arial"/>
      <w:i/>
      <w:iCs/>
      <w:sz w:val="21"/>
      <w:szCs w:val="21"/>
    </w:rPr>
  </w:style>
  <w:style w:type="paragraph" w:styleId="958">
    <w:name w:val="No Spacing"/>
    <w:uiPriority w:val="1"/>
    <w:qFormat/>
    <w:pPr>
      <w:spacing w:before="0" w:after="0" w:line="240" w:lineRule="auto"/>
    </w:pPr>
  </w:style>
  <w:style w:type="paragraph" w:styleId="959">
    <w:name w:val="Title"/>
    <w:basedOn w:val="1116"/>
    <w:next w:val="1116"/>
    <w:link w:val="960"/>
    <w:uiPriority w:val="10"/>
    <w:qFormat/>
    <w:pPr>
      <w:contextualSpacing/>
      <w:spacing w:before="300" w:after="200"/>
    </w:pPr>
    <w:rPr>
      <w:sz w:val="48"/>
      <w:szCs w:val="48"/>
    </w:rPr>
  </w:style>
  <w:style w:type="character" w:styleId="960">
    <w:name w:val="Title Char"/>
    <w:basedOn w:val="1119"/>
    <w:link w:val="959"/>
    <w:uiPriority w:val="10"/>
    <w:rPr>
      <w:sz w:val="48"/>
      <w:szCs w:val="48"/>
    </w:rPr>
  </w:style>
  <w:style w:type="paragraph" w:styleId="961">
    <w:name w:val="Subtitle"/>
    <w:basedOn w:val="1116"/>
    <w:next w:val="1116"/>
    <w:link w:val="962"/>
    <w:uiPriority w:val="11"/>
    <w:qFormat/>
    <w:pPr>
      <w:spacing w:before="200" w:after="200"/>
    </w:pPr>
    <w:rPr>
      <w:sz w:val="24"/>
      <w:szCs w:val="24"/>
    </w:rPr>
  </w:style>
  <w:style w:type="character" w:styleId="962">
    <w:name w:val="Subtitle Char"/>
    <w:basedOn w:val="1119"/>
    <w:link w:val="961"/>
    <w:uiPriority w:val="11"/>
    <w:rPr>
      <w:sz w:val="24"/>
      <w:szCs w:val="24"/>
    </w:rPr>
  </w:style>
  <w:style w:type="paragraph" w:styleId="963">
    <w:name w:val="Quote"/>
    <w:basedOn w:val="1116"/>
    <w:next w:val="1116"/>
    <w:link w:val="964"/>
    <w:uiPriority w:val="29"/>
    <w:qFormat/>
    <w:pPr>
      <w:ind w:left="720" w:right="720"/>
    </w:pPr>
    <w:rPr>
      <w:i/>
    </w:rPr>
  </w:style>
  <w:style w:type="character" w:styleId="964">
    <w:name w:val="Quote Char"/>
    <w:link w:val="963"/>
    <w:uiPriority w:val="29"/>
    <w:rPr>
      <w:i/>
    </w:rPr>
  </w:style>
  <w:style w:type="paragraph" w:styleId="965">
    <w:name w:val="Intense Quote"/>
    <w:basedOn w:val="1116"/>
    <w:next w:val="1116"/>
    <w:link w:val="9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6">
    <w:name w:val="Intense Quote Char"/>
    <w:link w:val="965"/>
    <w:uiPriority w:val="30"/>
    <w:rPr>
      <w:i/>
    </w:rPr>
  </w:style>
  <w:style w:type="paragraph" w:styleId="967">
    <w:name w:val="Header"/>
    <w:basedOn w:val="1116"/>
    <w:link w:val="968"/>
    <w:uiPriority w:val="99"/>
    <w:unhideWhenUsed/>
    <w:pPr>
      <w:spacing w:after="0" w:line="240" w:lineRule="auto"/>
      <w:tabs>
        <w:tab w:val="center" w:pos="7143" w:leader="none"/>
        <w:tab w:val="right" w:pos="14287" w:leader="none"/>
      </w:tabs>
    </w:pPr>
  </w:style>
  <w:style w:type="character" w:styleId="968">
    <w:name w:val="Header Char"/>
    <w:basedOn w:val="1119"/>
    <w:link w:val="967"/>
    <w:uiPriority w:val="99"/>
  </w:style>
  <w:style w:type="character" w:styleId="969">
    <w:name w:val="Footer Char"/>
    <w:basedOn w:val="1119"/>
    <w:link w:val="1129"/>
    <w:uiPriority w:val="99"/>
  </w:style>
  <w:style w:type="paragraph" w:styleId="970">
    <w:name w:val="Caption"/>
    <w:basedOn w:val="1116"/>
    <w:next w:val="1116"/>
    <w:uiPriority w:val="35"/>
    <w:semiHidden/>
    <w:unhideWhenUsed/>
    <w:qFormat/>
    <w:pPr>
      <w:spacing w:line="276" w:lineRule="auto"/>
    </w:pPr>
    <w:rPr>
      <w:b/>
      <w:bCs/>
      <w:color w:val="4f81bd" w:themeColor="accent1"/>
      <w:sz w:val="18"/>
      <w:szCs w:val="18"/>
    </w:rPr>
  </w:style>
  <w:style w:type="character" w:styleId="971">
    <w:name w:val="Caption Char"/>
    <w:basedOn w:val="970"/>
    <w:link w:val="1129"/>
    <w:uiPriority w:val="99"/>
  </w:style>
  <w:style w:type="table" w:styleId="972">
    <w:name w:val="Table Grid"/>
    <w:basedOn w:val="112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3">
    <w:name w:val="Table Grid Light"/>
    <w:basedOn w:val="11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4">
    <w:name w:val="Plain Table 1"/>
    <w:basedOn w:val="11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5">
    <w:name w:val="Plain Table 2"/>
    <w:basedOn w:val="11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6">
    <w:name w:val="Plain Table 3"/>
    <w:basedOn w:val="11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7">
    <w:name w:val="Plain Table 4"/>
    <w:basedOn w:val="11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8">
    <w:name w:val="Plain Table 5"/>
    <w:basedOn w:val="11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9">
    <w:name w:val="Grid Table 1 Light"/>
    <w:basedOn w:val="11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0">
    <w:name w:val="Grid Table 1 Light - Accent 1"/>
    <w:basedOn w:val="11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1">
    <w:name w:val="Grid Table 1 Light - Accent 2"/>
    <w:basedOn w:val="11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2">
    <w:name w:val="Grid Table 1 Light - Accent 3"/>
    <w:basedOn w:val="11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3">
    <w:name w:val="Grid Table 1 Light - Accent 4"/>
    <w:basedOn w:val="11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4">
    <w:name w:val="Grid Table 1 Light - Accent 5"/>
    <w:basedOn w:val="11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5">
    <w:name w:val="Grid Table 1 Light - Accent 6"/>
    <w:basedOn w:val="11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6">
    <w:name w:val="Grid Table 2"/>
    <w:basedOn w:val="11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7">
    <w:name w:val="Grid Table 2 - Accent 1"/>
    <w:basedOn w:val="11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8">
    <w:name w:val="Grid Table 2 - Accent 2"/>
    <w:basedOn w:val="11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9">
    <w:name w:val="Grid Table 2 - Accent 3"/>
    <w:basedOn w:val="11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0">
    <w:name w:val="Grid Table 2 - Accent 4"/>
    <w:basedOn w:val="11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1">
    <w:name w:val="Grid Table 2 - Accent 5"/>
    <w:basedOn w:val="11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2">
    <w:name w:val="Grid Table 2 - Accent 6"/>
    <w:basedOn w:val="11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3">
    <w:name w:val="Grid Table 3"/>
    <w:basedOn w:val="11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1"/>
    <w:basedOn w:val="11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2"/>
    <w:basedOn w:val="11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3"/>
    <w:basedOn w:val="11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4"/>
    <w:basedOn w:val="11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5"/>
    <w:basedOn w:val="11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6"/>
    <w:basedOn w:val="11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4"/>
    <w:basedOn w:val="11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1">
    <w:name w:val="Grid Table 4 - Accent 1"/>
    <w:basedOn w:val="11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2">
    <w:name w:val="Grid Table 4 - Accent 2"/>
    <w:basedOn w:val="11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3">
    <w:name w:val="Grid Table 4 - Accent 3"/>
    <w:basedOn w:val="11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4">
    <w:name w:val="Grid Table 4 - Accent 4"/>
    <w:basedOn w:val="11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5">
    <w:name w:val="Grid Table 4 - Accent 5"/>
    <w:basedOn w:val="11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6">
    <w:name w:val="Grid Table 4 - Accent 6"/>
    <w:basedOn w:val="11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7">
    <w:name w:val="Grid Table 5 Dark"/>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8">
    <w:name w:val="Grid Table 5 Dark- Accent 1"/>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09">
    <w:name w:val="Grid Table 5 Dark - Accent 2"/>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10">
    <w:name w:val="Grid Table 5 Dark - Accent 3"/>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11">
    <w:name w:val="Grid Table 5 Dark- Accent 4"/>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12">
    <w:name w:val="Grid Table 5 Dark - Accent 5"/>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13">
    <w:name w:val="Grid Table 5 Dark - Accent 6"/>
    <w:basedOn w:val="11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14">
    <w:name w:val="Grid Table 6 Colorful"/>
    <w:basedOn w:val="11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5">
    <w:name w:val="Grid Table 6 Colorful - Accent 1"/>
    <w:basedOn w:val="11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16">
    <w:name w:val="Grid Table 6 Colorful - Accent 2"/>
    <w:basedOn w:val="11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17">
    <w:name w:val="Grid Table 6 Colorful - Accent 3"/>
    <w:basedOn w:val="11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18">
    <w:name w:val="Grid Table 6 Colorful - Accent 4"/>
    <w:basedOn w:val="11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19">
    <w:name w:val="Grid Table 6 Colorful - Accent 5"/>
    <w:basedOn w:val="11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20">
    <w:name w:val="Grid Table 6 Colorful - Accent 6"/>
    <w:basedOn w:val="11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21">
    <w:name w:val="Grid Table 7 Colorful"/>
    <w:basedOn w:val="11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2">
    <w:name w:val="Grid Table 7 Colorful - Accent 1"/>
    <w:basedOn w:val="11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3">
    <w:name w:val="Grid Table 7 Colorful - Accent 2"/>
    <w:basedOn w:val="11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4">
    <w:name w:val="Grid Table 7 Colorful - Accent 3"/>
    <w:basedOn w:val="11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5">
    <w:name w:val="Grid Table 7 Colorful - Accent 4"/>
    <w:basedOn w:val="11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6">
    <w:name w:val="Grid Table 7 Colorful - Accent 5"/>
    <w:basedOn w:val="11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7">
    <w:name w:val="Grid Table 7 Colorful - Accent 6"/>
    <w:basedOn w:val="11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8">
    <w:name w:val="List Table 1 Light"/>
    <w:basedOn w:val="11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9">
    <w:name w:val="List Table 1 Light - Accent 1"/>
    <w:basedOn w:val="112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0">
    <w:name w:val="List Table 1 Light - Accent 2"/>
    <w:basedOn w:val="112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1">
    <w:name w:val="List Table 1 Light - Accent 3"/>
    <w:basedOn w:val="112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2">
    <w:name w:val="List Table 1 Light - Accent 4"/>
    <w:basedOn w:val="112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3">
    <w:name w:val="List Table 1 Light - Accent 5"/>
    <w:basedOn w:val="112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4">
    <w:name w:val="List Table 1 Light - Accent 6"/>
    <w:basedOn w:val="112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5">
    <w:name w:val="List Table 2"/>
    <w:basedOn w:val="11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6">
    <w:name w:val="List Table 2 - Accent 1"/>
    <w:basedOn w:val="11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7">
    <w:name w:val="List Table 2 - Accent 2"/>
    <w:basedOn w:val="11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8">
    <w:name w:val="List Table 2 - Accent 3"/>
    <w:basedOn w:val="11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9">
    <w:name w:val="List Table 2 - Accent 4"/>
    <w:basedOn w:val="11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0">
    <w:name w:val="List Table 2 - Accent 5"/>
    <w:basedOn w:val="11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1">
    <w:name w:val="List Table 2 - Accent 6"/>
    <w:basedOn w:val="11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2">
    <w:name w:val="List Table 3"/>
    <w:basedOn w:val="11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3">
    <w:name w:val="List Table 3 - Accent 1"/>
    <w:basedOn w:val="11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44">
    <w:name w:val="List Table 3 - Accent 2"/>
    <w:basedOn w:val="11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45">
    <w:name w:val="List Table 3 - Accent 3"/>
    <w:basedOn w:val="11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46">
    <w:name w:val="List Table 3 - Accent 4"/>
    <w:basedOn w:val="11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47">
    <w:name w:val="List Table 3 - Accent 5"/>
    <w:basedOn w:val="11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48">
    <w:name w:val="List Table 3 - Accent 6"/>
    <w:basedOn w:val="11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49">
    <w:name w:val="List Table 4"/>
    <w:basedOn w:val="11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0">
    <w:name w:val="List Table 4 - Accent 1"/>
    <w:basedOn w:val="11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51">
    <w:name w:val="List Table 4 - Accent 2"/>
    <w:basedOn w:val="11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52">
    <w:name w:val="List Table 4 - Accent 3"/>
    <w:basedOn w:val="11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53">
    <w:name w:val="List Table 4 - Accent 4"/>
    <w:basedOn w:val="11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54">
    <w:name w:val="List Table 4 - Accent 5"/>
    <w:basedOn w:val="11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55">
    <w:name w:val="List Table 4 - Accent 6"/>
    <w:basedOn w:val="11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56">
    <w:name w:val="List Table 5 Dark"/>
    <w:basedOn w:val="11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1"/>
    <w:basedOn w:val="11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2"/>
    <w:basedOn w:val="11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3"/>
    <w:basedOn w:val="11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4"/>
    <w:basedOn w:val="11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5"/>
    <w:basedOn w:val="11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6"/>
    <w:basedOn w:val="11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6 Colorful"/>
    <w:basedOn w:val="11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4">
    <w:name w:val="List Table 6 Colorful - Accent 1"/>
    <w:basedOn w:val="11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65">
    <w:name w:val="List Table 6 Colorful - Accent 2"/>
    <w:basedOn w:val="11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66">
    <w:name w:val="List Table 6 Colorful - Accent 3"/>
    <w:basedOn w:val="11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67">
    <w:name w:val="List Table 6 Colorful - Accent 4"/>
    <w:basedOn w:val="11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68">
    <w:name w:val="List Table 6 Colorful - Accent 5"/>
    <w:basedOn w:val="11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69">
    <w:name w:val="List Table 6 Colorful - Accent 6"/>
    <w:basedOn w:val="11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70">
    <w:name w:val="List Table 7 Colorful"/>
    <w:basedOn w:val="11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1">
    <w:name w:val="List Table 7 Colorful - Accent 1"/>
    <w:basedOn w:val="11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72">
    <w:name w:val="List Table 7 Colorful - Accent 2"/>
    <w:basedOn w:val="11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73">
    <w:name w:val="List Table 7 Colorful - Accent 3"/>
    <w:basedOn w:val="11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74">
    <w:name w:val="List Table 7 Colorful - Accent 4"/>
    <w:basedOn w:val="11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75">
    <w:name w:val="List Table 7 Colorful - Accent 5"/>
    <w:basedOn w:val="11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76">
    <w:name w:val="List Table 7 Colorful - Accent 6"/>
    <w:basedOn w:val="11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77">
    <w:name w:val="Lined - Accent"/>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8">
    <w:name w:val="Lined - Accent 1"/>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79">
    <w:name w:val="Lined - Accent 2"/>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80">
    <w:name w:val="Lined - Accent 3"/>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81">
    <w:name w:val="Lined - Accent 4"/>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82">
    <w:name w:val="Lined - Accent 5"/>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83">
    <w:name w:val="Lined - Accent 6"/>
    <w:basedOn w:val="11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84">
    <w:name w:val="Bordered &amp; Lined - Accent"/>
    <w:basedOn w:val="11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5">
    <w:name w:val="Bordered &amp; Lined - Accent 1"/>
    <w:basedOn w:val="11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86">
    <w:name w:val="Bordered &amp; Lined - Accent 2"/>
    <w:basedOn w:val="11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87">
    <w:name w:val="Bordered &amp; Lined - Accent 3"/>
    <w:basedOn w:val="11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88">
    <w:name w:val="Bordered &amp; Lined - Accent 4"/>
    <w:basedOn w:val="11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89">
    <w:name w:val="Bordered &amp; Lined - Accent 5"/>
    <w:basedOn w:val="11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90">
    <w:name w:val="Bordered &amp; Lined - Accent 6"/>
    <w:basedOn w:val="11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91">
    <w:name w:val="Bordered"/>
    <w:basedOn w:val="11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2">
    <w:name w:val="Bordered - Accent 1"/>
    <w:basedOn w:val="11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3">
    <w:name w:val="Bordered - Accent 2"/>
    <w:basedOn w:val="11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4">
    <w:name w:val="Bordered - Accent 3"/>
    <w:basedOn w:val="11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5">
    <w:name w:val="Bordered - Accent 4"/>
    <w:basedOn w:val="11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6">
    <w:name w:val="Bordered - Accent 5"/>
    <w:basedOn w:val="11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7">
    <w:name w:val="Bordered - Accent 6"/>
    <w:basedOn w:val="11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8">
    <w:name w:val="Hyperlink"/>
    <w:uiPriority w:val="99"/>
    <w:unhideWhenUsed/>
    <w:rPr>
      <w:color w:val="0000ff" w:themeColor="hyperlink"/>
      <w:u w:val="single"/>
    </w:rPr>
  </w:style>
  <w:style w:type="paragraph" w:styleId="1099">
    <w:name w:val="footnote text"/>
    <w:basedOn w:val="1116"/>
    <w:link w:val="1100"/>
    <w:uiPriority w:val="99"/>
    <w:semiHidden/>
    <w:unhideWhenUsed/>
    <w:pPr>
      <w:spacing w:after="40" w:line="240" w:lineRule="auto"/>
    </w:pPr>
    <w:rPr>
      <w:sz w:val="18"/>
    </w:rPr>
  </w:style>
  <w:style w:type="character" w:styleId="1100">
    <w:name w:val="Footnote Text Char"/>
    <w:link w:val="1099"/>
    <w:uiPriority w:val="99"/>
    <w:rPr>
      <w:sz w:val="18"/>
    </w:rPr>
  </w:style>
  <w:style w:type="character" w:styleId="1101">
    <w:name w:val="footnote reference"/>
    <w:basedOn w:val="1119"/>
    <w:uiPriority w:val="99"/>
    <w:unhideWhenUsed/>
    <w:rPr>
      <w:vertAlign w:val="superscript"/>
    </w:rPr>
  </w:style>
  <w:style w:type="paragraph" w:styleId="1102">
    <w:name w:val="endnote text"/>
    <w:basedOn w:val="1116"/>
    <w:link w:val="1103"/>
    <w:uiPriority w:val="99"/>
    <w:semiHidden/>
    <w:unhideWhenUsed/>
    <w:pPr>
      <w:spacing w:after="0" w:line="240" w:lineRule="auto"/>
    </w:pPr>
    <w:rPr>
      <w:sz w:val="20"/>
    </w:rPr>
  </w:style>
  <w:style w:type="character" w:styleId="1103">
    <w:name w:val="Endnote Text Char"/>
    <w:link w:val="1102"/>
    <w:uiPriority w:val="99"/>
    <w:rPr>
      <w:sz w:val="20"/>
    </w:rPr>
  </w:style>
  <w:style w:type="character" w:styleId="1104">
    <w:name w:val="endnote reference"/>
    <w:basedOn w:val="1119"/>
    <w:uiPriority w:val="99"/>
    <w:semiHidden/>
    <w:unhideWhenUsed/>
    <w:rPr>
      <w:vertAlign w:val="superscript"/>
    </w:rPr>
  </w:style>
  <w:style w:type="paragraph" w:styleId="1105">
    <w:name w:val="toc 1"/>
    <w:basedOn w:val="1116"/>
    <w:next w:val="1116"/>
    <w:uiPriority w:val="39"/>
    <w:unhideWhenUsed/>
    <w:pPr>
      <w:ind w:left="0" w:right="0" w:firstLine="0"/>
      <w:spacing w:after="57"/>
    </w:pPr>
  </w:style>
  <w:style w:type="paragraph" w:styleId="1106">
    <w:name w:val="toc 2"/>
    <w:basedOn w:val="1116"/>
    <w:next w:val="1116"/>
    <w:uiPriority w:val="39"/>
    <w:unhideWhenUsed/>
    <w:pPr>
      <w:ind w:left="283" w:right="0" w:firstLine="0"/>
      <w:spacing w:after="57"/>
    </w:pPr>
  </w:style>
  <w:style w:type="paragraph" w:styleId="1107">
    <w:name w:val="toc 3"/>
    <w:basedOn w:val="1116"/>
    <w:next w:val="1116"/>
    <w:uiPriority w:val="39"/>
    <w:unhideWhenUsed/>
    <w:pPr>
      <w:ind w:left="567" w:right="0" w:firstLine="0"/>
      <w:spacing w:after="57"/>
    </w:pPr>
  </w:style>
  <w:style w:type="paragraph" w:styleId="1108">
    <w:name w:val="toc 4"/>
    <w:basedOn w:val="1116"/>
    <w:next w:val="1116"/>
    <w:uiPriority w:val="39"/>
    <w:unhideWhenUsed/>
    <w:pPr>
      <w:ind w:left="850" w:right="0" w:firstLine="0"/>
      <w:spacing w:after="57"/>
    </w:pPr>
  </w:style>
  <w:style w:type="paragraph" w:styleId="1109">
    <w:name w:val="toc 5"/>
    <w:basedOn w:val="1116"/>
    <w:next w:val="1116"/>
    <w:uiPriority w:val="39"/>
    <w:unhideWhenUsed/>
    <w:pPr>
      <w:ind w:left="1134" w:right="0" w:firstLine="0"/>
      <w:spacing w:after="57"/>
    </w:pPr>
  </w:style>
  <w:style w:type="paragraph" w:styleId="1110">
    <w:name w:val="toc 6"/>
    <w:basedOn w:val="1116"/>
    <w:next w:val="1116"/>
    <w:uiPriority w:val="39"/>
    <w:unhideWhenUsed/>
    <w:pPr>
      <w:ind w:left="1417" w:right="0" w:firstLine="0"/>
      <w:spacing w:after="57"/>
    </w:pPr>
  </w:style>
  <w:style w:type="paragraph" w:styleId="1111">
    <w:name w:val="toc 7"/>
    <w:basedOn w:val="1116"/>
    <w:next w:val="1116"/>
    <w:uiPriority w:val="39"/>
    <w:unhideWhenUsed/>
    <w:pPr>
      <w:ind w:left="1701" w:right="0" w:firstLine="0"/>
      <w:spacing w:after="57"/>
    </w:pPr>
  </w:style>
  <w:style w:type="paragraph" w:styleId="1112">
    <w:name w:val="toc 8"/>
    <w:basedOn w:val="1116"/>
    <w:next w:val="1116"/>
    <w:uiPriority w:val="39"/>
    <w:unhideWhenUsed/>
    <w:pPr>
      <w:ind w:left="1984" w:right="0" w:firstLine="0"/>
      <w:spacing w:after="57"/>
    </w:pPr>
  </w:style>
  <w:style w:type="paragraph" w:styleId="1113">
    <w:name w:val="toc 9"/>
    <w:basedOn w:val="1116"/>
    <w:next w:val="1116"/>
    <w:uiPriority w:val="39"/>
    <w:unhideWhenUsed/>
    <w:pPr>
      <w:ind w:left="2268" w:right="0" w:firstLine="0"/>
      <w:spacing w:after="57"/>
    </w:pPr>
  </w:style>
  <w:style w:type="paragraph" w:styleId="1114">
    <w:name w:val="TOC Heading"/>
    <w:uiPriority w:val="39"/>
    <w:unhideWhenUsed/>
  </w:style>
  <w:style w:type="paragraph" w:styleId="1115">
    <w:name w:val="table of figures"/>
    <w:basedOn w:val="1116"/>
    <w:next w:val="1116"/>
    <w:uiPriority w:val="99"/>
    <w:unhideWhenUsed/>
    <w:pPr>
      <w:spacing w:after="0" w:afterAutospacing="0"/>
    </w:pPr>
  </w:style>
  <w:style w:type="paragraph" w:styleId="1116"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1117">
    <w:name w:val="Heading 2"/>
    <w:basedOn w:val="1116"/>
    <w:next w:val="1116"/>
    <w:uiPriority w:val="2"/>
    <w:unhideWhenUsed/>
    <w:qFormat/>
    <w:pPr>
      <w:numPr>
        <w:ilvl w:val="1"/>
        <w:numId w:val="1"/>
      </w:numPr>
      <w:jc w:val="left"/>
      <w:keepLines/>
      <w:keepNext/>
      <w:spacing w:before="50"/>
      <w:outlineLvl w:val="1"/>
    </w:pPr>
    <w:rPr>
      <w:rFonts w:ascii="Arial" w:hAnsi="Arial" w:eastAsia="黑体" w:cs="Arial"/>
      <w:sz w:val="32"/>
      <w:szCs w:val="20"/>
    </w:rPr>
  </w:style>
  <w:style w:type="paragraph" w:styleId="1118">
    <w:name w:val="Heading 3"/>
    <w:basedOn w:val="1116"/>
    <w:next w:val="1116"/>
    <w:uiPriority w:val="99"/>
    <w:qFormat/>
    <w:pPr>
      <w:ind w:firstLine="137"/>
      <w:keepLines/>
      <w:keepNext/>
      <w:spacing w:before="20" w:after="20" w:line="415" w:lineRule="auto"/>
      <w:outlineLvl w:val="2"/>
    </w:pPr>
    <w:rPr>
      <w:rFonts w:hAnsi="黑体" w:eastAsia="黑体"/>
      <w:sz w:val="24"/>
    </w:rPr>
  </w:style>
  <w:style w:type="character" w:styleId="1119" w:default="1">
    <w:name w:val="Default Paragraph Font"/>
    <w:uiPriority w:val="0"/>
    <w:semiHidden/>
  </w:style>
  <w:style w:type="table" w:styleId="1120" w:default="1">
    <w:name w:val="Normal Table"/>
    <w:uiPriority w:val="0"/>
    <w:semiHidden/>
    <w:qFormat/>
    <w:tblPr>
      <w:tblCellMar>
        <w:left w:w="108" w:type="dxa"/>
        <w:top w:w="0" w:type="dxa"/>
        <w:right w:w="108" w:type="dxa"/>
        <w:bottom w:w="0" w:type="dxa"/>
      </w:tblCellMar>
    </w:tblPr>
  </w:style>
  <w:style w:type="paragraph" w:styleId="1121">
    <w:name w:val="Note Heading"/>
    <w:basedOn w:val="1116"/>
    <w:next w:val="1116"/>
    <w:uiPriority w:val="0"/>
    <w:unhideWhenUsed/>
    <w:qFormat/>
    <w:pPr>
      <w:jc w:val="center"/>
    </w:pPr>
    <w:rPr>
      <w:rFonts w:ascii="Times New Roman" w:hAnsi="Times New Roman"/>
      <w:szCs w:val="24"/>
    </w:rPr>
  </w:style>
  <w:style w:type="paragraph" w:styleId="1122">
    <w:name w:val="Normal Indent"/>
    <w:basedOn w:val="1116"/>
    <w:next w:val="1116"/>
    <w:uiPriority w:val="0"/>
    <w:qFormat/>
    <w:pPr>
      <w:ind w:firstLine="420"/>
    </w:pPr>
    <w:rPr>
      <w:sz w:val="24"/>
      <w:szCs w:val="20"/>
    </w:rPr>
  </w:style>
  <w:style w:type="paragraph" w:styleId="1123">
    <w:name w:val="annotation text"/>
    <w:basedOn w:val="1116"/>
    <w:uiPriority w:val="99"/>
    <w:unhideWhenUsed/>
    <w:qFormat/>
    <w:pPr>
      <w:jc w:val="left"/>
    </w:pPr>
  </w:style>
  <w:style w:type="paragraph" w:styleId="1124">
    <w:name w:val="Body Text"/>
    <w:basedOn w:val="1116"/>
    <w:next w:val="1125"/>
    <w:uiPriority w:val="0"/>
    <w:qFormat/>
    <w:pPr>
      <w:widowControl/>
    </w:pPr>
    <w:rPr>
      <w:rFonts w:hint="eastAsia" w:ascii="仿宋_GB2312" w:eastAsia="仿宋_GB2312"/>
      <w:sz w:val="24"/>
    </w:rPr>
  </w:style>
  <w:style w:type="paragraph" w:styleId="1125">
    <w:name w:val="Body Text 2"/>
    <w:basedOn w:val="1116"/>
    <w:uiPriority w:val="0"/>
    <w:qFormat/>
    <w:pPr>
      <w:spacing w:line="440" w:lineRule="exact"/>
    </w:pPr>
    <w:rPr>
      <w:rFonts w:ascii="Arial" w:hAnsi="Arial" w:eastAsia="仿宋_GB2312"/>
      <w:b/>
      <w:sz w:val="32"/>
    </w:rPr>
  </w:style>
  <w:style w:type="paragraph" w:styleId="1126">
    <w:name w:val="Body Text Indent"/>
    <w:basedOn w:val="1116"/>
    <w:uiPriority w:val="99"/>
    <w:unhideWhenUsed/>
    <w:qFormat/>
    <w:pPr>
      <w:ind w:left="420"/>
      <w:spacing w:after="120"/>
    </w:pPr>
  </w:style>
  <w:style w:type="paragraph" w:styleId="1127">
    <w:name w:val="Block Text"/>
    <w:basedOn w:val="1116"/>
    <w:uiPriority w:val="0"/>
    <w:qFormat/>
    <w:pPr>
      <w:ind w:left="256" w:right="6" w:firstLine="624"/>
    </w:pPr>
    <w:rPr>
      <w:rFonts w:eastAsia="仿宋_GB2312"/>
      <w:sz w:val="28"/>
      <w:szCs w:val="20"/>
    </w:rPr>
  </w:style>
  <w:style w:type="paragraph" w:styleId="1128">
    <w:name w:val="Plain Text"/>
    <w:basedOn w:val="1116"/>
    <w:next w:val="1122"/>
    <w:uiPriority w:val="0"/>
    <w:qFormat/>
    <w:rPr>
      <w:rFonts w:ascii="宋体" w:hAnsi="Courier New"/>
    </w:rPr>
  </w:style>
  <w:style w:type="paragraph" w:styleId="1129">
    <w:name w:val="Footer"/>
    <w:basedOn w:val="1116"/>
    <w:uiPriority w:val="0"/>
    <w:unhideWhenUsed/>
    <w:qFormat/>
    <w:pPr>
      <w:jc w:val="left"/>
      <w:tabs>
        <w:tab w:val="center" w:pos="4153" w:leader="none"/>
        <w:tab w:val="right" w:pos="8306" w:leader="none"/>
      </w:tabs>
    </w:pPr>
    <w:rPr>
      <w:rFonts w:ascii="Times New Roman" w:hAnsi="Times New Roman"/>
      <w:sz w:val="18"/>
      <w:szCs w:val="18"/>
    </w:rPr>
  </w:style>
  <w:style w:type="paragraph" w:styleId="1130">
    <w:name w:val="HTML Preformatted"/>
    <w:basedOn w:val="1116"/>
    <w:uiPriority w:val="0"/>
    <w:unhideWhenUsed/>
    <w:qFormat/>
    <w:rPr>
      <w:rFonts w:ascii="Courier New" w:hAnsi="Courier New" w:cs="Courier New"/>
      <w:sz w:val="20"/>
      <w:szCs w:val="20"/>
    </w:rPr>
  </w:style>
  <w:style w:type="paragraph" w:styleId="1131">
    <w:name w:val="Body Text First Indent"/>
    <w:basedOn w:val="1124"/>
    <w:uiPriority w:val="0"/>
    <w:qFormat/>
    <w:pPr>
      <w:ind w:firstLine="420"/>
    </w:pPr>
    <w:rPr>
      <w:rFonts w:ascii="Verdana" w:hAnsi="Verdana"/>
      <w:szCs w:val="28"/>
      <w:lang w:eastAsia="en-US"/>
    </w:rPr>
  </w:style>
  <w:style w:type="paragraph" w:styleId="1132">
    <w:name w:val="Body Text First Indent 2"/>
    <w:basedOn w:val="1126"/>
    <w:uiPriority w:val="0"/>
    <w:qFormat/>
    <w:pPr>
      <w:ind w:left="0" w:right="17" w:firstLine="420"/>
      <w:spacing w:after="0" w:line="480" w:lineRule="auto"/>
    </w:pPr>
    <w:rPr>
      <w:sz w:val="24"/>
    </w:rPr>
  </w:style>
  <w:style w:type="paragraph" w:styleId="1133" w:customStyle="1">
    <w:name w:val="List Paragraph"/>
    <w:basedOn w:val="1116"/>
    <w:uiPriority w:val="34"/>
    <w:qFormat/>
    <w:pPr>
      <w:ind w:firstLine="420"/>
    </w:pPr>
  </w:style>
  <w:style w:type="paragraph" w:styleId="1134" w:customStyle="1">
    <w:name w:val="正文1"/>
    <w:basedOn w:val="1116"/>
    <w:next w:val="1116"/>
    <w:uiPriority w:val="99"/>
    <w:qFormat/>
    <w:pPr>
      <w:ind w:left="420"/>
      <w:spacing w:line="300" w:lineRule="auto"/>
      <w:widowControl/>
    </w:pPr>
    <w:rPr>
      <w:szCs w:val="24"/>
    </w:rPr>
  </w:style>
  <w:style w:type="paragraph" w:styleId="1135" w:customStyle="1">
    <w:name w:val="Plain Text1"/>
    <w:basedOn w:val="1116"/>
    <w:uiPriority w:val="0"/>
    <w:qFormat/>
    <w:pPr>
      <w:spacing w:line="312" w:lineRule="atLeast"/>
    </w:pPr>
    <w:rPr>
      <w:rFonts w:ascii="Arial Black" w:hAnsi="Courier New"/>
      <w:szCs w:val="20"/>
    </w:rPr>
  </w:style>
  <w:style w:type="paragraph" w:styleId="1136" w:customStyle="1">
    <w:name w:val="Plain Text11"/>
    <w:basedOn w:val="1116"/>
    <w:uiPriority w:val="0"/>
    <w:qFormat/>
    <w:rPr>
      <w:rFonts w:ascii="宋体" w:hAnsi="Courier New" w:eastAsia="楷体_GB2312"/>
      <w:sz w:val="28"/>
      <w:szCs w:val="20"/>
    </w:rPr>
  </w:style>
  <w:style w:type="paragraph" w:styleId="1137" w:customStyle="1">
    <w:name w:val="二级目录"/>
    <w:next w:val="1116"/>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138" w:customStyle="1">
    <w:name w:val="普通正文"/>
    <w:basedOn w:val="1116"/>
    <w:uiPriority w:val="99"/>
    <w:qFormat/>
    <w:pPr>
      <w:ind w:firstLine="480"/>
      <w:jc w:val="left"/>
      <w:spacing w:before="120" w:after="120" w:line="360" w:lineRule="auto"/>
    </w:pPr>
    <w:rPr>
      <w:rFonts w:ascii="Arial" w:hAnsi="Arial" w:cs="Arial"/>
      <w:sz w:val="24"/>
      <w:szCs w:val="24"/>
    </w:rPr>
  </w:style>
  <w:style w:type="paragraph" w:styleId="1139" w:customStyle="1">
    <w:name w:val="正文（绿盟科技）"/>
    <w:uiPriority w:val="99"/>
    <w:qFormat/>
    <w:pPr>
      <w:spacing w:line="300" w:lineRule="auto"/>
    </w:pPr>
    <w:rPr>
      <w:rFonts w:ascii="Arial" w:hAnsi="Arial" w:eastAsia="宋体" w:cs="Arial"/>
      <w:sz w:val="21"/>
      <w:szCs w:val="21"/>
      <w:lang w:val="en-US" w:eastAsia="zh-CN" w:bidi="ar-SA"/>
    </w:rPr>
  </w:style>
  <w:style w:type="paragraph" w:styleId="1140" w:customStyle="1">
    <w:name w:val="DAS正文"/>
    <w:basedOn w:val="1116"/>
    <w:uiPriority w:val="5"/>
    <w:qFormat/>
    <w:pPr>
      <w:ind w:right="181" w:firstLine="480"/>
      <w:spacing w:line="360" w:lineRule="auto"/>
    </w:pPr>
    <w:rPr>
      <w:rFonts w:ascii="Verdana" w:hAnsi="Verdana"/>
      <w:szCs w:val="24"/>
    </w:rPr>
  </w:style>
  <w:style w:type="paragraph" w:styleId="1141" w:customStyle="1">
    <w:name w:val="xl27"/>
    <w:basedOn w:val="1116"/>
    <w:uiPriority w:val="0"/>
    <w:qFormat/>
    <w:pPr>
      <w:jc w:val="center"/>
      <w:spacing w:before="100" w:beforeAutospacing="1" w:after="100" w:afterAutospacing="1"/>
      <w:widowControl/>
    </w:pPr>
    <w:rPr>
      <w:rFonts w:hint="eastAsia" w:ascii="黑体" w:hAnsi="宋体" w:eastAsia="黑体" w:cs="Times New Roman"/>
      <w:sz w:val="28"/>
      <w:szCs w:val="28"/>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杨晶</cp:lastModifiedBy>
  <cp:revision>3</cp:revision>
  <dcterms:created xsi:type="dcterms:W3CDTF">2024-04-02T03:50:00Z</dcterms:created>
  <dcterms:modified xsi:type="dcterms:W3CDTF">2024-04-12T03:01:33Z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AEC51BB137474E6291AB2D239F4BAD16_11</vt:lpwstr>
  </property>
</Properties>
</file>