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firstLine="360"/>
        <w:rPr>
          <w:rFonts w:eastAsia="黑体"/>
          <w:sz w:val="36"/>
          <w:highlight w:val="none"/>
        </w:rPr>
      </w:pPr>
      <w:r>
        <w:rPr>
          <w:rFonts w:eastAsia="黑体"/>
          <w:sz w:val="36"/>
          <w:highlight w:val="none"/>
        </w:rPr>
      </w:r>
      <w:r/>
    </w:p>
    <w:p>
      <w:pPr>
        <w:pStyle w:val="823"/>
        <w:ind w:firstLine="360"/>
        <w:rPr>
          <w:rFonts w:eastAsia="黑体"/>
          <w:sz w:val="36"/>
          <w:highlight w:val="none"/>
        </w:rPr>
      </w:pPr>
      <w:r>
        <w:rPr>
          <w:rFonts w:eastAsia="黑体"/>
          <w:sz w:val="36"/>
          <w:highlight w:val="none"/>
        </w:rPr>
      </w:r>
      <w:r/>
    </w:p>
    <w:p>
      <w:pPr>
        <w:jc w:val="center"/>
        <w:rPr>
          <w:b/>
          <w:sz w:val="84"/>
          <w:highlight w:val="none"/>
        </w:rPr>
      </w:pPr>
      <w:r>
        <w:rPr>
          <w:rFonts w:hint="eastAsia" w:ascii="方正小标宋_GBK" w:hAnsi="方正小标宋_GBK" w:eastAsia="方正小标宋_GBK" w:cs="方正小标宋_GBK"/>
          <w:bCs/>
          <w:sz w:val="84"/>
          <w:highlight w:val="none"/>
        </w:rPr>
        <w:t xml:space="preserve">招 标 文 件</w:t>
      </w:r>
      <w:r/>
    </w:p>
    <w:p>
      <w:pPr>
        <w:ind w:firstLine="321"/>
        <w:rPr>
          <w:rFonts w:eastAsia="黑体"/>
          <w:b/>
          <w:sz w:val="32"/>
          <w:highlight w:val="none"/>
        </w:rPr>
      </w:pPr>
      <w:r>
        <w:rPr>
          <w:rFonts w:eastAsia="黑体"/>
          <w:b/>
          <w:sz w:val="32"/>
          <w:highlight w:val="none"/>
        </w:rPr>
      </w:r>
      <w:r/>
    </w:p>
    <w:p>
      <w:pPr>
        <w:ind w:firstLine="321"/>
        <w:jc w:val="center"/>
        <w:rPr>
          <w:rFonts w:eastAsia="黑体"/>
          <w:b/>
          <w:sz w:val="32"/>
          <w:highlight w:val="none"/>
        </w:rPr>
      </w:pPr>
      <w:r>
        <w:rPr>
          <w:rFonts w:eastAsia="黑体"/>
          <w:b/>
          <w:sz w:val="32"/>
          <w:highlight w:val="none"/>
        </w:rPr>
      </w:r>
      <w:r/>
    </w:p>
    <w:p>
      <w:pPr>
        <w:ind w:firstLine="321"/>
        <w:jc w:val="center"/>
        <w:rPr>
          <w:rFonts w:eastAsia="黑体"/>
          <w:b/>
          <w:sz w:val="32"/>
          <w:highlight w:val="none"/>
        </w:rPr>
      </w:pPr>
      <w:r>
        <w:rPr>
          <w:rFonts w:eastAsia="黑体"/>
          <w:b/>
          <w:sz w:val="32"/>
          <w:highlight w:val="none"/>
        </w:rPr>
      </w:r>
      <w:r/>
    </w:p>
    <w:p>
      <w:pPr>
        <w:pStyle w:val="719"/>
        <w:rPr>
          <w:color w:val="auto"/>
          <w:highlight w:val="none"/>
        </w:rPr>
      </w:pPr>
      <w:r>
        <w:rPr>
          <w:color w:val="auto"/>
          <w:highlight w:val="none"/>
        </w:rPr>
      </w:r>
      <w:r/>
    </w:p>
    <w:p>
      <w:pPr>
        <w:pStyle w:val="823"/>
        <w:ind w:firstLine="210"/>
        <w:rPr>
          <w:highlight w:val="none"/>
        </w:rPr>
      </w:pPr>
      <w:r>
        <w:rPr>
          <w:highlight w:val="none"/>
        </w:rPr>
      </w:r>
      <w:r/>
    </w:p>
    <w:p>
      <w:pPr>
        <w:jc w:val="left"/>
        <w:rPr>
          <w:rFonts w:hint="eastAsia" w:ascii="宋体" w:hAnsi="宋体" w:cs="宋体"/>
          <w:b/>
          <w:spacing w:val="15"/>
          <w:sz w:val="32"/>
          <w:szCs w:val="32"/>
          <w:highlight w:val="none"/>
        </w:rPr>
      </w:pPr>
      <w:r>
        <w:rPr>
          <w:rFonts w:hint="eastAsia" w:ascii="宋体" w:hAnsi="宋体" w:cs="宋体"/>
          <w:b/>
          <w:spacing w:val="15"/>
          <w:sz w:val="32"/>
          <w:szCs w:val="32"/>
          <w:highlight w:val="none"/>
        </w:rPr>
      </w:r>
      <w:r/>
    </w:p>
    <w:p>
      <w:pPr>
        <w:jc w:val="center"/>
        <w:rPr>
          <w:rFonts w:hint="eastAsia" w:ascii="宋体" w:hAnsi="宋体" w:cs="宋体"/>
          <w:b/>
          <w:spacing w:val="15"/>
          <w:sz w:val="28"/>
          <w:szCs w:val="28"/>
          <w:highlight w:val="none"/>
        </w:rPr>
      </w:pPr>
      <w:r>
        <w:rPr>
          <w:rFonts w:hint="eastAsia" w:ascii="宋体" w:hAnsi="宋体" w:cs="宋体"/>
          <w:b/>
          <w:spacing w:val="15"/>
          <w:sz w:val="28"/>
          <w:szCs w:val="28"/>
          <w:highlight w:val="none"/>
        </w:rPr>
        <w:t xml:space="preserve">项目名称：</w:t>
      </w:r>
      <w:bookmarkStart w:id="0" w:name="_Hlk164868173"/>
      <w:r>
        <w:rPr>
          <w:rFonts w:hint="eastAsia" w:ascii="宋体" w:hAnsi="宋体" w:cs="宋体"/>
          <w:b/>
          <w:spacing w:val="15"/>
          <w:sz w:val="28"/>
          <w:szCs w:val="28"/>
          <w:highlight w:val="none"/>
        </w:rPr>
        <w:t xml:space="preserve">盐城市盐都区龙冈（凤凰）小学物业服务项目</w:t>
      </w:r>
      <w:bookmarkEnd w:id="0"/>
      <w:r/>
      <w:r/>
    </w:p>
    <w:p>
      <w:pPr>
        <w:ind w:firstLine="321"/>
        <w:jc w:val="cente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sz w:val="28"/>
          <w:szCs w:val="28"/>
          <w:highlight w:val="none"/>
        </w:rPr>
      </w:pPr>
      <w:r>
        <w:rPr>
          <w:rFonts w:hint="eastAsia" w:ascii="宋体" w:hAnsi="宋体" w:cs="宋体"/>
          <w:b/>
          <w:sz w:val="28"/>
          <w:szCs w:val="28"/>
          <w:highlight w:val="none"/>
        </w:rPr>
        <w:t xml:space="preserve">项目编号：</w:t>
      </w:r>
      <w:r>
        <w:rPr>
          <w:rFonts w:hint="eastAsia" w:ascii="宋体" w:hAnsi="宋体" w:cs="宋体"/>
          <w:b/>
          <w:sz w:val="28"/>
          <w:szCs w:val="28"/>
          <w:highlight w:val="none"/>
          <w:lang w:eastAsia="zh-CN"/>
        </w:rPr>
        <w:t xml:space="preserve">JSZC-320903-JZCG-G2025-0026</w:t>
      </w:r>
      <w:r>
        <w:rPr>
          <w:rFonts w:hint="eastAsia" w:ascii="宋体" w:hAnsi="宋体" w:cs="宋体"/>
          <w:b/>
          <w:sz w:val="28"/>
          <w:szCs w:val="28"/>
          <w:highlight w:val="none"/>
        </w:rPr>
        <w:t xml:space="preserve"> </w:t>
      </w:r>
      <w:r/>
    </w:p>
    <w:p>
      <w:pPr>
        <w:pStyle w:val="824"/>
        <w:ind w:firstLine="321"/>
        <w:jc w:val="center"/>
        <w:rPr>
          <w:rFonts w:ascii="宋体"/>
          <w:b/>
          <w:sz w:val="32"/>
          <w:szCs w:val="32"/>
          <w:highlight w:val="none"/>
        </w:rPr>
      </w:pPr>
      <w:r>
        <w:rPr>
          <w:rFonts w:ascii="宋体"/>
          <w:b/>
          <w:sz w:val="32"/>
          <w:szCs w:val="32"/>
          <w:highlight w:val="none"/>
        </w:rPr>
      </w:r>
      <w:r/>
    </w:p>
    <w:p>
      <w:pPr>
        <w:ind w:firstLine="321"/>
        <w:rPr>
          <w:rFonts w:ascii="宋体"/>
          <w:b/>
          <w:sz w:val="32"/>
          <w:highlight w:val="none"/>
        </w:rPr>
      </w:pPr>
      <w:r>
        <w:rPr>
          <w:rFonts w:ascii="宋体"/>
          <w:b/>
          <w:sz w:val="32"/>
          <w:highlight w:val="none"/>
        </w:rPr>
      </w:r>
      <w:r/>
    </w:p>
    <w:p>
      <w:pPr>
        <w:pStyle w:val="823"/>
        <w:ind w:firstLine="321"/>
        <w:rPr>
          <w:rFonts w:ascii="宋体"/>
          <w:b/>
          <w:sz w:val="32"/>
          <w:highlight w:val="none"/>
        </w:rPr>
      </w:pPr>
      <w:r>
        <w:rPr>
          <w:rFonts w:ascii="宋体"/>
          <w:b/>
          <w:sz w:val="32"/>
          <w:highlight w:val="none"/>
        </w:rPr>
      </w:r>
      <w:r/>
    </w:p>
    <w:p>
      <w:pPr>
        <w:pStyle w:val="823"/>
        <w:ind w:firstLine="321"/>
        <w:rPr>
          <w:rFonts w:ascii="宋体"/>
          <w:b/>
          <w:sz w:val="32"/>
          <w:highlight w:val="none"/>
        </w:rPr>
      </w:pPr>
      <w:r>
        <w:rPr>
          <w:rFonts w:ascii="宋体"/>
          <w:b/>
          <w:sz w:val="32"/>
          <w:highlight w:val="none"/>
        </w:rPr>
      </w:r>
      <w:r/>
    </w:p>
    <w:p>
      <w:pPr>
        <w:pStyle w:val="823"/>
        <w:ind w:firstLine="321"/>
        <w:rPr>
          <w:rFonts w:ascii="宋体"/>
          <w:b/>
          <w:sz w:val="32"/>
          <w:highlight w:val="none"/>
        </w:rPr>
      </w:pPr>
      <w:r>
        <w:rPr>
          <w:rFonts w:ascii="宋体"/>
          <w:b/>
          <w:sz w:val="32"/>
          <w:highlight w:val="none"/>
        </w:rPr>
      </w:r>
      <w:r/>
    </w:p>
    <w:p>
      <w:pPr>
        <w:ind w:firstLine="321"/>
        <w:rPr>
          <w:rFonts w:ascii="宋体"/>
          <w:b/>
          <w:sz w:val="32"/>
          <w:highlight w:val="none"/>
        </w:rPr>
      </w:pPr>
      <w:r>
        <w:rPr>
          <w:rFonts w:ascii="宋体"/>
          <w:b/>
          <w:sz w:val="32"/>
          <w:highlight w:val="none"/>
        </w:rPr>
      </w:r>
      <w:r/>
    </w:p>
    <w:p>
      <w:pPr>
        <w:ind w:firstLine="390"/>
        <w:jc w:val="center"/>
        <w:spacing w:line="480" w:lineRule="auto"/>
        <w:rPr>
          <w:rFonts w:ascii="宋体" w:eastAsia="黑体"/>
          <w:bCs/>
          <w:sz w:val="30"/>
          <w:szCs w:val="30"/>
          <w:highlight w:val="none"/>
        </w:rPr>
      </w:pPr>
      <w:r>
        <w:rPr>
          <w:rFonts w:hint="eastAsia" w:ascii="黑体" w:hAnsi="黑体" w:eastAsia="黑体" w:cs="黑体"/>
          <w:bCs/>
          <w:spacing w:val="15"/>
          <w:sz w:val="30"/>
          <w:szCs w:val="30"/>
          <w:highlight w:val="none"/>
        </w:rPr>
        <w:t xml:space="preserve">采购单位：盐城市盐都区龙冈小学</w:t>
      </w:r>
      <w:r/>
    </w:p>
    <w:p>
      <w:pPr>
        <w:ind w:firstLine="360"/>
        <w:jc w:val="center"/>
        <w:spacing w:line="480" w:lineRule="auto"/>
        <w:rPr>
          <w:rFonts w:ascii="黑体" w:eastAsia="黑体"/>
          <w:sz w:val="30"/>
          <w:szCs w:val="30"/>
          <w:highlight w:val="none"/>
        </w:rPr>
      </w:pPr>
      <w:r>
        <w:rPr>
          <w:rFonts w:hint="eastAsia" w:ascii="黑体" w:eastAsia="黑体"/>
          <w:sz w:val="30"/>
          <w:szCs w:val="30"/>
          <w:highlight w:val="none"/>
        </w:rPr>
        <w:t xml:space="preserve">2025年</w:t>
      </w:r>
      <w:r>
        <w:rPr>
          <w:rFonts w:hint="eastAsia" w:ascii="黑体" w:eastAsia="黑体"/>
          <w:sz w:val="30"/>
          <w:szCs w:val="30"/>
          <w:highlight w:val="none"/>
          <w:lang w:val="en-US" w:eastAsia="zh-CN"/>
        </w:rPr>
        <w:t xml:space="preserve">9</w:t>
      </w:r>
      <w:r>
        <w:rPr>
          <w:rFonts w:hint="eastAsia" w:ascii="黑体" w:eastAsia="黑体"/>
          <w:sz w:val="30"/>
          <w:szCs w:val="30"/>
          <w:highlight w:val="none"/>
        </w:rPr>
        <w:t xml:space="preserve">月</w:t>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ind w:firstLine="442"/>
        <w:jc w:val="center"/>
        <w:spacing w:line="360" w:lineRule="auto"/>
        <w:rPr>
          <w:rFonts w:ascii="黑体" w:hAnsi="Arial" w:eastAsia="黑体"/>
          <w:b/>
          <w:bCs/>
          <w:sz w:val="44"/>
          <w:szCs w:val="44"/>
          <w:highlight w:val="none"/>
        </w:rPr>
        <w:outlineLvl w:val="0"/>
      </w:pPr>
      <w:r>
        <w:rPr>
          <w:rFonts w:hint="eastAsia" w:ascii="黑体" w:hAnsi="Arial" w:eastAsia="黑体"/>
          <w:b/>
          <w:sz w:val="44"/>
          <w:highlight w:val="none"/>
        </w:rPr>
      </w:r>
      <w:r>
        <w:rPr>
          <w:rFonts w:hint="eastAsia" w:ascii="黑体" w:hAnsi="Arial" w:eastAsia="黑体"/>
          <w:b/>
          <w:sz w:val="44"/>
          <w:highlight w:val="none"/>
        </w:rPr>
      </w:r>
      <w:r/>
    </w:p>
    <w:p>
      <w:pPr>
        <w:ind w:firstLine="442"/>
        <w:jc w:val="center"/>
        <w:spacing w:line="360" w:lineRule="auto"/>
        <w:rPr>
          <w:rFonts w:hint="eastAsia" w:ascii="黑体" w:hAnsi="Arial" w:eastAsia="黑体"/>
          <w:b/>
          <w:bCs/>
          <w:sz w:val="44"/>
          <w:szCs w:val="44"/>
          <w:highlight w:val="none"/>
        </w:rPr>
        <w:outlineLvl w:val="0"/>
      </w:pPr>
      <w:r>
        <w:rPr>
          <w:rFonts w:hint="eastAsia" w:ascii="黑体" w:hAnsi="Arial" w:eastAsia="黑体"/>
          <w:b/>
          <w:sz w:val="44"/>
          <w:highlight w:val="none"/>
        </w:rPr>
        <w:t xml:space="preserve">总  目  录</w:t>
      </w:r>
      <w:r/>
    </w:p>
    <w:p>
      <w:pPr>
        <w:ind w:firstLine="281"/>
        <w:spacing w:line="360" w:lineRule="auto"/>
        <w:rPr>
          <w:rFonts w:ascii="仿宋_GB2312" w:hAnsi="Arial" w:eastAsia="仿宋_GB2312"/>
          <w:b/>
          <w:sz w:val="28"/>
          <w:highlight w:val="none"/>
        </w:rPr>
      </w:pPr>
      <w:r>
        <w:rPr>
          <w:rFonts w:ascii="仿宋_GB2312" w:hAnsi="Arial" w:eastAsia="仿宋_GB2312"/>
          <w:b/>
          <w:sz w:val="28"/>
          <w:highlight w:val="none"/>
        </w:rPr>
      </w:r>
      <w:r/>
    </w:p>
    <w:p>
      <w:pPr>
        <w:ind w:firstLine="640"/>
        <w:spacing w:line="360" w:lineRule="auto"/>
        <w:tabs>
          <w:tab w:val="left" w:pos="1440" w:leader="none"/>
        </w:tabs>
        <w:rPr>
          <w:rFonts w:hint="eastAsia" w:ascii="宋体" w:hAnsi="宋体"/>
          <w:sz w:val="32"/>
          <w:szCs w:val="32"/>
          <w:highlight w:val="none"/>
        </w:rPr>
        <w:outlineLvl w:val="0"/>
      </w:pPr>
      <w:r>
        <w:rPr>
          <w:rFonts w:hint="eastAsia" w:ascii="宋体" w:hAnsi="宋体" w:cs="黑体"/>
          <w:sz w:val="32"/>
          <w:szCs w:val="32"/>
          <w:highlight w:val="none"/>
        </w:rPr>
        <w:t xml:space="preserve">第一章 </w:t>
      </w:r>
      <w:r>
        <w:rPr>
          <w:rFonts w:hint="eastAsia" w:ascii="宋体" w:hAnsi="宋体"/>
          <w:sz w:val="32"/>
          <w:szCs w:val="32"/>
          <w:highlight w:val="none"/>
        </w:rPr>
        <w:t xml:space="preserve">招标公告…………………………………3</w:t>
      </w:r>
      <w:r/>
    </w:p>
    <w:p>
      <w:pPr>
        <w:ind w:firstLine="640"/>
        <w:spacing w:line="360" w:lineRule="auto"/>
        <w:tabs>
          <w:tab w:val="left" w:pos="1440" w:leader="none"/>
        </w:tabs>
        <w:rPr>
          <w:rFonts w:hint="eastAsia" w:ascii="宋体" w:hAnsi="宋体" w:eastAsia="宋体"/>
          <w:sz w:val="32"/>
          <w:szCs w:val="32"/>
          <w:highlight w:val="none"/>
          <w:lang w:eastAsia="zh-CN"/>
        </w:rPr>
        <w:outlineLvl w:val="0"/>
      </w:pPr>
      <w:r>
        <w:rPr>
          <w:rFonts w:hint="eastAsia" w:ascii="宋体" w:hAnsi="宋体" w:cs="黑体"/>
          <w:sz w:val="32"/>
          <w:szCs w:val="32"/>
          <w:highlight w:val="none"/>
        </w:rPr>
        <w:t xml:space="preserve">第二章 </w:t>
      </w:r>
      <w:r>
        <w:rPr>
          <w:rFonts w:hint="eastAsia" w:ascii="宋体" w:hAnsi="宋体"/>
          <w:bCs/>
          <w:sz w:val="32"/>
          <w:szCs w:val="32"/>
          <w:highlight w:val="none"/>
        </w:rPr>
        <w:t xml:space="preserve">投标人须知</w:t>
      </w:r>
      <w:r>
        <w:rPr>
          <w:rFonts w:hint="eastAsia" w:ascii="宋体" w:hAnsi="宋体"/>
          <w:sz w:val="32"/>
          <w:szCs w:val="32"/>
          <w:highlight w:val="none"/>
        </w:rPr>
        <w:t xml:space="preserve">………………………………</w:t>
      </w:r>
      <w:r>
        <w:rPr>
          <w:rFonts w:hint="eastAsia" w:ascii="宋体" w:hAnsi="宋体"/>
          <w:sz w:val="32"/>
          <w:szCs w:val="32"/>
          <w:highlight w:val="none"/>
          <w:lang w:val="en-US" w:eastAsia="zh-CN"/>
        </w:rPr>
        <w:t xml:space="preserve">6</w:t>
      </w:r>
      <w:r/>
    </w:p>
    <w:p>
      <w:pPr>
        <w:ind w:firstLine="640"/>
        <w:spacing w:line="360" w:lineRule="auto"/>
        <w:tabs>
          <w:tab w:val="left" w:pos="0" w:leader="none"/>
        </w:tabs>
        <w:rPr>
          <w:rFonts w:hint="default" w:ascii="宋体" w:hAnsi="宋体" w:eastAsia="宋体"/>
          <w:sz w:val="32"/>
          <w:szCs w:val="32"/>
          <w:highlight w:val="none"/>
          <w:lang w:val="en-US" w:eastAsia="zh-CN"/>
        </w:rPr>
        <w:outlineLvl w:val="0"/>
      </w:pPr>
      <w:r>
        <w:rPr>
          <w:rFonts w:hint="eastAsia" w:ascii="宋体" w:hAnsi="宋体" w:cs="黑体"/>
          <w:sz w:val="32"/>
          <w:szCs w:val="32"/>
          <w:highlight w:val="none"/>
        </w:rPr>
        <w:t xml:space="preserve">第三章 </w:t>
      </w:r>
      <w:r>
        <w:rPr>
          <w:rFonts w:hint="eastAsia" w:ascii="宋体" w:hAnsi="宋体"/>
          <w:bCs/>
          <w:sz w:val="32"/>
          <w:szCs w:val="32"/>
          <w:highlight w:val="none"/>
        </w:rPr>
        <w:t xml:space="preserve">合同文本</w:t>
      </w:r>
      <w:r>
        <w:rPr>
          <w:rFonts w:hint="eastAsia" w:ascii="宋体" w:hAnsi="宋体"/>
          <w:sz w:val="32"/>
          <w:szCs w:val="32"/>
          <w:highlight w:val="none"/>
        </w:rPr>
        <w:t xml:space="preserve">…………………………………</w:t>
      </w:r>
      <w:r>
        <w:rPr>
          <w:rFonts w:hint="eastAsia" w:ascii="宋体" w:hAnsi="宋体"/>
          <w:sz w:val="32"/>
          <w:szCs w:val="32"/>
          <w:highlight w:val="none"/>
          <w:lang w:val="en-US" w:eastAsia="zh-CN"/>
        </w:rPr>
        <w:t xml:space="preserve">18</w:t>
      </w:r>
      <w:r/>
    </w:p>
    <w:p>
      <w:pPr>
        <w:ind w:firstLine="640"/>
        <w:spacing w:line="360" w:lineRule="auto"/>
        <w:tabs>
          <w:tab w:val="left" w:pos="1440" w:leader="none"/>
        </w:tabs>
        <w:rPr>
          <w:rFonts w:hint="default" w:ascii="宋体" w:hAnsi="宋体" w:eastAsia="宋体"/>
          <w:sz w:val="32"/>
          <w:szCs w:val="32"/>
          <w:highlight w:val="none"/>
          <w:lang w:val="en-US" w:eastAsia="zh-CN"/>
        </w:rPr>
        <w:outlineLvl w:val="0"/>
      </w:pPr>
      <w:r>
        <w:rPr>
          <w:rFonts w:hint="eastAsia" w:ascii="宋体" w:hAnsi="宋体" w:cs="黑体"/>
          <w:sz w:val="32"/>
          <w:szCs w:val="32"/>
          <w:highlight w:val="none"/>
        </w:rPr>
        <w:t xml:space="preserve">第四章 </w:t>
      </w:r>
      <w:r>
        <w:rPr>
          <w:rFonts w:hint="eastAsia" w:ascii="宋体" w:hAnsi="宋体"/>
          <w:sz w:val="32"/>
          <w:szCs w:val="32"/>
          <w:highlight w:val="none"/>
        </w:rPr>
        <w:t xml:space="preserve">采购需求…………………………………</w:t>
      </w:r>
      <w:r>
        <w:rPr>
          <w:rFonts w:hint="eastAsia" w:ascii="宋体" w:hAnsi="宋体"/>
          <w:sz w:val="32"/>
          <w:szCs w:val="32"/>
          <w:highlight w:val="none"/>
          <w:lang w:val="en-US" w:eastAsia="zh-CN"/>
        </w:rPr>
        <w:t xml:space="preserve">24</w:t>
      </w:r>
      <w:r/>
    </w:p>
    <w:p>
      <w:pPr>
        <w:ind w:firstLine="640"/>
        <w:spacing w:line="360" w:lineRule="auto"/>
        <w:tabs>
          <w:tab w:val="left" w:pos="1440" w:leader="none"/>
        </w:tabs>
        <w:rPr>
          <w:rFonts w:hint="default" w:ascii="宋体" w:hAnsi="宋体" w:eastAsia="宋体"/>
          <w:sz w:val="32"/>
          <w:szCs w:val="32"/>
          <w:highlight w:val="none"/>
          <w:lang w:val="en-US" w:eastAsia="zh-CN"/>
        </w:rPr>
        <w:outlineLvl w:val="0"/>
      </w:pPr>
      <w:r>
        <w:rPr>
          <w:rFonts w:hint="eastAsia" w:ascii="宋体" w:hAnsi="宋体" w:cs="黑体"/>
          <w:sz w:val="32"/>
          <w:szCs w:val="32"/>
          <w:highlight w:val="none"/>
        </w:rPr>
        <w:t xml:space="preserve">第五章 </w:t>
      </w:r>
      <w:r>
        <w:rPr>
          <w:rFonts w:hint="eastAsia" w:ascii="宋体" w:hAnsi="宋体"/>
          <w:sz w:val="32"/>
          <w:szCs w:val="32"/>
          <w:highlight w:val="none"/>
        </w:rPr>
        <w:t xml:space="preserve">评标方法</w:t>
      </w:r>
      <w:r>
        <w:rPr>
          <w:rFonts w:hint="eastAsia" w:ascii="宋体" w:hAnsi="宋体"/>
          <w:bCs/>
          <w:sz w:val="32"/>
          <w:szCs w:val="32"/>
          <w:highlight w:val="none"/>
        </w:rPr>
        <w:t xml:space="preserve">与评标标准</w:t>
      </w:r>
      <w:r>
        <w:rPr>
          <w:rFonts w:hint="eastAsia" w:ascii="宋体" w:hAnsi="宋体"/>
          <w:sz w:val="32"/>
          <w:szCs w:val="32"/>
          <w:highlight w:val="none"/>
        </w:rPr>
        <w:t xml:space="preserve">……………………</w:t>
      </w:r>
      <w:r>
        <w:rPr>
          <w:rFonts w:hint="eastAsia" w:ascii="宋体" w:hAnsi="宋体"/>
          <w:sz w:val="32"/>
          <w:szCs w:val="32"/>
          <w:highlight w:val="none"/>
          <w:lang w:val="en-US" w:eastAsia="zh-CN"/>
        </w:rPr>
        <w:t xml:space="preserve">29</w:t>
      </w:r>
      <w:r/>
    </w:p>
    <w:p>
      <w:pPr>
        <w:ind w:firstLine="640"/>
        <w:spacing w:line="360" w:lineRule="auto"/>
        <w:tabs>
          <w:tab w:val="left" w:pos="1440" w:leader="none"/>
        </w:tabs>
        <w:rPr>
          <w:rFonts w:hint="eastAsia" w:ascii="宋体" w:hAnsi="宋体" w:eastAsia="宋体"/>
          <w:sz w:val="32"/>
          <w:szCs w:val="32"/>
          <w:highlight w:val="none"/>
          <w:lang w:eastAsia="zh-CN"/>
        </w:rPr>
        <w:outlineLvl w:val="0"/>
      </w:pPr>
      <w:r>
        <w:rPr>
          <w:rFonts w:hint="eastAsia" w:ascii="宋体" w:hAnsi="宋体" w:cs="黑体"/>
          <w:sz w:val="32"/>
          <w:szCs w:val="32"/>
          <w:highlight w:val="none"/>
        </w:rPr>
        <w:t xml:space="preserve">第六章 </w:t>
      </w:r>
      <w:r>
        <w:rPr>
          <w:rFonts w:hint="eastAsia" w:ascii="宋体" w:hAnsi="宋体"/>
          <w:sz w:val="32"/>
          <w:szCs w:val="32"/>
          <w:highlight w:val="none"/>
        </w:rPr>
        <w:t xml:space="preserve">投标文件格式……………………………3</w:t>
      </w:r>
      <w:r>
        <w:rPr>
          <w:rFonts w:hint="eastAsia" w:ascii="宋体" w:hAnsi="宋体"/>
          <w:sz w:val="32"/>
          <w:szCs w:val="32"/>
          <w:highlight w:val="none"/>
          <w:lang w:val="en-US" w:eastAsia="zh-CN"/>
        </w:rPr>
        <w:t xml:space="preserve">1</w:t>
      </w:r>
      <w:bookmarkStart w:id="161" w:name="_GoBack"/>
      <w:r/>
      <w:bookmarkEnd w:id="161"/>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tabs>
          <w:tab w:val="left" w:pos="5685" w:leader="none"/>
        </w:tabs>
        <w:rPr>
          <w:color w:val="auto"/>
          <w:highlight w:val="none"/>
        </w:rPr>
      </w:pPr>
      <w:r>
        <w:rPr>
          <w:color w:val="auto"/>
          <w:highlight w:val="none"/>
        </w:rPr>
        <w:tab/>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826"/>
        <w:ind w:firstLine="2640"/>
        <w:jc w:val="left"/>
        <w:spacing w:line="240" w:lineRule="auto"/>
        <w:rPr>
          <w:rFonts w:ascii="Times New Roman" w:hAnsi="Times New Roman" w:cs="Times New Roman"/>
          <w:b w:val="0"/>
          <w:bCs/>
          <w:color w:val="auto"/>
          <w:highlight w:val="none"/>
        </w:rPr>
      </w:pPr>
      <w:r/>
      <w:bookmarkStart w:id="1" w:name="_Hlk190936915"/>
      <w:r/>
      <w:r/>
    </w:p>
    <w:p>
      <w:pPr>
        <w:pStyle w:val="826"/>
        <w:ind w:firstLine="2640"/>
        <w:jc w:val="left"/>
        <w:spacing w:line="240" w:lineRule="auto"/>
        <w:rPr>
          <w:rFonts w:ascii="Times New Roman" w:hAnsi="Times New Roman" w:cs="Times New Roman"/>
          <w:b w:val="0"/>
          <w:bCs/>
          <w:color w:val="auto"/>
          <w:highlight w:val="none"/>
        </w:rPr>
      </w:pPr>
      <w:r>
        <w:rPr>
          <w:rFonts w:ascii="Times New Roman" w:hAnsi="Times New Roman" w:cs="Times New Roman"/>
          <w:b w:val="0"/>
          <w:bCs/>
          <w:color w:val="auto"/>
          <w:highlight w:val="none"/>
        </w:rPr>
      </w:r>
      <w:r/>
    </w:p>
    <w:p>
      <w:pPr>
        <w:pStyle w:val="826"/>
        <w:ind w:firstLine="2640"/>
        <w:jc w:val="left"/>
        <w:spacing w:line="240" w:lineRule="auto"/>
        <w:rPr>
          <w:rFonts w:ascii="Times New Roman" w:hAnsi="Times New Roman" w:cs="Times New Roman"/>
          <w:b w:val="0"/>
          <w:bCs/>
          <w:color w:val="auto"/>
          <w:highlight w:val="none"/>
        </w:rPr>
      </w:pPr>
      <w:r>
        <w:rPr>
          <w:rFonts w:ascii="Times New Roman" w:hAnsi="Times New Roman" w:cs="Times New Roman"/>
          <w:b w:val="0"/>
          <w:bCs/>
          <w:color w:val="auto"/>
          <w:highlight w:val="none"/>
        </w:rPr>
      </w:r>
      <w:r/>
    </w:p>
    <w:p>
      <w:pPr>
        <w:pStyle w:val="826"/>
        <w:ind w:firstLine="0"/>
        <w:jc w:val="left"/>
        <w:spacing w:line="240" w:lineRule="auto"/>
        <w:rPr>
          <w:rFonts w:hint="eastAsia" w:ascii="仿宋" w:hAnsi="仿宋" w:eastAsia="仿宋"/>
          <w:color w:val="auto"/>
          <w:highlight w:val="none"/>
        </w:rPr>
      </w:pPr>
      <w:r>
        <w:rPr>
          <w:rFonts w:hint="eastAsia" w:ascii="Times New Roman" w:hAnsi="Times New Roman" w:cs="Times New Roman"/>
          <w:b w:val="0"/>
          <w:bCs/>
          <w:color w:val="auto"/>
          <w:highlight w:val="none"/>
        </w:rPr>
      </w:r>
      <w:r>
        <w:rPr>
          <w:rFonts w:hint="eastAsia" w:ascii="Times New Roman" w:hAnsi="Times New Roman" w:cs="Times New Roman"/>
          <w:b w:val="0"/>
          <w:bCs/>
          <w:color w:val="auto"/>
          <w:highlight w:val="none"/>
        </w:rPr>
      </w:r>
      <w:r/>
    </w:p>
    <w:p>
      <w:pPr>
        <w:pStyle w:val="826"/>
        <w:ind w:firstLine="2640"/>
        <w:jc w:val="left"/>
        <w:spacing w:line="240" w:lineRule="auto"/>
        <w:rPr>
          <w:rFonts w:hint="eastAsia" w:ascii="Times New Roman" w:hAnsi="Times New Roman" w:cs="Times New Roman"/>
          <w:b w:val="0"/>
          <w:bCs w:val="0"/>
          <w:color w:val="auto"/>
          <w:highlight w:val="none"/>
        </w:rPr>
      </w:pPr>
      <w:r>
        <w:rPr>
          <w:rFonts w:hint="eastAsia" w:ascii="Times New Roman" w:hAnsi="Times New Roman" w:cs="Times New Roman"/>
          <w:b w:val="0"/>
          <w:bCs/>
          <w:color w:val="auto"/>
          <w:highlight w:val="none"/>
        </w:rPr>
        <w:t xml:space="preserve">第一章 招标公告</w:t>
      </w:r>
      <w:r/>
    </w:p>
    <w:p>
      <w:pPr>
        <w:ind w:firstLine="422"/>
        <w:spacing w:line="400" w:lineRule="exact"/>
        <w:rPr>
          <w:rFonts w:hint="eastAsia" w:ascii="宋体" w:hAnsi="宋体" w:cs="宋体"/>
          <w:b/>
          <w:bCs/>
          <w:szCs w:val="21"/>
          <w:highlight w:val="none"/>
        </w:rPr>
        <w:pBdr>
          <w:top w:val="single" w:color="000000" w:sz="4" w:space="1"/>
          <w:left w:val="single" w:color="000000" w:sz="4" w:space="4"/>
          <w:bottom w:val="single" w:color="000000" w:sz="4" w:space="1"/>
          <w:right w:val="single" w:color="000000" w:sz="4" w:space="15"/>
        </w:pBdr>
      </w:pPr>
      <w:r/>
      <w:bookmarkStart w:id="2" w:name="_Toc28359002"/>
      <w:r/>
      <w:bookmarkStart w:id="3" w:name="_Toc35393790"/>
      <w:r/>
      <w:bookmarkStart w:id="4" w:name="_Toc35393621"/>
      <w:r/>
      <w:bookmarkStart w:id="5" w:name="_Toc28359079"/>
      <w:r/>
      <w:bookmarkStart w:id="6" w:name="_Hlk24379207"/>
      <w:r>
        <w:rPr>
          <w:rFonts w:hint="eastAsia" w:ascii="宋体" w:hAnsi="宋体" w:cs="宋体"/>
          <w:b/>
          <w:bCs/>
          <w:szCs w:val="21"/>
          <w:highlight w:val="none"/>
        </w:rPr>
        <w:t xml:space="preserve">项目概况</w:t>
      </w:r>
      <w:r/>
    </w:p>
    <w:p>
      <w:pPr>
        <w:ind w:firstLine="420"/>
        <w:spacing w:line="400" w:lineRule="exact"/>
        <w:rPr>
          <w:rFonts w:hint="eastAsia" w:ascii="宋体" w:hAnsi="宋体"/>
          <w:szCs w:val="21"/>
          <w:highlight w:val="none"/>
        </w:rPr>
        <w:pBdr>
          <w:top w:val="single" w:color="000000" w:sz="4" w:space="1"/>
          <w:left w:val="single" w:color="000000" w:sz="4" w:space="4"/>
          <w:bottom w:val="single" w:color="000000" w:sz="4" w:space="1"/>
          <w:right w:val="single" w:color="000000" w:sz="4" w:space="15"/>
        </w:pBdr>
      </w:pPr>
      <w:r/>
      <w:bookmarkStart w:id="7" w:name="_Hlk164868252"/>
      <w:r>
        <w:rPr>
          <w:rFonts w:hint="eastAsia" w:ascii="宋体" w:hAnsi="宋体" w:cs="仿宋"/>
          <w:szCs w:val="21"/>
          <w:highlight w:val="none"/>
        </w:rPr>
        <w:t xml:space="preserve">盐城市盐都区龙冈（凤凰）小学物业服务项目招标项目的潜在投标人可在</w:t>
      </w:r>
      <w:r>
        <w:rPr>
          <w:rFonts w:ascii="宋体" w:hAnsi="宋体" w:cs="仿宋"/>
          <w:szCs w:val="21"/>
          <w:highlight w:val="none"/>
        </w:rPr>
        <w:t xml:space="preserve">“苏采云”系统内免费下载（投标人必须在苏采云系统中获取采购文件，方能参与政府采购项目）</w:t>
      </w:r>
      <w:r>
        <w:rPr>
          <w:rFonts w:hint="eastAsia" w:ascii="宋体" w:hAnsi="宋体" w:cs="仿宋"/>
          <w:szCs w:val="21"/>
          <w:highlight w:val="none"/>
        </w:rPr>
        <w:t xml:space="preserve">，并于</w:t>
      </w:r>
      <w:r>
        <w:rPr>
          <w:rFonts w:hint="eastAsia" w:ascii="宋体" w:hAnsi="宋体" w:cs="仿宋"/>
          <w:szCs w:val="21"/>
          <w:highlight w:val="none"/>
          <w:u w:val="single"/>
        </w:rPr>
        <w:t xml:space="preserve">2025年</w:t>
      </w:r>
      <w:r>
        <w:rPr>
          <w:rFonts w:hint="eastAsia" w:ascii="宋体" w:hAnsi="宋体" w:cs="仿宋"/>
          <w:szCs w:val="21"/>
          <w:highlight w:val="none"/>
          <w:u w:val="single"/>
          <w:lang w:val="en-US" w:eastAsia="zh-CN"/>
        </w:rPr>
        <w:t xml:space="preserve">09</w:t>
      </w:r>
      <w:r>
        <w:rPr>
          <w:rFonts w:hint="eastAsia" w:ascii="宋体" w:hAnsi="宋体" w:cs="仿宋"/>
          <w:szCs w:val="21"/>
          <w:highlight w:val="none"/>
          <w:u w:val="single"/>
        </w:rPr>
        <w:t xml:space="preserve">月</w:t>
      </w:r>
      <w:r>
        <w:rPr>
          <w:rFonts w:hint="eastAsia" w:ascii="宋体" w:hAnsi="宋体" w:cs="仿宋"/>
          <w:szCs w:val="21"/>
          <w:highlight w:val="none"/>
          <w:u w:val="single"/>
          <w:lang w:val="en-US" w:eastAsia="zh-CN"/>
        </w:rPr>
        <w:t xml:space="preserve">24</w:t>
      </w:r>
      <w:r>
        <w:rPr>
          <w:rFonts w:hint="eastAsia" w:ascii="宋体" w:hAnsi="宋体" w:cs="仿宋"/>
          <w:szCs w:val="21"/>
          <w:highlight w:val="none"/>
          <w:u w:val="single"/>
        </w:rPr>
        <w:t xml:space="preserve">日09点00分(北京时间)前递交投标文件。</w:t>
      </w:r>
      <w:bookmarkEnd w:id="2"/>
      <w:r/>
      <w:bookmarkEnd w:id="3"/>
      <w:r/>
      <w:bookmarkEnd w:id="4"/>
      <w:r/>
      <w:bookmarkEnd w:id="5"/>
      <w:r/>
      <w:bookmarkEnd w:id="6"/>
      <w:r/>
      <w:bookmarkEnd w:id="7"/>
      <w:r/>
      <w:r/>
    </w:p>
    <w:p>
      <w:pPr>
        <w:ind w:firstLine="422"/>
        <w:spacing w:line="400" w:lineRule="exact"/>
        <w:rPr>
          <w:rFonts w:hint="eastAsia" w:ascii="宋体" w:hAnsi="宋体" w:cs="仿宋"/>
          <w:b/>
          <w:bCs/>
          <w:szCs w:val="21"/>
          <w:highlight w:val="none"/>
        </w:rPr>
      </w:pPr>
      <w:r>
        <w:rPr>
          <w:rFonts w:hint="eastAsia" w:ascii="宋体" w:hAnsi="宋体" w:cs="仿宋"/>
          <w:b/>
          <w:bCs/>
          <w:szCs w:val="21"/>
          <w:highlight w:val="none"/>
        </w:rPr>
        <w:t xml:space="preserve">一、项目基本情况</w:t>
      </w:r>
      <w:r/>
    </w:p>
    <w:p>
      <w:pPr>
        <w:ind w:firstLine="420"/>
        <w:spacing w:line="400" w:lineRule="exact"/>
        <w:rPr>
          <w:rFonts w:hint="eastAsia" w:ascii="宋体" w:hAnsi="宋体" w:eastAsia="宋体" w:cs="仿宋"/>
          <w:szCs w:val="21"/>
          <w:highlight w:val="none"/>
          <w:lang w:eastAsia="zh-CN"/>
        </w:rPr>
      </w:pPr>
      <w:r/>
      <w:bookmarkStart w:id="8" w:name="_Toc28359003"/>
      <w:r/>
      <w:bookmarkStart w:id="9" w:name="_Toc35393791"/>
      <w:r/>
      <w:bookmarkStart w:id="10" w:name="_Toc35393622"/>
      <w:r/>
      <w:bookmarkStart w:id="11" w:name="_Toc28359080"/>
      <w:r>
        <w:rPr>
          <w:rFonts w:hint="eastAsia" w:ascii="宋体" w:hAnsi="宋体" w:cs="仿宋"/>
          <w:szCs w:val="21"/>
          <w:highlight w:val="none"/>
        </w:rPr>
        <w:t xml:space="preserve">1.项目编号：</w:t>
      </w:r>
      <w:r>
        <w:rPr>
          <w:rFonts w:hint="eastAsia" w:ascii="宋体" w:hAnsi="宋体" w:cs="Segoe UI"/>
          <w:szCs w:val="21"/>
          <w:highlight w:val="none"/>
          <w:shd w:val="clear" w:color="auto" w:fill="ffffff"/>
          <w:lang w:eastAsia="zh-CN"/>
        </w:rPr>
        <w:t xml:space="preserve">JSZC-320903-JZCG-G2025-0026</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2.项目名称：盐城市盐都区龙冈（凤凰）小学物业服务项目</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3.采购方式：公开招标</w:t>
      </w:r>
      <w:r/>
    </w:p>
    <w:p>
      <w:pPr>
        <w:pStyle w:val="719"/>
        <w:ind w:firstLine="420"/>
        <w:spacing w:line="400" w:lineRule="exact"/>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4.预算金额：35万元</w:t>
      </w:r>
      <w:r/>
    </w:p>
    <w:p>
      <w:pPr>
        <w:pStyle w:val="719"/>
        <w:ind w:firstLine="420"/>
        <w:spacing w:line="400" w:lineRule="exact"/>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5.最高限价：35万元</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6.采购需求：每天清扫楼梯、过道、卫生间、室外玻璃、绿化带内的垃圾，发现脏物、废品应及时处理，对区域内各种设施（含直饮水机）和窗台进行抹尘和清洗，保持外围干净、整洁；每日循环清扫地面垃圾，清除台面、地面的污迹，每月彻底清洗两次，平时发现污渍及时处理；拖洗所有卫生间地面，抹净洁具、门框、墙身，每天循环多次，保持无灰尘、无垃圾、无异味、无手脚印、无污渍等物业保洁服务，临时性校务整理和文印服务等。详细内容见本招标文件第四章。</w:t>
      </w:r>
      <w:r/>
    </w:p>
    <w:p>
      <w:pPr>
        <w:pStyle w:val="719"/>
        <w:ind w:firstLine="420"/>
        <w:spacing w:line="400" w:lineRule="exact"/>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7.合同履行期限：</w:t>
      </w:r>
      <w:r>
        <w:rPr>
          <w:rFonts w:hint="eastAsia" w:ascii="宋体" w:hAnsi="宋体" w:eastAsia="宋体" w:cs="仿宋"/>
          <w:sz w:val="21"/>
          <w:szCs w:val="21"/>
          <w:highlight w:val="none"/>
        </w:rPr>
        <w:t xml:space="preserve">一年</w:t>
      </w:r>
      <w:r/>
    </w:p>
    <w:p>
      <w:pPr>
        <w:pStyle w:val="800"/>
        <w:ind w:firstLine="420"/>
        <w:jc w:val="both"/>
        <w:spacing w:before="0" w:beforeAutospacing="0" w:after="0" w:afterAutospacing="0" w:line="400" w:lineRule="exact"/>
        <w:rPr>
          <w:rFonts w:hint="eastAsia" w:cs="仿宋"/>
          <w:sz w:val="21"/>
          <w:szCs w:val="21"/>
          <w:highlight w:val="none"/>
        </w:rPr>
      </w:pPr>
      <w:r>
        <w:rPr>
          <w:rFonts w:hint="eastAsia" w:cs="仿宋"/>
          <w:sz w:val="21"/>
          <w:szCs w:val="21"/>
          <w:highlight w:val="none"/>
        </w:rPr>
        <w:t xml:space="preserve">8.本项目不接受联合体参与投标</w:t>
      </w:r>
      <w:bookmarkEnd w:id="8"/>
      <w:r/>
      <w:bookmarkEnd w:id="9"/>
      <w:r/>
      <w:bookmarkEnd w:id="10"/>
      <w:r/>
      <w:bookmarkEnd w:id="11"/>
      <w:r/>
      <w:r/>
    </w:p>
    <w:p>
      <w:pPr>
        <w:ind w:firstLine="422"/>
        <w:spacing w:line="400" w:lineRule="exact"/>
        <w:rPr>
          <w:rFonts w:hint="eastAsia" w:ascii="宋体" w:hAnsi="宋体" w:cs="仿宋"/>
          <w:b/>
          <w:bCs/>
          <w:szCs w:val="21"/>
          <w:highlight w:val="none"/>
        </w:rPr>
      </w:pPr>
      <w:r/>
      <w:bookmarkStart w:id="12" w:name="_Toc38985264"/>
      <w:r>
        <w:rPr>
          <w:rFonts w:ascii="宋体" w:hAnsi="宋体" w:cs="仿宋"/>
          <w:b/>
          <w:bCs/>
          <w:szCs w:val="21"/>
          <w:highlight w:val="none"/>
        </w:rPr>
        <w:t xml:space="preserve">二、申请人的资格要求</w:t>
      </w:r>
      <w:bookmarkEnd w:id="12"/>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（一）满足《中华人民共和国政府采购法》第二十二条规定，并提供下列材料：</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1.1 法人或者其他组织的营业执照等证明文件，自然人的身份证明；</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1.2上一年度的财务状况报告（成立不满一年无需提供）；</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1.3具备履行合同所必需的设备和专业技术能力的书面声明；</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1.5参加政府采购活动前3年内在经营活动中没有重大违法记录的书面声明。</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1.6法律、行政法规规定的其他条件。</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1.8单位负责人为同一人或者存在直接控股、管理关系的不同供应商，不得参加同一合同项下的政府采购活动。</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二）落实政府采购政策需满足的资格要求：本项目专门面向中小企业采购，投标人须按照采购文件的要求提供相应的《中小企业声明函》，否则按无效标处理。企业标准请参照《关于印发中小企业划型标准规定的通知》(工信部联企业[2011]300号)文件规定填写。</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（三）本项目的特定资格要求：无</w:t>
      </w:r>
      <w:r/>
    </w:p>
    <w:p>
      <w:pPr>
        <w:ind w:firstLine="422"/>
        <w:spacing w:line="400" w:lineRule="exact"/>
        <w:rPr>
          <w:rFonts w:hint="eastAsia" w:ascii="宋体" w:hAnsi="宋体" w:cs="仿宋"/>
          <w:b/>
          <w:bCs/>
          <w:szCs w:val="21"/>
          <w:highlight w:val="none"/>
        </w:rPr>
      </w:pPr>
      <w:r>
        <w:rPr>
          <w:rFonts w:ascii="宋体" w:hAnsi="宋体" w:cs="仿宋"/>
          <w:b/>
          <w:bCs/>
          <w:szCs w:val="21"/>
          <w:highlight w:val="none"/>
        </w:rPr>
        <w:t xml:space="preserve">三、获取招标文件</w:t>
      </w:r>
      <w:r/>
    </w:p>
    <w:p>
      <w:pPr>
        <w:pStyle w:val="800"/>
        <w:ind w:firstLine="420"/>
        <w:jc w:val="both"/>
        <w:spacing w:before="0" w:beforeAutospacing="0" w:after="0" w:afterAutospacing="0" w:line="400" w:lineRule="exact"/>
        <w:shd w:val="clear" w:color="auto" w:fill="ffffff"/>
        <w:rPr>
          <w:rFonts w:hint="eastAsia" w:cs="仿宋"/>
          <w:sz w:val="21"/>
          <w:szCs w:val="21"/>
          <w:highlight w:val="none"/>
        </w:rPr>
      </w:pPr>
      <w:r>
        <w:rPr>
          <w:rFonts w:hint="eastAsia" w:cs="仿宋"/>
          <w:sz w:val="21"/>
          <w:szCs w:val="21"/>
          <w:highlight w:val="none"/>
        </w:rPr>
        <w:t xml:space="preserve">时间：</w:t>
      </w:r>
      <w:r>
        <w:rPr>
          <w:rFonts w:hint="eastAsia" w:cs="仿宋"/>
          <w:sz w:val="21"/>
          <w:szCs w:val="21"/>
          <w:highlight w:val="none"/>
          <w:shd w:val="clear" w:color="auto" w:fill="ffffff"/>
        </w:rPr>
        <w:t xml:space="preserve">自招标文件公告发布之日起5个工作日</w:t>
      </w:r>
      <w:r/>
    </w:p>
    <w:p>
      <w:pPr>
        <w:pStyle w:val="825"/>
        <w:ind w:firstLine="420"/>
        <w:jc w:val="both"/>
        <w:spacing w:before="0" w:beforeAutospacing="0" w:after="0" w:afterAutospacing="0" w:line="400" w:lineRule="exact"/>
        <w:rPr>
          <w:rFonts w:hint="eastAsia" w:cs="仿宋"/>
          <w:b/>
          <w:bCs/>
          <w:sz w:val="21"/>
          <w:szCs w:val="21"/>
          <w:highlight w:val="none"/>
          <w:shd w:val="clear" w:color="auto" w:fill="ffffff"/>
        </w:rPr>
      </w:pPr>
      <w:r>
        <w:rPr>
          <w:rFonts w:hint="eastAsia" w:cs="仿宋"/>
          <w:sz w:val="21"/>
          <w:szCs w:val="21"/>
          <w:highlight w:val="none"/>
        </w:rPr>
        <w:t xml:space="preserve">地点：</w:t>
      </w:r>
      <w:r>
        <w:rPr>
          <w:rFonts w:hint="eastAsia" w:cs="仿宋"/>
          <w:sz w:val="21"/>
          <w:szCs w:val="21"/>
          <w:highlight w:val="none"/>
          <w:shd w:val="clear" w:color="auto" w:fill="ffffff"/>
        </w:rPr>
        <w:t xml:space="preserve">“苏采云”系统内免费下载（投标人必须在苏采云系统中获取采购文件，方能参与政府采购项目）；</w:t>
      </w:r>
      <w:r/>
    </w:p>
    <w:p>
      <w:pPr>
        <w:ind w:firstLine="420"/>
        <w:jc w:val="left"/>
        <w:spacing w:line="400" w:lineRule="exact"/>
        <w:widowControl/>
        <w:rPr>
          <w:rFonts w:hint="eastAsia" w:ascii="宋体" w:hAnsi="宋体" w:cs="仿宋"/>
          <w:szCs w:val="21"/>
          <w:highlight w:val="none"/>
        </w:rPr>
      </w:pPr>
      <w:r>
        <w:rPr>
          <w:rFonts w:hint="eastAsia" w:ascii="宋体" w:hAnsi="宋体" w:cs="仿宋"/>
          <w:szCs w:val="21"/>
          <w:highlight w:val="none"/>
        </w:rPr>
        <w:t xml:space="preserve">方式：</w:t>
      </w:r>
      <w:r>
        <w:rPr>
          <w:rFonts w:hint="eastAsia" w:ascii="宋体" w:hAnsi="宋体" w:cs="仿宋"/>
          <w:szCs w:val="21"/>
          <w:highlight w:val="none"/>
          <w:shd w:val="clear" w:color="auto" w:fill="ffffff"/>
        </w:rPr>
        <w:t xml:space="preserve">本项目采用网上注册登记方式。</w:t>
      </w:r>
      <w:r/>
    </w:p>
    <w:p>
      <w:pPr>
        <w:pStyle w:val="825"/>
        <w:ind w:firstLine="420"/>
        <w:jc w:val="both"/>
        <w:spacing w:before="0" w:beforeAutospacing="0" w:after="0" w:afterAutospacing="0" w:line="400" w:lineRule="exact"/>
        <w:rPr>
          <w:rFonts w:hint="eastAsia" w:cs="仿宋"/>
          <w:b/>
          <w:bCs/>
          <w:sz w:val="21"/>
          <w:szCs w:val="21"/>
          <w:highlight w:val="none"/>
          <w:shd w:val="clear" w:color="auto" w:fill="ffffff"/>
        </w:rPr>
      </w:pPr>
      <w:r>
        <w:rPr>
          <w:rFonts w:hint="eastAsia" w:cs="仿宋"/>
          <w:sz w:val="21"/>
          <w:szCs w:val="21"/>
          <w:highlight w:val="none"/>
          <w:shd w:val="clear" w:color="auto" w:fill="ffffff"/>
        </w:rPr>
        <w:t xml:space="preserve">售价：0.00元</w:t>
      </w:r>
      <w:r/>
    </w:p>
    <w:p>
      <w:pPr>
        <w:ind w:firstLine="422"/>
        <w:spacing w:line="400" w:lineRule="exact"/>
        <w:rPr>
          <w:rFonts w:hint="eastAsia" w:ascii="宋体" w:hAnsi="宋体" w:cs="仿宋"/>
          <w:b/>
          <w:bCs/>
          <w:szCs w:val="21"/>
          <w:highlight w:val="none"/>
        </w:rPr>
      </w:pPr>
      <w:r>
        <w:rPr>
          <w:rFonts w:ascii="宋体" w:hAnsi="宋体" w:cs="仿宋"/>
          <w:b/>
          <w:bCs/>
          <w:szCs w:val="21"/>
          <w:highlight w:val="none"/>
        </w:rPr>
        <w:t xml:space="preserve">四、提交投标文件截止时间、开标时间和地点</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时间：2025年</w:t>
      </w:r>
      <w:r>
        <w:rPr>
          <w:rFonts w:hint="eastAsia" w:ascii="宋体" w:hAnsi="宋体" w:cs="仿宋"/>
          <w:szCs w:val="21"/>
          <w:highlight w:val="none"/>
          <w:lang w:val="en-US" w:eastAsia="zh-CN"/>
        </w:rPr>
        <w:t xml:space="preserve">09</w:t>
      </w:r>
      <w:r>
        <w:rPr>
          <w:rFonts w:hint="eastAsia" w:ascii="宋体" w:hAnsi="宋体" w:cs="仿宋"/>
          <w:szCs w:val="21"/>
          <w:highlight w:val="none"/>
        </w:rPr>
        <w:t xml:space="preserve">月</w:t>
      </w:r>
      <w:r>
        <w:rPr>
          <w:rFonts w:hint="eastAsia" w:ascii="宋体" w:hAnsi="宋体" w:cs="仿宋"/>
          <w:szCs w:val="21"/>
          <w:highlight w:val="none"/>
          <w:lang w:val="en-US" w:eastAsia="zh-CN"/>
        </w:rPr>
        <w:t xml:space="preserve">24</w:t>
      </w:r>
      <w:r>
        <w:rPr>
          <w:rFonts w:hint="eastAsia" w:ascii="宋体" w:hAnsi="宋体" w:cs="仿宋"/>
          <w:szCs w:val="21"/>
          <w:highlight w:val="none"/>
        </w:rPr>
        <w:t xml:space="preserve">日09：00（北京时间）</w:t>
      </w:r>
      <w:r/>
    </w:p>
    <w:p>
      <w:pPr>
        <w:ind w:firstLine="420"/>
        <w:spacing w:line="400" w:lineRule="exact"/>
        <w:rPr>
          <w:rFonts w:hint="eastAsia" w:ascii="宋体" w:hAnsi="宋体" w:cs="仿宋"/>
          <w:b/>
          <w:bCs/>
          <w:szCs w:val="21"/>
          <w:highlight w:val="none"/>
        </w:rPr>
      </w:pPr>
      <w:r>
        <w:rPr>
          <w:rFonts w:hint="eastAsia" w:ascii="宋体" w:hAnsi="宋体" w:cs="仿宋"/>
          <w:szCs w:val="21"/>
          <w:highlight w:val="none"/>
        </w:rPr>
        <w:t xml:space="preserve">地点：苏采云“不见面”开标大厅。</w:t>
      </w:r>
      <w:r/>
    </w:p>
    <w:p>
      <w:pPr>
        <w:ind w:firstLine="422"/>
        <w:spacing w:line="400" w:lineRule="exact"/>
        <w:rPr>
          <w:rFonts w:hint="eastAsia" w:ascii="宋体" w:hAnsi="宋体" w:cs="仿宋"/>
          <w:b/>
          <w:bCs/>
          <w:szCs w:val="21"/>
          <w:highlight w:val="none"/>
        </w:rPr>
      </w:pPr>
      <w:r/>
      <w:bookmarkStart w:id="13" w:name="_Toc38985267"/>
      <w:r>
        <w:rPr>
          <w:rFonts w:ascii="宋体" w:hAnsi="宋体" w:cs="仿宋"/>
          <w:b/>
          <w:bCs/>
          <w:szCs w:val="21"/>
          <w:highlight w:val="none"/>
        </w:rPr>
        <w:t xml:space="preserve">五、公告期限</w:t>
      </w:r>
      <w:bookmarkEnd w:id="13"/>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bookmarkStart w:id="14" w:name="_Toc38985268"/>
      <w:r/>
      <w:bookmarkStart w:id="15" w:name="_Toc35393795"/>
      <w:r/>
      <w:bookmarkStart w:id="16" w:name="_Toc35393626"/>
      <w:r>
        <w:rPr>
          <w:rFonts w:hint="eastAsia" w:cs="仿宋"/>
          <w:sz w:val="21"/>
          <w:szCs w:val="21"/>
          <w:highlight w:val="none"/>
          <w:shd w:val="clear" w:color="auto" w:fill="ffffff"/>
        </w:rPr>
        <w:t xml:space="preserve">自本公告发布之日起5个工作日</w:t>
      </w:r>
      <w:bookmarkEnd w:id="14"/>
      <w:r/>
      <w:bookmarkEnd w:id="15"/>
      <w:r/>
      <w:bookmarkEnd w:id="16"/>
      <w:r/>
      <w:r/>
    </w:p>
    <w:p>
      <w:pPr>
        <w:ind w:firstLine="422"/>
        <w:spacing w:line="400" w:lineRule="exact"/>
        <w:rPr>
          <w:rFonts w:hint="eastAsia" w:ascii="宋体" w:hAnsi="宋体" w:cs="仿宋"/>
          <w:b/>
          <w:bCs/>
          <w:szCs w:val="21"/>
          <w:highlight w:val="none"/>
        </w:rPr>
      </w:pPr>
      <w:r>
        <w:rPr>
          <w:rFonts w:ascii="宋体" w:hAnsi="宋体" w:cs="仿宋"/>
          <w:b/>
          <w:bCs/>
          <w:szCs w:val="21"/>
          <w:highlight w:val="none"/>
        </w:rPr>
        <w:t xml:space="preserve">六、其他补充事宜</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bookmarkStart w:id="17" w:name="_Toc28359018"/>
      <w:r>
        <w:rPr>
          <w:rFonts w:hint="eastAsia" w:cs="仿宋"/>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2.潜在供应商访问电子招标响应交易平台的网络地址和方法： </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2.2 潜在投标人访问“苏采云”系统方法：江苏省政府采购网首页-“苏采云”链接。 </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2.3 采购文件（后缀名为“.kedt”）、供应商操作手册及政府采购客户端 工具可通过“苏采云”系统相应链接进行下载。 </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2.4 采购代理机构将数据电文形式的采购文件加载至“苏采云”系统，供潜在供应商下载或者查阅。 </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2.5 请潜在投标单位提前安装相应的控件（详见《“苏采云”系统供应商操作手册》）并使用谷歌浏览器登录“苏采云”系统参与不见面开评标。 </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如潜在投标人未按上述要求操作，将自行承担所产生的风险。</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3.有关本次招标的事项若存在变动或修改，敬请及时关注盐城市盐都区公共资源交易中心在“中国政府采购网”、“江苏政府采购网”、“盐城市政府采购网”发布的更正公告。</w:t>
      </w:r>
      <w:r/>
    </w:p>
    <w:p>
      <w:pPr>
        <w:pStyle w:val="800"/>
        <w:ind w:firstLine="420"/>
        <w:jc w:val="both"/>
        <w:spacing w:before="0" w:beforeAutospacing="0" w:after="0" w:afterAutospacing="0" w:line="400" w:lineRule="exact"/>
        <w:shd w:val="clear" w:color="auto" w:fill="ffffff"/>
        <w:rPr>
          <w:rFonts w:hint="eastAsia" w:cs="仿宋"/>
          <w:sz w:val="21"/>
          <w:szCs w:val="21"/>
          <w:highlight w:val="none"/>
          <w:shd w:val="clear" w:color="auto" w:fill="ffffff"/>
        </w:rPr>
      </w:pPr>
      <w:r>
        <w:rPr>
          <w:rFonts w:hint="eastAsia" w:cs="仿宋"/>
          <w:sz w:val="21"/>
          <w:szCs w:val="21"/>
          <w:highlight w:val="none"/>
          <w:shd w:val="clear" w:color="auto" w:fill="ffffff"/>
        </w:rPr>
        <w:t xml:space="preserve">4.本次招标不收取投标保证金，不收取质量保证金。</w:t>
      </w:r>
      <w:r/>
    </w:p>
    <w:p>
      <w:pPr>
        <w:ind w:firstLine="422"/>
        <w:spacing w:line="400" w:lineRule="exact"/>
        <w:rPr>
          <w:rFonts w:hint="eastAsia" w:ascii="宋体" w:hAnsi="宋体" w:cs="仿宋"/>
          <w:b/>
          <w:bCs/>
          <w:szCs w:val="21"/>
          <w:highlight w:val="none"/>
        </w:rPr>
      </w:pPr>
      <w:r>
        <w:rPr>
          <w:rFonts w:hint="eastAsia" w:ascii="宋体" w:hAnsi="宋体" w:cs="仿宋"/>
          <w:b/>
          <w:bCs/>
          <w:szCs w:val="21"/>
          <w:highlight w:val="none"/>
        </w:rPr>
        <w:t xml:space="preserve">七、对本次招标提出询问，请按以下方式联系。</w:t>
      </w:r>
      <w:bookmarkEnd w:id="17"/>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1.采购人信息</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名    称：盐城市盐都区龙冈小学</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地    址：盐城市龙冈镇民兴路</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联 系 人：许主任</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联系方式：</w:t>
      </w:r>
      <w:bookmarkStart w:id="18" w:name="_Hlk204761105"/>
      <w:r>
        <w:rPr>
          <w:rFonts w:ascii="宋体" w:hAnsi="宋体" w:cs="仿宋"/>
          <w:szCs w:val="21"/>
          <w:highlight w:val="none"/>
        </w:rPr>
        <w:t xml:space="preserve">13813221498</w:t>
      </w:r>
      <w:bookmarkEnd w:id="18"/>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2.采购代理机构信息</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名    称：盐城市盐都区公共资源交易中心 </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地    址：盐城市盐都区世纪大道1188号服务大厦8楼</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联 系 人：李先生</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联系方式：</w:t>
      </w:r>
      <w:bookmarkStart w:id="19" w:name="_Toc28359021"/>
      <w:r>
        <w:rPr>
          <w:rFonts w:ascii="宋体" w:hAnsi="宋体" w:cs="仿宋"/>
          <w:szCs w:val="21"/>
          <w:highlight w:val="none"/>
        </w:rPr>
        <w:t xml:space="preserve">18361079163</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2.</w:t>
      </w:r>
      <w:bookmarkEnd w:id="19"/>
      <w:r>
        <w:rPr>
          <w:rFonts w:hint="eastAsia" w:ascii="宋体" w:hAnsi="宋体" w:cs="仿宋"/>
          <w:szCs w:val="21"/>
          <w:highlight w:val="none"/>
        </w:rPr>
        <w:t xml:space="preserve">项目联系方式</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项目联系人：李先生</w:t>
      </w:r>
      <w:r/>
    </w:p>
    <w:p>
      <w:pPr>
        <w:ind w:firstLine="420"/>
        <w:spacing w:line="400" w:lineRule="exact"/>
        <w:rPr>
          <w:rFonts w:hint="eastAsia" w:ascii="宋体" w:hAnsi="宋体" w:cs="仿宋"/>
          <w:szCs w:val="21"/>
          <w:highlight w:val="none"/>
        </w:rPr>
      </w:pPr>
      <w:r>
        <w:rPr>
          <w:rFonts w:hint="eastAsia" w:ascii="宋体" w:hAnsi="宋体" w:cs="仿宋"/>
          <w:szCs w:val="21"/>
          <w:highlight w:val="none"/>
        </w:rPr>
        <w:t xml:space="preserve">电　　  话：</w:t>
      </w:r>
      <w:bookmarkStart w:id="20" w:name="_Hlk204760853"/>
      <w:r>
        <w:rPr>
          <w:rFonts w:ascii="宋体" w:hAnsi="宋体" w:cs="仿宋"/>
          <w:szCs w:val="21"/>
          <w:highlight w:val="none"/>
        </w:rPr>
        <w:t xml:space="preserve">18361079163</w:t>
      </w:r>
      <w:bookmarkEnd w:id="20"/>
      <w:r/>
      <w:bookmarkEnd w:id="1"/>
      <w:r/>
      <w:r/>
    </w:p>
    <w:p>
      <w:pPr>
        <w:rPr>
          <w:highlight w:val="none"/>
        </w:rPr>
      </w:pPr>
      <w:r>
        <w:rPr>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826"/>
        <w:ind w:firstLine="2640"/>
        <w:jc w:val="left"/>
        <w:spacing w:line="240" w:lineRule="auto"/>
        <w:rPr>
          <w:rFonts w:ascii="Times New Roman" w:hAnsi="Times New Roman" w:cs="Times New Roman"/>
          <w:color w:val="auto"/>
          <w:highlight w:val="none"/>
        </w:rPr>
      </w:pPr>
      <w:r>
        <w:rPr>
          <w:rFonts w:hint="eastAsia" w:ascii="Times New Roman" w:hAnsi="Times New Roman" w:cs="Times New Roman"/>
          <w:b w:val="0"/>
          <w:bCs/>
          <w:color w:val="auto"/>
          <w:highlight w:val="none"/>
        </w:rPr>
        <w:t xml:space="preserve">第二章</w:t>
      </w:r>
      <w:bookmarkStart w:id="21" w:name="_Toc16938518"/>
      <w:r/>
      <w:bookmarkStart w:id="22" w:name="_Toc20823274"/>
      <w:r/>
      <w:bookmarkStart w:id="23" w:name="_Toc513029202"/>
      <w:r/>
      <w:bookmarkStart w:id="24" w:name="_Toc120614213"/>
      <w:r>
        <w:rPr>
          <w:rFonts w:ascii="Times New Roman" w:hAnsi="Times New Roman" w:cs="Times New Roman"/>
          <w:b w:val="0"/>
          <w:bCs/>
          <w:color w:val="auto"/>
          <w:highlight w:val="none"/>
        </w:rPr>
        <w:t xml:space="preserve"> 投标人须知</w:t>
      </w:r>
      <w:bookmarkEnd w:id="21"/>
      <w:r/>
      <w:bookmarkEnd w:id="22"/>
      <w:r/>
      <w:bookmarkEnd w:id="23"/>
      <w:r/>
      <w:bookmarkEnd w:id="24"/>
      <w:r/>
      <w:r/>
    </w:p>
    <w:p>
      <w:pPr>
        <w:ind w:firstLine="422"/>
        <w:spacing w:line="400" w:lineRule="exact"/>
        <w:widowControl/>
        <w:rPr>
          <w:rFonts w:hint="eastAsia" w:ascii="宋体" w:hAnsi="宋体"/>
          <w:b/>
          <w:bCs/>
          <w:szCs w:val="21"/>
          <w:highlight w:val="none"/>
          <w:lang w:val="zh-CN"/>
        </w:rPr>
      </w:pPr>
      <w:r/>
      <w:bookmarkStart w:id="25" w:name="_Toc513029203"/>
      <w:r/>
      <w:bookmarkStart w:id="26" w:name="_Toc20823275"/>
      <w:r/>
      <w:bookmarkStart w:id="27" w:name="_Toc16938519"/>
      <w:r/>
      <w:bookmarkStart w:id="28" w:name="_Toc120614214"/>
      <w:r>
        <w:rPr>
          <w:rFonts w:hint="eastAsia" w:ascii="宋体" w:hAnsi="宋体"/>
          <w:b/>
          <w:bCs/>
          <w:szCs w:val="21"/>
          <w:highlight w:val="none"/>
          <w:lang w:val="zh-CN"/>
        </w:rPr>
        <w:t xml:space="preserve">一、总则</w:t>
      </w:r>
      <w:bookmarkEnd w:id="25"/>
      <w:r/>
      <w:bookmarkEnd w:id="26"/>
      <w:r/>
      <w:bookmarkEnd w:id="27"/>
      <w:r/>
      <w:bookmarkEnd w:id="28"/>
      <w:r/>
      <w:r/>
    </w:p>
    <w:p>
      <w:pPr>
        <w:ind w:firstLine="422"/>
        <w:spacing w:line="400" w:lineRule="exact"/>
        <w:widowControl/>
        <w:rPr>
          <w:rFonts w:hint="eastAsia" w:ascii="宋体" w:hAnsi="宋体"/>
          <w:b/>
          <w:bCs/>
          <w:szCs w:val="21"/>
          <w:highlight w:val="none"/>
          <w:lang w:val="zh-CN"/>
        </w:rPr>
      </w:pPr>
      <w:r/>
      <w:bookmarkStart w:id="29" w:name="_Toc16938520"/>
      <w:r/>
      <w:bookmarkStart w:id="30" w:name="_Toc20823276"/>
      <w:r/>
      <w:bookmarkStart w:id="31" w:name="_Toc513029204"/>
      <w:r/>
      <w:bookmarkStart w:id="32" w:name="_Toc458694821"/>
      <w:r>
        <w:rPr>
          <w:rFonts w:hint="eastAsia" w:ascii="宋体" w:hAnsi="宋体"/>
          <w:b/>
          <w:bCs/>
          <w:szCs w:val="21"/>
          <w:highlight w:val="none"/>
          <w:lang w:val="zh-CN"/>
        </w:rPr>
        <w:t xml:space="preserve">1</w:t>
      </w:r>
      <w:bookmarkEnd w:id="29"/>
      <w:r>
        <w:rPr>
          <w:rFonts w:hint="eastAsia" w:ascii="宋体" w:hAnsi="宋体"/>
          <w:b/>
          <w:bCs/>
          <w:szCs w:val="21"/>
          <w:highlight w:val="none"/>
          <w:lang w:val="zh-CN"/>
        </w:rPr>
        <w:t xml:space="preserve">、招标方式</w:t>
      </w:r>
      <w:bookmarkEnd w:id="30"/>
      <w:r/>
      <w:bookmarkEnd w:id="31"/>
      <w:r/>
      <w:bookmarkEnd w:id="32"/>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1.1本次招标采取公开招标方式，本招标文件仅适用于招标公告中所述项目。</w:t>
      </w:r>
      <w:r/>
    </w:p>
    <w:p>
      <w:pPr>
        <w:ind w:firstLine="422"/>
        <w:spacing w:line="400" w:lineRule="exact"/>
        <w:widowControl/>
        <w:rPr>
          <w:rFonts w:hint="eastAsia" w:ascii="宋体" w:hAnsi="宋体"/>
          <w:b/>
          <w:bCs/>
          <w:szCs w:val="21"/>
          <w:highlight w:val="none"/>
          <w:lang w:val="zh-CN"/>
        </w:rPr>
      </w:pPr>
      <w:r/>
      <w:bookmarkStart w:id="33" w:name="_Toc16938521"/>
      <w:r/>
      <w:bookmarkStart w:id="34" w:name="_Toc20823277"/>
      <w:r/>
      <w:bookmarkStart w:id="35" w:name="_Toc513029205"/>
      <w:r>
        <w:rPr>
          <w:rFonts w:hint="eastAsia" w:ascii="宋体" w:hAnsi="宋体"/>
          <w:b/>
          <w:bCs/>
          <w:szCs w:val="21"/>
          <w:highlight w:val="none"/>
          <w:lang w:val="zh-CN"/>
        </w:rPr>
        <w:t xml:space="preserve">2、合格的投标人</w:t>
      </w:r>
      <w:bookmarkEnd w:id="33"/>
      <w:r/>
      <w:bookmarkEnd w:id="34"/>
      <w:r/>
      <w:bookmarkEnd w:id="35"/>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2.1满足招标公告中供应商的资格要求的规定。</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2.2满足本文件实质性要求和条件的规定。</w:t>
      </w:r>
      <w:r/>
    </w:p>
    <w:p>
      <w:pPr>
        <w:ind w:firstLine="422"/>
        <w:spacing w:line="400" w:lineRule="exact"/>
        <w:widowControl/>
        <w:rPr>
          <w:rFonts w:hint="eastAsia" w:ascii="宋体" w:hAnsi="宋体"/>
          <w:b/>
          <w:bCs/>
          <w:szCs w:val="21"/>
          <w:highlight w:val="none"/>
          <w:lang w:val="zh-CN"/>
        </w:rPr>
      </w:pPr>
      <w:r/>
      <w:bookmarkStart w:id="36" w:name="_Toc513029206"/>
      <w:r/>
      <w:bookmarkStart w:id="37" w:name="_Toc20823278"/>
      <w:r/>
      <w:bookmarkStart w:id="38" w:name="_Toc16938522"/>
      <w:r>
        <w:rPr>
          <w:rFonts w:hint="eastAsia" w:ascii="宋体" w:hAnsi="宋体"/>
          <w:b/>
          <w:bCs/>
          <w:szCs w:val="21"/>
          <w:highlight w:val="none"/>
          <w:lang w:val="zh-CN"/>
        </w:rPr>
        <w:t xml:space="preserve">3、适用法律</w:t>
      </w:r>
      <w:bookmarkEnd w:id="36"/>
      <w:r/>
      <w:bookmarkEnd w:id="37"/>
      <w:r/>
      <w:bookmarkEnd w:id="38"/>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3.1本次招标及由此产生的合同受中华人民共和国有关的法律法规制约和保护。</w:t>
      </w:r>
      <w:r/>
    </w:p>
    <w:p>
      <w:pPr>
        <w:ind w:firstLine="422"/>
        <w:spacing w:line="400" w:lineRule="exact"/>
        <w:widowControl/>
        <w:rPr>
          <w:rFonts w:hint="eastAsia" w:ascii="宋体" w:hAnsi="宋体"/>
          <w:b/>
          <w:bCs/>
          <w:szCs w:val="21"/>
          <w:highlight w:val="none"/>
          <w:lang w:val="zh-CN"/>
        </w:rPr>
      </w:pPr>
      <w:r/>
      <w:bookmarkStart w:id="39" w:name="_Toc513029207"/>
      <w:r/>
      <w:bookmarkStart w:id="40" w:name="_Toc462564067"/>
      <w:r/>
      <w:bookmarkStart w:id="41" w:name="_Toc16938523"/>
      <w:r/>
      <w:bookmarkStart w:id="42" w:name="_Toc20823279"/>
      <w:r>
        <w:rPr>
          <w:rFonts w:hint="eastAsia" w:ascii="宋体" w:hAnsi="宋体"/>
          <w:b/>
          <w:bCs/>
          <w:szCs w:val="21"/>
          <w:highlight w:val="none"/>
          <w:lang w:val="zh-CN"/>
        </w:rPr>
        <w:t xml:space="preserve">4、投标费用</w:t>
      </w:r>
      <w:bookmarkEnd w:id="39"/>
      <w:r/>
      <w:bookmarkEnd w:id="40"/>
      <w:r/>
      <w:bookmarkEnd w:id="41"/>
      <w:r/>
      <w:bookmarkEnd w:id="42"/>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4.1投标人应自行承担所有与参加投标有关的费用，无论投标过程中的做法和结果如何，</w:t>
      </w:r>
      <w:r>
        <w:rPr>
          <w:rFonts w:hint="eastAsia" w:ascii="宋体" w:hAnsi="宋体" w:cs="宋体"/>
          <w:szCs w:val="21"/>
          <w:highlight w:val="none"/>
        </w:rPr>
        <w:t xml:space="preserve">盐城市盐都区公共资源交易中心（以下简称交易中心）</w:t>
      </w:r>
      <w:r>
        <w:rPr>
          <w:rFonts w:hint="eastAsia" w:ascii="宋体" w:hAnsi="宋体"/>
          <w:szCs w:val="21"/>
          <w:highlight w:val="none"/>
        </w:rPr>
        <w:t xml:space="preserve">在任何情况下均无义务和责任承担这些费用。</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4.2本次招标交易中心和采购人不收取标书工本费与中标服务费。</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5、招标文件的约束力</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5.1投标人一旦参加本项目采购活动，即被认为接受了本招标文件的规定和约束。</w:t>
      </w:r>
      <w:r/>
    </w:p>
    <w:p>
      <w:pPr>
        <w:ind w:firstLine="422"/>
        <w:spacing w:line="400" w:lineRule="exact"/>
        <w:widowControl/>
        <w:rPr>
          <w:rFonts w:hint="eastAsia" w:ascii="宋体" w:hAnsi="宋体"/>
          <w:b/>
          <w:bCs/>
          <w:szCs w:val="21"/>
          <w:highlight w:val="none"/>
          <w:lang w:val="zh-CN"/>
        </w:rPr>
      </w:pPr>
      <w:r/>
      <w:bookmarkStart w:id="43" w:name="_Toc20823281"/>
      <w:r/>
      <w:bookmarkStart w:id="44" w:name="_Toc120614215"/>
      <w:r/>
      <w:bookmarkStart w:id="45" w:name="_Toc16938525"/>
      <w:r>
        <w:rPr>
          <w:rFonts w:hint="eastAsia" w:ascii="宋体" w:hAnsi="宋体"/>
          <w:b/>
          <w:bCs/>
          <w:szCs w:val="21"/>
          <w:highlight w:val="none"/>
          <w:lang w:val="zh-CN"/>
        </w:rPr>
        <w:t xml:space="preserve">二、招标文件</w:t>
      </w:r>
      <w:bookmarkEnd w:id="43"/>
      <w:r/>
      <w:bookmarkEnd w:id="44"/>
      <w:r/>
      <w:bookmarkEnd w:id="45"/>
      <w:r/>
      <w:r/>
    </w:p>
    <w:p>
      <w:pPr>
        <w:ind w:firstLine="422"/>
        <w:spacing w:line="400" w:lineRule="exact"/>
        <w:widowControl/>
        <w:rPr>
          <w:rFonts w:hint="eastAsia" w:ascii="宋体" w:hAnsi="宋体"/>
          <w:b/>
          <w:bCs/>
          <w:szCs w:val="21"/>
          <w:highlight w:val="none"/>
          <w:lang w:val="zh-CN"/>
        </w:rPr>
      </w:pPr>
      <w:r/>
      <w:bookmarkStart w:id="46" w:name="_Toc16938526"/>
      <w:r/>
      <w:bookmarkStart w:id="47" w:name="_Toc20823282"/>
      <w:r/>
      <w:bookmarkStart w:id="48" w:name="_Toc513029210"/>
      <w:r>
        <w:rPr>
          <w:rFonts w:hint="eastAsia" w:ascii="宋体" w:hAnsi="宋体"/>
          <w:b/>
          <w:bCs/>
          <w:szCs w:val="21"/>
          <w:highlight w:val="none"/>
          <w:lang w:val="zh-CN"/>
        </w:rPr>
        <w:t xml:space="preserve">6、招标文件构成</w:t>
      </w:r>
      <w:bookmarkEnd w:id="46"/>
      <w:r/>
      <w:bookmarkEnd w:id="47"/>
      <w:r/>
      <w:bookmarkEnd w:id="48"/>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6.1 招标文件由以下部分组成：</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（1）招标公告</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（2）投标人须知</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（3）合同文本</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（4）采购需求</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（5）评标方法与评标标准</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（6）投标文件格式</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请仔细检查招标文件是否齐全，如有缺漏请立即与采购人联系解决。</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00" w:lineRule="exact"/>
        <w:widowControl/>
        <w:rPr>
          <w:rFonts w:hint="eastAsia" w:ascii="宋体" w:hAnsi="宋体"/>
          <w:b/>
          <w:bCs/>
          <w:szCs w:val="21"/>
          <w:highlight w:val="none"/>
          <w:lang w:val="zh-CN"/>
        </w:rPr>
      </w:pPr>
      <w:r/>
      <w:bookmarkStart w:id="49" w:name="_Toc513029211"/>
      <w:r/>
      <w:bookmarkStart w:id="50" w:name="_Toc462564070"/>
      <w:r/>
      <w:bookmarkStart w:id="51" w:name="_Toc20823283"/>
      <w:r/>
      <w:bookmarkStart w:id="52" w:name="_Toc16938527"/>
      <w:r>
        <w:rPr>
          <w:rFonts w:hint="eastAsia" w:ascii="宋体" w:hAnsi="宋体"/>
          <w:b/>
          <w:bCs/>
          <w:szCs w:val="21"/>
          <w:highlight w:val="none"/>
          <w:lang w:val="zh-CN"/>
        </w:rPr>
        <w:t xml:space="preserve">7、招标文件的澄清</w:t>
      </w:r>
      <w:bookmarkEnd w:id="49"/>
      <w:r/>
      <w:bookmarkEnd w:id="50"/>
      <w:r/>
      <w:bookmarkEnd w:id="51"/>
      <w:r/>
      <w:bookmarkEnd w:id="52"/>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7.1任何要求对招标文件进行澄清的投标人，应在投标截止期</w:t>
      </w:r>
      <w:r>
        <w:rPr>
          <w:rFonts w:hint="eastAsia" w:ascii="宋体" w:hAnsi="宋体"/>
          <w:b/>
          <w:bCs/>
          <w:szCs w:val="21"/>
          <w:highlight w:val="none"/>
        </w:rPr>
        <w:t xml:space="preserve">十日</w:t>
      </w:r>
      <w:r>
        <w:rPr>
          <w:rFonts w:hint="eastAsia" w:ascii="宋体" w:hAnsi="宋体"/>
          <w:szCs w:val="21"/>
          <w:highlight w:val="none"/>
        </w:rPr>
        <w:t xml:space="preserve">前按招标公告中的通讯地址，以书面形式通知采购人。</w:t>
      </w:r>
      <w:r/>
    </w:p>
    <w:p>
      <w:pPr>
        <w:ind w:firstLine="422"/>
        <w:spacing w:line="400" w:lineRule="exact"/>
        <w:widowControl/>
        <w:rPr>
          <w:rFonts w:hint="eastAsia" w:ascii="宋体" w:hAnsi="宋体"/>
          <w:b/>
          <w:bCs/>
          <w:szCs w:val="21"/>
          <w:highlight w:val="none"/>
          <w:lang w:val="zh-CN"/>
        </w:rPr>
      </w:pPr>
      <w:r/>
      <w:bookmarkStart w:id="53" w:name="_Toc462564071"/>
      <w:r/>
      <w:bookmarkStart w:id="54" w:name="_Toc513029212"/>
      <w:r/>
      <w:bookmarkStart w:id="55" w:name="_Toc20823284"/>
      <w:r/>
      <w:bookmarkStart w:id="56" w:name="_Toc16938528"/>
      <w:r>
        <w:rPr>
          <w:rFonts w:hint="eastAsia" w:ascii="宋体" w:hAnsi="宋体"/>
          <w:b/>
          <w:bCs/>
          <w:szCs w:val="21"/>
          <w:highlight w:val="none"/>
          <w:lang w:val="zh-CN"/>
        </w:rPr>
        <w:t xml:space="preserve">8、招标文件的修改</w:t>
      </w:r>
      <w:bookmarkEnd w:id="53"/>
      <w:r/>
      <w:bookmarkEnd w:id="54"/>
      <w:r/>
      <w:bookmarkEnd w:id="55"/>
      <w:r/>
      <w:bookmarkEnd w:id="56"/>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8.1在投标截止时间前，采购人可以对招标文件进行修改。</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8.2交易中心和采购人有权按照法定的要求推迟投标截止日期和开标日期。</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8.3招标文件的修改将在“中国政府采购网”、“江苏政府采购网”、“盐城市政府采购网”、“盐城市盐都区人民政府网”公布，补充文件将作为招标文件的组成部分，并对投标人具有约束力。</w:t>
      </w:r>
      <w:r/>
    </w:p>
    <w:p>
      <w:pPr>
        <w:ind w:firstLine="422"/>
        <w:spacing w:line="400" w:lineRule="exact"/>
        <w:widowControl/>
        <w:rPr>
          <w:rFonts w:hint="eastAsia" w:ascii="宋体" w:hAnsi="宋体"/>
          <w:b/>
          <w:bCs/>
          <w:szCs w:val="21"/>
          <w:highlight w:val="none"/>
          <w:lang w:val="zh-CN"/>
        </w:rPr>
      </w:pPr>
      <w:r/>
      <w:bookmarkStart w:id="57" w:name="_Toc462564072"/>
      <w:r/>
      <w:bookmarkStart w:id="58" w:name="_Toc20823285"/>
      <w:r/>
      <w:bookmarkStart w:id="59" w:name="_Toc513029213"/>
      <w:r/>
      <w:bookmarkStart w:id="60" w:name="_Toc16938529"/>
      <w:r/>
      <w:bookmarkStart w:id="61" w:name="_Toc120614216"/>
      <w:r>
        <w:rPr>
          <w:rFonts w:hint="eastAsia" w:ascii="宋体" w:hAnsi="宋体"/>
          <w:b/>
          <w:bCs/>
          <w:szCs w:val="21"/>
          <w:highlight w:val="none"/>
          <w:lang w:val="zh-CN"/>
        </w:rPr>
        <w:t xml:space="preserve">三、投标文件的编制</w:t>
      </w:r>
      <w:bookmarkEnd w:id="57"/>
      <w:r/>
      <w:bookmarkEnd w:id="58"/>
      <w:r/>
      <w:bookmarkEnd w:id="59"/>
      <w:r/>
      <w:bookmarkEnd w:id="60"/>
      <w:r/>
      <w:bookmarkEnd w:id="61"/>
      <w:r/>
      <w:r/>
    </w:p>
    <w:p>
      <w:pPr>
        <w:ind w:firstLine="422"/>
        <w:spacing w:line="400" w:lineRule="exact"/>
        <w:widowControl/>
        <w:rPr>
          <w:rFonts w:hint="eastAsia" w:ascii="宋体" w:hAnsi="宋体"/>
          <w:b/>
          <w:bCs/>
          <w:szCs w:val="21"/>
          <w:highlight w:val="none"/>
          <w:lang w:val="zh-CN"/>
        </w:rPr>
      </w:pPr>
      <w:r/>
      <w:bookmarkStart w:id="62" w:name="_Toc513029214"/>
      <w:r/>
      <w:bookmarkStart w:id="63" w:name="_Toc462564073"/>
      <w:r/>
      <w:bookmarkStart w:id="64" w:name="_Toc20823286"/>
      <w:r/>
      <w:bookmarkStart w:id="65" w:name="_Toc16938530"/>
      <w:r>
        <w:rPr>
          <w:rFonts w:hint="eastAsia" w:ascii="宋体" w:hAnsi="宋体"/>
          <w:b/>
          <w:bCs/>
          <w:szCs w:val="21"/>
          <w:highlight w:val="none"/>
          <w:lang w:val="zh-CN"/>
        </w:rPr>
        <w:t xml:space="preserve">9、投标文件的语言及度量衡单位</w:t>
      </w:r>
      <w:bookmarkEnd w:id="62"/>
      <w:r/>
      <w:bookmarkEnd w:id="63"/>
      <w:r/>
      <w:bookmarkEnd w:id="64"/>
      <w:r/>
      <w:bookmarkEnd w:id="65"/>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9.1投标人提交的投标文件以及投标人与采购人就有关投标的所有来往通知、函件和文件均应使用</w:t>
      </w:r>
      <w:r>
        <w:rPr>
          <w:rFonts w:hint="eastAsia" w:ascii="宋体" w:hAnsi="宋体"/>
          <w:b/>
          <w:bCs/>
          <w:szCs w:val="21"/>
          <w:highlight w:val="none"/>
        </w:rPr>
        <w:t xml:space="preserve">简体中文</w:t>
      </w:r>
      <w:r>
        <w:rPr>
          <w:rFonts w:hint="eastAsia" w:ascii="宋体" w:hAnsi="宋体"/>
          <w:szCs w:val="21"/>
          <w:highlight w:val="none"/>
        </w:rPr>
        <w:t xml:space="preserve">。</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9.2除技术性能另有规定外，投标文件所使用的度量衡单位，均须采用国家法定计量单位。</w:t>
      </w:r>
      <w:r/>
    </w:p>
    <w:p>
      <w:pPr>
        <w:ind w:firstLine="422"/>
        <w:spacing w:line="400" w:lineRule="exact"/>
        <w:widowControl/>
        <w:rPr>
          <w:rFonts w:hint="eastAsia" w:ascii="宋体" w:hAnsi="宋体"/>
          <w:b/>
          <w:bCs/>
          <w:szCs w:val="21"/>
          <w:highlight w:val="none"/>
          <w:lang w:val="zh-CN"/>
        </w:rPr>
      </w:pPr>
      <w:r/>
      <w:bookmarkStart w:id="66" w:name="_Toc513029215"/>
      <w:r/>
      <w:bookmarkStart w:id="67" w:name="_Toc462564074"/>
      <w:r/>
      <w:bookmarkStart w:id="68" w:name="_Toc16938531"/>
      <w:r/>
      <w:bookmarkStart w:id="69" w:name="_Toc20823287"/>
      <w:r>
        <w:rPr>
          <w:rFonts w:hint="eastAsia" w:ascii="宋体" w:hAnsi="宋体"/>
          <w:b/>
          <w:bCs/>
          <w:szCs w:val="21"/>
          <w:highlight w:val="none"/>
          <w:lang w:val="zh-CN"/>
        </w:rPr>
        <w:t xml:space="preserve">10、投标文件构成</w:t>
      </w:r>
      <w:bookmarkEnd w:id="66"/>
      <w:r/>
      <w:bookmarkEnd w:id="67"/>
      <w:r/>
      <w:bookmarkEnd w:id="68"/>
      <w:r/>
      <w:bookmarkEnd w:id="69"/>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widowControl/>
        <w:rPr>
          <w:rFonts w:hint="eastAsia" w:ascii="宋体" w:hAnsi="宋体"/>
          <w:szCs w:val="21"/>
          <w:highlight w:val="none"/>
        </w:rPr>
      </w:pPr>
      <w:r/>
      <w:bookmarkStart w:id="70" w:name="_Toc513029219"/>
      <w:r/>
      <w:bookmarkStart w:id="71" w:name="_Toc49090509"/>
      <w:r/>
      <w:bookmarkStart w:id="72" w:name="_Toc513029216"/>
      <w:r/>
      <w:bookmarkStart w:id="73" w:name="_Toc14577354"/>
      <w:r/>
      <w:bookmarkStart w:id="74" w:name="_Toc49090507"/>
      <w:r/>
      <w:bookmarkStart w:id="75" w:name="_Toc14577357"/>
      <w:r>
        <w:rPr>
          <w:rFonts w:hint="eastAsia" w:ascii="宋体" w:hAnsi="宋体"/>
          <w:szCs w:val="21"/>
          <w:highlight w:val="none"/>
        </w:rPr>
        <w:t xml:space="preserve">10.2如标书制作工具中格式和内容与“中国政府采购网”、“江苏政府采购网”、“盐城市政府采购网”、</w:t>
      </w:r>
      <w:r>
        <w:rPr>
          <w:rFonts w:hint="eastAsia" w:ascii="宋体" w:hAnsi="宋体" w:cs="宋体"/>
          <w:szCs w:val="21"/>
          <w:highlight w:val="none"/>
          <w:shd w:val="clear" w:color="auto" w:fill="ffffff"/>
        </w:rPr>
        <w:t xml:space="preserve">“盐城市盐都区人民政府网”</w:t>
      </w:r>
      <w:r>
        <w:rPr>
          <w:rFonts w:hint="eastAsia" w:ascii="宋体" w:hAnsi="宋体"/>
          <w:szCs w:val="21"/>
          <w:highlight w:val="none"/>
        </w:rPr>
        <w:t xml:space="preserve">发布的招标文件不一致，请以“中国政府采购网”、“江苏政府采购网”、“盐城市政府采购网”发布的招标文件为准。</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11、证明投标人及投标标的符合招标文件规定的文件</w:t>
      </w:r>
      <w:bookmarkEnd w:id="70"/>
      <w:r/>
      <w:bookmarkEnd w:id="71"/>
      <w:r/>
      <w:bookmarkEnd w:id="72"/>
      <w:r/>
      <w:bookmarkEnd w:id="73"/>
      <w:r/>
      <w:bookmarkEnd w:id="74"/>
      <w:r/>
      <w:bookmarkEnd w:id="75"/>
      <w:r/>
      <w:r/>
    </w:p>
    <w:p>
      <w:pPr>
        <w:ind w:firstLine="420"/>
        <w:spacing w:line="400" w:lineRule="exact"/>
        <w:widowControl/>
        <w:rPr>
          <w:rFonts w:hint="eastAsia" w:ascii="宋体" w:hAnsi="宋体"/>
          <w:szCs w:val="21"/>
          <w:highlight w:val="none"/>
        </w:rPr>
      </w:pPr>
      <w:r/>
      <w:bookmarkStart w:id="76" w:name="_Toc14577355"/>
      <w:r/>
      <w:bookmarkStart w:id="77" w:name="_Toc49090508"/>
      <w:r>
        <w:rPr>
          <w:rFonts w:hint="eastAsia" w:ascii="宋体" w:hAnsi="宋体"/>
          <w:szCs w:val="21"/>
          <w:highlight w:val="none"/>
        </w:rPr>
        <w:t xml:space="preserve">11.1投标人应按照法律、法规、规章和规范性文件以及招标文件要求提交证明文件，证明其及投标标的符合招标文件规定。</w:t>
      </w:r>
      <w:bookmarkEnd w:id="76"/>
      <w:r/>
      <w:bookmarkEnd w:id="77"/>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11.2招标文件对证明文件无明确形式要求的，证明文件可以以文字资料、图纸和数据等形式提交。</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12、投标分项报价表</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12.1投标人应按照招标文件规定格式填报投标分项报价表。</w:t>
      </w:r>
      <w:r/>
    </w:p>
    <w:p>
      <w:pPr>
        <w:ind w:firstLine="420"/>
        <w:spacing w:line="400" w:lineRule="exact"/>
        <w:widowControl/>
        <w:rPr>
          <w:rFonts w:hint="eastAsia" w:ascii="宋体" w:hAnsi="宋体"/>
          <w:szCs w:val="21"/>
          <w:highlight w:val="none"/>
        </w:rPr>
      </w:pPr>
      <w:r>
        <w:rPr>
          <w:rFonts w:hint="eastAsia" w:ascii="宋体" w:hAnsi="宋体"/>
          <w:szCs w:val="21"/>
          <w:highlight w:val="none"/>
        </w:rPr>
        <w:t xml:space="preserve">12.2投标货币。投标文件中的单价和总价无特殊规定的采用人民币报价，以元为单位标注。招标文件中另有规定的按规定执行。</w:t>
      </w:r>
      <w:r/>
    </w:p>
    <w:p>
      <w:pPr>
        <w:ind w:firstLine="420"/>
        <w:spacing w:line="400" w:lineRule="exact"/>
        <w:widowControl/>
        <w:rPr>
          <w:rFonts w:hint="eastAsia" w:ascii="宋体" w:hAnsi="宋体"/>
          <w:strike/>
          <w:szCs w:val="21"/>
          <w:highlight w:val="none"/>
          <w:lang w:val="zh-CN"/>
        </w:rPr>
      </w:pPr>
      <w:r>
        <w:rPr>
          <w:rFonts w:hint="eastAsia" w:ascii="宋体" w:hAnsi="宋体"/>
          <w:szCs w:val="21"/>
          <w:highlight w:val="none"/>
        </w:rPr>
        <w:t xml:space="preserve">12.3</w:t>
      </w:r>
      <w:r>
        <w:rPr>
          <w:rFonts w:hint="eastAsia" w:ascii="宋体" w:hAnsi="宋体" w:cs="宋体"/>
          <w:szCs w:val="21"/>
          <w:highlight w:val="none"/>
        </w:rPr>
        <w:t xml:space="preserve">投标配置和分项明细报价，不仅应包括所有人员的工资、社保、公积金、福利费，还应包括：管理、劳务、培训、风险、税金、合理利润及政策性文件规定等各项应有费用，以及为完成招标文件规定的物业服务工作所涉及到的一切相关费用。</w:t>
      </w:r>
      <w:r/>
    </w:p>
    <w:p>
      <w:pPr>
        <w:ind w:firstLine="422"/>
        <w:spacing w:line="400" w:lineRule="exact"/>
        <w:rPr>
          <w:rFonts w:hint="eastAsia" w:ascii="宋体" w:hAnsi="宋体"/>
          <w:b/>
          <w:bCs/>
          <w:strike/>
          <w:szCs w:val="21"/>
          <w:highlight w:val="none"/>
          <w:lang w:val="zh-CN"/>
        </w:rPr>
      </w:pPr>
      <w:r>
        <w:rPr>
          <w:rFonts w:hint="eastAsia" w:ascii="宋体" w:hAnsi="宋体"/>
          <w:b/>
          <w:bCs/>
          <w:szCs w:val="21"/>
          <w:highlight w:val="none"/>
          <w:lang w:val="zh-CN"/>
        </w:rPr>
        <w:t xml:space="preserve">12.4所有人员工资不低于本市最低工资标准2260元/人·月，所有人员必须足额缴纳社保费用，社保（企业部分）不得低于1273.42元/人·月，住房公积金不得低于</w:t>
      </w:r>
      <w:r>
        <w:rPr>
          <w:rFonts w:hint="eastAsia" w:ascii="宋体" w:hAnsi="宋体"/>
          <w:b/>
          <w:bCs/>
          <w:szCs w:val="21"/>
          <w:highlight w:val="none"/>
          <w:lang w:val="en-US" w:eastAsia="zh-CN"/>
        </w:rPr>
        <w:t xml:space="preserve">165.6</w:t>
      </w:r>
      <w:r>
        <w:rPr>
          <w:rFonts w:hint="eastAsia" w:ascii="宋体" w:hAnsi="宋体"/>
          <w:b/>
          <w:bCs/>
          <w:szCs w:val="21"/>
          <w:highlight w:val="none"/>
          <w:lang w:val="zh-CN"/>
        </w:rPr>
        <w:t xml:space="preserve">元人·月，税金费率统一按6.72%测算。</w:t>
      </w:r>
      <w:r/>
    </w:p>
    <w:p>
      <w:pPr>
        <w:ind w:firstLine="422"/>
        <w:spacing w:line="400" w:lineRule="exact"/>
        <w:rPr>
          <w:rFonts w:hint="eastAsia" w:ascii="宋体" w:hAnsi="宋体"/>
          <w:b/>
          <w:bCs/>
          <w:szCs w:val="21"/>
          <w:highlight w:val="none"/>
        </w:rPr>
      </w:pPr>
      <w:r>
        <w:rPr>
          <w:rFonts w:hint="eastAsia" w:ascii="宋体" w:hAnsi="宋体"/>
          <w:b/>
          <w:bCs/>
          <w:szCs w:val="21"/>
          <w:highlight w:val="none"/>
          <w:lang w:val="zh-CN"/>
        </w:rPr>
        <w:t xml:space="preserve">投标人所提供人员的费用不得低于上述标准进行测算，否则视为未实质性响应招标文件要求。如果招标公告</w:t>
      </w:r>
      <w:r>
        <w:rPr>
          <w:rFonts w:hint="eastAsia" w:ascii="宋体" w:hAnsi="宋体"/>
          <w:b/>
          <w:bCs/>
          <w:szCs w:val="21"/>
          <w:highlight w:val="none"/>
        </w:rPr>
        <w:t xml:space="preserve">发布之后开标前遇政府调整职工最低工资标准或社会保险缴纳基数，评标委员会进行符合性审查时可仍按上述标准审查，中标后，中标人应按照最新政策文件规定执行。</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12.5 投标人根据招标内容的要求准确报价，一经报出，不得更改。</w:t>
      </w:r>
      <w:r/>
    </w:p>
    <w:p>
      <w:pPr>
        <w:ind w:firstLine="420"/>
        <w:spacing w:line="400" w:lineRule="exact"/>
        <w:rPr>
          <w:rFonts w:hint="eastAsia" w:ascii="宋体" w:hAnsi="宋体" w:cs="宋体"/>
          <w:szCs w:val="21"/>
          <w:highlight w:val="none"/>
        </w:rPr>
      </w:pPr>
      <w:r>
        <w:rPr>
          <w:rFonts w:hint="eastAsia" w:ascii="宋体" w:hAnsi="宋体"/>
          <w:szCs w:val="21"/>
          <w:highlight w:val="none"/>
          <w:lang w:val="zh-CN"/>
        </w:rPr>
        <w:t xml:space="preserve">12.6投标报价的单位为人民币(元)。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cs="宋体"/>
          <w:szCs w:val="21"/>
          <w:highlight w:val="none"/>
          <w:lang w:val="zh-CN"/>
        </w:rPr>
        <w:t xml:space="preserve">合同期满</w:t>
      </w:r>
      <w:r>
        <w:rPr>
          <w:rFonts w:hint="eastAsia" w:ascii="宋体" w:hAnsi="宋体" w:cs="宋体"/>
          <w:szCs w:val="21"/>
          <w:highlight w:val="none"/>
        </w:rPr>
        <w:t xml:space="preserve">并完成与后续物业服务</w:t>
      </w:r>
      <w:r>
        <w:rPr>
          <w:rFonts w:hint="eastAsia" w:ascii="宋体" w:hAnsi="宋体" w:cs="宋体"/>
          <w:szCs w:val="21"/>
          <w:highlight w:val="none"/>
          <w:lang w:val="zh-CN"/>
        </w:rPr>
        <w:t xml:space="preserve">企业的衔接后，方可退出，经本单位验收合格，</w:t>
      </w:r>
      <w:r>
        <w:rPr>
          <w:rFonts w:hint="eastAsia" w:ascii="宋体" w:hAnsi="宋体" w:cs="宋体"/>
          <w:szCs w:val="21"/>
          <w:highlight w:val="none"/>
        </w:rPr>
        <w:t xml:space="preserve">退出本物业管理时必须向本单位移交全套档案等资料</w:t>
      </w:r>
      <w:r>
        <w:rPr>
          <w:rFonts w:hint="eastAsia" w:ascii="宋体" w:hAnsi="宋体" w:cs="宋体"/>
          <w:szCs w:val="21"/>
          <w:highlight w:val="none"/>
          <w:lang w:val="zh-CN"/>
        </w:rPr>
        <w:t xml:space="preserve">，同时退还履约保证金余额。</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12.</w:t>
      </w:r>
      <w:r>
        <w:rPr>
          <w:rFonts w:hint="eastAsia" w:ascii="宋体" w:hAnsi="宋体"/>
          <w:szCs w:val="21"/>
          <w:highlight w:val="none"/>
        </w:rPr>
        <w:t xml:space="preserve">7</w:t>
      </w:r>
      <w:r>
        <w:rPr>
          <w:rFonts w:hint="eastAsia" w:ascii="宋体" w:hAnsi="宋体"/>
          <w:szCs w:val="21"/>
          <w:highlight w:val="none"/>
          <w:lang w:val="zh-CN"/>
        </w:rPr>
        <w:t xml:space="preserve">对于超出招标文件的其他临时性服务项目，由甲乙双方协商解决。</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13、技术要求响应及偏离表、商务要求响应及偏离表</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13.1投标人需对招标文件中的技术要求与商务要求逐项作出响应或偏离，并说明原因。</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13.2投标人可在投标文件中提供认为需要的其他技术文件或说明。</w:t>
      </w:r>
      <w:r/>
    </w:p>
    <w:p>
      <w:pPr>
        <w:ind w:firstLine="422"/>
        <w:spacing w:line="400" w:lineRule="exact"/>
        <w:widowControl/>
        <w:rPr>
          <w:rFonts w:hint="eastAsia" w:ascii="宋体" w:hAnsi="宋体"/>
          <w:b/>
          <w:bCs/>
          <w:szCs w:val="21"/>
          <w:highlight w:val="none"/>
          <w:lang w:val="zh-CN"/>
        </w:rPr>
      </w:pPr>
      <w:r/>
      <w:bookmarkStart w:id="78" w:name="_Toc49090510"/>
      <w:r/>
      <w:bookmarkStart w:id="79" w:name="_Toc14577359"/>
      <w:r>
        <w:rPr>
          <w:rFonts w:hint="eastAsia" w:ascii="宋体" w:hAnsi="宋体"/>
          <w:b/>
          <w:bCs/>
          <w:szCs w:val="21"/>
          <w:highlight w:val="none"/>
          <w:lang w:val="zh-CN"/>
        </w:rPr>
        <w:t xml:space="preserve">14、投标函和开标一览表</w:t>
      </w:r>
      <w:bookmarkEnd w:id="78"/>
      <w:r/>
      <w:bookmarkEnd w:id="79"/>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14.1投标人应按照招标文件中提供的格式完整、正确填写投标函、开标一览表。</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14.3投标文件的大写金额和小写金额不一致的，以大写金额为准；对不同文字文本投标的解释发生异议的，以中文文本为准。</w:t>
      </w:r>
      <w:r/>
    </w:p>
    <w:p>
      <w:pPr>
        <w:ind w:firstLine="422"/>
        <w:spacing w:line="400" w:lineRule="exact"/>
        <w:widowControl/>
        <w:rPr>
          <w:rFonts w:hint="eastAsia" w:ascii="宋体" w:hAnsi="宋体"/>
          <w:b/>
          <w:bCs/>
          <w:szCs w:val="21"/>
          <w:highlight w:val="none"/>
          <w:lang w:val="zh-CN"/>
        </w:rPr>
      </w:pPr>
      <w:r/>
      <w:bookmarkStart w:id="80" w:name="_Toc49090511"/>
      <w:r/>
      <w:bookmarkStart w:id="81" w:name="_Toc14577360"/>
      <w:r>
        <w:rPr>
          <w:rFonts w:hint="eastAsia" w:ascii="宋体" w:hAnsi="宋体"/>
          <w:b/>
          <w:bCs/>
          <w:szCs w:val="21"/>
          <w:highlight w:val="none"/>
          <w:lang w:val="zh-CN"/>
        </w:rPr>
        <w:t xml:space="preserve">15、投标有效期</w:t>
      </w:r>
      <w:bookmarkEnd w:id="80"/>
      <w:r/>
      <w:bookmarkEnd w:id="81"/>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15.1投标有效期为采购人规定的开标之日后</w:t>
      </w:r>
      <w:r>
        <w:rPr>
          <w:rFonts w:hint="eastAsia" w:ascii="宋体" w:hAnsi="宋体"/>
          <w:b/>
          <w:bCs/>
          <w:szCs w:val="21"/>
          <w:highlight w:val="none"/>
          <w:u w:val="single"/>
        </w:rPr>
        <w:t xml:space="preserve">九十（90）天</w:t>
      </w:r>
      <w:r>
        <w:rPr>
          <w:rFonts w:hint="eastAsia" w:ascii="宋体" w:hAnsi="宋体"/>
          <w:szCs w:val="21"/>
          <w:highlight w:val="none"/>
        </w:rPr>
        <w:t xml:space="preserve">。投标有效期比规定</w:t>
      </w:r>
      <w:r>
        <w:rPr>
          <w:rFonts w:hint="eastAsia" w:ascii="宋体" w:hAnsi="宋体"/>
          <w:szCs w:val="21"/>
          <w:highlight w:val="none"/>
          <w:lang w:val="zh-CN"/>
        </w:rPr>
        <w:t xml:space="preserve">短的将被视为未实质性响应招标文件而予以拒绝。</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16、投标有效期的延长</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22"/>
        <w:spacing w:line="400" w:lineRule="exact"/>
        <w:widowControl/>
        <w:rPr>
          <w:rFonts w:hint="eastAsia" w:ascii="宋体" w:hAnsi="宋体"/>
          <w:b/>
          <w:bCs/>
          <w:szCs w:val="21"/>
          <w:highlight w:val="none"/>
          <w:lang w:val="zh-CN"/>
        </w:rPr>
      </w:pPr>
      <w:r/>
      <w:bookmarkStart w:id="82" w:name="_Toc16938540"/>
      <w:r/>
      <w:bookmarkStart w:id="83" w:name="_Toc20823296"/>
      <w:r/>
      <w:bookmarkStart w:id="84" w:name="_Toc120614217"/>
      <w:r/>
      <w:bookmarkStart w:id="85" w:name="_Toc513029224"/>
      <w:r>
        <w:rPr>
          <w:rFonts w:hint="eastAsia" w:ascii="宋体" w:hAnsi="宋体"/>
          <w:b/>
          <w:bCs/>
          <w:szCs w:val="21"/>
          <w:highlight w:val="none"/>
          <w:lang w:val="zh-CN"/>
        </w:rPr>
        <w:t xml:space="preserve">四、投标文件的递交</w:t>
      </w:r>
      <w:bookmarkEnd w:id="82"/>
      <w:r/>
      <w:bookmarkEnd w:id="83"/>
      <w:r/>
      <w:bookmarkEnd w:id="84"/>
      <w:r/>
      <w:bookmarkEnd w:id="85"/>
      <w:r/>
      <w:r/>
    </w:p>
    <w:p>
      <w:pPr>
        <w:ind w:firstLine="422"/>
        <w:spacing w:line="400" w:lineRule="exact"/>
        <w:widowControl/>
        <w:rPr>
          <w:rFonts w:hint="eastAsia" w:ascii="宋体" w:hAnsi="宋体"/>
          <w:b/>
          <w:bCs/>
          <w:szCs w:val="21"/>
          <w:highlight w:val="none"/>
          <w:lang w:val="zh-CN"/>
        </w:rPr>
      </w:pPr>
      <w:r/>
      <w:bookmarkStart w:id="86" w:name="_Toc20823297"/>
      <w:r/>
      <w:bookmarkStart w:id="87" w:name="_Toc16938541"/>
      <w:r/>
      <w:bookmarkStart w:id="88" w:name="_Toc513029225"/>
      <w:r/>
      <w:bookmarkStart w:id="89" w:name="_Toc462564084"/>
      <w:r>
        <w:rPr>
          <w:rFonts w:hint="eastAsia" w:ascii="宋体" w:hAnsi="宋体"/>
          <w:b/>
          <w:bCs/>
          <w:szCs w:val="21"/>
          <w:highlight w:val="none"/>
          <w:lang w:val="zh-CN"/>
        </w:rPr>
        <w:t xml:space="preserve">17、投标文件</w:t>
      </w:r>
      <w:bookmarkEnd w:id="86"/>
      <w:r/>
      <w:bookmarkEnd w:id="87"/>
      <w:r/>
      <w:bookmarkEnd w:id="88"/>
      <w:r/>
      <w:bookmarkEnd w:id="89"/>
      <w:r>
        <w:rPr>
          <w:rFonts w:hint="eastAsia" w:ascii="宋体" w:hAnsi="宋体"/>
          <w:b/>
          <w:bCs/>
          <w:szCs w:val="21"/>
          <w:highlight w:val="none"/>
          <w:lang w:val="zh-CN"/>
        </w:rPr>
        <w:t xml:space="preserve">的递交</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17.1 电子投标文件的递交</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投标人应当按照《操作手册》规定，在投标截止时间前制作并上传电子投标</w:t>
      </w:r>
      <w:bookmarkStart w:id="90" w:name="_Toc20823298"/>
      <w:r/>
      <w:bookmarkEnd w:id="90"/>
      <w:r/>
      <w:bookmarkStart w:id="91" w:name="_Toc16938542"/>
      <w:r/>
      <w:bookmarkEnd w:id="91"/>
      <w:r>
        <w:rPr>
          <w:rFonts w:hint="eastAsia" w:ascii="宋体" w:hAnsi="宋体"/>
          <w:szCs w:val="21"/>
          <w:highlight w:val="none"/>
          <w:lang w:val="zh-CN"/>
        </w:rPr>
        <w:t xml:space="preserve">文件。</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18、投标截止时间</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18.1投标人上传电子投标文件的时间不得迟于招标公告中规定的投标截止时间。</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18.2采购人可以按照规定，通过修改招标文件酌情延长投标截止时间，在此情况下，投标人的所有权利和义务以及投标人受制的截止时间均应以延长后新的截止时间为准。</w:t>
      </w:r>
      <w:r/>
    </w:p>
    <w:p>
      <w:pPr>
        <w:ind w:firstLine="422"/>
        <w:spacing w:line="400" w:lineRule="exact"/>
        <w:widowControl/>
        <w:rPr>
          <w:rFonts w:hint="eastAsia" w:ascii="宋体" w:hAnsi="宋体"/>
          <w:b/>
          <w:bCs/>
          <w:szCs w:val="21"/>
          <w:highlight w:val="none"/>
          <w:lang w:val="zh-CN"/>
        </w:rPr>
      </w:pPr>
      <w:r/>
      <w:bookmarkStart w:id="92" w:name="_Toc513029227"/>
      <w:r/>
      <w:bookmarkStart w:id="93" w:name="_Toc20823299"/>
      <w:r/>
      <w:bookmarkStart w:id="94" w:name="_Toc16938543"/>
      <w:r>
        <w:rPr>
          <w:rFonts w:hint="eastAsia" w:ascii="宋体" w:hAnsi="宋体"/>
          <w:b/>
          <w:bCs/>
          <w:szCs w:val="21"/>
          <w:highlight w:val="none"/>
          <w:lang w:val="zh-CN"/>
        </w:rPr>
        <w:t xml:space="preserve">19、投标文件</w:t>
      </w:r>
      <w:bookmarkEnd w:id="92"/>
      <w:r/>
      <w:bookmarkEnd w:id="93"/>
      <w:r/>
      <w:bookmarkEnd w:id="94"/>
      <w:r>
        <w:rPr>
          <w:rFonts w:hint="eastAsia" w:ascii="宋体" w:hAnsi="宋体"/>
          <w:b/>
          <w:bCs/>
          <w:szCs w:val="21"/>
          <w:highlight w:val="none"/>
          <w:lang w:val="zh-CN"/>
        </w:rPr>
        <w:t xml:space="preserve">的拒收</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19.1采购人拒绝接收在其规定的投标截止时间后上传的任何投标文件。</w:t>
      </w:r>
      <w:r/>
    </w:p>
    <w:p>
      <w:pPr>
        <w:ind w:firstLine="422"/>
        <w:spacing w:line="400" w:lineRule="exact"/>
        <w:widowControl/>
        <w:rPr>
          <w:rFonts w:hint="eastAsia" w:ascii="宋体" w:hAnsi="宋体"/>
          <w:b/>
          <w:bCs/>
          <w:szCs w:val="21"/>
          <w:highlight w:val="none"/>
          <w:lang w:val="zh-CN"/>
        </w:rPr>
      </w:pPr>
      <w:r/>
      <w:bookmarkStart w:id="95" w:name="_Toc20823300"/>
      <w:r/>
      <w:bookmarkStart w:id="96" w:name="_Toc513029228"/>
      <w:r/>
      <w:bookmarkStart w:id="97" w:name="_Toc16938544"/>
      <w:r>
        <w:rPr>
          <w:rFonts w:hint="eastAsia" w:ascii="宋体" w:hAnsi="宋体"/>
          <w:b/>
          <w:bCs/>
          <w:szCs w:val="21"/>
          <w:highlight w:val="none"/>
          <w:lang w:val="zh-CN"/>
        </w:rPr>
        <w:t xml:space="preserve">20、投标文件的撤回和修改</w:t>
      </w:r>
      <w:bookmarkEnd w:id="95"/>
      <w:r/>
      <w:bookmarkEnd w:id="96"/>
      <w:r/>
      <w:bookmarkEnd w:id="97"/>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20.1投标文件的撤回</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20.1.1电子投标文件的撤回</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.1.2投标人撤回电子投标文件，则认为其不再参与本项目投标活动。</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20.2 投标文件的修改</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20.2.1投标人可在投标截止时间前，对其电子投标文件进行修改，具体操作方法见《操作手册》。</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20.2.2在投标截止时间之后，投标人不得对其电子投标文件作任何修改。</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20.3在投标截止时间至招标文件中规定的投标有效期满之间的这段时间内，投标人不得撤回其投标。</w:t>
      </w:r>
      <w:r/>
    </w:p>
    <w:p>
      <w:pPr>
        <w:ind w:firstLine="422"/>
        <w:spacing w:line="400" w:lineRule="exact"/>
        <w:widowControl/>
        <w:rPr>
          <w:rFonts w:hint="eastAsia" w:ascii="宋体" w:hAnsi="宋体"/>
          <w:b/>
          <w:bCs/>
          <w:szCs w:val="21"/>
          <w:highlight w:val="none"/>
          <w:lang w:val="zh-CN"/>
        </w:rPr>
      </w:pPr>
      <w:r/>
      <w:bookmarkStart w:id="98" w:name="_Toc20823301"/>
      <w:r/>
      <w:bookmarkStart w:id="99" w:name="_Toc120614218"/>
      <w:r/>
      <w:bookmarkStart w:id="100" w:name="_Toc513029229"/>
      <w:r/>
      <w:bookmarkStart w:id="101" w:name="_Toc16938545"/>
      <w:r>
        <w:rPr>
          <w:rFonts w:hint="eastAsia" w:ascii="宋体" w:hAnsi="宋体"/>
          <w:b/>
          <w:bCs/>
          <w:szCs w:val="21"/>
          <w:highlight w:val="none"/>
          <w:lang w:val="zh-CN"/>
        </w:rPr>
        <w:t xml:space="preserve">五、开标与评标</w:t>
      </w:r>
      <w:bookmarkEnd w:id="98"/>
      <w:r/>
      <w:bookmarkEnd w:id="99"/>
      <w:r/>
      <w:bookmarkEnd w:id="100"/>
      <w:r/>
      <w:bookmarkEnd w:id="101"/>
      <w:r/>
      <w:r/>
    </w:p>
    <w:p>
      <w:pPr>
        <w:ind w:firstLine="422"/>
        <w:spacing w:line="400" w:lineRule="exact"/>
        <w:widowControl/>
        <w:rPr>
          <w:rFonts w:hint="eastAsia" w:ascii="宋体" w:hAnsi="宋体"/>
          <w:b/>
          <w:bCs/>
          <w:szCs w:val="21"/>
          <w:highlight w:val="none"/>
          <w:lang w:val="zh-CN"/>
        </w:rPr>
      </w:pPr>
      <w:r/>
      <w:bookmarkStart w:id="102" w:name="_Toc20823302"/>
      <w:r/>
      <w:bookmarkStart w:id="103" w:name="_Toc513029230"/>
      <w:r/>
      <w:bookmarkStart w:id="104" w:name="_Toc16938546"/>
      <w:r>
        <w:rPr>
          <w:rFonts w:hint="eastAsia" w:ascii="宋体" w:hAnsi="宋体"/>
          <w:b/>
          <w:bCs/>
          <w:szCs w:val="21"/>
          <w:highlight w:val="none"/>
          <w:lang w:val="zh-CN"/>
        </w:rPr>
        <w:t xml:space="preserve">21、开标</w:t>
      </w:r>
      <w:bookmarkEnd w:id="102"/>
      <w:r/>
      <w:bookmarkEnd w:id="103"/>
      <w:r/>
      <w:bookmarkEnd w:id="104"/>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21.1交易中心将在招标公告中规定的时间和地点组织公开开标。投标人应当按照《操作手册》规定，参加开标活动和在苏采云系统规定的时间内对投标文件进行解密。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21.2开标仪式由交易中心组织。苏采云系统将自动对项目进行开标，并宣布各投标人名称和投标价格。</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21.3投标人在开标过程中涉及到的投标文件解密、开标结果确认等工作，应按照《操作手册》规定执行。</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22"/>
        <w:spacing w:line="400" w:lineRule="exact"/>
        <w:widowControl/>
        <w:rPr>
          <w:rFonts w:hint="eastAsia" w:ascii="宋体" w:hAnsi="宋体"/>
          <w:b/>
          <w:bCs/>
          <w:szCs w:val="21"/>
          <w:highlight w:val="none"/>
          <w:lang w:val="zh-CN"/>
        </w:rPr>
      </w:pPr>
      <w:r/>
      <w:bookmarkStart w:id="105" w:name="_Toc20823303"/>
      <w:r/>
      <w:bookmarkStart w:id="106" w:name="_Toc16938547"/>
      <w:r/>
      <w:bookmarkStart w:id="107" w:name="_Toc513029231"/>
      <w:r>
        <w:rPr>
          <w:rFonts w:hint="eastAsia" w:ascii="宋体" w:hAnsi="宋体"/>
          <w:b/>
          <w:bCs/>
          <w:szCs w:val="21"/>
          <w:highlight w:val="none"/>
          <w:lang w:val="zh-CN"/>
        </w:rPr>
        <w:t xml:space="preserve">22、评标委员会</w:t>
      </w:r>
      <w:bookmarkEnd w:id="105"/>
      <w:r/>
      <w:bookmarkEnd w:id="106"/>
      <w:r/>
      <w:bookmarkEnd w:id="107"/>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22.1开标后，交易中心将立即组织评标委员会（以下简称评委会）进行评标。</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22.2评委会由采购人代表和有关技术、经济等方面的专家组成，且人员构成符合政府采购有关规定。</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22.3评委会独立工作，负责评审所有投标文件并确定中标候选人。</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23、评标过程的保密与公正</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23.1凡是与审查、澄清、评价和比较投标的有关资料以及授标建议等，采购人、评委、交易中心均不得向投标人或与评标无关的其他人员透露。</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23.2在评标过程中，投标人不得以任何行为影响评标过程，否则其投标文件将被作为无效投标文件。</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23.3交易中心和评标委员会不向未中标的投标人解释未中标原因，也不公布评标过程中的相关细节。</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23.4采用综合评分法的项目，未中标的投标人可于中标结果公告期限届满之日起通过苏采云系统查看自己的评审得分及排序情况。</w:t>
      </w:r>
      <w:r/>
    </w:p>
    <w:p>
      <w:pPr>
        <w:ind w:firstLine="422"/>
        <w:spacing w:line="400" w:lineRule="exact"/>
        <w:widowControl/>
        <w:rPr>
          <w:rFonts w:hint="eastAsia" w:ascii="宋体" w:hAnsi="宋体"/>
          <w:b/>
          <w:bCs/>
          <w:szCs w:val="21"/>
          <w:highlight w:val="none"/>
          <w:lang w:val="zh-CN"/>
        </w:rPr>
      </w:pPr>
      <w:r/>
      <w:bookmarkStart w:id="108" w:name="_Toc513029232"/>
      <w:r/>
      <w:bookmarkStart w:id="109" w:name="_Toc20823304"/>
      <w:r/>
      <w:bookmarkStart w:id="110" w:name="_Toc16938548"/>
      <w:r>
        <w:rPr>
          <w:rFonts w:hint="eastAsia" w:ascii="宋体" w:hAnsi="宋体"/>
          <w:b/>
          <w:bCs/>
          <w:szCs w:val="21"/>
          <w:highlight w:val="none"/>
          <w:lang w:val="zh-CN"/>
        </w:rPr>
        <w:t xml:space="preserve">24、投标文件的澄清</w:t>
      </w:r>
      <w:bookmarkEnd w:id="108"/>
      <w:r/>
      <w:bookmarkEnd w:id="109"/>
      <w:r/>
      <w:bookmarkEnd w:id="110"/>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24.1评标期间，评委会对投标文件中含义不明确、同类问题表述不一致或者有明显文字和计算错误的内容，有权要求投标人作出必要的澄清、说明或者补正。</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评标委员会并非对每个投标人都做澄清要求。</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24.3接到评委会澄清、说明和补正要求的投标人如未按规定做出澄清、说明和补正，其风险由投标人自行承担。</w:t>
      </w:r>
      <w:r/>
    </w:p>
    <w:p>
      <w:pPr>
        <w:ind w:firstLine="422"/>
        <w:spacing w:line="400" w:lineRule="exact"/>
        <w:widowControl/>
        <w:rPr>
          <w:rFonts w:hint="eastAsia" w:ascii="宋体" w:hAnsi="宋体"/>
          <w:b/>
          <w:bCs/>
          <w:szCs w:val="21"/>
          <w:highlight w:val="none"/>
          <w:lang w:val="zh-CN"/>
        </w:rPr>
      </w:pPr>
      <w:r/>
      <w:bookmarkStart w:id="111" w:name="_Toc20823305"/>
      <w:r/>
      <w:bookmarkStart w:id="112" w:name="_Toc513029233"/>
      <w:r/>
      <w:bookmarkStart w:id="113" w:name="_Toc16938549"/>
      <w:r>
        <w:rPr>
          <w:rFonts w:hint="eastAsia" w:ascii="宋体" w:hAnsi="宋体"/>
          <w:b/>
          <w:bCs/>
          <w:szCs w:val="21"/>
          <w:highlight w:val="none"/>
          <w:lang w:val="zh-CN"/>
        </w:rPr>
        <w:t xml:space="preserve">25、对投标文件的初审</w:t>
      </w:r>
      <w:bookmarkEnd w:id="111"/>
      <w:r/>
      <w:bookmarkEnd w:id="112"/>
      <w:r/>
      <w:bookmarkEnd w:id="113"/>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25.1投标文件初审分为资格审查和符合性审查。</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25.1.1资格审查：依据法律法规和招标文件的规定，由采购人对投标文件中的资格证明文件进行审查。资格审查的结论，采购人以书面形式向评委会进行反馈。</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25.1.2符合性审查：依据招标文件的规定，由评委会从投标文件的有效性、完整性和对招标文件的响应程度进行审查，以确定是否对招标文件的实质性要求作出响应。</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25.3如果投标文件实质上没有响应招标文件的要求，评委会将予以拒绝，投标人不得通过修改或撤销不</w:t>
      </w:r>
      <w:r>
        <w:rPr>
          <w:rFonts w:hint="eastAsia" w:ascii="宋体" w:hAnsi="宋体"/>
          <w:szCs w:val="21"/>
          <w:highlight w:val="none"/>
        </w:rPr>
        <w:t xml:space="preserve">符</w:t>
      </w:r>
      <w:r>
        <w:rPr>
          <w:rFonts w:hint="eastAsia" w:ascii="宋体" w:hAnsi="宋体"/>
          <w:szCs w:val="21"/>
          <w:highlight w:val="none"/>
          <w:lang w:val="zh-CN"/>
        </w:rPr>
        <w:t xml:space="preserve">合要求的偏离或保留而使其投标成为实质性响应的投标。</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25.4评委会将对确定为实质性响应的投标进行进一步审核，确定其是否有计算上或累加上的算术错误，修正错误的原则如下：</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（2）大写金额和小写金额不一致的，以大写金额为准。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同时出现两种以上错误的，按照前款规定的顺序修正。</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widowControl/>
        <w:rPr>
          <w:rFonts w:hint="eastAsia" w:ascii="宋体" w:hAnsi="宋体"/>
          <w:szCs w:val="21"/>
          <w:highlight w:val="none"/>
          <w:lang w:val="zh-CN"/>
        </w:rPr>
      </w:pPr>
      <w:r/>
      <w:bookmarkStart w:id="114" w:name="_Toc20823306"/>
      <w:r/>
      <w:bookmarkStart w:id="115" w:name="_Toc513029234"/>
      <w:r/>
      <w:bookmarkStart w:id="116" w:name="_Toc16938550"/>
      <w:r>
        <w:rPr>
          <w:rFonts w:hint="eastAsia" w:ascii="宋体" w:hAnsi="宋体"/>
          <w:szCs w:val="21"/>
          <w:highlight w:val="none"/>
          <w:lang w:val="zh-CN"/>
        </w:rPr>
        <w:t xml:space="preserve">25.6投标人在开、评标全过程中应保持通</w:t>
      </w:r>
      <w:r>
        <w:rPr>
          <w:rFonts w:hint="eastAsia" w:ascii="宋体" w:hAnsi="宋体"/>
          <w:szCs w:val="21"/>
          <w:highlight w:val="none"/>
        </w:rPr>
        <w:t xml:space="preserve">信</w:t>
      </w:r>
      <w:r>
        <w:rPr>
          <w:rFonts w:hint="eastAsia" w:ascii="宋体" w:hAnsi="宋体"/>
          <w:szCs w:val="21"/>
          <w:highlight w:val="none"/>
          <w:lang w:val="zh-CN"/>
        </w:rPr>
        <w:t xml:space="preserve">畅通，及时登录苏采云系统查阅、答复相关信息，并安排专人与交易中心及评标委员会联系。</w:t>
      </w:r>
      <w:bookmarkEnd w:id="114"/>
      <w:r/>
      <w:bookmarkEnd w:id="115"/>
      <w:r/>
      <w:bookmarkEnd w:id="116"/>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26、无效投标条款和废标条款</w:t>
      </w:r>
      <w:r/>
    </w:p>
    <w:p>
      <w:pPr>
        <w:ind w:firstLine="420"/>
        <w:spacing w:line="400" w:lineRule="exact"/>
        <w:widowControl/>
        <w:rPr>
          <w:rFonts w:hint="eastAsia" w:ascii="宋体" w:hAnsi="宋体"/>
          <w:szCs w:val="21"/>
          <w:highlight w:val="none"/>
          <w:lang w:val="zh-CN"/>
        </w:rPr>
      </w:pPr>
      <w:r/>
      <w:bookmarkStart w:id="117" w:name="_Toc513029235"/>
      <w:r/>
      <w:bookmarkStart w:id="118" w:name="_Toc20823307"/>
      <w:r/>
      <w:bookmarkStart w:id="119" w:name="_Toc16938551"/>
      <w:r>
        <w:rPr>
          <w:rFonts w:hint="eastAsia" w:ascii="宋体" w:hAnsi="宋体"/>
          <w:szCs w:val="21"/>
          <w:highlight w:val="none"/>
          <w:lang w:val="zh-CN"/>
        </w:rPr>
        <w:t xml:space="preserve">26.1无效投标条款</w:t>
      </w:r>
      <w:bookmarkEnd w:id="117"/>
      <w:r/>
      <w:bookmarkEnd w:id="118"/>
      <w:r/>
      <w:bookmarkEnd w:id="119"/>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26.1.1投标人在苏采云系统规定的时间内未成功解密电子投标文件的。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26.1.2投标人未按照招标文件要求上传电子投标文件的。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26.1.3同一投标人提交两个（含两个）以上不同的投标报价的。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26.1.4投标人不具备招标文件中规定资格要求的。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26.1.5投标人的报价超过了采购预算或最高限价的。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26.1.6未通过符合性审查的。</w:t>
      </w:r>
      <w:r/>
    </w:p>
    <w:p>
      <w:pPr>
        <w:ind w:firstLine="420"/>
        <w:spacing w:line="400" w:lineRule="exact"/>
        <w:widowControl/>
        <w:rPr>
          <w:rFonts w:hint="eastAsia" w:ascii="宋体" w:hAnsi="宋体"/>
          <w:szCs w:val="21"/>
          <w:highlight w:val="none"/>
        </w:rPr>
      </w:pPr>
      <w:r>
        <w:rPr>
          <w:rFonts w:hint="eastAsia" w:ascii="宋体" w:hAnsi="宋体"/>
          <w:szCs w:val="21"/>
          <w:highlight w:val="none"/>
          <w:lang w:val="zh-CN"/>
        </w:rPr>
        <w:t xml:space="preserve">26.1.7不符合招标文件中规定的实质性要求和条件的</w:t>
      </w:r>
      <w:r>
        <w:rPr>
          <w:rFonts w:hint="eastAsia" w:ascii="宋体" w:hAnsi="宋体"/>
          <w:i/>
          <w:iCs/>
          <w:szCs w:val="21"/>
          <w:highlight w:val="none"/>
          <w:u w:val="single"/>
        </w:rPr>
        <w:t xml:space="preserve">（本招标文件中斜体且有下划线部分为实质性要求和条件）</w:t>
      </w:r>
      <w:r>
        <w:rPr>
          <w:rFonts w:hint="eastAsia" w:ascii="宋体" w:hAnsi="宋体"/>
          <w:szCs w:val="21"/>
          <w:highlight w:val="none"/>
        </w:rPr>
        <w:t xml:space="preserve">。</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rPr>
        <w:t xml:space="preserve">26.1.8</w:t>
      </w:r>
      <w:r>
        <w:rPr>
          <w:rFonts w:hint="eastAsia" w:ascii="宋体" w:hAnsi="宋体"/>
          <w:szCs w:val="21"/>
          <w:highlight w:val="none"/>
          <w:lang w:val="zh-CN"/>
        </w:rPr>
        <w:t xml:space="preserve">投标人被</w:t>
      </w:r>
      <w:r>
        <w:rPr>
          <w:rFonts w:hint="eastAsia" w:ascii="宋体" w:hAnsi="宋体"/>
          <w:szCs w:val="21"/>
          <w:highlight w:val="none"/>
        </w:rPr>
        <w:t xml:space="preserve">“</w:t>
      </w:r>
      <w:r>
        <w:rPr>
          <w:rFonts w:hint="eastAsia" w:ascii="宋体" w:hAnsi="宋体"/>
          <w:szCs w:val="21"/>
          <w:highlight w:val="none"/>
          <w:lang w:val="zh-CN"/>
        </w:rPr>
        <w:t xml:space="preserve">信用中国</w:t>
      </w:r>
      <w:r>
        <w:rPr>
          <w:rFonts w:hint="eastAsia" w:ascii="宋体" w:hAnsi="宋体"/>
          <w:szCs w:val="21"/>
          <w:highlight w:val="none"/>
        </w:rPr>
        <w:t xml:space="preserve">”</w:t>
      </w:r>
      <w:r>
        <w:rPr>
          <w:rFonts w:hint="eastAsia" w:ascii="宋体" w:hAnsi="宋体"/>
          <w:szCs w:val="21"/>
          <w:highlight w:val="none"/>
          <w:lang w:val="zh-CN"/>
        </w:rPr>
        <w:t xml:space="preserve">网站</w:t>
      </w:r>
      <w:r>
        <w:rPr>
          <w:rFonts w:hint="eastAsia" w:ascii="宋体" w:hAnsi="宋体"/>
          <w:szCs w:val="21"/>
          <w:highlight w:val="none"/>
        </w:rPr>
        <w:t xml:space="preserve">（www.creditchina.gov.cn）</w:t>
      </w:r>
      <w:r>
        <w:rPr>
          <w:rFonts w:hint="eastAsia" w:ascii="宋体" w:hAnsi="宋体"/>
          <w:szCs w:val="21"/>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26.1.9投标文件含有采购人不能接受的附加条件的。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26.1.10投标人不能证明其报价合理性的，评标委员会应当将其作为无效投标处理。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（一）评审过程中出现下列情形之一的，评标委员会应当启动异常低价投标审查程序：</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1.投标报价低于采购项目预算50%的，即投标报价&lt;采购项目预算×50%；</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2.投标报价低于采购项目最高限价45%的，即投标报价&lt;采购项目最高限价×45%；</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3.评标委员会认定的供应商报价过低、有可能影响产品质量或者不能诚信履约的其他情形。</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26.1.11投标文件未按照招标文件要求加盖CA电子公章的。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26.1.12其他法律、法规及本招标文件规定的属无效投标的情形。</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26.2废标条款</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26.2.1符合专业条件的供应商或者对招标文件作实质响应的供应商不足三家的。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26.2.2出现影响采购公正的违法、违规行为的。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26.2.3因重大变故，采购任务取消的。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26.2.4评标委员会认定招标文件存在歧义、重大缺陷导致评审工作无法进行。</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26.2.5因苏采云系统系统故障原因造成开标不成功的。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26.3 投标截止时间结束后参加投标的供应商不足三家的处理：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26.3.1如出现投标截止时间结束后参加投标的供应商或者在评标期间对招标文件做出实质响应的供应商不足三家情况，按政府采购相关规定执行。</w:t>
      </w:r>
      <w:r/>
    </w:p>
    <w:p>
      <w:pPr>
        <w:ind w:firstLine="422"/>
        <w:spacing w:line="400" w:lineRule="exact"/>
        <w:widowControl/>
        <w:rPr>
          <w:rFonts w:hint="eastAsia" w:ascii="宋体" w:hAnsi="宋体"/>
          <w:b/>
          <w:bCs/>
          <w:szCs w:val="21"/>
          <w:highlight w:val="none"/>
          <w:lang w:val="zh-CN"/>
        </w:rPr>
      </w:pPr>
      <w:r/>
      <w:bookmarkStart w:id="120" w:name="_Toc120614219"/>
      <w:r>
        <w:rPr>
          <w:rFonts w:hint="eastAsia" w:ascii="宋体" w:hAnsi="宋体"/>
          <w:b/>
          <w:bCs/>
          <w:szCs w:val="21"/>
          <w:highlight w:val="none"/>
          <w:lang w:val="zh-CN"/>
        </w:rPr>
        <w:t xml:space="preserve">六、定标</w:t>
      </w:r>
      <w:bookmarkEnd w:id="120"/>
      <w:r/>
      <w:r/>
    </w:p>
    <w:p>
      <w:pPr>
        <w:ind w:firstLine="422"/>
        <w:spacing w:line="400" w:lineRule="exact"/>
        <w:widowControl/>
        <w:rPr>
          <w:rFonts w:hint="eastAsia" w:ascii="宋体" w:hAnsi="宋体"/>
          <w:b/>
          <w:bCs/>
          <w:szCs w:val="21"/>
          <w:highlight w:val="none"/>
          <w:lang w:val="zh-CN"/>
        </w:rPr>
      </w:pPr>
      <w:r/>
      <w:bookmarkStart w:id="121" w:name="_Toc20823310"/>
      <w:r/>
      <w:bookmarkStart w:id="122" w:name="_Toc513029238"/>
      <w:r/>
      <w:bookmarkStart w:id="123" w:name="_Toc16938554"/>
      <w:r>
        <w:rPr>
          <w:rFonts w:hint="eastAsia" w:ascii="宋体" w:hAnsi="宋体"/>
          <w:b/>
          <w:bCs/>
          <w:szCs w:val="21"/>
          <w:highlight w:val="none"/>
          <w:lang w:val="zh-CN"/>
        </w:rPr>
        <w:t xml:space="preserve">27、</w:t>
      </w:r>
      <w:bookmarkEnd w:id="121"/>
      <w:r>
        <w:rPr>
          <w:rFonts w:hint="eastAsia" w:ascii="宋体" w:hAnsi="宋体"/>
          <w:b/>
          <w:bCs/>
          <w:szCs w:val="21"/>
          <w:highlight w:val="none"/>
          <w:lang w:val="zh-CN"/>
        </w:rPr>
        <w:t xml:space="preserve">确定</w:t>
      </w:r>
      <w:bookmarkEnd w:id="122"/>
      <w:r/>
      <w:bookmarkEnd w:id="123"/>
      <w:r>
        <w:rPr>
          <w:rFonts w:hint="eastAsia" w:ascii="宋体" w:hAnsi="宋体"/>
          <w:b/>
          <w:bCs/>
          <w:szCs w:val="21"/>
          <w:highlight w:val="none"/>
          <w:lang w:val="zh-CN"/>
        </w:rPr>
        <w:t xml:space="preserve">中标单位</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27.1中标候选人的选取原则和数量见招标文件第五章规定。 </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27.2采购人应根据评委会推荐的中标候选人确定中标人。</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27.3交易中心将在</w:t>
      </w:r>
      <w:r>
        <w:rPr>
          <w:rFonts w:hint="eastAsia" w:ascii="宋体" w:hAnsi="宋体"/>
          <w:szCs w:val="21"/>
          <w:highlight w:val="none"/>
        </w:rPr>
        <w:t xml:space="preserve">“中国政府采购网”、“江苏政府采购网”、“盐城市政府采购网”</w:t>
      </w:r>
      <w:r>
        <w:rPr>
          <w:rFonts w:hint="eastAsia" w:ascii="宋体" w:hAnsi="宋体" w:cs="宋体"/>
          <w:szCs w:val="21"/>
          <w:highlight w:val="none"/>
          <w:shd w:val="clear" w:color="auto" w:fill="ffffff"/>
        </w:rPr>
        <w:t xml:space="preserve">、“盐城市盐都区人民政府网”</w:t>
      </w:r>
      <w:r>
        <w:rPr>
          <w:rFonts w:hint="eastAsia" w:ascii="宋体" w:hAnsi="宋体"/>
          <w:szCs w:val="21"/>
          <w:highlight w:val="none"/>
          <w:lang w:val="zh-CN"/>
        </w:rPr>
        <w:t xml:space="preserve">发布中标公告，公告期限为1个工作日。</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27.4若有充分证据证明，中标人出现下列情况之一的，一经查实，将被取消中标资格：</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27.4.1提供虚假材料谋取中标的。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27.4.2向采购人、交易中心行贿或者提供其他不正当利益的。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27.4.3属于本文件规定的无效条件，但在评标过程中又未被评委会发现的。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27.4.4与采购人或者其他供应商恶意串通的。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27.4.5采取不正当手段诋毁、排挤其他供应商的。</w:t>
      </w:r>
      <w:r/>
    </w:p>
    <w:p>
      <w:pPr>
        <w:ind w:firstLine="420"/>
        <w:spacing w:line="400" w:lineRule="exact"/>
        <w:widowControl/>
        <w:rPr>
          <w:rFonts w:hint="eastAsia" w:ascii="宋体" w:hAnsi="宋体"/>
          <w:szCs w:val="21"/>
          <w:highlight w:val="none"/>
          <w:lang w:val="zh-CN"/>
        </w:rPr>
      </w:pPr>
      <w:r/>
      <w:bookmarkStart w:id="124" w:name="_Toc200451960"/>
      <w:r>
        <w:rPr>
          <w:rFonts w:hint="eastAsia" w:ascii="宋体" w:hAnsi="宋体"/>
          <w:szCs w:val="21"/>
          <w:highlight w:val="none"/>
          <w:lang w:val="zh-CN"/>
        </w:rPr>
        <w:t xml:space="preserve">27.5 有下列情形之一的，视为投标人串通投标，投标无效：</w:t>
      </w:r>
      <w:bookmarkEnd w:id="124"/>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27.5.1不同投标人的投标文件由同一单位或者个人编制。</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27.5.2不同投标人委托同一单位或者个人办理投标事宜。</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27.5.3不同投标人的投标文件载明的项目管理成员或者联系人员为同一人。</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27.5.4不同投标人的投标文件异常一致或者投标报价呈规律性差异。</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28、质疑处理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28.1提出质疑的供应商应当是参与所质疑项目采购活动的供应商。潜在供应商依法获取其可质疑的采购文件的，可以对采购文件提出质疑。</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28.2.1对可以质疑的采购文件提出质疑的，为收到采购文件之日或者采购文件公告期限届满之日；</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28.2.2对采购过程提出质疑的，为各采购程序环节结束之日；</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28.2.3对中标或者成交结果提出质疑的，为中标或者成交结果公告期限届满之日。</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28.4供应商（含潜在供应商）对与本项目有关的所有询问、质疑均请向采购人提出，由采购人负责答复。</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采购人只接收以纸质原件形式送达的质疑,采购人不接受未填写快递运单的快件。</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28.5 以下情形的质疑不予受理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28.5.1内容不符合《政府采购质疑和投诉办法》第十二条规定的质疑。</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28.5.2超出政府采购法定期限的质疑。</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28.5.3以传真、电子邮件等方式递交的非原件形式的质疑。</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28.5.4未参加投标活动的供应商或在投标活动中自身权益未受到损害的供应商所提出的质疑。</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28.5.5供应商组成联合体参加投标，联合体中任何一方或多方未按要求签字、盖章、加盖公章的质疑。</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28.6供应商提出书面质疑必须有理、有据，不得捏造事实、提供虚假材料进行恶意质疑。否则，一经查实，</w:t>
      </w:r>
      <w:r>
        <w:rPr>
          <w:rFonts w:hint="eastAsia" w:ascii="宋体" w:hAnsi="宋体" w:cs="宋体"/>
          <w:szCs w:val="21"/>
          <w:highlight w:val="none"/>
        </w:rPr>
        <w:t xml:space="preserve">采购人</w:t>
      </w:r>
      <w:r>
        <w:rPr>
          <w:rFonts w:hint="eastAsia" w:ascii="宋体" w:hAnsi="宋体"/>
          <w:szCs w:val="21"/>
          <w:highlight w:val="none"/>
          <w:lang w:val="zh-CN"/>
        </w:rPr>
        <w:t xml:space="preserve">有权依据政府采购的有关规定，报请政府采购监管部门对该供应商进行相应的行政处罚和记录该供应商的失信信息。</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29、中标通知书</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400" w:lineRule="exact"/>
        <w:widowControl/>
        <w:rPr>
          <w:rFonts w:hint="eastAsia" w:ascii="宋体" w:hAnsi="宋体"/>
          <w:b/>
          <w:bCs/>
          <w:szCs w:val="21"/>
          <w:highlight w:val="none"/>
          <w:lang w:val="zh-CN"/>
        </w:rPr>
      </w:pPr>
      <w:r/>
      <w:bookmarkStart w:id="125" w:name="_Toc20823308"/>
      <w:r/>
      <w:bookmarkStart w:id="126" w:name="_Toc120614220"/>
      <w:r/>
      <w:bookmarkStart w:id="127" w:name="_Toc513029236"/>
      <w:r/>
      <w:bookmarkStart w:id="128" w:name="_Toc16938552"/>
      <w:r>
        <w:rPr>
          <w:rFonts w:hint="eastAsia" w:ascii="宋体" w:hAnsi="宋体"/>
          <w:b/>
          <w:bCs/>
          <w:szCs w:val="21"/>
          <w:highlight w:val="none"/>
          <w:lang w:val="zh-CN"/>
        </w:rPr>
        <w:t xml:space="preserve">七、授予合同</w:t>
      </w:r>
      <w:bookmarkEnd w:id="125"/>
      <w:r/>
      <w:bookmarkEnd w:id="126"/>
      <w:r/>
      <w:bookmarkEnd w:id="127"/>
      <w:r/>
      <w:bookmarkEnd w:id="128"/>
      <w:r/>
      <w:r/>
    </w:p>
    <w:p>
      <w:pPr>
        <w:ind w:firstLine="422"/>
        <w:spacing w:line="400" w:lineRule="exact"/>
        <w:widowControl/>
        <w:rPr>
          <w:rFonts w:hint="eastAsia" w:ascii="宋体" w:hAnsi="宋体"/>
          <w:b/>
          <w:bCs/>
          <w:szCs w:val="21"/>
          <w:highlight w:val="none"/>
          <w:lang w:val="zh-CN"/>
        </w:rPr>
      </w:pPr>
      <w:r/>
      <w:bookmarkStart w:id="129" w:name="_Toc513029237"/>
      <w:r/>
      <w:bookmarkStart w:id="130" w:name="_Toc16938553"/>
      <w:r/>
      <w:bookmarkStart w:id="131" w:name="_Toc20823309"/>
      <w:r>
        <w:rPr>
          <w:rFonts w:hint="eastAsia" w:ascii="宋体" w:hAnsi="宋体"/>
          <w:b/>
          <w:bCs/>
          <w:szCs w:val="21"/>
          <w:highlight w:val="none"/>
          <w:lang w:val="zh-CN"/>
        </w:rPr>
        <w:t xml:space="preserve">30、签订合同</w:t>
      </w:r>
      <w:bookmarkEnd w:id="129"/>
      <w:r/>
      <w:bookmarkEnd w:id="130"/>
      <w:r/>
      <w:bookmarkEnd w:id="131"/>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30.l中标人应当在中标通知书发出之日起三十日内，按照招标文件确定的事项与采购人签订政府采购合同。</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30.2招标文件、中标人的投标文件及招标过程中有关澄清、承诺文件均应作为合同附件。</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30.3签订合同后，</w:t>
      </w:r>
      <w:r>
        <w:rPr>
          <w:rFonts w:hint="eastAsia" w:ascii="宋体" w:hAnsi="宋体"/>
          <w:i/>
          <w:iCs/>
          <w:szCs w:val="21"/>
          <w:highlight w:val="none"/>
          <w:u w:val="single"/>
        </w:rPr>
        <w:t xml:space="preserve">中标人不得将合同标的进行转包</w:t>
      </w:r>
      <w:r>
        <w:rPr>
          <w:rFonts w:hint="eastAsia" w:ascii="宋体" w:hAnsi="宋体"/>
          <w:szCs w:val="21"/>
          <w:highlight w:val="none"/>
        </w:rPr>
        <w:t xml:space="preserve">。</w:t>
      </w:r>
      <w:r>
        <w:rPr>
          <w:rFonts w:hint="eastAsia" w:ascii="宋体" w:hAnsi="宋体"/>
          <w:szCs w:val="21"/>
          <w:highlight w:val="none"/>
          <w:lang w:val="zh-CN"/>
        </w:rPr>
        <w:t xml:space="preserve">未经采购人同意，中标人也不得采用分包的形式履行合同，否则采购人有权终止合同。转包或分包造成采购人损失的，中标人应承担相应赔偿责任。</w:t>
      </w:r>
      <w:r/>
    </w:p>
    <w:p>
      <w:pPr>
        <w:ind w:firstLine="422"/>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31、服务（包含与服务相关的货物）的追加</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32" w:name="_Toc120614221"/>
      <w:r/>
      <w:bookmarkEnd w:id="132"/>
      <w:r/>
      <w:bookmarkStart w:id="133" w:name="_Toc513029242"/>
      <w:r/>
      <w:bookmarkEnd w:id="133"/>
      <w:r/>
      <w:bookmarkStart w:id="134" w:name="_Toc16938558"/>
      <w:r/>
      <w:bookmarkEnd w:id="134"/>
      <w:r/>
      <w:bookmarkStart w:id="135" w:name="_Toc20823314"/>
      <w:r/>
      <w:bookmarkEnd w:id="135"/>
      <w:r/>
      <w:bookmarkStart w:id="136" w:name="_Toc479757207"/>
      <w:r/>
      <w:bookmarkEnd w:id="136"/>
      <w:r/>
      <w:r/>
    </w:p>
    <w:p>
      <w:pPr>
        <w:numPr>
          <w:ilvl w:val="0"/>
          <w:numId w:val="1"/>
        </w:numPr>
        <w:ind w:firstLine="422"/>
        <w:jc w:val="left"/>
        <w:spacing w:line="400" w:lineRule="exact"/>
        <w:widowControl/>
        <w:rPr>
          <w:rFonts w:hint="eastAsia" w:ascii="宋体" w:hAnsi="宋体"/>
          <w:b/>
          <w:bCs/>
          <w:szCs w:val="21"/>
          <w:highlight w:val="none"/>
          <w:lang w:val="zh-CN"/>
        </w:rPr>
      </w:pPr>
      <w:r/>
      <w:bookmarkStart w:id="137" w:name="_Hlk190805480"/>
      <w:r/>
      <w:bookmarkStart w:id="138" w:name="_Toc513029243"/>
      <w:r/>
      <w:bookmarkStart w:id="139" w:name="_Toc16938559"/>
      <w:r/>
      <w:bookmarkStart w:id="140" w:name="_Toc20823315"/>
      <w:r>
        <w:rPr>
          <w:rFonts w:hint="eastAsia" w:ascii="宋体" w:hAnsi="宋体" w:cs="宋体"/>
          <w:b/>
          <w:bCs/>
          <w:szCs w:val="21"/>
          <w:highlight w:val="none"/>
        </w:rPr>
        <w:t xml:space="preserve">政府采购政策功能落实</w:t>
      </w:r>
      <w:bookmarkEnd w:id="137"/>
      <w:r/>
      <w:r/>
    </w:p>
    <w:p>
      <w:pPr>
        <w:ind w:firstLine="420"/>
        <w:jc w:val="left"/>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32.1政府采购线上合同信用融资政策</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根据《转发江苏省财政厅</w:t>
      </w:r>
      <w:r>
        <w:rPr>
          <w:rFonts w:hint="eastAsia" w:ascii="宋体" w:hAnsi="宋体"/>
          <w:szCs w:val="21"/>
          <w:highlight w:val="none"/>
        </w:rPr>
        <w:t xml:space="preserve"> </w:t>
      </w:r>
      <w:r>
        <w:rPr>
          <w:rFonts w:hint="eastAsia" w:ascii="宋体" w:hAnsi="宋体"/>
          <w:szCs w:val="21"/>
          <w:highlight w:val="none"/>
          <w:lang w:val="zh-CN"/>
        </w:rPr>
        <w:t xml:space="preserve">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szCs w:val="21"/>
          <w:highlight w:val="none"/>
        </w:rPr>
        <w:t xml:space="preserve">江苏省</w:t>
      </w:r>
      <w:r>
        <w:rPr>
          <w:rFonts w:hint="eastAsia" w:ascii="宋体" w:hAnsi="宋体"/>
          <w:szCs w:val="21"/>
          <w:highlight w:val="none"/>
          <w:lang w:val="zh-CN"/>
        </w:rPr>
        <w:t xml:space="preserve">政府采购网“政采贷”栏目）申请贷款，相关金融机构按照双方自愿的原则提供便捷、优惠的贷款服务；具体操作流程请参考苏采云系统中操作手册。</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32.2进口产品</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32.3中小企业、监狱企业及残疾人福利性单位</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32.3.1中小企业定义：</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中小企业是</w:t>
      </w:r>
      <w:r>
        <w:rPr>
          <w:rFonts w:hint="eastAsia" w:ascii="宋体" w:hAnsi="宋体"/>
          <w:szCs w:val="21"/>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32.3.2供应商提供的货物、工程或者服务符合下列情形的，享受中小企业扶持政策：</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32.3.2.1在货物采购项目中，货物由中小企业制造，即货物由中小企业生产且使用该中小企业商号或者注册商标；</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32.3.2.2在工程采购项目中，工程由中小企业承建，即工程施工单位为中小企业；</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32.3.2.3在服务采购项目中，服务由中小企业承接，即提供服务的人员为中小企业依照《中华人民共和国劳动合同法》订立劳动合同的从业人员。</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32.3.3在货物采购项目中，供应商提供的货物既有中小企业制造货物，也有大型企业制造货物的，不享受中小企业扶持政策。</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32.3.4以联合体形式参加政府采购活动，联合体各方均为中小企业的，联合体视同中小企业。其中，联合体各方均为小微企业的，联合体视同小微企业。</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32.3.6残疾人福利单位定义：享受政府采购支持政策的残疾人福利性单位应当同时满足以下条件：</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32.3.6.1安置的残疾人占本单位在职职工人数的比例不低于25%（含25%），并且安置的残疾人人数不少于10 人（含10 人）；</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32.3.6.2依法与安置的每位残疾人签订了一年以上（含一年）的劳动合同或服务协议；</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32.3.6.3为安置的每位残疾人按月足额缴纳了基本养老保险、基本医疗保险、失业保险、工伤保险和生育保险等社会保险费；</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32.3.6.4通过银行等金融机构向安置的每位残疾人，按月支付了不低于单位所在区县适用的经省级人民政府批准的月最低工资标准的工资；</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32.3.7本项目是否专门面向中小企业预留采购份额见第一章《招标公告》。</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32.3.8采购标的对应的中小企业划分标准所属行业见第四章《采购需求》。</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32.3.9小微企业价格评审优惠的政策：见第五章《评标方法和评标标准》。</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32.4政府采购节能产品、环境标志产品</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32.4.1严格执行政府采购关于支持</w:t>
      </w:r>
      <w:r>
        <w:rPr>
          <w:rFonts w:hint="eastAsia" w:ascii="宋体" w:hAnsi="宋体"/>
          <w:szCs w:val="21"/>
          <w:highlight w:val="none"/>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32.5绿色包装</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32.6政府采购创新产品</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采购人优先采购各级政府部门公开发布的有效期内的创新产品、创新服务、首台套、首购首用等《目录》的创新产品。</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32.7绿色数据中心政策</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本文件中若涉及到数据中心采购，采购人应依据《绿色数据中心政府采购需求标准（试行）》（财办库〔2023〕7号）文件精神</w:t>
      </w:r>
      <w:r>
        <w:rPr>
          <w:rFonts w:hint="eastAsia" w:ascii="宋体" w:hAnsi="宋体"/>
          <w:szCs w:val="21"/>
          <w:highlight w:val="none"/>
          <w:lang w:val="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32.8履约保证金政策</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确需收取履约保证金的，履约保证金的缴纳形式：</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 如以履约保函（保险）形式缴纳履约保证金，供应商可通过政府采购电子履约保函（保险）平台（www.jsdzbh.com）在线申请履约保函（保险）。</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33、预付款制度</w:t>
      </w:r>
      <w:r/>
    </w:p>
    <w:p>
      <w:pPr>
        <w:ind w:firstLine="420"/>
        <w:spacing w:line="400" w:lineRule="exact"/>
        <w:widowControl/>
        <w:rPr>
          <w:rFonts w:hint="eastAsia" w:ascii="宋体" w:hAnsi="宋体"/>
          <w:szCs w:val="21"/>
          <w:highlight w:val="none"/>
          <w:lang w:val="zh-CN"/>
        </w:rPr>
      </w:pPr>
      <w:r>
        <w:rPr>
          <w:rFonts w:hint="eastAsia" w:ascii="宋体" w:hAnsi="宋体"/>
          <w:szCs w:val="21"/>
          <w:highlight w:val="none"/>
          <w:lang w:val="zh-CN"/>
        </w:rPr>
        <w:t xml:space="preserve">本项目落实预付款制度，预付款比例为</w:t>
      </w:r>
      <w:r>
        <w:rPr>
          <w:rFonts w:hint="eastAsia" w:ascii="宋体" w:hAnsi="宋体"/>
          <w:szCs w:val="21"/>
          <w:highlight w:val="none"/>
          <w:u w:val="single"/>
          <w:lang w:val="zh-CN"/>
        </w:rPr>
        <w:t xml:space="preserve">30</w:t>
      </w:r>
      <w:r>
        <w:rPr>
          <w:rFonts w:hint="eastAsia" w:ascii="宋体" w:hAnsi="宋体"/>
          <w:szCs w:val="21"/>
          <w:highlight w:val="none"/>
          <w:lang w:val="zh-CN"/>
        </w:rPr>
        <w:t xml:space="preserve">%（</w:t>
      </w:r>
      <w:r>
        <w:rPr>
          <w:rFonts w:hint="eastAsia" w:ascii="宋体" w:hAnsi="宋体"/>
          <w:szCs w:val="21"/>
          <w:highlight w:val="none"/>
        </w:rPr>
        <w:t xml:space="preserve">原则上不低于合同金额的30%</w:t>
      </w:r>
      <w:r>
        <w:rPr>
          <w:rFonts w:hint="eastAsia" w:ascii="宋体" w:hAnsi="宋体"/>
          <w:szCs w:val="21"/>
          <w:highlight w:val="none"/>
          <w:lang w:val="zh-CN"/>
        </w:rPr>
        <w:t xml:space="preserve">）。在签订合同时，中标、成交供应商明确书面表示无需预付款或者主动要求降低预付款比例的，采购人可就预付款比例作相应调整。</w:t>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jc w:val="center"/>
        <w:spacing w:line="520" w:lineRule="exact"/>
        <w:widowControl/>
        <w:rPr>
          <w:rFonts w:eastAsia="黑体"/>
          <w:bCs/>
          <w:sz w:val="44"/>
          <w:szCs w:val="44"/>
          <w:highlight w:val="none"/>
        </w:rPr>
      </w:pPr>
      <w:r>
        <w:rPr>
          <w:rFonts w:hint="eastAsia" w:eastAsia="黑体"/>
          <w:bCs/>
          <w:sz w:val="44"/>
          <w:szCs w:val="44"/>
          <w:highlight w:val="none"/>
        </w:rPr>
        <w:t xml:space="preserve">第三章</w:t>
      </w:r>
      <w:r>
        <w:rPr>
          <w:rFonts w:eastAsia="黑体"/>
          <w:bCs/>
          <w:sz w:val="44"/>
          <w:szCs w:val="44"/>
          <w:highlight w:val="none"/>
        </w:rPr>
        <w:t xml:space="preserve"> 合同文本  </w:t>
      </w:r>
      <w:r/>
    </w:p>
    <w:p>
      <w:pPr>
        <w:ind w:firstLine="420"/>
        <w:spacing w:line="480" w:lineRule="exact"/>
        <w:widowControl/>
        <w:rPr>
          <w:rFonts w:hint="eastAsia" w:ascii="宋体" w:hAnsi="宋体"/>
          <w:szCs w:val="21"/>
          <w:highlight w:val="none"/>
        </w:rPr>
      </w:pPr>
      <w:r>
        <w:rPr>
          <w:rFonts w:hint="eastAsia" w:ascii="宋体" w:hAnsi="宋体"/>
          <w:szCs w:val="21"/>
          <w:highlight w:val="none"/>
        </w:rPr>
        <w:t xml:space="preserve">以下为中标后签订本项目合同的通用条款，中标人不得提出实质性的修改。</w:t>
      </w:r>
      <w:bookmarkEnd w:id="138"/>
      <w:r/>
      <w:bookmarkEnd w:id="139"/>
      <w:r/>
      <w:bookmarkEnd w:id="140"/>
      <w:r/>
      <w:r/>
    </w:p>
    <w:p>
      <w:pPr>
        <w:ind w:firstLine="422"/>
        <w:jc w:val="center"/>
        <w:spacing w:line="360" w:lineRule="exact"/>
        <w:rPr>
          <w:rFonts w:hint="eastAsia" w:ascii="宋体" w:hAnsi="宋体" w:cs="宋体"/>
          <w:b/>
          <w:bCs/>
          <w:sz w:val="24"/>
          <w:highlight w:val="none"/>
        </w:rPr>
        <w:outlineLvl w:val="0"/>
      </w:pPr>
      <w:r>
        <w:rPr>
          <w:rFonts w:hint="eastAsia" w:ascii="宋体" w:hAnsi="宋体" w:cs="宋体"/>
          <w:b/>
          <w:sz w:val="24"/>
          <w:highlight w:val="none"/>
        </w:rPr>
        <w:t xml:space="preserve">政府采购合同（服务）（合同编号）</w:t>
      </w:r>
      <w:r/>
    </w:p>
    <w:p>
      <w:pPr>
        <w:pStyle w:val="774"/>
        <w:ind w:firstLine="420"/>
        <w:spacing w:line="390" w:lineRule="exact"/>
        <w:rPr>
          <w:rFonts w:hint="eastAsia" w:cs="宋体" w:asciiTheme="minorEastAsia" w:hAnsiTheme="minorEastAsia" w:eastAsiaTheme="minorEastAsia"/>
          <w:sz w:val="21"/>
          <w:highlight w:val="none"/>
          <w:u w:val="single"/>
        </w:rPr>
      </w:pPr>
      <w:r>
        <w:rPr>
          <w:rFonts w:hint="eastAsia" w:cs="宋体" w:asciiTheme="minorEastAsia" w:hAnsiTheme="minorEastAsia" w:eastAsiaTheme="minorEastAsia"/>
          <w:sz w:val="21"/>
          <w:highlight w:val="none"/>
        </w:rPr>
        <w:t xml:space="preserve">项目名称</w:t>
      </w:r>
      <w:bookmarkStart w:id="141" w:name="_Hlk44690956"/>
      <w:r>
        <w:rPr>
          <w:rFonts w:hint="eastAsia" w:cs="宋体" w:asciiTheme="minorEastAsia" w:hAnsiTheme="minorEastAsia" w:eastAsiaTheme="minorEastAsia"/>
          <w:sz w:val="21"/>
          <w:highlight w:val="none"/>
        </w:rPr>
        <w:t xml:space="preserve">：</w:t>
      </w:r>
      <w:bookmarkEnd w:id="141"/>
      <w:r>
        <w:rPr>
          <w:rFonts w:hint="eastAsia" w:cs="宋体" w:asciiTheme="minorEastAsia" w:hAnsiTheme="minorEastAsia" w:eastAsiaTheme="minorEastAsia"/>
          <w:sz w:val="21"/>
          <w:highlight w:val="none"/>
          <w:u w:val="single"/>
        </w:rPr>
        <w:t xml:space="preserve">                        </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项目编号：</w:t>
      </w:r>
      <w:r>
        <w:rPr>
          <w:rFonts w:hint="eastAsia" w:cs="宋体" w:asciiTheme="minorEastAsia" w:hAnsiTheme="minorEastAsia" w:eastAsiaTheme="minorEastAsia"/>
          <w:sz w:val="21"/>
          <w:highlight w:val="none"/>
          <w:u w:val="single"/>
        </w:rPr>
        <w:t xml:space="preserve">                        </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甲方：（买方）</w:t>
      </w:r>
      <w:r>
        <w:rPr>
          <w:rFonts w:hint="eastAsia" w:cs="宋体" w:asciiTheme="minorEastAsia" w:hAnsiTheme="minorEastAsia" w:eastAsiaTheme="minorEastAsia"/>
          <w:sz w:val="21"/>
          <w:highlight w:val="none"/>
          <w:u w:val="single"/>
        </w:rPr>
        <w:t xml:space="preserve">                  </w:t>
      </w:r>
      <w:r/>
    </w:p>
    <w:p>
      <w:pPr>
        <w:pStyle w:val="774"/>
        <w:ind w:firstLine="420"/>
        <w:spacing w:line="390" w:lineRule="exact"/>
        <w:rPr>
          <w:rFonts w:hint="eastAsia" w:cs="宋体" w:asciiTheme="minorEastAsia" w:hAnsiTheme="minorEastAsia" w:eastAsiaTheme="minorEastAsia"/>
          <w:sz w:val="21"/>
          <w:highlight w:val="none"/>
          <w:u w:val="single"/>
        </w:rPr>
      </w:pPr>
      <w:r>
        <w:rPr>
          <w:rFonts w:hint="eastAsia" w:cs="宋体" w:asciiTheme="minorEastAsia" w:hAnsiTheme="minorEastAsia" w:eastAsiaTheme="minorEastAsia"/>
          <w:sz w:val="21"/>
          <w:highlight w:val="none"/>
        </w:rPr>
        <w:t xml:space="preserve">乙方：（卖方）</w:t>
      </w:r>
      <w:r>
        <w:rPr>
          <w:rFonts w:hint="eastAsia" w:cs="宋体" w:asciiTheme="minorEastAsia" w:hAnsiTheme="minorEastAsia" w:eastAsiaTheme="minorEastAsia"/>
          <w:sz w:val="21"/>
          <w:highlight w:val="none"/>
          <w:u w:val="single"/>
        </w:rPr>
        <w:t xml:space="preserve">                  </w:t>
      </w:r>
      <w:r/>
    </w:p>
    <w:p>
      <w:pPr>
        <w:ind w:firstLine="420"/>
        <w:spacing w:line="39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甲、乙双方根据盐城市盐都区公共资源交易中</w:t>
      </w:r>
      <w:bookmarkStart w:id="142" w:name="OLE_LINK4"/>
      <w:r/>
      <w:bookmarkStart w:id="143" w:name="OLE_LINK5"/>
      <w:r>
        <w:rPr>
          <w:rFonts w:hint="eastAsia" w:cs="宋体" w:asciiTheme="minorEastAsia" w:hAnsiTheme="minorEastAsia" w:eastAsiaTheme="minorEastAsia"/>
          <w:szCs w:val="21"/>
          <w:highlight w:val="none"/>
        </w:rPr>
        <w:t xml:space="preserve">心</w:t>
      </w:r>
      <w:bookmarkEnd w:id="142"/>
      <w:r/>
      <w:bookmarkEnd w:id="143"/>
      <w:r>
        <w:rPr>
          <w:rFonts w:hint="eastAsia" w:cs="宋体" w:asciiTheme="minorEastAsia" w:hAnsiTheme="minorEastAsia" w:eastAsiaTheme="minorEastAsia"/>
          <w:szCs w:val="21"/>
          <w:highlight w:val="none"/>
          <w:u w:val="single"/>
        </w:rPr>
        <w:t xml:space="preserve">盐城市盐都区龙冈（凤凰）小学物业服务项目</w:t>
      </w:r>
      <w:r>
        <w:rPr>
          <w:rFonts w:hint="eastAsia" w:cs="宋体" w:asciiTheme="minorEastAsia" w:hAnsiTheme="minorEastAsia" w:eastAsiaTheme="minorEastAsia"/>
          <w:szCs w:val="21"/>
          <w:highlight w:val="none"/>
        </w:rPr>
        <w:t xml:space="preserve">公开招标的结果，签署本合同。</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一、合同内容</w:t>
      </w:r>
      <w:r/>
    </w:p>
    <w:p>
      <w:pPr>
        <w:ind w:firstLine="422"/>
        <w:spacing w:line="39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1、标的名称</w:t>
      </w:r>
      <w:r/>
    </w:p>
    <w:p>
      <w:pPr>
        <w:ind w:firstLine="420"/>
        <w:spacing w:line="39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盐城市盐都区龙冈（凤凰）小学物业服务项目</w:t>
      </w:r>
      <w:r/>
    </w:p>
    <w:p>
      <w:pPr>
        <w:ind w:firstLine="422"/>
        <w:spacing w:line="390" w:lineRule="exact"/>
        <w:rPr>
          <w:rFonts w:hint="eastAsia" w:cs="宋体" w:asciiTheme="minorEastAsia" w:hAnsiTheme="minorEastAsia" w:eastAsiaTheme="minorEastAsia"/>
          <w:b/>
          <w:bCs/>
          <w:szCs w:val="21"/>
          <w:highlight w:val="none"/>
        </w:rPr>
      </w:pPr>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、标的质量</w:t>
      </w:r>
      <w:r/>
    </w:p>
    <w:p>
      <w:pPr>
        <w:pStyle w:val="719"/>
        <w:ind w:firstLine="420"/>
        <w:spacing w:line="390" w:lineRule="exact"/>
        <w:rPr>
          <w:rFonts w:hint="eastAsia"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按照考核标准考核合格。</w:t>
      </w:r>
      <w:r/>
    </w:p>
    <w:p>
      <w:pPr>
        <w:ind w:firstLine="422"/>
        <w:spacing w:line="39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3、合同数量</w:t>
      </w:r>
      <w:r/>
    </w:p>
    <w:p>
      <w:pPr>
        <w:ind w:firstLine="420"/>
        <w:spacing w:line="390" w:lineRule="exact"/>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3.1</w:t>
      </w:r>
      <w:r>
        <w:rPr>
          <w:rFonts w:hint="eastAsia" w:cs="宋体" w:asciiTheme="minorEastAsia" w:hAnsiTheme="minorEastAsia" w:eastAsiaTheme="minorEastAsia"/>
          <w:szCs w:val="21"/>
          <w:highlight w:val="none"/>
        </w:rPr>
        <w:t xml:space="preserve">本项目合同总价包含医院的全部物业服务，包括但不限于人员工资、工器具费用、加班费、福利费、工作服费用、税金、公众责任保险费、管理费、风险费及政策性文件规定等各项费用及政策性文件规定等各项应有费用，以及为完成招标文件规定的服务所涉及到的一切费用。</w:t>
      </w:r>
      <w:r/>
    </w:p>
    <w:p>
      <w:pPr>
        <w:ind w:firstLine="420"/>
        <w:spacing w:line="390" w:lineRule="exact"/>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3.2</w:t>
      </w:r>
      <w:r>
        <w:rPr>
          <w:rFonts w:hint="eastAsia" w:cs="宋体" w:asciiTheme="minorEastAsia" w:hAnsiTheme="minorEastAsia" w:eastAsiaTheme="minorEastAsia"/>
          <w:szCs w:val="21"/>
          <w:highlight w:val="none"/>
        </w:rPr>
        <w:t xml:space="preserve">盐城市盐都区龙冈小学招标年度物业等服务需保洁岗位6人，文印室1人，法定退休年龄以内，身体健康（附有效期内健康证），责任心强，思想品德好，作风正派，无不良记录，具有一定的物业服务工作经历，并具有吃苦耐劳精神，文印室人员需具有办公软件基本操作技能，并能熟练使用文印设备。中标人必须按照劳动法要求为所聘用人员办理社会保险，上述人员可按实际用工情况进行调整。</w:t>
      </w:r>
      <w:r/>
    </w:p>
    <w:p>
      <w:pPr>
        <w:ind w:firstLine="420"/>
        <w:spacing w:line="390" w:lineRule="exact"/>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3.3</w:t>
      </w:r>
      <w:r>
        <w:rPr>
          <w:rFonts w:hint="eastAsia" w:cs="宋体" w:asciiTheme="minorEastAsia" w:hAnsiTheme="minorEastAsia" w:eastAsiaTheme="minorEastAsia"/>
          <w:szCs w:val="21"/>
          <w:highlight w:val="none"/>
        </w:rPr>
        <w:t xml:space="preserve">甲方根据公开招标的结果，有权根据实际发展需要调整服务范围。</w:t>
      </w:r>
      <w:r/>
    </w:p>
    <w:p>
      <w:pPr>
        <w:ind w:firstLine="420"/>
        <w:spacing w:line="390" w:lineRule="exact"/>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3.4</w:t>
      </w:r>
      <w:r>
        <w:rPr>
          <w:rFonts w:hint="eastAsia" w:cs="宋体" w:asciiTheme="minorEastAsia" w:hAnsiTheme="minorEastAsia" w:eastAsiaTheme="minorEastAsia"/>
          <w:szCs w:val="21"/>
          <w:highlight w:val="none"/>
        </w:rPr>
        <w:t xml:space="preserve">乙方在履行合同过程中必须执行相关法律法规规定。</w:t>
      </w:r>
      <w:r/>
    </w:p>
    <w:p>
      <w:pPr>
        <w:ind w:firstLine="422"/>
        <w:spacing w:line="390" w:lineRule="exact"/>
        <w:rPr>
          <w:rFonts w:hint="eastAsia"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t xml:space="preserve">4</w:t>
      </w:r>
      <w:r>
        <w:rPr>
          <w:rFonts w:hint="eastAsia" w:cs="宋体" w:asciiTheme="minorEastAsia" w:hAnsiTheme="minorEastAsia" w:eastAsiaTheme="minorEastAsia"/>
          <w:b/>
          <w:szCs w:val="21"/>
          <w:highlight w:val="none"/>
        </w:rPr>
        <w:t xml:space="preserve">、履行期限</w:t>
      </w:r>
      <w:r/>
    </w:p>
    <w:p>
      <w:pPr>
        <w:ind w:firstLine="420"/>
        <w:spacing w:line="39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4.1本合同履行期限：一年， 自2025年</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日至 2026 年</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日，合同约定的年度服务期包含寒暑假（甲方可以根据寒暑假减少的工作量于服务年度内统筹安排学校临时性校务整理）。1年期满后，如按甲方的考核标准考核合格，经双方协商、主管部门批准，可以续签1年。</w:t>
      </w:r>
      <w:r/>
    </w:p>
    <w:p>
      <w:pPr>
        <w:ind w:firstLine="420"/>
        <w:spacing w:line="390" w:lineRule="exact"/>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4.2 </w:t>
      </w:r>
      <w:r>
        <w:rPr>
          <w:rFonts w:hint="eastAsia" w:cs="宋体" w:asciiTheme="minorEastAsia" w:hAnsiTheme="minorEastAsia" w:eastAsiaTheme="minorEastAsia"/>
          <w:szCs w:val="21"/>
          <w:highlight w:val="none"/>
        </w:rPr>
        <w:t xml:space="preserve">本合同终止或合同期满后，甲方选聘了新的服务企业的，乙方与新的服务企业之间应当做好交接工作，乙方应移交所有的服务管理档案资料和电子文档，经甲方或甲方委托的新的服务企业确认合格后方可退场。</w:t>
      </w:r>
      <w:r/>
    </w:p>
    <w:p>
      <w:pPr>
        <w:ind w:firstLine="422"/>
        <w:spacing w:line="390" w:lineRule="exact"/>
        <w:rPr>
          <w:rFonts w:hint="eastAsia"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t xml:space="preserve">5</w:t>
      </w:r>
      <w:r>
        <w:rPr>
          <w:rFonts w:hint="eastAsia" w:cs="宋体" w:asciiTheme="minorEastAsia" w:hAnsiTheme="minorEastAsia" w:eastAsiaTheme="minorEastAsia"/>
          <w:b/>
          <w:szCs w:val="21"/>
          <w:highlight w:val="none"/>
        </w:rPr>
        <w:t xml:space="preserve">、履行地点</w:t>
      </w:r>
      <w:r/>
    </w:p>
    <w:p>
      <w:pPr>
        <w:pStyle w:val="719"/>
        <w:ind w:firstLine="420"/>
        <w:spacing w:line="390" w:lineRule="exact"/>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盐都区龙冈小学。</w:t>
      </w:r>
      <w:r/>
    </w:p>
    <w:p>
      <w:pPr>
        <w:ind w:firstLine="422"/>
        <w:spacing w:line="390" w:lineRule="exact"/>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6、履行方式</w:t>
      </w:r>
      <w:r/>
    </w:p>
    <w:p>
      <w:pPr>
        <w:ind w:firstLine="420"/>
        <w:spacing w:line="390" w:lineRule="exact"/>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现场履行。</w:t>
      </w:r>
      <w:r/>
    </w:p>
    <w:p>
      <w:pPr>
        <w:pStyle w:val="774"/>
        <w:ind w:firstLine="422"/>
        <w:spacing w:line="390" w:lineRule="exact"/>
        <w:rPr>
          <w:rFonts w:hint="eastAsia" w:cs="宋体" w:asciiTheme="minorEastAsia" w:hAnsiTheme="minorEastAsia" w:eastAsiaTheme="minorEastAsia"/>
          <w:b/>
          <w:bCs/>
          <w:sz w:val="21"/>
          <w:highlight w:val="none"/>
        </w:rPr>
      </w:pPr>
      <w:r>
        <w:rPr>
          <w:rFonts w:hint="eastAsia" w:cs="宋体" w:asciiTheme="minorEastAsia" w:hAnsiTheme="minorEastAsia" w:eastAsiaTheme="minorEastAsia"/>
          <w:b/>
          <w:bCs/>
          <w:sz w:val="21"/>
          <w:highlight w:val="none"/>
        </w:rPr>
        <w:t xml:space="preserve">二、合同金额</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2.1本合同金额为（大写）：____________圆（_________元）人民币或其他币种。</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三、技术资料</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3.1乙方应按招标文件规定的时间向甲方提供服务（包含与服务相关的货物）的有关技术资料。</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四、知识产权</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五、产权担保</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5.1乙方保证所交付的服务（包含与服务相关的货物）的所有权完全属于乙方且无任何抵押、查封等产权瑕疵。</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六、履约保证金</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6.1乙方交纳人民币_________元作为本合同的履约保证金。</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（备注：不得超过合同金额的10%，采购人应当对AA评级及以上政府采购供应商（需提供信用管理部门备案的第三方信用报告）降低缴纳比例，履约保证金为合同金额的</w:t>
      </w:r>
      <w:r>
        <w:rPr>
          <w:rFonts w:cs="宋体" w:asciiTheme="minorEastAsia" w:hAnsiTheme="minorEastAsia" w:eastAsiaTheme="minorEastAsia"/>
          <w:sz w:val="21"/>
          <w:highlight w:val="none"/>
        </w:rPr>
        <w:t xml:space="preserve">5</w:t>
      </w:r>
      <w:r>
        <w:rPr>
          <w:rFonts w:hint="eastAsia" w:cs="宋体" w:asciiTheme="minorEastAsia" w:hAnsiTheme="minorEastAsia" w:eastAsiaTheme="minorEastAsia"/>
          <w:sz w:val="21"/>
          <w:highlight w:val="none"/>
        </w:rPr>
        <w:t xml:space="preserve">%。）</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6.2确需收取履约保证金的，履约保证金的缴纳形式：</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6.2.2 如以履约保函（保险）形式缴纳履约保证金，供应商可通过政府采购电子履约保函（保险）平台（www.jsdzbh.com）在线申请履约保函（保险）。</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6.3合同履行结束后，甲方应及时退还交纳的履约保证金。</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6.4履约保证金的退还：</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6.4.1方式：退还至投标人缴纳履约保证金的账户。如为保函，在到期时自行失效。</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6.4.2时间：验收合格且采购人收到发票后30日内。</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6.4.3条件：按合同要求全部履约完成并经采购人验收合格，且采购人收到中标人出具的发票。</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6.4.4不予退还情形：</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除不可抗力情况外，投标人出现下列情形之一的，其履约保证金，招标人将视情节决定不予退还或部分不予退还。</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（1）中标人无正当理由拒绝签订合同的，或者在签订合同时向采购人提出附加条件或者更改合同实质性内容要求的；</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（2）中标人不履行与采购人订立的合同的；</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（3）中标人所供货物或服务不符合招标文件规定要求的；</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（4）中标人采取欺骗、弄虚作假方式投标的或与其它投标人串通投标的；</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（5）中标人将合同内容转包、违法分包的；</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（6）中标人故意捏造事实或伪造证明材料，进行虚假恶意投诉或反映的。</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七、合同转包或分包</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7.1乙方不得将合同标的转包给他人履行；</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7.2乙方不得将合同标的分包给他人履行；</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7.3乙方如有转包或未经甲方同意的分包行为，甲方有权解除合同。</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八、合同款项支付</w:t>
      </w:r>
      <w:r/>
    </w:p>
    <w:p>
      <w:pPr>
        <w:pStyle w:val="774"/>
        <w:ind w:firstLine="420"/>
        <w:spacing w:line="390" w:lineRule="exact"/>
        <w:rPr>
          <w:rFonts w:hint="eastAsia" w:cs="宋体" w:asciiTheme="minorEastAsia" w:hAnsiTheme="minorEastAsia" w:eastAsiaTheme="minorEastAsia"/>
          <w:sz w:val="21"/>
          <w:highlight w:val="none"/>
        </w:rPr>
      </w:pPr>
      <w:r/>
      <w:bookmarkStart w:id="144" w:name="OLE_LINK9"/>
      <w:r>
        <w:rPr>
          <w:rFonts w:hint="eastAsia" w:cs="宋体" w:asciiTheme="minorEastAsia" w:hAnsiTheme="minorEastAsia" w:eastAsiaTheme="minorEastAsia"/>
          <w:sz w:val="21"/>
          <w:highlight w:val="none"/>
        </w:rPr>
        <w:t xml:space="preserve">8.1合同款项的支付方式及进度安排</w:t>
      </w:r>
      <w:bookmarkEnd w:id="144"/>
      <w:r/>
      <w:r/>
    </w:p>
    <w:p>
      <w:pPr>
        <w:pStyle w:val="774"/>
        <w:ind w:firstLine="422"/>
        <w:spacing w:line="390" w:lineRule="exact"/>
        <w:rPr>
          <w:rFonts w:hint="eastAsia" w:cs="宋体" w:asciiTheme="minorEastAsia" w:hAnsiTheme="minorEastAsia" w:eastAsiaTheme="minorEastAsia"/>
          <w:b/>
          <w:bCs/>
          <w:sz w:val="21"/>
          <w:highlight w:val="none"/>
        </w:rPr>
      </w:pPr>
      <w:r/>
      <w:bookmarkStart w:id="145" w:name="OLE_LINK7"/>
      <w:r>
        <w:rPr>
          <w:rFonts w:hint="eastAsia" w:cs="宋体" w:asciiTheme="minorEastAsia" w:hAnsiTheme="minorEastAsia" w:eastAsiaTheme="minorEastAsia"/>
          <w:b/>
          <w:bCs/>
          <w:sz w:val="21"/>
          <w:highlight w:val="none"/>
        </w:rPr>
        <w:t xml:space="preserve">8.1.1</w:t>
      </w:r>
      <w:bookmarkEnd w:id="145"/>
      <w:r>
        <w:rPr>
          <w:rFonts w:hint="eastAsia" w:cs="宋体" w:asciiTheme="minorEastAsia" w:hAnsiTheme="minorEastAsia" w:eastAsiaTheme="minorEastAsia"/>
          <w:b/>
          <w:bCs/>
          <w:sz w:val="21"/>
          <w:highlight w:val="none"/>
        </w:rPr>
        <w:t xml:space="preserve"> 预付款支付时间：合同签订后，采购人收到发票后10个工作日内，预付款支付比例：合同金额的30%。</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8.1.2付款方式月结，经月考核合格后，剩余未支付合同金额的70%，分12个月等额支付，采购人收到发票后10个工作日内，</w:t>
      </w:r>
      <w:bookmarkStart w:id="146" w:name="OLE_LINK13"/>
      <w:r>
        <w:rPr>
          <w:rFonts w:hint="eastAsia" w:cs="宋体" w:asciiTheme="minorEastAsia" w:hAnsiTheme="minorEastAsia" w:eastAsiaTheme="minorEastAsia"/>
          <w:b/>
          <w:bCs/>
          <w:sz w:val="21"/>
          <w:highlight w:val="none"/>
        </w:rPr>
        <w:t xml:space="preserve">提交结算中心，申请支付，</w:t>
      </w:r>
      <w:bookmarkEnd w:id="146"/>
      <w:r>
        <w:rPr>
          <w:rFonts w:hint="eastAsia" w:cs="宋体" w:asciiTheme="minorEastAsia" w:hAnsiTheme="minorEastAsia" w:eastAsiaTheme="minorEastAsia"/>
          <w:sz w:val="21"/>
          <w:highlight w:val="none"/>
        </w:rPr>
        <w:t xml:space="preserve">下月支付上月的服务费。</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九、税费</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9.1本合同执行中相关的一切税费均由乙方负担。</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十、</w:t>
      </w:r>
      <w:bookmarkStart w:id="147" w:name="_Hlk190884703"/>
      <w:r>
        <w:rPr>
          <w:rFonts w:hint="eastAsia" w:cs="宋体" w:asciiTheme="minorEastAsia" w:hAnsiTheme="minorEastAsia" w:eastAsiaTheme="minorEastAsia"/>
          <w:b/>
          <w:sz w:val="21"/>
          <w:highlight w:val="none"/>
        </w:rPr>
        <w:t xml:space="preserve">项目验收</w:t>
      </w:r>
      <w:bookmarkEnd w:id="147"/>
      <w:r/>
      <w:r/>
    </w:p>
    <w:p>
      <w:pPr>
        <w:pStyle w:val="774"/>
        <w:ind w:firstLine="420"/>
        <w:spacing w:line="390" w:lineRule="exact"/>
        <w:rPr>
          <w:rFonts w:hint="eastAsia" w:cs="宋体" w:asciiTheme="minorEastAsia" w:hAnsiTheme="minorEastAsia" w:eastAsiaTheme="minorEastAsia"/>
          <w:sz w:val="21"/>
          <w:highlight w:val="none"/>
        </w:rPr>
      </w:pPr>
      <w:r/>
      <w:bookmarkStart w:id="148" w:name="_Hlk190884686"/>
      <w:r>
        <w:rPr>
          <w:rFonts w:hint="eastAsia" w:cs="宋体" w:asciiTheme="minorEastAsia" w:hAnsiTheme="minorEastAsia" w:eastAsiaTheme="minorEastAsia"/>
          <w:sz w:val="21"/>
          <w:highlight w:val="none"/>
        </w:rPr>
        <w:t xml:space="preserve">10.1甲方依法组织履约验收工作。</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10.3对于实际使用人和甲方分离的项目，甲方邀请实际使用人参与验收。</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10.4如有必要，甲方邀请参加本项目的其他供应商或第三方专业机构及专家参与验收，相关意见将作为验收书的参考资料。</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bookmarkEnd w:id="148"/>
      <w:r/>
      <w:r/>
    </w:p>
    <w:p>
      <w:pPr>
        <w:ind w:firstLine="422"/>
        <w:spacing w:line="39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szCs w:val="21"/>
          <w:highlight w:val="none"/>
        </w:rPr>
        <w:t xml:space="preserve">十一、甲方的责任与义务</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11.1审定乙方拟定的服务计划和方案；</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11.3在合同履行期间，如乙方中途退出或发生责任事故，给甲方带来不良影响的，或者因乙方工作严重不力，影响甲方正常工作秩序的，甲方有权终止本合同，并要求乙方给予经济赔偿；</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11.4对拒绝、不服从或抵触甲方领导指挥的乙方使用人员严加教育，屡教不改的，甲方有权要求乙方进行调换，否则甲方有权终止本合同，并对乙方进行经济处罚；</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11.5监督、指导乙方人员在区域内的一切行为和活动；</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11.6依据相关法律、法规规定享有的其他权利。</w:t>
      </w:r>
      <w:r/>
    </w:p>
    <w:p>
      <w:pPr>
        <w:ind w:firstLine="422"/>
        <w:spacing w:line="390" w:lineRule="exact"/>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十二、乙方的责任与义务</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12.1乙方收到甲方进驻现场书面通知后，要积极做好准备，准时进驻现场。</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12.2认真完成合同约定的作业内容并达到乙方方案中承诺的质量标准。</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12.3依照有关规定和本合同约定，制定保洁服务制度。</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12.4按照服务管理情况及要求进行服务与管理。</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12.5依照本合同约定向甲方收取服务费。</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12.6工作人员在业务上受乙方的领导，同时受甲方的监督，所有人员服从甲方调配。</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12.7负责提供服务必须的工具及其它耗材。</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12.8乙方为保证服务质量，须根据不同材质，采用相适应的清洁原料和操作方法。</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12.9爱护甲方院内、外各项设备设施，注意节水节电。</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12.10乙方在清洁作业中应严格要求服务人员，做好各项防护措施，非紧急和必要不得擅自挪用甲方的物品。</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12.11乙方负责对派出员工的安全生产教育，对派出的员工在服务过程中的安全生产责任负责，费用由乙方自行承担。</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12.12乙方清洁作业应按照规范流程实施并遵守甲方规定的时间要求，如有变更，双方协商解决。</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12.13本合同终止乙方不再管理本服务项目时，必须向甲方移交全部借用的物品、管理用房及管理的全部档案资料。</w:t>
      </w:r>
      <w:r/>
    </w:p>
    <w:p>
      <w:pPr>
        <w:ind w:firstLine="420"/>
        <w:jc w:val="left"/>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12.14在本服务管理区域内遇到冰雪等恶劣天气应清扫雨雪积水，保证道路畅通，如设施损坏（水管破裂、龙头损坏、感应器损坏等）等问题应第一时间向医院报告协助处理。                     </w:t>
      </w:r>
      <w:r/>
    </w:p>
    <w:p>
      <w:pPr>
        <w:ind w:firstLine="420"/>
        <w:jc w:val="left"/>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12.15因乙方未能履行本服务合同的约定，导致甲方人身、财产安全受到损害的，乙方应当依法承担相应的法律责任及经济赔偿。 </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12.16乙方管理人员进行如下服务活动时，对甲方造成的财产损失可不承担民事赔偿责任；</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⑴为救助他人生命而造成的必要财产损失；</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⑵为避免甲方财产受损或可能受损而造成的必要财产损失（如失火又无人在内，为不使其造成巨大损失，物业管理者强行入内救助）；</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⑶为抓捕违法犯罪分子、制止不法侵害行为而造成的必要财产损失。</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十三、违约责任</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13.1甲方无正当理由拒绝接受乙方提供服务的，甲方向乙方偿付拒绝接受服务合同价款总值</w:t>
      </w:r>
      <w:r>
        <w:rPr>
          <w:rFonts w:hint="eastAsia" w:cs="宋体" w:asciiTheme="minorEastAsia" w:hAnsiTheme="minorEastAsia" w:eastAsiaTheme="minorEastAsia"/>
          <w:sz w:val="21"/>
          <w:highlight w:val="none"/>
          <w:u w:val="single"/>
        </w:rPr>
        <w:t xml:space="preserve"> 5%  </w:t>
      </w:r>
      <w:r>
        <w:rPr>
          <w:rFonts w:hint="eastAsia" w:cs="宋体" w:asciiTheme="minorEastAsia" w:hAnsiTheme="minorEastAsia" w:eastAsiaTheme="minorEastAsia"/>
          <w:sz w:val="21"/>
          <w:highlight w:val="none"/>
        </w:rPr>
        <w:t xml:space="preserve">的违约金。</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13.2甲方无故逾期验收和办理合同款项支付手续的，甲方应按逾期付款总额</w:t>
      </w:r>
      <w:r>
        <w:rPr>
          <w:rFonts w:hint="eastAsia" w:cs="宋体" w:asciiTheme="minorEastAsia" w:hAnsiTheme="minorEastAsia" w:eastAsiaTheme="minorEastAsia"/>
          <w:sz w:val="21"/>
          <w:highlight w:val="none"/>
          <w:u w:val="single"/>
        </w:rPr>
        <w:t xml:space="preserve"> 万分之一 </w:t>
      </w:r>
      <w:r>
        <w:rPr>
          <w:rFonts w:hint="eastAsia" w:cs="宋体" w:asciiTheme="minorEastAsia" w:hAnsiTheme="minorEastAsia" w:eastAsiaTheme="minorEastAsia"/>
          <w:sz w:val="21"/>
          <w:highlight w:val="none"/>
        </w:rPr>
        <w:t xml:space="preserve">每日向乙方支付违约金。</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13.3乙方逾期提供服务的，乙方应按逾期提供服务合同总额每日</w:t>
      </w:r>
      <w:r>
        <w:rPr>
          <w:rFonts w:hint="eastAsia" w:cs="宋体" w:asciiTheme="minorEastAsia" w:hAnsiTheme="minorEastAsia" w:eastAsiaTheme="minorEastAsia"/>
          <w:sz w:val="21"/>
          <w:highlight w:val="none"/>
          <w:u w:val="single"/>
        </w:rPr>
        <w:t xml:space="preserve">千分之六</w:t>
      </w:r>
      <w:r>
        <w:rPr>
          <w:rFonts w:hint="eastAsia" w:cs="宋体" w:asciiTheme="minorEastAsia" w:hAnsiTheme="minorEastAsia" w:eastAsiaTheme="minorEastAsia"/>
          <w:sz w:val="21"/>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heme="minorEastAsia" w:hAnsiTheme="minorEastAsia" w:eastAsiaTheme="minorEastAsia"/>
          <w:sz w:val="21"/>
          <w:highlight w:val="none"/>
          <w:u w:val="single"/>
        </w:rPr>
        <w:t xml:space="preserve">5%</w:t>
      </w:r>
      <w:r>
        <w:rPr>
          <w:rFonts w:hint="eastAsia" w:cs="宋体" w:asciiTheme="minorEastAsia" w:hAnsiTheme="minorEastAsia" w:eastAsiaTheme="minorEastAsia"/>
          <w:sz w:val="21"/>
          <w:highlight w:val="none"/>
          <w:u w:val="single"/>
        </w:rPr>
        <w:t xml:space="preserve"> </w:t>
      </w:r>
      <w:r>
        <w:rPr>
          <w:rFonts w:hint="eastAsia" w:cs="宋体" w:asciiTheme="minorEastAsia" w:hAnsiTheme="minorEastAsia" w:eastAsiaTheme="minorEastAsia"/>
          <w:sz w:val="21"/>
          <w:highlight w:val="none"/>
        </w:rPr>
        <w:t xml:space="preserve">的违约金，如造成甲方损失超过违约金的，超出部分由乙方继续承担赔偿责任。 </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13.4乙方所提供服务的标准不符合合同规定及招标文件规定标准的，甲方有权拒绝接受服务，并可单方面解除合同。</w:t>
      </w:r>
      <w:r/>
    </w:p>
    <w:p>
      <w:pPr>
        <w:ind w:firstLine="420"/>
        <w:spacing w:line="39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13.5该项目服务过程中中标单位的项目负责人（兼职）必须常驻现场实施管理，并参与甲方的日常考勤。中途项目负责人需离岗必须履行书面请假手续并经甲方同意。若未经甲方同意而擅自离岗的，将处以每天</w:t>
      </w:r>
      <w:r>
        <w:rPr>
          <w:rFonts w:cs="宋体" w:asciiTheme="minorEastAsia" w:hAnsiTheme="minorEastAsia" w:eastAsiaTheme="minorEastAsia"/>
          <w:szCs w:val="21"/>
          <w:highlight w:val="none"/>
        </w:rPr>
        <w:t xml:space="preserve">1000</w:t>
      </w:r>
      <w:r>
        <w:rPr>
          <w:rFonts w:hint="eastAsia" w:cs="宋体" w:asciiTheme="minorEastAsia" w:hAnsiTheme="minorEastAsia" w:eastAsiaTheme="minorEastAsia"/>
          <w:szCs w:val="21"/>
          <w:highlight w:val="none"/>
        </w:rPr>
        <w:t xml:space="preserve">元的违约金，在支付项目款时从应付的项目款中扣除。若擅自离岗连续达</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天以上的，经甲方提出仍未改正的，甲方有权终止合同，因此给甲方造成损失的，甲方将依法追偿。</w:t>
      </w:r>
      <w:r/>
    </w:p>
    <w:p>
      <w:pPr>
        <w:pStyle w:val="798"/>
        <w:ind w:firstLine="422"/>
        <w:spacing w:line="390" w:lineRule="exact"/>
        <w:rPr>
          <w:rFonts w:hint="eastAsia"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 xml:space="preserve">十四、</w:t>
      </w:r>
      <w:r>
        <w:rPr>
          <w:rFonts w:hint="eastAsia" w:asciiTheme="minorEastAsia" w:hAnsiTheme="minorEastAsia" w:eastAsiaTheme="minorEastAsia"/>
          <w:b/>
          <w:sz w:val="21"/>
          <w:szCs w:val="21"/>
          <w:highlight w:val="none"/>
        </w:rPr>
        <w:t xml:space="preserve">质量承诺</w:t>
      </w:r>
      <w:r/>
    </w:p>
    <w:p>
      <w:pPr>
        <w:ind w:firstLine="420"/>
        <w:spacing w:line="39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14.1乙方保证认真完成合同范围内规定的服务项目和标准，确保质量，达到客户满意。</w:t>
      </w:r>
      <w:r/>
    </w:p>
    <w:p>
      <w:pPr>
        <w:ind w:firstLine="420"/>
        <w:spacing w:line="39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14.2乙方在工作中未达到质量标准（实际上经过限期整改可以达到质量标准的），经甲方两次口头警告通知，仍未达到标准，将以书面形式通知乙方，每发出一次书面通知，经乙方确认后，可以扣除当月物业服务费的1—2%。</w:t>
      </w:r>
      <w:r/>
    </w:p>
    <w:p>
      <w:pPr>
        <w:ind w:firstLine="420"/>
        <w:spacing w:line="39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14.3乙方在作业中应严格要求工作人员，做好各种防护措施，不得擅自挪用甲方的物品。要加强管理，安全生产。乙方工程进行中，如发现甲方物业材质有破损迹象，应及时保护现场，立即向甲方通报。由于乙方在日常服务工作不慎给甲方设施设备等造成损失，乙方应承担赔偿责任。因设施设备自然损耗、内在缺陷、安装不当等原因造成的损失，乙方不承担责任。</w:t>
      </w:r>
      <w:r/>
    </w:p>
    <w:p>
      <w:pPr>
        <w:pStyle w:val="798"/>
        <w:ind w:firstLine="420"/>
        <w:spacing w:line="390" w:lineRule="exact"/>
        <w:rPr>
          <w:rFonts w:hint="eastAsia" w:asciiTheme="minorEastAsia" w:hAnsiTheme="minorEastAsia" w:eastAsiaTheme="minorEastAsia"/>
          <w:bCs/>
          <w:sz w:val="21"/>
          <w:szCs w:val="21"/>
          <w:highlight w:val="none"/>
        </w:rPr>
      </w:pPr>
      <w:r>
        <w:rPr>
          <w:rFonts w:hint="eastAsia" w:asciiTheme="minorEastAsia" w:hAnsiTheme="minorEastAsia" w:eastAsiaTheme="minorEastAsia"/>
          <w:bCs/>
          <w:sz w:val="21"/>
          <w:szCs w:val="21"/>
          <w:highlight w:val="none"/>
        </w:rPr>
        <w:t xml:space="preserve">14.4监督检查</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14.4.1甲方对乙方提供的服务享有监督权和检查权，有权对乙方服务提出意见和建议的权利。</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14.4.2乙方应当保证其服务质量，服务工作完毕应主动邀请甲方进行检查；对不合格部分，乙方应进行重新处理，直到甲方满意为止。</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14.4.3乙方的服务不能达到合同要求的，甲方可对乙方提出异议和要求返工。</w:t>
      </w:r>
      <w:r/>
    </w:p>
    <w:p>
      <w:pPr>
        <w:ind w:firstLine="420"/>
        <w:spacing w:line="39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14.4.4乙方应积极采纳甲方的合理化建议，协助甲方处理有关投诉。</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十五、不可抗力事件处理</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15.1在合同有效期内，任何一方因不可抗力事件导致不能履行合同，则合同履行期可延长，其延长期与不可抗力影响期相同。</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15.2不可抗力事件发生后，应立即通知对方，并寄送有关权威机构出具的证明。</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15.3不可抗力事件延续120天以上，双方应通过友好协商，确定是否继续履行合同。</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十六、解决争议的方法</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16.1双方在签订、履行合同中所发生的一切争议，应通过友好协商解决。如协商不成，由甲方住所地人民法院管辖。</w:t>
      </w:r>
      <w:r/>
    </w:p>
    <w:p>
      <w:pPr>
        <w:pStyle w:val="774"/>
        <w:ind w:firstLine="422"/>
        <w:spacing w:line="390" w:lineRule="exact"/>
        <w:rPr>
          <w:rFonts w:hint="eastAsia" w:cs="宋体" w:asciiTheme="minorEastAsia" w:hAnsiTheme="minorEastAsia" w:eastAsiaTheme="minorEastAsia"/>
          <w:b/>
          <w:sz w:val="21"/>
          <w:highlight w:val="none"/>
        </w:rPr>
      </w:pPr>
      <w:r>
        <w:rPr>
          <w:rFonts w:hint="eastAsia" w:cs="宋体" w:asciiTheme="minorEastAsia" w:hAnsiTheme="minorEastAsia" w:eastAsiaTheme="minorEastAsia"/>
          <w:b/>
          <w:sz w:val="21"/>
          <w:highlight w:val="none"/>
        </w:rPr>
        <w:t xml:space="preserve">十七、合同生效及其它</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17.1合同经双方法定代表人或授权委托代表人签字并加盖单位公章后生效。</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17.2本合同未尽事宜，遵照《中华人民共和国民法典》、《中华人民共和国政府采购法》有关条文执行。</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17.3招标文件、中标人的投标文件及招标过程中有关澄清、承诺文件均应作为合同附件，合同附件均为合同的有效组成部分。</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17.4 本合同正本一式陆份，具有同等法律效力，甲方执肆份、乙方执贰份。</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甲方：                                   乙方： </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地址：                                   地址： </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法定代表人或授权代表：                   法定代表人或授权代表：</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联系电话：                               联系电话：</w:t>
      </w:r>
      <w:r/>
    </w:p>
    <w:p>
      <w:pPr>
        <w:pStyle w:val="774"/>
        <w:ind w:firstLine="420"/>
        <w:spacing w:line="390" w:lineRule="exact"/>
        <w:rPr>
          <w:rFonts w:hint="eastAsia"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年   月   日                              年   月   日</w:t>
      </w:r>
      <w:r/>
    </w:p>
    <w:p>
      <w:pPr>
        <w:pStyle w:val="774"/>
        <w:ind w:firstLine="0"/>
        <w:spacing w:line="360" w:lineRule="exact"/>
        <w:rPr>
          <w:rFonts w:hint="eastAsia" w:hAnsi="宋体"/>
          <w:sz w:val="21"/>
          <w:highlight w:val="none"/>
        </w:rPr>
      </w:pPr>
      <w:r>
        <w:rPr>
          <w:rFonts w:hint="eastAsia" w:hAnsi="宋体"/>
          <w:sz w:val="21"/>
          <w:highlight w:val="none"/>
        </w:rPr>
      </w:r>
      <w:r/>
    </w:p>
    <w:p>
      <w:pPr>
        <w:pStyle w:val="826"/>
        <w:ind w:firstLine="0"/>
        <w:spacing w:line="240" w:lineRule="auto"/>
        <w:rPr>
          <w:rFonts w:ascii="Times New Roman" w:hAnsi="Times New Roman" w:cs="Times New Roman"/>
          <w:b w:val="0"/>
          <w:bCs/>
          <w:color w:val="auto"/>
          <w:highlight w:val="none"/>
        </w:rPr>
      </w:pPr>
      <w:r>
        <w:rPr>
          <w:rFonts w:hint="eastAsia" w:ascii="Times New Roman" w:hAnsi="Times New Roman" w:cs="Times New Roman"/>
          <w:b w:val="0"/>
          <w:bCs/>
          <w:color w:val="auto"/>
          <w:highlight w:val="none"/>
        </w:rPr>
        <w:t xml:space="preserve">第四章</w:t>
      </w:r>
      <w:r>
        <w:rPr>
          <w:rFonts w:ascii="Times New Roman" w:hAnsi="Times New Roman" w:cs="Times New Roman"/>
          <w:b w:val="0"/>
          <w:bCs/>
          <w:color w:val="auto"/>
          <w:highlight w:val="none"/>
        </w:rPr>
        <w:t xml:space="preserve"> </w:t>
      </w:r>
      <w:r>
        <w:rPr>
          <w:rFonts w:hint="eastAsia" w:ascii="Times New Roman" w:hAnsi="Times New Roman" w:cs="Times New Roman"/>
          <w:b w:val="0"/>
          <w:bCs/>
          <w:color w:val="auto"/>
          <w:highlight w:val="none"/>
        </w:rPr>
        <w:t xml:space="preserve">采购需求</w:t>
      </w:r>
      <w:r/>
    </w:p>
    <w:p>
      <w:pPr>
        <w:ind w:firstLine="420"/>
        <w:jc w:val="left"/>
        <w:spacing w:line="400" w:lineRule="exact"/>
        <w:rPr>
          <w:rFonts w:hint="eastAsia" w:ascii="宋体" w:hAnsi="宋体" w:cs="宋体"/>
          <w:szCs w:val="21"/>
          <w:highlight w:val="none"/>
        </w:rPr>
      </w:pPr>
      <w:r/>
      <w:bookmarkStart w:id="149" w:name="_Toc26554093"/>
      <w:r/>
      <w:bookmarkStart w:id="150" w:name="_Toc49090575"/>
      <w:r>
        <w:rPr>
          <w:rFonts w:hint="eastAsia" w:ascii="宋体" w:hAnsi="宋体" w:cs="宋体"/>
          <w:szCs w:val="21"/>
          <w:highlight w:val="none"/>
        </w:rPr>
        <w:t xml:space="preserve">项目属性:服务类项目。</w:t>
      </w:r>
      <w:bookmarkEnd w:id="149"/>
      <w:r/>
      <w:bookmarkEnd w:id="150"/>
      <w:r/>
      <w:r/>
    </w:p>
    <w:p>
      <w:pPr>
        <w:ind w:firstLine="420"/>
        <w:jc w:val="left"/>
        <w:spacing w:line="400" w:lineRule="exact"/>
        <w:rPr>
          <w:rFonts w:hint="eastAsia" w:ascii="宋体" w:hAnsi="宋体" w:cs="宋体"/>
          <w:b/>
          <w:bCs/>
          <w:szCs w:val="21"/>
          <w:highlight w:val="none"/>
        </w:rPr>
      </w:pPr>
      <w:r>
        <w:rPr>
          <w:rFonts w:hint="eastAsia" w:ascii="宋体" w:hAnsi="宋体" w:cs="宋体"/>
          <w:szCs w:val="21"/>
          <w:highlight w:val="none"/>
        </w:rPr>
        <w:t xml:space="preserve">本次采购包括盐城市盐都区龙冈（凤凰）小学物业服务项目，服务期为一年。</w:t>
      </w:r>
      <w:r>
        <w:rPr>
          <w:rFonts w:hint="eastAsia" w:ascii="宋体" w:hAnsi="宋体" w:cs="宋体"/>
          <w:szCs w:val="21"/>
          <w:highlight w:val="none"/>
        </w:rPr>
        <w:t xml:space="preserve">具体</w:t>
      </w:r>
      <w:r>
        <w:rPr>
          <w:rFonts w:hint="eastAsia" w:ascii="宋体" w:hAnsi="宋体" w:cs="宋体"/>
          <w:szCs w:val="21"/>
          <w:highlight w:val="none"/>
        </w:rPr>
        <w:t xml:space="preserve">需求如下：</w:t>
      </w:r>
      <w:r/>
    </w:p>
    <w:p>
      <w:pPr>
        <w:ind w:firstLine="422"/>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一、人员需求</w:t>
      </w:r>
      <w:r/>
    </w:p>
    <w:p>
      <w:pPr>
        <w:ind w:firstLine="420"/>
        <w:spacing w:line="400" w:lineRule="exact"/>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盐城市盐都区龙冈小学招标年度物业等服务需保洁岗位6人，文印室1人，法定退休年龄以内，身体健康（附有效期内健康证），责任心强，思想品德好，作风正派，无不良记录，具有一定的物业服务工作经历，并具有吃苦耐劳精神，文印室人员需具有办公软件基本操作技能，并能熟练使用文印设备。中标人必须按照劳动法要求为所聘用人员办理社会保险，上述人员可按实际用工情况进行调整。</w:t>
      </w:r>
      <w:r/>
    </w:p>
    <w:p>
      <w:pPr>
        <w:ind w:firstLine="422"/>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二、服务</w:t>
      </w:r>
      <w:r>
        <w:rPr>
          <w:rFonts w:hint="eastAsia" w:ascii="宋体" w:hAnsi="宋体" w:cs="宋体"/>
          <w:b/>
          <w:bCs/>
          <w:szCs w:val="21"/>
          <w:highlight w:val="none"/>
        </w:rPr>
        <w:t xml:space="preserve">要求</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每天清扫楼梯、过道、卫生间、室外玻璃、绿化带内的垃圾，发现脏物、废品应及时处理，对区域内各种设施（含直饮水机）和窗台进行抹尘和清洗，保持外围干净、整洁；每日循环清扫地面垃圾，清除台面、地面的污迹，每月彻底清洗两次，平时发现污渍及时处理；拖洗所有卫生间地面，抹净洁具、门框、墙身，每天循环多次，保持无灰尘、无垃圾、无异味、无手脚印、无污渍等物业保洁服务，临时性校务整理和文印服务等。</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1、卫生保洁要求：</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（1）室外区域</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① 每天清扫楼梯、过道、卫生间、室外玻璃、绿化带内的垃圾，发现脏物、废品、学生呕吐物应及时处理，卫生间需每日放学后进行消杀保洁，对区域内各种设施（含直饮水机）和窗台进行抹尘和清洗，保持外围干净、整洁。</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② 根据各种地面脏的程度要随时进行清洗。</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③ 绿化带重点巡查，及时清扫果皮、废纸、杂物等垃圾。</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④ 及时收集各类垃圾，堆放在指定地点。清运时密封装置，确保无飘洒和漏水等现象。及时清洗垃圾筒筒身，更换垃圾袋，保持干净、无异味、无满溢，每周使用消毒剂进行彻底消毒，使蚊蝇鼠虫无滋生源。</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⑤ 保持指示牌、标识、消防器材、外围灯柱等物体表面上清洁，及时处理各种污迹。</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⑥ 每周清除一次卫生死角，水管处、下水道口、排水沟、水池、雨水槽内阴沟、污水井等地方，要确保其内无杂物。</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（2）大厅、走廊、楼梯</w:t>
      </w:r>
      <w:r/>
    </w:p>
    <w:p>
      <w:pPr>
        <w:numPr>
          <w:ilvl w:val="0"/>
          <w:numId w:val="2"/>
        </w:num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每日循环清扫地面垃圾，清除台面、地面的污迹，每月彻底清洗两次，平时发现污渍及时处理。</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② 每日抹净门厅玻璃，每周彻底清洗一次，保持玻璃干净明亮，无手印、无水印，擦净门框、柱子等灰尘。</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③ 每日抹净大厅内指示牌、告示牌、显示屏、展示柜、书架、格栅等，抹净各处灯罩、金属框、花架，使其无积尘，每周彻底清除沙发、茶几等各处卫生死角。</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④ 抹净墙面的灰尘。垃圾不能满过筒身1/2。每日清倒垃圾两次，及时更换垃圾袋，及时处理垃圾筒上面的痰迹，使其外表干净、光亮、无满溢垃圾现象。走廊消防箱上方和内部无垃圾，无灰尘。</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⑤ 每日清扫拖净楼梯扶手、地面，保持无手印、污渍、灰尘。</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⑥ 及时打扫每栋楼的玻璃雨棚，保证雨棚玻璃上无垃圾，无污渍。 </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⑦ 及时打扫功能室，确保功能室走廊，楼梯过道无垃圾，无污渍，无水渍。</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 （3）洗手间</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① 拖洗所有卫生间地面，抹净洁具、门框、墙身，每天循环多次，保持无灰尘、无垃圾、无异味、无手脚印、无污渍等。</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② 洗手间隔板、纸盒每天擦抹一次，小便池、厕位、水池及时冲洗，每天用清洗液清洗一次。洁具每周用消毒剂消毒两次，整体卫生间全面消毒，每日一次。镜面、台面、洗手盆每天清洁数次，巡视发现污迹、水迹、积水、头发、手印、便迹、异味等及时清理。</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（4）广场</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① 每日清扫地面垃圾杂物，保持地面无垃圾杂物、无积水、无明显泥土。</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② 雨天增加清扫力度，发现泥土及时清扫。</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③ 用鸡毛掸清除蜘蛛网、各种管道上面的灰尘。</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④ 及时清倒垃圾，将垃圾运到指定地点。</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（5）会议室、接待室</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① 清理桌面上废纸垃圾。</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② 清扫地面、搬运废弃垃圾</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③ 擦拭排放会议桌、座椅、办公设备、茶几等家具</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④ 擦拭门窗、窗台、墙壁、照明设备、饰品等</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⑤ 清洗茶具</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2、文印服务要求：</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（1）负责学校试卷、文件等印刷工作；</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（2）具有一定的工作经验，使用电脑及打印机、复印机等。责任心强，工作细心认真。</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（3）工作期间服从学校管理，文明上班，举止端正，言语规范、认真负责，不得与师生发生冲突。</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（4）学生上课时间，工作人员应正常上班。上班期间服从学校管理，如学校有特殊要求，应随叫随到。寒暑假服从学校要求（包含安排其他工作）。</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3、其他要求：</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1、服务人员在班时间根据学校安排执行，如遇学校有活动或临时需要延长工作时间进行校务整理、物资分发等或增加值班人数（总人数不超过7人）时，物业公司应无条件增加，且无加班费；</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最终报价应含所有7人（卫生打扫及保洁员、文印员等）的所有费用（工资、社保、公积金、福利费等）、营业利润、各项税金（含开票税金）、工作服装费用、生活日用品费用、节假日及国家法定假日加班费用等一切费用；</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3、加强安全教育与管理，所有卫生打扫及保洁员、文印员等工作人员上下班途中的一切安全问题、值班过程中的一切安全问题都由物业公司承担，学校不承担任何经济或法律责任；</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4、所有卫生打扫及保洁员、文印员不享受学校教职工的任何福利待遇；</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5、免费提供厕所堵塞疏通、雨污水排水管网疏通清理及化粪池管道清理。</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6、中标单位委派1名项目负责人负责物业管理的协调组织工作，项目负责人</w:t>
      </w:r>
      <w:r>
        <w:rPr>
          <w:rFonts w:hint="eastAsia" w:ascii="宋体" w:hAnsi="宋体" w:eastAsia="宋体" w:cs="宋体"/>
          <w:color w:val="auto"/>
          <w:sz w:val="21"/>
          <w:szCs w:val="21"/>
          <w:highlight w:val="none"/>
          <w:lang w:val="en-US" w:eastAsia="zh-CN"/>
        </w:rPr>
        <w:t xml:space="preserve">可</w:t>
      </w:r>
      <w:r>
        <w:rPr>
          <w:rFonts w:hint="eastAsia" w:ascii="宋体" w:hAnsi="宋体" w:eastAsia="宋体" w:cs="宋体"/>
          <w:color w:val="auto"/>
          <w:sz w:val="21"/>
          <w:szCs w:val="21"/>
          <w:highlight w:val="none"/>
        </w:rPr>
        <w:t xml:space="preserve">由其他人员兼任，</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不另行</w:t>
      </w:r>
      <w:r>
        <w:rPr>
          <w:rFonts w:hint="eastAsia" w:ascii="宋体" w:hAnsi="宋体" w:eastAsia="宋体" w:cs="宋体"/>
          <w:color w:val="auto"/>
          <w:sz w:val="21"/>
          <w:szCs w:val="21"/>
          <w:highlight w:val="none"/>
          <w:lang w:eastAsia="zh-CN"/>
        </w:rPr>
        <w:t xml:space="preserve">支付</w:t>
      </w:r>
      <w:r>
        <w:rPr>
          <w:rFonts w:hint="eastAsia" w:ascii="宋体" w:hAnsi="宋体" w:eastAsia="宋体" w:cs="宋体"/>
          <w:color w:val="auto"/>
          <w:sz w:val="21"/>
          <w:szCs w:val="21"/>
          <w:highlight w:val="none"/>
        </w:rPr>
        <w:t xml:space="preserve">任何费用。</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7、学校安排的其他工作事宜。</w:t>
      </w:r>
      <w:r/>
    </w:p>
    <w:p>
      <w:pPr>
        <w:pStyle w:val="719"/>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合同期限一年。本合同终止或合同期满后，甲方选聘了新的服务企业的，乙方与新的服务企业之间应当做好交接工作，乙方应移交所有的服务管理档案资料和电子文档，经甲方或甲方委托的新的服务企业确认合格后方可退场。</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四、奖惩制度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服务人员如不服从采购人管理，工作达不到考核要求的，必须无条件调剂，直至达到要求。</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五、考核标准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（一）总体要求：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值班，保洁管理应从本次服务管理实际出发，根据合同约定的管理服务范围和标准，设立专门的管理机构，配备符合要求的各类服务人员，制定完整、有效的内部管理制度和日常服务运行管理制度等相关制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服务方应提供全天候的公共秩序维护服务和安全服务，必须保证设施、人员和财产的安全；对自然灾害、事故灾害、公共卫生事件和社会安全事件等突发公共事件建立应急预案，并组织培训、演练。有突发事件按规定程序及时采取相应措施。</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（二）考核办法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如发现不符合要求，按工作要求依次扣分，每条款每次扣一分，如多条款不到位，累计扣分。（按周期实施的条款，如未实施扣相应条款全部分值）</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说明：采购人成立考核小组，按季度进行考核，考核分在85-90分之间扣除履约保证金的5%，考核分在80-85分（不含85分）扣除履约保证金的10%，考核低于80分，采购人有权终止合同，由此造成的损失有乙方自行承担，服务费支付应付金额的70%。</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六、项目管理服务方案</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投标人应根据采购需求和本项目实际，制订相应的服务方案包括但不限于以下内容：</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1、符合政策法规的整体设想及策划：</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人应根据采购需求和本项目实际，提供本项目整体设想及策划，方案应包括但不限于：（1）本项目认识；（2）项目服务定位；（3)整体设想及策划等。要求方案细致完整、针对性强、措施有力，方案的贯彻应能满足本项目各项服务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2、具体的服务方案：</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投标人应根据采购需求和本项目实际，提供本项目具体的服务方案，方案应包括但不限于：（1）秩序维护方案（2）卫生保洁服务方案（3）文印服务方案</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3、组织机构设置、人员配备、培训与管理：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项目需求组织机构设置、人员配备、培训与管理方案。方案内容包括但不限于：（1）投标方应针对本项目实际运行组织机构设置，（2）人员配备（3)培训与管理。投标人需为保障服务有序开展设置培训内容，针对普通一线员工培训教程，制定培训计划(包含培训内容、培训时间等内容)。</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4、制度的建立：</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投标人应根据采购需求和本项目实际，提供本项目制度建立方案，方案应包括但不限于：（1）人员管理制度。（2）服务流程制度。（3）财务管理制度等内容。</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5、合同到期时交接方案：</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人应根据采购需求和本项目实际，制定合同到期时交接方案包括但不限于以下内容：（1）进场交接方案。（2）退场交接方案。要求方案细致完整、针对性强、措施有力，方案的贯彻应能满足本项目服务要求。</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七、其它</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本项目对承担过类似项目，具有相应经验的供应商优先，并予以加分。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本项目对综合实力强，取得与本项目有关的质量管理体系、环境管理体系、职业健康管理体系认证证书的供应商优先，并给予加分。</w:t>
      </w:r>
      <w:r/>
    </w:p>
    <w:p>
      <w:pPr>
        <w:ind w:firstLine="420"/>
        <w:spacing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本项目鼓励供应商在项目组成员中投入本科学历的人员予以加分</w:t>
      </w:r>
      <w:r>
        <w:rPr>
          <w:rFonts w:hint="eastAsia" w:ascii="宋体" w:hAnsi="宋体" w:cs="宋体"/>
          <w:szCs w:val="21"/>
          <w:highlight w:val="none"/>
          <w:lang w:eastAsia="zh-CN"/>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、本次服务人员上、下班时的安全责任均由成交供应商承担，综合考虑至报价内，如发生安全责任事故，采购人不承担任何责任。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、本次服务中标供应商，需定期对人员进行消防操作的相关培训，并满足按采购人要求。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、本次服务服务合同终止时，成交供应商应当将相关用房和所有资料、档案完整的移交给采购人。</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、本次服务服务合同终止时，采购人选聘了新的服务企业的，服务企业之间应当做好交接工作。</w:t>
      </w:r>
      <w:r/>
    </w:p>
    <w:p>
      <w:pPr>
        <w:ind w:firstLine="420"/>
        <w:spacing w:line="400" w:lineRule="exact"/>
        <w:rPr>
          <w:rFonts w:hint="eastAsia" w:ascii="宋体" w:hAnsi="宋体" w:cs="宋体"/>
          <w:b/>
          <w:bCs/>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、服务方未经采购人同意不得将保洁管理区域内的服务项目转包给另一方。</w:t>
      </w:r>
      <w:r/>
    </w:p>
    <w:p>
      <w:pPr>
        <w:ind w:firstLine="422"/>
        <w:spacing w:line="400" w:lineRule="exact"/>
        <w:rPr>
          <w:rFonts w:hint="eastAsia" w:ascii="宋体" w:hAnsi="宋体" w:cs="宋体"/>
          <w:szCs w:val="21"/>
          <w:highlight w:val="none"/>
        </w:rPr>
      </w:pPr>
      <w:r>
        <w:rPr>
          <w:rFonts w:hint="eastAsia" w:ascii="宋体" w:hAnsi="宋体" w:cs="宋体"/>
          <w:b/>
          <w:bCs/>
          <w:szCs w:val="21"/>
          <w:highlight w:val="none"/>
        </w:rPr>
        <w:t xml:space="preserve">八、采购标的对应的中小企业划分标准所属行业一览表</w:t>
      </w:r>
      <w:r/>
    </w:p>
    <w:tbl>
      <w:tblPr>
        <w:tblStyle w:val="692"/>
        <w:tblW w:w="859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3209"/>
        <w:gridCol w:w="4623"/>
      </w:tblGrid>
      <w:tr>
        <w:trPr>
          <w:jc w:val="center"/>
          <w:trHeight w:val="2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spacing w:line="40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tcPr>
          <w:p>
            <w:pPr>
              <w:ind w:firstLine="420"/>
              <w:spacing w:line="40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3" w:type="dxa"/>
            <w:vAlign w:val="center"/>
            <w:textDirection w:val="lrTb"/>
            <w:noWrap/>
          </w:tcPr>
          <w:p>
            <w:pPr>
              <w:ind w:firstLine="420"/>
              <w:spacing w:line="40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对应中小企业划分标准所属行业</w:t>
            </w:r>
            <w:r/>
          </w:p>
        </w:tc>
      </w:tr>
      <w:tr>
        <w:trPr>
          <w:jc w:val="center"/>
          <w:trHeight w:val="2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jc w:val="center"/>
              <w:spacing w:line="40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tcPr>
          <w:p>
            <w:pPr>
              <w:ind w:firstLine="420"/>
              <w:spacing w:line="40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物业服务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3" w:type="dxa"/>
            <w:vAlign w:val="center"/>
            <w:textDirection w:val="lrTb"/>
            <w:noWrap/>
          </w:tcPr>
          <w:p>
            <w:pPr>
              <w:ind w:firstLine="420"/>
              <w:spacing w:line="40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物业管理</w:t>
            </w:r>
            <w:r/>
          </w:p>
        </w:tc>
      </w:tr>
    </w:tbl>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hint="eastAsia" w:ascii="Times New Roman" w:hAnsi="Times New Roman" w:cs="Times New Roman"/>
          <w:b w:val="0"/>
          <w:bCs/>
          <w:color w:val="auto"/>
          <w:highlight w:val="none"/>
        </w:rPr>
      </w:pPr>
      <w:r>
        <w:rPr>
          <w:rFonts w:hint="eastAsia" w:ascii="Times New Roman" w:hAnsi="Times New Roman" w:cs="Times New Roman"/>
          <w:b w:val="0"/>
          <w:bCs/>
          <w:color w:val="auto"/>
          <w:highlight w:val="none"/>
        </w:rPr>
      </w:r>
      <w:r/>
    </w:p>
    <w:p>
      <w:pPr>
        <w:pStyle w:val="826"/>
        <w:ind w:firstLine="0"/>
        <w:spacing w:line="240" w:lineRule="auto"/>
        <w:rPr>
          <w:rFonts w:ascii="Times New Roman" w:hAnsi="Times New Roman" w:cs="Times New Roman"/>
          <w:b w:val="0"/>
          <w:color w:val="auto"/>
          <w:highlight w:val="none"/>
        </w:rPr>
      </w:pPr>
      <w:r>
        <w:rPr>
          <w:rFonts w:hint="eastAsia" w:ascii="Times New Roman" w:hAnsi="Times New Roman" w:cs="Times New Roman"/>
          <w:b w:val="0"/>
          <w:bCs/>
          <w:color w:val="auto"/>
          <w:highlight w:val="none"/>
        </w:rPr>
        <w:t xml:space="preserve">第五章</w:t>
      </w:r>
      <w:r>
        <w:rPr>
          <w:rFonts w:ascii="Times New Roman" w:hAnsi="Times New Roman" w:cs="Times New Roman"/>
          <w:b w:val="0"/>
          <w:bCs/>
          <w:color w:val="auto"/>
          <w:highlight w:val="none"/>
        </w:rPr>
        <w:t xml:space="preserve"> 评标方法与评标标准</w:t>
      </w:r>
      <w:r/>
    </w:p>
    <w:p>
      <w:pPr>
        <w:ind w:firstLine="422"/>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一、定标原则</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本项目采用</w:t>
      </w:r>
      <w:r>
        <w:rPr>
          <w:rFonts w:hint="eastAsia" w:ascii="宋体" w:hAnsi="宋体" w:cs="宋体"/>
          <w:szCs w:val="21"/>
          <w:highlight w:val="none"/>
          <w:u w:val="single"/>
        </w:rPr>
        <w:t xml:space="preserve">综合评分</w:t>
      </w:r>
      <w:r>
        <w:rPr>
          <w:rFonts w:hint="eastAsia" w:ascii="宋体" w:hAnsi="宋体" w:cs="宋体"/>
          <w:szCs w:val="21"/>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政府采购政策功能落实</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1、小微型企业价格扣除</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（1）本项目为专门面向中小企业采购，不再对小型和微型企业报价给予价格扣除。</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（2）供应商需按照采购文件的要求提供相应的《中小企业声明函》。</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（3）企业标准请参照《关于印发中小企业划型标准规定的通知》（工信部联企业[2011]300号）文件规定自行填写。</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2、残疾人福利单位价格扣除</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（1）本项目对残疾人福利性单位视同小型、微型企业。</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（2）残疾人福利单位需按照采购文件的要求提供《残疾人福利性单位声明函》。</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（3）残疾人福利单位标准请参照《关于促进残疾人就业政府采购政策的通知》（财库〔2017〕141号）。</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3、监狱和戒毒企业价格扣除</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（1）本项目对监狱和戒毒企业（简称监狱企业）视同小型、微型企业。</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（3）监狱企业标准请参照《关于政府采购支持监狱企业发展有关问题的通知》（财库[2014]68号）。</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4、残疾人福利单位、监狱企业属于小型、微型企业的，不重复享受政策。</w:t>
      </w:r>
      <w:r/>
    </w:p>
    <w:p>
      <w:pPr>
        <w:ind w:firstLine="200"/>
        <w:jc w:val="left"/>
        <w:spacing w:line="400" w:lineRule="exact"/>
        <w:rPr>
          <w:rFonts w:hint="eastAsia" w:ascii="宋体" w:hAnsi="宋体" w:cs="宋体"/>
          <w:szCs w:val="21"/>
          <w:highlight w:val="none"/>
        </w:rPr>
      </w:pPr>
      <w:r>
        <w:rPr>
          <w:rFonts w:hint="eastAsia" w:ascii="宋体" w:hAnsi="宋体" w:cs="宋体"/>
          <w:b/>
          <w:szCs w:val="21"/>
          <w:highlight w:val="none"/>
        </w:rPr>
        <w:t xml:space="preserve">二、评标方法与评标标准</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本项目评分总分值为100分。</w:t>
      </w:r>
      <w:r/>
    </w:p>
    <w:tbl>
      <w:tblPr>
        <w:tblStyle w:val="692"/>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7"/>
        <w:gridCol w:w="863"/>
        <w:gridCol w:w="1117"/>
        <w:gridCol w:w="630"/>
        <w:gridCol w:w="6099"/>
      </w:tblGrid>
      <w:tr>
        <w:trPr>
          <w:jc w:val="center"/>
          <w:trHeight w:val="485"/>
        </w:trPr>
        <w:tc>
          <w:tcPr>
            <w:shd w:val="clear" w:color="auto" w:fill="ffffff"/>
            <w:tcMar>
              <w:left w:w="108" w:type="dxa"/>
              <w:top w:w="0" w:type="dxa"/>
              <w:right w:w="108" w:type="dxa"/>
              <w:bottom w:w="0" w:type="dxa"/>
            </w:tcMar>
            <w:tcW w:w="717" w:type="dxa"/>
            <w:vAlign w:val="center"/>
            <w:textDirection w:val="lrTb"/>
            <w:noWrap w:val="false"/>
          </w:tcPr>
          <w:p>
            <w:pPr>
              <w:jc w:val="center"/>
              <w:spacing w:before="120" w:after="120" w:line="0" w:lineRule="atLeast"/>
              <w:rPr>
                <w:rFonts w:hint="eastAsia" w:ascii="宋体" w:hAnsi="宋体" w:cs="宋体"/>
                <w:b/>
                <w:szCs w:val="21"/>
                <w:highlight w:val="none"/>
              </w:rPr>
            </w:pPr>
            <w:r>
              <w:rPr>
                <w:rFonts w:hint="eastAsia" w:ascii="宋体" w:hAnsi="宋体" w:cs="宋体"/>
                <w:b/>
                <w:szCs w:val="21"/>
                <w:highlight w:val="none"/>
              </w:rPr>
              <w:t xml:space="preserve">序号</w:t>
            </w:r>
            <w:r/>
          </w:p>
        </w:tc>
        <w:tc>
          <w:tcPr>
            <w:shd w:val="clear" w:color="auto" w:fill="ffffff"/>
            <w:tcW w:w="863" w:type="dxa"/>
            <w:vAlign w:val="center"/>
            <w:textDirection w:val="lrTb"/>
            <w:noWrap w:val="false"/>
          </w:tcPr>
          <w:p>
            <w:pPr>
              <w:jc w:val="center"/>
              <w:spacing w:before="120" w:after="120" w:line="0" w:lineRule="atLeast"/>
              <w:rPr>
                <w:rFonts w:hint="eastAsia" w:ascii="宋体" w:hAnsi="宋体" w:cs="宋体"/>
                <w:b/>
                <w:szCs w:val="21"/>
                <w:highlight w:val="none"/>
              </w:rPr>
            </w:pPr>
            <w:r>
              <w:rPr>
                <w:rFonts w:hint="eastAsia" w:ascii="宋体" w:hAnsi="宋体" w:cs="宋体"/>
                <w:b/>
                <w:szCs w:val="21"/>
                <w:highlight w:val="none"/>
              </w:rPr>
              <w:t xml:space="preserve">评分项</w:t>
            </w:r>
            <w:r/>
          </w:p>
        </w:tc>
        <w:tc>
          <w:tcPr>
            <w:shd w:val="clear" w:color="auto" w:fill="ffffff"/>
            <w:tcMar>
              <w:left w:w="108" w:type="dxa"/>
              <w:top w:w="0" w:type="dxa"/>
              <w:right w:w="108" w:type="dxa"/>
              <w:bottom w:w="0" w:type="dxa"/>
            </w:tcMar>
            <w:tcW w:w="1117" w:type="dxa"/>
            <w:vAlign w:val="center"/>
            <w:textDirection w:val="lrTb"/>
            <w:noWrap w:val="false"/>
          </w:tcPr>
          <w:p>
            <w:pPr>
              <w:jc w:val="center"/>
              <w:spacing w:before="120" w:after="120" w:line="0" w:lineRule="atLeast"/>
              <w:rPr>
                <w:rFonts w:hint="eastAsia" w:ascii="宋体" w:hAnsi="宋体" w:cs="宋体"/>
                <w:b/>
                <w:szCs w:val="21"/>
                <w:highlight w:val="none"/>
              </w:rPr>
            </w:pPr>
            <w:r>
              <w:rPr>
                <w:rFonts w:hint="eastAsia" w:ascii="宋体" w:hAnsi="宋体" w:cs="宋体"/>
                <w:b/>
                <w:szCs w:val="21"/>
                <w:highlight w:val="none"/>
              </w:rPr>
              <w:t xml:space="preserve">评分因素</w:t>
            </w:r>
            <w:r/>
          </w:p>
        </w:tc>
        <w:tc>
          <w:tcPr>
            <w:shd w:val="clear" w:color="auto" w:fill="ffffff"/>
            <w:tcW w:w="630" w:type="dxa"/>
            <w:vAlign w:val="center"/>
            <w:textDirection w:val="lrTb"/>
            <w:noWrap w:val="false"/>
          </w:tcPr>
          <w:p>
            <w:pPr>
              <w:jc w:val="center"/>
              <w:spacing w:before="120" w:after="120" w:line="0" w:lineRule="atLeast"/>
              <w:rPr>
                <w:rFonts w:hint="eastAsia" w:ascii="宋体" w:hAnsi="宋体" w:cs="宋体"/>
                <w:b/>
                <w:szCs w:val="21"/>
                <w:highlight w:val="none"/>
              </w:rPr>
            </w:pPr>
            <w:r>
              <w:rPr>
                <w:rFonts w:hint="eastAsia" w:ascii="宋体" w:hAnsi="宋体" w:cs="宋体"/>
                <w:b/>
                <w:szCs w:val="21"/>
                <w:highlight w:val="none"/>
              </w:rPr>
              <w:t xml:space="preserve">分值</w:t>
            </w:r>
            <w:r/>
          </w:p>
        </w:tc>
        <w:tc>
          <w:tcPr>
            <w:shd w:val="clear" w:color="auto" w:fill="ffffff"/>
            <w:tcMar>
              <w:left w:w="108" w:type="dxa"/>
              <w:top w:w="0" w:type="dxa"/>
              <w:right w:w="108" w:type="dxa"/>
              <w:bottom w:w="0" w:type="dxa"/>
            </w:tcMar>
            <w:tcW w:w="6099" w:type="dxa"/>
            <w:vAlign w:val="center"/>
            <w:textDirection w:val="lrTb"/>
            <w:noWrap w:val="false"/>
          </w:tcPr>
          <w:p>
            <w:pPr>
              <w:jc w:val="center"/>
              <w:spacing w:before="120" w:after="120" w:line="0" w:lineRule="atLeast"/>
              <w:rPr>
                <w:rFonts w:hint="eastAsia" w:ascii="宋体" w:hAnsi="宋体" w:cs="宋体"/>
                <w:b/>
                <w:szCs w:val="21"/>
                <w:highlight w:val="none"/>
              </w:rPr>
            </w:pPr>
            <w:r>
              <w:rPr>
                <w:rFonts w:hint="eastAsia" w:ascii="宋体" w:hAnsi="宋体" w:cs="宋体"/>
                <w:b/>
                <w:szCs w:val="21"/>
                <w:highlight w:val="none"/>
              </w:rPr>
              <w:t xml:space="preserve">评分准则</w:t>
            </w:r>
            <w:r/>
          </w:p>
        </w:tc>
      </w:tr>
      <w:tr>
        <w:trPr>
          <w:jc w:val="center"/>
          <w:trHeight w:val="1136"/>
        </w:trPr>
        <w:tc>
          <w:tcPr>
            <w:shd w:val="clear" w:color="auto" w:fill="ffffff"/>
            <w:tcMar>
              <w:left w:w="108" w:type="dxa"/>
              <w:top w:w="0" w:type="dxa"/>
              <w:right w:w="108" w:type="dxa"/>
              <w:bottom w:w="0" w:type="dxa"/>
            </w:tcMar>
            <w:tcW w:w="717"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一</w:t>
            </w:r>
            <w:r/>
          </w:p>
        </w:tc>
        <w:tc>
          <w:tcPr>
            <w:shd w:val="clear" w:color="auto" w:fill="ffffff"/>
            <w:tcW w:w="863"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报价</w:t>
            </w:r>
            <w:r/>
          </w:p>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（50分）</w:t>
            </w:r>
            <w:r/>
          </w:p>
        </w:tc>
        <w:tc>
          <w:tcPr>
            <w:shd w:val="clear" w:color="auto" w:fill="ffffff"/>
            <w:tcMar>
              <w:left w:w="108" w:type="dxa"/>
              <w:top w:w="0" w:type="dxa"/>
              <w:right w:w="108" w:type="dxa"/>
              <w:bottom w:w="0" w:type="dxa"/>
            </w:tcMar>
            <w:tcW w:w="1117"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投标报价</w:t>
            </w:r>
            <w:r/>
          </w:p>
        </w:tc>
        <w:tc>
          <w:tcPr>
            <w:shd w:val="clear" w:color="auto" w:fill="ffffff"/>
            <w:tcW w:w="630"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50分</w:t>
            </w:r>
            <w:r/>
          </w:p>
        </w:tc>
        <w:tc>
          <w:tcPr>
            <w:shd w:val="clear" w:color="auto" w:fill="ffffff"/>
            <w:tcMar>
              <w:left w:w="108" w:type="dxa"/>
              <w:top w:w="0" w:type="dxa"/>
              <w:right w:w="108" w:type="dxa"/>
              <w:bottom w:w="0" w:type="dxa"/>
            </w:tcMar>
            <w:tcW w:w="6099" w:type="dxa"/>
            <w:textDirection w:val="lrTb"/>
            <w:noWrap w:val="false"/>
          </w:tcPr>
          <w:p>
            <w:pPr>
              <w:jc w:val="left"/>
              <w:spacing w:line="340" w:lineRule="exact"/>
              <w:rPr>
                <w:rFonts w:hint="eastAsia" w:ascii="宋体" w:hAnsi="宋体" w:cs="仿宋"/>
                <w:szCs w:val="21"/>
                <w:highlight w:val="none"/>
              </w:rPr>
            </w:pPr>
            <w:r>
              <w:rPr>
                <w:rFonts w:hint="eastAsia" w:ascii="宋体" w:hAnsi="宋体"/>
                <w:szCs w:val="21"/>
                <w:highlight w:val="none"/>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r>
      <w:tr>
        <w:trPr>
          <w:jc w:val="center"/>
          <w:trHeight w:val="694"/>
        </w:trPr>
        <w:tc>
          <w:tcPr>
            <w:shd w:val="clear" w:color="auto" w:fill="ffffff"/>
            <w:tcMar>
              <w:left w:w="108" w:type="dxa"/>
              <w:top w:w="0" w:type="dxa"/>
              <w:right w:w="108" w:type="dxa"/>
              <w:bottom w:w="0" w:type="dxa"/>
            </w:tcMar>
            <w:tcW w:w="717" w:type="dxa"/>
            <w:vAlign w:val="center"/>
            <w:vMerge w:val="restart"/>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二</w:t>
            </w:r>
            <w:r/>
          </w:p>
        </w:tc>
        <w:tc>
          <w:tcPr>
            <w:shd w:val="clear" w:color="auto" w:fill="ffffff"/>
            <w:tcW w:w="863" w:type="dxa"/>
            <w:vAlign w:val="center"/>
            <w:vMerge w:val="restart"/>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服务方案（35分）</w:t>
            </w:r>
            <w:r/>
          </w:p>
        </w:tc>
        <w:tc>
          <w:tcPr>
            <w:shd w:val="clear" w:color="auto" w:fill="ffffff"/>
            <w:tcMar>
              <w:left w:w="108" w:type="dxa"/>
              <w:top w:w="0" w:type="dxa"/>
              <w:right w:w="108" w:type="dxa"/>
              <w:bottom w:w="0" w:type="dxa"/>
            </w:tcMar>
            <w:tcW w:w="1117"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符合政策法规的整体设想及策划</w:t>
            </w:r>
            <w:r/>
          </w:p>
        </w:tc>
        <w:tc>
          <w:tcPr>
            <w:shd w:val="clear" w:color="auto" w:fill="ffffff"/>
            <w:tcW w:w="630"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7分</w:t>
            </w:r>
            <w:r/>
          </w:p>
        </w:tc>
        <w:tc>
          <w:tcPr>
            <w:shd w:val="clear" w:color="auto" w:fill="ffffff"/>
            <w:tcMar>
              <w:left w:w="108" w:type="dxa"/>
              <w:top w:w="0" w:type="dxa"/>
              <w:right w:w="108" w:type="dxa"/>
              <w:bottom w:w="0" w:type="dxa"/>
            </w:tcMar>
            <w:tcW w:w="6099" w:type="dxa"/>
            <w:vAlign w:val="center"/>
            <w:textDirection w:val="lrTb"/>
            <w:noWrap w:val="false"/>
          </w:tcPr>
          <w:p>
            <w:pPr>
              <w:jc w:val="left"/>
              <w:spacing w:line="340" w:lineRule="exact"/>
              <w:rPr>
                <w:rFonts w:hint="eastAsia" w:ascii="宋体" w:hAnsi="宋体" w:cs="宋体"/>
                <w:szCs w:val="21"/>
                <w:highlight w:val="none"/>
              </w:rPr>
            </w:pPr>
            <w:r>
              <w:rPr>
                <w:rFonts w:hint="eastAsia" w:ascii="宋体" w:hAnsi="宋体" w:cs="宋体"/>
                <w:szCs w:val="21"/>
                <w:highlight w:val="none"/>
              </w:rPr>
              <w:t xml:space="preserve">评标委员会根据投标人对本项目的认识、服务定位、管理理念及整体设想的合理性、科学性、创造性及可操作性等进行评审，优于项目需求得7分，满足项目需求得6分，</w:t>
            </w:r>
            <w:r>
              <w:rPr>
                <w:rFonts w:hint="eastAsia" w:ascii="宋体" w:hAnsi="宋体" w:cs="宋体"/>
                <w:szCs w:val="21"/>
                <w:highlight w:val="none"/>
                <w:lang w:eastAsia="zh-CN"/>
              </w:rPr>
              <w:t xml:space="preserve">部分满足</w:t>
            </w:r>
            <w:r>
              <w:rPr>
                <w:rFonts w:hint="eastAsia" w:ascii="宋体" w:hAnsi="宋体" w:cs="宋体"/>
                <w:szCs w:val="21"/>
                <w:highlight w:val="none"/>
              </w:rPr>
              <w:t xml:space="preserve">或方案有</w:t>
            </w:r>
            <w:r>
              <w:rPr>
                <w:rFonts w:hint="eastAsia" w:ascii="宋体" w:hAnsi="宋体" w:cs="宋体"/>
                <w:highlight w:val="none"/>
                <w:lang w:eastAsia="zh-CN"/>
              </w:rPr>
              <w:t xml:space="preserve">缺项</w:t>
            </w:r>
            <w:r>
              <w:rPr>
                <w:rFonts w:hint="eastAsia" w:ascii="宋体" w:hAnsi="宋体" w:cs="宋体"/>
                <w:szCs w:val="21"/>
                <w:highlight w:val="none"/>
              </w:rPr>
              <w:t xml:space="preserve">的得5分，未提供得0分。</w:t>
            </w:r>
            <w:r/>
          </w:p>
        </w:tc>
      </w:tr>
      <w:tr>
        <w:trPr>
          <w:jc w:val="center"/>
          <w:trHeight w:val="1036"/>
        </w:trPr>
        <w:tc>
          <w:tcPr>
            <w:shd w:val="clear" w:color="auto" w:fill="ffffff"/>
            <w:tcMar>
              <w:left w:w="108" w:type="dxa"/>
              <w:top w:w="0" w:type="dxa"/>
              <w:right w:w="108" w:type="dxa"/>
              <w:bottom w:w="0" w:type="dxa"/>
            </w:tcMar>
            <w:tcW w:w="717"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W w:w="863"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Mar>
              <w:left w:w="108" w:type="dxa"/>
              <w:top w:w="0" w:type="dxa"/>
              <w:right w:w="108" w:type="dxa"/>
              <w:bottom w:w="0" w:type="dxa"/>
            </w:tcMar>
            <w:tcW w:w="1117"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具体的服务方案</w:t>
            </w:r>
            <w:r/>
          </w:p>
        </w:tc>
        <w:tc>
          <w:tcPr>
            <w:shd w:val="clear" w:color="auto" w:fill="ffffff"/>
            <w:tcW w:w="630"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7分</w:t>
            </w:r>
            <w:r/>
          </w:p>
        </w:tc>
        <w:tc>
          <w:tcPr>
            <w:shd w:val="clear" w:color="auto" w:fill="ffffff"/>
            <w:tcMar>
              <w:left w:w="108" w:type="dxa"/>
              <w:top w:w="0" w:type="dxa"/>
              <w:right w:w="108" w:type="dxa"/>
              <w:bottom w:w="0" w:type="dxa"/>
            </w:tcMar>
            <w:tcW w:w="6099" w:type="dxa"/>
            <w:vAlign w:val="center"/>
            <w:textDirection w:val="lrTb"/>
            <w:noWrap w:val="false"/>
          </w:tcPr>
          <w:p>
            <w:pPr>
              <w:jc w:val="left"/>
              <w:spacing w:line="340" w:lineRule="exact"/>
              <w:rPr>
                <w:rFonts w:hint="eastAsia" w:ascii="宋体" w:hAnsi="宋体" w:cs="宋体"/>
                <w:szCs w:val="21"/>
                <w:highlight w:val="none"/>
              </w:rPr>
            </w:pPr>
            <w:r>
              <w:rPr>
                <w:rFonts w:hint="eastAsia" w:ascii="宋体" w:hAnsi="宋体" w:cs="宋体"/>
                <w:szCs w:val="21"/>
                <w:highlight w:val="none"/>
              </w:rPr>
              <w:t xml:space="preserve">评委根据投标人有关秩序维护、卫生保洁等方面阐述的合理性、科学性、创造性及可操作性等进行评审，优于项目需求得7分，满足项目需求得6分，</w:t>
            </w:r>
            <w:r>
              <w:rPr>
                <w:rFonts w:hint="eastAsia" w:ascii="宋体" w:hAnsi="宋体" w:cs="宋体"/>
                <w:szCs w:val="21"/>
                <w:highlight w:val="none"/>
                <w:lang w:eastAsia="zh-CN"/>
              </w:rPr>
              <w:t xml:space="preserve">部分满足</w:t>
            </w:r>
            <w:r>
              <w:rPr>
                <w:rFonts w:hint="eastAsia" w:ascii="宋体" w:hAnsi="宋体" w:cs="宋体"/>
                <w:szCs w:val="21"/>
                <w:highlight w:val="none"/>
              </w:rPr>
              <w:t xml:space="preserve">或方案有</w:t>
            </w:r>
            <w:r>
              <w:rPr>
                <w:rFonts w:hint="eastAsia" w:ascii="宋体" w:hAnsi="宋体" w:cs="宋体"/>
                <w:highlight w:val="none"/>
                <w:lang w:eastAsia="zh-CN"/>
              </w:rPr>
              <w:t xml:space="preserve">缺项</w:t>
            </w:r>
            <w:r>
              <w:rPr>
                <w:rFonts w:hint="eastAsia" w:ascii="宋体" w:hAnsi="宋体" w:cs="宋体"/>
                <w:szCs w:val="21"/>
                <w:highlight w:val="none"/>
              </w:rPr>
              <w:t xml:space="preserve">的得5分，未提供得0分。</w:t>
            </w:r>
            <w:r/>
          </w:p>
        </w:tc>
      </w:tr>
      <w:tr>
        <w:trPr>
          <w:jc w:val="center"/>
          <w:trHeight w:val="1325"/>
        </w:trPr>
        <w:tc>
          <w:tcPr>
            <w:shd w:val="clear" w:color="auto" w:fill="ffffff"/>
            <w:tcMar>
              <w:left w:w="108" w:type="dxa"/>
              <w:top w:w="0" w:type="dxa"/>
              <w:right w:w="108" w:type="dxa"/>
              <w:bottom w:w="0" w:type="dxa"/>
            </w:tcMar>
            <w:tcW w:w="717"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W w:w="863"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Mar>
              <w:left w:w="108" w:type="dxa"/>
              <w:top w:w="0" w:type="dxa"/>
              <w:right w:w="108" w:type="dxa"/>
              <w:bottom w:w="0" w:type="dxa"/>
            </w:tcMar>
            <w:tcW w:w="1117"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组织机构设置、人员配备、培训与管理</w:t>
            </w:r>
            <w:r/>
          </w:p>
        </w:tc>
        <w:tc>
          <w:tcPr>
            <w:shd w:val="clear" w:color="auto" w:fill="ffffff"/>
            <w:tcW w:w="630"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7分</w:t>
            </w:r>
            <w:r/>
          </w:p>
        </w:tc>
        <w:tc>
          <w:tcPr>
            <w:shd w:val="clear" w:color="auto" w:fill="ffffff"/>
            <w:tcMar>
              <w:left w:w="108" w:type="dxa"/>
              <w:top w:w="0" w:type="dxa"/>
              <w:right w:w="108" w:type="dxa"/>
              <w:bottom w:w="0" w:type="dxa"/>
            </w:tcMar>
            <w:tcW w:w="6099" w:type="dxa"/>
            <w:vAlign w:val="center"/>
            <w:textDirection w:val="lrTb"/>
            <w:noWrap w:val="false"/>
          </w:tcPr>
          <w:p>
            <w:pPr>
              <w:jc w:val="left"/>
              <w:spacing w:line="340" w:lineRule="exact"/>
              <w:rPr>
                <w:rFonts w:hint="eastAsia" w:ascii="宋体" w:hAnsi="宋体" w:cs="宋体"/>
                <w:szCs w:val="21"/>
                <w:highlight w:val="none"/>
              </w:rPr>
            </w:pPr>
            <w:r>
              <w:rPr>
                <w:rFonts w:hint="eastAsia" w:ascii="宋体" w:hAnsi="宋体" w:cs="宋体"/>
                <w:szCs w:val="21"/>
                <w:highlight w:val="none"/>
              </w:rPr>
              <w:t xml:space="preserve">评标委员会根据投标人针对本项目中组织机构设置、人员配备、培训与管理方面陈述内容的合理性、科学性、创造性及可操作性等进行评审，优于项目需求得7分，满足项目需求得6分，</w:t>
            </w:r>
            <w:r>
              <w:rPr>
                <w:rFonts w:hint="eastAsia" w:ascii="宋体" w:hAnsi="宋体" w:cs="宋体"/>
                <w:szCs w:val="21"/>
                <w:highlight w:val="none"/>
                <w:lang w:eastAsia="zh-CN"/>
              </w:rPr>
              <w:t xml:space="preserve">部分满足</w:t>
            </w:r>
            <w:r>
              <w:rPr>
                <w:rFonts w:hint="eastAsia" w:ascii="宋体" w:hAnsi="宋体" w:cs="宋体"/>
                <w:szCs w:val="21"/>
                <w:highlight w:val="none"/>
              </w:rPr>
              <w:t xml:space="preserve">或方案有</w:t>
            </w:r>
            <w:r>
              <w:rPr>
                <w:rFonts w:hint="eastAsia" w:ascii="宋体" w:hAnsi="宋体" w:cs="宋体"/>
                <w:highlight w:val="none"/>
                <w:lang w:eastAsia="zh-CN"/>
              </w:rPr>
              <w:t xml:space="preserve">缺项</w:t>
            </w:r>
            <w:r>
              <w:rPr>
                <w:rFonts w:hint="eastAsia" w:ascii="宋体" w:hAnsi="宋体" w:cs="宋体"/>
                <w:szCs w:val="21"/>
                <w:highlight w:val="none"/>
              </w:rPr>
              <w:t xml:space="preserve">的得5分，未提供得0分。</w:t>
            </w:r>
            <w:r/>
          </w:p>
        </w:tc>
      </w:tr>
      <w:tr>
        <w:trPr>
          <w:jc w:val="center"/>
          <w:trHeight w:val="1145"/>
        </w:trPr>
        <w:tc>
          <w:tcPr>
            <w:shd w:val="clear" w:color="auto" w:fill="ffffff"/>
            <w:tcMar>
              <w:left w:w="108" w:type="dxa"/>
              <w:top w:w="0" w:type="dxa"/>
              <w:right w:w="108" w:type="dxa"/>
              <w:bottom w:w="0" w:type="dxa"/>
            </w:tcMar>
            <w:tcW w:w="717"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W w:w="863"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Mar>
              <w:left w:w="108" w:type="dxa"/>
              <w:top w:w="0" w:type="dxa"/>
              <w:right w:w="108" w:type="dxa"/>
              <w:bottom w:w="0" w:type="dxa"/>
            </w:tcMar>
            <w:tcW w:w="1117"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制度的建立</w:t>
            </w:r>
            <w:r/>
          </w:p>
        </w:tc>
        <w:tc>
          <w:tcPr>
            <w:shd w:val="clear" w:color="auto" w:fill="ffffff"/>
            <w:tcW w:w="630"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7分</w:t>
            </w:r>
            <w:r/>
          </w:p>
        </w:tc>
        <w:tc>
          <w:tcPr>
            <w:shd w:val="clear" w:color="auto" w:fill="ffffff"/>
            <w:tcMar>
              <w:left w:w="108" w:type="dxa"/>
              <w:top w:w="0" w:type="dxa"/>
              <w:right w:w="108" w:type="dxa"/>
              <w:bottom w:w="0" w:type="dxa"/>
            </w:tcMar>
            <w:tcW w:w="6099" w:type="dxa"/>
            <w:vAlign w:val="center"/>
            <w:textDirection w:val="lrTb"/>
            <w:noWrap w:val="false"/>
          </w:tcPr>
          <w:p>
            <w:pPr>
              <w:jc w:val="left"/>
              <w:spacing w:line="340" w:lineRule="exact"/>
              <w:rPr>
                <w:rFonts w:hint="eastAsia" w:ascii="宋体" w:hAnsi="宋体" w:cs="宋体"/>
                <w:szCs w:val="21"/>
                <w:highlight w:val="none"/>
              </w:rPr>
            </w:pPr>
            <w:r>
              <w:rPr>
                <w:rFonts w:hint="eastAsia" w:ascii="宋体" w:hAnsi="宋体" w:cs="宋体"/>
                <w:szCs w:val="21"/>
                <w:highlight w:val="none"/>
              </w:rPr>
              <w:t xml:space="preserve">评标委员会根据投标人针对本项目中岗位工作职责、日常管理措施、管理规章制度的建立方面陈述内容的合理性、科学性、创造性及可操作性等进行评审，优于项目需求得7分，满足项目需求得6分，</w:t>
            </w:r>
            <w:r>
              <w:rPr>
                <w:rFonts w:hint="eastAsia" w:ascii="宋体" w:hAnsi="宋体" w:cs="宋体"/>
                <w:szCs w:val="21"/>
                <w:highlight w:val="none"/>
                <w:lang w:eastAsia="zh-CN"/>
              </w:rPr>
              <w:t xml:space="preserve">部分满足</w:t>
            </w:r>
            <w:r>
              <w:rPr>
                <w:rFonts w:hint="eastAsia" w:ascii="宋体" w:hAnsi="宋体" w:cs="宋体"/>
                <w:szCs w:val="21"/>
                <w:highlight w:val="none"/>
              </w:rPr>
              <w:t xml:space="preserve">或方案有</w:t>
            </w:r>
            <w:r>
              <w:rPr>
                <w:rFonts w:hint="eastAsia" w:ascii="宋体" w:hAnsi="宋体" w:cs="宋体"/>
                <w:highlight w:val="none"/>
                <w:lang w:eastAsia="zh-CN"/>
              </w:rPr>
              <w:t xml:space="preserve">缺项</w:t>
            </w:r>
            <w:r>
              <w:rPr>
                <w:rFonts w:hint="eastAsia" w:ascii="宋体" w:hAnsi="宋体" w:cs="宋体"/>
                <w:szCs w:val="21"/>
                <w:highlight w:val="none"/>
              </w:rPr>
              <w:t xml:space="preserve">的得5分，未提供得0分。</w:t>
            </w:r>
            <w:r/>
          </w:p>
        </w:tc>
      </w:tr>
      <w:tr>
        <w:trPr>
          <w:jc w:val="center"/>
          <w:trHeight w:val="1145"/>
        </w:trPr>
        <w:tc>
          <w:tcPr>
            <w:shd w:val="clear" w:color="auto" w:fill="ffffff"/>
            <w:tcMar>
              <w:left w:w="108" w:type="dxa"/>
              <w:top w:w="0" w:type="dxa"/>
              <w:right w:w="108" w:type="dxa"/>
              <w:bottom w:w="0" w:type="dxa"/>
            </w:tcMar>
            <w:tcW w:w="717"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W w:w="863"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Mar>
              <w:left w:w="108" w:type="dxa"/>
              <w:top w:w="0" w:type="dxa"/>
              <w:right w:w="108" w:type="dxa"/>
              <w:bottom w:w="0" w:type="dxa"/>
            </w:tcMar>
            <w:tcW w:w="1117"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合同到期时交接方案</w:t>
            </w:r>
            <w:r/>
          </w:p>
        </w:tc>
        <w:tc>
          <w:tcPr>
            <w:shd w:val="clear" w:color="auto" w:fill="ffffff"/>
            <w:tcW w:w="630" w:type="dxa"/>
            <w:vAlign w:val="center"/>
            <w:textDirection w:val="lrTb"/>
            <w:noWrap w:val="false"/>
          </w:tcPr>
          <w:p>
            <w:pPr>
              <w:jc w:val="center"/>
              <w:spacing w:line="340" w:lineRule="exact"/>
              <w:rPr>
                <w:rFonts w:hint="eastAsia" w:ascii="宋体" w:hAnsi="宋体" w:cs="宋体"/>
                <w:szCs w:val="21"/>
                <w:highlight w:val="none"/>
              </w:rPr>
            </w:pPr>
            <w:r>
              <w:rPr>
                <w:rFonts w:hint="eastAsia" w:ascii="宋体" w:hAnsi="宋体" w:cs="宋体"/>
                <w:szCs w:val="21"/>
                <w:highlight w:val="none"/>
              </w:rPr>
              <w:t xml:space="preserve">7分</w:t>
            </w:r>
            <w:r/>
          </w:p>
        </w:tc>
        <w:tc>
          <w:tcPr>
            <w:shd w:val="clear" w:color="auto" w:fill="ffffff"/>
            <w:tcMar>
              <w:left w:w="108" w:type="dxa"/>
              <w:top w:w="0" w:type="dxa"/>
              <w:right w:w="108" w:type="dxa"/>
              <w:bottom w:w="0" w:type="dxa"/>
            </w:tcMar>
            <w:tcW w:w="6099" w:type="dxa"/>
            <w:vAlign w:val="center"/>
            <w:textDirection w:val="lrTb"/>
            <w:noWrap w:val="false"/>
          </w:tcPr>
          <w:p>
            <w:pPr>
              <w:jc w:val="left"/>
              <w:spacing w:line="340" w:lineRule="exact"/>
              <w:rPr>
                <w:rFonts w:hint="eastAsia" w:ascii="宋体" w:hAnsi="宋体" w:cs="宋体"/>
                <w:szCs w:val="21"/>
                <w:highlight w:val="none"/>
              </w:rPr>
            </w:pPr>
            <w:r>
              <w:rPr>
                <w:rFonts w:hint="eastAsia" w:ascii="宋体" w:hAnsi="宋体" w:cs="宋体"/>
                <w:szCs w:val="21"/>
                <w:highlight w:val="none"/>
              </w:rPr>
              <w:t xml:space="preserve">评标委员会根据投标人针对本项目合同到期时交接方案内容的合理性、科学性、创造性及可操作性等进行评审，优于项目需求得7分，满足项目需求得6分，</w:t>
            </w:r>
            <w:r>
              <w:rPr>
                <w:rFonts w:hint="eastAsia" w:ascii="宋体" w:hAnsi="宋体" w:cs="宋体"/>
                <w:szCs w:val="21"/>
                <w:highlight w:val="none"/>
                <w:lang w:eastAsia="zh-CN"/>
              </w:rPr>
              <w:t xml:space="preserve">部分满足</w:t>
            </w:r>
            <w:r>
              <w:rPr>
                <w:rFonts w:hint="eastAsia" w:ascii="宋体" w:hAnsi="宋体" w:cs="宋体"/>
                <w:szCs w:val="21"/>
                <w:highlight w:val="none"/>
              </w:rPr>
              <w:t xml:space="preserve">或方案有</w:t>
            </w:r>
            <w:r>
              <w:rPr>
                <w:rFonts w:hint="eastAsia" w:ascii="宋体" w:hAnsi="宋体" w:cs="宋体"/>
                <w:highlight w:val="none"/>
                <w:lang w:eastAsia="zh-CN"/>
              </w:rPr>
              <w:t xml:space="preserve">缺项</w:t>
            </w:r>
            <w:r>
              <w:rPr>
                <w:rFonts w:hint="eastAsia" w:ascii="宋体" w:hAnsi="宋体" w:cs="宋体"/>
                <w:szCs w:val="21"/>
                <w:highlight w:val="none"/>
              </w:rPr>
              <w:t xml:space="preserve">的得5分，未提供得0分。</w:t>
            </w:r>
            <w:r/>
          </w:p>
        </w:tc>
      </w:tr>
      <w:tr>
        <w:trPr>
          <w:jc w:val="center"/>
          <w:trHeight w:val="1416"/>
        </w:trPr>
        <w:tc>
          <w:tcPr>
            <w:shd w:val="clear" w:color="auto" w:fill="ffffff"/>
            <w:tcMar>
              <w:left w:w="108" w:type="dxa"/>
              <w:top w:w="0" w:type="dxa"/>
              <w:right w:w="108" w:type="dxa"/>
              <w:bottom w:w="0" w:type="dxa"/>
            </w:tcMar>
            <w:tcW w:w="717"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W w:w="863"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gridSpan w:val="3"/>
            <w:shd w:val="clear" w:color="auto" w:fill="ffffff"/>
            <w:tcMar>
              <w:left w:w="108" w:type="dxa"/>
              <w:top w:w="0" w:type="dxa"/>
              <w:right w:w="108" w:type="dxa"/>
              <w:bottom w:w="0" w:type="dxa"/>
            </w:tcMar>
            <w:tcW w:w="7846" w:type="dxa"/>
            <w:vAlign w:val="center"/>
            <w:textDirection w:val="lrTb"/>
            <w:noWrap w:val="false"/>
          </w:tcPr>
          <w:p>
            <w:pPr>
              <w:jc w:val="left"/>
              <w:spacing w:line="340" w:lineRule="exact"/>
              <w:rPr>
                <w:rFonts w:hint="eastAsia" w:ascii="宋体" w:hAnsi="宋体" w:cs="宋体"/>
                <w:szCs w:val="21"/>
                <w:highlight w:val="none"/>
              </w:rPr>
            </w:pPr>
            <w:r>
              <w:rPr>
                <w:rFonts w:hint="eastAsia" w:ascii="宋体" w:hAnsi="宋体" w:cs="宋体"/>
                <w:highlight w:val="none"/>
              </w:rPr>
              <w:t xml:space="preserve">注：本实施方案中的</w:t>
            </w:r>
            <w:r>
              <w:rPr>
                <w:rFonts w:hint="eastAsia" w:ascii="宋体" w:hAnsi="宋体" w:cs="宋体"/>
                <w:highlight w:val="none"/>
                <w:lang w:eastAsia="zh-CN"/>
              </w:rPr>
              <w:t xml:space="preserve">缺项</w:t>
            </w:r>
            <w:r>
              <w:rPr>
                <w:rFonts w:hint="eastAsia" w:ascii="宋体" w:hAnsi="宋体" w:cs="宋体"/>
                <w:highlight w:val="none"/>
              </w:rPr>
              <w:t xml:space="preserve">指：内容不全面、与实际需求不符、内容不清晰或交叉混乱、套用其他项目方案、有规范性或常识性错误、存在无关的事项、凭空编造、存在不可能实现的夸大情形等任意一种情形的。</w:t>
            </w:r>
            <w:r/>
          </w:p>
        </w:tc>
      </w:tr>
      <w:tr>
        <w:trPr>
          <w:jc w:val="center"/>
          <w:trHeight w:val="260"/>
        </w:trPr>
        <w:tc>
          <w:tcPr>
            <w:shd w:val="clear" w:color="auto" w:fill="ffffff"/>
            <w:tcMar>
              <w:left w:w="108" w:type="dxa"/>
              <w:top w:w="0" w:type="dxa"/>
              <w:right w:w="108" w:type="dxa"/>
              <w:bottom w:w="0" w:type="dxa"/>
            </w:tcMar>
            <w:tcW w:w="717" w:type="dxa"/>
            <w:vAlign w:val="center"/>
            <w:vMerge w:val="restart"/>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三</w:t>
            </w:r>
            <w:r/>
          </w:p>
        </w:tc>
        <w:tc>
          <w:tcPr>
            <w:shd w:val="clear" w:color="auto" w:fill="ffffff"/>
            <w:tcW w:w="863" w:type="dxa"/>
            <w:vAlign w:val="center"/>
            <w:vMerge w:val="restart"/>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企业综合实力</w:t>
            </w:r>
            <w:r/>
          </w:p>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（15分）</w:t>
            </w:r>
            <w:r/>
          </w:p>
        </w:tc>
        <w:tc>
          <w:tcPr>
            <w:shd w:val="clear" w:color="auto" w:fill="ffffff"/>
            <w:tcW w:w="1117" w:type="dxa"/>
            <w:vAlign w:val="center"/>
            <w:textDirection w:val="lrTb"/>
            <w:noWrap w:val="false"/>
          </w:tcPr>
          <w:p>
            <w:pPr>
              <w:jc w:val="center"/>
              <w:spacing w:line="280" w:lineRule="exact"/>
              <w:rPr>
                <w:rFonts w:hint="eastAsia" w:ascii="宋体" w:hAnsi="宋体" w:cs="宋体"/>
                <w:szCs w:val="21"/>
                <w:highlight w:val="none"/>
              </w:rPr>
            </w:pPr>
            <w:r>
              <w:rPr>
                <w:rFonts w:hint="eastAsia" w:ascii="宋体" w:hAnsi="宋体"/>
                <w:szCs w:val="21"/>
                <w:highlight w:val="none"/>
              </w:rPr>
              <w:t xml:space="preserve">业绩</w:t>
            </w:r>
            <w:r/>
          </w:p>
        </w:tc>
        <w:tc>
          <w:tcPr>
            <w:shd w:val="clear" w:color="auto" w:fill="ffffff"/>
            <w:tcW w:w="63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10分</w:t>
            </w:r>
            <w:r/>
          </w:p>
        </w:tc>
        <w:tc>
          <w:tcPr>
            <w:shd w:val="clear" w:color="auto" w:fill="ffffff"/>
            <w:tcMar>
              <w:left w:w="108" w:type="dxa"/>
              <w:top w:w="0" w:type="dxa"/>
              <w:right w:w="108" w:type="dxa"/>
              <w:bottom w:w="0" w:type="dxa"/>
            </w:tcMar>
            <w:tcW w:w="6099" w:type="dxa"/>
            <w:textDirection w:val="lrTb"/>
            <w:noWrap w:val="false"/>
          </w:tcPr>
          <w:p>
            <w:pPr>
              <w:spacing w:line="320" w:lineRule="exact"/>
              <w:rPr>
                <w:rFonts w:hint="eastAsia" w:ascii="宋体" w:hAnsi="宋体" w:cs="宋体"/>
                <w:szCs w:val="21"/>
                <w:highlight w:val="none"/>
              </w:rPr>
            </w:pPr>
            <w:r>
              <w:rPr>
                <w:rFonts w:hint="eastAsia" w:ascii="宋体" w:hAnsi="宋体" w:cs="宋体"/>
                <w:szCs w:val="21"/>
                <w:highlight w:val="none"/>
              </w:rPr>
              <w:t xml:space="preserve">投标人自2022年1月1日（以合同签订时间为准）以来，具有类似的物业管理服务业绩的（类似项目是指党政机关、事业单位物业项目，不含住宅、工业厂房物业案例），每提供一个得2分，本项最高得10分。投标时需提供合同彩色扫描件并加盖</w:t>
            </w:r>
            <w:r>
              <w:rPr>
                <w:rFonts w:hint="eastAsia" w:ascii="宋体" w:hAnsi="宋体"/>
                <w:bCs/>
                <w:szCs w:val="21"/>
                <w:highlight w:val="none"/>
              </w:rPr>
              <w:t xml:space="preserve">投标人</w:t>
            </w:r>
            <w:r>
              <w:rPr>
                <w:rFonts w:hint="eastAsia" w:ascii="宋体" w:hAnsi="宋体" w:cs="宋体"/>
                <w:szCs w:val="21"/>
                <w:highlight w:val="none"/>
              </w:rPr>
              <w:t xml:space="preserve">公章，未提供不得分。</w:t>
            </w:r>
            <w:r/>
          </w:p>
          <w:p>
            <w:pPr>
              <w:jc w:val="left"/>
              <w:spacing w:line="340" w:lineRule="exact"/>
              <w:widowControl/>
              <w:rPr>
                <w:rFonts w:hint="eastAsia" w:ascii="宋体" w:hAnsi="宋体" w:cs="仿宋"/>
                <w:szCs w:val="21"/>
                <w:highlight w:val="none"/>
              </w:rPr>
            </w:pPr>
            <w:r>
              <w:rPr>
                <w:rFonts w:hint="eastAsia" w:ascii="宋体" w:hAnsi="宋体" w:cs="宋体"/>
                <w:szCs w:val="21"/>
                <w:highlight w:val="none"/>
              </w:rPr>
              <w:t xml:space="preserve">（如合同为一年一签的同一项目合同，只认为同一业绩）</w:t>
            </w:r>
            <w:r/>
          </w:p>
        </w:tc>
      </w:tr>
      <w:tr>
        <w:trPr>
          <w:jc w:val="center"/>
          <w:trHeight w:val="1549"/>
        </w:trPr>
        <w:tc>
          <w:tcPr>
            <w:shd w:val="clear" w:color="auto" w:fill="ffffff"/>
            <w:tcMar>
              <w:left w:w="108" w:type="dxa"/>
              <w:top w:w="0" w:type="dxa"/>
              <w:right w:w="108" w:type="dxa"/>
              <w:bottom w:w="0" w:type="dxa"/>
            </w:tcMar>
            <w:tcW w:w="717"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W w:w="863"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ffffff"/>
            <w:tcW w:w="1117" w:type="dxa"/>
            <w:vAlign w:val="center"/>
            <w:textDirection w:val="lrTb"/>
            <w:noWrap w:val="false"/>
          </w:tcPr>
          <w:p>
            <w:pPr>
              <w:jc w:val="center"/>
              <w:spacing w:line="280" w:lineRule="exact"/>
              <w:rPr>
                <w:rFonts w:hint="eastAsia" w:ascii="宋体" w:hAnsi="宋体" w:cs="宋体"/>
                <w:szCs w:val="21"/>
                <w:highlight w:val="none"/>
              </w:rPr>
            </w:pPr>
            <w:r>
              <w:rPr>
                <w:rFonts w:hint="eastAsia" w:ascii="宋体" w:hAnsi="宋体" w:cs="宋体"/>
                <w:szCs w:val="21"/>
                <w:highlight w:val="none"/>
              </w:rPr>
              <w:t xml:space="preserve">信誉</w:t>
            </w:r>
            <w:r/>
          </w:p>
        </w:tc>
        <w:tc>
          <w:tcPr>
            <w:shd w:val="clear" w:color="auto" w:fill="ffffff"/>
            <w:tcW w:w="63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3分</w:t>
            </w:r>
            <w:r/>
          </w:p>
        </w:tc>
        <w:tc>
          <w:tcPr>
            <w:shd w:val="clear" w:color="auto" w:fill="ffffff"/>
            <w:tcMar>
              <w:left w:w="108" w:type="dxa"/>
              <w:top w:w="0" w:type="dxa"/>
              <w:right w:w="108" w:type="dxa"/>
              <w:bottom w:w="0" w:type="dxa"/>
            </w:tcMar>
            <w:tcW w:w="6099" w:type="dxa"/>
            <w:textDirection w:val="lrTb"/>
            <w:noWrap w:val="false"/>
          </w:tcPr>
          <w:p>
            <w:pPr>
              <w:spacing w:line="340" w:lineRule="exact"/>
              <w:rPr>
                <w:rFonts w:hint="eastAsia" w:ascii="宋体" w:hAnsi="宋体" w:cs="仿宋"/>
                <w:szCs w:val="21"/>
                <w:highlight w:val="none"/>
              </w:rPr>
            </w:pPr>
            <w:r>
              <w:rPr>
                <w:rFonts w:hint="eastAsia" w:ascii="宋体" w:hAnsi="宋体" w:cs="宋体"/>
                <w:szCs w:val="21"/>
                <w:highlight w:val="none"/>
              </w:rPr>
              <w:t xml:space="preserve">投标人具备有效期内的质量管理体系认证证书、环境管理体系认证证书、职业健康安全管理体系认证证书，每提供1个得1分，最高得3分。</w:t>
            </w:r>
            <w:r>
              <w:rPr>
                <w:rFonts w:hint="eastAsia" w:ascii="宋体" w:hAnsi="宋体"/>
                <w:bCs/>
                <w:szCs w:val="21"/>
                <w:highlight w:val="none"/>
              </w:rPr>
              <w:t xml:space="preserve">投标时需提供认证证书彩色扫描件</w:t>
            </w:r>
            <w:r>
              <w:rPr>
                <w:rFonts w:hint="eastAsia" w:ascii="宋体" w:hAnsi="宋体" w:cs="宋体"/>
                <w:szCs w:val="21"/>
                <w:highlight w:val="none"/>
              </w:rPr>
              <w:t xml:space="preserve">并加盖投标人公章，未提供或提供不全不得分。</w:t>
            </w:r>
            <w:r>
              <w:rPr>
                <w:rFonts w:hint="eastAsia" w:ascii="宋体" w:hAnsi="宋体" w:cs="仿宋"/>
                <w:bCs/>
                <w:szCs w:val="21"/>
                <w:highlight w:val="none"/>
              </w:rPr>
              <w:t xml:space="preserve">）</w:t>
            </w:r>
            <w:r/>
          </w:p>
        </w:tc>
      </w:tr>
      <w:tr>
        <w:trPr>
          <w:jc w:val="center"/>
          <w:trHeight w:val="1084"/>
        </w:trPr>
        <w:tc>
          <w:tcPr>
            <w:shd w:val="clear" w:color="auto" w:fill="ffffff"/>
            <w:tcMar>
              <w:left w:w="108" w:type="dxa"/>
              <w:top w:w="0" w:type="dxa"/>
              <w:right w:w="108" w:type="dxa"/>
              <w:bottom w:w="0" w:type="dxa"/>
            </w:tcMar>
            <w:tcW w:w="717" w:type="dxa"/>
            <w:vAlign w:val="center"/>
            <w:vMerge w:val="continue"/>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shd w:val="clear" w:color="auto" w:fill="ffffff"/>
            <w:tcW w:w="863"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ffffff"/>
            <w:tcW w:w="1117" w:type="dxa"/>
            <w:vAlign w:val="center"/>
            <w:textDirection w:val="lrTb"/>
            <w:noWrap w:val="false"/>
          </w:tcPr>
          <w:p>
            <w:pPr>
              <w:jc w:val="center"/>
              <w:spacing w:line="280" w:lineRule="exact"/>
              <w:rPr>
                <w:rFonts w:hint="eastAsia" w:ascii="宋体" w:hAnsi="宋体" w:cs="宋体"/>
                <w:szCs w:val="21"/>
                <w:highlight w:val="none"/>
              </w:rPr>
            </w:pPr>
            <w:r>
              <w:rPr>
                <w:rFonts w:hint="eastAsia" w:ascii="宋体" w:hAnsi="宋体" w:cs="宋体"/>
                <w:szCs w:val="21"/>
                <w:highlight w:val="none"/>
              </w:rPr>
              <w:t xml:space="preserve">项目负责人</w:t>
            </w:r>
            <w:r/>
          </w:p>
        </w:tc>
        <w:tc>
          <w:tcPr>
            <w:shd w:val="clear" w:color="auto" w:fill="ffffff"/>
            <w:tcW w:w="63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2分</w:t>
            </w:r>
            <w:r/>
          </w:p>
        </w:tc>
        <w:tc>
          <w:tcPr>
            <w:shd w:val="clear" w:color="auto" w:fill="ffffff"/>
            <w:tcMar>
              <w:left w:w="108" w:type="dxa"/>
              <w:top w:w="0" w:type="dxa"/>
              <w:right w:w="108" w:type="dxa"/>
              <w:bottom w:w="0" w:type="dxa"/>
            </w:tcMar>
            <w:tcW w:w="6099" w:type="dxa"/>
            <w:textDirection w:val="lrTb"/>
            <w:noWrap w:val="false"/>
          </w:tcPr>
          <w:p>
            <w:pPr>
              <w:spacing w:line="340" w:lineRule="exact"/>
              <w:rPr>
                <w:rFonts w:hint="eastAsia" w:ascii="宋体" w:hAnsi="宋体" w:cs="宋体"/>
                <w:szCs w:val="21"/>
                <w:highlight w:val="none"/>
              </w:rPr>
            </w:pPr>
            <w:r>
              <w:rPr>
                <w:rFonts w:hint="eastAsia" w:ascii="宋体" w:hAnsi="宋体" w:cs="宋体"/>
                <w:szCs w:val="21"/>
                <w:highlight w:val="none"/>
              </w:rPr>
              <w:t xml:space="preserve">项目负责人具有大专学历得1分，本科及以上学历的得2分，本项最高得2分。投标时提供学历证书原件扫描件及学信网查询截图并加盖投标人公章）</w:t>
            </w:r>
            <w:r/>
          </w:p>
        </w:tc>
      </w:tr>
    </w:tbl>
    <w:p>
      <w:pPr>
        <w:pStyle w:val="719"/>
        <w:rPr>
          <w:rFonts w:hint="eastAsia" w:ascii="宋体" w:hAnsi="宋体" w:cs="宋体"/>
          <w:bCs/>
          <w:color w:val="auto"/>
          <w:highlight w:val="none"/>
        </w:rPr>
      </w:pPr>
      <w:r>
        <w:rPr>
          <w:rFonts w:hint="eastAsia" w:ascii="宋体" w:hAnsi="宋体" w:cs="宋体"/>
          <w:bCs/>
          <w:color w:val="auto"/>
          <w:highlight w:val="none"/>
        </w:rPr>
      </w:r>
      <w:r/>
    </w:p>
    <w:p>
      <w:pPr>
        <w:jc w:val="center"/>
        <w:rPr>
          <w:rFonts w:eastAsia="黑体"/>
          <w:sz w:val="44"/>
          <w:szCs w:val="44"/>
          <w:highlight w:val="none"/>
        </w:rPr>
      </w:pPr>
      <w:r>
        <w:rPr>
          <w:rFonts w:eastAsia="黑体"/>
          <w:sz w:val="44"/>
          <w:szCs w:val="44"/>
          <w:highlight w:val="none"/>
        </w:rPr>
      </w:r>
      <w:r/>
    </w:p>
    <w:p>
      <w:pPr>
        <w:jc w:val="center"/>
        <w:rPr>
          <w:rFonts w:eastAsia="黑体"/>
          <w:sz w:val="44"/>
          <w:szCs w:val="44"/>
          <w:highlight w:val="none"/>
        </w:rPr>
      </w:pPr>
      <w:r>
        <w:rPr>
          <w:rFonts w:eastAsia="黑体"/>
          <w:sz w:val="44"/>
          <w:szCs w:val="44"/>
          <w:highlight w:val="none"/>
        </w:rPr>
      </w:r>
      <w:r/>
    </w:p>
    <w:p>
      <w:pPr>
        <w:jc w:val="center"/>
        <w:rPr>
          <w:b/>
          <w:sz w:val="72"/>
          <w:szCs w:val="72"/>
          <w:highlight w:val="none"/>
        </w:rPr>
      </w:pPr>
      <w:r>
        <w:rPr>
          <w:rFonts w:hint="eastAsia" w:eastAsia="黑体"/>
          <w:sz w:val="44"/>
          <w:szCs w:val="44"/>
          <w:highlight w:val="none"/>
        </w:rPr>
        <w:t xml:space="preserve">第六章</w:t>
      </w:r>
      <w:r>
        <w:rPr>
          <w:rFonts w:eastAsia="黑体"/>
          <w:sz w:val="44"/>
          <w:szCs w:val="44"/>
          <w:highlight w:val="none"/>
        </w:rPr>
        <w:t xml:space="preserve"> </w:t>
      </w:r>
      <w:r>
        <w:rPr>
          <w:rFonts w:hint="eastAsia" w:eastAsia="黑体"/>
          <w:sz w:val="44"/>
          <w:szCs w:val="44"/>
          <w:highlight w:val="none"/>
        </w:rPr>
        <w:t xml:space="preserve">投标文件格式</w:t>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r>
      <w:r/>
    </w:p>
    <w:p>
      <w:pPr>
        <w:jc w:val="center"/>
        <w:rPr>
          <w:sz w:val="24"/>
          <w:highlight w:val="none"/>
        </w:rPr>
      </w:pPr>
      <w:r>
        <w:rPr>
          <w:rFonts w:hint="eastAsia"/>
          <w:b/>
          <w:sz w:val="72"/>
          <w:szCs w:val="72"/>
          <w:highlight w:val="none"/>
        </w:rPr>
        <w:t xml:space="preserve">投</w:t>
      </w:r>
      <w:r>
        <w:rPr>
          <w:b/>
          <w:sz w:val="72"/>
          <w:szCs w:val="72"/>
          <w:highlight w:val="none"/>
        </w:rPr>
        <w:t xml:space="preserve"> </w:t>
      </w:r>
      <w:r>
        <w:rPr>
          <w:rFonts w:hint="eastAsia"/>
          <w:b/>
          <w:sz w:val="72"/>
          <w:szCs w:val="72"/>
          <w:highlight w:val="none"/>
        </w:rPr>
        <w:t xml:space="preserve">标</w:t>
      </w:r>
      <w:r>
        <w:rPr>
          <w:b/>
          <w:sz w:val="72"/>
          <w:szCs w:val="72"/>
          <w:highlight w:val="none"/>
        </w:rPr>
        <w:t xml:space="preserve"> </w:t>
      </w:r>
      <w:r>
        <w:rPr>
          <w:rFonts w:hint="eastAsia"/>
          <w:b/>
          <w:sz w:val="72"/>
          <w:szCs w:val="72"/>
          <w:highlight w:val="none"/>
        </w:rPr>
        <w:t xml:space="preserve">文</w:t>
      </w:r>
      <w:r>
        <w:rPr>
          <w:b/>
          <w:sz w:val="72"/>
          <w:szCs w:val="72"/>
          <w:highlight w:val="none"/>
        </w:rPr>
        <w:t xml:space="preserve"> </w:t>
      </w:r>
      <w:r>
        <w:rPr>
          <w:rFonts w:hint="eastAsia"/>
          <w:b/>
          <w:sz w:val="72"/>
          <w:szCs w:val="72"/>
          <w:highlight w:val="none"/>
        </w:rPr>
        <w:t xml:space="preserve">件</w:t>
      </w:r>
      <w:r/>
    </w:p>
    <w:p>
      <w:pPr>
        <w:jc w:val="center"/>
        <w:rPr>
          <w:sz w:val="24"/>
          <w:highlight w:val="none"/>
        </w:rPr>
      </w:pPr>
      <w:r>
        <w:rPr>
          <w:sz w:val="24"/>
          <w:highlight w:val="none"/>
        </w:rPr>
        <w:t xml:space="preserve"> </w:t>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ind w:firstLine="1547"/>
        <w:rPr>
          <w:sz w:val="24"/>
          <w:highlight w:val="none"/>
        </w:rPr>
      </w:pPr>
      <w:r>
        <w:rPr>
          <w:rFonts w:hint="eastAsia"/>
          <w:b/>
          <w:sz w:val="36"/>
          <w:szCs w:val="36"/>
          <w:highlight w:val="none"/>
        </w:rPr>
        <w:t xml:space="preserve">项 目 名 称：</w:t>
      </w:r>
      <w:r>
        <w:rPr>
          <w:rFonts w:hint="eastAsia"/>
          <w:b/>
          <w:sz w:val="36"/>
          <w:szCs w:val="36"/>
          <w:highlight w:val="none"/>
          <w:u w:val="single"/>
        </w:rPr>
        <w:t xml:space="preserve">                   </w:t>
      </w:r>
      <w:r/>
    </w:p>
    <w:p>
      <w:pPr>
        <w:ind w:firstLine="1547"/>
        <w:rPr>
          <w:sz w:val="24"/>
          <w:highlight w:val="none"/>
        </w:rPr>
      </w:pPr>
      <w:r>
        <w:rPr>
          <w:rFonts w:hint="eastAsia"/>
          <w:b/>
          <w:sz w:val="36"/>
          <w:szCs w:val="36"/>
          <w:highlight w:val="none"/>
        </w:rPr>
        <w:t xml:space="preserve">项 目 编 号：</w:t>
      </w:r>
      <w:r>
        <w:rPr>
          <w:rFonts w:hint="eastAsia"/>
          <w:b/>
          <w:sz w:val="36"/>
          <w:szCs w:val="36"/>
          <w:highlight w:val="none"/>
          <w:u w:val="single"/>
        </w:rPr>
        <w:t xml:space="preserve">                   </w:t>
      </w:r>
      <w:r/>
    </w:p>
    <w:p>
      <w:pPr>
        <w:ind w:firstLine="1547"/>
        <w:rPr>
          <w:sz w:val="24"/>
          <w:highlight w:val="none"/>
        </w:rPr>
      </w:pPr>
      <w:r>
        <w:rPr>
          <w:rFonts w:hint="eastAsia"/>
          <w:b/>
          <w:sz w:val="36"/>
          <w:szCs w:val="36"/>
          <w:highlight w:val="none"/>
        </w:rPr>
        <w:t xml:space="preserve">供应商名称：</w:t>
      </w:r>
      <w:r>
        <w:rPr>
          <w:rFonts w:hint="eastAsia"/>
          <w:b/>
          <w:sz w:val="36"/>
          <w:szCs w:val="36"/>
          <w:highlight w:val="none"/>
          <w:u w:val="single"/>
        </w:rPr>
        <w:t xml:space="preserve">（加盖CA电子公章） </w:t>
      </w:r>
      <w:r/>
    </w:p>
    <w:p>
      <w:pPr>
        <w:ind w:firstLine="1547"/>
        <w:rPr>
          <w:sz w:val="24"/>
          <w:highlight w:val="none"/>
        </w:rPr>
      </w:pPr>
      <w:r>
        <w:rPr>
          <w:rFonts w:hint="eastAsia"/>
          <w:b/>
          <w:sz w:val="36"/>
          <w:szCs w:val="36"/>
          <w:highlight w:val="none"/>
        </w:rPr>
        <w:t xml:space="preserve">日      期：</w:t>
      </w:r>
      <w:r>
        <w:rPr>
          <w:rFonts w:hint="eastAsia"/>
          <w:b/>
          <w:sz w:val="36"/>
          <w:szCs w:val="36"/>
          <w:highlight w:val="none"/>
          <w:u w:val="single"/>
        </w:rPr>
        <w:t xml:space="preserve">                    </w:t>
      </w:r>
      <w:r/>
    </w:p>
    <w:p>
      <w:pPr>
        <w:pStyle w:val="1034"/>
        <w:rPr>
          <w:rFonts w:ascii="Times New Roman" w:hAnsi="Times New Roman" w:cs="Times New Roman"/>
          <w:color w:val="auto"/>
          <w:highlight w:val="none"/>
        </w:rPr>
      </w:pPr>
      <w:r>
        <w:rPr>
          <w:rFonts w:ascii="Times New Roman" w:hAnsi="Times New Roman" w:cs="Times New Roman"/>
          <w:color w:val="auto"/>
          <w:highlight w:val="none"/>
        </w:rPr>
      </w:r>
      <w:r/>
    </w:p>
    <w:p>
      <w:pPr>
        <w:pStyle w:val="1034"/>
        <w:rPr>
          <w:rFonts w:ascii="Times New Roman" w:hAnsi="Times New Roman" w:cs="Times New Roman"/>
          <w:color w:val="auto"/>
          <w:highlight w:val="none"/>
        </w:rPr>
      </w:pPr>
      <w:r>
        <w:rPr>
          <w:rFonts w:ascii="Times New Roman" w:hAnsi="Times New Roman" w:cs="Times New Roman"/>
          <w:color w:val="auto"/>
          <w:highlight w:val="none"/>
        </w:rPr>
      </w:r>
      <w:r/>
    </w:p>
    <w:p>
      <w:pPr>
        <w:pStyle w:val="1034"/>
        <w:rPr>
          <w:rFonts w:ascii="Times New Roman" w:hAnsi="Times New Roman" w:cs="Times New Roman"/>
          <w:color w:val="auto"/>
          <w:highlight w:val="none"/>
        </w:rPr>
      </w:pPr>
      <w:r>
        <w:rPr>
          <w:rFonts w:ascii="Times New Roman" w:hAnsi="Times New Roman" w:cs="Times New Roman"/>
          <w:color w:val="auto"/>
          <w:highlight w:val="none"/>
        </w:rPr>
      </w:r>
      <w:r/>
    </w:p>
    <w:p>
      <w:pPr>
        <w:pStyle w:val="1034"/>
        <w:rPr>
          <w:rFonts w:ascii="Times New Roman" w:hAnsi="Times New Roman" w:cs="Times New Roman"/>
          <w:color w:val="auto"/>
          <w:highlight w:val="none"/>
        </w:rPr>
      </w:pPr>
      <w:r>
        <w:rPr>
          <w:rFonts w:ascii="Times New Roman" w:hAnsi="Times New Roman" w:cs="Times New Roman"/>
          <w:color w:val="auto"/>
          <w:highlight w:val="none"/>
        </w:rPr>
      </w:r>
      <w:r/>
    </w:p>
    <w:p>
      <w:pPr>
        <w:jc w:val="center"/>
        <w:rPr>
          <w:b/>
          <w:bCs/>
          <w:sz w:val="28"/>
          <w:szCs w:val="28"/>
          <w:highlight w:val="none"/>
        </w:rPr>
      </w:pPr>
      <w:r>
        <w:rPr>
          <w:rFonts w:hint="eastAsia"/>
          <w:b/>
          <w:bCs/>
          <w:sz w:val="28"/>
          <w:szCs w:val="22"/>
          <w:highlight w:val="none"/>
        </w:rPr>
        <w:t xml:space="preserve">投标文件目录</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一、法人或者其他组织的营业执照等证明文件，自然人的身份证明</w:t>
      </w:r>
      <w:r/>
    </w:p>
    <w:p>
      <w:pPr>
        <w:ind w:firstLine="480"/>
        <w:jc w:val="left"/>
        <w:spacing w:line="400" w:lineRule="exact"/>
        <w:tabs>
          <w:tab w:val="left" w:pos="1331" w:leader="none"/>
        </w:tabs>
        <w:rPr>
          <w:rFonts w:hint="eastAsia" w:ascii="宋体" w:hAnsi="宋体" w:cs="宋体"/>
          <w:iCs/>
          <w:highlight w:val="none"/>
        </w:rPr>
      </w:pPr>
      <w:r>
        <w:rPr>
          <w:rFonts w:hint="eastAsia" w:ascii="宋体" w:hAnsi="宋体" w:cs="宋体"/>
          <w:iCs/>
          <w:sz w:val="24"/>
          <w:highlight w:val="none"/>
        </w:rPr>
        <w:t xml:space="preserve">二、上一年度的财务状况报告（至少提供资产负债表、利润表、现金流量表，投标人成立不满一年无需提供）</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三、具备履行合同所必需的设备和专业技术能力的书面声明</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五、参加政府采购活动前 3 年内在经营活动中没有重大违法记录的书面声明</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六、特定资格要求的证明文件（如果本项目设置特定资格要求，则需要提供）</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七、法人授权书</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八、投标函</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九、中小企业声明函</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十、残疾人福利性单位声明函</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十一、投标分项报价表</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十二、技术要求响应及偏离表</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十三、商务要求响应及偏离表</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十四、开标一览表</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十五、技术方案、服务承诺、培训承诺等</w:t>
      </w:r>
      <w:r/>
    </w:p>
    <w:p>
      <w:pPr>
        <w:pStyle w:val="800"/>
        <w:ind w:firstLine="480"/>
        <w:jc w:val="both"/>
        <w:spacing w:before="0" w:beforeAutospacing="0" w:after="0" w:afterAutospacing="0" w:line="400" w:lineRule="exact"/>
        <w:rPr>
          <w:rFonts w:hint="eastAsia"/>
          <w:iCs/>
          <w:highlight w:val="none"/>
        </w:rPr>
      </w:pPr>
      <w:r>
        <w:rPr>
          <w:rFonts w:hint="eastAsia"/>
          <w:iCs/>
          <w:highlight w:val="none"/>
        </w:rPr>
        <w:t xml:space="preserve">十六、盐都区政府采购事前信用承诺书</w:t>
      </w:r>
      <w:r/>
    </w:p>
    <w:p>
      <w:pPr>
        <w:pStyle w:val="800"/>
        <w:jc w:val="both"/>
        <w:spacing w:before="0" w:beforeAutospacing="0" w:after="0" w:afterAutospacing="0" w:line="400" w:lineRule="exact"/>
        <w:rPr>
          <w:rFonts w:hint="eastAsia"/>
          <w:iCs/>
          <w:highlight w:val="none"/>
        </w:rPr>
      </w:pPr>
      <w:r>
        <w:rPr>
          <w:rFonts w:hint="eastAsia"/>
          <w:iCs/>
          <w:highlight w:val="none"/>
        </w:rPr>
      </w:r>
      <w:r/>
    </w:p>
    <w:p>
      <w:pPr>
        <w:ind w:firstLine="420"/>
        <w:spacing w:line="400" w:lineRule="exact"/>
        <w:rPr>
          <w:highlight w:val="none"/>
        </w:rPr>
      </w:pPr>
      <w:r>
        <w:rPr>
          <w:highlight w:val="none"/>
        </w:rPr>
      </w:r>
      <w:r/>
    </w:p>
    <w:p>
      <w:pPr>
        <w:ind w:firstLine="420"/>
        <w:spacing w:line="400" w:lineRule="exact"/>
        <w:rPr>
          <w:highlight w:val="none"/>
        </w:rPr>
      </w:pPr>
      <w:r>
        <w:rPr>
          <w:highlight w:val="none"/>
        </w:rPr>
      </w:r>
      <w:r/>
    </w:p>
    <w:p>
      <w:pPr>
        <w:ind w:firstLine="440"/>
        <w:rPr>
          <w:highlight w:val="none"/>
        </w:rPr>
      </w:pPr>
      <w:r>
        <w:rPr>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800"/>
        <w:jc w:val="both"/>
        <w:spacing w:beforeAutospacing="0" w:afterAutospacing="0"/>
        <w:rPr>
          <w:rFonts w:hint="eastAsia" w:ascii="黑体" w:eastAsia="黑体" w:cs="黑体"/>
          <w:i/>
          <w:sz w:val="32"/>
          <w:szCs w:val="32"/>
          <w:highlight w:val="none"/>
          <w:u w:val="single"/>
        </w:rPr>
      </w:pPr>
      <w:r/>
      <w:bookmarkStart w:id="151" w:name="_Toc26554103"/>
      <w:r/>
      <w:bookmarkStart w:id="152" w:name="_Toc513029281"/>
      <w:r/>
      <w:bookmarkStart w:id="153" w:name="_Toc120614284"/>
      <w:r/>
      <w:bookmarkStart w:id="154" w:name="_Toc24878535"/>
      <w:r/>
      <w:bookmarkStart w:id="155" w:name="_Toc23828483"/>
      <w:r/>
      <w:bookmarkStart w:id="156" w:name="_Toc22356583"/>
      <w:r/>
      <w:bookmarkStart w:id="157" w:name="_Toc120614291"/>
      <w:r/>
      <w:bookmarkStart w:id="158" w:name="_Toc49090582"/>
      <w:r/>
      <w:r/>
    </w:p>
    <w:p>
      <w:pPr>
        <w:pStyle w:val="800"/>
        <w:jc w:val="both"/>
        <w:spacing w:beforeAutospacing="0" w:afterAutospacing="0"/>
        <w:rPr>
          <w:rFonts w:hint="eastAsia"/>
          <w:highlight w:val="none"/>
        </w:rPr>
      </w:pPr>
      <w:r>
        <w:rPr>
          <w:rFonts w:hint="eastAsia" w:ascii="黑体" w:eastAsia="黑体" w:cs="黑体"/>
          <w:i/>
          <w:sz w:val="32"/>
          <w:szCs w:val="32"/>
          <w:highlight w:val="none"/>
          <w:u w:val="single"/>
        </w:rPr>
        <w:t xml:space="preserve">一、法人或者其他组织的营业执照等证明文件，自然人的身份证明</w:t>
      </w:r>
      <w:r/>
    </w:p>
    <w:p>
      <w:pPr>
        <w:pStyle w:val="800"/>
        <w:ind w:firstLine="480"/>
        <w:jc w:val="both"/>
        <w:spacing w:beforeAutospacing="0" w:afterAutospacing="0" w:line="0" w:lineRule="atLeast"/>
        <w:rPr>
          <w:rFonts w:hint="eastAsia"/>
          <w:highlight w:val="none"/>
        </w:rPr>
      </w:pPr>
      <w:r>
        <w:rPr>
          <w:highlight w:val="none"/>
        </w:rPr>
        <w:t xml:space="preserve"> </w:t>
      </w:r>
      <w:r/>
    </w:p>
    <w:p>
      <w:pPr>
        <w:pStyle w:val="800"/>
        <w:jc w:val="both"/>
        <w:spacing w:beforeAutospacing="0" w:afterAutospacing="0"/>
        <w:rPr>
          <w:rFonts w:hint="eastAsia" w:eastAsia="黑体"/>
          <w:highlight w:val="none"/>
        </w:rPr>
      </w:pPr>
      <w:r>
        <w:rPr>
          <w:rFonts w:hint="eastAsia" w:ascii="黑体" w:eastAsia="黑体" w:cs="黑体"/>
          <w:i/>
          <w:sz w:val="32"/>
          <w:szCs w:val="32"/>
          <w:highlight w:val="none"/>
          <w:u w:val="single"/>
        </w:rPr>
        <w:t xml:space="preserve">二、上一年度的财务状况报告</w:t>
      </w:r>
      <w:r/>
    </w:p>
    <w:p>
      <w:pPr>
        <w:pStyle w:val="800"/>
        <w:jc w:val="both"/>
        <w:spacing w:beforeAutospacing="0" w:afterAutospacing="0"/>
        <w:rPr>
          <w:rFonts w:hint="eastAsia"/>
          <w:iCs/>
          <w:highlight w:val="none"/>
        </w:rPr>
      </w:pPr>
      <w:r>
        <w:rPr>
          <w:rFonts w:hint="eastAsia"/>
          <w:iCs/>
          <w:highlight w:val="none"/>
        </w:rPr>
        <w:t xml:space="preserve">（至少提供资产负债表、利润表、现金流量表，投标人成立不满一年无需提供）</w:t>
      </w:r>
      <w:r/>
    </w:p>
    <w:p>
      <w:pPr>
        <w:pStyle w:val="800"/>
        <w:jc w:val="both"/>
        <w:spacing w:beforeAutospacing="0" w:afterAutospacing="0"/>
        <w:rPr>
          <w:rFonts w:hint="eastAsia"/>
          <w:highlight w:val="none"/>
        </w:rPr>
      </w:pPr>
      <w:r>
        <w:rPr>
          <w:rFonts w:hint="eastAsia"/>
          <w:highlight w:val="none"/>
        </w:rPr>
      </w:r>
      <w:r/>
    </w:p>
    <w:p>
      <w:pPr>
        <w:pStyle w:val="800"/>
        <w:jc w:val="both"/>
        <w:spacing w:beforeAutospacing="0" w:afterAutospacing="0"/>
        <w:rPr>
          <w:rFonts w:hint="eastAsia"/>
          <w:highlight w:val="none"/>
        </w:rPr>
      </w:pPr>
      <w:r>
        <w:rPr>
          <w:rFonts w:hint="eastAsia" w:ascii="黑体" w:eastAsia="黑体" w:cs="黑体"/>
          <w:i/>
          <w:sz w:val="32"/>
          <w:szCs w:val="32"/>
          <w:highlight w:val="none"/>
          <w:u w:val="single"/>
        </w:rPr>
        <w:t xml:space="preserve">三、具备履行合同所必需的设备和专业技术能力的书面声明</w:t>
      </w:r>
      <w:r/>
    </w:p>
    <w:p>
      <w:pPr>
        <w:pStyle w:val="800"/>
        <w:ind w:firstLine="492"/>
        <w:jc w:val="both"/>
        <w:spacing w:beforeAutospacing="0" w:afterAutospacing="0" w:line="0" w:lineRule="atLeast"/>
        <w:rPr>
          <w:rFonts w:hint="eastAsia"/>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800"/>
        <w:ind w:firstLine="492"/>
        <w:jc w:val="both"/>
        <w:spacing w:beforeAutospacing="0" w:afterAutospacing="0" w:line="0" w:lineRule="atLeast"/>
        <w:rPr>
          <w:rFonts w:hint="eastAsia"/>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800"/>
        <w:ind w:firstLine="480"/>
        <w:jc w:val="both"/>
        <w:spacing w:beforeAutospacing="0" w:afterAutospacing="0"/>
        <w:rPr>
          <w:rFonts w:hint="eastAsia"/>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800"/>
        <w:ind w:firstLine="480"/>
        <w:jc w:val="both"/>
        <w:spacing w:beforeAutospacing="0" w:afterAutospacing="0"/>
        <w:rPr>
          <w:rFonts w:hint="eastAsia"/>
          <w:highlight w:val="none"/>
        </w:rPr>
      </w:pPr>
      <w:r>
        <w:rPr>
          <w:rFonts w:hint="eastAsia"/>
          <w:highlight w:val="none"/>
        </w:rPr>
      </w:r>
      <w:r/>
    </w:p>
    <w:p>
      <w:pPr>
        <w:pStyle w:val="800"/>
        <w:jc w:val="both"/>
        <w:spacing w:beforeAutospacing="0" w:afterAutospacing="0"/>
        <w:rPr>
          <w:rFonts w:hint="eastAsia"/>
          <w:highlight w:val="none"/>
        </w:rPr>
      </w:pPr>
      <w:r>
        <w:rPr>
          <w:rFonts w:hint="eastAsia" w:ascii="黑体" w:eastAsia="黑体" w:cs="黑体"/>
          <w:i/>
          <w:sz w:val="32"/>
          <w:szCs w:val="32"/>
          <w:highlight w:val="none"/>
          <w:u w:val="single"/>
        </w:rPr>
        <w:t xml:space="preserve">四、依法缴纳税收和社会保障资金的相关材料</w:t>
      </w:r>
      <w:r/>
    </w:p>
    <w:p>
      <w:pPr>
        <w:pStyle w:val="800"/>
        <w:ind w:firstLine="480"/>
        <w:jc w:val="both"/>
        <w:spacing w:beforeAutospacing="0" w:afterAutospacing="0"/>
        <w:rPr>
          <w:rFonts w:hint="eastAsia"/>
          <w:highlight w:val="none"/>
        </w:rPr>
      </w:pPr>
      <w:r>
        <w:rPr>
          <w:rFonts w:hint="eastAsia"/>
          <w:highlight w:val="none"/>
        </w:rPr>
        <w:t xml:space="preserve">提供提交投标文件截止时间前一年内至少一个月依法缴纳税收及缴纳社会保障资金的证明材料。投标人依法享受缓缴、免缴税收、社会保障资金的提供证明材料。</w:t>
      </w:r>
      <w:r/>
    </w:p>
    <w:p>
      <w:pPr>
        <w:pStyle w:val="800"/>
        <w:ind w:firstLine="480"/>
        <w:jc w:val="both"/>
        <w:spacing w:beforeAutospacing="0" w:afterAutospacing="0"/>
        <w:rPr>
          <w:rFonts w:hint="eastAsia"/>
          <w:highlight w:val="none"/>
        </w:rPr>
      </w:pPr>
      <w:r>
        <w:rPr>
          <w:rFonts w:hint="eastAsia"/>
          <w:highlight w:val="none"/>
        </w:rPr>
      </w:r>
      <w:r/>
    </w:p>
    <w:p>
      <w:pPr>
        <w:pStyle w:val="800"/>
        <w:jc w:val="both"/>
        <w:spacing w:beforeAutospacing="0" w:afterAutospacing="0"/>
        <w:rPr>
          <w:rFonts w:hint="eastAsia"/>
          <w:highlight w:val="none"/>
        </w:rPr>
      </w:pPr>
      <w:r>
        <w:rPr>
          <w:rFonts w:hint="eastAsia" w:ascii="黑体" w:eastAsia="黑体" w:cs="黑体"/>
          <w:i/>
          <w:sz w:val="32"/>
          <w:szCs w:val="32"/>
          <w:highlight w:val="none"/>
          <w:u w:val="single"/>
        </w:rPr>
        <w:t xml:space="preserve">五、参加政府采购活动前 3 年内在经营活动中没有重大违法记录的书面声明</w:t>
      </w:r>
      <w:r/>
    </w:p>
    <w:p>
      <w:pPr>
        <w:pStyle w:val="800"/>
        <w:jc w:val="both"/>
        <w:spacing w:beforeAutospacing="0" w:afterAutospacing="0" w:line="0" w:lineRule="atLeast"/>
        <w:rPr>
          <w:rFonts w:hint="eastAsia"/>
          <w:highlight w:val="none"/>
        </w:rPr>
      </w:pPr>
      <w:r>
        <w:rPr>
          <w:rFonts w:hint="eastAsia"/>
          <w:b/>
          <w:sz w:val="44"/>
          <w:szCs w:val="44"/>
          <w:highlight w:val="none"/>
        </w:rPr>
        <w:t xml:space="preserve">       声  明</w:t>
      </w:r>
      <w:r/>
    </w:p>
    <w:p>
      <w:pPr>
        <w:pStyle w:val="800"/>
        <w:jc w:val="both"/>
        <w:spacing w:beforeAutospacing="0" w:afterAutospacing="0" w:line="0" w:lineRule="atLeast"/>
        <w:rPr>
          <w:rFonts w:hint="eastAsia"/>
          <w:highlight w:val="none"/>
        </w:rPr>
      </w:pPr>
      <w:r>
        <w:rPr>
          <w:rFonts w:hint="eastAsia"/>
          <w:b/>
          <w:highlight w:val="none"/>
        </w:rPr>
        <w:t xml:space="preserve">  </w:t>
      </w: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00"/>
        <w:jc w:val="both"/>
        <w:spacing w:beforeAutospacing="0" w:afterAutospacing="0"/>
        <w:rPr>
          <w:rFonts w:hint="eastAsia"/>
          <w:highlight w:val="none"/>
        </w:rPr>
      </w:pPr>
      <w:r>
        <w:rPr>
          <w:highlight w:val="none"/>
        </w:rPr>
        <w:t xml:space="preserve"> </w:t>
      </w:r>
      <w:r/>
    </w:p>
    <w:p>
      <w:pPr>
        <w:pStyle w:val="800"/>
        <w:jc w:val="both"/>
        <w:spacing w:beforeAutospacing="0" w:afterAutospacing="0"/>
        <w:rPr>
          <w:rFonts w:hint="eastAsia"/>
          <w:highlight w:val="none"/>
        </w:rPr>
      </w:pPr>
      <w:r>
        <w:rPr>
          <w:rFonts w:hint="eastAsia" w:ascii="黑体" w:eastAsia="黑体" w:cs="黑体"/>
          <w:i/>
          <w:sz w:val="32"/>
          <w:szCs w:val="32"/>
          <w:highlight w:val="none"/>
          <w:u w:val="single"/>
        </w:rPr>
        <w:t xml:space="preserve">六、特定资格要求的证明文件</w:t>
      </w:r>
      <w:r/>
    </w:p>
    <w:p>
      <w:pPr>
        <w:pStyle w:val="800"/>
        <w:jc w:val="both"/>
        <w:spacing w:beforeAutospacing="0" w:afterAutospacing="0" w:line="0" w:lineRule="atLeast"/>
        <w:rPr>
          <w:rFonts w:hint="eastAsia"/>
          <w:highlight w:val="none"/>
        </w:rPr>
      </w:pPr>
      <w:r>
        <w:rPr>
          <w:rFonts w:hint="eastAsia"/>
          <w:highlight w:val="none"/>
        </w:rPr>
        <w:t xml:space="preserve">  如果本项目申请人的特定资格要求中要求提供的，必须提供。</w:t>
      </w:r>
      <w:r/>
    </w:p>
    <w:p>
      <w:pPr>
        <w:pStyle w:val="825"/>
        <w:ind w:firstLine="480"/>
        <w:spacing w:beforeAutospacing="0" w:afterAutospacing="0" w:line="500" w:lineRule="exact"/>
        <w:rPr>
          <w:rFonts w:ascii="Times New Roman" w:hAnsi="Times New Roman" w:cs="Times New Roman"/>
          <w:sz w:val="28"/>
          <w:highlight w:val="none"/>
        </w:rPr>
      </w:pPr>
      <w:r>
        <w:rPr>
          <w:rFonts w:ascii="Times New Roman" w:hAnsi="Times New Roman" w:cs="Times New Roman"/>
          <w:sz w:val="28"/>
          <w:highlight w:val="none"/>
        </w:rPr>
      </w:r>
      <w:r/>
    </w:p>
    <w:p>
      <w:pPr>
        <w:pStyle w:val="825"/>
        <w:ind w:firstLine="480"/>
        <w:spacing w:beforeAutospacing="0" w:afterAutospacing="0" w:line="500" w:lineRule="exact"/>
        <w:rPr>
          <w:rFonts w:ascii="Times New Roman" w:hAnsi="Times New Roman" w:cs="Times New Roman"/>
          <w:sz w:val="28"/>
          <w:highlight w:val="none"/>
        </w:rPr>
      </w:pPr>
      <w:r>
        <w:rPr>
          <w:rFonts w:ascii="Times New Roman" w:hAnsi="Times New Roman" w:cs="Times New Roman"/>
          <w:sz w:val="28"/>
          <w:highlight w:val="none"/>
        </w:rPr>
      </w:r>
      <w:r/>
    </w:p>
    <w:p>
      <w:pPr>
        <w:pStyle w:val="825"/>
        <w:ind w:firstLine="0"/>
        <w:spacing w:beforeAutospacing="0" w:afterAutospacing="0" w:line="500" w:lineRule="exact"/>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825"/>
        <w:jc w:val="center"/>
        <w:spacing w:beforeAutospacing="0" w:afterAutospacing="0" w:line="500" w:lineRule="exact"/>
        <w:rPr>
          <w:rFonts w:ascii="Times New Roman" w:hAnsi="Times New Roman" w:eastAsia="黑体" w:cs="Times New Roman"/>
          <w:i/>
          <w:sz w:val="32"/>
          <w:szCs w:val="32"/>
          <w:highlight w:val="none"/>
          <w:u w:val="single"/>
        </w:rPr>
        <w:outlineLvl w:val="1"/>
      </w:pPr>
      <w:r>
        <w:rPr>
          <w:rFonts w:ascii="Times New Roman" w:hAnsi="Times New Roman" w:eastAsia="黑体" w:cs="Times New Roman"/>
          <w:i/>
          <w:sz w:val="32"/>
          <w:szCs w:val="32"/>
          <w:highlight w:val="none"/>
          <w:u w:val="single"/>
        </w:rPr>
        <w:t xml:space="preserve">七、法人授权书</w:t>
      </w:r>
      <w:r/>
    </w:p>
    <w:p>
      <w:pPr>
        <w:pStyle w:val="800"/>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highlight w:val="none"/>
        </w:rPr>
        <w:t xml:space="preserve">本授权书声明：____________（投标人名称）授权________________（被授权人的姓名）为我方就JSZC-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 xml:space="preserve">号项目采购活动的合法代理人，以本单位名义全权处理一切与该项目采购有关的事务。</w:t>
      </w:r>
      <w:r/>
    </w:p>
    <w:p>
      <w:pPr>
        <w:pStyle w:val="800"/>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highlight w:val="none"/>
        </w:rPr>
        <w:t xml:space="preserve">本授权书于______年____月____日起生效，特此声明。</w:t>
      </w:r>
      <w:r/>
    </w:p>
    <w:p>
      <w:pPr>
        <w:pStyle w:val="800"/>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highlight w:val="none"/>
        </w:rPr>
        <w:t xml:space="preserve">被授权人身份证号码：</w:t>
      </w:r>
      <w:r>
        <w:rPr>
          <w:rFonts w:ascii="Times New Roman" w:hAnsi="Times New Roman"/>
          <w:highlight w:val="none"/>
          <w:u w:val="single"/>
        </w:rPr>
        <w:t xml:space="preserve">                              </w:t>
      </w:r>
      <w:r/>
    </w:p>
    <w:p>
      <w:pPr>
        <w:pStyle w:val="800"/>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highlight w:val="none"/>
        </w:rPr>
        <w:t xml:space="preserve">被授权人联系电话：（手机）</w:t>
      </w:r>
      <w:r>
        <w:rPr>
          <w:rFonts w:ascii="Times New Roman" w:hAnsi="Times New Roman"/>
          <w:highlight w:val="none"/>
          <w:u w:val="single"/>
        </w:rPr>
        <w:t xml:space="preserve">                          </w:t>
      </w:r>
      <w:r/>
    </w:p>
    <w:p>
      <w:pPr>
        <w:pStyle w:val="800"/>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p>
    <w:p>
      <w:pPr>
        <w:pStyle w:val="800"/>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highlight w:val="none"/>
        </w:rPr>
        <w:t xml:space="preserve">单位地址：</w:t>
      </w:r>
      <w:r>
        <w:rPr>
          <w:rFonts w:ascii="Times New Roman" w:hAnsi="Times New Roman"/>
          <w:highlight w:val="none"/>
          <w:u w:val="single"/>
        </w:rPr>
        <w:t xml:space="preserve">                                         </w:t>
      </w:r>
      <w:r/>
    </w:p>
    <w:p>
      <w:pPr>
        <w:pStyle w:val="800"/>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highlight w:val="none"/>
        </w:rPr>
        <w:t xml:space="preserve">日期：</w:t>
      </w:r>
      <w:r>
        <w:rPr>
          <w:rFonts w:ascii="Times New Roman" w:hAnsi="Times New Roman"/>
          <w:highlight w:val="none"/>
          <w:u w:val="single"/>
        </w:rPr>
        <w:t xml:space="preserve">                                         </w:t>
      </w:r>
      <w:r/>
    </w:p>
    <w:p>
      <w:pPr>
        <w:pStyle w:val="825"/>
        <w:jc w:val="both"/>
        <w:spacing w:line="440" w:lineRule="exact"/>
        <w:rPr>
          <w:rFonts w:ascii="Times New Roman" w:hAnsi="Times New Roman" w:cs="Times New Roman"/>
          <w:highlight w:val="none"/>
        </w:rPr>
      </w:pPr>
      <w:r>
        <w:rPr>
          <w:rFonts w:ascii="Times New Roman" w:hAnsi="Times New Roman" w:cs="Times New Roman"/>
          <w:highlight w:val="none"/>
        </w:rPr>
      </w:r>
      <w:r/>
    </w:p>
    <w:p>
      <w:pPr>
        <w:pStyle w:val="825"/>
        <w:jc w:val="both"/>
        <w:rPr>
          <w:rFonts w:ascii="Times New Roman" w:hAnsi="Times New Roman" w:cs="Times New Roman"/>
          <w:highlight w:val="none"/>
        </w:rPr>
      </w:pPr>
      <w:r>
        <w:rPr>
          <w:rFonts w:ascii="Times New Roman" w:hAnsi="Times New Roman" w:cs="Times New Roman"/>
          <w:highlight w:val="none"/>
        </w:rPr>
      </w:r>
      <w:r/>
    </w:p>
    <w:p>
      <w:pPr>
        <w:pStyle w:val="825"/>
        <w:jc w:val="both"/>
        <w:rPr>
          <w:rFonts w:ascii="Times New Roman" w:hAnsi="Times New Roman" w:cs="Times New Roman"/>
          <w:highlight w:val="none"/>
        </w:rPr>
      </w:pPr>
      <w:r>
        <w:rPr>
          <w:rFonts w:ascii="Times New Roman" w:hAnsi="Times New Roman" w:cs="Times New Roman"/>
          <w:highlight w:val="none"/>
        </w:rPr>
      </w:r>
      <w:r/>
    </w:p>
    <w:p>
      <w:pPr>
        <w:pStyle w:val="825"/>
        <w:jc w:val="both"/>
        <w:rPr>
          <w:rFonts w:ascii="Times New Roman" w:hAnsi="Times New Roman" w:cs="Times New Roman"/>
          <w:highlight w:val="none"/>
        </w:rPr>
      </w:pPr>
      <w:r>
        <w:rPr>
          <w:rFonts w:ascii="Times New Roman" w:hAnsi="Times New Roman" w:cs="Times New Roman"/>
          <w:highlight w:val="none"/>
        </w:rPr>
      </w:r>
      <w:r/>
    </w:p>
    <w:p>
      <w:pPr>
        <w:pStyle w:val="825"/>
        <w:jc w:val="both"/>
        <w:rPr>
          <w:rFonts w:ascii="Times New Roman" w:hAnsi="Times New Roman" w:cs="Times New Roman"/>
          <w:highlight w:val="none"/>
        </w:rPr>
      </w:pPr>
      <w:r>
        <w:rPr>
          <w:rFonts w:ascii="Times New Roman" w:hAnsi="Times New Roman" w:cs="Times New Roman"/>
          <w:highlight w:val="none"/>
        </w:rPr>
      </w:r>
      <w:r/>
    </w:p>
    <w:p>
      <w:pPr>
        <w:pStyle w:val="825"/>
        <w:jc w:val="both"/>
        <w:rPr>
          <w:rFonts w:ascii="Times New Roman" w:hAnsi="Times New Roman" w:cs="Times New Roman"/>
          <w:highlight w:val="none"/>
        </w:rPr>
      </w:pPr>
      <w:r>
        <w:rPr>
          <w:rFonts w:ascii="Times New Roman" w:hAnsi="Times New Roman" w:cs="Times New Roman"/>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rFonts w:eastAsia="黑体"/>
          <w:iCs/>
          <w:sz w:val="32"/>
          <w:szCs w:val="32"/>
          <w:highlight w:val="none"/>
        </w:rPr>
      </w:pPr>
      <w:r>
        <w:rPr>
          <w:rFonts w:eastAsia="黑体"/>
          <w:iCs/>
          <w:sz w:val="32"/>
          <w:szCs w:val="32"/>
          <w:highlight w:val="none"/>
        </w:rPr>
      </w:r>
      <w:r/>
    </w:p>
    <w:p>
      <w:pPr>
        <w:ind w:firstLine="480"/>
        <w:jc w:val="center"/>
        <w:rPr>
          <w:iCs/>
          <w:highlight w:val="none"/>
        </w:rPr>
      </w:pPr>
      <w:r>
        <w:rPr>
          <w:rFonts w:eastAsia="黑体"/>
          <w:iCs/>
          <w:sz w:val="32"/>
          <w:szCs w:val="32"/>
          <w:highlight w:val="none"/>
        </w:rPr>
        <w:t xml:space="preserve">八、投标函</w:t>
      </w:r>
      <w:r/>
    </w:p>
    <w:p>
      <w:pPr>
        <w:spacing w:line="500" w:lineRule="exact"/>
        <w:widowControl/>
        <w:rPr>
          <w:sz w:val="24"/>
          <w:szCs w:val="20"/>
          <w:highlight w:val="none"/>
        </w:rPr>
      </w:pPr>
      <w:r>
        <w:rPr>
          <w:rFonts w:hint="eastAsia"/>
          <w:sz w:val="24"/>
          <w:szCs w:val="20"/>
          <w:highlight w:val="none"/>
        </w:rPr>
        <w:t xml:space="preserve">致：盐城市盐都区公共资源交易中心</w:t>
      </w:r>
      <w:r/>
    </w:p>
    <w:p>
      <w:pPr>
        <w:ind w:firstLine="482"/>
        <w:spacing w:line="500" w:lineRule="exact"/>
        <w:widowControl/>
        <w:rPr>
          <w:sz w:val="24"/>
          <w:szCs w:val="20"/>
          <w:highlight w:val="none"/>
        </w:rPr>
      </w:pPr>
      <w:r>
        <w:rPr>
          <w:rFonts w:hint="eastAsia"/>
          <w:sz w:val="24"/>
          <w:szCs w:val="20"/>
          <w:highlight w:val="none"/>
        </w:rPr>
        <w:t xml:space="preserve">根据贵方的JSZC-320000-***号招标文件，正式授权下述签字人______(姓名)代表我方______________（投标人的名称），全权处理本次项目投标的有关事宜。</w:t>
      </w:r>
      <w:r/>
    </w:p>
    <w:p>
      <w:pPr>
        <w:ind w:firstLine="482"/>
        <w:spacing w:line="500" w:lineRule="exact"/>
        <w:widowControl/>
        <w:rPr>
          <w:sz w:val="24"/>
          <w:szCs w:val="20"/>
          <w:highlight w:val="none"/>
        </w:rPr>
      </w:pPr>
      <w:r>
        <w:rPr>
          <w:rFonts w:hint="eastAsia"/>
          <w:sz w:val="24"/>
          <w:szCs w:val="20"/>
          <w:highlight w:val="none"/>
        </w:rPr>
        <w:t xml:space="preserve">据此函，__________签字人兹宣布同意如下：</w:t>
      </w:r>
      <w:r/>
    </w:p>
    <w:p>
      <w:pPr>
        <w:ind w:firstLine="482"/>
        <w:spacing w:line="500" w:lineRule="exact"/>
        <w:widowControl/>
        <w:rPr>
          <w:sz w:val="24"/>
          <w:szCs w:val="20"/>
          <w:highlight w:val="none"/>
        </w:rPr>
      </w:pPr>
      <w:r>
        <w:rPr>
          <w:rFonts w:hint="eastAsia"/>
          <w:sz w:val="24"/>
          <w:szCs w:val="20"/>
          <w:highlight w:val="none"/>
        </w:rPr>
        <w:t xml:space="preserve">1.按招标文件规定的各项要求，向买方提供所需服务（包含与服务相关的货物）。</w:t>
      </w:r>
      <w:r/>
    </w:p>
    <w:p>
      <w:pPr>
        <w:ind w:firstLine="482"/>
        <w:spacing w:line="500" w:lineRule="exact"/>
        <w:widowControl/>
        <w:rPr>
          <w:sz w:val="24"/>
          <w:szCs w:val="20"/>
          <w:highlight w:val="none"/>
        </w:rPr>
      </w:pPr>
      <w:r>
        <w:rPr>
          <w:rFonts w:hint="eastAsia"/>
          <w:sz w:val="24"/>
          <w:szCs w:val="20"/>
          <w:highlight w:val="none"/>
        </w:rPr>
        <w:t xml:space="preserve">2.我们完全理解贵方不一定将合同授予最低报价的投标人。</w:t>
      </w:r>
      <w:r/>
    </w:p>
    <w:p>
      <w:pPr>
        <w:ind w:firstLine="482"/>
        <w:spacing w:line="500" w:lineRule="exact"/>
        <w:widowControl/>
        <w:rPr>
          <w:sz w:val="24"/>
          <w:szCs w:val="20"/>
          <w:highlight w:val="none"/>
        </w:rPr>
      </w:pPr>
      <w:r>
        <w:rPr>
          <w:rFonts w:hint="eastAsia"/>
          <w:sz w:val="24"/>
          <w:szCs w:val="20"/>
          <w:highlight w:val="none"/>
        </w:rPr>
        <w:t xml:space="preserve">3.我们已详细审核全部招标文件及其有效补充文件，我们知道必须放弃提出含糊不清或误解问题的权利。</w:t>
      </w:r>
      <w:r/>
    </w:p>
    <w:p>
      <w:pPr>
        <w:ind w:firstLine="482"/>
        <w:spacing w:line="500" w:lineRule="exact"/>
        <w:widowControl/>
        <w:rPr>
          <w:sz w:val="24"/>
          <w:szCs w:val="20"/>
          <w:highlight w:val="none"/>
        </w:rPr>
      </w:pPr>
      <w:r>
        <w:rPr>
          <w:rFonts w:hint="eastAsia"/>
          <w:sz w:val="24"/>
          <w:szCs w:val="20"/>
          <w:highlight w:val="none"/>
        </w:rPr>
        <w:t xml:space="preserve">4.我们同意从规定的开标日期起遵循本投标文件，并在规定的投标有效期期满之前均具有约束力。</w:t>
      </w:r>
      <w:r/>
    </w:p>
    <w:p>
      <w:pPr>
        <w:ind w:firstLine="482"/>
        <w:spacing w:line="500" w:lineRule="exact"/>
        <w:widowControl/>
        <w:rPr>
          <w:sz w:val="24"/>
          <w:szCs w:val="20"/>
          <w:highlight w:val="none"/>
        </w:rPr>
      </w:pPr>
      <w:r>
        <w:rPr>
          <w:rFonts w:hint="eastAsia"/>
          <w:sz w:val="24"/>
          <w:szCs w:val="20"/>
          <w:highlight w:val="none"/>
        </w:rPr>
        <w:t xml:space="preserve">5.同意向贵方提供贵方可能另外要求的与投标有关的任何证据或资料，并保证我方已提供和将要提供的文件是真实的、准确的。</w:t>
      </w:r>
      <w:r/>
    </w:p>
    <w:p>
      <w:pPr>
        <w:ind w:firstLine="482"/>
        <w:spacing w:line="500" w:lineRule="exact"/>
        <w:widowControl/>
        <w:rPr>
          <w:sz w:val="24"/>
          <w:szCs w:val="20"/>
          <w:highlight w:val="none"/>
        </w:rPr>
      </w:pPr>
      <w:r>
        <w:rPr>
          <w:rFonts w:hint="eastAsia"/>
          <w:sz w:val="24"/>
          <w:szCs w:val="20"/>
          <w:highlight w:val="none"/>
        </w:rPr>
        <w:t xml:space="preserve">6.一旦我方中标,我方将根据招标文件的规定，严格履行合同的责任和义务,并保证在招标文件规定的时间完成项目，交付买方验收、使用。</w:t>
      </w:r>
      <w:r/>
    </w:p>
    <w:p>
      <w:pPr>
        <w:ind w:firstLine="482"/>
        <w:spacing w:line="500" w:lineRule="exact"/>
        <w:widowControl/>
        <w:rPr>
          <w:sz w:val="24"/>
          <w:szCs w:val="20"/>
          <w:highlight w:val="none"/>
        </w:rPr>
      </w:pPr>
      <w:r>
        <w:rPr>
          <w:rFonts w:hint="eastAsia"/>
          <w:sz w:val="24"/>
          <w:szCs w:val="20"/>
          <w:highlight w:val="none"/>
        </w:rPr>
        <w:t xml:space="preserve">7.与本投标有关的正式通讯地址为：</w:t>
      </w:r>
      <w:r/>
    </w:p>
    <w:p>
      <w:pPr>
        <w:ind w:firstLine="482"/>
        <w:spacing w:line="500" w:lineRule="exact"/>
        <w:widowControl/>
        <w:rPr>
          <w:sz w:val="24"/>
          <w:szCs w:val="20"/>
          <w:highlight w:val="none"/>
        </w:rPr>
      </w:pPr>
      <w:r>
        <w:rPr>
          <w:rFonts w:hint="eastAsia"/>
          <w:sz w:val="24"/>
          <w:szCs w:val="20"/>
          <w:highlight w:val="none"/>
        </w:rPr>
        <w:t xml:space="preserve">地        址：</w:t>
      </w:r>
      <w:r/>
    </w:p>
    <w:p>
      <w:pPr>
        <w:ind w:firstLine="482"/>
        <w:spacing w:line="500" w:lineRule="exact"/>
        <w:widowControl/>
        <w:rPr>
          <w:sz w:val="24"/>
          <w:szCs w:val="20"/>
          <w:highlight w:val="none"/>
        </w:rPr>
      </w:pPr>
      <w:r>
        <w:rPr>
          <w:rFonts w:hint="eastAsia"/>
          <w:sz w:val="24"/>
          <w:szCs w:val="20"/>
          <w:highlight w:val="none"/>
        </w:rPr>
        <w:t xml:space="preserve">邮        编：</w:t>
      </w:r>
      <w:r/>
    </w:p>
    <w:p>
      <w:pPr>
        <w:ind w:firstLine="482"/>
        <w:spacing w:line="500" w:lineRule="exact"/>
        <w:widowControl/>
        <w:rPr>
          <w:sz w:val="24"/>
          <w:szCs w:val="20"/>
          <w:highlight w:val="none"/>
        </w:rPr>
      </w:pPr>
      <w:r>
        <w:rPr>
          <w:rFonts w:hint="eastAsia"/>
          <w:sz w:val="24"/>
          <w:szCs w:val="20"/>
          <w:highlight w:val="none"/>
        </w:rPr>
        <w:t xml:space="preserve">电        话：</w:t>
      </w:r>
      <w:r/>
    </w:p>
    <w:p>
      <w:pPr>
        <w:ind w:firstLine="482"/>
        <w:spacing w:line="500" w:lineRule="exact"/>
        <w:widowControl/>
        <w:rPr>
          <w:sz w:val="24"/>
          <w:szCs w:val="20"/>
          <w:highlight w:val="none"/>
        </w:rPr>
      </w:pPr>
      <w:r>
        <w:rPr>
          <w:rFonts w:hint="eastAsia"/>
          <w:sz w:val="24"/>
          <w:szCs w:val="20"/>
          <w:highlight w:val="none"/>
        </w:rPr>
        <w:t xml:space="preserve">传        真：</w:t>
      </w:r>
      <w:r/>
    </w:p>
    <w:p>
      <w:pPr>
        <w:ind w:firstLine="482"/>
        <w:spacing w:line="500" w:lineRule="exact"/>
        <w:widowControl/>
        <w:rPr>
          <w:sz w:val="24"/>
          <w:szCs w:val="20"/>
          <w:highlight w:val="none"/>
        </w:rPr>
      </w:pPr>
      <w:r>
        <w:rPr>
          <w:rFonts w:hint="eastAsia"/>
          <w:sz w:val="24"/>
          <w:szCs w:val="20"/>
          <w:highlight w:val="none"/>
        </w:rPr>
        <w:t xml:space="preserve">投标人开户行：</w:t>
      </w:r>
      <w:r/>
    </w:p>
    <w:p>
      <w:pPr>
        <w:ind w:firstLine="482"/>
        <w:spacing w:line="500" w:lineRule="exact"/>
        <w:widowControl/>
        <w:rPr>
          <w:sz w:val="24"/>
          <w:szCs w:val="20"/>
          <w:highlight w:val="none"/>
        </w:rPr>
      </w:pPr>
      <w:r>
        <w:rPr>
          <w:rFonts w:hint="eastAsia"/>
          <w:sz w:val="24"/>
          <w:szCs w:val="20"/>
          <w:highlight w:val="none"/>
        </w:rPr>
        <w:t xml:space="preserve">账        号： </w:t>
      </w:r>
      <w:r/>
    </w:p>
    <w:p>
      <w:pPr>
        <w:ind w:firstLine="482"/>
        <w:spacing w:line="500" w:lineRule="exact"/>
        <w:widowControl/>
        <w:rPr>
          <w:sz w:val="24"/>
          <w:szCs w:val="20"/>
          <w:highlight w:val="none"/>
        </w:rPr>
      </w:pPr>
      <w:r>
        <w:rPr>
          <w:rFonts w:hint="eastAsia"/>
          <w:sz w:val="24"/>
          <w:szCs w:val="20"/>
          <w:highlight w:val="none"/>
        </w:rPr>
        <w:t xml:space="preserve">日        期：______年____月____日</w:t>
      </w:r>
      <w:r/>
    </w:p>
    <w:p>
      <w:pPr>
        <w:ind w:firstLine="480"/>
        <w:rPr>
          <w:sz w:val="24"/>
          <w:highlight w:val="none"/>
        </w:rPr>
      </w:pPr>
      <w:r>
        <w:rPr>
          <w:sz w:val="24"/>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rPr>
          <w:highlight w:val="none"/>
        </w:rPr>
      </w:pPr>
      <w:r>
        <w:rPr>
          <w:highlight w:val="none"/>
        </w:rPr>
      </w:r>
      <w:r/>
    </w:p>
    <w:p>
      <w:pPr>
        <w:jc w:val="center"/>
        <w:rPr>
          <w:rFonts w:eastAsia="黑体"/>
          <w:iCs/>
          <w:sz w:val="32"/>
          <w:szCs w:val="32"/>
          <w:highlight w:val="none"/>
        </w:rPr>
      </w:pPr>
      <w:r>
        <w:rPr>
          <w:rFonts w:eastAsia="黑体"/>
          <w:iCs/>
          <w:sz w:val="32"/>
          <w:szCs w:val="32"/>
          <w:highlight w:val="none"/>
        </w:rPr>
        <w:t xml:space="preserve">九、中小微企业声明函（服务）</w:t>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号）的规定，本公司（联合体）参加盐城市盐都区公共资源交易中心组织的</w:t>
      </w:r>
      <w:r>
        <w:rPr>
          <w:rFonts w:hint="eastAsia"/>
          <w:i/>
          <w:iCs/>
          <w:sz w:val="24"/>
          <w:highlight w:val="none"/>
          <w:u w:val="single"/>
        </w:rPr>
        <w:t xml:space="preserve">（单位名称）</w:t>
      </w:r>
      <w:r>
        <w:rPr>
          <w:rFonts w:hint="eastAsia"/>
          <w:sz w:val="24"/>
          <w:szCs w:val="20"/>
          <w:highlight w:val="none"/>
        </w:rPr>
        <w:t xml:space="preserve">，</w:t>
      </w:r>
      <w:r>
        <w:rPr>
          <w:rFonts w:hint="eastAsia"/>
          <w:sz w:val="24"/>
          <w:highlight w:val="none"/>
        </w:rPr>
        <w:t xml:space="preserve">采购编号为</w:t>
      </w:r>
      <w:r>
        <w:rPr>
          <w:rFonts w:hint="eastAsia"/>
          <w:sz w:val="24"/>
          <w:highlight w:val="none"/>
          <w:u w:val="single"/>
        </w:rPr>
        <w:t xml:space="preserve">     </w:t>
      </w:r>
      <w:r>
        <w:rPr>
          <w:rFonts w:hint="eastAsia"/>
          <w:sz w:val="24"/>
          <w:highlight w:val="none"/>
        </w:rPr>
        <w:t xml:space="preserve">的</w:t>
      </w:r>
      <w:r>
        <w:rPr>
          <w:rFonts w:hint="eastAsia"/>
          <w:i/>
          <w:iCs/>
          <w:sz w:val="24"/>
          <w:highlight w:val="none"/>
          <w:u w:val="single"/>
        </w:rPr>
        <w:t xml:space="preserve">（项目名称）</w:t>
      </w:r>
      <w:r>
        <w:rPr>
          <w:rFonts w:hint="eastAsia"/>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sz w:val="24"/>
          <w:highlight w:val="none"/>
          <w:u w:val="single"/>
        </w:rPr>
        <w:t xml:space="preserve">物业管理</w:t>
      </w:r>
      <w:r>
        <w:rPr>
          <w:rFonts w:hint="eastAsia"/>
          <w:sz w:val="24"/>
          <w:highlight w:val="none"/>
        </w:rPr>
        <w:t xml:space="preserve">行业；承建（承接）企业为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3"/>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pStyle w:val="800"/>
        <w:ind w:right="720"/>
        <w:jc w:val="both"/>
        <w:spacing w:beforeAutospacing="0" w:afterAutospacing="0" w:line="0" w:lineRule="atLeast"/>
        <w:rPr>
          <w:rFonts w:hint="eastAsia"/>
          <w:highlight w:val="none"/>
        </w:rPr>
      </w:pPr>
      <w:r>
        <w:rPr>
          <w:highlight w:val="none"/>
        </w:rPr>
        <w:t xml:space="preserve"> </w:t>
      </w:r>
      <w:r/>
    </w:p>
    <w:p>
      <w:pPr>
        <w:pStyle w:val="800"/>
        <w:ind w:right="180" w:firstLine="360"/>
        <w:jc w:val="right"/>
        <w:spacing w:beforeAutospacing="0" w:afterAutospacing="0" w:line="0" w:lineRule="atLeast"/>
        <w:rPr>
          <w:rFonts w:hint="eastAsia"/>
          <w:highlight w:val="none"/>
        </w:rPr>
      </w:pPr>
      <w:r>
        <w:rPr>
          <w:rFonts w:hint="eastAsia"/>
          <w:highlight w:val="none"/>
        </w:rPr>
        <w:t xml:space="preserve">企业名称（加盖CA电子公章）：</w:t>
      </w:r>
      <w:r/>
    </w:p>
    <w:p>
      <w:pPr>
        <w:pStyle w:val="800"/>
        <w:ind w:right="480" w:firstLine="5400"/>
        <w:jc w:val="both"/>
        <w:spacing w:beforeAutospacing="0" w:afterAutospacing="0" w:line="0" w:lineRule="atLeast"/>
        <w:rPr>
          <w:rFonts w:hint="eastAsia"/>
          <w:highlight w:val="none"/>
        </w:rPr>
      </w:pPr>
      <w:r>
        <w:rPr>
          <w:rFonts w:hint="eastAsia"/>
          <w:highlight w:val="none"/>
        </w:rPr>
        <w:t xml:space="preserve">日  期：</w:t>
      </w:r>
      <w:r/>
    </w:p>
    <w:p>
      <w:pPr>
        <w:pStyle w:val="800"/>
        <w:ind w:firstLine="240"/>
        <w:jc w:val="both"/>
        <w:spacing w:beforeAutospacing="0" w:afterAutospacing="0" w:line="0" w:lineRule="atLeast"/>
        <w:rPr>
          <w:rFonts w:hint="eastAsia"/>
          <w:highlight w:val="none"/>
        </w:rPr>
      </w:pPr>
      <w:r>
        <w:rPr>
          <w:highlight w:val="none"/>
        </w:rPr>
        <w:t xml:space="preserve"> </w:t>
      </w:r>
      <w:r/>
    </w:p>
    <w:p>
      <w:pPr>
        <w:pStyle w:val="800"/>
        <w:ind w:firstLine="480"/>
        <w:jc w:val="both"/>
        <w:spacing w:beforeAutospacing="0" w:afterAutospacing="0" w:line="0" w:lineRule="atLeast"/>
        <w:rPr>
          <w:rFonts w:hint="eastAsia"/>
          <w:highlight w:val="none"/>
        </w:rPr>
      </w:pPr>
      <w:r>
        <w:rPr>
          <w:rFonts w:hint="eastAsia"/>
          <w:highlight w:val="none"/>
        </w:rPr>
        <w:t xml:space="preserve">备注1：从业人员、营业收入、资产总额填报上一年度数据，无上一年度数据的新成立企业可不填报。</w:t>
      </w:r>
      <w:r/>
    </w:p>
    <w:p>
      <w:pPr>
        <w:pStyle w:val="800"/>
        <w:ind w:firstLine="480"/>
        <w:jc w:val="both"/>
        <w:spacing w:beforeAutospacing="0" w:afterAutospacing="0" w:line="0" w:lineRule="atLeast"/>
        <w:rPr>
          <w:rFonts w:hint="eastAsia"/>
          <w:highlight w:val="none"/>
        </w:rPr>
      </w:pPr>
      <w:r>
        <w:rPr>
          <w:rFonts w:hint="eastAsia"/>
          <w:highlight w:val="none"/>
        </w:rPr>
        <w:t xml:space="preserve">备注2：供应商如不提供此声明函，价格将不做相应扣除（如项目全面面向中小企业，则资格审查不通过）。</w:t>
      </w:r>
      <w:r/>
    </w:p>
    <w:p>
      <w:pPr>
        <w:pStyle w:val="800"/>
        <w:jc w:val="center"/>
        <w:spacing w:beforeAutospacing="0" w:afterAutospacing="0" w:line="0" w:lineRule="atLeast"/>
        <w:rPr>
          <w:rFonts w:hint="eastAsia"/>
          <w:highlight w:val="none"/>
        </w:rPr>
      </w:pPr>
      <w:r>
        <w:rPr>
          <w:rFonts w:hint="eastAsia" w:ascii="黑体" w:eastAsia="黑体" w:cs="黑体"/>
          <w:b/>
          <w:sz w:val="32"/>
          <w:szCs w:val="32"/>
          <w:highlight w:val="none"/>
        </w:rPr>
        <w:br w:type="page" w:clear="all"/>
      </w:r>
      <w:r>
        <w:rPr>
          <w:rFonts w:hint="eastAsia" w:ascii="黑体" w:eastAsia="黑体" w:cs="黑体"/>
          <w:b/>
          <w:sz w:val="32"/>
          <w:szCs w:val="32"/>
          <w:highlight w:val="none"/>
        </w:rPr>
        <w:t xml:space="preserve">十、残疾人福利性单位声明函（分包号：**）</w:t>
      </w:r>
      <w:r/>
    </w:p>
    <w:p>
      <w:pPr>
        <w:pStyle w:val="800"/>
        <w:ind w:firstLine="480"/>
        <w:jc w:val="both"/>
        <w:spacing w:before="0" w:beforeAutospacing="0" w:after="0" w:afterAutospacing="0" w:line="400" w:lineRule="exact"/>
        <w:rPr>
          <w:rFonts w:hint="eastAsia"/>
          <w:highlight w:val="none"/>
        </w:rPr>
      </w:pPr>
      <w:r>
        <w:rPr>
          <w:rFonts w:hint="eastAsia"/>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highlight w:val="none"/>
          <w:u w:val="single"/>
        </w:rPr>
        <w:t xml:space="preserve">       </w:t>
      </w:r>
      <w:r>
        <w:rPr>
          <w:rFonts w:hint="eastAsia"/>
          <w:highlight w:val="none"/>
        </w:rPr>
        <w:t xml:space="preserve">项目（分包号：**）采购活动由本单位提供服务。</w:t>
      </w:r>
      <w:r/>
    </w:p>
    <w:p>
      <w:pPr>
        <w:pStyle w:val="800"/>
        <w:ind w:firstLine="480"/>
        <w:jc w:val="both"/>
        <w:spacing w:before="0" w:beforeAutospacing="0" w:after="0" w:afterAutospacing="0" w:line="400" w:lineRule="exact"/>
        <w:rPr>
          <w:rFonts w:hint="eastAsia"/>
          <w:highlight w:val="none"/>
        </w:rPr>
      </w:pPr>
      <w:r>
        <w:rPr>
          <w:rFonts w:hint="eastAsia"/>
          <w:highlight w:val="none"/>
        </w:rPr>
        <w:t xml:space="preserve">本单位对上述声明的真实性负责。如有虚假，将依法承担相应责任。</w:t>
      </w:r>
      <w:r/>
    </w:p>
    <w:p>
      <w:pPr>
        <w:pStyle w:val="800"/>
        <w:ind w:firstLine="480"/>
        <w:jc w:val="both"/>
        <w:spacing w:before="0" w:beforeAutospacing="0" w:after="0" w:afterAutospacing="0" w:line="400" w:lineRule="exact"/>
        <w:rPr>
          <w:rFonts w:hint="eastAsia"/>
          <w:highlight w:val="none"/>
        </w:rPr>
      </w:pPr>
      <w:r>
        <w:rPr>
          <w:highlight w:val="none"/>
        </w:rPr>
        <w:t xml:space="preserve"> </w:t>
      </w:r>
      <w:r/>
    </w:p>
    <w:p>
      <w:pPr>
        <w:pStyle w:val="800"/>
        <w:ind w:firstLine="480"/>
        <w:jc w:val="both"/>
        <w:spacing w:before="0" w:beforeAutospacing="0" w:after="0" w:afterAutospacing="0" w:line="400" w:lineRule="exact"/>
        <w:rPr>
          <w:rFonts w:hint="eastAsia"/>
          <w:highlight w:val="none"/>
        </w:rPr>
      </w:pPr>
      <w:r>
        <w:rPr>
          <w:rFonts w:hint="eastAsia"/>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pStyle w:val="800"/>
        <w:ind w:firstLine="624"/>
        <w:jc w:val="both"/>
        <w:spacing w:before="0" w:beforeAutospacing="0" w:after="0" w:afterAutospacing="0" w:line="400" w:lineRule="exact"/>
        <w:rPr>
          <w:rFonts w:hint="eastAsia"/>
          <w:highlight w:val="none"/>
        </w:rPr>
      </w:pPr>
      <w:r>
        <w:rPr>
          <w:highlight w:val="none"/>
        </w:rPr>
        <w:t xml:space="preserve"> </w:t>
      </w:r>
      <w:r/>
    </w:p>
    <w:p>
      <w:pPr>
        <w:pStyle w:val="800"/>
        <w:ind w:right="1560" w:firstLine="624"/>
        <w:jc w:val="center"/>
        <w:spacing w:before="0" w:beforeAutospacing="0" w:after="0" w:afterAutospacing="0" w:line="400" w:lineRule="exact"/>
        <w:tabs>
          <w:tab w:val="left" w:pos="4864" w:leader="none"/>
        </w:tabs>
        <w:rPr>
          <w:rFonts w:hint="eastAsia"/>
          <w:highlight w:val="none"/>
        </w:rPr>
      </w:pPr>
      <w:r>
        <w:rPr>
          <w:rFonts w:ascii="仿宋_GB2312" w:eastAsia="仿宋_GB2312" w:cs="仿宋_GB2312"/>
          <w:sz w:val="30"/>
          <w:szCs w:val="30"/>
          <w:highlight w:val="none"/>
        </w:rPr>
        <w:t xml:space="preserve">             </w:t>
      </w:r>
      <w:r>
        <w:rPr>
          <w:rFonts w:hint="eastAsia"/>
          <w:highlight w:val="none"/>
        </w:rPr>
        <w:t xml:space="preserve">          供应商全称（加盖CA电子公章）：</w:t>
      </w:r>
      <w:r/>
    </w:p>
    <w:p>
      <w:pPr>
        <w:pStyle w:val="800"/>
        <w:ind w:right="1560" w:firstLine="480"/>
        <w:jc w:val="center"/>
        <w:spacing w:before="0" w:beforeAutospacing="0" w:after="0" w:afterAutospacing="0" w:line="400" w:lineRule="exact"/>
        <w:tabs>
          <w:tab w:val="left" w:pos="4864" w:leader="none"/>
        </w:tabs>
        <w:rPr>
          <w:rFonts w:hint="eastAsia"/>
          <w:highlight w:val="none"/>
        </w:rPr>
      </w:pPr>
      <w:r>
        <w:rPr>
          <w:rFonts w:hint="eastAsia"/>
          <w:highlight w:val="none"/>
        </w:rPr>
        <w:t xml:space="preserve">        日  期：</w:t>
      </w:r>
      <w:r/>
    </w:p>
    <w:p>
      <w:pPr>
        <w:pStyle w:val="816"/>
        <w:jc w:val="center"/>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825"/>
        <w:rPr>
          <w:rFonts w:ascii="Times New Roman" w:hAnsi="Times New Roman" w:cs="Times New Roman"/>
          <w:highlight w:val="none"/>
        </w:rPr>
      </w:pPr>
      <w:r>
        <w:rPr>
          <w:rFonts w:ascii="Times New Roman" w:hAnsi="Times New Roman" w:cs="Times New Roman"/>
          <w:highlight w:val="none"/>
        </w:rPr>
      </w:r>
      <w:r/>
    </w:p>
    <w:p>
      <w:pPr>
        <w:pStyle w:val="825"/>
        <w:rPr>
          <w:rFonts w:ascii="Times New Roman" w:hAnsi="Times New Roman" w:cs="Times New Roman"/>
          <w:highlight w:val="none"/>
        </w:rPr>
      </w:pPr>
      <w:r>
        <w:rPr>
          <w:rFonts w:ascii="Times New Roman" w:hAnsi="Times New Roman" w:cs="Times New Roman"/>
          <w:highlight w:val="none"/>
        </w:rPr>
      </w:r>
      <w:r/>
    </w:p>
    <w:p>
      <w:pPr>
        <w:pStyle w:val="825"/>
        <w:rPr>
          <w:rFonts w:ascii="Times New Roman" w:hAnsi="Times New Roman" w:cs="Times New Roman"/>
          <w:highlight w:val="none"/>
        </w:rPr>
      </w:pPr>
      <w:r>
        <w:rPr>
          <w:rFonts w:ascii="Times New Roman" w:hAnsi="Times New Roman" w:cs="Times New Roman"/>
          <w:highlight w:val="none"/>
        </w:rPr>
      </w:r>
      <w:r/>
    </w:p>
    <w:p>
      <w:pPr>
        <w:pStyle w:val="825"/>
        <w:rPr>
          <w:rFonts w:ascii="Times New Roman" w:hAnsi="Times New Roman" w:cs="Times New Roman"/>
          <w:highlight w:val="none"/>
        </w:rPr>
      </w:pPr>
      <w:r>
        <w:rPr>
          <w:rFonts w:ascii="Times New Roman" w:hAnsi="Times New Roman" w:cs="Times New Roman"/>
          <w:highlight w:val="none"/>
        </w:rPr>
      </w:r>
      <w:r/>
    </w:p>
    <w:p>
      <w:pPr>
        <w:pStyle w:val="825"/>
        <w:rPr>
          <w:rFonts w:ascii="Times New Roman" w:hAnsi="Times New Roman" w:cs="Times New Roman"/>
          <w:highlight w:val="none"/>
        </w:rPr>
      </w:pPr>
      <w:r>
        <w:rPr>
          <w:rFonts w:ascii="Times New Roman" w:hAnsi="Times New Roman" w:cs="Times New Roman"/>
          <w:highlight w:val="none"/>
        </w:rPr>
      </w:r>
      <w:r/>
    </w:p>
    <w:p>
      <w:pPr>
        <w:pStyle w:val="825"/>
        <w:rPr>
          <w:rFonts w:ascii="Times New Roman" w:hAnsi="Times New Roman" w:cs="Times New Roman"/>
          <w:highlight w:val="none"/>
        </w:rPr>
      </w:pPr>
      <w:r>
        <w:rPr>
          <w:rFonts w:ascii="Times New Roman" w:hAnsi="Times New Roman" w:cs="Times New Roman"/>
          <w:highlight w:val="none"/>
        </w:rPr>
      </w:r>
      <w:r/>
    </w:p>
    <w:p>
      <w:pPr>
        <w:pStyle w:val="825"/>
        <w:rPr>
          <w:rFonts w:ascii="Times New Roman" w:hAnsi="Times New Roman" w:cs="Times New Roman"/>
          <w:highlight w:val="none"/>
        </w:rPr>
      </w:pPr>
      <w:r>
        <w:rPr>
          <w:rFonts w:ascii="Times New Roman" w:hAnsi="Times New Roman" w:cs="Times New Roman"/>
          <w:highlight w:val="none"/>
        </w:rPr>
      </w:r>
      <w:r/>
    </w:p>
    <w:p>
      <w:pPr>
        <w:pStyle w:val="816"/>
        <w:ind w:firstLine="0"/>
        <w:jc w:val="center"/>
        <w:rPr>
          <w:sz w:val="24"/>
          <w:highlight w:val="none"/>
        </w:rPr>
      </w:pPr>
      <w:r>
        <w:rPr>
          <w:sz w:val="24"/>
          <w:highlight w:val="none"/>
        </w:rPr>
      </w:r>
      <w:r/>
    </w:p>
    <w:p>
      <w:pPr>
        <w:pStyle w:val="816"/>
        <w:ind w:firstLine="0"/>
        <w:jc w:val="center"/>
        <w:rPr>
          <w:rFonts w:eastAsia="黑体"/>
          <w:sz w:val="32"/>
          <w:szCs w:val="32"/>
          <w:highlight w:val="none"/>
        </w:rPr>
      </w:pPr>
      <w:r>
        <w:rPr>
          <w:rFonts w:eastAsia="黑体"/>
          <w:sz w:val="32"/>
          <w:szCs w:val="32"/>
          <w:highlight w:val="none"/>
        </w:rPr>
      </w:r>
      <w:r/>
    </w:p>
    <w:p>
      <w:pPr>
        <w:pStyle w:val="816"/>
        <w:ind w:firstLine="0"/>
        <w:jc w:val="center"/>
        <w:rPr>
          <w:rFonts w:eastAsia="黑体"/>
          <w:sz w:val="32"/>
          <w:szCs w:val="32"/>
          <w:highlight w:val="none"/>
        </w:rPr>
      </w:pPr>
      <w:r>
        <w:rPr>
          <w:rFonts w:eastAsia="黑体"/>
          <w:sz w:val="32"/>
          <w:szCs w:val="32"/>
          <w:highlight w:val="none"/>
        </w:rPr>
      </w:r>
      <w:r/>
    </w:p>
    <w:p>
      <w:pPr>
        <w:pStyle w:val="816"/>
        <w:ind w:firstLine="0"/>
        <w:jc w:val="center"/>
        <w:rPr>
          <w:rFonts w:eastAsia="黑体"/>
          <w:iCs/>
          <w:sz w:val="32"/>
          <w:szCs w:val="32"/>
          <w:highlight w:val="none"/>
        </w:rPr>
      </w:pPr>
      <w:r>
        <w:rPr>
          <w:rFonts w:eastAsia="黑体"/>
          <w:iCs/>
          <w:sz w:val="32"/>
          <w:szCs w:val="32"/>
          <w:highlight w:val="none"/>
        </w:rPr>
        <w:t xml:space="preserve">十一、投标分项报价表</w:t>
      </w:r>
      <w:r/>
    </w:p>
    <w:p>
      <w:pPr>
        <w:pStyle w:val="1046"/>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项目名称：盐城市盐都区龙冈（凤凰）小学物业服务项目</w:t>
      </w:r>
      <w:r/>
    </w:p>
    <w:p>
      <w:pPr>
        <w:pStyle w:val="1046"/>
        <w:rPr>
          <w:rFonts w:hint="eastAsia" w:hAnsi="宋体" w:eastAsia="宋体"/>
          <w:color w:val="auto"/>
          <w:sz w:val="21"/>
          <w:highlight w:val="none"/>
        </w:rPr>
      </w:pPr>
      <w:r>
        <w:rPr>
          <w:rFonts w:hint="eastAsia" w:hAnsi="宋体" w:eastAsia="宋体"/>
          <w:color w:val="auto"/>
          <w:sz w:val="21"/>
          <w:highlight w:val="none"/>
        </w:rPr>
        <w:t xml:space="preserve">投标人名称（公章）：</w:t>
      </w:r>
      <w:r/>
    </w:p>
    <w:tbl>
      <w:tblPr>
        <w:tblStyle w:val="692"/>
        <w:tblW w:w="8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664"/>
        <w:gridCol w:w="993"/>
        <w:gridCol w:w="992"/>
        <w:gridCol w:w="1134"/>
        <w:gridCol w:w="1134"/>
        <w:gridCol w:w="2225"/>
      </w:tblGrid>
      <w:tr>
        <w:trPr>
          <w:jc w:val="center"/>
          <w:trHeight w:val="615"/>
        </w:trPr>
        <w:tc>
          <w:tcPr>
            <w:tcW w:w="767"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序号</w:t>
            </w:r>
            <w:r/>
          </w:p>
        </w:tc>
        <w:tc>
          <w:tcPr>
            <w:tcW w:w="1664"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名称</w:t>
            </w:r>
            <w:r/>
          </w:p>
        </w:tc>
        <w:tc>
          <w:tcPr>
            <w:tcW w:w="993" w:type="dxa"/>
            <w:vAlign w:val="center"/>
            <w:textDirection w:val="lrTb"/>
            <w:noWrap w:val="false"/>
          </w:tcPr>
          <w:p>
            <w:pPr>
              <w:spacing w:line="240" w:lineRule="exact"/>
              <w:widowControl/>
              <w:rPr>
                <w:rFonts w:hint="eastAsia" w:ascii="宋体" w:hAnsi="宋体"/>
                <w:szCs w:val="21"/>
                <w:highlight w:val="none"/>
              </w:rPr>
            </w:pPr>
            <w:r>
              <w:rPr>
                <w:rFonts w:hint="eastAsia" w:ascii="宋体" w:hAnsi="宋体"/>
                <w:szCs w:val="21"/>
                <w:highlight w:val="none"/>
              </w:rPr>
              <w:t xml:space="preserve">人数</w:t>
            </w:r>
            <w:r/>
          </w:p>
        </w:tc>
        <w:tc>
          <w:tcPr>
            <w:tcW w:w="992" w:type="dxa"/>
            <w:vAlign w:val="center"/>
            <w:textDirection w:val="lrTb"/>
            <w:noWrap w:val="false"/>
          </w:tcPr>
          <w:p>
            <w:pPr>
              <w:spacing w:line="240" w:lineRule="exact"/>
              <w:widowControl/>
              <w:rPr>
                <w:rFonts w:hint="eastAsia" w:ascii="宋体" w:hAnsi="宋体"/>
                <w:szCs w:val="21"/>
                <w:highlight w:val="none"/>
              </w:rPr>
            </w:pPr>
            <w:r>
              <w:rPr>
                <w:rFonts w:hint="eastAsia" w:ascii="宋体" w:hAnsi="宋体"/>
                <w:szCs w:val="21"/>
                <w:highlight w:val="none"/>
              </w:rPr>
              <w:t xml:space="preserve">（元/人/月/工时）</w:t>
            </w:r>
            <w:r/>
          </w:p>
        </w:tc>
        <w:tc>
          <w:tcPr>
            <w:tcW w:w="1134"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时间（月）</w:t>
            </w:r>
            <w:r/>
          </w:p>
        </w:tc>
        <w:tc>
          <w:tcPr>
            <w:tcW w:w="1134"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总价（元）</w:t>
            </w:r>
            <w:r/>
          </w:p>
        </w:tc>
        <w:tc>
          <w:tcPr>
            <w:tcW w:w="2225"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备注</w:t>
            </w:r>
            <w:r/>
          </w:p>
        </w:tc>
      </w:tr>
      <w:tr>
        <w:trPr>
          <w:jc w:val="center"/>
          <w:trHeight w:val="629"/>
        </w:trPr>
        <w:tc>
          <w:tcPr>
            <w:tcW w:w="767" w:type="dxa"/>
            <w:vAlign w:val="center"/>
            <w:textDirection w:val="lrTb"/>
            <w:noWrap w:val="false"/>
          </w:tcPr>
          <w:p>
            <w:pPr>
              <w:ind w:firstLine="210"/>
              <w:spacing w:line="240" w:lineRule="exact"/>
              <w:widowControl/>
              <w:rPr>
                <w:rFonts w:hint="eastAsia" w:ascii="宋体" w:hAnsi="宋体"/>
                <w:szCs w:val="21"/>
                <w:highlight w:val="none"/>
              </w:rPr>
            </w:pPr>
            <w:r>
              <w:rPr>
                <w:rFonts w:hint="eastAsia" w:ascii="宋体" w:hAnsi="宋体"/>
                <w:szCs w:val="21"/>
                <w:highlight w:val="none"/>
              </w:rPr>
              <w:t xml:space="preserve">1</w:t>
            </w:r>
            <w:r/>
          </w:p>
        </w:tc>
        <w:tc>
          <w:tcPr>
            <w:tcW w:w="1664" w:type="dxa"/>
            <w:vAlign w:val="center"/>
            <w:textDirection w:val="lrTb"/>
            <w:noWrap w:val="false"/>
          </w:tcPr>
          <w:p>
            <w:pPr>
              <w:spacing w:line="240" w:lineRule="exact"/>
              <w:widowControl/>
              <w:rPr>
                <w:rFonts w:hint="eastAsia" w:ascii="宋体" w:hAnsi="宋体"/>
                <w:szCs w:val="21"/>
                <w:highlight w:val="none"/>
              </w:rPr>
            </w:pPr>
            <w:r>
              <w:rPr>
                <w:rFonts w:hint="eastAsia" w:ascii="宋体" w:hAnsi="宋体"/>
                <w:szCs w:val="21"/>
                <w:highlight w:val="none"/>
              </w:rPr>
              <w:t xml:space="preserve">物业管理服务人员工资、社保、公积金、国假加班等费用</w:t>
            </w:r>
            <w:r/>
          </w:p>
        </w:tc>
        <w:tc>
          <w:tcPr>
            <w:gridSpan w:val="3"/>
            <w:tcW w:w="3119" w:type="dxa"/>
            <w:vAlign w:val="center"/>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t xml:space="preserve">（以下项合计）</w:t>
            </w:r>
            <w:r/>
          </w:p>
        </w:tc>
        <w:tc>
          <w:tcPr>
            <w:tcW w:w="1134"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2225"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r>
            <w:r/>
          </w:p>
        </w:tc>
      </w:tr>
      <w:tr>
        <w:trPr>
          <w:jc w:val="center"/>
          <w:trHeight w:val="1212"/>
        </w:trPr>
        <w:tc>
          <w:tcPr>
            <w:tcW w:w="767" w:type="dxa"/>
            <w:vAlign w:val="center"/>
            <w:vMerge w:val="restart"/>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664" w:type="dxa"/>
            <w:vAlign w:val="center"/>
            <w:textDirection w:val="lrTb"/>
            <w:noWrap w:val="false"/>
          </w:tcPr>
          <w:p>
            <w:pPr>
              <w:spacing w:line="240" w:lineRule="exact"/>
              <w:widowControl/>
              <w:rPr>
                <w:rFonts w:hint="eastAsia" w:ascii="宋体" w:hAnsi="宋体"/>
                <w:szCs w:val="21"/>
                <w:highlight w:val="none"/>
              </w:rPr>
            </w:pPr>
            <w:r>
              <w:rPr>
                <w:rFonts w:hint="eastAsia" w:ascii="宋体" w:hAnsi="宋体" w:cs="宋体"/>
                <w:sz w:val="24"/>
                <w:highlight w:val="none"/>
              </w:rPr>
              <w:t xml:space="preserve">保洁员</w:t>
            </w:r>
            <w:r/>
          </w:p>
        </w:tc>
        <w:tc>
          <w:tcPr>
            <w:tcW w:w="993"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6</w:t>
            </w:r>
            <w:r/>
          </w:p>
        </w:tc>
        <w:tc>
          <w:tcPr>
            <w:tcW w:w="992"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134"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134" w:type="dxa"/>
            <w:vAlign w:val="center"/>
            <w:textDirection w:val="lrTb"/>
            <w:noWrap w:val="false"/>
          </w:tcPr>
          <w:p>
            <w:pPr>
              <w:jc w:val="center"/>
              <w:widowControl/>
              <w:rPr>
                <w:rFonts w:hint="eastAsia" w:ascii="宋体" w:hAnsi="宋体" w:cs="Calibri"/>
                <w:szCs w:val="21"/>
                <w:highlight w:val="none"/>
              </w:rPr>
            </w:pPr>
            <w:r>
              <w:rPr>
                <w:rFonts w:hint="eastAsia" w:ascii="宋体" w:hAnsi="宋体" w:cs="Calibri"/>
                <w:szCs w:val="21"/>
                <w:highlight w:val="none"/>
              </w:rPr>
            </w:r>
            <w:r/>
          </w:p>
        </w:tc>
        <w:tc>
          <w:tcPr>
            <w:tcW w:w="2225" w:type="dxa"/>
            <w:vAlign w:val="center"/>
            <w:textDirection w:val="lrTb"/>
            <w:noWrap w:val="false"/>
          </w:tcPr>
          <w:p>
            <w:pPr>
              <w:jc w:val="left"/>
              <w:spacing w:line="240" w:lineRule="exact"/>
              <w:widowControl/>
              <w:rPr>
                <w:rFonts w:hint="eastAsia" w:ascii="宋体" w:hAnsi="宋体"/>
                <w:szCs w:val="21"/>
                <w:highlight w:val="none"/>
              </w:rPr>
            </w:pPr>
            <w:r/>
            <w:bookmarkStart w:id="159" w:name="OLE_LINK1"/>
            <w:r>
              <w:rPr>
                <w:rFonts w:hint="eastAsia" w:ascii="宋体" w:hAnsi="宋体" w:cs="Calibri"/>
                <w:szCs w:val="21"/>
                <w:highlight w:val="none"/>
              </w:rPr>
              <w:t xml:space="preserve">各投标人须按不低于</w:t>
            </w:r>
            <w:r>
              <w:rPr>
                <w:rFonts w:hint="eastAsia" w:ascii="宋体" w:hAnsi="宋体"/>
                <w:szCs w:val="21"/>
                <w:highlight w:val="none"/>
              </w:rPr>
              <w:t xml:space="preserve">本市最新公布的最低工资标准（2260</w:t>
            </w:r>
            <w:r>
              <w:rPr>
                <w:rFonts w:ascii="宋体" w:hAnsi="宋体"/>
                <w:szCs w:val="21"/>
                <w:highlight w:val="none"/>
              </w:rPr>
              <w:t xml:space="preserve">元/人/每月）填报，否则作无效标书处理。</w:t>
            </w:r>
            <w:bookmarkEnd w:id="159"/>
            <w:r/>
            <w:r/>
          </w:p>
        </w:tc>
      </w:tr>
      <w:tr>
        <w:trPr>
          <w:jc w:val="center"/>
          <w:trHeight w:val="782"/>
        </w:trPr>
        <w:tc>
          <w:tcPr>
            <w:tcW w:w="767" w:type="dxa"/>
            <w:vAlign w:val="center"/>
            <w:vMerge w:val="continue"/>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664" w:type="dxa"/>
            <w:vAlign w:val="center"/>
            <w:textDirection w:val="lrTb"/>
            <w:noWrap w:val="false"/>
          </w:tcPr>
          <w:p>
            <w:pPr>
              <w:spacing w:line="240" w:lineRule="exact"/>
              <w:widowControl/>
              <w:rPr>
                <w:rFonts w:hint="eastAsia" w:ascii="宋体" w:hAnsi="宋体"/>
                <w:szCs w:val="21"/>
                <w:highlight w:val="none"/>
              </w:rPr>
            </w:pPr>
            <w:r>
              <w:rPr>
                <w:rFonts w:hint="eastAsia" w:ascii="宋体" w:hAnsi="宋体" w:cs="宋体"/>
                <w:sz w:val="24"/>
                <w:highlight w:val="none"/>
              </w:rPr>
              <w:t xml:space="preserve">文印室人员</w:t>
            </w:r>
            <w:r/>
          </w:p>
        </w:tc>
        <w:tc>
          <w:tcPr>
            <w:tcW w:w="993"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1</w:t>
            </w:r>
            <w:r/>
          </w:p>
        </w:tc>
        <w:tc>
          <w:tcPr>
            <w:tcW w:w="992" w:type="dxa"/>
            <w:vAlign w:val="center"/>
            <w:textDirection w:val="lrTb"/>
            <w:noWrap w:val="false"/>
          </w:tcPr>
          <w:p>
            <w:pPr>
              <w:jc w:val="both"/>
              <w:spacing w:line="240" w:lineRule="exact"/>
              <w:widowControl/>
              <w:rPr>
                <w:rFonts w:hint="eastAsia" w:ascii="宋体" w:hAnsi="宋体"/>
                <w:color w:val="ffff00"/>
                <w:szCs w:val="21"/>
                <w:highlight w:val="none"/>
              </w:rPr>
            </w:pPr>
            <w:r>
              <w:rPr>
                <w:rFonts w:hint="eastAsia" w:ascii="宋体" w:hAnsi="宋体"/>
                <w:color w:val="ffff00"/>
                <w:szCs w:val="21"/>
                <w:highlight w:val="none"/>
              </w:rPr>
            </w:r>
            <w:r/>
          </w:p>
        </w:tc>
        <w:tc>
          <w:tcPr>
            <w:tcW w:w="1134" w:type="dxa"/>
            <w:vAlign w:val="center"/>
            <w:textDirection w:val="lrTb"/>
            <w:noWrap w:val="false"/>
          </w:tcPr>
          <w:p>
            <w:pPr>
              <w:jc w:val="center"/>
              <w:spacing w:line="240" w:lineRule="exact"/>
              <w:widowControl/>
              <w:rPr>
                <w:rFonts w:hint="eastAsia" w:ascii="宋体" w:hAnsi="宋体"/>
                <w:color w:val="ffff00"/>
                <w:szCs w:val="21"/>
                <w:highlight w:val="none"/>
              </w:rPr>
            </w:pPr>
            <w:r>
              <w:rPr>
                <w:rFonts w:hint="eastAsia" w:ascii="宋体" w:hAnsi="宋体"/>
                <w:color w:val="ffff00"/>
                <w:szCs w:val="21"/>
                <w:highlight w:val="none"/>
              </w:rPr>
            </w:r>
            <w:r/>
          </w:p>
        </w:tc>
        <w:tc>
          <w:tcPr>
            <w:tcW w:w="1134" w:type="dxa"/>
            <w:vAlign w:val="center"/>
            <w:textDirection w:val="lrTb"/>
            <w:noWrap w:val="false"/>
          </w:tcPr>
          <w:p>
            <w:pPr>
              <w:jc w:val="center"/>
              <w:widowControl/>
              <w:rPr>
                <w:rFonts w:hint="eastAsia" w:ascii="宋体" w:hAnsi="宋体" w:cs="Calibri"/>
                <w:color w:val="ffff00"/>
                <w:szCs w:val="21"/>
                <w:highlight w:val="none"/>
              </w:rPr>
            </w:pPr>
            <w:r>
              <w:rPr>
                <w:rFonts w:hint="eastAsia" w:ascii="宋体" w:hAnsi="宋体" w:cs="Calibri"/>
                <w:color w:val="ffff00"/>
                <w:szCs w:val="21"/>
                <w:highlight w:val="none"/>
              </w:rPr>
            </w:r>
            <w:r/>
          </w:p>
        </w:tc>
        <w:tc>
          <w:tcPr>
            <w:tcW w:w="2225" w:type="dxa"/>
            <w:vAlign w:val="center"/>
            <w:textDirection w:val="lrTb"/>
            <w:noWrap w:val="false"/>
          </w:tcPr>
          <w:p>
            <w:pPr>
              <w:jc w:val="left"/>
              <w:spacing w:line="240" w:lineRule="exact"/>
              <w:widowControl/>
              <w:rPr>
                <w:rFonts w:hint="eastAsia" w:ascii="宋体" w:hAnsi="宋体" w:cs="Calibri"/>
                <w:color w:val="ffff00"/>
                <w:szCs w:val="21"/>
                <w:highlight w:val="none"/>
              </w:rPr>
            </w:pPr>
            <w:r>
              <w:rPr>
                <w:rFonts w:hint="eastAsia" w:ascii="宋体" w:hAnsi="宋体" w:cs="Calibri"/>
                <w:szCs w:val="21"/>
                <w:highlight w:val="none"/>
              </w:rPr>
              <w:t xml:space="preserve">各投标人须按不低于</w:t>
            </w:r>
            <w:r>
              <w:rPr>
                <w:rFonts w:hint="eastAsia" w:ascii="宋体" w:hAnsi="宋体"/>
                <w:szCs w:val="21"/>
                <w:highlight w:val="none"/>
              </w:rPr>
              <w:t xml:space="preserve">（3500</w:t>
            </w:r>
            <w:r>
              <w:rPr>
                <w:rFonts w:ascii="宋体" w:hAnsi="宋体"/>
                <w:szCs w:val="21"/>
                <w:highlight w:val="none"/>
              </w:rPr>
              <w:t xml:space="preserve">元/月）填报，否则作无效标书处理。</w:t>
            </w:r>
            <w:r/>
          </w:p>
        </w:tc>
      </w:tr>
      <w:tr>
        <w:trPr>
          <w:jc w:val="center"/>
          <w:trHeight w:val="2459"/>
        </w:trPr>
        <w:tc>
          <w:tcPr>
            <w:tcW w:w="767" w:type="dxa"/>
            <w:vAlign w:val="center"/>
            <w:vMerge w:val="continue"/>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664" w:type="dxa"/>
            <w:vAlign w:val="center"/>
            <w:textDirection w:val="lrTb"/>
            <w:noWrap w:val="false"/>
          </w:tcPr>
          <w:p>
            <w:pPr>
              <w:spacing w:line="240" w:lineRule="exact"/>
              <w:widowControl/>
              <w:rPr>
                <w:rFonts w:hint="eastAsia" w:ascii="宋体" w:hAnsi="宋体"/>
                <w:szCs w:val="21"/>
                <w:highlight w:val="none"/>
              </w:rPr>
            </w:pPr>
            <w:r>
              <w:rPr>
                <w:rFonts w:hint="eastAsia" w:ascii="宋体" w:hAnsi="宋体"/>
                <w:szCs w:val="21"/>
                <w:highlight w:val="none"/>
              </w:rPr>
              <w:t xml:space="preserve">社会保险</w:t>
            </w:r>
            <w:r/>
          </w:p>
        </w:tc>
        <w:tc>
          <w:tcPr>
            <w:tcW w:w="993"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7</w:t>
            </w:r>
            <w:r/>
          </w:p>
        </w:tc>
        <w:tc>
          <w:tcPr>
            <w:tcW w:w="992"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134"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134" w:type="dxa"/>
            <w:vAlign w:val="center"/>
            <w:textDirection w:val="lrTb"/>
            <w:noWrap w:val="false"/>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W w:w="2225" w:type="dxa"/>
            <w:vAlign w:val="center"/>
            <w:textDirection w:val="lrTb"/>
            <w:noWrap w:val="false"/>
          </w:tcPr>
          <w:p>
            <w:pPr>
              <w:jc w:val="left"/>
              <w:spacing w:line="240" w:lineRule="exact"/>
              <w:widowControl/>
              <w:rPr>
                <w:rFonts w:hint="eastAsia" w:ascii="宋体" w:hAnsi="宋体" w:cs="Calibri"/>
                <w:szCs w:val="21"/>
                <w:highlight w:val="none"/>
              </w:rPr>
            </w:pPr>
            <w:r>
              <w:rPr>
                <w:rFonts w:hint="eastAsia" w:ascii="宋体" w:hAnsi="宋体" w:cs="宋体"/>
                <w:szCs w:val="21"/>
                <w:highlight w:val="none"/>
              </w:rPr>
              <w:t xml:space="preserve">所有人员必须足额缴纳社保费用，社保费用应执行苏人社发[2024]3号《关于2024年度社会保险缴费工资基数上下限暂行标准的通知》，社保（企业部分）不得低于上述文件标准及规定险种，即不得低于1273.42元/人/每月。</w:t>
            </w:r>
            <w:r>
              <w:rPr>
                <w:rFonts w:hint="eastAsia" w:ascii="宋体" w:hAnsi="宋体" w:cs="Calibri"/>
                <w:szCs w:val="21"/>
                <w:highlight w:val="none"/>
              </w:rPr>
              <w:t xml:space="preserve">人数7人，所有人员必须参加保险，否则作无效标书处理。</w:t>
            </w:r>
            <w:r/>
          </w:p>
        </w:tc>
      </w:tr>
      <w:tr>
        <w:trPr>
          <w:jc w:val="center"/>
          <w:trHeight w:val="1135"/>
        </w:trPr>
        <w:tc>
          <w:tcPr>
            <w:tcW w:w="767" w:type="dxa"/>
            <w:vAlign w:val="center"/>
            <w:vMerge w:val="continue"/>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664" w:type="dxa"/>
            <w:vAlign w:val="center"/>
            <w:textDirection w:val="lrTb"/>
            <w:noWrap w:val="false"/>
          </w:tcPr>
          <w:p>
            <w:pPr>
              <w:spacing w:line="240" w:lineRule="exact"/>
              <w:widowControl/>
              <w:rPr>
                <w:rFonts w:hint="eastAsia" w:ascii="宋体" w:hAnsi="宋体"/>
                <w:szCs w:val="21"/>
                <w:highlight w:val="none"/>
              </w:rPr>
            </w:pPr>
            <w:r>
              <w:rPr>
                <w:rFonts w:hint="eastAsia" w:ascii="宋体" w:hAnsi="宋体"/>
                <w:szCs w:val="21"/>
                <w:highlight w:val="none"/>
              </w:rPr>
              <w:t xml:space="preserve">住房公积金</w:t>
            </w:r>
            <w:r/>
          </w:p>
        </w:tc>
        <w:tc>
          <w:tcPr>
            <w:tcW w:w="993"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t xml:space="preserve">7</w:t>
            </w:r>
            <w:r/>
          </w:p>
        </w:tc>
        <w:tc>
          <w:tcPr>
            <w:tcW w:w="992"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134" w:type="dxa"/>
            <w:vAlign w:val="center"/>
            <w:textDirection w:val="lrTb"/>
            <w:noWrap w:val="false"/>
          </w:tcPr>
          <w:p>
            <w:pPr>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134" w:type="dxa"/>
            <w:vAlign w:val="center"/>
            <w:textDirection w:val="lrTb"/>
            <w:noWrap w:val="false"/>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W w:w="2225" w:type="dxa"/>
            <w:vAlign w:val="center"/>
            <w:textDirection w:val="lrTb"/>
            <w:noWrap w:val="false"/>
          </w:tcPr>
          <w:p>
            <w:pPr>
              <w:jc w:val="left"/>
              <w:spacing w:line="240" w:lineRule="exact"/>
              <w:widowControl/>
              <w:rPr>
                <w:rFonts w:hint="eastAsia" w:ascii="宋体" w:hAnsi="宋体"/>
                <w:szCs w:val="21"/>
                <w:highlight w:val="none"/>
              </w:rPr>
            </w:pPr>
            <w:r>
              <w:rPr>
                <w:rFonts w:hint="eastAsia" w:ascii="宋体" w:hAnsi="宋体" w:cs="宋体"/>
                <w:szCs w:val="21"/>
                <w:highlight w:val="none"/>
              </w:rPr>
              <w:t xml:space="preserve">住房公积金须按不低于1</w:t>
            </w:r>
            <w:r>
              <w:rPr>
                <w:rFonts w:hint="eastAsia" w:ascii="宋体" w:hAnsi="宋体" w:cs="宋体"/>
                <w:szCs w:val="21"/>
                <w:highlight w:val="none"/>
                <w:lang w:val="en-US" w:eastAsia="zh-CN"/>
              </w:rPr>
              <w:t xml:space="preserve">65.60</w:t>
            </w:r>
            <w:r>
              <w:rPr>
                <w:rFonts w:hint="eastAsia" w:ascii="宋体" w:hAnsi="宋体" w:cs="宋体"/>
                <w:szCs w:val="21"/>
                <w:highlight w:val="none"/>
              </w:rPr>
              <w:t xml:space="preserve">元/人*月。否则</w:t>
            </w:r>
            <w:r>
              <w:rPr>
                <w:rFonts w:ascii="宋体" w:hAnsi="宋体"/>
                <w:szCs w:val="21"/>
                <w:highlight w:val="none"/>
              </w:rPr>
              <w:t xml:space="preserve">作无效标书处理。</w:t>
            </w:r>
            <w:r/>
          </w:p>
        </w:tc>
      </w:tr>
      <w:tr>
        <w:trPr>
          <w:jc w:val="center"/>
          <w:trHeight w:val="468"/>
        </w:trPr>
        <w:tc>
          <w:tcPr>
            <w:tcW w:w="767" w:type="dxa"/>
            <w:vAlign w:val="center"/>
            <w:textDirection w:val="lrTb"/>
            <w:noWrap w:val="false"/>
          </w:tcPr>
          <w:p>
            <w:pPr>
              <w:ind w:firstLine="210"/>
              <w:spacing w:line="240" w:lineRule="exact"/>
              <w:widowControl/>
              <w:rPr>
                <w:rFonts w:hint="eastAsia" w:ascii="宋体" w:hAnsi="宋体"/>
                <w:szCs w:val="21"/>
                <w:highlight w:val="none"/>
              </w:rPr>
            </w:pPr>
            <w:r>
              <w:rPr>
                <w:rFonts w:hint="eastAsia" w:ascii="宋体" w:hAnsi="宋体"/>
                <w:szCs w:val="21"/>
                <w:highlight w:val="none"/>
              </w:rPr>
              <w:t xml:space="preserve">2</w:t>
            </w:r>
            <w:r/>
          </w:p>
        </w:tc>
        <w:tc>
          <w:tcPr>
            <w:tcW w:w="1664" w:type="dxa"/>
            <w:vAlign w:val="center"/>
            <w:textDirection w:val="lrTb"/>
            <w:noWrap w:val="false"/>
          </w:tcPr>
          <w:p>
            <w:pPr>
              <w:spacing w:line="240" w:lineRule="exact"/>
              <w:widowControl/>
              <w:rPr>
                <w:rFonts w:hint="eastAsia" w:ascii="宋体" w:hAnsi="宋体"/>
                <w:szCs w:val="21"/>
                <w:highlight w:val="none"/>
              </w:rPr>
            </w:pPr>
            <w:r>
              <w:rPr>
                <w:rFonts w:hint="eastAsia" w:ascii="宋体" w:hAnsi="宋体"/>
                <w:szCs w:val="21"/>
                <w:highlight w:val="none"/>
              </w:rPr>
              <w:t xml:space="preserve">综合管理杂费</w:t>
            </w:r>
            <w:r/>
          </w:p>
        </w:tc>
        <w:tc>
          <w:tcPr>
            <w:gridSpan w:val="3"/>
            <w:tcW w:w="3119" w:type="dxa"/>
            <w:vAlign w:val="center"/>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t xml:space="preserve">（以下项合计）</w:t>
            </w:r>
            <w:r/>
          </w:p>
        </w:tc>
        <w:tc>
          <w:tcPr>
            <w:shd w:val="clear" w:color="auto" w:fill="auto"/>
            <w:tcW w:w="1134" w:type="dxa"/>
            <w:vAlign w:val="center"/>
            <w:textDirection w:val="lrTb"/>
            <w:noWrap w:val="false"/>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W w:w="2225" w:type="dxa"/>
            <w:vAlign w:val="center"/>
            <w:textDirection w:val="lrTb"/>
            <w:noWrap w:val="false"/>
          </w:tcPr>
          <w:p>
            <w:pPr>
              <w:ind w:firstLine="420"/>
              <w:jc w:val="left"/>
              <w:spacing w:line="240" w:lineRule="exact"/>
              <w:widowControl/>
              <w:rPr>
                <w:rFonts w:hint="eastAsia" w:ascii="宋体" w:hAnsi="宋体"/>
                <w:szCs w:val="21"/>
                <w:highlight w:val="none"/>
              </w:rPr>
            </w:pPr>
            <w:r>
              <w:rPr>
                <w:rFonts w:hint="eastAsia" w:ascii="宋体" w:hAnsi="宋体"/>
                <w:szCs w:val="21"/>
                <w:highlight w:val="none"/>
              </w:rPr>
            </w:r>
            <w:r/>
          </w:p>
        </w:tc>
      </w:tr>
      <w:tr>
        <w:trPr>
          <w:jc w:val="center"/>
          <w:trHeight w:val="672"/>
        </w:trPr>
        <w:tc>
          <w:tcPr>
            <w:tcW w:w="767" w:type="dxa"/>
            <w:vAlign w:val="center"/>
            <w:textDirection w:val="lrTb"/>
            <w:noWrap w:val="false"/>
          </w:tcPr>
          <w:p>
            <w:pPr>
              <w:ind w:firstLine="210"/>
              <w:spacing w:line="240" w:lineRule="exact"/>
              <w:widowControl/>
              <w:rPr>
                <w:rFonts w:hint="eastAsia" w:ascii="宋体" w:hAnsi="宋体"/>
                <w:szCs w:val="21"/>
                <w:highlight w:val="none"/>
              </w:rPr>
            </w:pPr>
            <w:r>
              <w:rPr>
                <w:rFonts w:hint="eastAsia" w:ascii="宋体" w:hAnsi="宋体"/>
                <w:szCs w:val="21"/>
                <w:highlight w:val="none"/>
              </w:rPr>
              <w:t xml:space="preserve">3</w:t>
            </w:r>
            <w:r/>
          </w:p>
        </w:tc>
        <w:tc>
          <w:tcPr>
            <w:tcW w:w="1664" w:type="dxa"/>
            <w:vAlign w:val="center"/>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t xml:space="preserve">税金</w:t>
            </w:r>
            <w:r/>
          </w:p>
        </w:tc>
        <w:tc>
          <w:tcPr>
            <w:gridSpan w:val="2"/>
            <w:tcW w:w="1985" w:type="dxa"/>
            <w:vAlign w:val="center"/>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t xml:space="preserve">1年</w:t>
            </w:r>
            <w:r/>
          </w:p>
        </w:tc>
        <w:tc>
          <w:tcPr>
            <w:tcW w:w="1134"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shd w:val="clear" w:color="auto" w:fill="auto"/>
            <w:tcW w:w="1134" w:type="dxa"/>
            <w:vAlign w:val="center"/>
            <w:textDirection w:val="lrTb"/>
            <w:noWrap w:val="false"/>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W w:w="2225" w:type="dxa"/>
            <w:vAlign w:val="center"/>
            <w:textDirection w:val="lrTb"/>
            <w:noWrap w:val="false"/>
          </w:tcPr>
          <w:p>
            <w:pPr>
              <w:jc w:val="left"/>
              <w:spacing w:line="240" w:lineRule="exact"/>
              <w:widowControl/>
              <w:rPr>
                <w:rFonts w:hint="eastAsia" w:ascii="宋体" w:hAnsi="宋体" w:cs="Calibri"/>
                <w:szCs w:val="21"/>
                <w:highlight w:val="none"/>
              </w:rPr>
            </w:pPr>
            <w:r>
              <w:rPr>
                <w:rFonts w:hint="eastAsia" w:ascii="宋体" w:hAnsi="宋体"/>
                <w:szCs w:val="21"/>
                <w:highlight w:val="none"/>
              </w:rPr>
              <w:t xml:space="preserve">各投标人填报的税率统一按照6.72%计算</w:t>
            </w:r>
            <w:r>
              <w:rPr>
                <w:rFonts w:hint="eastAsia" w:ascii="宋体" w:hAnsi="宋体" w:cs="Calibri"/>
                <w:szCs w:val="21"/>
                <w:highlight w:val="none"/>
              </w:rPr>
              <w:t xml:space="preserve">，否则作无效标书处理。</w:t>
            </w:r>
            <w:r/>
          </w:p>
        </w:tc>
      </w:tr>
      <w:tr>
        <w:trPr>
          <w:jc w:val="center"/>
          <w:trHeight w:val="390"/>
        </w:trPr>
        <w:tc>
          <w:tcPr>
            <w:gridSpan w:val="4"/>
            <w:tcW w:w="4416" w:type="dxa"/>
            <w:vAlign w:val="center"/>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t xml:space="preserve">投标总报价（1+2+…+3）</w:t>
            </w:r>
            <w:r/>
          </w:p>
        </w:tc>
        <w:tc>
          <w:tcPr>
            <w:tcW w:w="1134" w:type="dxa"/>
            <w:vAlign w:val="center"/>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r>
            <w:r/>
          </w:p>
        </w:tc>
        <w:tc>
          <w:tcPr>
            <w:tcW w:w="1134" w:type="dxa"/>
            <w:vAlign w:val="center"/>
            <w:textDirection w:val="lrTb"/>
            <w:noWrap w:val="false"/>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W w:w="2225" w:type="dxa"/>
            <w:vAlign w:val="center"/>
            <w:textDirection w:val="lrTb"/>
            <w:noWrap w:val="false"/>
          </w:tcPr>
          <w:p>
            <w:pPr>
              <w:ind w:firstLine="420"/>
              <w:jc w:val="center"/>
              <w:spacing w:line="240" w:lineRule="exact"/>
              <w:widowControl/>
              <w:rPr>
                <w:rFonts w:hint="eastAsia" w:ascii="宋体" w:hAnsi="宋体"/>
                <w:szCs w:val="21"/>
                <w:highlight w:val="none"/>
              </w:rPr>
            </w:pPr>
            <w:r>
              <w:rPr>
                <w:rFonts w:hint="eastAsia" w:ascii="宋体" w:hAnsi="宋体"/>
                <w:szCs w:val="21"/>
                <w:highlight w:val="none"/>
              </w:rPr>
            </w:r>
            <w:r/>
          </w:p>
        </w:tc>
      </w:tr>
    </w:tbl>
    <w:p>
      <w:pPr>
        <w:ind w:firstLine="409"/>
        <w:spacing w:line="320" w:lineRule="exact"/>
        <w:rPr>
          <w:rFonts w:eastAsia="黑体"/>
          <w:iCs/>
          <w:sz w:val="32"/>
          <w:szCs w:val="32"/>
          <w:highlight w:val="none"/>
        </w:rPr>
      </w:pPr>
      <w:r>
        <w:rPr>
          <w:rFonts w:hint="eastAsia" w:ascii="宋体" w:hAnsi="宋体"/>
          <w:bCs/>
          <w:szCs w:val="21"/>
          <w:highlight w:val="none"/>
        </w:rPr>
        <w:t xml:space="preserve">投标人</w:t>
      </w:r>
      <w:r>
        <w:rPr>
          <w:rFonts w:hint="eastAsia" w:ascii="宋体" w:hAnsi="Arial" w:cs="宋体"/>
          <w:bCs/>
          <w:szCs w:val="21"/>
          <w:highlight w:val="none"/>
          <w:lang w:val="zh-CN"/>
        </w:rPr>
        <w:t xml:space="preserve">所提供人员的费用不得低于上述标准进行测算，</w:t>
      </w:r>
      <w:r>
        <w:rPr>
          <w:rFonts w:hint="eastAsia" w:ascii="宋体" w:hAnsi="宋体"/>
          <w:bCs/>
          <w:szCs w:val="21"/>
          <w:highlight w:val="none"/>
        </w:rPr>
        <w:t xml:space="preserve">否则</w:t>
      </w:r>
      <w:r>
        <w:rPr>
          <w:rFonts w:hint="eastAsia" w:ascii="宋体" w:hAnsi="Arial" w:cs="宋体"/>
          <w:bCs/>
          <w:szCs w:val="21"/>
          <w:highlight w:val="none"/>
          <w:lang w:val="zh-CN"/>
        </w:rPr>
        <w:t xml:space="preserve">视为未实质性响应招标文件要求</w:t>
      </w:r>
      <w:r>
        <w:rPr>
          <w:rFonts w:hint="eastAsia" w:ascii="宋体" w:hAnsi="宋体"/>
          <w:bCs/>
          <w:szCs w:val="21"/>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eastAsia="黑体"/>
          <w:iCs/>
          <w:sz w:val="32"/>
          <w:szCs w:val="32"/>
          <w:highlight w:val="none"/>
        </w:rPr>
      </w:pPr>
      <w:r>
        <w:rPr>
          <w:rFonts w:eastAsia="黑体"/>
          <w:iCs/>
          <w:sz w:val="32"/>
          <w:szCs w:val="32"/>
          <w:highlight w:val="none"/>
        </w:rPr>
      </w:r>
      <w:r/>
    </w:p>
    <w:p>
      <w:pPr>
        <w:ind w:firstLine="440"/>
        <w:jc w:val="center"/>
        <w:rPr>
          <w:sz w:val="24"/>
          <w:szCs w:val="24"/>
          <w:highlight w:val="none"/>
        </w:rPr>
      </w:pPr>
      <w:r>
        <w:rPr>
          <w:rFonts w:eastAsia="黑体"/>
          <w:iCs/>
          <w:sz w:val="32"/>
          <w:szCs w:val="32"/>
          <w:highlight w:val="none"/>
        </w:rPr>
      </w:r>
      <w:r>
        <w:rPr>
          <w:rFonts w:eastAsia="黑体"/>
          <w:iCs/>
          <w:sz w:val="32"/>
          <w:szCs w:val="32"/>
          <w:highlight w:val="none"/>
        </w:rPr>
      </w:r>
      <w:r/>
    </w:p>
    <w:p>
      <w:pPr>
        <w:ind w:firstLine="440"/>
        <w:jc w:val="center"/>
        <w:rPr>
          <w:rFonts w:eastAsia="黑体"/>
          <w:iCs/>
          <w:sz w:val="32"/>
          <w:szCs w:val="32"/>
          <w:highlight w:val="none"/>
        </w:rPr>
      </w:pPr>
      <w:r>
        <w:rPr>
          <w:rFonts w:eastAsia="黑体"/>
          <w:iCs/>
          <w:sz w:val="32"/>
          <w:szCs w:val="32"/>
          <w:highlight w:val="none"/>
        </w:rPr>
        <w:t xml:space="preserve">十二、技术要求响应及偏离表</w:t>
      </w:r>
      <w:r/>
    </w:p>
    <w:tbl>
      <w:tblPr>
        <w:tblStyle w:val="692"/>
        <w:tblW w:w="8640" w:type="dxa"/>
        <w:tblCellSpacing w:w="0" w:type="dxa"/>
        <w:tblInd w:w="117" w:type="dxa"/>
        <w:tblLayout w:type="fixed"/>
        <w:tblCellMar>
          <w:left w:w="108" w:type="dxa"/>
          <w:top w:w="0" w:type="dxa"/>
          <w:right w:w="108" w:type="dxa"/>
          <w:bottom w:w="0" w:type="dxa"/>
        </w:tblCellMar>
        <w:tblLook w:val="04A0" w:firstRow="1" w:lastRow="0" w:firstColumn="1" w:lastColumn="0" w:noHBand="0" w:noVBand="1"/>
      </w:tblPr>
      <w:tblGrid>
        <w:gridCol w:w="825"/>
        <w:gridCol w:w="2230"/>
        <w:gridCol w:w="1908"/>
        <w:gridCol w:w="2409"/>
        <w:gridCol w:w="1268"/>
      </w:tblGrid>
      <w:tr>
        <w:trPr>
          <w:tblCellSpacing w:w="0" w:type="dxa"/>
          <w:trHeight w:val="1037"/>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证明材料</w:t>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ind w:firstLine="480"/>
              <w:jc w:val="center"/>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ind w:firstLine="480"/>
              <w:jc w:val="center"/>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ind w:firstLine="480"/>
              <w:jc w:val="center"/>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ind w:firstLine="480"/>
              <w:jc w:val="center"/>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ind w:firstLine="480"/>
              <w:jc w:val="center"/>
              <w:spacing w:line="500" w:lineRule="exact"/>
              <w:rPr>
                <w:rFonts w:ascii="Times New Roman" w:hAnsi="Times New Roman" w:cs="Times New Roman"/>
                <w:highlight w:val="none"/>
              </w:rPr>
            </w:pPr>
            <w:r>
              <w:rPr>
                <w:rFonts w:ascii="Times New Roman" w:hAnsi="Times New Roman" w:cs="Times New Roman"/>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t xml:space="preserve">……</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25"/>
              <w:ind w:firstLine="480"/>
              <w:spacing w:line="500" w:lineRule="exact"/>
              <w:rPr>
                <w:rFonts w:ascii="Times New Roman" w:hAnsi="Times New Roman" w:cs="Times New Roman"/>
                <w:highlight w:val="none"/>
              </w:rPr>
            </w:pPr>
            <w:r>
              <w:rPr>
                <w:rFonts w:ascii="Times New Roman" w:hAnsi="Times New Roman" w:cs="Times New Roman"/>
                <w:highlight w:val="none"/>
              </w:rPr>
            </w:r>
            <w:r/>
          </w:p>
        </w:tc>
      </w:tr>
    </w:tbl>
    <w:p>
      <w:pPr>
        <w:pStyle w:val="825"/>
        <w:ind w:firstLine="480"/>
        <w:rPr>
          <w:rFonts w:ascii="Times New Roman" w:hAnsi="Times New Roman" w:cs="Times New Roman"/>
          <w:highlight w:val="none"/>
        </w:rPr>
      </w:pPr>
      <w:r>
        <w:rPr>
          <w:rFonts w:hint="eastAsia" w:ascii="Times New Roman" w:hAnsi="Times New Roman" w:cs="Times New Roman"/>
          <w:highlight w:val="none"/>
        </w:rPr>
        <w:t xml:space="preserve">注：</w:t>
      </w:r>
      <w:r>
        <w:rPr>
          <w:rFonts w:ascii="Times New Roman" w:hAnsi="Times New Roman" w:cs="Times New Roman"/>
          <w:highlight w:val="none"/>
        </w:rPr>
        <w:t xml:space="preserve"> </w:t>
      </w:r>
      <w:r>
        <w:rPr>
          <w:rFonts w:hint="eastAsia" w:ascii="Times New Roman" w:hAnsi="Times New Roman" w:cs="Times New Roman"/>
          <w:highlight w:val="none"/>
        </w:rPr>
        <w:t xml:space="preserve">行数不够，可自行添加。</w:t>
      </w:r>
      <w:r/>
    </w:p>
    <w:p>
      <w:pPr>
        <w:pStyle w:val="825"/>
        <w:ind w:firstLine="480"/>
        <w:rPr>
          <w:rFonts w:ascii="Times New Roman" w:hAnsi="Times New Roman" w:cs="Times New Roman"/>
          <w:highlight w:val="none"/>
        </w:rPr>
      </w:pPr>
      <w:r>
        <w:rPr>
          <w:rFonts w:hint="eastAsia" w:ascii="Times New Roman" w:hAnsi="Times New Roman" w:cs="Times New Roman"/>
          <w:highlight w:val="none"/>
        </w:rPr>
        <w:t xml:space="preserve"> </w:t>
      </w:r>
      <w:r/>
    </w:p>
    <w:p>
      <w:pPr>
        <w:ind w:firstLine="440"/>
        <w:rPr>
          <w:highlight w:val="none"/>
        </w:rPr>
      </w:pPr>
      <w:r>
        <w:rPr>
          <w:highlight w:val="none"/>
        </w:rPr>
      </w:r>
      <w:r/>
    </w:p>
    <w:p>
      <w:pPr>
        <w:ind w:firstLine="440"/>
        <w:rPr>
          <w:highlight w:val="none"/>
        </w:rPr>
      </w:pPr>
      <w:r>
        <w:rPr>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rPr>
          <w:rFonts w:eastAsia="黑体"/>
          <w:iCs/>
          <w:sz w:val="32"/>
          <w:szCs w:val="32"/>
          <w:highlight w:val="none"/>
        </w:rPr>
      </w:pPr>
      <w:r>
        <w:rPr>
          <w:rFonts w:eastAsia="黑体"/>
          <w:iCs/>
          <w:sz w:val="32"/>
          <w:szCs w:val="32"/>
          <w:highlight w:val="none"/>
        </w:rPr>
      </w:r>
      <w:r/>
    </w:p>
    <w:p>
      <w:pPr>
        <w:ind w:firstLine="480"/>
        <w:jc w:val="center"/>
        <w:rPr>
          <w:iCs/>
          <w:sz w:val="24"/>
          <w:highlight w:val="none"/>
        </w:rPr>
      </w:pPr>
      <w:r>
        <w:rPr>
          <w:rFonts w:eastAsia="黑体"/>
          <w:iCs/>
          <w:sz w:val="32"/>
          <w:szCs w:val="32"/>
          <w:highlight w:val="none"/>
        </w:rPr>
        <w:t xml:space="preserve">十三、商务要求响应及偏离表</w:t>
      </w:r>
      <w:r/>
    </w:p>
    <w:tbl>
      <w:tblPr>
        <w:tblStyle w:val="692"/>
        <w:tblW w:w="852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3"/>
        <w:gridCol w:w="2086"/>
        <w:gridCol w:w="2041"/>
        <w:gridCol w:w="2336"/>
        <w:gridCol w:w="1211"/>
      </w:tblGrid>
      <w:tr>
        <w:trPr>
          <w:jc w:val="center"/>
          <w:tblCellSpacing w:w="0" w:type="dxa"/>
          <w:trHeight w:val="1137"/>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jc w:val="center"/>
              <w:spacing w:line="500" w:lineRule="exact"/>
              <w:rPr>
                <w:rFonts w:ascii="Times New Roman" w:hAnsi="Times New Roman" w:cs="Times New Roman"/>
                <w:highlight w:val="none"/>
              </w:rPr>
            </w:pPr>
            <w:r>
              <w:rPr>
                <w:rFonts w:ascii="Times New Roman" w:hAnsi="Times New Roman" w:cs="Times New Roman"/>
                <w:highlight w:val="none"/>
              </w:rPr>
              <w:t xml:space="preserve">证明材料</w:t>
            </w:r>
            <w:r/>
          </w:p>
        </w:tc>
      </w:tr>
      <w:tr>
        <w:trPr>
          <w:jc w:val="center"/>
          <w:tblCellSpacing w:w="0" w:type="dxa"/>
          <w:trHeight w:val="84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r>
      <w:tr>
        <w:trPr>
          <w:jc w:val="center"/>
          <w:tblCellSpacing w:w="0" w:type="dxa"/>
          <w:trHeight w:val="84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r>
      <w:tr>
        <w:trPr>
          <w:jc w:val="center"/>
          <w:tblCellSpacing w:w="0" w:type="dxa"/>
          <w:trHeight w:val="84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r>
      <w:tr>
        <w:trPr>
          <w:jc w:val="center"/>
          <w:tblCellSpacing w:w="0" w:type="dxa"/>
          <w:trHeight w:val="84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r>
      <w:tr>
        <w:trPr>
          <w:jc w:val="center"/>
          <w:tblCellSpacing w:w="0" w:type="dxa"/>
          <w:trHeight w:val="84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r>
      <w:tr>
        <w:trPr>
          <w:jc w:val="center"/>
          <w:tblCellSpacing w:w="0" w:type="dxa"/>
          <w:trHeight w:val="84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r>
      <w:tr>
        <w:trPr>
          <w:jc w:val="center"/>
          <w:tblCellSpacing w:w="0" w:type="dxa"/>
          <w:trHeight w:val="84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r>
      <w:tr>
        <w:trPr>
          <w:jc w:val="center"/>
          <w:tblCellSpacing w:w="0" w:type="dxa"/>
          <w:trHeight w:val="84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tc>
      </w:tr>
    </w:tbl>
    <w:p>
      <w:pPr>
        <w:pStyle w:val="825"/>
        <w:ind w:firstLine="480"/>
        <w:rPr>
          <w:rFonts w:ascii="Times New Roman" w:hAnsi="Times New Roman" w:cs="Times New Roman"/>
          <w:highlight w:val="none"/>
        </w:rPr>
      </w:pPr>
      <w:r>
        <w:rPr>
          <w:rFonts w:ascii="Times New Roman" w:hAnsi="Times New Roman" w:cs="Times New Roman"/>
          <w:highlight w:val="none"/>
        </w:rPr>
      </w:r>
      <w:r/>
    </w:p>
    <w:p>
      <w:pPr>
        <w:pStyle w:val="825"/>
        <w:ind w:firstLine="480"/>
        <w:rPr>
          <w:rFonts w:ascii="Times New Roman" w:hAnsi="Times New Roman" w:cs="Times New Roman"/>
          <w:highlight w:val="none"/>
        </w:rPr>
      </w:pPr>
      <w:r>
        <w:rPr>
          <w:rFonts w:hint="eastAsia" w:ascii="Times New Roman" w:hAnsi="Times New Roman" w:cs="Times New Roman"/>
          <w:highlight w:val="none"/>
        </w:rPr>
        <w:t xml:space="preserve">注：行数不够，可自行添加。</w:t>
      </w:r>
      <w:r/>
    </w:p>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p>
      <w:pPr>
        <w:pStyle w:val="825"/>
        <w:ind w:firstLine="480"/>
        <w:rPr>
          <w:rFonts w:ascii="Times New Roman" w:hAnsi="Times New Roman" w:cs="Times New Roman"/>
          <w:highlight w:val="none"/>
        </w:rPr>
      </w:pPr>
      <w:r>
        <w:rPr>
          <w:rFonts w:ascii="Times New Roman" w:hAnsi="Times New Roman" w:cs="Times New Roman"/>
          <w:highlight w:val="none"/>
        </w:rPr>
        <w:t xml:space="preserve"> </w:t>
      </w:r>
      <w:r/>
    </w:p>
    <w:p>
      <w:pPr>
        <w:pStyle w:val="825"/>
        <w:ind w:firstLine="480"/>
        <w:rPr>
          <w:rFonts w:ascii="Times New Roman" w:hAnsi="Times New Roman" w:cs="Times New Roman"/>
          <w:highlight w:val="none"/>
        </w:rPr>
      </w:pPr>
      <w:r>
        <w:rPr>
          <w:rFonts w:ascii="Times New Roman" w:hAnsi="Times New Roman" w:cs="Times New Roman"/>
          <w:highlight w:val="none"/>
        </w:rPr>
      </w:r>
      <w:r/>
    </w:p>
    <w:p>
      <w:pPr>
        <w:pStyle w:val="825"/>
        <w:ind w:firstLine="480"/>
        <w:rPr>
          <w:rFonts w:ascii="Times New Roman" w:hAnsi="Times New Roman" w:cs="Times New Roman"/>
          <w:highlight w:val="none"/>
        </w:rPr>
      </w:pPr>
      <w:r>
        <w:rPr>
          <w:rFonts w:ascii="Times New Roman" w:hAnsi="Times New Roman" w:cs="Times New Roman"/>
          <w:highlight w:val="none"/>
        </w:rPr>
      </w:r>
      <w:r/>
    </w:p>
    <w:p>
      <w:pPr>
        <w:pStyle w:val="825"/>
        <w:jc w:val="both"/>
        <w:rPr>
          <w:rFonts w:ascii="Times New Roman" w:hAnsi="Times New Roman" w:eastAsia="黑体" w:cs="Times New Roman"/>
          <w:iCs/>
          <w:sz w:val="32"/>
          <w:szCs w:val="32"/>
          <w:highlight w:val="none"/>
          <w:u w:val="single"/>
        </w:rPr>
      </w:pPr>
      <w:r>
        <w:rPr>
          <w:rFonts w:ascii="Times New Roman" w:hAnsi="Times New Roman" w:eastAsia="黑体" w:cs="Times New Roman"/>
          <w:iCs/>
          <w:sz w:val="32"/>
          <w:szCs w:val="32"/>
          <w:highlight w:val="none"/>
          <w:u w:val="single"/>
        </w:rPr>
      </w:r>
      <w:r/>
    </w:p>
    <w:p>
      <w:pPr>
        <w:pStyle w:val="825"/>
        <w:jc w:val="center"/>
        <w:rPr>
          <w:rFonts w:ascii="Times New Roman" w:hAnsi="Times New Roman" w:cs="Times New Roman"/>
          <w:iCs/>
          <w:highlight w:val="none"/>
        </w:rPr>
      </w:pPr>
      <w:r>
        <w:rPr>
          <w:rFonts w:ascii="Times New Roman" w:hAnsi="Times New Roman" w:eastAsia="黑体" w:cs="Times New Roman"/>
          <w:iCs/>
          <w:sz w:val="32"/>
          <w:szCs w:val="32"/>
          <w:highlight w:val="none"/>
          <w:u w:val="single"/>
        </w:rPr>
        <w:t xml:space="preserve">十四、开标一览表</w:t>
      </w:r>
      <w:r/>
    </w:p>
    <w:p>
      <w:pPr>
        <w:pStyle w:val="825"/>
        <w:ind w:firstLine="480"/>
        <w:spacing w:line="280" w:lineRule="exact"/>
        <w:rPr>
          <w:rFonts w:hint="eastAsia"/>
          <w:highlight w:val="none"/>
        </w:rPr>
      </w:pPr>
      <w:r>
        <w:rPr>
          <w:rFonts w:hint="eastAsia"/>
          <w:highlight w:val="none"/>
        </w:rPr>
        <w:t xml:space="preserve">投标人全称（加盖CA电子签章）：</w:t>
      </w:r>
      <w:r/>
    </w:p>
    <w:p>
      <w:pPr>
        <w:pStyle w:val="1046"/>
        <w:tabs>
          <w:tab w:val="right" w:pos="8306" w:leader="none"/>
        </w:tabs>
        <w:rPr>
          <w:rFonts w:hint="eastAsia" w:hAnsi="宋体" w:eastAsia="宋体"/>
          <w:color w:val="auto"/>
          <w:sz w:val="21"/>
          <w:highlight w:val="none"/>
        </w:rPr>
      </w:pPr>
      <w:r>
        <w:rPr>
          <w:rFonts w:hint="eastAsia" w:hAnsi="宋体" w:eastAsia="宋体"/>
          <w:color w:val="auto"/>
          <w:highlight w:val="none"/>
        </w:rPr>
        <w:t xml:space="preserve">项目名称：盐城市盐都区龙冈（凤凰）小学物业服务项目</w:t>
      </w:r>
      <w:r>
        <w:rPr>
          <w:rFonts w:hint="eastAsia" w:hAnsi="宋体" w:eastAsia="宋体"/>
          <w:color w:val="auto"/>
          <w:highlight w:val="none"/>
        </w:rPr>
        <w:tab/>
      </w:r>
      <w:r/>
    </w:p>
    <w:p>
      <w:pPr>
        <w:pStyle w:val="825"/>
        <w:ind w:firstLine="480"/>
        <w:spacing w:line="280" w:lineRule="exact"/>
        <w:rPr>
          <w:rFonts w:hint="eastAsia"/>
          <w:highlight w:val="none"/>
        </w:rPr>
      </w:pPr>
      <w:r>
        <w:rPr>
          <w:rFonts w:hint="eastAsia"/>
          <w:highlight w:val="none"/>
        </w:rPr>
        <w:t xml:space="preserve">项目编号：</w:t>
      </w:r>
      <w:r/>
    </w:p>
    <w:tbl>
      <w:tblPr>
        <w:tblStyle w:val="692"/>
        <w:tblW w:w="855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58"/>
      </w:tblGrid>
      <w:tr>
        <w:trPr>
          <w:jc w:val="center"/>
          <w:tblCellSpacing w:w="0" w:type="dxa"/>
          <w:trHeight w:val="1125"/>
        </w:trPr>
        <w:tc>
          <w:tcPr>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pStyle w:val="825"/>
              <w:jc w:val="center"/>
              <w:rPr>
                <w:rFonts w:ascii="Times New Roman" w:hAnsi="Times New Roman" w:cs="Times New Roman"/>
                <w:highlight w:val="none"/>
              </w:rPr>
            </w:pPr>
            <w:r>
              <w:rPr>
                <w:rFonts w:hint="eastAsia" w:ascii="Times New Roman" w:hAnsi="Times New Roman" w:cs="Times New Roman"/>
                <w:highlight w:val="none"/>
              </w:rPr>
              <w:t xml:space="preserve">投标总报价</w:t>
            </w:r>
            <w:r/>
          </w:p>
        </w:tc>
      </w:tr>
      <w:tr>
        <w:trPr>
          <w:jc w:val="center"/>
          <w:tblCellSpacing w:w="0" w:type="dxa"/>
          <w:trHeight w:val="1038"/>
        </w:trPr>
        <w:tc>
          <w:tcPr>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pStyle w:val="825"/>
              <w:rPr>
                <w:rFonts w:ascii="Times New Roman" w:hAnsi="Times New Roman" w:cs="Times New Roman"/>
                <w:highlight w:val="none"/>
              </w:rPr>
            </w:pPr>
            <w:r>
              <w:rPr>
                <w:rFonts w:hint="eastAsia" w:ascii="Times New Roman" w:hAnsi="Times New Roman" w:cs="Times New Roman"/>
                <w:highlight w:val="none"/>
              </w:rPr>
              <w:t xml:space="preserve">大写：</w:t>
            </w:r>
            <w:r/>
          </w:p>
        </w:tc>
      </w:tr>
      <w:tr>
        <w:trPr>
          <w:jc w:val="center"/>
          <w:tblCellSpacing w:w="0" w:type="dxa"/>
          <w:trHeight w:val="1038"/>
        </w:trPr>
        <w:tc>
          <w:tcPr>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pStyle w:val="825"/>
              <w:rPr>
                <w:rFonts w:hint="eastAsia"/>
                <w:highlight w:val="none"/>
              </w:rPr>
            </w:pPr>
            <w:r>
              <w:rPr>
                <w:rFonts w:hint="eastAsia"/>
                <w:highlight w:val="none"/>
              </w:rPr>
              <w:t xml:space="preserve">小写：                        （人民币：元）</w:t>
            </w:r>
            <w:r/>
          </w:p>
        </w:tc>
      </w:tr>
    </w:tbl>
    <w:p>
      <w:pPr>
        <w:pStyle w:val="825"/>
        <w:ind w:firstLine="480"/>
        <w:rPr>
          <w:rFonts w:ascii="Times New Roman" w:hAnsi="Times New Roman" w:cs="Times New Roman"/>
          <w:highlight w:val="none"/>
        </w:rPr>
      </w:pPr>
      <w:r>
        <w:rPr>
          <w:rFonts w:ascii="Times New Roman" w:hAnsi="Times New Roman" w:cs="Times New Roman"/>
          <w:highlight w:val="none"/>
        </w:rPr>
      </w:r>
      <w:r/>
    </w:p>
    <w:p>
      <w:pPr>
        <w:pStyle w:val="825"/>
        <w:ind w:firstLine="480"/>
        <w:jc w:val="center"/>
        <w:rPr>
          <w:rFonts w:ascii="Times New Roman" w:hAnsi="Times New Roman" w:cs="Times New Roman"/>
          <w:highlight w:val="none"/>
        </w:rPr>
      </w:pPr>
      <w:r>
        <w:rPr>
          <w:rFonts w:hint="eastAsia" w:ascii="Times New Roman" w:hAnsi="Times New Roman" w:cs="Times New Roman"/>
          <w:highlight w:val="none"/>
        </w:rPr>
        <w:t xml:space="preserve">                                        日  期：</w:t>
      </w:r>
      <w:r>
        <w:rPr>
          <w:rFonts w:hint="eastAsia" w:ascii="Times New Roman" w:hAnsi="Times New Roman" w:cs="Times New Roman"/>
          <w:highlight w:val="none"/>
          <w:u w:val="single"/>
        </w:rPr>
        <w:t xml:space="preserve">   </w:t>
      </w:r>
      <w:r>
        <w:rPr>
          <w:rFonts w:ascii="Times New Roman" w:hAnsi="Times New Roman" w:cs="Times New Roman"/>
          <w:highlight w:val="none"/>
          <w:u w:val="single"/>
        </w:rPr>
        <w:t xml:space="preserve"> </w:t>
      </w:r>
      <w:r>
        <w:rPr>
          <w:rFonts w:hint="eastAsia" w:ascii="Times New Roman" w:hAnsi="Times New Roman" w:cs="Times New Roman"/>
          <w:highlight w:val="none"/>
        </w:rPr>
        <w:t xml:space="preserve">年</w:t>
      </w:r>
      <w:r>
        <w:rPr>
          <w:rFonts w:hint="eastAsia" w:ascii="Times New Roman" w:hAnsi="Times New Roman" w:cs="Times New Roman"/>
          <w:highlight w:val="none"/>
          <w:u w:val="single"/>
        </w:rPr>
        <w:t xml:space="preserve">  </w:t>
      </w:r>
      <w:r>
        <w:rPr>
          <w:rFonts w:ascii="Times New Roman" w:hAnsi="Times New Roman" w:cs="Times New Roman"/>
          <w:highlight w:val="none"/>
          <w:u w:val="single"/>
        </w:rPr>
        <w:t xml:space="preserve"> </w:t>
      </w:r>
      <w:r>
        <w:rPr>
          <w:rFonts w:hint="eastAsia" w:ascii="Times New Roman" w:hAnsi="Times New Roman" w:cs="Times New Roman"/>
          <w:highlight w:val="none"/>
        </w:rPr>
        <w:t xml:space="preserve">月</w:t>
      </w:r>
      <w:r>
        <w:rPr>
          <w:rFonts w:hint="eastAsia" w:ascii="Times New Roman" w:hAnsi="Times New Roman" w:cs="Times New Roman"/>
          <w:highlight w:val="none"/>
          <w:u w:val="single"/>
        </w:rPr>
        <w:t xml:space="preserve">  </w:t>
      </w:r>
      <w:r>
        <w:rPr>
          <w:rFonts w:ascii="Times New Roman" w:hAnsi="Times New Roman" w:cs="Times New Roman"/>
          <w:highlight w:val="none"/>
          <w:u w:val="single"/>
        </w:rPr>
        <w:t xml:space="preserve"> </w:t>
      </w:r>
      <w:r>
        <w:rPr>
          <w:rFonts w:hint="eastAsia" w:ascii="Times New Roman" w:hAnsi="Times New Roman" w:cs="Times New Roman"/>
          <w:highlight w:val="none"/>
        </w:rPr>
        <w:t xml:space="preserve">日</w:t>
      </w:r>
      <w:r/>
    </w:p>
    <w:p>
      <w:pPr>
        <w:pStyle w:val="825"/>
        <w:ind w:firstLine="480"/>
        <w:rPr>
          <w:rFonts w:ascii="Times New Roman" w:hAnsi="Times New Roman" w:cs="Times New Roman"/>
          <w:highlight w:val="none"/>
        </w:rPr>
      </w:pPr>
      <w:r>
        <w:rPr>
          <w:rFonts w:ascii="Times New Roman" w:hAnsi="Times New Roman" w:cs="Times New Roman"/>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42"/>
        <w:jc w:val="center"/>
        <w:rPr>
          <w:rFonts w:eastAsia="黑体"/>
          <w:iCs/>
          <w:sz w:val="32"/>
          <w:szCs w:val="32"/>
          <w:highlight w:val="none"/>
          <w:u w:val="single"/>
        </w:rPr>
      </w:pPr>
      <w:r>
        <w:rPr>
          <w:rFonts w:eastAsia="黑体"/>
          <w:iCs/>
          <w:sz w:val="32"/>
          <w:szCs w:val="32"/>
          <w:highlight w:val="none"/>
          <w:u w:val="single"/>
        </w:rPr>
      </w:r>
      <w:r/>
    </w:p>
    <w:p>
      <w:pPr>
        <w:ind w:firstLine="442"/>
        <w:jc w:val="center"/>
        <w:rPr>
          <w:rFonts w:eastAsia="黑体"/>
          <w:iCs/>
          <w:sz w:val="32"/>
          <w:szCs w:val="32"/>
          <w:highlight w:val="none"/>
          <w:u w:val="single"/>
        </w:rPr>
      </w:pPr>
      <w:r>
        <w:rPr>
          <w:rFonts w:eastAsia="黑体"/>
          <w:iCs/>
          <w:sz w:val="32"/>
          <w:szCs w:val="32"/>
          <w:highlight w:val="none"/>
          <w:u w:val="single"/>
        </w:rPr>
      </w:r>
      <w:r/>
    </w:p>
    <w:p>
      <w:pPr>
        <w:ind w:firstLine="442"/>
        <w:jc w:val="center"/>
        <w:rPr>
          <w:rFonts w:eastAsia="黑体"/>
          <w:iCs/>
          <w:sz w:val="32"/>
          <w:szCs w:val="32"/>
          <w:highlight w:val="none"/>
          <w:u w:val="single"/>
        </w:rPr>
      </w:pPr>
      <w:r>
        <w:rPr>
          <w:rFonts w:eastAsia="黑体"/>
          <w:iCs/>
          <w:sz w:val="32"/>
          <w:szCs w:val="32"/>
          <w:highlight w:val="none"/>
          <w:u w:val="single"/>
        </w:rPr>
      </w:r>
      <w:r/>
    </w:p>
    <w:p>
      <w:pPr>
        <w:ind w:firstLine="442"/>
        <w:jc w:val="center"/>
        <w:rPr>
          <w:rFonts w:eastAsia="黑体"/>
          <w:iCs/>
          <w:sz w:val="32"/>
          <w:szCs w:val="32"/>
          <w:highlight w:val="none"/>
          <w:u w:val="single"/>
        </w:rPr>
      </w:pPr>
      <w:r>
        <w:rPr>
          <w:rFonts w:eastAsia="黑体"/>
          <w:iCs/>
          <w:sz w:val="32"/>
          <w:szCs w:val="32"/>
          <w:highlight w:val="none"/>
          <w:u w:val="single"/>
        </w:rPr>
      </w:r>
      <w:r/>
    </w:p>
    <w:p>
      <w:pPr>
        <w:jc w:val="center"/>
        <w:rPr>
          <w:highlight w:val="none"/>
        </w:rPr>
      </w:pPr>
      <w:r>
        <w:rPr>
          <w:rFonts w:hint="eastAsia" w:ascii="宋体" w:hAnsi="宋体"/>
          <w:iCs/>
          <w:sz w:val="32"/>
          <w:szCs w:val="32"/>
          <w:highlight w:val="none"/>
        </w:rPr>
        <w:t xml:space="preserve">十五、技术方案、服务承诺、培训承诺等</w:t>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jc w:val="center"/>
        <w:rPr>
          <w:rFonts w:eastAsia="黑体"/>
          <w:iCs/>
          <w:sz w:val="32"/>
          <w:szCs w:val="32"/>
          <w:highlight w:val="none"/>
        </w:rPr>
      </w:pPr>
      <w:r/>
      <w:bookmarkStart w:id="160" w:name="_Hlt26955054"/>
      <w:r/>
      <w:bookmarkEnd w:id="160"/>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rFonts w:eastAsia="黑体"/>
          <w:iCs/>
          <w:sz w:val="32"/>
          <w:szCs w:val="32"/>
          <w:highlight w:val="none"/>
        </w:rPr>
      </w:pPr>
      <w:r>
        <w:rPr>
          <w:rFonts w:eastAsia="黑体"/>
          <w:iCs/>
          <w:sz w:val="32"/>
          <w:szCs w:val="32"/>
          <w:highlight w:val="none"/>
        </w:rPr>
      </w:r>
      <w:r/>
    </w:p>
    <w:p>
      <w:pPr>
        <w:jc w:val="center"/>
        <w:rPr>
          <w:iCs/>
          <w:highlight w:val="none"/>
        </w:rPr>
      </w:pPr>
      <w:r>
        <w:rPr>
          <w:rFonts w:eastAsia="黑体"/>
          <w:iCs/>
          <w:sz w:val="32"/>
          <w:szCs w:val="32"/>
          <w:highlight w:val="none"/>
        </w:rPr>
        <w:t xml:space="preserve">十六、</w:t>
      </w:r>
      <w:r>
        <w:rPr>
          <w:rFonts w:hint="eastAsia" w:eastAsia="黑体"/>
          <w:iCs/>
          <w:sz w:val="32"/>
          <w:szCs w:val="32"/>
          <w:highlight w:val="none"/>
        </w:rPr>
        <w:t xml:space="preserve">盐都区</w:t>
      </w:r>
      <w:r>
        <w:rPr>
          <w:rFonts w:eastAsia="黑体"/>
          <w:iCs/>
          <w:sz w:val="32"/>
          <w:szCs w:val="32"/>
          <w:highlight w:val="none"/>
        </w:rPr>
        <w:t xml:space="preserve">政府采购事前信用承诺书</w:t>
      </w:r>
      <w:r/>
    </w:p>
    <w:p>
      <w:pPr>
        <w:ind w:firstLine="440"/>
        <w:spacing w:line="520" w:lineRule="exact"/>
        <w:widowControl/>
        <w:rPr>
          <w:sz w:val="24"/>
          <w:highlight w:val="none"/>
        </w:rPr>
      </w:pPr>
      <w:r>
        <w:rPr>
          <w:rFonts w:hint="eastAsia"/>
          <w:sz w:val="24"/>
          <w:highlight w:val="none"/>
        </w:rPr>
        <w:t xml:space="preserve">为营造我区公开、公平、公正、诚实守信的政府采购交易环境，树立诚信守法的投标人形象，本人代表本单位作出以下承诺：</w:t>
      </w:r>
      <w:r/>
    </w:p>
    <w:p>
      <w:pPr>
        <w:ind w:firstLine="440"/>
        <w:spacing w:line="520" w:lineRule="exact"/>
        <w:widowControl/>
        <w:rPr>
          <w:sz w:val="24"/>
          <w:highlight w:val="none"/>
        </w:rPr>
      </w:pPr>
      <w:r>
        <w:rPr>
          <w:rFonts w:hint="eastAsia"/>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highlight w:val="none"/>
        </w:rPr>
      </w:pPr>
      <w:r>
        <w:rPr>
          <w:rFonts w:hint="eastAsia"/>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highlight w:val="none"/>
        </w:rPr>
      </w:pPr>
      <w:r>
        <w:rPr>
          <w:rFonts w:hint="eastAsia"/>
          <w:sz w:val="24"/>
          <w:highlight w:val="none"/>
        </w:rPr>
        <w:t xml:space="preserve">（三）严格依照国家和省、市关于政府采购的法律、法规、规章、规范性文件，参加政府采购投标活动；积极履行社会责任，促进廉政建设；</w:t>
      </w:r>
      <w:r/>
    </w:p>
    <w:p>
      <w:pPr>
        <w:ind w:firstLine="440"/>
        <w:spacing w:line="520" w:lineRule="exact"/>
        <w:widowControl/>
        <w:rPr>
          <w:sz w:val="24"/>
          <w:highlight w:val="none"/>
        </w:rPr>
      </w:pPr>
      <w:r>
        <w:rPr>
          <w:rFonts w:hint="eastAsia"/>
          <w:sz w:val="24"/>
          <w:highlight w:val="none"/>
        </w:rPr>
        <w:t xml:space="preserve">（四）严格遵守即时信息公示规定，及时维护和更新盐城市政府采购网中与本单位相关的信息；</w:t>
      </w:r>
      <w:r/>
    </w:p>
    <w:p>
      <w:pPr>
        <w:ind w:firstLine="440"/>
        <w:spacing w:line="520" w:lineRule="exact"/>
        <w:widowControl/>
        <w:rPr>
          <w:sz w:val="24"/>
          <w:highlight w:val="none"/>
        </w:rPr>
      </w:pPr>
      <w:r>
        <w:rPr>
          <w:rFonts w:hint="eastAsia"/>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highlight w:val="none"/>
        </w:rPr>
      </w:pPr>
      <w:r>
        <w:rPr>
          <w:rFonts w:hint="eastAsia"/>
          <w:sz w:val="24"/>
          <w:highlight w:val="none"/>
        </w:rPr>
        <w:t xml:space="preserve">（六）自觉接受政府、行业组织、社会公众、新闻舆论的监督；</w:t>
      </w:r>
      <w:r/>
    </w:p>
    <w:p>
      <w:pPr>
        <w:ind w:firstLine="440"/>
        <w:spacing w:line="520" w:lineRule="exact"/>
        <w:widowControl/>
        <w:rPr>
          <w:sz w:val="24"/>
          <w:highlight w:val="none"/>
        </w:rPr>
      </w:pPr>
      <w:r>
        <w:rPr>
          <w:rFonts w:hint="eastAsia"/>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highlight w:val="none"/>
        </w:rPr>
      </w:pPr>
      <w:r>
        <w:rPr>
          <w:rFonts w:hint="eastAsia"/>
          <w:sz w:val="24"/>
          <w:highlight w:val="none"/>
        </w:rPr>
        <w:t xml:space="preserve">（八）本人已认真阅读了上述承诺，并向本单位员工作了宣传教育。</w:t>
      </w:r>
      <w:r/>
    </w:p>
    <w:p>
      <w:pPr>
        <w:jc w:val="right"/>
        <w:spacing w:line="520" w:lineRule="exact"/>
        <w:widowControl/>
        <w:rPr>
          <w:sz w:val="24"/>
          <w:highlight w:val="none"/>
        </w:rPr>
      </w:pPr>
      <w:r>
        <w:rPr>
          <w:sz w:val="24"/>
          <w:highlight w:val="none"/>
        </w:rPr>
        <w:t xml:space="preserve">                </w:t>
      </w:r>
      <w:r/>
    </w:p>
    <w:p>
      <w:pPr>
        <w:ind w:right="960" w:firstLine="440"/>
        <w:jc w:val="center"/>
        <w:rPr>
          <w:sz w:val="24"/>
          <w:highlight w:val="none"/>
        </w:rPr>
      </w:pPr>
      <w:r>
        <w:rPr>
          <w:sz w:val="24"/>
          <w:highlight w:val="none"/>
        </w:rPr>
        <w:t xml:space="preserve"> 法定代表人（签名）：</w:t>
      </w:r>
      <w:r/>
    </w:p>
    <w:p>
      <w:pPr>
        <w:ind w:right="960" w:firstLine="3120"/>
        <w:rPr>
          <w:sz w:val="24"/>
          <w:highlight w:val="none"/>
        </w:rPr>
      </w:pPr>
      <w:r>
        <w:rPr>
          <w:rFonts w:hint="eastAsia"/>
          <w:sz w:val="24"/>
          <w:highlight w:val="none"/>
        </w:rPr>
        <w:t xml:space="preserve">单位名称（盖章）：</w:t>
      </w:r>
      <w:r/>
    </w:p>
    <w:p>
      <w:pPr>
        <w:ind w:firstLine="440"/>
        <w:rPr>
          <w:sz w:val="24"/>
          <w:highlight w:val="none"/>
        </w:rPr>
      </w:pPr>
      <w:r>
        <w:rPr>
          <w:sz w:val="24"/>
          <w:highlight w:val="none"/>
        </w:rPr>
        <w:t xml:space="preserve">                           年   月   日</w:t>
      </w:r>
      <w:bookmarkEnd w:id="151"/>
      <w:r/>
      <w:bookmarkEnd w:id="152"/>
      <w:r/>
      <w:bookmarkEnd w:id="153"/>
      <w:r/>
      <w:bookmarkEnd w:id="154"/>
      <w:r/>
      <w:bookmarkEnd w:id="155"/>
      <w:r/>
      <w:bookmarkEnd w:id="156"/>
      <w:r/>
      <w:bookmarkEnd w:id="157"/>
      <w:r/>
      <w:bookmarkEnd w:id="158"/>
      <w:r/>
      <w:r/>
    </w:p>
    <w:p>
      <w:pPr>
        <w:pStyle w:val="800"/>
        <w:jc w:val="center"/>
        <w:spacing w:beforeAutospacing="0" w:afterAutospacing="0"/>
        <w:rPr>
          <w:rFonts w:hint="eastAsia"/>
          <w:szCs w:val="28"/>
          <w:highlight w:val="none"/>
        </w:rPr>
      </w:pPr>
      <w:r>
        <w:rPr>
          <w:rFonts w:hint="eastAsia"/>
          <w:szCs w:val="28"/>
          <w:highlight w:val="none"/>
        </w:rPr>
      </w:r>
      <w:r/>
    </w:p>
    <w:p>
      <w:pPr>
        <w:pStyle w:val="800"/>
        <w:jc w:val="center"/>
        <w:spacing w:beforeAutospacing="0" w:afterAutospacing="0"/>
        <w:rPr>
          <w:rFonts w:hint="eastAsia"/>
          <w:szCs w:val="28"/>
          <w:highlight w:val="none"/>
        </w:rPr>
      </w:pPr>
      <w:r>
        <w:rPr>
          <w:rFonts w:hint="eastAsia"/>
          <w:szCs w:val="28"/>
          <w:highlight w:val="none"/>
        </w:rPr>
      </w:r>
      <w:r/>
    </w:p>
    <w:p>
      <w:pPr>
        <w:pStyle w:val="800"/>
        <w:jc w:val="center"/>
        <w:spacing w:beforeAutospacing="0" w:afterAutospacing="0"/>
        <w:rPr>
          <w:rFonts w:hint="eastAsia"/>
          <w:szCs w:val="28"/>
          <w:highlight w:val="none"/>
        </w:rPr>
      </w:pPr>
      <w:r>
        <w:rPr>
          <w:rFonts w:hint="eastAsia"/>
          <w:szCs w:val="28"/>
          <w:highlight w:val="none"/>
        </w:rPr>
        <w:t xml:space="preserve">质疑函范本</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一、质疑供应商基本信息</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质疑供应商：</w:t>
      </w:r>
      <w:r>
        <w:rPr>
          <w:rFonts w:hint="eastAsia"/>
          <w:bCs/>
          <w:highlight w:val="none"/>
          <w:u w:val="single"/>
        </w:rPr>
        <w:t xml:space="preserve">                    </w:t>
      </w:r>
      <w:r>
        <w:rPr>
          <w:rFonts w:hint="eastAsia"/>
          <w:bCs/>
          <w:highlight w:val="none"/>
          <w:u w:val="single"/>
        </w:rPr>
        <w:tab/>
      </w:r>
      <w:r>
        <w:rPr>
          <w:rFonts w:hint="eastAsia"/>
          <w:bCs/>
          <w:highlight w:val="none"/>
          <w:u w:val="single"/>
        </w:rPr>
        <w:t xml:space="preserve">         </w:t>
      </w:r>
      <w:r>
        <w:rPr>
          <w:rFonts w:hint="eastAsia"/>
          <w:bCs/>
          <w:highlight w:val="none"/>
          <w:u w:val="single"/>
        </w:rPr>
        <w:tab/>
      </w:r>
      <w:r/>
    </w:p>
    <w:p>
      <w:pPr>
        <w:pStyle w:val="800"/>
        <w:jc w:val="both"/>
        <w:spacing w:before="0" w:beforeAutospacing="0" w:after="0" w:afterAutospacing="0" w:line="360" w:lineRule="exact"/>
        <w:rPr>
          <w:rFonts w:hint="eastAsia"/>
          <w:b/>
          <w:bCs/>
          <w:highlight w:val="none"/>
          <w:u w:val="single"/>
        </w:rPr>
      </w:pPr>
      <w:r>
        <w:rPr>
          <w:rFonts w:hint="eastAsia"/>
          <w:bCs/>
          <w:highlight w:val="none"/>
        </w:rPr>
        <w:t xml:space="preserve">地址：</w:t>
      </w:r>
      <w:r>
        <w:rPr>
          <w:rFonts w:hint="eastAsia"/>
          <w:bCs/>
          <w:highlight w:val="none"/>
          <w:u w:val="single"/>
        </w:rPr>
        <w:t xml:space="preserve">                      </w:t>
      </w:r>
      <w:r>
        <w:rPr>
          <w:rFonts w:hint="eastAsia"/>
          <w:bCs/>
          <w:highlight w:val="none"/>
          <w:u w:val="single"/>
        </w:rPr>
        <w:tab/>
      </w:r>
      <w:r>
        <w:rPr>
          <w:rFonts w:hint="eastAsia"/>
          <w:bCs/>
          <w:highlight w:val="none"/>
          <w:u w:val="single"/>
        </w:rPr>
        <w:tab/>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邮编：</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u w:val="single"/>
        </w:rPr>
      </w:pPr>
      <w:r>
        <w:rPr>
          <w:rFonts w:hint="eastAsia"/>
          <w:bCs/>
          <w:highlight w:val="none"/>
        </w:rPr>
        <w:t xml:space="preserve">联系人：</w:t>
      </w:r>
      <w:r>
        <w:rPr>
          <w:rFonts w:hint="eastAsia"/>
          <w:bCs/>
          <w:highlight w:val="none"/>
          <w:u w:val="single"/>
        </w:rPr>
        <w:t xml:space="preserve">               </w:t>
      </w:r>
      <w:r>
        <w:rPr>
          <w:rFonts w:hint="eastAsia"/>
          <w:bCs/>
          <w:highlight w:val="none"/>
          <w:u w:val="single"/>
        </w:rPr>
        <w:tab/>
      </w:r>
      <w:r>
        <w:rPr>
          <w:rFonts w:hint="eastAsia"/>
          <w:bCs/>
          <w:highlight w:val="none"/>
          <w:u w:val="single"/>
        </w:rPr>
        <w:tab/>
      </w:r>
      <w:r>
        <w:rPr>
          <w:rFonts w:hint="eastAsia"/>
          <w:bCs/>
          <w:highlight w:val="none"/>
          <w:u w:val="single"/>
        </w:rPr>
        <w:tab/>
      </w:r>
      <w:r>
        <w:rPr>
          <w:rFonts w:hint="eastAsia"/>
          <w:bCs/>
          <w:highlight w:val="none"/>
          <w:u w:val="single"/>
        </w:rPr>
        <w:tab/>
      </w:r>
      <w:r>
        <w:rPr>
          <w:rFonts w:hint="eastAsia"/>
          <w:bCs/>
          <w:highlight w:val="none"/>
          <w:u w:val="single"/>
        </w:rPr>
        <w:tab/>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联系电话：</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授权代表：</w:t>
      </w:r>
      <w:r>
        <w:rPr>
          <w:rFonts w:hint="eastAsia"/>
          <w:bCs/>
          <w:highlight w:val="none"/>
          <w:u w:val="single"/>
        </w:rPr>
        <w:t xml:space="preserve">                 </w:t>
      </w:r>
      <w:r>
        <w:rPr>
          <w:rFonts w:hint="eastAsia"/>
          <w:bCs/>
          <w:highlight w:val="none"/>
          <w:u w:val="single"/>
        </w:rPr>
        <w:tab/>
      </w:r>
      <w:r>
        <w:rPr>
          <w:rFonts w:hint="eastAsia"/>
          <w:bCs/>
          <w:highlight w:val="none"/>
          <w:u w:val="single"/>
        </w:rPr>
        <w:tab/>
      </w:r>
      <w:r>
        <w:rPr>
          <w:rFonts w:hint="eastAsia"/>
          <w:bCs/>
          <w:highlight w:val="none"/>
          <w:u w:val="single"/>
        </w:rPr>
        <w:tab/>
      </w:r>
      <w:r>
        <w:rPr>
          <w:rFonts w:hint="eastAsia"/>
          <w:bCs/>
          <w:highlight w:val="none"/>
          <w:u w:val="single"/>
        </w:rPr>
        <w:t xml:space="preserve">    </w:t>
      </w:r>
      <w:r>
        <w:rPr>
          <w:rFonts w:hint="eastAsia"/>
          <w:bCs/>
          <w:highlight w:val="none"/>
          <w:u w:val="single"/>
        </w:rPr>
        <w:tab/>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联系电话：</w:t>
      </w:r>
      <w:r>
        <w:rPr>
          <w:rFonts w:hint="eastAsia"/>
          <w:bCs/>
          <w:highlight w:val="none"/>
          <w:u w:val="single"/>
        </w:rPr>
        <w:t xml:space="preserve">                  </w:t>
      </w:r>
      <w:r>
        <w:rPr>
          <w:rFonts w:hint="eastAsia"/>
          <w:bCs/>
          <w:highlight w:val="none"/>
          <w:u w:val="single"/>
        </w:rPr>
        <w:tab/>
      </w:r>
      <w:r>
        <w:rPr>
          <w:rFonts w:hint="eastAsia"/>
          <w:bCs/>
          <w:highlight w:val="none"/>
          <w:u w:val="single"/>
        </w:rPr>
        <w:tab/>
      </w:r>
      <w:r>
        <w:rPr>
          <w:rFonts w:hint="eastAsia"/>
          <w:bCs/>
          <w:highlight w:val="none"/>
          <w:u w:val="single"/>
        </w:rPr>
        <w:tab/>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u w:val="single"/>
        </w:rPr>
      </w:pPr>
      <w:r>
        <w:rPr>
          <w:rFonts w:hint="eastAsia"/>
          <w:bCs/>
          <w:highlight w:val="none"/>
        </w:rPr>
        <w:t xml:space="preserve">地址： </w:t>
      </w:r>
      <w:r>
        <w:rPr>
          <w:rFonts w:hint="eastAsia"/>
          <w:bCs/>
          <w:highlight w:val="none"/>
          <w:u w:val="single"/>
        </w:rPr>
        <w:t xml:space="preserve">                  </w:t>
      </w:r>
      <w:r>
        <w:rPr>
          <w:rFonts w:hint="eastAsia"/>
          <w:bCs/>
          <w:highlight w:val="none"/>
          <w:u w:val="single"/>
        </w:rPr>
        <w:tab/>
      </w:r>
      <w:r>
        <w:rPr>
          <w:rFonts w:hint="eastAsia"/>
          <w:bCs/>
          <w:highlight w:val="none"/>
          <w:u w:val="single"/>
        </w:rPr>
        <w:tab/>
      </w:r>
      <w:r>
        <w:rPr>
          <w:rFonts w:hint="eastAsia"/>
          <w:bCs/>
          <w:highlight w:val="none"/>
          <w:u w:val="single"/>
        </w:rPr>
        <w:tab/>
      </w:r>
      <w:r>
        <w:rPr>
          <w:rFonts w:hint="eastAsia"/>
          <w:bCs/>
          <w:highlight w:val="none"/>
          <w:u w:val="single"/>
        </w:rPr>
        <w:tab/>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邮编：</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二、质疑项目基本情况</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质疑项目的名称：</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u w:val="single"/>
        </w:rPr>
      </w:pPr>
      <w:r>
        <w:rPr>
          <w:rFonts w:hint="eastAsia"/>
          <w:bCs/>
          <w:highlight w:val="none"/>
        </w:rPr>
        <w:t xml:space="preserve">质疑项目的编号：</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包号：</w:t>
      </w:r>
      <w:r>
        <w:rPr>
          <w:rFonts w:hint="eastAsia"/>
          <w:bCs/>
          <w:highlight w:val="none"/>
          <w:u w:val="single"/>
        </w:rPr>
        <w:t xml:space="preserve">                       </w:t>
      </w:r>
      <w:r>
        <w:rPr>
          <w:rFonts w:hint="eastAsia"/>
          <w:bCs/>
          <w:highlight w:val="none"/>
          <w:u w:val="single"/>
        </w:rPr>
        <w:tab/>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采购人名称：</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采购文件获取日期：</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三、质疑事项具体内容</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质疑事项1：</w:t>
      </w:r>
      <w:r>
        <w:rPr>
          <w:rFonts w:hint="eastAsia"/>
          <w:bCs/>
          <w:highlight w:val="none"/>
          <w:u w:val="single"/>
        </w:rPr>
        <w:t xml:space="preserve">                                </w:t>
      </w:r>
      <w:r/>
    </w:p>
    <w:p>
      <w:pPr>
        <w:pStyle w:val="800"/>
        <w:spacing w:before="0" w:beforeAutospacing="0" w:after="0" w:afterAutospacing="0" w:line="360" w:lineRule="exact"/>
        <w:rPr>
          <w:rFonts w:hint="eastAsia"/>
          <w:b/>
          <w:bCs/>
          <w:highlight w:val="none"/>
        </w:rPr>
      </w:pPr>
      <w:r>
        <w:rPr>
          <w:rFonts w:hint="eastAsia"/>
          <w:bCs/>
          <w:highlight w:val="none"/>
        </w:rPr>
        <w:t xml:space="preserve">事实依据：</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法律依据：</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质疑事项2</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四、与质疑事项相关的质疑请求</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请求：</w:t>
      </w:r>
      <w:r>
        <w:rPr>
          <w:rFonts w:hint="eastAsia"/>
          <w:bCs/>
          <w:highlight w:val="none"/>
          <w:u w:val="single"/>
        </w:rPr>
        <w:t xml:space="preserve">                                                    </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签字(签章)：                 公章：               日期：</w:t>
      </w:r>
      <w:r/>
    </w:p>
    <w:p>
      <w:pPr>
        <w:pStyle w:val="800"/>
        <w:jc w:val="both"/>
        <w:spacing w:before="0" w:beforeAutospacing="0" w:after="0" w:afterAutospacing="0" w:line="360" w:lineRule="exact"/>
        <w:rPr>
          <w:rFonts w:hint="eastAsia"/>
          <w:b/>
          <w:bCs/>
          <w:highlight w:val="none"/>
        </w:rPr>
      </w:pPr>
      <w:r>
        <w:rPr>
          <w:rFonts w:hint="eastAsia"/>
          <w:bCs/>
          <w:highlight w:val="none"/>
        </w:rPr>
        <w:t xml:space="preserve">质疑函制作说明：</w:t>
      </w:r>
      <w:r/>
    </w:p>
    <w:p>
      <w:pPr>
        <w:pStyle w:val="800"/>
        <w:ind w:firstLine="480"/>
        <w:spacing w:before="0" w:beforeAutospacing="0" w:after="0" w:afterAutospacing="0" w:line="360" w:lineRule="exact"/>
        <w:rPr>
          <w:rFonts w:hint="eastAsia"/>
          <w:b/>
          <w:bCs/>
          <w:highlight w:val="none"/>
        </w:rPr>
      </w:pPr>
      <w:r>
        <w:rPr>
          <w:rFonts w:hint="eastAsia"/>
          <w:bCs/>
          <w:highlight w:val="none"/>
        </w:rPr>
        <w:t xml:space="preserve">1.供应商提出质疑时，应提交质疑函和必要的证明材料。</w:t>
      </w:r>
      <w:r/>
    </w:p>
    <w:p>
      <w:pPr>
        <w:pStyle w:val="800"/>
        <w:ind w:firstLine="480"/>
        <w:spacing w:before="0" w:beforeAutospacing="0" w:after="0" w:afterAutospacing="0" w:line="360" w:lineRule="exact"/>
        <w:rPr>
          <w:rFonts w:hint="eastAsia"/>
          <w:b/>
          <w:bCs/>
          <w:highlight w:val="none"/>
        </w:rPr>
      </w:pPr>
      <w:r>
        <w:rPr>
          <w:rFonts w:hint="eastAsia"/>
          <w:bCs/>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0"/>
        <w:ind w:firstLine="480"/>
        <w:spacing w:before="0" w:beforeAutospacing="0" w:after="0" w:afterAutospacing="0" w:line="360" w:lineRule="exact"/>
        <w:rPr>
          <w:rFonts w:hint="eastAsia"/>
          <w:b/>
          <w:bCs/>
          <w:highlight w:val="none"/>
        </w:rPr>
      </w:pPr>
      <w:r>
        <w:rPr>
          <w:rFonts w:hint="eastAsia"/>
          <w:bCs/>
          <w:highlight w:val="none"/>
        </w:rPr>
        <w:t xml:space="preserve">3.质疑供应商若对项目的某一分包进行质疑，质疑函中应列明具体分包号。</w:t>
      </w:r>
      <w:r/>
    </w:p>
    <w:p>
      <w:pPr>
        <w:pStyle w:val="800"/>
        <w:ind w:firstLine="480"/>
        <w:spacing w:before="0" w:beforeAutospacing="0" w:after="0" w:afterAutospacing="0" w:line="360" w:lineRule="exact"/>
        <w:rPr>
          <w:rFonts w:hint="eastAsia"/>
          <w:b/>
          <w:bCs/>
          <w:highlight w:val="none"/>
        </w:rPr>
      </w:pPr>
      <w:r>
        <w:rPr>
          <w:rFonts w:hint="eastAsia"/>
          <w:bCs/>
          <w:highlight w:val="none"/>
        </w:rPr>
        <w:t xml:space="preserve">4.质疑函的质疑事项应具体、明确，并有必要的事实依据和法律依据。</w:t>
      </w:r>
      <w:r/>
    </w:p>
    <w:p>
      <w:pPr>
        <w:pStyle w:val="800"/>
        <w:ind w:firstLine="480"/>
        <w:spacing w:before="0" w:beforeAutospacing="0" w:after="0" w:afterAutospacing="0" w:line="360" w:lineRule="exact"/>
        <w:rPr>
          <w:rFonts w:hint="eastAsia"/>
          <w:b/>
          <w:bCs/>
          <w:highlight w:val="none"/>
        </w:rPr>
      </w:pPr>
      <w:r>
        <w:rPr>
          <w:rFonts w:hint="eastAsia"/>
          <w:bCs/>
          <w:highlight w:val="none"/>
        </w:rPr>
        <w:t xml:space="preserve">5.质疑函的质疑请求应与质疑事项相关。</w:t>
      </w:r>
      <w:r/>
    </w:p>
    <w:p>
      <w:pPr>
        <w:pStyle w:val="800"/>
        <w:ind w:firstLine="480"/>
        <w:spacing w:before="0" w:beforeAutospacing="0" w:after="0" w:afterAutospacing="0" w:line="360" w:lineRule="exact"/>
        <w:rPr>
          <w:rFonts w:hint="eastAsia"/>
          <w:bCs/>
          <w:highlight w:val="none"/>
        </w:rPr>
      </w:pPr>
      <w:r>
        <w:rPr>
          <w:rFonts w:hint="eastAsia"/>
          <w:bCs/>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1134" w:footer="113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仿宋">
    <w:panose1 w:val="02010609060101010101"/>
  </w:font>
  <w:font w:name="等线 Light">
    <w:panose1 w:val="02010600030101010101"/>
  </w:font>
  <w:font w:name="Verdana">
    <w:panose1 w:val="020B0604030504040204"/>
  </w:font>
  <w:font w:name="幼圆">
    <w:panose1 w:val="0201050906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1">
    <w:name w:val="Plain Table 1"/>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2"/>
    <w:basedOn w:val="6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3"/>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4">
    <w:name w:val="Plain Table 4"/>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5">
    <w:name w:val="Plain Table 5"/>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6">
    <w:name w:val="Grid Table 1 Light"/>
    <w:basedOn w:val="6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7">
    <w:name w:val="Grid Table 2"/>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8">
    <w:name w:val="Grid Table 3"/>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9">
    <w:name w:val="Grid Table 4"/>
    <w:basedOn w:val="6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0">
    <w:name w:val="Grid Table 5 Dark"/>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1">
    <w:name w:val="Grid Table 6 Colorful"/>
    <w:basedOn w:val="6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2">
    <w:name w:val="Grid Table 7 Colorful"/>
    <w:basedOn w:val="6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3">
    <w:name w:val="List Table 1 Light"/>
    <w:basedOn w:val="6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4">
    <w:name w:val="List Table 2"/>
    <w:basedOn w:val="6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5">
    <w:name w:val="List Table 3"/>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6">
    <w:name w:val="List Table 4"/>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7">
    <w:name w:val="List Table 5 Dark"/>
    <w:basedOn w:val="6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8">
    <w:name w:val="List Table 6 Colorful"/>
    <w:basedOn w:val="6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9">
    <w:name w:val="List Table 7 Colorful"/>
    <w:basedOn w:val="6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0">
    <w:name w:val="TOC Heading"/>
    <w:uiPriority w:val="39"/>
    <w:unhideWhenUsed/>
  </w:style>
  <w:style w:type="paragraph" w:styleId="6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2">
    <w:name w:val="Heading 1"/>
    <w:basedOn w:val="681"/>
    <w:next w:val="681"/>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1"/>
    <w:next w:val="681"/>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firstLine="420"/>
      <w:jc w:val="left"/>
      <w:spacing w:after="57" w:line="360" w:lineRule="auto"/>
    </w:pPr>
    <w:rPr>
      <w:rFonts w:ascii="宋体" w:hAnsi="宋体" w:cs="宋体"/>
      <w:color w:val="000000"/>
      <w:sz w:val="22"/>
      <w:szCs w:val="21"/>
    </w:rPr>
  </w:style>
  <w:style w:type="paragraph" w:styleId="694">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Block Text"/>
    <w:basedOn w:val="681"/>
    <w:uiPriority w:val="99"/>
    <w:unhideWhenUsed/>
    <w:qFormat/>
    <w:pPr>
      <w:ind w:left="1440" w:right="1440"/>
      <w:spacing w:after="120"/>
      <w:tabs>
        <w:tab w:val="left" w:pos="9000" w:leader="none"/>
      </w:tabs>
    </w:pPr>
    <w:rPr>
      <w:szCs w:val="20"/>
    </w:rPr>
  </w:style>
  <w:style w:type="paragraph" w:styleId="696">
    <w:name w:val="toc 5"/>
    <w:basedOn w:val="681"/>
    <w:next w:val="681"/>
    <w:uiPriority w:val="39"/>
    <w:unhideWhenUsed/>
    <w:qFormat/>
    <w:pPr>
      <w:ind w:left="1134" w:firstLine="420"/>
      <w:jc w:val="left"/>
      <w:spacing w:after="57" w:line="360" w:lineRule="auto"/>
    </w:pPr>
    <w:rPr>
      <w:rFonts w:ascii="宋体" w:hAnsi="宋体" w:cs="宋体"/>
      <w:color w:val="000000"/>
      <w:sz w:val="22"/>
      <w:szCs w:val="21"/>
    </w:rPr>
  </w:style>
  <w:style w:type="paragraph" w:styleId="697">
    <w:name w:val="toc 3"/>
    <w:basedOn w:val="681"/>
    <w:next w:val="681"/>
    <w:uiPriority w:val="39"/>
    <w:unhideWhenUsed/>
    <w:qFormat/>
    <w:pPr>
      <w:ind w:left="567" w:firstLine="420"/>
      <w:jc w:val="left"/>
      <w:spacing w:after="57" w:line="360" w:lineRule="auto"/>
    </w:pPr>
    <w:rPr>
      <w:rFonts w:ascii="宋体" w:hAnsi="宋体" w:cs="宋体"/>
      <w:color w:val="000000"/>
      <w:sz w:val="22"/>
      <w:szCs w:val="21"/>
    </w:rPr>
  </w:style>
  <w:style w:type="paragraph" w:styleId="698">
    <w:name w:val="Plain Text"/>
    <w:basedOn w:val="681"/>
    <w:uiPriority w:val="0"/>
    <w:qFormat/>
    <w:rPr>
      <w:rFonts w:ascii="宋体" w:hAnsi="Courier New"/>
      <w:sz w:val="20"/>
      <w:szCs w:val="21"/>
    </w:rPr>
  </w:style>
  <w:style w:type="paragraph" w:styleId="699">
    <w:name w:val="toc 8"/>
    <w:basedOn w:val="681"/>
    <w:next w:val="681"/>
    <w:uiPriority w:val="39"/>
    <w:unhideWhenUsed/>
    <w:qFormat/>
    <w:pPr>
      <w:ind w:left="1984" w:firstLine="420"/>
      <w:jc w:val="left"/>
      <w:spacing w:after="57" w:line="360" w:lineRule="auto"/>
    </w:pPr>
    <w:rPr>
      <w:rFonts w:ascii="宋体" w:hAnsi="宋体" w:cs="宋体"/>
      <w:color w:val="000000"/>
      <w:sz w:val="22"/>
      <w:szCs w:val="21"/>
    </w:rPr>
  </w:style>
  <w:style w:type="paragraph" w:styleId="700">
    <w:name w:val="endnote text"/>
    <w:basedOn w:val="681"/>
    <w:uiPriority w:val="99"/>
    <w:semiHidden/>
    <w:unhideWhenUsed/>
    <w:qFormat/>
    <w:rPr>
      <w:sz w:val="20"/>
    </w:rPr>
  </w:style>
  <w:style w:type="paragraph" w:styleId="701">
    <w:name w:val="Footer"/>
    <w:basedOn w:val="681"/>
    <w:uiPriority w:val="99"/>
    <w:unhideWhenUsed/>
    <w:qFormat/>
    <w:pPr>
      <w:tabs>
        <w:tab w:val="center" w:pos="7143" w:leader="none"/>
        <w:tab w:val="right" w:pos="14287" w:leader="none"/>
      </w:tabs>
    </w:pPr>
  </w:style>
  <w:style w:type="paragraph" w:styleId="702">
    <w:name w:val="Header"/>
    <w:basedOn w:val="681"/>
    <w:uiPriority w:val="99"/>
    <w:unhideWhenUsed/>
    <w:qFormat/>
    <w:pPr>
      <w:tabs>
        <w:tab w:val="center" w:pos="7143" w:leader="none"/>
        <w:tab w:val="right" w:pos="14287" w:leader="none"/>
      </w:tabs>
    </w:pPr>
  </w:style>
  <w:style w:type="paragraph" w:styleId="703">
    <w:name w:val="toc 1"/>
    <w:basedOn w:val="681"/>
    <w:next w:val="681"/>
    <w:uiPriority w:val="39"/>
    <w:unhideWhenUsed/>
    <w:qFormat/>
    <w:pPr>
      <w:ind w:firstLine="420"/>
      <w:jc w:val="left"/>
      <w:spacing w:after="57" w:line="360" w:lineRule="auto"/>
    </w:pPr>
    <w:rPr>
      <w:rFonts w:ascii="宋体" w:hAnsi="宋体" w:cs="宋体"/>
      <w:color w:val="000000"/>
      <w:sz w:val="22"/>
      <w:szCs w:val="21"/>
    </w:rPr>
  </w:style>
  <w:style w:type="paragraph" w:styleId="704">
    <w:name w:val="toc 4"/>
    <w:basedOn w:val="681"/>
    <w:next w:val="681"/>
    <w:uiPriority w:val="39"/>
    <w:unhideWhenUsed/>
    <w:qFormat/>
    <w:pPr>
      <w:ind w:left="850" w:firstLine="420"/>
      <w:jc w:val="left"/>
      <w:spacing w:after="57" w:line="360" w:lineRule="auto"/>
    </w:pPr>
    <w:rPr>
      <w:rFonts w:ascii="宋体" w:hAnsi="宋体" w:cs="宋体"/>
      <w:color w:val="000000"/>
      <w:sz w:val="22"/>
      <w:szCs w:val="21"/>
    </w:rPr>
  </w:style>
  <w:style w:type="paragraph" w:styleId="705">
    <w:name w:val="Subtitle"/>
    <w:basedOn w:val="681"/>
    <w:next w:val="681"/>
    <w:uiPriority w:val="11"/>
    <w:qFormat/>
    <w:pPr>
      <w:spacing w:before="200" w:after="200"/>
    </w:pPr>
    <w:rPr>
      <w:sz w:val="24"/>
    </w:rPr>
  </w:style>
  <w:style w:type="paragraph" w:styleId="706">
    <w:name w:val="footnote text"/>
    <w:basedOn w:val="681"/>
    <w:uiPriority w:val="99"/>
    <w:semiHidden/>
    <w:unhideWhenUsed/>
    <w:qFormat/>
    <w:pPr>
      <w:spacing w:after="40"/>
    </w:pPr>
    <w:rPr>
      <w:sz w:val="18"/>
    </w:rPr>
  </w:style>
  <w:style w:type="paragraph" w:styleId="707">
    <w:name w:val="toc 6"/>
    <w:basedOn w:val="681"/>
    <w:next w:val="681"/>
    <w:uiPriority w:val="39"/>
    <w:unhideWhenUsed/>
    <w:qFormat/>
    <w:pPr>
      <w:ind w:left="1417" w:firstLine="420"/>
      <w:jc w:val="left"/>
      <w:spacing w:after="57" w:line="360" w:lineRule="auto"/>
    </w:pPr>
    <w:rPr>
      <w:rFonts w:ascii="宋体" w:hAnsi="宋体" w:cs="宋体"/>
      <w:color w:val="000000"/>
      <w:sz w:val="22"/>
      <w:szCs w:val="21"/>
    </w:rPr>
  </w:style>
  <w:style w:type="paragraph" w:styleId="708">
    <w:name w:val="table of figures"/>
    <w:basedOn w:val="681"/>
    <w:next w:val="681"/>
    <w:uiPriority w:val="99"/>
    <w:unhideWhenUsed/>
    <w:qFormat/>
  </w:style>
  <w:style w:type="paragraph" w:styleId="709">
    <w:name w:val="toc 2"/>
    <w:basedOn w:val="681"/>
    <w:next w:val="681"/>
    <w:uiPriority w:val="39"/>
    <w:unhideWhenUsed/>
    <w:qFormat/>
    <w:pPr>
      <w:ind w:left="283" w:firstLine="420"/>
      <w:jc w:val="left"/>
      <w:spacing w:after="57" w:line="360" w:lineRule="auto"/>
    </w:pPr>
    <w:rPr>
      <w:rFonts w:ascii="宋体" w:hAnsi="宋体" w:cs="宋体"/>
      <w:color w:val="000000"/>
      <w:sz w:val="22"/>
      <w:szCs w:val="21"/>
    </w:rPr>
  </w:style>
  <w:style w:type="paragraph" w:styleId="710">
    <w:name w:val="toc 9"/>
    <w:basedOn w:val="681"/>
    <w:next w:val="681"/>
    <w:uiPriority w:val="39"/>
    <w:unhideWhenUsed/>
    <w:qFormat/>
    <w:pPr>
      <w:ind w:left="2268" w:firstLine="420"/>
      <w:jc w:val="left"/>
      <w:spacing w:after="57" w:line="360" w:lineRule="auto"/>
    </w:pPr>
    <w:rPr>
      <w:rFonts w:ascii="宋体" w:hAnsi="宋体" w:cs="宋体"/>
      <w:color w:val="000000"/>
      <w:sz w:val="22"/>
      <w:szCs w:val="21"/>
    </w:rPr>
  </w:style>
  <w:style w:type="paragraph" w:styleId="711">
    <w:name w:val="Normal (Web)"/>
    <w:basedOn w:val="681"/>
    <w:uiPriority w:val="0"/>
    <w:qFormat/>
    <w:pPr>
      <w:jc w:val="left"/>
      <w:spacing w:before="100" w:beforeAutospacing="1" w:after="100" w:afterAutospacing="1"/>
      <w:widowControl/>
    </w:pPr>
    <w:rPr>
      <w:rFonts w:ascii="宋体" w:hAnsi="宋体" w:cs="宋体"/>
      <w:sz w:val="24"/>
    </w:rPr>
  </w:style>
  <w:style w:type="paragraph" w:styleId="712">
    <w:name w:val="Title"/>
    <w:basedOn w:val="681"/>
    <w:next w:val="681"/>
    <w:uiPriority w:val="10"/>
    <w:qFormat/>
    <w:pPr>
      <w:contextualSpacing/>
      <w:spacing w:before="300" w:after="200"/>
    </w:pPr>
    <w:rPr>
      <w:sz w:val="48"/>
      <w:szCs w:val="48"/>
    </w:r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character" w:styleId="717" w:customStyle="1">
    <w:name w:val="标题 3 Char"/>
    <w:link w:val="718"/>
    <w:uiPriority w:val="9"/>
    <w:qFormat/>
    <w:rPr>
      <w:rFonts w:ascii="Arial" w:hAnsi="Arial" w:eastAsia="Arial" w:cs="Arial"/>
      <w:color w:val="000000"/>
      <w:sz w:val="30"/>
      <w:szCs w:val="30"/>
    </w:rPr>
  </w:style>
  <w:style w:type="paragraph" w:styleId="718" w:customStyle="1">
    <w:name w:val="标题 3111"/>
    <w:basedOn w:val="681"/>
    <w:next w:val="681"/>
    <w:link w:val="717"/>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paragraph" w:styleId="719"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720">
    <w:name w:val="List Paragraph"/>
    <w:basedOn w:val="681"/>
    <w:uiPriority w:val="34"/>
    <w:qFormat/>
    <w:pPr>
      <w:contextualSpacing/>
      <w:ind w:left="720"/>
    </w:pPr>
  </w:style>
  <w:style w:type="paragraph" w:styleId="721">
    <w:name w:val="No Spacing"/>
    <w:uiPriority w:val="1"/>
    <w:qFormat/>
    <w:rPr>
      <w:rFonts w:ascii="Times New Roman" w:hAnsi="Times New Roman" w:eastAsia="宋体" w:cs="Times New Roman"/>
      <w:lang w:val="en-US" w:eastAsia="zh-CN" w:bidi="ar-SA"/>
    </w:rPr>
  </w:style>
  <w:style w:type="paragraph" w:styleId="722">
    <w:name w:val="Quote"/>
    <w:basedOn w:val="681"/>
    <w:next w:val="681"/>
    <w:uiPriority w:val="29"/>
    <w:qFormat/>
    <w:pPr>
      <w:ind w:left="720" w:right="720"/>
    </w:pPr>
    <w:rPr>
      <w:i/>
    </w:rPr>
  </w:style>
  <w:style w:type="paragraph" w:styleId="723">
    <w:name w:val="Intense Quote"/>
    <w:basedOn w:val="681"/>
    <w:next w:val="6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24"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普通表格11"/>
    <w:uiPriority w:val="99"/>
    <w:unhideWhenUsed/>
    <w:qFormat/>
    <w:tblPr>
      <w:tblCellMar>
        <w:left w:w="0" w:type="dxa"/>
        <w:top w:w="0" w:type="dxa"/>
        <w:right w:w="0" w:type="dxa"/>
        <w:bottom w:w="0" w:type="dxa"/>
      </w:tblCellMar>
    </w:tblPr>
  </w:style>
  <w:style w:type="table" w:styleId="726"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3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无格式表格 4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无格式表格 5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7" w:customStyle="1">
    <w:name w:val="清单表 1 浅色1"/>
    <w:basedOn w:val="7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9"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2" w:customStyle="1">
    <w:name w:val="清单表 6 彩色1"/>
    <w:basedOn w:val="7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3" w:customStyle="1">
    <w:name w:val="清单表 7 彩色1"/>
    <w:basedOn w:val="7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4" w:customStyle="1">
    <w:name w:val="标题 1112"/>
    <w:basedOn w:val="681"/>
    <w:next w:val="681"/>
    <w:link w:val="754"/>
    <w:uiPriority w:val="9"/>
    <w:qFormat/>
    <w:pPr>
      <w:keepLines/>
      <w:keepNext/>
      <w:spacing w:before="340" w:after="330" w:line="576" w:lineRule="auto"/>
      <w:outlineLvl w:val="0"/>
    </w:pPr>
    <w:rPr>
      <w:b/>
      <w:bCs/>
      <w:sz w:val="44"/>
      <w:szCs w:val="44"/>
    </w:rPr>
  </w:style>
  <w:style w:type="paragraph" w:styleId="745" w:customStyle="1">
    <w:name w:val="标题 2112"/>
    <w:basedOn w:val="681"/>
    <w:next w:val="681"/>
    <w:link w:val="755"/>
    <w:uiPriority w:val="9"/>
    <w:qFormat/>
    <w:pPr>
      <w:ind w:firstLine="420"/>
      <w:jc w:val="left"/>
      <w:keepLines/>
      <w:keepNext/>
      <w:spacing w:before="360" w:after="200" w:line="360" w:lineRule="auto"/>
      <w:outlineLvl w:val="1"/>
    </w:pPr>
    <w:rPr>
      <w:rFonts w:ascii="Arial" w:hAnsi="Arial" w:eastAsia="Arial" w:cs="Arial"/>
      <w:color w:val="000000"/>
      <w:sz w:val="34"/>
      <w:szCs w:val="21"/>
    </w:rPr>
  </w:style>
  <w:style w:type="paragraph" w:styleId="746" w:customStyle="1">
    <w:name w:val="标题 3112"/>
    <w:basedOn w:val="681"/>
    <w:next w:val="681"/>
    <w:link w:val="756"/>
    <w:uiPriority w:val="9"/>
    <w:qFormat/>
    <w:pPr>
      <w:keepLines/>
      <w:keepNext/>
      <w:spacing w:before="260" w:after="260" w:line="416" w:lineRule="auto"/>
      <w:outlineLvl w:val="2"/>
    </w:pPr>
    <w:rPr>
      <w:b/>
      <w:bCs/>
      <w:sz w:val="32"/>
      <w:szCs w:val="32"/>
    </w:rPr>
  </w:style>
  <w:style w:type="paragraph" w:styleId="747" w:customStyle="1">
    <w:name w:val="标题 4112"/>
    <w:basedOn w:val="681"/>
    <w:next w:val="681"/>
    <w:link w:val="757"/>
    <w:uiPriority w:val="9"/>
    <w:qFormat/>
    <w:pPr>
      <w:keepLines/>
      <w:keepNext/>
      <w:spacing w:before="280" w:after="290" w:line="376" w:lineRule="auto"/>
      <w:outlineLvl w:val="3"/>
    </w:pPr>
    <w:rPr>
      <w:rFonts w:ascii="等线 Light" w:hAnsi="等线 Light" w:eastAsia="等线 Light"/>
      <w:b/>
      <w:bCs/>
      <w:sz w:val="28"/>
      <w:szCs w:val="28"/>
    </w:rPr>
  </w:style>
  <w:style w:type="paragraph" w:styleId="748" w:customStyle="1">
    <w:name w:val="标题 5111"/>
    <w:basedOn w:val="681"/>
    <w:next w:val="681"/>
    <w:link w:val="758"/>
    <w:uiPriority w:val="9"/>
    <w:qFormat/>
    <w:pPr>
      <w:ind w:firstLine="420"/>
      <w:jc w:val="left"/>
      <w:keepLines/>
      <w:keepNext/>
      <w:spacing w:before="320" w:after="200" w:line="360" w:lineRule="auto"/>
      <w:outlineLvl w:val="4"/>
    </w:pPr>
    <w:rPr>
      <w:rFonts w:ascii="Arial" w:hAnsi="Arial" w:eastAsia="Arial" w:cs="Arial"/>
      <w:b/>
      <w:bCs/>
      <w:color w:val="000000"/>
      <w:sz w:val="24"/>
    </w:rPr>
  </w:style>
  <w:style w:type="paragraph" w:styleId="749" w:customStyle="1">
    <w:name w:val="标题 6111"/>
    <w:basedOn w:val="681"/>
    <w:next w:val="681"/>
    <w:link w:val="759"/>
    <w:uiPriority w:val="9"/>
    <w:qFormat/>
    <w:pPr>
      <w:ind w:firstLine="420"/>
      <w:jc w:val="left"/>
      <w:keepLines/>
      <w:keepNext/>
      <w:spacing w:before="320" w:after="200" w:line="360" w:lineRule="auto"/>
      <w:outlineLvl w:val="5"/>
    </w:pPr>
    <w:rPr>
      <w:rFonts w:ascii="Arial" w:hAnsi="Arial" w:eastAsia="Arial" w:cs="Arial"/>
      <w:b/>
      <w:bCs/>
      <w:color w:val="000000"/>
      <w:sz w:val="22"/>
      <w:szCs w:val="22"/>
    </w:rPr>
  </w:style>
  <w:style w:type="paragraph" w:styleId="750" w:customStyle="1">
    <w:name w:val="标题 7111"/>
    <w:basedOn w:val="681"/>
    <w:next w:val="681"/>
    <w:link w:val="760"/>
    <w:uiPriority w:val="9"/>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paragraph" w:styleId="751" w:customStyle="1">
    <w:name w:val="标题 8111"/>
    <w:basedOn w:val="681"/>
    <w:next w:val="681"/>
    <w:link w:val="761"/>
    <w:uiPriority w:val="9"/>
    <w:qFormat/>
    <w:pPr>
      <w:ind w:firstLine="420"/>
      <w:jc w:val="left"/>
      <w:keepLines/>
      <w:keepNext/>
      <w:spacing w:before="320" w:after="200" w:line="360" w:lineRule="auto"/>
      <w:outlineLvl w:val="7"/>
    </w:pPr>
    <w:rPr>
      <w:rFonts w:ascii="Arial" w:hAnsi="Arial" w:eastAsia="Arial" w:cs="Arial"/>
      <w:i/>
      <w:iCs/>
      <w:color w:val="000000"/>
      <w:sz w:val="22"/>
      <w:szCs w:val="22"/>
    </w:rPr>
  </w:style>
  <w:style w:type="paragraph" w:styleId="752" w:customStyle="1">
    <w:name w:val="标题 9111"/>
    <w:basedOn w:val="681"/>
    <w:next w:val="681"/>
    <w:link w:val="762"/>
    <w:uiPriority w:val="9"/>
    <w:qFormat/>
    <w:pPr>
      <w:ind w:firstLine="420"/>
      <w:jc w:val="left"/>
      <w:keepLines/>
      <w:keepNext/>
      <w:spacing w:before="320" w:after="200" w:line="360" w:lineRule="auto"/>
      <w:outlineLvl w:val="8"/>
    </w:pPr>
    <w:rPr>
      <w:rFonts w:ascii="Arial" w:hAnsi="Arial" w:eastAsia="Arial" w:cs="Arial"/>
      <w:i/>
      <w:iCs/>
      <w:color w:val="000000"/>
      <w:szCs w:val="21"/>
    </w:rPr>
  </w:style>
  <w:style w:type="character" w:styleId="753" w:customStyle="1">
    <w:name w:val="默认段落字体11"/>
    <w:uiPriority w:val="1"/>
    <w:unhideWhenUsed/>
    <w:qFormat/>
  </w:style>
  <w:style w:type="character" w:styleId="754" w:customStyle="1">
    <w:name w:val="标题 1 字符"/>
    <w:link w:val="744"/>
    <w:uiPriority w:val="9"/>
    <w:qFormat/>
    <w:rPr>
      <w:b/>
      <w:bCs/>
      <w:sz w:val="44"/>
      <w:szCs w:val="44"/>
    </w:rPr>
  </w:style>
  <w:style w:type="character" w:styleId="755" w:customStyle="1">
    <w:name w:val="标题 2 字符"/>
    <w:link w:val="745"/>
    <w:uiPriority w:val="9"/>
    <w:qFormat/>
    <w:rPr>
      <w:rFonts w:ascii="Arial" w:hAnsi="Arial" w:eastAsia="Arial" w:cs="Arial"/>
      <w:color w:val="000000"/>
      <w:sz w:val="34"/>
      <w:szCs w:val="21"/>
    </w:rPr>
  </w:style>
  <w:style w:type="character" w:styleId="756" w:customStyle="1">
    <w:name w:val="标题 3 字符"/>
    <w:link w:val="746"/>
    <w:uiPriority w:val="0"/>
    <w:qFormat/>
    <w:rPr>
      <w:b/>
      <w:bCs/>
      <w:sz w:val="32"/>
      <w:szCs w:val="32"/>
    </w:rPr>
  </w:style>
  <w:style w:type="character" w:styleId="757" w:customStyle="1">
    <w:name w:val="标题 4 字符"/>
    <w:link w:val="747"/>
    <w:uiPriority w:val="9"/>
    <w:semiHidden/>
    <w:qFormat/>
    <w:rPr>
      <w:rFonts w:ascii="等线 Light" w:hAnsi="等线 Light" w:eastAsia="等线 Light" w:cs="Times New Roman"/>
      <w:b/>
      <w:bCs/>
      <w:sz w:val="28"/>
      <w:szCs w:val="28"/>
    </w:rPr>
  </w:style>
  <w:style w:type="character" w:styleId="758" w:customStyle="1">
    <w:name w:val="标题 5 字符"/>
    <w:link w:val="748"/>
    <w:uiPriority w:val="9"/>
    <w:qFormat/>
    <w:rPr>
      <w:rFonts w:ascii="Arial" w:hAnsi="Arial" w:eastAsia="Arial" w:cs="Arial"/>
      <w:b/>
      <w:bCs/>
      <w:color w:val="000000"/>
      <w:sz w:val="24"/>
      <w:szCs w:val="24"/>
    </w:rPr>
  </w:style>
  <w:style w:type="character" w:styleId="759" w:customStyle="1">
    <w:name w:val="标题 6 字符"/>
    <w:link w:val="749"/>
    <w:uiPriority w:val="9"/>
    <w:qFormat/>
    <w:rPr>
      <w:rFonts w:ascii="Arial" w:hAnsi="Arial" w:eastAsia="Arial" w:cs="Arial"/>
      <w:b/>
      <w:bCs/>
      <w:color w:val="000000"/>
      <w:sz w:val="22"/>
      <w:szCs w:val="22"/>
    </w:rPr>
  </w:style>
  <w:style w:type="character" w:styleId="760" w:customStyle="1">
    <w:name w:val="标题 7 字符"/>
    <w:link w:val="750"/>
    <w:uiPriority w:val="9"/>
    <w:qFormat/>
    <w:rPr>
      <w:rFonts w:ascii="Arial" w:hAnsi="Arial" w:eastAsia="Arial" w:cs="Arial"/>
      <w:b/>
      <w:bCs/>
      <w:i/>
      <w:iCs/>
      <w:color w:val="000000"/>
      <w:sz w:val="22"/>
      <w:szCs w:val="22"/>
    </w:rPr>
  </w:style>
  <w:style w:type="character" w:styleId="761" w:customStyle="1">
    <w:name w:val="标题 8 字符"/>
    <w:link w:val="751"/>
    <w:uiPriority w:val="9"/>
    <w:qFormat/>
    <w:rPr>
      <w:rFonts w:ascii="Arial" w:hAnsi="Arial" w:eastAsia="Arial" w:cs="Arial"/>
      <w:i/>
      <w:iCs/>
      <w:color w:val="000000"/>
      <w:sz w:val="22"/>
      <w:szCs w:val="22"/>
    </w:rPr>
  </w:style>
  <w:style w:type="character" w:styleId="762" w:customStyle="1">
    <w:name w:val="标题 9 字符"/>
    <w:link w:val="752"/>
    <w:uiPriority w:val="9"/>
    <w:qFormat/>
    <w:rPr>
      <w:rFonts w:ascii="Arial" w:hAnsi="Arial" w:eastAsia="Arial" w:cs="Arial"/>
      <w:i/>
      <w:iCs/>
      <w:color w:val="000000"/>
      <w:sz w:val="21"/>
      <w:szCs w:val="21"/>
    </w:rPr>
  </w:style>
  <w:style w:type="paragraph" w:styleId="763" w:customStyle="1">
    <w:name w:val="正文缩进12"/>
    <w:basedOn w:val="681"/>
    <w:uiPriority w:val="0"/>
    <w:qFormat/>
    <w:pPr>
      <w:ind w:firstLine="420"/>
      <w:jc w:val="left"/>
      <w:spacing w:line="360" w:lineRule="auto"/>
    </w:pPr>
    <w:rPr>
      <w:rFonts w:ascii="宋体" w:hAnsi="宋体" w:cs="宋体"/>
      <w:color w:val="000000"/>
      <w:sz w:val="24"/>
      <w:szCs w:val="21"/>
    </w:rPr>
  </w:style>
  <w:style w:type="paragraph" w:styleId="764" w:customStyle="1">
    <w:name w:val="题注111"/>
    <w:basedOn w:val="681"/>
    <w:next w:val="681"/>
    <w:uiPriority w:val="35"/>
    <w:qFormat/>
    <w:pPr>
      <w:ind w:firstLine="420"/>
      <w:jc w:val="left"/>
      <w:spacing w:line="276" w:lineRule="auto"/>
    </w:pPr>
    <w:rPr>
      <w:rFonts w:ascii="宋体" w:hAnsi="宋体" w:cs="宋体"/>
      <w:b/>
      <w:bCs/>
      <w:color w:val="4f81bd"/>
      <w:sz w:val="18"/>
      <w:szCs w:val="18"/>
    </w:rPr>
  </w:style>
  <w:style w:type="paragraph" w:styleId="765" w:customStyle="1">
    <w:name w:val="文档结构图1"/>
    <w:basedOn w:val="681"/>
    <w:link w:val="766"/>
    <w:uiPriority w:val="0"/>
    <w:qFormat/>
    <w:pPr>
      <w:shd w:val="clear" w:color="auto" w:fill="000080"/>
    </w:pPr>
    <w:rPr>
      <w:sz w:val="20"/>
    </w:rPr>
  </w:style>
  <w:style w:type="character" w:styleId="766" w:customStyle="1">
    <w:name w:val="文档结构图 字符"/>
    <w:link w:val="765"/>
    <w:uiPriority w:val="0"/>
    <w:qFormat/>
    <w:rPr>
      <w:rFonts w:ascii="Times New Roman" w:hAnsi="Times New Roman" w:eastAsia="宋体" w:cs="Times New Roman"/>
      <w:szCs w:val="24"/>
      <w:shd w:val="clear" w:color="auto" w:fill="000080"/>
    </w:rPr>
  </w:style>
  <w:style w:type="paragraph" w:styleId="767" w:customStyle="1">
    <w:name w:val="批注文字11"/>
    <w:basedOn w:val="681"/>
    <w:link w:val="768"/>
    <w:uiPriority w:val="0"/>
    <w:qFormat/>
    <w:pPr>
      <w:jc w:val="left"/>
    </w:pPr>
    <w:rPr>
      <w:szCs w:val="21"/>
    </w:rPr>
  </w:style>
  <w:style w:type="character" w:styleId="768" w:customStyle="1">
    <w:name w:val="批注文字 字符"/>
    <w:link w:val="767"/>
    <w:uiPriority w:val="0"/>
    <w:qFormat/>
    <w:rPr>
      <w:sz w:val="21"/>
      <w:szCs w:val="21"/>
    </w:rPr>
  </w:style>
  <w:style w:type="paragraph" w:styleId="769" w:customStyle="1">
    <w:name w:val="正文文本11"/>
    <w:basedOn w:val="681"/>
    <w:link w:val="770"/>
    <w:uiPriority w:val="99"/>
    <w:qFormat/>
    <w:pPr>
      <w:spacing w:after="120"/>
    </w:pPr>
    <w:rPr>
      <w:sz w:val="20"/>
    </w:rPr>
  </w:style>
  <w:style w:type="character" w:styleId="770" w:customStyle="1">
    <w:name w:val="正文文本 字符"/>
    <w:link w:val="769"/>
    <w:uiPriority w:val="99"/>
    <w:qFormat/>
    <w:rPr>
      <w:szCs w:val="24"/>
    </w:rPr>
  </w:style>
  <w:style w:type="paragraph" w:styleId="771" w:customStyle="1">
    <w:name w:val="正文文本缩进12"/>
    <w:basedOn w:val="681"/>
    <w:link w:val="772"/>
    <w:uiPriority w:val="0"/>
    <w:qFormat/>
    <w:pPr>
      <w:ind w:firstLine="515"/>
      <w:spacing w:line="400" w:lineRule="exact"/>
    </w:pPr>
    <w:rPr>
      <w:rFonts w:ascii="楷体_GB2312" w:eastAsia="楷体_GB2312"/>
      <w:b/>
      <w:bCs/>
      <w:sz w:val="24"/>
    </w:rPr>
  </w:style>
  <w:style w:type="character" w:styleId="772" w:customStyle="1">
    <w:name w:val="正文文本缩进 字符"/>
    <w:link w:val="771"/>
    <w:uiPriority w:val="0"/>
    <w:qFormat/>
    <w:rPr>
      <w:rFonts w:ascii="楷体_GB2312" w:hAnsi="Times New Roman" w:eastAsia="楷体_GB2312" w:cs="Times New Roman"/>
      <w:b/>
      <w:bCs/>
      <w:sz w:val="24"/>
      <w:szCs w:val="24"/>
    </w:rPr>
  </w:style>
  <w:style w:type="paragraph" w:styleId="773" w:customStyle="1">
    <w:name w:val="文本块11"/>
    <w:basedOn w:val="681"/>
    <w:uiPriority w:val="99"/>
    <w:unhideWhenUsed/>
    <w:qFormat/>
    <w:pPr>
      <w:ind w:left="1440" w:right="1440"/>
      <w:spacing w:after="120"/>
      <w:tabs>
        <w:tab w:val="left" w:pos="9000" w:leader="none"/>
      </w:tabs>
    </w:pPr>
    <w:rPr>
      <w:szCs w:val="20"/>
    </w:rPr>
  </w:style>
  <w:style w:type="paragraph" w:styleId="774" w:customStyle="1">
    <w:name w:val="纯文本12"/>
    <w:basedOn w:val="681"/>
    <w:link w:val="775"/>
    <w:uiPriority w:val="0"/>
    <w:qFormat/>
    <w:rPr>
      <w:rFonts w:ascii="宋体" w:hAnsi="Courier New"/>
      <w:sz w:val="20"/>
      <w:szCs w:val="21"/>
    </w:rPr>
  </w:style>
  <w:style w:type="character" w:styleId="775" w:customStyle="1">
    <w:name w:val="纯文本 字符"/>
    <w:link w:val="774"/>
    <w:uiPriority w:val="0"/>
    <w:qFormat/>
    <w:rPr>
      <w:rFonts w:ascii="宋体" w:hAnsi="Courier New" w:eastAsia="宋体" w:cs="Times New Roman"/>
      <w:szCs w:val="21"/>
    </w:rPr>
  </w:style>
  <w:style w:type="paragraph" w:styleId="776" w:customStyle="1">
    <w:name w:val="日期11"/>
    <w:basedOn w:val="681"/>
    <w:next w:val="681"/>
    <w:link w:val="777"/>
    <w:uiPriority w:val="0"/>
    <w:qFormat/>
    <w:pPr>
      <w:ind w:left="100"/>
    </w:pPr>
    <w:rPr>
      <w:sz w:val="28"/>
    </w:rPr>
  </w:style>
  <w:style w:type="character" w:styleId="777" w:customStyle="1">
    <w:name w:val="日期 字符"/>
    <w:link w:val="776"/>
    <w:uiPriority w:val="0"/>
    <w:qFormat/>
    <w:rPr>
      <w:rFonts w:ascii="Times New Roman" w:hAnsi="Times New Roman" w:eastAsia="宋体" w:cs="Times New Roman"/>
      <w:sz w:val="28"/>
      <w:szCs w:val="24"/>
    </w:rPr>
  </w:style>
  <w:style w:type="paragraph" w:styleId="778" w:customStyle="1">
    <w:name w:val="正文文本缩进 21"/>
    <w:basedOn w:val="681"/>
    <w:link w:val="779"/>
    <w:uiPriority w:val="0"/>
    <w:qFormat/>
    <w:pPr>
      <w:ind w:left="-1" w:firstLine="480"/>
      <w:spacing w:line="400" w:lineRule="exact"/>
    </w:pPr>
    <w:rPr>
      <w:rFonts w:ascii="楷体_GB2312" w:eastAsia="楷体_GB2312"/>
      <w:sz w:val="24"/>
    </w:rPr>
  </w:style>
  <w:style w:type="character" w:styleId="779" w:customStyle="1">
    <w:name w:val="正文文本缩进 2 字符"/>
    <w:link w:val="778"/>
    <w:uiPriority w:val="0"/>
    <w:qFormat/>
    <w:rPr>
      <w:rFonts w:ascii="楷体_GB2312" w:hAnsi="Times New Roman" w:eastAsia="楷体_GB2312" w:cs="Times New Roman"/>
      <w:sz w:val="24"/>
      <w:szCs w:val="24"/>
    </w:rPr>
  </w:style>
  <w:style w:type="paragraph" w:styleId="780" w:customStyle="1">
    <w:name w:val="尾注文本1"/>
    <w:basedOn w:val="681"/>
    <w:link w:val="781"/>
    <w:uiPriority w:val="99"/>
    <w:unhideWhenUsed/>
    <w:qFormat/>
    <w:pPr>
      <w:ind w:firstLine="420"/>
      <w:jc w:val="left"/>
      <w:spacing w:line="360" w:lineRule="auto"/>
    </w:pPr>
    <w:rPr>
      <w:rFonts w:ascii="宋体" w:hAnsi="宋体" w:cs="宋体"/>
      <w:color w:val="000000"/>
      <w:sz w:val="20"/>
      <w:szCs w:val="21"/>
    </w:rPr>
  </w:style>
  <w:style w:type="character" w:styleId="781" w:customStyle="1">
    <w:name w:val="尾注文本 字符"/>
    <w:link w:val="780"/>
    <w:uiPriority w:val="99"/>
    <w:semiHidden/>
    <w:qFormat/>
    <w:rPr>
      <w:rFonts w:ascii="宋体" w:hAnsi="宋体" w:cs="宋体"/>
      <w:color w:val="000000"/>
      <w:szCs w:val="21"/>
    </w:rPr>
  </w:style>
  <w:style w:type="paragraph" w:styleId="782" w:customStyle="1">
    <w:name w:val="批注框文本1"/>
    <w:basedOn w:val="681"/>
    <w:link w:val="783"/>
    <w:uiPriority w:val="99"/>
    <w:qFormat/>
    <w:rPr>
      <w:sz w:val="18"/>
      <w:szCs w:val="18"/>
    </w:rPr>
  </w:style>
  <w:style w:type="character" w:styleId="783" w:customStyle="1">
    <w:name w:val="批注框文本 字符"/>
    <w:link w:val="782"/>
    <w:uiPriority w:val="99"/>
    <w:qFormat/>
    <w:rPr>
      <w:rFonts w:ascii="Times New Roman" w:hAnsi="Times New Roman" w:eastAsia="宋体" w:cs="Times New Roman"/>
      <w:sz w:val="18"/>
      <w:szCs w:val="18"/>
    </w:rPr>
  </w:style>
  <w:style w:type="paragraph" w:styleId="784" w:customStyle="1">
    <w:name w:val="页脚112"/>
    <w:basedOn w:val="681"/>
    <w:link w:val="785"/>
    <w:uiPriority w:val="0"/>
    <w:unhideWhenUsed/>
    <w:qFormat/>
    <w:pPr>
      <w:jc w:val="left"/>
      <w:tabs>
        <w:tab w:val="center" w:pos="4153" w:leader="none"/>
        <w:tab w:val="right" w:pos="8306" w:leader="none"/>
      </w:tabs>
    </w:pPr>
    <w:rPr>
      <w:sz w:val="18"/>
      <w:szCs w:val="18"/>
    </w:rPr>
  </w:style>
  <w:style w:type="character" w:styleId="785" w:customStyle="1">
    <w:name w:val="页脚 字符"/>
    <w:link w:val="784"/>
    <w:uiPriority w:val="0"/>
    <w:qFormat/>
    <w:rPr>
      <w:sz w:val="18"/>
      <w:szCs w:val="18"/>
    </w:rPr>
  </w:style>
  <w:style w:type="paragraph" w:styleId="786" w:customStyle="1">
    <w:name w:val="寄信人地址11"/>
    <w:basedOn w:val="681"/>
    <w:uiPriority w:val="0"/>
    <w:qFormat/>
    <w:pPr>
      <w:ind w:firstLine="420"/>
      <w:jc w:val="left"/>
      <w:spacing w:line="360" w:lineRule="auto"/>
    </w:pPr>
    <w:rPr>
      <w:rFonts w:ascii="Arial" w:hAnsi="Arial" w:cs="宋体"/>
      <w:color w:val="000000"/>
      <w:sz w:val="22"/>
      <w:szCs w:val="21"/>
    </w:rPr>
  </w:style>
  <w:style w:type="paragraph" w:styleId="787" w:customStyle="1">
    <w:name w:val="页眉112"/>
    <w:basedOn w:val="681"/>
    <w:link w:val="7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88" w:customStyle="1">
    <w:name w:val="页眉 字符"/>
    <w:link w:val="787"/>
    <w:uiPriority w:val="99"/>
    <w:qFormat/>
    <w:rPr>
      <w:sz w:val="18"/>
      <w:szCs w:val="18"/>
    </w:rPr>
  </w:style>
  <w:style w:type="paragraph" w:styleId="789" w:customStyle="1">
    <w:name w:val="副标题1"/>
    <w:basedOn w:val="681"/>
    <w:next w:val="681"/>
    <w:link w:val="790"/>
    <w:uiPriority w:val="11"/>
    <w:qFormat/>
    <w:pPr>
      <w:ind w:firstLine="420"/>
      <w:jc w:val="left"/>
      <w:spacing w:before="200" w:after="200" w:line="360" w:lineRule="auto"/>
    </w:pPr>
    <w:rPr>
      <w:rFonts w:ascii="宋体" w:hAnsi="宋体" w:cs="宋体"/>
      <w:color w:val="000000"/>
      <w:sz w:val="24"/>
      <w:szCs w:val="21"/>
    </w:rPr>
  </w:style>
  <w:style w:type="character" w:styleId="790" w:customStyle="1">
    <w:name w:val="副标题 字符"/>
    <w:link w:val="789"/>
    <w:uiPriority w:val="11"/>
    <w:qFormat/>
    <w:rPr>
      <w:rFonts w:ascii="宋体" w:hAnsi="宋体" w:cs="宋体"/>
      <w:color w:val="000000"/>
      <w:sz w:val="24"/>
      <w:szCs w:val="21"/>
    </w:rPr>
  </w:style>
  <w:style w:type="paragraph" w:styleId="791" w:customStyle="1">
    <w:name w:val="脚注文本1"/>
    <w:basedOn w:val="681"/>
    <w:link w:val="792"/>
    <w:uiPriority w:val="99"/>
    <w:unhideWhenUsed/>
    <w:qFormat/>
    <w:pPr>
      <w:ind w:firstLine="420"/>
      <w:jc w:val="left"/>
      <w:spacing w:after="40" w:line="360" w:lineRule="auto"/>
    </w:pPr>
    <w:rPr>
      <w:rFonts w:ascii="宋体" w:hAnsi="宋体" w:cs="宋体"/>
      <w:color w:val="000000"/>
      <w:sz w:val="18"/>
      <w:szCs w:val="21"/>
    </w:rPr>
  </w:style>
  <w:style w:type="character" w:styleId="792" w:customStyle="1">
    <w:name w:val="脚注文本 字符"/>
    <w:link w:val="791"/>
    <w:uiPriority w:val="99"/>
    <w:semiHidden/>
    <w:qFormat/>
    <w:rPr>
      <w:rFonts w:ascii="宋体" w:hAnsi="宋体" w:cs="宋体"/>
      <w:color w:val="000000"/>
      <w:sz w:val="18"/>
      <w:szCs w:val="21"/>
    </w:rPr>
  </w:style>
  <w:style w:type="paragraph" w:styleId="793" w:customStyle="1">
    <w:name w:val="正文文本缩进 31"/>
    <w:basedOn w:val="681"/>
    <w:link w:val="794"/>
    <w:uiPriority w:val="0"/>
    <w:qFormat/>
    <w:pPr>
      <w:ind w:firstLine="540"/>
      <w:spacing w:line="440" w:lineRule="exact"/>
    </w:pPr>
    <w:rPr>
      <w:rFonts w:ascii="楷体_GB2312" w:eastAsia="楷体_GB2312"/>
      <w:bCs/>
      <w:sz w:val="24"/>
    </w:rPr>
  </w:style>
  <w:style w:type="character" w:styleId="794" w:customStyle="1">
    <w:name w:val="正文文本缩进 3 字符"/>
    <w:link w:val="793"/>
    <w:uiPriority w:val="0"/>
    <w:qFormat/>
    <w:rPr>
      <w:rFonts w:ascii="楷体_GB2312" w:hAnsi="Times New Roman" w:eastAsia="楷体_GB2312" w:cs="Times New Roman"/>
      <w:bCs/>
      <w:sz w:val="24"/>
      <w:szCs w:val="24"/>
    </w:rPr>
  </w:style>
  <w:style w:type="paragraph" w:styleId="795" w:customStyle="1">
    <w:name w:val="图表目录1"/>
    <w:basedOn w:val="681"/>
    <w:next w:val="681"/>
    <w:uiPriority w:val="99"/>
    <w:unhideWhenUsed/>
    <w:qFormat/>
    <w:pPr>
      <w:ind w:firstLine="420"/>
      <w:jc w:val="left"/>
      <w:spacing w:line="360" w:lineRule="auto"/>
    </w:pPr>
    <w:rPr>
      <w:rFonts w:ascii="宋体" w:hAnsi="宋体" w:cs="宋体"/>
      <w:color w:val="000000"/>
      <w:sz w:val="22"/>
      <w:szCs w:val="21"/>
    </w:rPr>
  </w:style>
  <w:style w:type="paragraph" w:styleId="796" w:customStyle="1">
    <w:name w:val="正文文本 211"/>
    <w:basedOn w:val="681"/>
    <w:link w:val="797"/>
    <w:uiPriority w:val="99"/>
    <w:unhideWhenUsed/>
    <w:qFormat/>
    <w:pPr>
      <w:ind w:firstLine="420"/>
      <w:jc w:val="left"/>
      <w:spacing w:after="120" w:line="480" w:lineRule="auto"/>
    </w:pPr>
    <w:rPr>
      <w:rFonts w:ascii="宋体" w:hAnsi="宋体" w:cs="宋体"/>
      <w:color w:val="000000"/>
      <w:sz w:val="22"/>
      <w:szCs w:val="21"/>
    </w:rPr>
  </w:style>
  <w:style w:type="character" w:styleId="797" w:customStyle="1">
    <w:name w:val="正文文本 2 字符"/>
    <w:link w:val="796"/>
    <w:uiPriority w:val="99"/>
    <w:semiHidden/>
    <w:qFormat/>
    <w:rPr>
      <w:rFonts w:ascii="宋体" w:hAnsi="宋体" w:cs="宋体"/>
      <w:color w:val="000000"/>
      <w:sz w:val="22"/>
      <w:szCs w:val="21"/>
    </w:rPr>
  </w:style>
  <w:style w:type="paragraph" w:styleId="798" w:customStyle="1">
    <w:name w:val="HTML 预设格式1"/>
    <w:basedOn w:val="681"/>
    <w:link w:val="7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99" w:customStyle="1">
    <w:name w:val="HTML 预设格式 字符"/>
    <w:link w:val="798"/>
    <w:uiPriority w:val="0"/>
    <w:qFormat/>
    <w:rPr>
      <w:rFonts w:ascii="黑体" w:hAnsi="Courier New" w:eastAsia="黑体" w:cs="Courier New"/>
      <w:sz w:val="20"/>
      <w:szCs w:val="20"/>
    </w:rPr>
  </w:style>
  <w:style w:type="paragraph" w:styleId="800" w:customStyle="1">
    <w:name w:val="普通(网站)1111"/>
    <w:basedOn w:val="681"/>
    <w:uiPriority w:val="0"/>
    <w:qFormat/>
    <w:pPr>
      <w:jc w:val="left"/>
      <w:spacing w:before="100" w:beforeAutospacing="1" w:after="100" w:afterAutospacing="1"/>
      <w:widowControl/>
    </w:pPr>
    <w:rPr>
      <w:rFonts w:ascii="宋体" w:hAnsi="宋体" w:cs="宋体"/>
      <w:sz w:val="24"/>
    </w:rPr>
  </w:style>
  <w:style w:type="paragraph" w:styleId="801" w:customStyle="1">
    <w:name w:val="标题1"/>
    <w:basedOn w:val="681"/>
    <w:next w:val="681"/>
    <w:link w:val="802"/>
    <w:uiPriority w:val="10"/>
    <w:qFormat/>
    <w:pPr>
      <w:contextualSpacing/>
      <w:ind w:firstLine="420"/>
      <w:jc w:val="left"/>
      <w:spacing w:before="300" w:after="200" w:line="360" w:lineRule="auto"/>
    </w:pPr>
    <w:rPr>
      <w:rFonts w:ascii="宋体" w:hAnsi="宋体" w:cs="宋体"/>
      <w:color w:val="000000"/>
      <w:sz w:val="48"/>
      <w:szCs w:val="48"/>
    </w:rPr>
  </w:style>
  <w:style w:type="character" w:styleId="802" w:customStyle="1">
    <w:name w:val="标题 字符"/>
    <w:link w:val="801"/>
    <w:uiPriority w:val="10"/>
    <w:qFormat/>
    <w:rPr>
      <w:rFonts w:ascii="宋体" w:hAnsi="宋体" w:cs="宋体"/>
      <w:color w:val="000000"/>
      <w:sz w:val="48"/>
      <w:szCs w:val="48"/>
    </w:rPr>
  </w:style>
  <w:style w:type="paragraph" w:styleId="803" w:customStyle="1">
    <w:name w:val="正文文本首行缩进1"/>
    <w:basedOn w:val="681"/>
    <w:link w:val="804"/>
    <w:uiPriority w:val="99"/>
    <w:qFormat/>
    <w:pPr>
      <w:ind w:firstLine="200"/>
      <w:spacing w:line="360" w:lineRule="auto"/>
    </w:pPr>
    <w:rPr>
      <w:rFonts w:ascii="仿宋_GB2312" w:eastAsia="仿宋_GB2312"/>
      <w:sz w:val="30"/>
      <w:szCs w:val="30"/>
    </w:rPr>
  </w:style>
  <w:style w:type="character" w:styleId="804" w:customStyle="1">
    <w:name w:val="正文文本首行缩进 字符"/>
    <w:link w:val="803"/>
    <w:uiPriority w:val="99"/>
    <w:qFormat/>
    <w:rPr>
      <w:rFonts w:ascii="仿宋_GB2312" w:eastAsia="仿宋_GB2312"/>
      <w:sz w:val="30"/>
      <w:szCs w:val="30"/>
    </w:rPr>
  </w:style>
  <w:style w:type="paragraph" w:styleId="805" w:customStyle="1">
    <w:name w:val="正文文本首行缩进 21"/>
    <w:basedOn w:val="771"/>
    <w:link w:val="806"/>
    <w:uiPriority w:val="0"/>
    <w:unhideWhenUsed/>
    <w:qFormat/>
    <w:pPr>
      <w:ind w:left="420" w:firstLine="420"/>
      <w:spacing w:after="120" w:line="240" w:lineRule="auto"/>
    </w:pPr>
    <w:rPr>
      <w:b w:val="0"/>
      <w:bCs w:val="0"/>
      <w:sz w:val="21"/>
    </w:rPr>
  </w:style>
  <w:style w:type="character" w:styleId="806" w:customStyle="1">
    <w:name w:val="正文文本首行缩进 2 字符"/>
    <w:link w:val="805"/>
    <w:uiPriority w:val="99"/>
    <w:semiHidden/>
    <w:qFormat/>
    <w:rPr>
      <w:rFonts w:ascii="楷体_GB2312" w:hAnsi="Times New Roman" w:eastAsia="楷体_GB2312" w:cs="Times New Roman"/>
      <w:sz w:val="21"/>
      <w:szCs w:val="24"/>
    </w:rPr>
  </w:style>
  <w:style w:type="table" w:styleId="807" w:customStyle="1">
    <w:name w:val="网格型1"/>
    <w:basedOn w:val="725"/>
    <w:uiPriority w:val="59"/>
    <w:qFormat/>
    <w:tblPr/>
  </w:style>
  <w:style w:type="character" w:styleId="808" w:customStyle="1">
    <w:name w:val="要点1"/>
    <w:uiPriority w:val="0"/>
    <w:qFormat/>
    <w:rPr>
      <w:b/>
    </w:rPr>
  </w:style>
  <w:style w:type="character" w:styleId="809" w:customStyle="1">
    <w:name w:val="尾注引用1"/>
    <w:uiPriority w:val="99"/>
    <w:unhideWhenUsed/>
    <w:qFormat/>
    <w:rPr>
      <w:vertAlign w:val="superscript"/>
    </w:rPr>
  </w:style>
  <w:style w:type="character" w:styleId="810" w:customStyle="1">
    <w:name w:val="页码12"/>
    <w:uiPriority w:val="0"/>
    <w:qFormat/>
  </w:style>
  <w:style w:type="character" w:styleId="811" w:customStyle="1">
    <w:name w:val="访问过的超链接1"/>
    <w:uiPriority w:val="0"/>
    <w:qFormat/>
    <w:rPr>
      <w:color w:val="800080"/>
      <w:u w:val="single"/>
    </w:rPr>
  </w:style>
  <w:style w:type="character" w:styleId="812" w:customStyle="1">
    <w:name w:val="超链接1"/>
    <w:uiPriority w:val="99"/>
    <w:qFormat/>
    <w:rPr>
      <w:color w:val="0000ff"/>
      <w:u w:val="single"/>
    </w:rPr>
  </w:style>
  <w:style w:type="character" w:styleId="813" w:customStyle="1">
    <w:name w:val="脚注引用1"/>
    <w:uiPriority w:val="99"/>
    <w:unhideWhenUsed/>
    <w:qFormat/>
    <w:rPr>
      <w:vertAlign w:val="superscript"/>
    </w:rPr>
  </w:style>
  <w:style w:type="character" w:styleId="814" w:customStyle="1">
    <w:name w:val="正文文本 Char1"/>
    <w:uiPriority w:val="99"/>
    <w:semiHidden/>
    <w:qFormat/>
    <w:rPr>
      <w:rFonts w:ascii="Times New Roman" w:hAnsi="Times New Roman" w:eastAsia="宋体" w:cs="Times New Roman"/>
      <w:szCs w:val="24"/>
    </w:rPr>
  </w:style>
  <w:style w:type="paragraph" w:styleId="815" w:customStyle="1">
    <w:name w:val="_Style 9"/>
    <w:basedOn w:val="681"/>
    <w:next w:val="774"/>
    <w:uiPriority w:val="0"/>
    <w:qFormat/>
    <w:rPr>
      <w:rFonts w:ascii="宋体" w:hAnsi="Courier New"/>
      <w:szCs w:val="21"/>
    </w:rPr>
  </w:style>
  <w:style w:type="paragraph" w:styleId="816" w:customStyle="1">
    <w:name w:val="列表段落1"/>
    <w:basedOn w:val="681"/>
    <w:uiPriority w:val="34"/>
    <w:qFormat/>
    <w:pPr>
      <w:ind w:firstLine="420"/>
    </w:pPr>
  </w:style>
  <w:style w:type="paragraph" w:styleId="817" w:customStyle="1">
    <w:name w:val="Char Char Char7"/>
    <w:basedOn w:val="681"/>
    <w:uiPriority w:val="0"/>
    <w:qFormat/>
    <w:rPr>
      <w:rFonts w:ascii="仿宋_GB2312" w:eastAsia="仿宋_GB2312" w:cs="仿宋_GB2312"/>
      <w:b/>
      <w:bCs/>
      <w:sz w:val="32"/>
      <w:szCs w:val="32"/>
    </w:rPr>
  </w:style>
  <w:style w:type="paragraph" w:styleId="818" w:customStyle="1">
    <w:name w:val="p0"/>
    <w:basedOn w:val="681"/>
    <w:uiPriority w:val="0"/>
    <w:qFormat/>
    <w:pPr>
      <w:jc w:val="left"/>
      <w:spacing w:before="100" w:beforeAutospacing="1" w:after="100" w:afterAutospacing="1"/>
      <w:widowControl/>
    </w:pPr>
    <w:rPr>
      <w:rFonts w:ascii="宋体" w:hAnsi="宋体" w:cs="宋体"/>
      <w:sz w:val="24"/>
    </w:rPr>
  </w:style>
  <w:style w:type="paragraph" w:styleId="819" w:customStyle="1">
    <w:name w:val="默认段落字体 Para Char Char Char Char Char Char Char"/>
    <w:basedOn w:val="681"/>
    <w:uiPriority w:val="0"/>
    <w:qFormat/>
  </w:style>
  <w:style w:type="paragraph" w:styleId="820" w:customStyle="1">
    <w:name w:val="TOC 标题1"/>
    <w:basedOn w:val="744"/>
    <w:next w:val="681"/>
    <w:uiPriority w:val="0"/>
    <w:qFormat/>
    <w:pPr>
      <w:spacing w:line="578" w:lineRule="auto"/>
      <w:outlineLvl w:val="9"/>
    </w:pPr>
  </w:style>
  <w:style w:type="paragraph" w:styleId="821" w:customStyle="1">
    <w:name w:val="正文1"/>
    <w:uiPriority w:val="0"/>
    <w:qFormat/>
    <w:pPr>
      <w:jc w:val="both"/>
      <w:spacing w:line="360" w:lineRule="auto"/>
      <w:widowControl w:val="off"/>
    </w:pPr>
    <w:rPr>
      <w:rFonts w:ascii="Calibri" w:hAnsi="Calibri" w:eastAsia="宋体" w:cs="Times New Roman"/>
      <w:sz w:val="21"/>
      <w:szCs w:val="22"/>
      <w:lang w:val="en-US" w:eastAsia="zh-CN" w:bidi="ar-SA"/>
    </w:rPr>
  </w:style>
  <w:style w:type="character" w:styleId="822" w:customStyle="1">
    <w:name w:val="未处理的提及1"/>
    <w:uiPriority w:val="99"/>
    <w:unhideWhenUsed/>
    <w:qFormat/>
    <w:rPr>
      <w:color w:val="605e5c"/>
      <w:shd w:val="clear" w:color="auto" w:fill="e1dfdd"/>
    </w:rPr>
  </w:style>
  <w:style w:type="paragraph" w:styleId="823" w:customStyle="1">
    <w:name w:val="文本块1"/>
    <w:basedOn w:val="681"/>
    <w:uiPriority w:val="99"/>
    <w:qFormat/>
    <w:pPr>
      <w:ind w:left="1440" w:right="1440"/>
      <w:spacing w:after="120"/>
    </w:pPr>
    <w:rPr>
      <w:szCs w:val="21"/>
    </w:rPr>
  </w:style>
  <w:style w:type="paragraph" w:styleId="824" w:customStyle="1">
    <w:name w:val="正文首行缩进1"/>
    <w:basedOn w:val="681"/>
    <w:next w:val="681"/>
    <w:uiPriority w:val="0"/>
    <w:qFormat/>
    <w:pPr>
      <w:ind w:firstLine="420"/>
    </w:pPr>
  </w:style>
  <w:style w:type="paragraph" w:styleId="825" w:customStyle="1">
    <w:name w:val="普通(网站)1"/>
    <w:basedOn w:val="681"/>
    <w:uiPriority w:val="99"/>
    <w:unhideWhenUsed/>
    <w:qFormat/>
    <w:pPr>
      <w:jc w:val="left"/>
      <w:spacing w:before="100" w:beforeAutospacing="1" w:after="100" w:afterAutospacing="1"/>
      <w:widowControl/>
    </w:pPr>
    <w:rPr>
      <w:rFonts w:ascii="宋体" w:hAnsi="宋体" w:cs="宋体"/>
      <w:sz w:val="24"/>
    </w:rPr>
  </w:style>
  <w:style w:type="paragraph" w:styleId="826" w:customStyle="1">
    <w:name w:val="普通(网站)11"/>
    <w:basedOn w:val="681"/>
    <w:uiPriority w:val="0"/>
    <w:unhideWhenUsed/>
    <w:qFormat/>
    <w:pPr>
      <w:ind w:firstLine="5742"/>
      <w:jc w:val="center"/>
      <w:spacing w:before="100" w:beforeAutospacing="1" w:after="100" w:afterAutospacing="1" w:line="360" w:lineRule="auto"/>
      <w:widowControl/>
    </w:pPr>
    <w:rPr>
      <w:rFonts w:ascii="黑体" w:hAnsi="黑体" w:eastAsia="黑体" w:cs="宋体"/>
      <w:b/>
      <w:color w:val="000000"/>
      <w:sz w:val="44"/>
      <w:szCs w:val="21"/>
    </w:rPr>
  </w:style>
  <w:style w:type="table" w:styleId="827" w:customStyle="1">
    <w:name w:val="无格式表格 12"/>
    <w:basedOn w:val="725"/>
    <w:uiPriority w:val="59"/>
    <w:qFormat/>
    <w:tblPr/>
  </w:style>
  <w:style w:type="table" w:styleId="828" w:customStyle="1">
    <w:name w:val="无格式表格 22"/>
    <w:basedOn w:val="725"/>
    <w:uiPriority w:val="59"/>
    <w:qFormat/>
    <w:tblPr/>
  </w:style>
  <w:style w:type="table" w:styleId="829" w:customStyle="1">
    <w:name w:val="无格式表格 32"/>
    <w:basedOn w:val="725"/>
    <w:uiPriority w:val="99"/>
    <w:qFormat/>
    <w:tblPr/>
  </w:style>
  <w:style w:type="table" w:styleId="830" w:customStyle="1">
    <w:name w:val="无格式表格 42"/>
    <w:basedOn w:val="725"/>
    <w:uiPriority w:val="99"/>
    <w:qFormat/>
    <w:tblPr/>
  </w:style>
  <w:style w:type="table" w:styleId="831" w:customStyle="1">
    <w:name w:val="无格式表格 52"/>
    <w:basedOn w:val="725"/>
    <w:uiPriority w:val="99"/>
    <w:qFormat/>
    <w:tblPr/>
  </w:style>
  <w:style w:type="table" w:styleId="832" w:customStyle="1">
    <w:name w:val="网格表 1 浅色2"/>
    <w:basedOn w:val="725"/>
    <w:uiPriority w:val="99"/>
    <w:qFormat/>
    <w:tblPr/>
  </w:style>
  <w:style w:type="table" w:styleId="833" w:customStyle="1">
    <w:name w:val="网格表 22"/>
    <w:basedOn w:val="725"/>
    <w:uiPriority w:val="99"/>
    <w:qFormat/>
    <w:tblPr/>
  </w:style>
  <w:style w:type="table" w:styleId="834" w:customStyle="1">
    <w:name w:val="网格表 32"/>
    <w:basedOn w:val="725"/>
    <w:uiPriority w:val="99"/>
    <w:qFormat/>
    <w:tblPr/>
  </w:style>
  <w:style w:type="table" w:styleId="835" w:customStyle="1">
    <w:name w:val="网格表 42"/>
    <w:basedOn w:val="725"/>
    <w:uiPriority w:val="59"/>
    <w:qFormat/>
    <w:tblPr/>
  </w:style>
  <w:style w:type="table" w:styleId="836" w:customStyle="1">
    <w:name w:val="网格表 5 深色2"/>
    <w:basedOn w:val="725"/>
    <w:uiPriority w:val="99"/>
    <w:qFormat/>
    <w:tblPr/>
  </w:style>
  <w:style w:type="table" w:styleId="837" w:customStyle="1">
    <w:name w:val="网格表 6 彩色2"/>
    <w:basedOn w:val="725"/>
    <w:uiPriority w:val="99"/>
    <w:qFormat/>
    <w:tblPr/>
  </w:style>
  <w:style w:type="table" w:styleId="838" w:customStyle="1">
    <w:name w:val="网格表 7 彩色2"/>
    <w:basedOn w:val="725"/>
    <w:uiPriority w:val="99"/>
    <w:qFormat/>
    <w:tblPr/>
  </w:style>
  <w:style w:type="table" w:styleId="839" w:customStyle="1">
    <w:name w:val="清单表 1 浅色2"/>
    <w:basedOn w:val="725"/>
    <w:uiPriority w:val="99"/>
    <w:qFormat/>
    <w:tblPr/>
  </w:style>
  <w:style w:type="table" w:styleId="840" w:customStyle="1">
    <w:name w:val="清单表 22"/>
    <w:basedOn w:val="725"/>
    <w:uiPriority w:val="99"/>
    <w:qFormat/>
    <w:tblPr/>
  </w:style>
  <w:style w:type="table" w:styleId="841" w:customStyle="1">
    <w:name w:val="清单表 32"/>
    <w:basedOn w:val="725"/>
    <w:uiPriority w:val="99"/>
    <w:qFormat/>
    <w:tblPr/>
  </w:style>
  <w:style w:type="table" w:styleId="842" w:customStyle="1">
    <w:name w:val="清单表 42"/>
    <w:basedOn w:val="725"/>
    <w:uiPriority w:val="99"/>
    <w:qFormat/>
    <w:tblPr/>
  </w:style>
  <w:style w:type="table" w:styleId="843" w:customStyle="1">
    <w:name w:val="清单表 5 深色2"/>
    <w:basedOn w:val="725"/>
    <w:uiPriority w:val="99"/>
    <w:qFormat/>
    <w:tblPr/>
  </w:style>
  <w:style w:type="table" w:styleId="844" w:customStyle="1">
    <w:name w:val="清单表 6 彩色2"/>
    <w:basedOn w:val="725"/>
    <w:uiPriority w:val="99"/>
    <w:qFormat/>
    <w:tblPr/>
  </w:style>
  <w:style w:type="table" w:styleId="845" w:customStyle="1">
    <w:name w:val="清单表 7 彩色2"/>
    <w:basedOn w:val="725"/>
    <w:uiPriority w:val="99"/>
    <w:qFormat/>
    <w:tblPr/>
  </w:style>
  <w:style w:type="paragraph" w:styleId="846" w:customStyle="1">
    <w:name w:val="TOC 标题2"/>
    <w:uiPriority w:val="39"/>
    <w:qFormat/>
    <w:rPr>
      <w:rFonts w:ascii="Times New Roman" w:hAnsi="Times New Roman" w:eastAsia="宋体" w:cs="Times New Roman"/>
      <w:lang w:val="en-US" w:eastAsia="zh-CN" w:bidi="ar-SA"/>
    </w:rPr>
  </w:style>
  <w:style w:type="paragraph" w:styleId="847" w:customStyle="1">
    <w:name w:val="TOC 标题113"/>
    <w:uiPriority w:val="39"/>
    <w:unhideWhenUsed/>
    <w:qFormat/>
    <w:rPr>
      <w:rFonts w:ascii="Times New Roman" w:hAnsi="Times New Roman" w:eastAsia="宋体" w:cs="Times New Roman"/>
      <w:lang w:val="en-US" w:eastAsia="zh-CN" w:bidi="ar-SA"/>
    </w:rPr>
  </w:style>
  <w:style w:type="paragraph" w:styleId="848" w:customStyle="1">
    <w:name w:val="标题 11"/>
    <w:basedOn w:val="681"/>
    <w:next w:val="681"/>
    <w:link w:val="849"/>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849" w:customStyle="1">
    <w:name w:val="Heading 1 Char"/>
    <w:link w:val="848"/>
    <w:uiPriority w:val="9"/>
    <w:qFormat/>
    <w:rPr>
      <w:rFonts w:ascii="Arial" w:hAnsi="Arial" w:eastAsia="Arial" w:cs="Arial"/>
      <w:color w:val="000000"/>
      <w:sz w:val="40"/>
      <w:szCs w:val="40"/>
    </w:rPr>
  </w:style>
  <w:style w:type="paragraph" w:styleId="850" w:customStyle="1">
    <w:name w:val="标题 21"/>
    <w:basedOn w:val="681"/>
    <w:next w:val="681"/>
    <w:link w:val="851"/>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851" w:customStyle="1">
    <w:name w:val="Heading 2 Char"/>
    <w:link w:val="850"/>
    <w:uiPriority w:val="9"/>
    <w:qFormat/>
    <w:rPr>
      <w:rFonts w:ascii="Arial" w:hAnsi="Arial" w:eastAsia="Arial" w:cs="Arial"/>
      <w:color w:val="000000"/>
      <w:sz w:val="34"/>
      <w:szCs w:val="21"/>
    </w:rPr>
  </w:style>
  <w:style w:type="paragraph" w:styleId="852" w:customStyle="1">
    <w:name w:val="标题 31"/>
    <w:basedOn w:val="681"/>
    <w:next w:val="681"/>
    <w:link w:val="853"/>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853" w:customStyle="1">
    <w:name w:val="Heading 3 Char"/>
    <w:link w:val="852"/>
    <w:uiPriority w:val="9"/>
    <w:qFormat/>
    <w:rPr>
      <w:rFonts w:ascii="Arial" w:hAnsi="Arial" w:eastAsia="Arial" w:cs="Arial"/>
      <w:color w:val="000000"/>
      <w:sz w:val="30"/>
      <w:szCs w:val="30"/>
    </w:rPr>
  </w:style>
  <w:style w:type="paragraph" w:styleId="854" w:customStyle="1">
    <w:name w:val="标题 41"/>
    <w:basedOn w:val="681"/>
    <w:next w:val="681"/>
    <w:link w:val="855"/>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855" w:customStyle="1">
    <w:name w:val="Heading 4 Char"/>
    <w:link w:val="854"/>
    <w:uiPriority w:val="9"/>
    <w:qFormat/>
    <w:rPr>
      <w:rFonts w:ascii="Arial" w:hAnsi="Arial" w:eastAsia="Arial" w:cs="Arial"/>
      <w:b/>
      <w:bCs/>
      <w:color w:val="000000"/>
      <w:sz w:val="26"/>
      <w:szCs w:val="26"/>
    </w:rPr>
  </w:style>
  <w:style w:type="paragraph" w:styleId="856" w:customStyle="1">
    <w:name w:val="标题 51"/>
    <w:basedOn w:val="681"/>
    <w:next w:val="681"/>
    <w:link w:val="857"/>
    <w:uiPriority w:val="9"/>
    <w:unhideWhenUsed/>
    <w:qFormat/>
    <w:pPr>
      <w:ind w:firstLine="420"/>
      <w:jc w:val="left"/>
      <w:keepLines/>
      <w:keepNext/>
      <w:spacing w:before="320" w:after="200" w:line="360" w:lineRule="auto"/>
      <w:outlineLvl w:val="4"/>
    </w:pPr>
    <w:rPr>
      <w:rFonts w:ascii="Arial" w:hAnsi="Arial" w:eastAsia="Arial" w:cs="Arial"/>
      <w:b/>
      <w:bCs/>
      <w:color w:val="000000"/>
      <w:sz w:val="24"/>
    </w:rPr>
  </w:style>
  <w:style w:type="character" w:styleId="857" w:customStyle="1">
    <w:name w:val="Heading 5 Char"/>
    <w:link w:val="856"/>
    <w:uiPriority w:val="9"/>
    <w:qFormat/>
    <w:rPr>
      <w:rFonts w:ascii="Arial" w:hAnsi="Arial" w:eastAsia="Arial" w:cs="Arial"/>
      <w:b/>
      <w:bCs/>
      <w:color w:val="000000"/>
      <w:sz w:val="24"/>
      <w:szCs w:val="24"/>
    </w:rPr>
  </w:style>
  <w:style w:type="paragraph" w:styleId="858" w:customStyle="1">
    <w:name w:val="标题 61"/>
    <w:basedOn w:val="681"/>
    <w:next w:val="681"/>
    <w:link w:val="859"/>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859" w:customStyle="1">
    <w:name w:val="Heading 6 Char"/>
    <w:link w:val="858"/>
    <w:uiPriority w:val="9"/>
    <w:qFormat/>
    <w:rPr>
      <w:rFonts w:ascii="Arial" w:hAnsi="Arial" w:eastAsia="Arial" w:cs="Arial"/>
      <w:b/>
      <w:bCs/>
      <w:color w:val="000000"/>
      <w:sz w:val="22"/>
      <w:szCs w:val="22"/>
    </w:rPr>
  </w:style>
  <w:style w:type="paragraph" w:styleId="860" w:customStyle="1">
    <w:name w:val="标题 71"/>
    <w:basedOn w:val="681"/>
    <w:next w:val="681"/>
    <w:link w:val="861"/>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861" w:customStyle="1">
    <w:name w:val="Heading 7 Char"/>
    <w:link w:val="860"/>
    <w:uiPriority w:val="9"/>
    <w:qFormat/>
    <w:rPr>
      <w:rFonts w:ascii="Arial" w:hAnsi="Arial" w:eastAsia="Arial" w:cs="Arial"/>
      <w:b/>
      <w:bCs/>
      <w:i/>
      <w:iCs/>
      <w:color w:val="000000"/>
      <w:sz w:val="22"/>
      <w:szCs w:val="22"/>
    </w:rPr>
  </w:style>
  <w:style w:type="paragraph" w:styleId="862" w:customStyle="1">
    <w:name w:val="标题 81"/>
    <w:basedOn w:val="681"/>
    <w:next w:val="681"/>
    <w:link w:val="863"/>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863" w:customStyle="1">
    <w:name w:val="Heading 8 Char"/>
    <w:link w:val="862"/>
    <w:uiPriority w:val="9"/>
    <w:qFormat/>
    <w:rPr>
      <w:rFonts w:ascii="Arial" w:hAnsi="Arial" w:eastAsia="Arial" w:cs="Arial"/>
      <w:i/>
      <w:iCs/>
      <w:color w:val="000000"/>
      <w:sz w:val="22"/>
      <w:szCs w:val="22"/>
    </w:rPr>
  </w:style>
  <w:style w:type="paragraph" w:styleId="864" w:customStyle="1">
    <w:name w:val="标题 91"/>
    <w:basedOn w:val="681"/>
    <w:next w:val="681"/>
    <w:link w:val="865"/>
    <w:uiPriority w:val="9"/>
    <w:unhideWhenUsed/>
    <w:qFormat/>
    <w:pPr>
      <w:ind w:firstLine="420"/>
      <w:jc w:val="left"/>
      <w:keepLines/>
      <w:keepNext/>
      <w:spacing w:before="320" w:after="200" w:line="360" w:lineRule="auto"/>
      <w:outlineLvl w:val="8"/>
    </w:pPr>
    <w:rPr>
      <w:rFonts w:ascii="Arial" w:hAnsi="Arial" w:eastAsia="Arial" w:cs="Arial"/>
      <w:i/>
      <w:iCs/>
      <w:color w:val="000000"/>
      <w:szCs w:val="21"/>
    </w:rPr>
  </w:style>
  <w:style w:type="character" w:styleId="865" w:customStyle="1">
    <w:name w:val="Heading 9 Char"/>
    <w:link w:val="864"/>
    <w:uiPriority w:val="9"/>
    <w:qFormat/>
    <w:rPr>
      <w:rFonts w:ascii="Arial" w:hAnsi="Arial" w:eastAsia="Arial" w:cs="Arial"/>
      <w:i/>
      <w:iCs/>
      <w:color w:val="000000"/>
      <w:sz w:val="21"/>
      <w:szCs w:val="21"/>
    </w:rPr>
  </w:style>
  <w:style w:type="paragraph" w:styleId="866" w:customStyle="1">
    <w:name w:val="页眉1"/>
    <w:basedOn w:val="681"/>
    <w:link w:val="867"/>
    <w:uiPriority w:val="99"/>
    <w:unhideWhenUsed/>
    <w:qFormat/>
    <w:pPr>
      <w:ind w:firstLine="420"/>
      <w:jc w:val="left"/>
      <w:tabs>
        <w:tab w:val="center" w:pos="7143" w:leader="none"/>
        <w:tab w:val="right" w:pos="14287" w:leader="none"/>
      </w:tabs>
    </w:pPr>
    <w:rPr>
      <w:rFonts w:ascii="宋体" w:hAnsi="宋体" w:cs="宋体"/>
      <w:color w:val="000000"/>
      <w:sz w:val="22"/>
      <w:szCs w:val="21"/>
    </w:rPr>
  </w:style>
  <w:style w:type="character" w:styleId="867" w:customStyle="1">
    <w:name w:val="Header Char"/>
    <w:link w:val="866"/>
    <w:uiPriority w:val="99"/>
    <w:qFormat/>
    <w:rPr>
      <w:rFonts w:ascii="宋体" w:hAnsi="宋体" w:cs="宋体"/>
      <w:color w:val="000000"/>
      <w:sz w:val="22"/>
      <w:szCs w:val="21"/>
    </w:rPr>
  </w:style>
  <w:style w:type="paragraph" w:styleId="868" w:customStyle="1">
    <w:name w:val="页脚1"/>
    <w:basedOn w:val="681"/>
    <w:link w:val="869"/>
    <w:uiPriority w:val="99"/>
    <w:unhideWhenUsed/>
    <w:qFormat/>
    <w:pPr>
      <w:ind w:firstLine="420"/>
      <w:jc w:val="left"/>
      <w:tabs>
        <w:tab w:val="center" w:pos="7143" w:leader="none"/>
        <w:tab w:val="right" w:pos="14287" w:leader="none"/>
      </w:tabs>
    </w:pPr>
    <w:rPr>
      <w:rFonts w:ascii="宋体" w:hAnsi="宋体" w:cs="宋体"/>
      <w:color w:val="000000"/>
      <w:sz w:val="22"/>
      <w:szCs w:val="21"/>
    </w:rPr>
  </w:style>
  <w:style w:type="character" w:styleId="869" w:customStyle="1">
    <w:name w:val="Caption Char"/>
    <w:link w:val="868"/>
    <w:uiPriority w:val="99"/>
    <w:qFormat/>
    <w:rPr>
      <w:rFonts w:ascii="宋体" w:hAnsi="宋体" w:cs="宋体"/>
      <w:color w:val="000000"/>
      <w:sz w:val="22"/>
      <w:szCs w:val="21"/>
    </w:rPr>
  </w:style>
  <w:style w:type="paragraph" w:styleId="870" w:customStyle="1">
    <w:name w:val="题注1"/>
    <w:basedOn w:val="681"/>
    <w:next w:val="681"/>
    <w:uiPriority w:val="35"/>
    <w:unhideWhenUsed/>
    <w:qFormat/>
    <w:pPr>
      <w:ind w:firstLine="420"/>
      <w:jc w:val="left"/>
      <w:spacing w:line="276" w:lineRule="auto"/>
    </w:pPr>
    <w:rPr>
      <w:rFonts w:ascii="宋体" w:hAnsi="宋体" w:cs="宋体"/>
      <w:b/>
      <w:bCs/>
      <w:color w:val="4f81bd"/>
      <w:sz w:val="18"/>
      <w:szCs w:val="18"/>
    </w:rPr>
  </w:style>
  <w:style w:type="paragraph" w:styleId="871" w:customStyle="1">
    <w:name w:val="TOC 标题112"/>
    <w:uiPriority w:val="39"/>
    <w:unhideWhenUsed/>
    <w:qFormat/>
    <w:rPr>
      <w:rFonts w:ascii="Times New Roman" w:hAnsi="Times New Roman" w:eastAsia="宋体" w:cs="Times New Roman"/>
      <w:lang w:val="en-US" w:eastAsia="zh-CN" w:bidi="ar-SA"/>
    </w:rPr>
  </w:style>
  <w:style w:type="character" w:styleId="872" w:customStyle="1">
    <w:name w:val="Title Char"/>
    <w:uiPriority w:val="10"/>
    <w:qFormat/>
    <w:rPr>
      <w:sz w:val="48"/>
      <w:szCs w:val="48"/>
    </w:rPr>
  </w:style>
  <w:style w:type="character" w:styleId="873" w:customStyle="1">
    <w:name w:val="Subtitle Char"/>
    <w:uiPriority w:val="11"/>
    <w:qFormat/>
    <w:rPr>
      <w:sz w:val="24"/>
      <w:szCs w:val="24"/>
    </w:rPr>
  </w:style>
  <w:style w:type="character" w:styleId="874" w:customStyle="1">
    <w:name w:val="Quote Char"/>
    <w:uiPriority w:val="29"/>
    <w:qFormat/>
    <w:rPr>
      <w:i/>
    </w:rPr>
  </w:style>
  <w:style w:type="character" w:styleId="875" w:customStyle="1">
    <w:name w:val="Intense Quote Char"/>
    <w:uiPriority w:val="30"/>
    <w:qFormat/>
    <w:rPr>
      <w:i/>
    </w:rPr>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paragraph" w:styleId="878" w:customStyle="1">
    <w:name w:val="TOC 标题111"/>
    <w:uiPriority w:val="39"/>
    <w:unhideWhenUsed/>
    <w:qFormat/>
    <w:rPr>
      <w:rFonts w:ascii="Times New Roman" w:hAnsi="Times New Roman" w:eastAsia="宋体" w:cs="Times New Roman"/>
      <w:lang w:val="en-US" w:eastAsia="zh-CN" w:bidi="ar-SA"/>
    </w:rPr>
  </w:style>
  <w:style w:type="paragraph" w:styleId="879" w:customStyle="1">
    <w:name w:val="标题 1111"/>
    <w:basedOn w:val="681"/>
    <w:next w:val="681"/>
    <w:link w:val="880"/>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880" w:customStyle="1">
    <w:name w:val="标题 1 Char"/>
    <w:link w:val="879"/>
    <w:uiPriority w:val="9"/>
    <w:qFormat/>
    <w:rPr>
      <w:rFonts w:ascii="Arial" w:hAnsi="Arial" w:eastAsia="Arial" w:cs="Arial"/>
      <w:color w:val="000000"/>
      <w:sz w:val="40"/>
      <w:szCs w:val="40"/>
    </w:rPr>
  </w:style>
  <w:style w:type="paragraph" w:styleId="881" w:customStyle="1">
    <w:name w:val="标题 2111"/>
    <w:basedOn w:val="681"/>
    <w:next w:val="681"/>
    <w:link w:val="882"/>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882" w:customStyle="1">
    <w:name w:val="标题 2 Char1"/>
    <w:link w:val="881"/>
    <w:uiPriority w:val="9"/>
    <w:qFormat/>
    <w:rPr>
      <w:rFonts w:ascii="Arial" w:hAnsi="Arial" w:eastAsia="Arial" w:cs="Arial"/>
      <w:color w:val="000000"/>
      <w:sz w:val="34"/>
      <w:szCs w:val="21"/>
    </w:rPr>
  </w:style>
  <w:style w:type="paragraph" w:styleId="883" w:customStyle="1">
    <w:name w:val="标题 4111"/>
    <w:basedOn w:val="681"/>
    <w:next w:val="681"/>
    <w:link w:val="884"/>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884" w:customStyle="1">
    <w:name w:val="标题 4 Char"/>
    <w:link w:val="883"/>
    <w:uiPriority w:val="9"/>
    <w:qFormat/>
    <w:rPr>
      <w:rFonts w:ascii="Arial" w:hAnsi="Arial" w:eastAsia="Arial" w:cs="Arial"/>
      <w:b/>
      <w:bCs/>
      <w:color w:val="000000"/>
      <w:sz w:val="26"/>
      <w:szCs w:val="26"/>
    </w:rPr>
  </w:style>
  <w:style w:type="paragraph" w:styleId="885" w:customStyle="1">
    <w:name w:val="标题 511"/>
    <w:basedOn w:val="681"/>
    <w:next w:val="681"/>
    <w:link w:val="886"/>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886" w:customStyle="1">
    <w:name w:val="标题 5 Char"/>
    <w:link w:val="885"/>
    <w:uiPriority w:val="9"/>
    <w:qFormat/>
    <w:rPr>
      <w:rFonts w:ascii="Arial" w:hAnsi="Arial" w:eastAsia="Arial" w:cs="Arial"/>
      <w:b/>
      <w:bCs/>
      <w:color w:val="000000"/>
      <w:sz w:val="24"/>
      <w:szCs w:val="21"/>
    </w:rPr>
  </w:style>
  <w:style w:type="paragraph" w:styleId="887" w:customStyle="1">
    <w:name w:val="标题 611"/>
    <w:basedOn w:val="681"/>
    <w:next w:val="681"/>
    <w:link w:val="888"/>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888" w:customStyle="1">
    <w:name w:val="标题 6 Char"/>
    <w:link w:val="887"/>
    <w:uiPriority w:val="9"/>
    <w:qFormat/>
    <w:rPr>
      <w:rFonts w:ascii="Arial" w:hAnsi="Arial" w:eastAsia="Arial" w:cs="Arial"/>
      <w:b/>
      <w:bCs/>
      <w:color w:val="000000"/>
      <w:sz w:val="22"/>
      <w:szCs w:val="22"/>
    </w:rPr>
  </w:style>
  <w:style w:type="paragraph" w:styleId="889" w:customStyle="1">
    <w:name w:val="标题 711"/>
    <w:basedOn w:val="681"/>
    <w:next w:val="681"/>
    <w:link w:val="890"/>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890" w:customStyle="1">
    <w:name w:val="标题 7 Char"/>
    <w:link w:val="889"/>
    <w:uiPriority w:val="9"/>
    <w:qFormat/>
    <w:rPr>
      <w:rFonts w:ascii="Arial" w:hAnsi="Arial" w:eastAsia="Arial" w:cs="Arial"/>
      <w:b/>
      <w:bCs/>
      <w:i/>
      <w:iCs/>
      <w:color w:val="000000"/>
      <w:sz w:val="22"/>
      <w:szCs w:val="22"/>
    </w:rPr>
  </w:style>
  <w:style w:type="paragraph" w:styleId="891" w:customStyle="1">
    <w:name w:val="标题 811"/>
    <w:basedOn w:val="681"/>
    <w:next w:val="681"/>
    <w:link w:val="892"/>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892" w:customStyle="1">
    <w:name w:val="标题 8 Char"/>
    <w:link w:val="891"/>
    <w:uiPriority w:val="9"/>
    <w:qFormat/>
    <w:rPr>
      <w:rFonts w:ascii="Arial" w:hAnsi="Arial" w:eastAsia="Arial" w:cs="Arial"/>
      <w:i/>
      <w:iCs/>
      <w:color w:val="000000"/>
      <w:sz w:val="22"/>
      <w:szCs w:val="22"/>
    </w:rPr>
  </w:style>
  <w:style w:type="paragraph" w:styleId="893" w:customStyle="1">
    <w:name w:val="标题 911"/>
    <w:basedOn w:val="681"/>
    <w:next w:val="681"/>
    <w:link w:val="894"/>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894" w:customStyle="1">
    <w:name w:val="标题 9 Char"/>
    <w:link w:val="893"/>
    <w:uiPriority w:val="9"/>
    <w:qFormat/>
    <w:rPr>
      <w:rFonts w:ascii="Arial" w:hAnsi="Arial" w:eastAsia="Arial" w:cs="Arial"/>
      <w:i/>
      <w:iCs/>
      <w:color w:val="000000"/>
      <w:sz w:val="22"/>
      <w:szCs w:val="21"/>
    </w:rPr>
  </w:style>
  <w:style w:type="paragraph" w:styleId="895" w:customStyle="1">
    <w:name w:val="题注11"/>
    <w:basedOn w:val="681"/>
    <w:next w:val="681"/>
    <w:uiPriority w:val="35"/>
    <w:unhideWhenUsed/>
    <w:qFormat/>
    <w:pPr>
      <w:ind w:firstLine="420"/>
      <w:jc w:val="left"/>
      <w:spacing w:line="276" w:lineRule="auto"/>
    </w:pPr>
    <w:rPr>
      <w:rFonts w:ascii="宋体" w:hAnsi="宋体" w:cs="宋体"/>
      <w:b/>
      <w:bCs/>
      <w:color w:val="4f81bd"/>
      <w:sz w:val="18"/>
      <w:szCs w:val="18"/>
    </w:rPr>
  </w:style>
  <w:style w:type="paragraph" w:styleId="896" w:customStyle="1">
    <w:name w:val="页脚111"/>
    <w:basedOn w:val="681"/>
    <w:link w:val="897"/>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897" w:customStyle="1">
    <w:name w:val="页脚 Char"/>
    <w:link w:val="896"/>
    <w:uiPriority w:val="99"/>
    <w:qFormat/>
    <w:rPr>
      <w:rFonts w:ascii="宋体" w:hAnsi="宋体" w:cs="宋体"/>
      <w:color w:val="000000"/>
      <w:sz w:val="22"/>
      <w:szCs w:val="21"/>
    </w:rPr>
  </w:style>
  <w:style w:type="paragraph" w:styleId="898" w:customStyle="1">
    <w:name w:val="页眉111"/>
    <w:basedOn w:val="681"/>
    <w:link w:val="899"/>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899" w:customStyle="1">
    <w:name w:val="页眉 Char"/>
    <w:link w:val="898"/>
    <w:uiPriority w:val="99"/>
    <w:qFormat/>
    <w:rPr>
      <w:rFonts w:ascii="宋体" w:hAnsi="宋体" w:cs="宋体"/>
      <w:color w:val="000000"/>
      <w:sz w:val="22"/>
      <w:szCs w:val="21"/>
    </w:rPr>
  </w:style>
  <w:style w:type="paragraph" w:styleId="900" w:customStyle="1">
    <w:name w:val="无间隔1"/>
    <w:uiPriority w:val="1"/>
    <w:qFormat/>
    <w:rPr>
      <w:rFonts w:ascii="Calibri" w:hAnsi="Calibri" w:eastAsia="宋体" w:cs="Times New Roman"/>
      <w:lang w:val="en-US" w:eastAsia="zh-CN" w:bidi="ar-SA"/>
    </w:rPr>
  </w:style>
  <w:style w:type="paragraph" w:styleId="901" w:customStyle="1">
    <w:name w:val="引用1"/>
    <w:basedOn w:val="681"/>
    <w:next w:val="681"/>
    <w:link w:val="902"/>
    <w:uiPriority w:val="29"/>
    <w:qFormat/>
    <w:pPr>
      <w:ind w:left="720" w:right="720" w:firstLine="420"/>
      <w:jc w:val="left"/>
      <w:spacing w:line="360" w:lineRule="auto"/>
    </w:pPr>
    <w:rPr>
      <w:rFonts w:ascii="宋体" w:hAnsi="宋体" w:cs="宋体"/>
      <w:i/>
      <w:color w:val="000000"/>
      <w:sz w:val="22"/>
      <w:szCs w:val="21"/>
    </w:rPr>
  </w:style>
  <w:style w:type="character" w:styleId="902" w:customStyle="1">
    <w:name w:val="引用 字符"/>
    <w:link w:val="901"/>
    <w:uiPriority w:val="29"/>
    <w:qFormat/>
    <w:rPr>
      <w:rFonts w:ascii="宋体" w:hAnsi="宋体" w:cs="宋体"/>
      <w:i/>
      <w:color w:val="000000"/>
      <w:sz w:val="22"/>
      <w:szCs w:val="21"/>
    </w:rPr>
  </w:style>
  <w:style w:type="paragraph" w:styleId="903" w:customStyle="1">
    <w:name w:val="明显引用1"/>
    <w:basedOn w:val="681"/>
    <w:next w:val="681"/>
    <w:link w:val="904"/>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character" w:styleId="904" w:customStyle="1">
    <w:name w:val="明显引用 字符"/>
    <w:link w:val="903"/>
    <w:uiPriority w:val="30"/>
    <w:qFormat/>
    <w:rPr>
      <w:rFonts w:ascii="宋体" w:hAnsi="宋体" w:cs="宋体"/>
      <w:i/>
      <w:color w:val="000000"/>
      <w:sz w:val="22"/>
      <w:szCs w:val="21"/>
      <w:shd w:val="clear" w:color="auto" w:fill="f2f2f2"/>
    </w:rPr>
  </w:style>
  <w:style w:type="character" w:styleId="905" w:customStyle="1">
    <w:name w:val="Footer Char"/>
    <w:uiPriority w:val="99"/>
    <w:qFormat/>
  </w:style>
  <w:style w:type="table" w:styleId="906" w:customStyle="1">
    <w:name w:val="Table Grid Light"/>
    <w:uiPriority w:val="59"/>
    <w:qFormat/>
    <w:tblPr>
      <w:tblCellMar>
        <w:left w:w="0" w:type="dxa"/>
        <w:top w:w="0" w:type="dxa"/>
        <w:right w:w="0" w:type="dxa"/>
        <w:bottom w:w="0" w:type="dxa"/>
      </w:tblCellMar>
    </w:tblPr>
  </w:style>
  <w:style w:type="table" w:styleId="907" w:customStyle="1">
    <w:name w:val="Grid Table 1 Light - Accent 1"/>
    <w:uiPriority w:val="99"/>
    <w:qFormat/>
    <w:tblPr>
      <w:tblCellMar>
        <w:left w:w="0" w:type="dxa"/>
        <w:top w:w="0" w:type="dxa"/>
        <w:right w:w="0" w:type="dxa"/>
        <w:bottom w:w="0" w:type="dxa"/>
      </w:tblCellMar>
    </w:tblPr>
  </w:style>
  <w:style w:type="table" w:styleId="908" w:customStyle="1">
    <w:name w:val="Grid Table 1 Light - Accent 2"/>
    <w:uiPriority w:val="99"/>
    <w:qFormat/>
    <w:tblPr>
      <w:tblCellMar>
        <w:left w:w="0" w:type="dxa"/>
        <w:top w:w="0" w:type="dxa"/>
        <w:right w:w="0" w:type="dxa"/>
        <w:bottom w:w="0" w:type="dxa"/>
      </w:tblCellMar>
    </w:tblPr>
  </w:style>
  <w:style w:type="table" w:styleId="909" w:customStyle="1">
    <w:name w:val="Grid Table 1 Light - Accent 3"/>
    <w:uiPriority w:val="99"/>
    <w:qFormat/>
    <w:tblPr>
      <w:tblCellMar>
        <w:left w:w="0" w:type="dxa"/>
        <w:top w:w="0" w:type="dxa"/>
        <w:right w:w="0" w:type="dxa"/>
        <w:bottom w:w="0" w:type="dxa"/>
      </w:tblCellMar>
    </w:tblPr>
  </w:style>
  <w:style w:type="table" w:styleId="910" w:customStyle="1">
    <w:name w:val="Grid Table 1 Light - Accent 4"/>
    <w:uiPriority w:val="99"/>
    <w:qFormat/>
    <w:tblPr>
      <w:tblCellMar>
        <w:left w:w="0" w:type="dxa"/>
        <w:top w:w="0" w:type="dxa"/>
        <w:right w:w="0" w:type="dxa"/>
        <w:bottom w:w="0" w:type="dxa"/>
      </w:tblCellMar>
    </w:tblPr>
  </w:style>
  <w:style w:type="table" w:styleId="911" w:customStyle="1">
    <w:name w:val="Grid Table 1 Light - Accent 5"/>
    <w:uiPriority w:val="99"/>
    <w:qFormat/>
    <w:tblPr>
      <w:tblCellMar>
        <w:left w:w="0" w:type="dxa"/>
        <w:top w:w="0" w:type="dxa"/>
        <w:right w:w="0" w:type="dxa"/>
        <w:bottom w:w="0" w:type="dxa"/>
      </w:tblCellMar>
    </w:tblPr>
  </w:style>
  <w:style w:type="table" w:styleId="912" w:customStyle="1">
    <w:name w:val="Grid Table 1 Light - Accent 6"/>
    <w:uiPriority w:val="99"/>
    <w:qFormat/>
    <w:tblPr>
      <w:tblCellMar>
        <w:left w:w="0" w:type="dxa"/>
        <w:top w:w="0" w:type="dxa"/>
        <w:right w:w="0" w:type="dxa"/>
        <w:bottom w:w="0" w:type="dxa"/>
      </w:tblCellMar>
    </w:tblPr>
  </w:style>
  <w:style w:type="table" w:styleId="913" w:customStyle="1">
    <w:name w:val="Grid Table 2 - Accent 1"/>
    <w:uiPriority w:val="99"/>
    <w:qFormat/>
    <w:tblPr>
      <w:tblCellMar>
        <w:left w:w="0" w:type="dxa"/>
        <w:top w:w="0" w:type="dxa"/>
        <w:right w:w="0" w:type="dxa"/>
        <w:bottom w:w="0" w:type="dxa"/>
      </w:tblCellMar>
    </w:tblPr>
  </w:style>
  <w:style w:type="table" w:styleId="914" w:customStyle="1">
    <w:name w:val="Grid Table 2 - Accent 2"/>
    <w:uiPriority w:val="99"/>
    <w:qFormat/>
    <w:tblPr>
      <w:tblCellMar>
        <w:left w:w="0" w:type="dxa"/>
        <w:top w:w="0" w:type="dxa"/>
        <w:right w:w="0" w:type="dxa"/>
        <w:bottom w:w="0" w:type="dxa"/>
      </w:tblCellMar>
    </w:tblPr>
  </w:style>
  <w:style w:type="table" w:styleId="915" w:customStyle="1">
    <w:name w:val="Grid Table 2 - Accent 3"/>
    <w:uiPriority w:val="99"/>
    <w:qFormat/>
    <w:tblPr>
      <w:tblCellMar>
        <w:left w:w="0" w:type="dxa"/>
        <w:top w:w="0" w:type="dxa"/>
        <w:right w:w="0" w:type="dxa"/>
        <w:bottom w:w="0" w:type="dxa"/>
      </w:tblCellMar>
    </w:tblPr>
  </w:style>
  <w:style w:type="table" w:styleId="916" w:customStyle="1">
    <w:name w:val="Grid Table 2 - Accent 4"/>
    <w:uiPriority w:val="99"/>
    <w:qFormat/>
    <w:tblPr>
      <w:tblCellMar>
        <w:left w:w="0" w:type="dxa"/>
        <w:top w:w="0" w:type="dxa"/>
        <w:right w:w="0" w:type="dxa"/>
        <w:bottom w:w="0" w:type="dxa"/>
      </w:tblCellMar>
    </w:tblPr>
  </w:style>
  <w:style w:type="table" w:styleId="917" w:customStyle="1">
    <w:name w:val="Grid Table 2 - Accent 5"/>
    <w:uiPriority w:val="99"/>
    <w:qFormat/>
    <w:tblPr>
      <w:tblCellMar>
        <w:left w:w="0" w:type="dxa"/>
        <w:top w:w="0" w:type="dxa"/>
        <w:right w:w="0" w:type="dxa"/>
        <w:bottom w:w="0" w:type="dxa"/>
      </w:tblCellMar>
    </w:tblPr>
  </w:style>
  <w:style w:type="table" w:styleId="918" w:customStyle="1">
    <w:name w:val="Grid Table 2 - Accent 6"/>
    <w:uiPriority w:val="99"/>
    <w:qFormat/>
    <w:tblPr>
      <w:tblCellMar>
        <w:left w:w="0" w:type="dxa"/>
        <w:top w:w="0" w:type="dxa"/>
        <w:right w:w="0" w:type="dxa"/>
        <w:bottom w:w="0" w:type="dxa"/>
      </w:tblCellMar>
    </w:tblPr>
  </w:style>
  <w:style w:type="table" w:styleId="919" w:customStyle="1">
    <w:name w:val="Grid Table 3 - Accent 1"/>
    <w:uiPriority w:val="99"/>
    <w:qFormat/>
    <w:tblPr>
      <w:tblCellMar>
        <w:left w:w="0" w:type="dxa"/>
        <w:top w:w="0" w:type="dxa"/>
        <w:right w:w="0" w:type="dxa"/>
        <w:bottom w:w="0" w:type="dxa"/>
      </w:tblCellMar>
    </w:tblPr>
  </w:style>
  <w:style w:type="table" w:styleId="920" w:customStyle="1">
    <w:name w:val="Grid Table 3 - Accent 2"/>
    <w:uiPriority w:val="99"/>
    <w:qFormat/>
    <w:tblPr>
      <w:tblCellMar>
        <w:left w:w="0" w:type="dxa"/>
        <w:top w:w="0" w:type="dxa"/>
        <w:right w:w="0" w:type="dxa"/>
        <w:bottom w:w="0" w:type="dxa"/>
      </w:tblCellMar>
    </w:tblPr>
  </w:style>
  <w:style w:type="table" w:styleId="921" w:customStyle="1">
    <w:name w:val="Grid Table 3 - Accent 3"/>
    <w:uiPriority w:val="99"/>
    <w:qFormat/>
    <w:tblPr>
      <w:tblCellMar>
        <w:left w:w="0" w:type="dxa"/>
        <w:top w:w="0" w:type="dxa"/>
        <w:right w:w="0" w:type="dxa"/>
        <w:bottom w:w="0" w:type="dxa"/>
      </w:tblCellMar>
    </w:tblPr>
  </w:style>
  <w:style w:type="table" w:styleId="922" w:customStyle="1">
    <w:name w:val="Grid Table 3 - Accent 4"/>
    <w:uiPriority w:val="99"/>
    <w:qFormat/>
    <w:tblPr>
      <w:tblCellMar>
        <w:left w:w="0" w:type="dxa"/>
        <w:top w:w="0" w:type="dxa"/>
        <w:right w:w="0" w:type="dxa"/>
        <w:bottom w:w="0" w:type="dxa"/>
      </w:tblCellMar>
    </w:tblPr>
  </w:style>
  <w:style w:type="table" w:styleId="923" w:customStyle="1">
    <w:name w:val="Grid Table 3 - Accent 5"/>
    <w:uiPriority w:val="99"/>
    <w:qFormat/>
    <w:tblPr>
      <w:tblCellMar>
        <w:left w:w="0" w:type="dxa"/>
        <w:top w:w="0" w:type="dxa"/>
        <w:right w:w="0" w:type="dxa"/>
        <w:bottom w:w="0" w:type="dxa"/>
      </w:tblCellMar>
    </w:tblPr>
  </w:style>
  <w:style w:type="table" w:styleId="924" w:customStyle="1">
    <w:name w:val="Grid Table 3 - Accent 6"/>
    <w:uiPriority w:val="99"/>
    <w:qFormat/>
    <w:tblPr>
      <w:tblCellMar>
        <w:left w:w="0" w:type="dxa"/>
        <w:top w:w="0" w:type="dxa"/>
        <w:right w:w="0" w:type="dxa"/>
        <w:bottom w:w="0" w:type="dxa"/>
      </w:tblCellMar>
    </w:tblPr>
  </w:style>
  <w:style w:type="table" w:styleId="925" w:customStyle="1">
    <w:name w:val="Grid Table 4 - Accent 1"/>
    <w:uiPriority w:val="59"/>
    <w:qFormat/>
    <w:tblPr>
      <w:tblCellMar>
        <w:left w:w="0" w:type="dxa"/>
        <w:top w:w="0" w:type="dxa"/>
        <w:right w:w="0" w:type="dxa"/>
        <w:bottom w:w="0" w:type="dxa"/>
      </w:tblCellMar>
    </w:tblPr>
  </w:style>
  <w:style w:type="table" w:styleId="926" w:customStyle="1">
    <w:name w:val="Grid Table 4 - Accent 2"/>
    <w:uiPriority w:val="59"/>
    <w:qFormat/>
    <w:tblPr>
      <w:tblCellMar>
        <w:left w:w="0" w:type="dxa"/>
        <w:top w:w="0" w:type="dxa"/>
        <w:right w:w="0" w:type="dxa"/>
        <w:bottom w:w="0" w:type="dxa"/>
      </w:tblCellMar>
    </w:tblPr>
  </w:style>
  <w:style w:type="table" w:styleId="927" w:customStyle="1">
    <w:name w:val="Grid Table 4 - Accent 3"/>
    <w:uiPriority w:val="59"/>
    <w:qFormat/>
    <w:tblPr>
      <w:tblCellMar>
        <w:left w:w="0" w:type="dxa"/>
        <w:top w:w="0" w:type="dxa"/>
        <w:right w:w="0" w:type="dxa"/>
        <w:bottom w:w="0" w:type="dxa"/>
      </w:tblCellMar>
    </w:tblPr>
  </w:style>
  <w:style w:type="table" w:styleId="928" w:customStyle="1">
    <w:name w:val="Grid Table 4 - Accent 4"/>
    <w:uiPriority w:val="59"/>
    <w:qFormat/>
    <w:tblPr>
      <w:tblCellMar>
        <w:left w:w="0" w:type="dxa"/>
        <w:top w:w="0" w:type="dxa"/>
        <w:right w:w="0" w:type="dxa"/>
        <w:bottom w:w="0" w:type="dxa"/>
      </w:tblCellMar>
    </w:tblPr>
  </w:style>
  <w:style w:type="table" w:styleId="929" w:customStyle="1">
    <w:name w:val="Grid Table 4 - Accent 5"/>
    <w:uiPriority w:val="59"/>
    <w:qFormat/>
    <w:tblPr>
      <w:tblCellMar>
        <w:left w:w="0" w:type="dxa"/>
        <w:top w:w="0" w:type="dxa"/>
        <w:right w:w="0" w:type="dxa"/>
        <w:bottom w:w="0" w:type="dxa"/>
      </w:tblCellMar>
    </w:tblPr>
  </w:style>
  <w:style w:type="table" w:styleId="930" w:customStyle="1">
    <w:name w:val="Grid Table 4 - Accent 6"/>
    <w:uiPriority w:val="59"/>
    <w:qFormat/>
    <w:tblPr>
      <w:tblCellMar>
        <w:left w:w="0" w:type="dxa"/>
        <w:top w:w="0" w:type="dxa"/>
        <w:right w:w="0" w:type="dxa"/>
        <w:bottom w:w="0" w:type="dxa"/>
      </w:tblCellMar>
    </w:tblPr>
  </w:style>
  <w:style w:type="table" w:styleId="931" w:customStyle="1">
    <w:name w:val="Grid Table 5 Dark- Accent 1"/>
    <w:uiPriority w:val="99"/>
    <w:qFormat/>
    <w:tblPr>
      <w:tblCellMar>
        <w:left w:w="0" w:type="dxa"/>
        <w:top w:w="0" w:type="dxa"/>
        <w:right w:w="0" w:type="dxa"/>
        <w:bottom w:w="0" w:type="dxa"/>
      </w:tblCellMar>
    </w:tblPr>
  </w:style>
  <w:style w:type="table" w:styleId="932" w:customStyle="1">
    <w:name w:val="Grid Table 5 Dark - Accent 2"/>
    <w:uiPriority w:val="99"/>
    <w:qFormat/>
    <w:tblPr>
      <w:tblCellMar>
        <w:left w:w="0" w:type="dxa"/>
        <w:top w:w="0" w:type="dxa"/>
        <w:right w:w="0" w:type="dxa"/>
        <w:bottom w:w="0" w:type="dxa"/>
      </w:tblCellMar>
    </w:tblPr>
  </w:style>
  <w:style w:type="table" w:styleId="933" w:customStyle="1">
    <w:name w:val="Grid Table 5 Dark - Accent 3"/>
    <w:uiPriority w:val="99"/>
    <w:qFormat/>
    <w:tblPr>
      <w:tblCellMar>
        <w:left w:w="0" w:type="dxa"/>
        <w:top w:w="0" w:type="dxa"/>
        <w:right w:w="0" w:type="dxa"/>
        <w:bottom w:w="0" w:type="dxa"/>
      </w:tblCellMar>
    </w:tblPr>
  </w:style>
  <w:style w:type="table" w:styleId="934" w:customStyle="1">
    <w:name w:val="Grid Table 5 Dark- Accent 4"/>
    <w:uiPriority w:val="99"/>
    <w:qFormat/>
    <w:tblPr>
      <w:tblCellMar>
        <w:left w:w="0" w:type="dxa"/>
        <w:top w:w="0" w:type="dxa"/>
        <w:right w:w="0" w:type="dxa"/>
        <w:bottom w:w="0" w:type="dxa"/>
      </w:tblCellMar>
    </w:tblPr>
  </w:style>
  <w:style w:type="table" w:styleId="935" w:customStyle="1">
    <w:name w:val="Grid Table 5 Dark - Accent 5"/>
    <w:uiPriority w:val="99"/>
    <w:qFormat/>
    <w:tblPr>
      <w:tblCellMar>
        <w:left w:w="0" w:type="dxa"/>
        <w:top w:w="0" w:type="dxa"/>
        <w:right w:w="0" w:type="dxa"/>
        <w:bottom w:w="0" w:type="dxa"/>
      </w:tblCellMar>
    </w:tblPr>
  </w:style>
  <w:style w:type="table" w:styleId="936" w:customStyle="1">
    <w:name w:val="Grid Table 5 Dark - Accent 6"/>
    <w:uiPriority w:val="99"/>
    <w:qFormat/>
    <w:tblPr>
      <w:tblCellMar>
        <w:left w:w="0" w:type="dxa"/>
        <w:top w:w="0" w:type="dxa"/>
        <w:right w:w="0" w:type="dxa"/>
        <w:bottom w:w="0" w:type="dxa"/>
      </w:tblCellMar>
    </w:tblPr>
  </w:style>
  <w:style w:type="table" w:styleId="937" w:customStyle="1">
    <w:name w:val="Grid Table 6 Colorful - Accent 1"/>
    <w:uiPriority w:val="99"/>
    <w:qFormat/>
    <w:tblPr>
      <w:tblCellMar>
        <w:left w:w="0" w:type="dxa"/>
        <w:top w:w="0" w:type="dxa"/>
        <w:right w:w="0" w:type="dxa"/>
        <w:bottom w:w="0" w:type="dxa"/>
      </w:tblCellMar>
    </w:tblPr>
  </w:style>
  <w:style w:type="table" w:styleId="938" w:customStyle="1">
    <w:name w:val="Grid Table 6 Colorful - Accent 2"/>
    <w:uiPriority w:val="99"/>
    <w:qFormat/>
    <w:tblPr>
      <w:tblCellMar>
        <w:left w:w="0" w:type="dxa"/>
        <w:top w:w="0" w:type="dxa"/>
        <w:right w:w="0" w:type="dxa"/>
        <w:bottom w:w="0" w:type="dxa"/>
      </w:tblCellMar>
    </w:tblPr>
  </w:style>
  <w:style w:type="table" w:styleId="939" w:customStyle="1">
    <w:name w:val="Grid Table 6 Colorful - Accent 3"/>
    <w:uiPriority w:val="99"/>
    <w:qFormat/>
    <w:tblPr>
      <w:tblCellMar>
        <w:left w:w="0" w:type="dxa"/>
        <w:top w:w="0" w:type="dxa"/>
        <w:right w:w="0" w:type="dxa"/>
        <w:bottom w:w="0" w:type="dxa"/>
      </w:tblCellMar>
    </w:tblPr>
  </w:style>
  <w:style w:type="table" w:styleId="940" w:customStyle="1">
    <w:name w:val="Grid Table 6 Colorful - Accent 4"/>
    <w:uiPriority w:val="99"/>
    <w:qFormat/>
    <w:tblPr>
      <w:tblCellMar>
        <w:left w:w="0" w:type="dxa"/>
        <w:top w:w="0" w:type="dxa"/>
        <w:right w:w="0" w:type="dxa"/>
        <w:bottom w:w="0" w:type="dxa"/>
      </w:tblCellMar>
    </w:tblPr>
  </w:style>
  <w:style w:type="table" w:styleId="941" w:customStyle="1">
    <w:name w:val="Grid Table 6 Colorful - Accent 5"/>
    <w:uiPriority w:val="99"/>
    <w:qFormat/>
    <w:tblPr>
      <w:tblCellMar>
        <w:left w:w="0" w:type="dxa"/>
        <w:top w:w="0" w:type="dxa"/>
        <w:right w:w="0" w:type="dxa"/>
        <w:bottom w:w="0" w:type="dxa"/>
      </w:tblCellMar>
    </w:tblPr>
  </w:style>
  <w:style w:type="table" w:styleId="942" w:customStyle="1">
    <w:name w:val="Grid Table 6 Colorful - Accent 6"/>
    <w:uiPriority w:val="99"/>
    <w:qFormat/>
    <w:tblPr>
      <w:tblCellMar>
        <w:left w:w="0" w:type="dxa"/>
        <w:top w:w="0" w:type="dxa"/>
        <w:right w:w="0" w:type="dxa"/>
        <w:bottom w:w="0" w:type="dxa"/>
      </w:tblCellMar>
    </w:tblPr>
  </w:style>
  <w:style w:type="table" w:styleId="943" w:customStyle="1">
    <w:name w:val="Grid Table 7 Colorful - Accent 1"/>
    <w:uiPriority w:val="99"/>
    <w:qFormat/>
    <w:tblPr>
      <w:tblCellMar>
        <w:left w:w="0" w:type="dxa"/>
        <w:top w:w="0" w:type="dxa"/>
        <w:right w:w="0" w:type="dxa"/>
        <w:bottom w:w="0" w:type="dxa"/>
      </w:tblCellMar>
    </w:tblPr>
  </w:style>
  <w:style w:type="table" w:styleId="944" w:customStyle="1">
    <w:name w:val="Grid Table 7 Colorful - Accent 2"/>
    <w:uiPriority w:val="99"/>
    <w:qFormat/>
    <w:tblPr>
      <w:tblCellMar>
        <w:left w:w="0" w:type="dxa"/>
        <w:top w:w="0" w:type="dxa"/>
        <w:right w:w="0" w:type="dxa"/>
        <w:bottom w:w="0" w:type="dxa"/>
      </w:tblCellMar>
    </w:tblPr>
  </w:style>
  <w:style w:type="table" w:styleId="945" w:customStyle="1">
    <w:name w:val="Grid Table 7 Colorful - Accent 3"/>
    <w:uiPriority w:val="99"/>
    <w:qFormat/>
    <w:tblPr>
      <w:tblCellMar>
        <w:left w:w="0" w:type="dxa"/>
        <w:top w:w="0" w:type="dxa"/>
        <w:right w:w="0" w:type="dxa"/>
        <w:bottom w:w="0" w:type="dxa"/>
      </w:tblCellMar>
    </w:tblPr>
  </w:style>
  <w:style w:type="table" w:styleId="946" w:customStyle="1">
    <w:name w:val="Grid Table 7 Colorful - Accent 4"/>
    <w:uiPriority w:val="99"/>
    <w:qFormat/>
    <w:tblPr>
      <w:tblCellMar>
        <w:left w:w="0" w:type="dxa"/>
        <w:top w:w="0" w:type="dxa"/>
        <w:right w:w="0" w:type="dxa"/>
        <w:bottom w:w="0" w:type="dxa"/>
      </w:tblCellMar>
    </w:tblPr>
  </w:style>
  <w:style w:type="table" w:styleId="947" w:customStyle="1">
    <w:name w:val="Grid Table 7 Colorful - Accent 5"/>
    <w:uiPriority w:val="99"/>
    <w:qFormat/>
    <w:tblPr>
      <w:tblCellMar>
        <w:left w:w="0" w:type="dxa"/>
        <w:top w:w="0" w:type="dxa"/>
        <w:right w:w="0" w:type="dxa"/>
        <w:bottom w:w="0" w:type="dxa"/>
      </w:tblCellMar>
    </w:tblPr>
  </w:style>
  <w:style w:type="table" w:styleId="948" w:customStyle="1">
    <w:name w:val="Grid Table 7 Colorful - Accent 6"/>
    <w:uiPriority w:val="99"/>
    <w:qFormat/>
    <w:tblPr>
      <w:tblCellMar>
        <w:left w:w="0" w:type="dxa"/>
        <w:top w:w="0" w:type="dxa"/>
        <w:right w:w="0" w:type="dxa"/>
        <w:bottom w:w="0" w:type="dxa"/>
      </w:tblCellMar>
    </w:tblPr>
  </w:style>
  <w:style w:type="table" w:styleId="949" w:customStyle="1">
    <w:name w:val="List Table 1 Light - Accent 1"/>
    <w:uiPriority w:val="99"/>
    <w:qFormat/>
    <w:tblPr>
      <w:tblCellMar>
        <w:left w:w="0" w:type="dxa"/>
        <w:top w:w="0" w:type="dxa"/>
        <w:right w:w="0" w:type="dxa"/>
        <w:bottom w:w="0" w:type="dxa"/>
      </w:tblCellMar>
    </w:tblPr>
  </w:style>
  <w:style w:type="table" w:styleId="950" w:customStyle="1">
    <w:name w:val="List Table 1 Light - Accent 2"/>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List Table 1 Light - Accent 4"/>
    <w:uiPriority w:val="99"/>
    <w:qFormat/>
    <w:tblPr>
      <w:tblCellMar>
        <w:left w:w="0" w:type="dxa"/>
        <w:top w:w="0" w:type="dxa"/>
        <w:right w:w="0" w:type="dxa"/>
        <w:bottom w:w="0" w:type="dxa"/>
      </w:tblCellMar>
    </w:tblPr>
  </w:style>
  <w:style w:type="table" w:styleId="953" w:customStyle="1">
    <w:name w:val="List Table 1 Light - Accent 5"/>
    <w:uiPriority w:val="99"/>
    <w:qFormat/>
    <w:tblPr>
      <w:tblCellMar>
        <w:left w:w="0" w:type="dxa"/>
        <w:top w:w="0" w:type="dxa"/>
        <w:right w:w="0" w:type="dxa"/>
        <w:bottom w:w="0" w:type="dxa"/>
      </w:tblCellMar>
    </w:tblPr>
  </w:style>
  <w:style w:type="table" w:styleId="954" w:customStyle="1">
    <w:name w:val="List Table 1 Light - Accent 6"/>
    <w:uiPriority w:val="99"/>
    <w:qFormat/>
    <w:tblPr>
      <w:tblCellMar>
        <w:left w:w="0" w:type="dxa"/>
        <w:top w:w="0" w:type="dxa"/>
        <w:right w:w="0" w:type="dxa"/>
        <w:bottom w:w="0" w:type="dxa"/>
      </w:tblCellMar>
    </w:tblPr>
  </w:style>
  <w:style w:type="table" w:styleId="955" w:customStyle="1">
    <w:name w:val="List Table 2 - Accent 1"/>
    <w:uiPriority w:val="99"/>
    <w:qFormat/>
    <w:tblPr>
      <w:tblCellMar>
        <w:left w:w="0" w:type="dxa"/>
        <w:top w:w="0" w:type="dxa"/>
        <w:right w:w="0" w:type="dxa"/>
        <w:bottom w:w="0" w:type="dxa"/>
      </w:tblCellMar>
    </w:tblPr>
  </w:style>
  <w:style w:type="table" w:styleId="956" w:customStyle="1">
    <w:name w:val="List Table 2 - Accent 2"/>
    <w:uiPriority w:val="99"/>
    <w:qFormat/>
    <w:tblPr>
      <w:tblCellMar>
        <w:left w:w="0" w:type="dxa"/>
        <w:top w:w="0" w:type="dxa"/>
        <w:right w:w="0" w:type="dxa"/>
        <w:bottom w:w="0" w:type="dxa"/>
      </w:tblCellMar>
    </w:tblPr>
  </w:style>
  <w:style w:type="table" w:styleId="957" w:customStyle="1">
    <w:name w:val="List Table 2 - Accent 3"/>
    <w:uiPriority w:val="99"/>
    <w:qFormat/>
    <w:tblPr>
      <w:tblCellMar>
        <w:left w:w="0" w:type="dxa"/>
        <w:top w:w="0" w:type="dxa"/>
        <w:right w:w="0" w:type="dxa"/>
        <w:bottom w:w="0" w:type="dxa"/>
      </w:tblCellMar>
    </w:tblPr>
  </w:style>
  <w:style w:type="table" w:styleId="958" w:customStyle="1">
    <w:name w:val="List Table 2 - Accent 4"/>
    <w:uiPriority w:val="99"/>
    <w:qFormat/>
    <w:tblPr>
      <w:tblCellMar>
        <w:left w:w="0" w:type="dxa"/>
        <w:top w:w="0" w:type="dxa"/>
        <w:right w:w="0" w:type="dxa"/>
        <w:bottom w:w="0" w:type="dxa"/>
      </w:tblCellMar>
    </w:tblPr>
  </w:style>
  <w:style w:type="table" w:styleId="959" w:customStyle="1">
    <w:name w:val="List Table 2 - Accent 5"/>
    <w:uiPriority w:val="99"/>
    <w:qFormat/>
    <w:tblPr>
      <w:tblCellMar>
        <w:left w:w="0" w:type="dxa"/>
        <w:top w:w="0" w:type="dxa"/>
        <w:right w:w="0" w:type="dxa"/>
        <w:bottom w:w="0" w:type="dxa"/>
      </w:tblCellMar>
    </w:tblPr>
  </w:style>
  <w:style w:type="table" w:styleId="960" w:customStyle="1">
    <w:name w:val="List Table 2 - Accent 6"/>
    <w:uiPriority w:val="99"/>
    <w:qFormat/>
    <w:tblPr>
      <w:tblCellMar>
        <w:left w:w="0" w:type="dxa"/>
        <w:top w:w="0" w:type="dxa"/>
        <w:right w:w="0" w:type="dxa"/>
        <w:bottom w:w="0" w:type="dxa"/>
      </w:tblCellMar>
    </w:tblPr>
  </w:style>
  <w:style w:type="table" w:styleId="961" w:customStyle="1">
    <w:name w:val="List Table 3 - Accent 1"/>
    <w:uiPriority w:val="99"/>
    <w:qFormat/>
    <w:tblPr>
      <w:tblCellMar>
        <w:left w:w="0" w:type="dxa"/>
        <w:top w:w="0" w:type="dxa"/>
        <w:right w:w="0" w:type="dxa"/>
        <w:bottom w:w="0" w:type="dxa"/>
      </w:tblCellMar>
    </w:tblPr>
  </w:style>
  <w:style w:type="table" w:styleId="962" w:customStyle="1">
    <w:name w:val="List Table 3 - Accent 2"/>
    <w:uiPriority w:val="99"/>
    <w:qFormat/>
    <w:tblPr>
      <w:tblCellMar>
        <w:left w:w="0" w:type="dxa"/>
        <w:top w:w="0" w:type="dxa"/>
        <w:right w:w="0" w:type="dxa"/>
        <w:bottom w:w="0" w:type="dxa"/>
      </w:tblCellMar>
    </w:tblPr>
  </w:style>
  <w:style w:type="table" w:styleId="963" w:customStyle="1">
    <w:name w:val="List Table 3 - Accent 3"/>
    <w:uiPriority w:val="99"/>
    <w:qFormat/>
    <w:tblPr>
      <w:tblCellMar>
        <w:left w:w="0" w:type="dxa"/>
        <w:top w:w="0" w:type="dxa"/>
        <w:right w:w="0" w:type="dxa"/>
        <w:bottom w:w="0" w:type="dxa"/>
      </w:tblCellMar>
    </w:tblPr>
  </w:style>
  <w:style w:type="table" w:styleId="964" w:customStyle="1">
    <w:name w:val="List Table 3 - Accent 4"/>
    <w:uiPriority w:val="99"/>
    <w:qFormat/>
    <w:tblPr>
      <w:tblCellMar>
        <w:left w:w="0" w:type="dxa"/>
        <w:top w:w="0" w:type="dxa"/>
        <w:right w:w="0" w:type="dxa"/>
        <w:bottom w:w="0" w:type="dxa"/>
      </w:tblCellMar>
    </w:tblPr>
  </w:style>
  <w:style w:type="table" w:styleId="965" w:customStyle="1">
    <w:name w:val="List Table 3 - Accent 5"/>
    <w:uiPriority w:val="99"/>
    <w:qFormat/>
    <w:tblPr>
      <w:tblCellMar>
        <w:left w:w="0" w:type="dxa"/>
        <w:top w:w="0" w:type="dxa"/>
        <w:right w:w="0" w:type="dxa"/>
        <w:bottom w:w="0" w:type="dxa"/>
      </w:tblCellMar>
    </w:tblPr>
  </w:style>
  <w:style w:type="table" w:styleId="966" w:customStyle="1">
    <w:name w:val="List Table 3 - Accent 6"/>
    <w:uiPriority w:val="99"/>
    <w:qFormat/>
    <w:tblPr>
      <w:tblCellMar>
        <w:left w:w="0" w:type="dxa"/>
        <w:top w:w="0" w:type="dxa"/>
        <w:right w:w="0" w:type="dxa"/>
        <w:bottom w:w="0" w:type="dxa"/>
      </w:tblCellMar>
    </w:tblPr>
  </w:style>
  <w:style w:type="table" w:styleId="967" w:customStyle="1">
    <w:name w:val="List Table 4 - Accent 1"/>
    <w:uiPriority w:val="99"/>
    <w:qFormat/>
    <w:tblPr>
      <w:tblCellMar>
        <w:left w:w="0" w:type="dxa"/>
        <w:top w:w="0" w:type="dxa"/>
        <w:right w:w="0" w:type="dxa"/>
        <w:bottom w:w="0" w:type="dxa"/>
      </w:tblCellMar>
    </w:tblPr>
  </w:style>
  <w:style w:type="table" w:styleId="968" w:customStyle="1">
    <w:name w:val="List Table 4 - Accent 2"/>
    <w:uiPriority w:val="99"/>
    <w:qFormat/>
    <w:tblPr>
      <w:tblCellMar>
        <w:left w:w="0" w:type="dxa"/>
        <w:top w:w="0" w:type="dxa"/>
        <w:right w:w="0" w:type="dxa"/>
        <w:bottom w:w="0" w:type="dxa"/>
      </w:tblCellMar>
    </w:tblPr>
  </w:style>
  <w:style w:type="table" w:styleId="969" w:customStyle="1">
    <w:name w:val="List Table 4 - Accent 3"/>
    <w:uiPriority w:val="99"/>
    <w:qFormat/>
    <w:tblPr>
      <w:tblCellMar>
        <w:left w:w="0" w:type="dxa"/>
        <w:top w:w="0" w:type="dxa"/>
        <w:right w:w="0" w:type="dxa"/>
        <w:bottom w:w="0" w:type="dxa"/>
      </w:tblCellMar>
    </w:tblPr>
  </w:style>
  <w:style w:type="table" w:styleId="970" w:customStyle="1">
    <w:name w:val="List Table 4 - Accent 4"/>
    <w:uiPriority w:val="99"/>
    <w:qFormat/>
    <w:tblPr>
      <w:tblCellMar>
        <w:left w:w="0" w:type="dxa"/>
        <w:top w:w="0" w:type="dxa"/>
        <w:right w:w="0" w:type="dxa"/>
        <w:bottom w:w="0" w:type="dxa"/>
      </w:tblCellMar>
    </w:tblPr>
  </w:style>
  <w:style w:type="table" w:styleId="971" w:customStyle="1">
    <w:name w:val="List Table 4 - Accent 5"/>
    <w:uiPriority w:val="99"/>
    <w:qFormat/>
    <w:tblPr>
      <w:tblCellMar>
        <w:left w:w="0" w:type="dxa"/>
        <w:top w:w="0" w:type="dxa"/>
        <w:right w:w="0" w:type="dxa"/>
        <w:bottom w:w="0" w:type="dxa"/>
      </w:tblCellMar>
    </w:tblPr>
  </w:style>
  <w:style w:type="table" w:styleId="972" w:customStyle="1">
    <w:name w:val="List Table 4 - Accent 6"/>
    <w:uiPriority w:val="99"/>
    <w:qFormat/>
    <w:tblPr>
      <w:tblCellMar>
        <w:left w:w="0" w:type="dxa"/>
        <w:top w:w="0" w:type="dxa"/>
        <w:right w:w="0" w:type="dxa"/>
        <w:bottom w:w="0" w:type="dxa"/>
      </w:tblCellMar>
    </w:tblPr>
  </w:style>
  <w:style w:type="table" w:styleId="973" w:customStyle="1">
    <w:name w:val="List Table 5 Dark - Accent 1"/>
    <w:uiPriority w:val="99"/>
    <w:qFormat/>
    <w:tblPr>
      <w:tblCellMar>
        <w:left w:w="0" w:type="dxa"/>
        <w:top w:w="0" w:type="dxa"/>
        <w:right w:w="0" w:type="dxa"/>
        <w:bottom w:w="0" w:type="dxa"/>
      </w:tblCellMar>
    </w:tblPr>
  </w:style>
  <w:style w:type="table" w:styleId="974" w:customStyle="1">
    <w:name w:val="List Table 5 Dark - Accent 2"/>
    <w:uiPriority w:val="99"/>
    <w:qFormat/>
    <w:tblPr>
      <w:tblCellMar>
        <w:left w:w="0" w:type="dxa"/>
        <w:top w:w="0" w:type="dxa"/>
        <w:right w:w="0" w:type="dxa"/>
        <w:bottom w:w="0" w:type="dxa"/>
      </w:tblCellMar>
    </w:tblPr>
  </w:style>
  <w:style w:type="table" w:styleId="975" w:customStyle="1">
    <w:name w:val="List Table 5 Dark - Accent 3"/>
    <w:uiPriority w:val="99"/>
    <w:qFormat/>
    <w:tblPr>
      <w:tblCellMar>
        <w:left w:w="0" w:type="dxa"/>
        <w:top w:w="0" w:type="dxa"/>
        <w:right w:w="0" w:type="dxa"/>
        <w:bottom w:w="0" w:type="dxa"/>
      </w:tblCellMar>
    </w:tblPr>
  </w:style>
  <w:style w:type="table" w:styleId="976" w:customStyle="1">
    <w:name w:val="List Table 5 Dark - Accent 4"/>
    <w:uiPriority w:val="99"/>
    <w:qFormat/>
    <w:tblPr>
      <w:tblCellMar>
        <w:left w:w="0" w:type="dxa"/>
        <w:top w:w="0" w:type="dxa"/>
        <w:right w:w="0" w:type="dxa"/>
        <w:bottom w:w="0" w:type="dxa"/>
      </w:tblCellMar>
    </w:tblPr>
  </w:style>
  <w:style w:type="table" w:styleId="977" w:customStyle="1">
    <w:name w:val="List Table 5 Dark - Accent 5"/>
    <w:uiPriority w:val="99"/>
    <w:qFormat/>
    <w:tblPr>
      <w:tblCellMar>
        <w:left w:w="0" w:type="dxa"/>
        <w:top w:w="0" w:type="dxa"/>
        <w:right w:w="0" w:type="dxa"/>
        <w:bottom w:w="0" w:type="dxa"/>
      </w:tblCellMar>
    </w:tblPr>
  </w:style>
  <w:style w:type="table" w:styleId="978" w:customStyle="1">
    <w:name w:val="List Table 5 Dark - Accent 6"/>
    <w:uiPriority w:val="99"/>
    <w:qFormat/>
    <w:tblPr>
      <w:tblCellMar>
        <w:left w:w="0" w:type="dxa"/>
        <w:top w:w="0" w:type="dxa"/>
        <w:right w:w="0" w:type="dxa"/>
        <w:bottom w:w="0" w:type="dxa"/>
      </w:tblCellMar>
    </w:tblPr>
  </w:style>
  <w:style w:type="table" w:styleId="979" w:customStyle="1">
    <w:name w:val="List Table 6 Colorful - Accent 1"/>
    <w:uiPriority w:val="99"/>
    <w:qFormat/>
    <w:tblPr>
      <w:tblCellMar>
        <w:left w:w="0" w:type="dxa"/>
        <w:top w:w="0" w:type="dxa"/>
        <w:right w:w="0" w:type="dxa"/>
        <w:bottom w:w="0" w:type="dxa"/>
      </w:tblCellMar>
    </w:tblPr>
  </w:style>
  <w:style w:type="table" w:styleId="980" w:customStyle="1">
    <w:name w:val="List Table 6 Colorful - Accent 2"/>
    <w:uiPriority w:val="99"/>
    <w:qFormat/>
    <w:tblPr>
      <w:tblCellMar>
        <w:left w:w="0" w:type="dxa"/>
        <w:top w:w="0" w:type="dxa"/>
        <w:right w:w="0" w:type="dxa"/>
        <w:bottom w:w="0" w:type="dxa"/>
      </w:tblCellMar>
    </w:tblPr>
  </w:style>
  <w:style w:type="table" w:styleId="981" w:customStyle="1">
    <w:name w:val="List Table 6 Colorful - Accent 3"/>
    <w:uiPriority w:val="99"/>
    <w:qFormat/>
    <w:tblPr>
      <w:tblCellMar>
        <w:left w:w="0" w:type="dxa"/>
        <w:top w:w="0" w:type="dxa"/>
        <w:right w:w="0" w:type="dxa"/>
        <w:bottom w:w="0" w:type="dxa"/>
      </w:tblCellMar>
    </w:tblPr>
  </w:style>
  <w:style w:type="table" w:styleId="982" w:customStyle="1">
    <w:name w:val="List Table 6 Colorful - Accent 4"/>
    <w:uiPriority w:val="99"/>
    <w:qFormat/>
    <w:tblPr>
      <w:tblCellMar>
        <w:left w:w="0" w:type="dxa"/>
        <w:top w:w="0" w:type="dxa"/>
        <w:right w:w="0" w:type="dxa"/>
        <w:bottom w:w="0" w:type="dxa"/>
      </w:tblCellMar>
    </w:tblPr>
  </w:style>
  <w:style w:type="table" w:styleId="983" w:customStyle="1">
    <w:name w:val="List Table 6 Colorful - Accent 5"/>
    <w:uiPriority w:val="99"/>
    <w:qFormat/>
    <w:tblPr>
      <w:tblCellMar>
        <w:left w:w="0" w:type="dxa"/>
        <w:top w:w="0" w:type="dxa"/>
        <w:right w:w="0" w:type="dxa"/>
        <w:bottom w:w="0" w:type="dxa"/>
      </w:tblCellMar>
    </w:tblPr>
  </w:style>
  <w:style w:type="table" w:styleId="984" w:customStyle="1">
    <w:name w:val="List Table 6 Colorful - Accent 6"/>
    <w:uiPriority w:val="99"/>
    <w:qFormat/>
    <w:tblPr>
      <w:tblCellMar>
        <w:left w:w="0" w:type="dxa"/>
        <w:top w:w="0" w:type="dxa"/>
        <w:right w:w="0" w:type="dxa"/>
        <w:bottom w:w="0" w:type="dxa"/>
      </w:tblCellMar>
    </w:tblPr>
  </w:style>
  <w:style w:type="table" w:styleId="985" w:customStyle="1">
    <w:name w:val="List Table 7 Colorful - Accent 1"/>
    <w:uiPriority w:val="99"/>
    <w:qFormat/>
    <w:tblPr>
      <w:tblCellMar>
        <w:left w:w="0" w:type="dxa"/>
        <w:top w:w="0" w:type="dxa"/>
        <w:right w:w="0" w:type="dxa"/>
        <w:bottom w:w="0" w:type="dxa"/>
      </w:tblCellMar>
    </w:tblPr>
  </w:style>
  <w:style w:type="table" w:styleId="986" w:customStyle="1">
    <w:name w:val="List Table 7 Colorful - Accent 2"/>
    <w:uiPriority w:val="99"/>
    <w:qFormat/>
    <w:tblPr>
      <w:tblCellMar>
        <w:left w:w="0" w:type="dxa"/>
        <w:top w:w="0" w:type="dxa"/>
        <w:right w:w="0" w:type="dxa"/>
        <w:bottom w:w="0" w:type="dxa"/>
      </w:tblCellMar>
    </w:tblPr>
  </w:style>
  <w:style w:type="table" w:styleId="987" w:customStyle="1">
    <w:name w:val="List Table 7 Colorful - Accent 3"/>
    <w:uiPriority w:val="99"/>
    <w:qFormat/>
    <w:tblPr>
      <w:tblCellMar>
        <w:left w:w="0" w:type="dxa"/>
        <w:top w:w="0" w:type="dxa"/>
        <w:right w:w="0" w:type="dxa"/>
        <w:bottom w:w="0" w:type="dxa"/>
      </w:tblCellMar>
    </w:tblPr>
  </w:style>
  <w:style w:type="table" w:styleId="988" w:customStyle="1">
    <w:name w:val="List Table 7 Colorful - Accent 4"/>
    <w:uiPriority w:val="99"/>
    <w:qFormat/>
    <w:tblPr>
      <w:tblCellMar>
        <w:left w:w="0" w:type="dxa"/>
        <w:top w:w="0" w:type="dxa"/>
        <w:right w:w="0" w:type="dxa"/>
        <w:bottom w:w="0" w:type="dxa"/>
      </w:tblCellMar>
    </w:tblPr>
  </w:style>
  <w:style w:type="table" w:styleId="989" w:customStyle="1">
    <w:name w:val="List Table 7 Colorful - Accent 5"/>
    <w:uiPriority w:val="99"/>
    <w:qFormat/>
    <w:tblPr>
      <w:tblCellMar>
        <w:left w:w="0" w:type="dxa"/>
        <w:top w:w="0" w:type="dxa"/>
        <w:right w:w="0" w:type="dxa"/>
        <w:bottom w:w="0" w:type="dxa"/>
      </w:tblCellMar>
    </w:tblPr>
  </w:style>
  <w:style w:type="table" w:styleId="990" w:customStyle="1">
    <w:name w:val="List Table 7 Colorful - Accent 6"/>
    <w:uiPriority w:val="99"/>
    <w:qFormat/>
    <w:tblPr>
      <w:tblCellMar>
        <w:left w:w="0" w:type="dxa"/>
        <w:top w:w="0" w:type="dxa"/>
        <w:right w:w="0" w:type="dxa"/>
        <w:bottom w:w="0" w:type="dxa"/>
      </w:tblCellMar>
    </w:tblPr>
  </w:style>
  <w:style w:type="table" w:styleId="991" w:customStyle="1">
    <w:name w:val="Lined - Accent"/>
    <w:uiPriority w:val="99"/>
    <w:qFormat/>
    <w:rPr>
      <w:color w:val="404040"/>
    </w:rPr>
    <w:tblPr>
      <w:tblCellMar>
        <w:left w:w="0" w:type="dxa"/>
        <w:top w:w="0" w:type="dxa"/>
        <w:right w:w="0" w:type="dxa"/>
        <w:bottom w:w="0" w:type="dxa"/>
      </w:tblCellMar>
    </w:tblPr>
  </w:style>
  <w:style w:type="table" w:styleId="992" w:customStyle="1">
    <w:name w:val="Lined - Accent 1"/>
    <w:uiPriority w:val="99"/>
    <w:qFormat/>
    <w:rPr>
      <w:color w:val="404040"/>
    </w:rPr>
    <w:tblPr>
      <w:tblCellMar>
        <w:left w:w="0" w:type="dxa"/>
        <w:top w:w="0" w:type="dxa"/>
        <w:right w:w="0" w:type="dxa"/>
        <w:bottom w:w="0" w:type="dxa"/>
      </w:tblCellMar>
    </w:tblPr>
  </w:style>
  <w:style w:type="table" w:styleId="993" w:customStyle="1">
    <w:name w:val="Lined - Accent 2"/>
    <w:uiPriority w:val="99"/>
    <w:qFormat/>
    <w:rPr>
      <w:color w:val="404040"/>
    </w:rPr>
    <w:tblPr>
      <w:tblCellMar>
        <w:left w:w="0" w:type="dxa"/>
        <w:top w:w="0" w:type="dxa"/>
        <w:right w:w="0" w:type="dxa"/>
        <w:bottom w:w="0" w:type="dxa"/>
      </w:tblCellMar>
    </w:tblPr>
  </w:style>
  <w:style w:type="table" w:styleId="994" w:customStyle="1">
    <w:name w:val="Lined - Accent 3"/>
    <w:uiPriority w:val="99"/>
    <w:qFormat/>
    <w:rPr>
      <w:color w:val="404040"/>
    </w:rPr>
    <w:tblPr>
      <w:tblCellMar>
        <w:left w:w="0" w:type="dxa"/>
        <w:top w:w="0" w:type="dxa"/>
        <w:right w:w="0" w:type="dxa"/>
        <w:bottom w:w="0" w:type="dxa"/>
      </w:tblCellMar>
    </w:tblPr>
  </w:style>
  <w:style w:type="table" w:styleId="995" w:customStyle="1">
    <w:name w:val="Lined - Accent 4"/>
    <w:uiPriority w:val="99"/>
    <w:qFormat/>
    <w:rPr>
      <w:color w:val="404040"/>
    </w:rPr>
    <w:tblPr>
      <w:tblCellMar>
        <w:left w:w="0" w:type="dxa"/>
        <w:top w:w="0" w:type="dxa"/>
        <w:right w:w="0" w:type="dxa"/>
        <w:bottom w:w="0" w:type="dxa"/>
      </w:tblCellMar>
    </w:tblPr>
  </w:style>
  <w:style w:type="table" w:styleId="996" w:customStyle="1">
    <w:name w:val="Lined - Accent 5"/>
    <w:uiPriority w:val="99"/>
    <w:qFormat/>
    <w:rPr>
      <w:color w:val="404040"/>
    </w:rPr>
    <w:tblPr>
      <w:tblCellMar>
        <w:left w:w="0" w:type="dxa"/>
        <w:top w:w="0" w:type="dxa"/>
        <w:right w:w="0" w:type="dxa"/>
        <w:bottom w:w="0" w:type="dxa"/>
      </w:tblCellMar>
    </w:tblPr>
  </w:style>
  <w:style w:type="table" w:styleId="997" w:customStyle="1">
    <w:name w:val="Lined - Accent 6"/>
    <w:uiPriority w:val="99"/>
    <w:qFormat/>
    <w:rPr>
      <w:color w:val="404040"/>
    </w:rPr>
    <w:tblPr>
      <w:tblCellMar>
        <w:left w:w="0" w:type="dxa"/>
        <w:top w:w="0" w:type="dxa"/>
        <w:right w:w="0" w:type="dxa"/>
        <w:bottom w:w="0" w:type="dxa"/>
      </w:tblCellMar>
    </w:tblPr>
  </w:style>
  <w:style w:type="table" w:styleId="998" w:customStyle="1">
    <w:name w:val="Bordered &amp; Lined - Accent"/>
    <w:uiPriority w:val="99"/>
    <w:qFormat/>
    <w:rPr>
      <w:color w:val="404040"/>
    </w:rPr>
    <w:tblPr>
      <w:tblCellMar>
        <w:left w:w="0" w:type="dxa"/>
        <w:top w:w="0" w:type="dxa"/>
        <w:right w:w="0" w:type="dxa"/>
        <w:bottom w:w="0" w:type="dxa"/>
      </w:tblCellMar>
    </w:tblPr>
  </w:style>
  <w:style w:type="table" w:styleId="999" w:customStyle="1">
    <w:name w:val="Bordered &amp; Lined - Accent 1"/>
    <w:uiPriority w:val="99"/>
    <w:qFormat/>
    <w:rPr>
      <w:color w:val="404040"/>
    </w:rPr>
    <w:tblPr>
      <w:tblCellMar>
        <w:left w:w="0" w:type="dxa"/>
        <w:top w:w="0" w:type="dxa"/>
        <w:right w:w="0" w:type="dxa"/>
        <w:bottom w:w="0" w:type="dxa"/>
      </w:tblCellMar>
    </w:tblPr>
  </w:style>
  <w:style w:type="table" w:styleId="1000" w:customStyle="1">
    <w:name w:val="Bordered &amp; Lined - Accent 2"/>
    <w:uiPriority w:val="99"/>
    <w:qFormat/>
    <w:rPr>
      <w:color w:val="404040"/>
    </w:rPr>
    <w:tblPr>
      <w:tblCellMar>
        <w:left w:w="0" w:type="dxa"/>
        <w:top w:w="0" w:type="dxa"/>
        <w:right w:w="0" w:type="dxa"/>
        <w:bottom w:w="0" w:type="dxa"/>
      </w:tblCellMar>
    </w:tblPr>
  </w:style>
  <w:style w:type="table" w:styleId="1001" w:customStyle="1">
    <w:name w:val="Bordered &amp; Lined - Accent 3"/>
    <w:uiPriority w:val="99"/>
    <w:qFormat/>
    <w:rPr>
      <w:color w:val="404040"/>
    </w:rPr>
    <w:tblPr>
      <w:tblCellMar>
        <w:left w:w="0" w:type="dxa"/>
        <w:top w:w="0" w:type="dxa"/>
        <w:right w:w="0" w:type="dxa"/>
        <w:bottom w:w="0" w:type="dxa"/>
      </w:tblCellMar>
    </w:tblPr>
  </w:style>
  <w:style w:type="table" w:styleId="1002" w:customStyle="1">
    <w:name w:val="Bordered &amp; Lined - Accent 4"/>
    <w:uiPriority w:val="99"/>
    <w:qFormat/>
    <w:rPr>
      <w:color w:val="404040"/>
    </w:rPr>
    <w:tblPr>
      <w:tblCellMar>
        <w:left w:w="0" w:type="dxa"/>
        <w:top w:w="0" w:type="dxa"/>
        <w:right w:w="0" w:type="dxa"/>
        <w:bottom w:w="0" w:type="dxa"/>
      </w:tblCellMar>
    </w:tblPr>
  </w:style>
  <w:style w:type="table" w:styleId="1003" w:customStyle="1">
    <w:name w:val="Bordered &amp; Lined - Accent 5"/>
    <w:uiPriority w:val="99"/>
    <w:qFormat/>
    <w:rPr>
      <w:color w:val="404040"/>
    </w:rPr>
    <w:tblPr>
      <w:tblCellMar>
        <w:left w:w="0" w:type="dxa"/>
        <w:top w:w="0" w:type="dxa"/>
        <w:right w:w="0" w:type="dxa"/>
        <w:bottom w:w="0" w:type="dxa"/>
      </w:tblCellMar>
    </w:tblPr>
  </w:style>
  <w:style w:type="table" w:styleId="1004" w:customStyle="1">
    <w:name w:val="Bordered &amp; Lined - Accent 6"/>
    <w:uiPriority w:val="99"/>
    <w:qFormat/>
    <w:rPr>
      <w:color w:val="404040"/>
    </w:rPr>
    <w:tblPr>
      <w:tblCellMar>
        <w:left w:w="0" w:type="dxa"/>
        <w:top w:w="0" w:type="dxa"/>
        <w:right w:w="0" w:type="dxa"/>
        <w:bottom w:w="0" w:type="dxa"/>
      </w:tblCellMar>
    </w:tblPr>
  </w:style>
  <w:style w:type="table" w:styleId="1005" w:customStyle="1">
    <w:name w:val="Bordered"/>
    <w:uiPriority w:val="99"/>
    <w:qFormat/>
    <w:tblPr>
      <w:tblCellMar>
        <w:left w:w="0" w:type="dxa"/>
        <w:top w:w="0" w:type="dxa"/>
        <w:right w:w="0" w:type="dxa"/>
        <w:bottom w:w="0" w:type="dxa"/>
      </w:tblCellMar>
    </w:tblPr>
  </w:style>
  <w:style w:type="table" w:styleId="1006" w:customStyle="1">
    <w:name w:val="Bordered - Accent 1"/>
    <w:uiPriority w:val="99"/>
    <w:qFormat/>
    <w:tblPr>
      <w:tblCellMar>
        <w:left w:w="0" w:type="dxa"/>
        <w:top w:w="0" w:type="dxa"/>
        <w:right w:w="0" w:type="dxa"/>
        <w:bottom w:w="0" w:type="dxa"/>
      </w:tblCellMar>
    </w:tblPr>
  </w:style>
  <w:style w:type="table" w:styleId="1007" w:customStyle="1">
    <w:name w:val="Bordered - Accent 2"/>
    <w:uiPriority w:val="99"/>
    <w:qFormat/>
    <w:tblPr>
      <w:tblCellMar>
        <w:left w:w="0" w:type="dxa"/>
        <w:top w:w="0" w:type="dxa"/>
        <w:right w:w="0" w:type="dxa"/>
        <w:bottom w:w="0" w:type="dxa"/>
      </w:tblCellMar>
    </w:tblPr>
  </w:style>
  <w:style w:type="table" w:styleId="1008" w:customStyle="1">
    <w:name w:val="Bordered - Accent 3"/>
    <w:uiPriority w:val="99"/>
    <w:qFormat/>
    <w:tblPr>
      <w:tblCellMar>
        <w:left w:w="0" w:type="dxa"/>
        <w:top w:w="0" w:type="dxa"/>
        <w:right w:w="0" w:type="dxa"/>
        <w:bottom w:w="0" w:type="dxa"/>
      </w:tblCellMar>
    </w:tblPr>
  </w:style>
  <w:style w:type="table" w:styleId="1009" w:customStyle="1">
    <w:name w:val="Bordered - Accent 4"/>
    <w:uiPriority w:val="99"/>
    <w:qFormat/>
    <w:tblPr>
      <w:tblCellMar>
        <w:left w:w="0" w:type="dxa"/>
        <w:top w:w="0" w:type="dxa"/>
        <w:right w:w="0" w:type="dxa"/>
        <w:bottom w:w="0" w:type="dxa"/>
      </w:tblCellMar>
    </w:tblPr>
  </w:style>
  <w:style w:type="table" w:styleId="1010" w:customStyle="1">
    <w:name w:val="Bordered - Accent 5"/>
    <w:uiPriority w:val="99"/>
    <w:qFormat/>
    <w:tblPr>
      <w:tblCellMar>
        <w:left w:w="0" w:type="dxa"/>
        <w:top w:w="0" w:type="dxa"/>
        <w:right w:w="0" w:type="dxa"/>
        <w:bottom w:w="0" w:type="dxa"/>
      </w:tblCellMar>
    </w:tblPr>
  </w:style>
  <w:style w:type="table" w:styleId="1011" w:customStyle="1">
    <w:name w:val="Bordered - Accent 6"/>
    <w:uiPriority w:val="99"/>
    <w:qFormat/>
    <w:tblPr>
      <w:tblCellMar>
        <w:left w:w="0" w:type="dxa"/>
        <w:top w:w="0" w:type="dxa"/>
        <w:right w:w="0" w:type="dxa"/>
        <w:bottom w:w="0" w:type="dxa"/>
      </w:tblCellMar>
    </w:tblPr>
  </w:style>
  <w:style w:type="paragraph" w:styleId="1012" w:customStyle="1">
    <w:name w:val="TOC 标题11"/>
    <w:uiPriority w:val="39"/>
    <w:unhideWhenUsed/>
    <w:qFormat/>
    <w:rPr>
      <w:rFonts w:ascii="Calibri" w:hAnsi="Calibri" w:eastAsia="宋体" w:cs="Times New Roman"/>
      <w:lang w:val="en-US" w:eastAsia="zh-CN" w:bidi="ar-SA"/>
    </w:rPr>
  </w:style>
  <w:style w:type="paragraph" w:styleId="1013" w:customStyle="1">
    <w:name w:val="标题 111"/>
    <w:basedOn w:val="681"/>
    <w:next w:val="681"/>
    <w:uiPriority w:val="0"/>
    <w:qFormat/>
    <w:pPr>
      <w:ind w:firstLine="420"/>
      <w:jc w:val="left"/>
      <w:keepNext/>
      <w:spacing w:line="360" w:lineRule="auto"/>
      <w:outlineLvl w:val="0"/>
    </w:pPr>
    <w:rPr>
      <w:rFonts w:ascii="楷体_GB2312" w:hAnsi="宋体" w:eastAsia="楷体_GB2312" w:cs="宋体"/>
      <w:color w:val="000000"/>
      <w:sz w:val="28"/>
      <w:szCs w:val="20"/>
    </w:rPr>
  </w:style>
  <w:style w:type="paragraph" w:styleId="1014" w:customStyle="1">
    <w:name w:val="标题 211"/>
    <w:basedOn w:val="681"/>
    <w:next w:val="681"/>
    <w:link w:val="1015"/>
    <w:uiPriority w:val="0"/>
    <w:qFormat/>
    <w:pPr>
      <w:ind w:firstLine="420"/>
      <w:jc w:val="center"/>
      <w:keepLines/>
      <w:keepNext/>
      <w:spacing w:before="260" w:after="260" w:line="416" w:lineRule="auto"/>
      <w:outlineLvl w:val="1"/>
    </w:pPr>
    <w:rPr>
      <w:rFonts w:ascii="Arial" w:hAnsi="Arial" w:eastAsia="幼圆" w:cs="宋体"/>
      <w:b/>
      <w:color w:val="000000"/>
      <w:sz w:val="44"/>
      <w:szCs w:val="20"/>
    </w:rPr>
  </w:style>
  <w:style w:type="character" w:styleId="1015" w:customStyle="1">
    <w:name w:val="标题 2 Char"/>
    <w:link w:val="1014"/>
    <w:uiPriority w:val="0"/>
    <w:qFormat/>
    <w:rPr>
      <w:rFonts w:ascii="Arial" w:hAnsi="Arial" w:eastAsia="幼圆" w:cs="宋体"/>
      <w:b/>
      <w:color w:val="000000"/>
      <w:sz w:val="44"/>
    </w:rPr>
  </w:style>
  <w:style w:type="paragraph" w:styleId="1016" w:customStyle="1">
    <w:name w:val="标题 311"/>
    <w:basedOn w:val="681"/>
    <w:next w:val="681"/>
    <w:uiPriority w:val="0"/>
    <w:qFormat/>
    <w:pPr>
      <w:ind w:firstLine="420"/>
      <w:jc w:val="left"/>
      <w:keepLines/>
      <w:keepNext/>
      <w:spacing w:before="260" w:after="260" w:line="416" w:lineRule="auto"/>
      <w:outlineLvl w:val="2"/>
    </w:pPr>
    <w:rPr>
      <w:rFonts w:ascii="宋体" w:hAnsi="宋体" w:cs="宋体"/>
      <w:b/>
      <w:color w:val="000000"/>
      <w:sz w:val="32"/>
      <w:szCs w:val="20"/>
    </w:rPr>
  </w:style>
  <w:style w:type="paragraph" w:styleId="1017" w:customStyle="1">
    <w:name w:val="标题 411"/>
    <w:basedOn w:val="681"/>
    <w:next w:val="1018"/>
    <w:uiPriority w:val="0"/>
    <w:qFormat/>
    <w:pPr>
      <w:ind w:firstLine="420"/>
      <w:jc w:val="left"/>
      <w:keepLines/>
      <w:keepNext/>
      <w:spacing w:before="280" w:after="290" w:line="376" w:lineRule="auto"/>
      <w:outlineLvl w:val="3"/>
    </w:pPr>
    <w:rPr>
      <w:rFonts w:ascii="Arial" w:hAnsi="Arial" w:eastAsia="黑体" w:cs="宋体"/>
      <w:b/>
      <w:bCs/>
      <w:color w:val="000000"/>
      <w:sz w:val="28"/>
      <w:szCs w:val="28"/>
    </w:rPr>
  </w:style>
  <w:style w:type="paragraph" w:styleId="1018" w:customStyle="1">
    <w:name w:val="正文缩进11"/>
    <w:basedOn w:val="681"/>
    <w:uiPriority w:val="0"/>
    <w:qFormat/>
    <w:pPr>
      <w:ind w:firstLine="420"/>
      <w:jc w:val="left"/>
      <w:spacing w:line="360" w:lineRule="auto"/>
    </w:pPr>
    <w:rPr>
      <w:rFonts w:ascii="宋体" w:hAnsi="宋体" w:cs="宋体"/>
      <w:color w:val="000000"/>
      <w:sz w:val="22"/>
      <w:szCs w:val="20"/>
    </w:rPr>
  </w:style>
  <w:style w:type="character" w:styleId="1019" w:customStyle="1">
    <w:name w:val="默认段落字体1"/>
    <w:uiPriority w:val="0"/>
    <w:semiHidden/>
    <w:qFormat/>
  </w:style>
  <w:style w:type="table" w:styleId="1020" w:customStyle="1">
    <w:name w:val="普通表格1"/>
    <w:uiPriority w:val="0"/>
    <w:semiHidden/>
    <w:qFormat/>
    <w:tblPr>
      <w:tblCellMar>
        <w:left w:w="0" w:type="dxa"/>
        <w:top w:w="0" w:type="dxa"/>
        <w:right w:w="0" w:type="dxa"/>
        <w:bottom w:w="0" w:type="dxa"/>
      </w:tblCellMar>
    </w:tblPr>
  </w:style>
  <w:style w:type="paragraph" w:styleId="1021" w:customStyle="1">
    <w:name w:val="批注文字1"/>
    <w:basedOn w:val="681"/>
    <w:uiPriority w:val="0"/>
    <w:qFormat/>
    <w:pPr>
      <w:ind w:firstLine="420"/>
      <w:jc w:val="left"/>
      <w:spacing w:line="360" w:lineRule="auto"/>
    </w:pPr>
    <w:rPr>
      <w:rFonts w:ascii="Calibri" w:hAnsi="Calibri" w:cs="宋体"/>
      <w:color w:val="000000"/>
      <w:sz w:val="22"/>
      <w:szCs w:val="22"/>
    </w:rPr>
  </w:style>
  <w:style w:type="paragraph" w:styleId="1022" w:customStyle="1">
    <w:name w:val="正文文本1"/>
    <w:basedOn w:val="681"/>
    <w:next w:val="1023"/>
    <w:uiPriority w:val="0"/>
    <w:qFormat/>
    <w:pPr>
      <w:ind w:firstLine="420"/>
      <w:jc w:val="left"/>
      <w:spacing w:line="360" w:lineRule="auto"/>
    </w:pPr>
    <w:rPr>
      <w:rFonts w:ascii="楷体_GB2312" w:hAnsi="Arial" w:eastAsia="楷体_GB2312" w:cs="宋体"/>
      <w:color w:val="000000"/>
      <w:sz w:val="28"/>
      <w:szCs w:val="20"/>
    </w:rPr>
  </w:style>
  <w:style w:type="paragraph" w:styleId="1023" w:customStyle="1">
    <w:name w:val="正文文本 21"/>
    <w:basedOn w:val="681"/>
    <w:uiPriority w:val="0"/>
    <w:qFormat/>
    <w:pPr>
      <w:ind w:firstLine="420"/>
      <w:jc w:val="center"/>
      <w:spacing w:line="360" w:lineRule="auto"/>
    </w:pPr>
    <w:rPr>
      <w:rFonts w:ascii="仿宋_GB2312" w:hAnsi="宋体" w:eastAsia="仿宋_GB2312" w:cs="宋体"/>
      <w:color w:val="000000"/>
      <w:sz w:val="44"/>
      <w:szCs w:val="21"/>
    </w:rPr>
  </w:style>
  <w:style w:type="paragraph" w:styleId="1024" w:customStyle="1">
    <w:name w:val="正文文本缩进11"/>
    <w:basedOn w:val="681"/>
    <w:next w:val="1025"/>
    <w:uiPriority w:val="0"/>
    <w:qFormat/>
    <w:pPr>
      <w:ind w:left="420" w:firstLine="420"/>
      <w:jc w:val="left"/>
      <w:spacing w:after="120" w:line="360" w:lineRule="auto"/>
    </w:pPr>
    <w:rPr>
      <w:rFonts w:ascii="宋体" w:hAnsi="宋体" w:cs="宋体"/>
      <w:color w:val="000000"/>
      <w:sz w:val="22"/>
      <w:szCs w:val="21"/>
    </w:rPr>
  </w:style>
  <w:style w:type="paragraph" w:styleId="1025" w:customStyle="1">
    <w:name w:val="寄信人地址1"/>
    <w:basedOn w:val="681"/>
    <w:uiPriority w:val="0"/>
    <w:qFormat/>
    <w:pPr>
      <w:ind w:firstLine="420"/>
      <w:jc w:val="left"/>
      <w:spacing w:line="360" w:lineRule="auto"/>
    </w:pPr>
    <w:rPr>
      <w:rFonts w:ascii="Arial" w:hAnsi="Arial" w:cs="宋体"/>
      <w:color w:val="000000"/>
      <w:sz w:val="22"/>
      <w:szCs w:val="21"/>
    </w:rPr>
  </w:style>
  <w:style w:type="paragraph" w:styleId="1026" w:customStyle="1">
    <w:name w:val="纯文本11"/>
    <w:basedOn w:val="681"/>
    <w:uiPriority w:val="99"/>
    <w:qFormat/>
    <w:pPr>
      <w:ind w:firstLine="420"/>
      <w:jc w:val="left"/>
      <w:spacing w:line="360" w:lineRule="auto"/>
    </w:pPr>
    <w:rPr>
      <w:rFonts w:ascii="宋体" w:hAnsi="Courier New" w:cs="宋体"/>
      <w:color w:val="000000"/>
      <w:sz w:val="22"/>
      <w:szCs w:val="20"/>
    </w:rPr>
  </w:style>
  <w:style w:type="paragraph" w:styleId="1027" w:customStyle="1">
    <w:name w:val="日期1"/>
    <w:basedOn w:val="681"/>
    <w:next w:val="681"/>
    <w:uiPriority w:val="0"/>
    <w:qFormat/>
    <w:pPr>
      <w:ind w:firstLine="420"/>
      <w:jc w:val="left"/>
      <w:spacing w:line="360" w:lineRule="auto"/>
    </w:pPr>
    <w:rPr>
      <w:rFonts w:ascii="宋体" w:hAnsi="宋体" w:cs="宋体"/>
      <w:color w:val="000000"/>
      <w:sz w:val="24"/>
      <w:szCs w:val="20"/>
    </w:rPr>
  </w:style>
  <w:style w:type="paragraph" w:styleId="1028" w:customStyle="1">
    <w:name w:val="页脚11"/>
    <w:basedOn w:val="681"/>
    <w:uiPriority w:val="0"/>
    <w:qFormat/>
    <w:pPr>
      <w:ind w:firstLine="420"/>
      <w:jc w:val="left"/>
      <w:spacing w:line="360" w:lineRule="auto"/>
      <w:tabs>
        <w:tab w:val="center" w:pos="4153" w:leader="none"/>
        <w:tab w:val="right" w:pos="8306" w:leader="none"/>
      </w:tabs>
    </w:pPr>
    <w:rPr>
      <w:rFonts w:ascii="宋体" w:hAnsi="宋体" w:cs="宋体"/>
      <w:color w:val="000000"/>
      <w:sz w:val="18"/>
      <w:szCs w:val="20"/>
    </w:rPr>
  </w:style>
  <w:style w:type="paragraph" w:styleId="1029" w:customStyle="1">
    <w:name w:val="页眉11"/>
    <w:basedOn w:val="681"/>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030" w:customStyle="1">
    <w:name w:val="目录 11"/>
    <w:basedOn w:val="681"/>
    <w:next w:val="681"/>
    <w:uiPriority w:val="0"/>
    <w:semiHidden/>
    <w:qFormat/>
    <w:pPr>
      <w:ind w:firstLine="420"/>
      <w:jc w:val="left"/>
      <w:spacing w:before="120" w:after="120" w:line="300" w:lineRule="exact"/>
      <w:tabs>
        <w:tab w:val="right" w:pos="9440" w:leader="dot"/>
      </w:tabs>
    </w:pPr>
    <w:rPr>
      <w:rFonts w:ascii="黑体" w:hAnsi="宋体" w:eastAsia="黑体" w:cs="宋体"/>
      <w:b/>
      <w:caps/>
      <w:color w:val="000000"/>
      <w:sz w:val="18"/>
      <w:szCs w:val="28"/>
    </w:rPr>
  </w:style>
  <w:style w:type="paragraph" w:styleId="1031" w:customStyle="1">
    <w:name w:val="正文首行缩进 211"/>
    <w:basedOn w:val="1024"/>
    <w:uiPriority w:val="0"/>
    <w:qFormat/>
  </w:style>
  <w:style w:type="character" w:styleId="1032" w:customStyle="1">
    <w:name w:val="页码11"/>
    <w:uiPriority w:val="0"/>
    <w:qFormat/>
  </w:style>
  <w:style w:type="paragraph" w:styleId="1033" w:customStyle="1">
    <w:name w:val="段"/>
    <w:next w:val="681"/>
    <w:uiPriority w:val="0"/>
    <w:qFormat/>
    <w:pPr>
      <w:ind w:firstLine="420"/>
      <w:jc w:val="both"/>
      <w:tabs>
        <w:tab w:val="center" w:pos="4201" w:leader="none"/>
        <w:tab w:val="right" w:pos="9298" w:leader="dot"/>
      </w:tabs>
    </w:pPr>
    <w:rPr>
      <w:rFonts w:ascii="宋体" w:hAnsi="Calibri" w:eastAsia="宋体" w:cs="Times New Roman"/>
      <w:sz w:val="21"/>
      <w:lang w:val="en-US" w:eastAsia="zh-CN" w:bidi="ar-SA"/>
    </w:rPr>
  </w:style>
  <w:style w:type="paragraph" w:styleId="1034" w:customStyle="1">
    <w:name w:val="普通正文"/>
    <w:basedOn w:val="681"/>
    <w:uiPriority w:val="0"/>
    <w:qFormat/>
    <w:pPr>
      <w:ind w:firstLine="480"/>
      <w:jc w:val="left"/>
      <w:spacing w:before="120" w:after="120" w:line="360" w:lineRule="auto"/>
    </w:pPr>
    <w:rPr>
      <w:rFonts w:ascii="Arial" w:hAnsi="Arial" w:cs="宋体"/>
      <w:color w:val="000000"/>
      <w:sz w:val="24"/>
      <w:szCs w:val="21"/>
    </w:rPr>
  </w:style>
  <w:style w:type="paragraph" w:styleId="1035" w:customStyle="1">
    <w:name w:val="无间隔11"/>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pa-3"/>
    <w:basedOn w:val="681"/>
    <w:uiPriority w:val="0"/>
    <w:qFormat/>
    <w:pPr>
      <w:ind w:firstLine="420"/>
      <w:jc w:val="left"/>
      <w:spacing w:before="150" w:after="150" w:line="360" w:lineRule="auto"/>
      <w:widowControl/>
    </w:pPr>
    <w:rPr>
      <w:rFonts w:ascii="宋体" w:hAnsi="宋体" w:cs="宋体"/>
      <w:color w:val="000000"/>
      <w:sz w:val="24"/>
      <w:szCs w:val="21"/>
    </w:rPr>
  </w:style>
  <w:style w:type="paragraph" w:styleId="1037" w:customStyle="1">
    <w:name w:val="pa-4"/>
    <w:basedOn w:val="681"/>
    <w:uiPriority w:val="0"/>
    <w:qFormat/>
    <w:pPr>
      <w:ind w:firstLine="420"/>
      <w:jc w:val="left"/>
      <w:spacing w:before="150" w:after="150" w:line="360" w:lineRule="auto"/>
      <w:widowControl/>
    </w:pPr>
    <w:rPr>
      <w:rFonts w:ascii="宋体" w:hAnsi="宋体" w:cs="宋体"/>
      <w:color w:val="000000"/>
      <w:sz w:val="24"/>
      <w:szCs w:val="21"/>
    </w:rPr>
  </w:style>
  <w:style w:type="paragraph" w:styleId="1038" w:customStyle="1">
    <w:name w:val="pa-5"/>
    <w:basedOn w:val="681"/>
    <w:uiPriority w:val="0"/>
    <w:qFormat/>
    <w:pPr>
      <w:ind w:firstLine="420"/>
      <w:jc w:val="left"/>
      <w:spacing w:before="150" w:after="150" w:line="360" w:lineRule="auto"/>
      <w:widowControl/>
    </w:pPr>
    <w:rPr>
      <w:rFonts w:ascii="宋体" w:hAnsi="宋体" w:cs="宋体"/>
      <w:color w:val="000000"/>
      <w:sz w:val="24"/>
      <w:szCs w:val="21"/>
    </w:rPr>
  </w:style>
  <w:style w:type="paragraph" w:styleId="1039" w:customStyle="1">
    <w:name w:val="pa-6"/>
    <w:basedOn w:val="681"/>
    <w:uiPriority w:val="0"/>
    <w:qFormat/>
    <w:pPr>
      <w:ind w:firstLine="420"/>
      <w:jc w:val="left"/>
      <w:spacing w:before="150" w:after="150" w:line="360" w:lineRule="auto"/>
      <w:widowControl/>
    </w:pPr>
    <w:rPr>
      <w:rFonts w:ascii="宋体" w:hAnsi="宋体" w:cs="宋体"/>
      <w:color w:val="000000"/>
      <w:sz w:val="24"/>
      <w:szCs w:val="21"/>
    </w:rPr>
  </w:style>
  <w:style w:type="paragraph" w:styleId="1040" w:customStyle="1">
    <w:name w:val="flName"/>
    <w:basedOn w:val="681"/>
    <w:uiPriority w:val="0"/>
    <w:qFormat/>
    <w:pPr>
      <w:ind w:firstLine="420"/>
      <w:jc w:val="center"/>
      <w:spacing w:before="320" w:after="160" w:line="360" w:lineRule="atLeast"/>
    </w:pPr>
    <w:rPr>
      <w:rFonts w:ascii="Arial" w:hAnsi="宋体" w:eastAsia="黑体" w:cs="宋体"/>
      <w:color w:val="000000"/>
      <w:sz w:val="32"/>
      <w:szCs w:val="20"/>
    </w:rPr>
  </w:style>
  <w:style w:type="paragraph" w:styleId="1041" w:customStyle="1">
    <w:name w:val="列出段落1"/>
    <w:basedOn w:val="681"/>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042" w:customStyle="1">
    <w:name w:val="Char"/>
    <w:basedOn w:val="681"/>
    <w:uiPriority w:val="0"/>
    <w:qFormat/>
    <w:pPr>
      <w:ind w:firstLine="420"/>
      <w:jc w:val="left"/>
      <w:spacing w:line="360" w:lineRule="auto"/>
      <w:tabs>
        <w:tab w:val="left" w:pos="360" w:leader="none"/>
      </w:tabs>
    </w:pPr>
    <w:rPr>
      <w:rFonts w:ascii="宋体" w:hAnsi="宋体" w:cs="宋体"/>
      <w:color w:val="000000"/>
      <w:sz w:val="24"/>
      <w:szCs w:val="21"/>
    </w:rPr>
  </w:style>
  <w:style w:type="paragraph" w:styleId="1043" w:customStyle="1">
    <w:name w:val="Body text|2"/>
    <w:basedOn w:val="681"/>
    <w:uiPriority w:val="0"/>
    <w:qFormat/>
    <w:pPr>
      <w:ind w:firstLine="420"/>
      <w:jc w:val="left"/>
      <w:spacing w:after="580" w:line="360" w:lineRule="auto"/>
    </w:pPr>
    <w:rPr>
      <w:rFonts w:ascii="宋体" w:hAnsi="宋体" w:cs="宋体"/>
      <w:color w:val="000000"/>
      <w:sz w:val="28"/>
      <w:szCs w:val="28"/>
      <w:lang w:val="zh-TW" w:eastAsia="zh-TW" w:bidi="zh-TW"/>
    </w:rPr>
  </w:style>
  <w:style w:type="paragraph" w:styleId="1044" w:customStyle="1">
    <w:name w:val="Body text|1"/>
    <w:basedOn w:val="681"/>
    <w:uiPriority w:val="0"/>
    <w:qFormat/>
    <w:pPr>
      <w:ind w:firstLine="320"/>
      <w:jc w:val="left"/>
      <w:spacing w:line="466" w:lineRule="auto"/>
    </w:pPr>
    <w:rPr>
      <w:rFonts w:ascii="宋体" w:hAnsi="宋体" w:cs="宋体"/>
      <w:color w:val="000000"/>
      <w:sz w:val="20"/>
      <w:szCs w:val="20"/>
      <w:lang w:val="zh-TW" w:eastAsia="zh-TW" w:bidi="zh-TW"/>
    </w:rPr>
  </w:style>
  <w:style w:type="paragraph" w:styleId="1045" w:customStyle="1">
    <w:name w:val="Body text|4"/>
    <w:basedOn w:val="681"/>
    <w:uiPriority w:val="0"/>
    <w:qFormat/>
    <w:pPr>
      <w:ind w:hanging="1540"/>
      <w:jc w:val="left"/>
      <w:spacing w:line="360" w:lineRule="auto"/>
    </w:pPr>
    <w:rPr>
      <w:rFonts w:ascii="宋体" w:hAnsi="宋体" w:cs="宋体"/>
      <w:color w:val="000000"/>
      <w:sz w:val="20"/>
      <w:szCs w:val="20"/>
      <w:lang w:val="zh-CN"/>
    </w:rPr>
  </w:style>
  <w:style w:type="paragraph" w:styleId="1046" w:customStyle="1">
    <w:name w:val="纯文本1"/>
    <w:basedOn w:val="681"/>
    <w:uiPriority w:val="0"/>
    <w:qFormat/>
    <w:pPr>
      <w:ind w:firstLine="420"/>
      <w:jc w:val="left"/>
      <w:spacing w:line="360" w:lineRule="auto"/>
    </w:pPr>
    <w:rPr>
      <w:rFonts w:ascii="宋体" w:hAnsi="Courier New" w:eastAsia="楷体_GB2312" w:cs="宋体"/>
      <w:color w:val="000000"/>
      <w:sz w:val="26"/>
      <w:szCs w:val="21"/>
    </w:rPr>
  </w:style>
  <w:style w:type="paragraph" w:styleId="1047" w:customStyle="1">
    <w:name w:val="样式 小四 段前: 5 磅 段后: 5 磅 首行缩进:  2 字符"/>
    <w:basedOn w:val="681"/>
    <w:uiPriority w:val="0"/>
    <w:qFormat/>
    <w:pPr>
      <w:ind w:firstLine="420"/>
      <w:jc w:val="left"/>
      <w:spacing w:line="360" w:lineRule="auto"/>
    </w:pPr>
    <w:rPr>
      <w:rFonts w:ascii="宋体" w:hAnsi="宋体" w:cs="宋体"/>
      <w:color w:val="000000"/>
      <w:sz w:val="22"/>
      <w:szCs w:val="21"/>
    </w:rPr>
  </w:style>
  <w:style w:type="paragraph" w:styleId="1048" w:customStyle="1">
    <w:name w:val="标题 112"/>
    <w:basedOn w:val="681"/>
    <w:next w:val="681"/>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049" w:customStyle="1">
    <w:name w:val="标题 212"/>
    <w:basedOn w:val="681"/>
    <w:next w:val="1050"/>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050" w:customStyle="1">
    <w:name w:val="正文缩进1"/>
    <w:basedOn w:val="681"/>
    <w:uiPriority w:val="0"/>
    <w:qFormat/>
    <w:pPr>
      <w:ind w:firstLine="420"/>
      <w:jc w:val="left"/>
      <w:spacing w:line="360" w:lineRule="auto"/>
    </w:pPr>
    <w:rPr>
      <w:rFonts w:ascii="宋体" w:hAnsi="宋体" w:cs="宋体"/>
      <w:color w:val="000000"/>
      <w:sz w:val="22"/>
      <w:szCs w:val="21"/>
    </w:rPr>
  </w:style>
  <w:style w:type="paragraph" w:styleId="1051" w:customStyle="1">
    <w:name w:val="标题 412"/>
    <w:basedOn w:val="681"/>
    <w:next w:val="681"/>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052" w:customStyle="1">
    <w:name w:val="正文首行缩进 21"/>
    <w:basedOn w:val="1053"/>
    <w:uiPriority w:val="0"/>
    <w:qFormat/>
    <w:pPr>
      <w:ind w:firstLine="420"/>
    </w:pPr>
    <w:rPr>
      <w:rFonts w:ascii="宋体" w:eastAsia="宋体"/>
      <w:sz w:val="21"/>
      <w:szCs w:val="20"/>
    </w:rPr>
  </w:style>
  <w:style w:type="paragraph" w:styleId="1053" w:customStyle="1">
    <w:name w:val="正文文本缩进1"/>
    <w:basedOn w:val="681"/>
    <w:uiPriority w:val="0"/>
    <w:qFormat/>
    <w:pPr>
      <w:ind w:firstLine="645"/>
      <w:jc w:val="left"/>
      <w:spacing w:line="360" w:lineRule="auto"/>
    </w:pPr>
    <w:rPr>
      <w:rFonts w:ascii="楷体_GB2312" w:hAnsi="宋体" w:eastAsia="楷体_GB2312" w:cs="宋体"/>
      <w:color w:val="000000"/>
      <w:sz w:val="32"/>
      <w:szCs w:val="32"/>
    </w:rPr>
  </w:style>
  <w:style w:type="paragraph" w:styleId="1054" w:customStyle="1">
    <w:name w:val="标题 312"/>
    <w:basedOn w:val="681"/>
    <w:next w:val="681"/>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055" w:customStyle="1">
    <w:name w:val="页眉12"/>
    <w:basedOn w:val="681"/>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056" w:customStyle="1">
    <w:name w:val="页脚12"/>
    <w:basedOn w:val="681"/>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057" w:customStyle="1">
    <w:name w:val="页码1"/>
    <w:uiPriority w:val="0"/>
    <w:qFormat/>
  </w:style>
  <w:style w:type="character" w:styleId="1058" w:customStyle="1">
    <w:name w:val="NormalCharacter1"/>
    <w:uiPriority w:val="99"/>
    <w:qFormat/>
    <w:rPr>
      <w:rFonts w:ascii="Calibri" w:hAnsi="Calibri" w:eastAsia="宋体"/>
    </w:rPr>
  </w:style>
  <w:style w:type="paragraph" w:styleId="1059" w:customStyle="1">
    <w:name w:val="4"/>
    <w:basedOn w:val="681"/>
    <w:next w:val="793"/>
    <w:uiPriority w:val="0"/>
    <w:qFormat/>
    <w:pPr>
      <w:ind w:firstLine="420"/>
      <w:jc w:val="left"/>
      <w:spacing w:line="360" w:lineRule="auto"/>
    </w:pPr>
    <w:rPr>
      <w:rFonts w:ascii="宋体" w:hAnsi="宋体" w:cs="宋体"/>
      <w:color w:val="ff0000"/>
      <w:sz w:val="24"/>
      <w:szCs w:val="21"/>
    </w:rPr>
  </w:style>
  <w:style w:type="character" w:styleId="1060" w:customStyle="1">
    <w:name w:val="font11"/>
    <w:uiPriority w:val="0"/>
    <w:qFormat/>
    <w:rPr>
      <w:rFonts w:ascii="Arial" w:hAnsi="Arial" w:eastAsia="宋体" w:cs="Times New Roman"/>
      <w:sz w:val="21"/>
      <w:szCs w:val="24"/>
      <w:lang w:val="en-US" w:eastAsia="zh-CN" w:bidi="ar-SA"/>
    </w:rPr>
  </w:style>
  <w:style w:type="character" w:styleId="1061" w:customStyle="1">
    <w:name w:val="font21"/>
    <w:uiPriority w:val="0"/>
    <w:qFormat/>
    <w:rPr>
      <w:rFonts w:hint="eastAsia" w:ascii="宋体" w:hAnsi="宋体" w:eastAsia="宋体" w:cs="宋体"/>
      <w:b/>
      <w:bCs/>
      <w:color w:val="000000"/>
      <w:sz w:val="21"/>
      <w:szCs w:val="21"/>
      <w:u w:val="none"/>
    </w:rPr>
  </w:style>
  <w:style w:type="character" w:styleId="1062" w:customStyle="1">
    <w:name w:val="15"/>
    <w:uiPriority w:val="0"/>
    <w:qFormat/>
  </w:style>
  <w:style w:type="paragraph" w:styleId="1063" w:customStyle="1">
    <w:name w:val="首行缩进"/>
    <w:basedOn w:val="681"/>
    <w:uiPriority w:val="0"/>
    <w:qFormat/>
    <w:pPr>
      <w:ind w:firstLine="480"/>
      <w:spacing w:line="360" w:lineRule="auto"/>
    </w:pPr>
    <w:rPr>
      <w:rFonts w:ascii="宋体" w:hAnsi="宋体" w:cs="宋体"/>
      <w:sz w:val="24"/>
    </w:rPr>
  </w:style>
  <w:style w:type="paragraph" w:styleId="1064" w:customStyle="1">
    <w:name w:val="普通(网站)111"/>
    <w:basedOn w:val="681"/>
    <w:uiPriority w:val="0"/>
    <w:qFormat/>
    <w:pPr>
      <w:ind w:firstLine="420"/>
      <w:jc w:val="left"/>
      <w:spacing w:beforeAutospacing="1" w:afterAutospacing="1" w:line="360" w:lineRule="auto"/>
    </w:pPr>
    <w:rPr>
      <w:rFonts w:ascii="宋体" w:hAnsi="宋体" w:cs="宋体"/>
      <w:color w:val="000000"/>
      <w:sz w:val="24"/>
      <w:szCs w:val="21"/>
    </w:rPr>
  </w:style>
  <w:style w:type="paragraph" w:styleId="1065" w:customStyle="1">
    <w:name w:val="Body Text(ch)"/>
    <w:basedOn w:val="681"/>
    <w:next w:val="769"/>
    <w:uiPriority w:val="0"/>
    <w:qFormat/>
    <w:pPr>
      <w:spacing w:after="120"/>
    </w:pPr>
    <w:rPr>
      <w:rFonts w:ascii="宋体" w:hAnsi="Arial"/>
      <w:bCs/>
      <w:iCs/>
      <w:szCs w:val="20"/>
    </w:rPr>
  </w:style>
  <w:style w:type="paragraph" w:styleId="1066" w:customStyle="1">
    <w:name w:val="Char Char Char Char Char Char Char Char"/>
    <w:basedOn w:val="681"/>
    <w:uiPriority w:val="0"/>
    <w:qFormat/>
    <w:pPr>
      <w:jc w:val="left"/>
      <w:spacing w:line="240" w:lineRule="exact"/>
      <w:widowControl/>
    </w:pPr>
    <w:rPr>
      <w:rFonts w:ascii="Verdana" w:hAnsi="Verdana"/>
      <w:sz w:val="20"/>
      <w:szCs w:val="20"/>
      <w:lang w:eastAsia="en-US"/>
    </w:rPr>
  </w:style>
  <w:style w:type="paragraph" w:styleId="1067" w:customStyle="1">
    <w:name w:val="列出段落2"/>
    <w:basedOn w:val="681"/>
    <w:uiPriority w:val="34"/>
    <w:qFormat/>
    <w:pPr>
      <w:ind w:firstLine="420"/>
    </w:p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陈铭</cp:lastModifiedBy>
  <cp:revision>125</cp:revision>
  <dcterms:created xsi:type="dcterms:W3CDTF">2025-02-23T09:28:00Z</dcterms:created>
  <dcterms:modified xsi:type="dcterms:W3CDTF">2025-09-03T07:19:21Z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eyJoZGlkIjoiODA2YTM2ZThmNWI4ZDNhMmZlMDI0MTY5OWU2N2ExYWEiLCJ1c2VySWQiOiIxNzE5Mjg4ODUwIn0=</vt:lpwstr>
  </property>
  <property fmtid="{D5CDD505-2E9C-101B-9397-08002B2CF9AE}" pid="3" name="KSOProductBuildVer">
    <vt:lpwstr>2052-12.1.0.22529</vt:lpwstr>
  </property>
  <property fmtid="{D5CDD505-2E9C-101B-9397-08002B2CF9AE}" pid="4" name="ICV">
    <vt:lpwstr>688E5F8646FB4F56831492084C4F6228_13</vt:lpwstr>
  </property>
</Properties>
</file>