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jc w:val="center"/>
        <w:rPr>
          <w:rFonts w:hint="eastAsia" w:ascii="宋体" w:hAnsi="宋体" w:eastAsia="宋体" w:cs="宋体"/>
          <w:color w:val="000000"/>
        </w:rPr>
      </w:pPr>
      <w:r>
        <w:rPr>
          <w:rFonts w:hint="eastAsia" w:ascii="宋体" w:hAnsi="宋体" w:eastAsia="宋体" w:cs="宋体"/>
          <w:b/>
          <w:bCs/>
          <w:color w:val="000000"/>
          <w:sz w:val="32"/>
          <w:szCs w:val="32"/>
        </w:rPr>
        <w:t xml:space="preserve">招标公告</w:t>
      </w:r>
      <w:r>
        <w:rPr>
          <w:rFonts w:hint="eastAsia" w:ascii="宋体" w:hAnsi="宋体" w:eastAsia="宋体" w:cs="宋体"/>
          <w:color w:val="000000"/>
        </w:rPr>
      </w:r>
      <w:r/>
    </w:p>
    <w:p>
      <w:pPr>
        <w:pStyle w:val="1004"/>
        <w:ind w:firstLine="480"/>
        <w:rPr>
          <w:rFonts w:hint="eastAsia" w:ascii="宋体" w:hAnsi="宋体" w:eastAsia="宋体" w:cs="宋体"/>
          <w:color w:val="000000"/>
          <w:szCs w:val="24"/>
        </w:rPr>
      </w:pPr>
      <w:r>
        <w:rPr>
          <w:rFonts w:hint="eastAsia" w:ascii="宋体" w:hAnsi="宋体" w:eastAsia="宋体" w:cs="宋体"/>
          <w:color w:val="000000"/>
          <w:szCs w:val="24"/>
        </w:rPr>
        <w:t xml:space="preserve">项目概况</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u w:val="single"/>
        </w:rPr>
        <w:t xml:space="preserve">苏州工业园区产教融合实践中心国产化实践教学课程与套件</w:t>
      </w:r>
      <w:r>
        <w:rPr>
          <w:rFonts w:hint="eastAsia" w:ascii="宋体" w:hAnsi="宋体" w:eastAsia="宋体" w:cs="宋体"/>
          <w:color w:val="000000"/>
          <w:szCs w:val="24"/>
        </w:rPr>
        <w:t xml:space="preserve">招标项目的潜在投标人应在</w:t>
      </w:r>
      <w:r>
        <w:rPr>
          <w:rFonts w:hint="eastAsia" w:ascii="宋体" w:hAnsi="宋体" w:eastAsia="宋体" w:cs="宋体"/>
          <w:color w:val="000000"/>
          <w:szCs w:val="24"/>
          <w:u w:val="single"/>
        </w:rPr>
        <w:t xml:space="preserve">江苏省政府采购一体化平台“苏采云”系统</w:t>
      </w:r>
      <w:r>
        <w:rPr>
          <w:rFonts w:hint="eastAsia" w:ascii="宋体" w:hAnsi="宋体" w:eastAsia="宋体" w:cs="宋体"/>
          <w:color w:val="000000"/>
          <w:szCs w:val="24"/>
        </w:rPr>
        <w:t xml:space="preserve">获取招标文件，并于</w:t>
      </w:r>
      <w:r>
        <w:rPr>
          <w:rFonts w:hint="eastAsia" w:ascii="宋体" w:hAnsi="宋体" w:eastAsia="宋体" w:cs="宋体"/>
          <w:color w:val="000000"/>
          <w:szCs w:val="24"/>
          <w:u w:val="single"/>
          <w:lang w:eastAsia="zh-CN"/>
        </w:rPr>
        <w:t xml:space="preserve">2024年12月24日</w:t>
      </w:r>
      <w:r>
        <w:rPr>
          <w:rFonts w:hint="eastAsia" w:ascii="宋体" w:hAnsi="宋体" w:eastAsia="宋体" w:cs="宋体"/>
          <w:color w:val="000000"/>
          <w:szCs w:val="24"/>
          <w:u w:val="single"/>
        </w:rPr>
        <w:t xml:space="preserve">09点30分（北京时间）</w:t>
      </w:r>
      <w:r>
        <w:rPr>
          <w:rFonts w:hint="eastAsia" w:ascii="宋体" w:hAnsi="宋体" w:eastAsia="宋体" w:cs="宋体"/>
          <w:color w:val="000000"/>
          <w:szCs w:val="24"/>
        </w:rPr>
        <w:t xml:space="preserve">前提交电子投标文件。</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一、项目基本情况：</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1.项目编号：JSZC-320591-SZWK-G2024-0397号</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2.项目名称：苏州工业园区产教融合实践中心国产化实践教学课程与套件</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3.预算金额：1045</w:t>
      </w:r>
      <w:r>
        <w:rPr>
          <w:rFonts w:hint="eastAsia" w:ascii="宋体" w:hAnsi="宋体" w:eastAsia="宋体" w:cs="宋体"/>
          <w:color w:val="000000"/>
          <w:szCs w:val="24"/>
          <w:lang w:val="en-US" w:eastAsia="zh-CN"/>
        </w:rPr>
        <w:t xml:space="preserve">.00</w:t>
      </w:r>
      <w:r>
        <w:rPr>
          <w:rFonts w:hint="eastAsia" w:ascii="宋体" w:hAnsi="宋体" w:eastAsia="宋体" w:cs="宋体"/>
          <w:color w:val="000000"/>
          <w:szCs w:val="24"/>
        </w:rPr>
        <w:t xml:space="preserve">万元</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4.最高限价：</w:t>
      </w:r>
      <w:r>
        <w:rPr>
          <w:rFonts w:hint="eastAsia" w:ascii="宋体" w:hAnsi="宋体" w:eastAsia="宋体" w:cs="宋体"/>
          <w:color w:val="000000"/>
          <w:szCs w:val="24"/>
          <w:lang w:val="en-US" w:eastAsia="zh-CN"/>
        </w:rPr>
        <w:t xml:space="preserve">1045.00</w:t>
      </w:r>
      <w:r>
        <w:rPr>
          <w:rFonts w:hint="eastAsia" w:ascii="宋体" w:hAnsi="宋体" w:eastAsia="宋体" w:cs="宋体"/>
          <w:color w:val="000000"/>
          <w:szCs w:val="24"/>
        </w:rPr>
        <w:t xml:space="preserve">万元</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5.采购需求：国产化AI创新工作坊、新一代信息通信实训中心、国产化分布式操作系统智能创新孵化中心配套教学、培训和课程套件等。</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6.合同履行期限：自采购合同签订之日起30天内完成硬件供货，90天内完成项目所有服务内容并上线试运行。</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7.本项目不接受联合体投标。</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二、申请人的资格要求：</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1.满足《中华人民共和国政府采购法》第二十二条规定；</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（5）参加政府采购活动前三年内，在经营活动中没有重大违法记录；</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2.落实政府采购政策需满足的资格要求：无。</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3.本项目的特定资格要求：无。</w:t>
      </w:r>
      <w:r>
        <w:rPr>
          <w:rFonts w:hint="eastAsia" w:ascii="宋体" w:hAnsi="宋体" w:eastAsia="宋体" w:cs="宋体"/>
          <w:color w:val="000000"/>
          <w:szCs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三、获取招标文件：</w:t>
      </w:r>
      <w:r>
        <w:rPr>
          <w:rFonts w:hint="eastAsia" w:ascii="宋体" w:hAnsi="宋体" w:eastAsia="宋体" w:cs="宋体"/>
          <w:color w:val="000000"/>
          <w:szCs w:val="24"/>
        </w:rPr>
      </w:r>
      <w:r/>
    </w:p>
    <w:p>
      <w:pPr>
        <w:pStyle w:val="1004"/>
        <w:ind w:firstLine="480"/>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1.时间：自本公告发布之日起至2024年</w:t>
      </w:r>
      <w:r>
        <w:rPr>
          <w:rFonts w:hint="eastAsia" w:ascii="宋体" w:hAnsi="宋体" w:eastAsia="宋体" w:cs="宋体"/>
          <w:color w:val="000000"/>
          <w:szCs w:val="24"/>
          <w:lang w:val="en-US" w:eastAsia="zh-CN"/>
        </w:rPr>
        <w:t xml:space="preserve">12</w:t>
      </w:r>
      <w:r>
        <w:rPr>
          <w:rFonts w:hint="eastAsia" w:ascii="宋体" w:hAnsi="宋体" w:eastAsia="宋体" w:cs="宋体"/>
          <w:color w:val="000000"/>
          <w:szCs w:val="24"/>
        </w:rPr>
        <w:t xml:space="preserve">月</w:t>
      </w:r>
      <w:r>
        <w:rPr>
          <w:rFonts w:hint="eastAsia" w:ascii="宋体" w:hAnsi="宋体" w:eastAsia="宋体" w:cs="宋体"/>
          <w:color w:val="000000"/>
          <w:szCs w:val="24"/>
        </w:rPr>
        <w:t xml:space="preserve">10日</w:t>
      </w:r>
      <w:r>
        <w:rPr>
          <w:rFonts w:hint="eastAsia" w:ascii="宋体" w:hAnsi="宋体" w:eastAsia="宋体" w:cs="宋体"/>
          <w:color w:val="000000"/>
          <w:szCs w:val="24"/>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3.获取方式：自行下载</w:t>
      </w:r>
      <w:r>
        <w:rPr>
          <w:rFonts w:hint="eastAsia" w:ascii="宋体" w:hAnsi="宋体" w:eastAsia="宋体" w:cs="宋体"/>
          <w:color w:val="000000"/>
          <w:sz w:val="24"/>
          <w:highlight w:val="none"/>
        </w:rPr>
      </w:r>
      <w:r/>
    </w:p>
    <w:p>
      <w:pPr>
        <w:pStyle w:val="1004"/>
        <w:ind w:firstLine="480"/>
        <w:widowControl w:val="off"/>
        <w:rPr>
          <w:rFonts w:hint="eastAsia" w:ascii="宋体" w:hAnsi="宋体" w:eastAsia="宋体" w:cs="宋体"/>
          <w:color w:val="000000"/>
          <w:szCs w:val="24"/>
        </w:rPr>
      </w:pPr>
      <w:r>
        <w:rPr>
          <w:rFonts w:hint="eastAsia" w:ascii="宋体" w:hAnsi="宋体" w:eastAsia="宋体" w:cs="宋体"/>
          <w:color w:val="000000"/>
          <w:sz w:val="24"/>
          <w:highlight w:val="none"/>
        </w:rPr>
        <w:t xml:space="preserve">4.售价：本项目免费下载电子</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四、提交电子投标文件截止时间、开标时间和地点：</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1.提交电子投标文件截止时间、地点</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时间：</w:t>
      </w:r>
      <w:r>
        <w:rPr>
          <w:rFonts w:hint="eastAsia" w:ascii="宋体" w:hAnsi="宋体" w:eastAsia="宋体" w:cs="宋体"/>
          <w:color w:val="000000"/>
          <w:szCs w:val="24"/>
          <w:lang w:eastAsia="zh-CN"/>
        </w:rPr>
        <w:t xml:space="preserve">2024年12月24日</w:t>
      </w:r>
      <w:r>
        <w:rPr>
          <w:rFonts w:hint="eastAsia" w:ascii="宋体" w:hAnsi="宋体" w:eastAsia="宋体" w:cs="宋体"/>
          <w:color w:val="000000"/>
          <w:szCs w:val="24"/>
        </w:rPr>
        <w:t xml:space="preserve">09</w:t>
      </w:r>
      <w:r>
        <w:rPr>
          <w:rFonts w:hint="eastAsia" w:ascii="宋体" w:hAnsi="宋体" w:eastAsia="宋体" w:cs="宋体"/>
          <w:color w:val="000000"/>
          <w:szCs w:val="24"/>
          <w:lang w:eastAsia="zh-CN"/>
        </w:rPr>
        <w:t xml:space="preserve">:</w:t>
      </w:r>
      <w:r>
        <w:rPr>
          <w:rFonts w:hint="eastAsia" w:ascii="宋体" w:hAnsi="宋体" w:eastAsia="宋体" w:cs="宋体"/>
          <w:color w:val="000000"/>
          <w:szCs w:val="24"/>
        </w:rPr>
        <w:t xml:space="preserve">30（北京时间）</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地点：“苏采云”系统</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2.开标时间、地点</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时间：</w:t>
      </w:r>
      <w:r>
        <w:rPr>
          <w:rFonts w:hint="eastAsia" w:ascii="宋体" w:hAnsi="宋体" w:eastAsia="宋体" w:cs="宋体"/>
          <w:color w:val="000000"/>
          <w:szCs w:val="24"/>
          <w:lang w:eastAsia="zh-CN"/>
        </w:rPr>
        <w:t xml:space="preserve">2024年12月24日</w:t>
      </w:r>
      <w:r>
        <w:rPr>
          <w:rFonts w:hint="eastAsia" w:ascii="宋体" w:hAnsi="宋体" w:eastAsia="宋体" w:cs="宋体"/>
          <w:color w:val="000000"/>
          <w:szCs w:val="24"/>
        </w:rPr>
        <w:t xml:space="preserve">09</w:t>
      </w:r>
      <w:r>
        <w:rPr>
          <w:rFonts w:hint="eastAsia" w:ascii="宋体" w:hAnsi="宋体" w:eastAsia="宋体" w:cs="宋体"/>
          <w:color w:val="000000"/>
          <w:szCs w:val="24"/>
          <w:lang w:eastAsia="zh-CN"/>
        </w:rPr>
        <w:t xml:space="preserve">:</w:t>
      </w:r>
      <w:r>
        <w:rPr>
          <w:rFonts w:hint="eastAsia" w:ascii="宋体" w:hAnsi="宋体" w:eastAsia="宋体" w:cs="宋体"/>
          <w:color w:val="000000"/>
          <w:szCs w:val="24"/>
        </w:rPr>
        <w:t xml:space="preserve">30（北京时间）</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地点：苏州工业园区公共资源交易中心开标室（具体开标室见服务大厅显示屏）</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五、公告期限：</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自本公告发布之日起</w:t>
      </w:r>
      <w:r>
        <w:rPr>
          <w:rFonts w:hint="eastAsia" w:ascii="宋体" w:hAnsi="宋体" w:eastAsia="宋体" w:cs="宋体"/>
          <w:color w:val="000000"/>
          <w:szCs w:val="24"/>
          <w:lang w:val="en-US" w:eastAsia="zh-CN"/>
        </w:rPr>
        <w:t xml:space="preserve">五</w:t>
      </w:r>
      <w:r>
        <w:rPr>
          <w:rFonts w:hint="eastAsia" w:ascii="宋体" w:hAnsi="宋体" w:eastAsia="宋体" w:cs="宋体"/>
          <w:color w:val="000000"/>
          <w:szCs w:val="24"/>
        </w:rPr>
        <w:t xml:space="preserve">个工作日。</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六、其他补充事宜：</w:t>
      </w:r>
      <w:r>
        <w:rPr>
          <w:rFonts w:hint="eastAsia" w:ascii="宋体" w:hAnsi="宋体" w:eastAsia="宋体" w:cs="宋体"/>
          <w:color w:val="000000"/>
          <w:szCs w:val="24"/>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1.采购文件获取（网上获取）</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（2）登录报名</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（3）在网上报名过程中如有疑问，请及时联系：</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电子签章技术咨询服务电话：15380932027、15371015030、13675197356、13675197221</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100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eastAsia="宋体" w:cs="宋体"/>
          <w:color w:val="000000"/>
          <w:sz w:val="24"/>
          <w:highlight w:val="none"/>
        </w:rPr>
      </w:r>
      <w:r/>
    </w:p>
    <w:p>
      <w:pPr>
        <w:pStyle w:val="1004"/>
        <w:ind w:right="-159"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（5）截止日期之后下载的采购文件，视为非有效方式且不作为供应商权益受到损害的证明材料和依据。</w:t>
      </w:r>
      <w:r>
        <w:rPr>
          <w:rFonts w:hint="eastAsia" w:ascii="宋体" w:hAnsi="宋体" w:eastAsia="宋体" w:cs="宋体"/>
          <w:color w:val="000000"/>
          <w:sz w:val="24"/>
          <w:highlight w:val="none"/>
        </w:rPr>
      </w:r>
      <w:r/>
    </w:p>
    <w:p>
      <w:pPr>
        <w:pStyle w:val="1004"/>
        <w:ind w:right="-159"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2.苏州工业园区财政审计局监督电话：0512-66681110。</w:t>
      </w:r>
      <w:r>
        <w:rPr>
          <w:rFonts w:hint="eastAsia" w:ascii="宋体" w:hAnsi="宋体" w:eastAsia="宋体" w:cs="宋体"/>
          <w:color w:val="000000"/>
          <w:sz w:val="24"/>
          <w:highlight w:val="none"/>
        </w:rPr>
      </w:r>
      <w:r/>
    </w:p>
    <w:p>
      <w:pPr>
        <w:pStyle w:val="1004"/>
        <w:ind w:right="-159"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3.本次采购的有关信息将在以下网站上发布：</w:t>
      </w:r>
      <w:r>
        <w:rPr>
          <w:rFonts w:hint="eastAsia" w:ascii="宋体" w:hAnsi="宋体" w:eastAsia="宋体" w:cs="宋体"/>
          <w:color w:val="000000"/>
          <w:sz w:val="24"/>
          <w:highlight w:val="none"/>
          <w:lang w:val="en-US" w:eastAsia="zh-CN"/>
        </w:rPr>
        <w:t xml:space="preserve">中国政府采购网、</w:t>
      </w:r>
      <w:r>
        <w:rPr>
          <w:rFonts w:hint="eastAsia" w:ascii="宋体" w:hAnsi="宋体" w:eastAsia="宋体" w:cs="宋体"/>
          <w:color w:val="000000"/>
          <w:sz w:val="24"/>
          <w:highlight w:val="none"/>
        </w:rPr>
        <w:t xml:space="preserve">江苏政府采购网、苏州市政府采购网。</w:t>
      </w:r>
      <w:r>
        <w:rPr>
          <w:rFonts w:hint="eastAsia" w:ascii="宋体" w:hAnsi="宋体" w:eastAsia="宋体" w:cs="宋体"/>
          <w:color w:val="000000"/>
          <w:sz w:val="24"/>
          <w:highlight w:val="none"/>
        </w:rPr>
      </w:r>
      <w:r/>
    </w:p>
    <w:p>
      <w:pPr>
        <w:pStyle w:val="1004"/>
        <w:ind w:right="-159"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4.未依照采购公告要求依法获取采购文件的供应商，视为未参加该项政府采购活动，不具备对该政府采购项目提出质疑的法定权利。</w:t>
      </w:r>
      <w:r>
        <w:rPr>
          <w:rFonts w:hint="eastAsia" w:ascii="宋体" w:hAnsi="宋体" w:eastAsia="宋体" w:cs="宋体"/>
          <w:color w:val="000000"/>
          <w:sz w:val="24"/>
          <w:highlight w:val="none"/>
        </w:rPr>
      </w:r>
      <w:r/>
    </w:p>
    <w:p>
      <w:pPr>
        <w:pStyle w:val="1004"/>
        <w:ind w:right="-159"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5.本项目线上递交电子响应文件，不需另行提供纸质响应文件。</w:t>
      </w:r>
      <w:r>
        <w:rPr>
          <w:rFonts w:hint="eastAsia" w:ascii="宋体" w:hAnsi="宋体" w:eastAsia="宋体" w:cs="宋体"/>
          <w:color w:val="000000"/>
          <w:sz w:val="24"/>
          <w:highlight w:val="none"/>
        </w:rPr>
      </w:r>
      <w:r/>
    </w:p>
    <w:p>
      <w:pPr>
        <w:pStyle w:val="1004"/>
        <w:ind w:right="-159"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6.单位负责人为同一人或存在直接控股、管理关系的不同供应商，不得参加同一合同项下的政府采购活动。</w:t>
      </w:r>
      <w:r>
        <w:rPr>
          <w:rFonts w:hint="eastAsia" w:ascii="宋体" w:hAnsi="宋体" w:eastAsia="宋体" w:cs="宋体"/>
          <w:color w:val="000000"/>
          <w:sz w:val="24"/>
          <w:highlight w:val="none"/>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 w:val="24"/>
          <w:highlight w:val="none"/>
        </w:rPr>
        <w:t xml:space="preserve">7.为采购项目提供整体设计、规范编制或者项目管理、监理、检测等服务的供应商，不得再参加该采购项目的其他采购活动。</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w:t>
      </w:r>
      <w:r>
        <w:rPr>
          <w:rFonts w:hint="eastAsia" w:ascii="宋体" w:hAnsi="宋体" w:eastAsia="宋体" w:cs="宋体"/>
          <w:color w:val="000000"/>
          <w:szCs w:val="24"/>
        </w:rPr>
        <w:t xml:space="preserve">本项目为非专门面向中小企业采购项目，所属行业为工业。</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七、对本次招标提出询问，请按以下方式联系：</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1、采购人信息</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名 称：苏州工业园区服务外包职业学院</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地址：苏州工业园区独墅湖科教创新区松涛街208号</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联系人：戚伟峰  0512-62760758</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2、采购代理机构信息</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名 称：苏州市卫康招投标咨询服务有限公司</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地　址：苏州市姑苏区干将西路1296号深业姑苏中心1幢17层</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联系方式：0512-65158848</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3、项目联系方式</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项目联系人：郇为凯、钱卫吉、李东 </w:t>
      </w:r>
      <w:r>
        <w:rPr>
          <w:rFonts w:hint="eastAsia" w:ascii="宋体" w:hAnsi="宋体" w:eastAsia="宋体" w:cs="宋体"/>
          <w:color w:val="000000"/>
          <w:szCs w:val="24"/>
        </w:rPr>
      </w:r>
      <w:r/>
    </w:p>
    <w:p>
      <w:pPr>
        <w:pStyle w:val="1004"/>
        <w:ind w:firstLine="480"/>
        <w:jc w:val="both"/>
        <w:rPr>
          <w:rFonts w:hint="eastAsia" w:ascii="宋体" w:hAnsi="宋体" w:eastAsia="宋体" w:cs="宋体"/>
          <w:color w:val="000000"/>
          <w:szCs w:val="24"/>
        </w:rPr>
      </w:pPr>
      <w:r>
        <w:rPr>
          <w:rFonts w:hint="eastAsia" w:ascii="宋体" w:hAnsi="宋体" w:eastAsia="宋体" w:cs="宋体"/>
          <w:color w:val="000000"/>
          <w:szCs w:val="24"/>
        </w:rPr>
        <w:t xml:space="preserve">电　话：0512-65158848-8019，0512-65153553 （FAX）</w:t>
      </w:r>
      <w:r>
        <w:rPr>
          <w:rFonts w:hint="eastAsia" w:ascii="宋体" w:hAnsi="宋体" w:eastAsia="宋体" w:cs="宋体"/>
          <w:color w:val="000000"/>
          <w:szCs w:val="24"/>
        </w:rPr>
      </w:r>
      <w:r/>
    </w:p>
    <w:p>
      <w:pPr>
        <w:pStyle w:val="1004"/>
        <w:ind w:firstLine="2248"/>
        <w:jc w:val="both"/>
        <w:rPr>
          <w:rFonts w:hint="eastAsia" w:ascii="宋体" w:hAnsi="宋体" w:eastAsia="宋体" w:cs="宋体"/>
          <w:b/>
          <w:bCs/>
          <w:color w:val="000000"/>
          <w:spacing w:val="60"/>
          <w:sz w:val="100"/>
          <w:szCs w:val="100"/>
        </w:rPr>
        <w:sectPr>
          <w:headerReference w:type="default" r:id="rId9"/>
          <w:footerReference w:type="default" r:id="rId10"/>
          <w:footnotePr/>
          <w:endnotePr/>
          <w:type w:val="nextPage"/>
          <w:pgSz w:w="11906" w:h="16838" w:orient="portrait"/>
          <w:pgMar w:top="1418" w:right="1758" w:bottom="1418" w:left="1758" w:header="851" w:footer="992" w:gutter="0"/>
          <w:pgNumType w:start="1"/>
          <w:cols w:num="1" w:sep="0" w:space="1701" w:equalWidth="1"/>
          <w:docGrid w:linePitch="360"/>
        </w:sectPr>
      </w:pPr>
      <w:r>
        <w:rPr>
          <w:rFonts w:hint="eastAsia" w:ascii="宋体" w:hAnsi="宋体" w:eastAsia="宋体" w:cs="宋体"/>
          <w:b/>
          <w:bCs/>
          <w:color w:val="000000"/>
          <w:spacing w:val="60"/>
          <w:sz w:val="100"/>
          <w:szCs w:val="100"/>
        </w:rPr>
      </w:r>
      <w:r/>
    </w:p>
    <w:p>
      <w:pPr>
        <w:pStyle w:val="1004"/>
        <w:jc w:val="both"/>
        <w:rPr>
          <w:rFonts w:hint="eastAsia" w:ascii="宋体" w:hAnsi="宋体" w:eastAsia="宋体" w:cs="宋体"/>
          <w:b/>
          <w:bCs/>
          <w:color w:val="000000"/>
          <w:spacing w:val="60"/>
          <w:sz w:val="100"/>
          <w:szCs w:val="100"/>
        </w:rPr>
      </w:pPr>
      <w:r>
        <w:rPr>
          <w:rFonts w:hint="eastAsia" w:ascii="宋体" w:hAnsi="宋体" w:eastAsia="宋体" w:cs="宋体"/>
          <w:b/>
          <w:bCs/>
          <w:color w:val="000000"/>
          <w:spacing w:val="60"/>
          <w:sz w:val="100"/>
          <w:szCs w:val="100"/>
        </w:rPr>
      </w:r>
      <w:r/>
    </w:p>
    <w:p>
      <w:pPr>
        <w:pStyle w:val="1004"/>
        <w:jc w:val="center"/>
        <w:spacing w:line="20" w:lineRule="atLeast"/>
        <w:widowControl w:val="off"/>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苏州工业园区政府采购</w:t>
      </w:r>
      <w:r>
        <w:rPr>
          <w:rFonts w:hint="eastAsia" w:ascii="宋体" w:hAnsi="宋体" w:eastAsia="宋体" w:cs="宋体"/>
          <w:b/>
          <w:color w:val="000000"/>
          <w:sz w:val="72"/>
          <w:szCs w:val="72"/>
        </w:rPr>
      </w:r>
      <w:r/>
    </w:p>
    <w:p>
      <w:pPr>
        <w:pStyle w:val="1004"/>
        <w:jc w:val="center"/>
        <w:spacing w:line="20" w:lineRule="atLeast"/>
        <w:widowControl w:val="off"/>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04"/>
        <w:jc w:val="center"/>
        <w:spacing w:line="20" w:lineRule="atLeast"/>
        <w:widowControl w:val="off"/>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 xml:space="preserve">招</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lang w:val="en-US" w:eastAsia="zh-CN"/>
        </w:rPr>
        <w:t xml:space="preserve">标</w:t>
      </w:r>
      <w:r>
        <w:rPr>
          <w:rFonts w:hint="eastAsia" w:ascii="宋体" w:hAnsi="宋体" w:eastAsia="宋体" w:cs="宋体"/>
          <w:b/>
          <w:color w:val="000000"/>
          <w:sz w:val="72"/>
          <w:szCs w:val="72"/>
        </w:rPr>
        <w:t xml:space="preserve"> 文 件</w:t>
      </w:r>
      <w:r>
        <w:rPr>
          <w:rFonts w:hint="eastAsia" w:ascii="宋体" w:hAnsi="宋体" w:eastAsia="宋体" w:cs="宋体"/>
          <w:b/>
          <w:color w:val="000000"/>
          <w:sz w:val="72"/>
          <w:szCs w:val="72"/>
        </w:rPr>
      </w:r>
      <w:r/>
    </w:p>
    <w:p>
      <w:pPr>
        <w:pStyle w:val="1004"/>
        <w:rPr>
          <w:rFonts w:hint="eastAsia" w:ascii="宋体" w:hAnsi="宋体" w:eastAsia="宋体" w:cs="宋体"/>
          <w:color w:val="000000"/>
        </w:rPr>
      </w:pPr>
      <w:r>
        <w:rPr>
          <w:rFonts w:hint="eastAsia" w:ascii="宋体" w:hAnsi="宋体" w:eastAsia="宋体" w:cs="宋体"/>
          <w:color w:val="000000"/>
        </w:rPr>
      </w:r>
      <w:r/>
    </w:p>
    <w:p>
      <w:pPr>
        <w:pStyle w:val="1004"/>
        <w:rPr>
          <w:rFonts w:hint="eastAsia" w:ascii="宋体" w:hAnsi="宋体" w:eastAsia="宋体" w:cs="宋体"/>
          <w:color w:val="000000"/>
        </w:rPr>
      </w:pPr>
      <w:r>
        <w:rPr>
          <w:rFonts w:hint="eastAsia" w:ascii="宋体" w:hAnsi="宋体" w:eastAsia="宋体" w:cs="宋体"/>
          <w:color w:val="000000"/>
        </w:rPr>
      </w:r>
      <w:r/>
    </w:p>
    <w:p>
      <w:pPr>
        <w:pStyle w:val="1004"/>
        <w:rPr>
          <w:rFonts w:hint="eastAsia" w:ascii="宋体" w:hAnsi="宋体" w:eastAsia="宋体" w:cs="宋体"/>
          <w:color w:val="000000"/>
        </w:rPr>
      </w:pPr>
      <w:r>
        <w:rPr>
          <w:rFonts w:hint="eastAsia" w:ascii="宋体" w:hAnsi="宋体" w:eastAsia="宋体" w:cs="宋体"/>
          <w:color w:val="000000"/>
        </w:rPr>
      </w:r>
      <w:r/>
    </w:p>
    <w:p>
      <w:pPr>
        <w:pStyle w:val="1004"/>
        <w:rPr>
          <w:rFonts w:hint="eastAsia" w:ascii="宋体" w:hAnsi="宋体" w:eastAsia="宋体" w:cs="宋体"/>
          <w:color w:val="000000"/>
        </w:rPr>
      </w:pPr>
      <w:r>
        <w:rPr>
          <w:rFonts w:hint="eastAsia" w:ascii="宋体" w:hAnsi="宋体" w:eastAsia="宋体" w:cs="宋体"/>
          <w:color w:val="000000"/>
        </w:rPr>
      </w:r>
      <w:r/>
    </w:p>
    <w:p>
      <w:pPr>
        <w:pStyle w:val="1004"/>
        <w:rPr>
          <w:rFonts w:hint="eastAsia" w:ascii="宋体" w:hAnsi="宋体" w:eastAsia="宋体" w:cs="宋体"/>
          <w:color w:val="000000"/>
        </w:rPr>
      </w:pPr>
      <w:r>
        <w:rPr>
          <w:rFonts w:hint="eastAsia" w:ascii="宋体" w:hAnsi="宋体" w:eastAsia="宋体" w:cs="宋体"/>
          <w:color w:val="000000"/>
        </w:rPr>
      </w:r>
      <w:r/>
    </w:p>
    <w:p>
      <w:pPr>
        <w:pStyle w:val="1004"/>
        <w:ind w:left="960" w:firstLine="904"/>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t xml:space="preserve">采购编号：JSZC-320591-SZWK-G2024-0397号</w:t>
      </w:r>
      <w:r>
        <w:rPr>
          <w:rFonts w:hint="eastAsia" w:ascii="宋体" w:hAnsi="宋体" w:eastAsia="宋体" w:cs="宋体"/>
          <w:b/>
          <w:bCs/>
          <w:color w:val="000000"/>
          <w:sz w:val="30"/>
        </w:rPr>
      </w:r>
      <w:r/>
    </w:p>
    <w:p>
      <w:pPr>
        <w:pStyle w:val="1004"/>
        <w:ind w:left="960" w:firstLine="904"/>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t xml:space="preserve">采购项目：苏州工业园区产教融合实践中心国产化实践教学课程与套件</w:t>
      </w:r>
      <w:r>
        <w:rPr>
          <w:rFonts w:hint="eastAsia" w:ascii="宋体" w:hAnsi="宋体" w:eastAsia="宋体" w:cs="宋体"/>
          <w:b/>
          <w:bCs/>
          <w:color w:val="000000"/>
          <w:sz w:val="30"/>
        </w:rPr>
      </w:r>
      <w:r/>
    </w:p>
    <w:p>
      <w:pPr>
        <w:pStyle w:val="1004"/>
        <w:ind w:left="960" w:firstLine="904"/>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t xml:space="preserve">采购单位：苏州工业园区服务外包职业学院</w:t>
      </w:r>
      <w:r>
        <w:rPr>
          <w:rFonts w:hint="eastAsia" w:ascii="宋体" w:hAnsi="宋体" w:eastAsia="宋体" w:cs="宋体"/>
          <w:b/>
          <w:bCs/>
          <w:color w:val="000000"/>
          <w:sz w:val="30"/>
        </w:rPr>
      </w:r>
      <w:r/>
    </w:p>
    <w:p>
      <w:pPr>
        <w:pStyle w:val="1004"/>
        <w:spacing w:line="360" w:lineRule="auto"/>
        <w:rPr>
          <w:rFonts w:hint="eastAsia" w:ascii="宋体" w:hAnsi="宋体" w:eastAsia="宋体" w:cs="宋体"/>
          <w:color w:val="000000"/>
          <w:sz w:val="30"/>
        </w:rPr>
      </w:pPr>
      <w:r>
        <w:rPr>
          <w:rFonts w:hint="eastAsia" w:ascii="宋体" w:hAnsi="宋体" w:eastAsia="宋体" w:cs="宋体"/>
          <w:color w:val="000000"/>
          <w:sz w:val="30"/>
        </w:rPr>
      </w:r>
      <w:r/>
    </w:p>
    <w:p>
      <w:pPr>
        <w:pStyle w:val="1004"/>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r>
      <w:r/>
    </w:p>
    <w:p>
      <w:pPr>
        <w:pStyle w:val="1141"/>
        <w:rPr>
          <w:rFonts w:hint="eastAsia" w:ascii="宋体" w:hAnsi="宋体" w:eastAsia="宋体" w:cs="宋体"/>
          <w:color w:val="000000"/>
        </w:rPr>
      </w:pPr>
      <w:r>
        <w:rPr>
          <w:rFonts w:hint="eastAsia" w:ascii="宋体" w:hAnsi="宋体" w:eastAsia="宋体" w:cs="宋体"/>
          <w:color w:val="000000"/>
        </w:rPr>
      </w:r>
      <w:r/>
    </w:p>
    <w:p>
      <w:pPr>
        <w:pStyle w:val="1004"/>
        <w:ind w:firstLine="1958"/>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1327150</wp:posOffset>
                </wp:positionH>
                <wp:positionV relativeFrom="paragraph">
                  <wp:posOffset>32385</wp:posOffset>
                </wp:positionV>
                <wp:extent cx="2593340" cy="121475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59334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04.5pt;mso-position-horizontal:absolute;mso-position-vertical-relative:text;margin-top:2.5pt;mso-position-vertical:absolute;width:204.2pt;height:95.6pt;mso-wrap-distance-left:9.0pt;mso-wrap-distance-top:0.0pt;mso-wrap-distance-right:9.0pt;mso-wrap-distance-bottom:0.0pt;" stroked="f">
                <v:path textboxrect="0,0,0,0"/>
                <w10:wrap type="square"/>
                <v:imagedata r:id="rId14" o:title=""/>
              </v:shape>
            </w:pict>
          </mc:Fallback>
        </mc:AlternateContent>
      </w:r>
      <w:r>
        <w:rPr>
          <w:rFonts w:hint="eastAsia" w:ascii="宋体" w:hAnsi="宋体" w:eastAsia="宋体" w:cs="宋体"/>
          <w:b/>
          <w:bCs/>
          <w:color w:val="000000"/>
          <w:sz w:val="30"/>
        </w:rPr>
      </w:r>
      <w:r/>
    </w:p>
    <w:p>
      <w:pPr>
        <w:pStyle w:val="1004"/>
        <w:ind w:firstLine="1958"/>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r>
      <w:r/>
    </w:p>
    <w:p>
      <w:pPr>
        <w:pStyle w:val="1004"/>
        <w:ind w:firstLine="1958"/>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r>
      <w:r/>
    </w:p>
    <w:p>
      <w:pPr>
        <w:pStyle w:val="1004"/>
        <w:ind w:firstLine="1958"/>
        <w:jc w:val="center"/>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r>
      <w:r/>
    </w:p>
    <w:p>
      <w:pPr>
        <w:pStyle w:val="1004"/>
        <w:jc w:val="center"/>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t xml:space="preserve">苏州市卫康招投标咨询服务有限公司</w:t>
      </w:r>
      <w:r>
        <w:rPr>
          <w:rFonts w:hint="eastAsia" w:ascii="宋体" w:hAnsi="宋体" w:eastAsia="宋体" w:cs="宋体"/>
          <w:b/>
          <w:bCs/>
          <w:color w:val="000000"/>
          <w:sz w:val="30"/>
        </w:rPr>
      </w:r>
      <w:r/>
    </w:p>
    <w:p>
      <w:pPr>
        <w:pStyle w:val="1004"/>
        <w:jc w:val="center"/>
        <w:spacing w:line="360" w:lineRule="auto"/>
        <w:rPr>
          <w:rFonts w:hint="eastAsia" w:ascii="宋体" w:hAnsi="宋体" w:eastAsia="宋体" w:cs="宋体"/>
          <w:b/>
          <w:bCs/>
          <w:color w:val="000000"/>
          <w:sz w:val="30"/>
        </w:rPr>
      </w:pPr>
      <w:r>
        <w:rPr>
          <w:rFonts w:hint="eastAsia" w:ascii="宋体" w:hAnsi="宋体" w:eastAsia="宋体" w:cs="宋体"/>
          <w:b/>
          <w:bCs/>
          <w:color w:val="000000"/>
          <w:sz w:val="30"/>
        </w:rPr>
        <w:t xml:space="preserve">二〇二四年十</w:t>
      </w:r>
      <w:r>
        <w:rPr>
          <w:rFonts w:hint="eastAsia" w:ascii="宋体" w:hAnsi="宋体" w:eastAsia="宋体" w:cs="宋体"/>
          <w:b/>
          <w:bCs/>
          <w:color w:val="000000"/>
          <w:sz w:val="30"/>
        </w:rPr>
        <w:t xml:space="preserve">二</w:t>
      </w:r>
      <w:r>
        <w:rPr>
          <w:rFonts w:hint="eastAsia" w:ascii="宋体" w:hAnsi="宋体" w:eastAsia="宋体" w:cs="宋体"/>
          <w:b/>
          <w:bCs/>
          <w:color w:val="000000"/>
          <w:sz w:val="30"/>
        </w:rPr>
        <w:t xml:space="preserve">月</w:t>
      </w:r>
      <w:r>
        <w:rPr>
          <w:rFonts w:hint="eastAsia" w:ascii="宋体" w:hAnsi="宋体" w:eastAsia="宋体" w:cs="宋体"/>
          <w:b/>
          <w:bCs/>
          <w:color w:val="000000"/>
          <w:sz w:val="30"/>
        </w:rPr>
      </w:r>
      <w:r/>
    </w:p>
    <w:p>
      <w:pPr>
        <w:pStyle w:val="1004"/>
        <w:jc w:val="center"/>
        <w:spacing w:line="360" w:lineRule="auto"/>
        <w:rPr>
          <w:rFonts w:hint="eastAsia" w:ascii="宋体" w:hAnsi="宋体" w:eastAsia="宋体" w:cs="宋体"/>
          <w:bCs/>
          <w:color w:val="000000"/>
          <w:sz w:val="30"/>
        </w:rPr>
        <w:sectPr>
          <w:footerReference w:type="default" r:id="rId11"/>
          <w:footnotePr/>
          <w:endnotePr/>
          <w:type w:val="nextPage"/>
          <w:pgSz w:w="11906" w:h="16838" w:orient="portrait"/>
          <w:pgMar w:top="1418" w:right="1758" w:bottom="1418" w:left="1758" w:header="851" w:footer="992" w:gutter="0"/>
          <w:cols w:num="1" w:sep="0" w:space="1701" w:equalWidth="1"/>
          <w:docGrid w:linePitch="360"/>
        </w:sectPr>
      </w:pPr>
      <w:r>
        <w:rPr>
          <w:rFonts w:hint="eastAsia" w:ascii="宋体" w:hAnsi="宋体" w:eastAsia="宋体" w:cs="宋体"/>
          <w:bCs/>
          <w:color w:val="000000"/>
          <w:sz w:val="30"/>
        </w:rPr>
      </w:r>
      <w:r/>
    </w:p>
    <w:p>
      <w:pPr>
        <w:pStyle w:val="1014"/>
        <w:jc w:val="center"/>
        <w:rPr>
          <w:rFonts w:hint="eastAsia" w:ascii="宋体" w:hAnsi="宋体" w:eastAsia="宋体" w:cs="宋体"/>
          <w:b/>
          <w:color w:val="000000"/>
          <w:sz w:val="52"/>
        </w:rPr>
      </w:pPr>
      <w:r>
        <w:rPr>
          <w:rFonts w:hint="eastAsia" w:ascii="宋体" w:hAnsi="宋体" w:eastAsia="宋体" w:cs="宋体"/>
          <w:b/>
          <w:color w:val="000000"/>
          <w:sz w:val="52"/>
        </w:rPr>
        <w:t xml:space="preserve">目    录</w:t>
      </w:r>
      <w:r>
        <w:rPr>
          <w:rFonts w:hint="eastAsia" w:ascii="宋体" w:hAnsi="宋体" w:eastAsia="宋体" w:cs="宋体"/>
          <w:b/>
          <w:color w:val="000000"/>
          <w:sz w:val="52"/>
        </w:rPr>
      </w:r>
      <w:r/>
    </w:p>
    <w:p>
      <w:pPr>
        <w:pStyle w:val="1014"/>
        <w:ind w:firstLine="0"/>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1014"/>
        <w:ind w:firstLine="0"/>
        <w:spacing w:line="380" w:lineRule="exact"/>
        <w:rPr>
          <w:rFonts w:hint="eastAsia" w:ascii="宋体" w:hAnsi="宋体" w:eastAsia="宋体" w:cs="宋体"/>
          <w:b/>
          <w:bCs/>
          <w:color w:val="000000"/>
          <w:szCs w:val="24"/>
        </w:rPr>
      </w:pPr>
      <w:r>
        <w:rPr>
          <w:rFonts w:hint="eastAsia" w:ascii="宋体" w:hAnsi="宋体" w:eastAsia="宋体" w:cs="宋体"/>
          <w:b/>
          <w:bCs/>
          <w:color w:val="000000"/>
          <w:szCs w:val="24"/>
        </w:rPr>
      </w:r>
      <w:r/>
    </w:p>
    <w:p>
      <w:pPr>
        <w:pStyle w:val="1031"/>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前附表 </w:t>
      </w:r>
      <w:r>
        <w:rPr>
          <w:rFonts w:hint="eastAsia" w:ascii="宋体" w:hAnsi="宋体" w:eastAsia="宋体" w:cs="宋体"/>
          <w:color w:val="000000"/>
          <w:sz w:val="32"/>
          <w:szCs w:val="22"/>
        </w:rPr>
      </w:r>
      <w:r/>
    </w:p>
    <w:p>
      <w:pPr>
        <w:pStyle w:val="1031"/>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第一章  投标邀请函</w:t>
      </w:r>
      <w:r>
        <w:rPr>
          <w:rFonts w:hint="eastAsia" w:ascii="宋体" w:hAnsi="宋体" w:eastAsia="宋体" w:cs="宋体"/>
          <w:color w:val="000000"/>
          <w:sz w:val="32"/>
          <w:szCs w:val="22"/>
        </w:rPr>
      </w:r>
      <w:r/>
    </w:p>
    <w:p>
      <w:pPr>
        <w:pStyle w:val="1031"/>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第二章  投标人须知</w:t>
      </w:r>
      <w:r>
        <w:rPr>
          <w:rFonts w:hint="eastAsia" w:ascii="宋体" w:hAnsi="宋体" w:eastAsia="宋体" w:cs="宋体"/>
          <w:color w:val="000000"/>
          <w:sz w:val="32"/>
          <w:szCs w:val="22"/>
        </w:rPr>
      </w:r>
      <w:r/>
    </w:p>
    <w:p>
      <w:pPr>
        <w:pStyle w:val="1031"/>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第三章  投标文件格式</w:t>
      </w:r>
      <w:r>
        <w:rPr>
          <w:rFonts w:hint="eastAsia" w:ascii="宋体" w:hAnsi="宋体" w:eastAsia="宋体" w:cs="宋体"/>
          <w:color w:val="000000"/>
          <w:sz w:val="32"/>
          <w:szCs w:val="22"/>
        </w:rPr>
      </w:r>
      <w:r/>
    </w:p>
    <w:p>
      <w:pPr>
        <w:pStyle w:val="1031"/>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第四章  采购书</w:t>
      </w:r>
      <w:r>
        <w:rPr>
          <w:rFonts w:hint="eastAsia" w:ascii="宋体" w:hAnsi="宋体" w:eastAsia="宋体" w:cs="宋体"/>
          <w:color w:val="000000"/>
          <w:sz w:val="32"/>
          <w:szCs w:val="22"/>
        </w:rPr>
      </w:r>
      <w:r/>
    </w:p>
    <w:p>
      <w:pPr>
        <w:pStyle w:val="1031"/>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第五章  合同主要条款</w:t>
      </w:r>
      <w:r>
        <w:rPr>
          <w:rFonts w:hint="eastAsia" w:ascii="宋体" w:hAnsi="宋体" w:eastAsia="宋体" w:cs="宋体"/>
          <w:color w:val="000000"/>
          <w:sz w:val="32"/>
          <w:szCs w:val="22"/>
        </w:rPr>
      </w:r>
      <w:r/>
    </w:p>
    <w:p>
      <w:pPr>
        <w:pStyle w:val="1031"/>
        <w:spacing w:after="312" w:line="480" w:lineRule="auto"/>
        <w:tabs>
          <w:tab w:val="right" w:pos="8302" w:leader="dot"/>
        </w:tabs>
        <w:rPr>
          <w:rFonts w:hint="eastAsia" w:ascii="宋体" w:hAnsi="宋体" w:eastAsia="宋体" w:cs="宋体"/>
          <w:color w:val="000000"/>
          <w:sz w:val="32"/>
          <w:szCs w:val="22"/>
        </w:rPr>
      </w:pPr>
      <w:r>
        <w:rPr>
          <w:rFonts w:hint="eastAsia" w:ascii="宋体" w:hAnsi="宋体" w:eastAsia="宋体" w:cs="宋体"/>
          <w:color w:val="000000"/>
          <w:sz w:val="32"/>
          <w:szCs w:val="22"/>
        </w:rPr>
        <w:t xml:space="preserve">第六章  评标方法及评分标准</w:t>
      </w:r>
      <w:r>
        <w:rPr>
          <w:rFonts w:hint="eastAsia" w:ascii="宋体" w:hAnsi="宋体" w:eastAsia="宋体" w:cs="宋体"/>
          <w:color w:val="000000"/>
          <w:sz w:val="32"/>
          <w:szCs w:val="22"/>
        </w:rPr>
      </w:r>
      <w:r/>
    </w:p>
    <w:p>
      <w:pPr>
        <w:pStyle w:val="1004"/>
        <w:jc w:val="center"/>
        <w:spacing w:before="50" w:line="400" w:lineRule="exact"/>
        <w:rPr>
          <w:rFonts w:hint="eastAsia" w:ascii="宋体" w:hAnsi="宋体" w:eastAsia="宋体" w:cs="宋体"/>
          <w:b/>
          <w:color w:val="000000"/>
          <w:sz w:val="36"/>
        </w:rPr>
      </w:pPr>
      <w:r>
        <w:rPr>
          <w:rFonts w:hint="eastAsia" w:ascii="宋体" w:hAnsi="宋体" w:eastAsia="宋体" w:cs="宋体"/>
          <w:color w:val="000000"/>
          <w:sz w:val="32"/>
          <w:szCs w:val="24"/>
        </w:rPr>
        <w:br w:type="page" w:clear="all"/>
      </w:r>
      <w:r>
        <w:rPr>
          <w:rFonts w:hint="eastAsia" w:ascii="宋体" w:hAnsi="宋体" w:eastAsia="宋体" w:cs="宋体"/>
          <w:b/>
          <w:color w:val="000000"/>
          <w:sz w:val="32"/>
          <w:szCs w:val="32"/>
        </w:rPr>
        <w:t xml:space="preserve">前 附 表</w:t>
      </w:r>
      <w:r>
        <w:rPr>
          <w:rFonts w:hint="eastAsia" w:ascii="宋体" w:hAnsi="宋体" w:eastAsia="宋体" w:cs="宋体"/>
          <w:b/>
          <w:color w:val="000000"/>
          <w:sz w:val="36"/>
        </w:rPr>
      </w:r>
      <w:r/>
    </w:p>
    <w:p>
      <w:pPr>
        <w:pStyle w:val="1004"/>
        <w:jc w:val="center"/>
        <w:spacing w:before="156"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（下列附表说明是对招标文件的具体补充和修正，如有矛盾之处以本附表为准）</w:t>
      </w:r>
      <w:r>
        <w:rPr>
          <w:rFonts w:hint="eastAsia" w:ascii="宋体" w:hAnsi="宋体" w:eastAsia="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1004"/>
              <w:jc w:val="center"/>
              <w:spacing w:line="360" w:lineRule="exact"/>
              <w:widowControl w:val="off"/>
              <w:rPr>
                <w:rFonts w:hint="eastAsia" w:ascii="宋体" w:hAnsi="宋体" w:eastAsia="宋体" w:cs="宋体"/>
                <w:b/>
                <w:bCs/>
                <w:color w:val="000000"/>
                <w:sz w:val="21"/>
                <w:szCs w:val="21"/>
              </w:rPr>
            </w:pPr>
            <w:r/>
            <w:bookmarkStart w:id="0" w:name="_Toc142194255"/>
            <w:r>
              <w:rPr>
                <w:rFonts w:hint="eastAsia" w:ascii="宋体" w:hAnsi="宋体" w:eastAsia="宋体" w:cs="宋体"/>
                <w:b/>
                <w:bCs/>
                <w:color w:val="000000"/>
                <w:sz w:val="21"/>
                <w:szCs w:val="21"/>
                <w:lang w:val="zh-CN"/>
              </w:rPr>
              <w:t xml:space="preserve">项号</w:t>
            </w:r>
            <w:r>
              <w:rPr>
                <w:rFonts w:hint="eastAsia" w:ascii="宋体" w:hAnsi="宋体" w:eastAsia="宋体" w:cs="宋体"/>
                <w:b/>
                <w:bCs/>
                <w:color w:val="000000"/>
                <w:sz w:val="21"/>
                <w:szCs w:val="21"/>
              </w:rPr>
            </w:r>
            <w:r/>
          </w:p>
        </w:tc>
        <w:tc>
          <w:tcPr>
            <w:tcW w:w="1620" w:type="dxa"/>
            <w:vAlign w:val="center"/>
            <w:textDirection w:val="lrTb"/>
            <w:noWrap w:val="false"/>
          </w:tcPr>
          <w:p>
            <w:pPr>
              <w:pStyle w:val="1004"/>
              <w:jc w:val="center"/>
              <w:spacing w:line="360" w:lineRule="exact"/>
              <w:widowControl w:val="off"/>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名称</w:t>
            </w:r>
            <w:r>
              <w:rPr>
                <w:rFonts w:hint="eastAsia" w:ascii="宋体" w:hAnsi="宋体" w:eastAsia="宋体" w:cs="宋体"/>
                <w:b/>
                <w:bCs/>
                <w:color w:val="000000"/>
                <w:sz w:val="21"/>
                <w:szCs w:val="21"/>
                <w:lang w:val="zh-CN"/>
              </w:rPr>
            </w:r>
            <w:r/>
          </w:p>
        </w:tc>
        <w:tc>
          <w:tcPr>
            <w:tcW w:w="6345" w:type="dxa"/>
            <w:vAlign w:val="center"/>
            <w:textDirection w:val="lrTb"/>
            <w:noWrap w:val="false"/>
          </w:tcPr>
          <w:p>
            <w:pPr>
              <w:pStyle w:val="1004"/>
              <w:jc w:val="center"/>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内      容</w:t>
            </w:r>
            <w:r>
              <w:rPr>
                <w:rFonts w:hint="eastAsia" w:ascii="宋体" w:hAnsi="宋体" w:eastAsia="宋体" w:cs="宋体"/>
                <w:b/>
                <w:bCs/>
                <w:color w:val="000000"/>
                <w:sz w:val="21"/>
                <w:szCs w:val="21"/>
              </w:rPr>
            </w:r>
            <w:r/>
          </w:p>
        </w:tc>
      </w:tr>
      <w:tr>
        <w:trPr>
          <w:trHeight w:val="529"/>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zh-CN"/>
              </w:rPr>
            </w:r>
            <w:r/>
          </w:p>
        </w:tc>
        <w:tc>
          <w:tcPr>
            <w:tcW w:w="1620" w:type="dxa"/>
            <w:vAlign w:val="center"/>
            <w:textDirection w:val="lrTb"/>
            <w:noWrap w:val="false"/>
          </w:tcPr>
          <w:p>
            <w:pPr>
              <w:pStyle w:val="1004"/>
              <w:jc w:val="center"/>
              <w:spacing w:line="400" w:lineRule="exact"/>
              <w:widowControl w:val="off"/>
              <w:tabs>
                <w:tab w:val="left" w:pos="360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采购人</w:t>
            </w:r>
            <w:r>
              <w:rPr>
                <w:rFonts w:hint="eastAsia" w:ascii="宋体" w:hAnsi="宋体" w:eastAsia="宋体" w:cs="宋体"/>
                <w:color w:val="000000"/>
                <w:sz w:val="21"/>
                <w:szCs w:val="21"/>
                <w:lang w:val="zh-CN"/>
              </w:rPr>
            </w:r>
            <w:r/>
          </w:p>
        </w:tc>
        <w:tc>
          <w:tcPr>
            <w:tcW w:w="6345" w:type="dxa"/>
            <w:vAlign w:val="center"/>
            <w:textDirection w:val="lrTb"/>
            <w:noWrap w:val="false"/>
          </w:tcPr>
          <w:p>
            <w:pPr>
              <w:pStyle w:val="1004"/>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苏州工业园区服务外包职业学院</w:t>
            </w:r>
            <w:r>
              <w:rPr>
                <w:rFonts w:hint="eastAsia" w:ascii="宋体" w:hAnsi="宋体" w:eastAsia="宋体" w:cs="宋体"/>
                <w:color w:val="000000"/>
                <w:sz w:val="21"/>
                <w:szCs w:val="21"/>
              </w:rPr>
            </w:r>
            <w:r/>
          </w:p>
          <w:p>
            <w:pPr>
              <w:pStyle w:val="1004"/>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联系人：戚伟峰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联系电话：</w:t>
            </w:r>
            <w:r>
              <w:rPr>
                <w:rFonts w:hint="eastAsia" w:ascii="宋体" w:hAnsi="宋体" w:eastAsia="宋体" w:cs="宋体"/>
                <w:color w:val="000000"/>
                <w:sz w:val="21"/>
                <w:szCs w:val="21"/>
              </w:rPr>
              <w:t xml:space="preserve">0512-62760758</w:t>
            </w:r>
            <w:r>
              <w:rPr>
                <w:rFonts w:hint="eastAsia" w:ascii="宋体" w:hAnsi="宋体" w:eastAsia="宋体" w:cs="宋体"/>
                <w:color w:val="000000"/>
                <w:sz w:val="21"/>
                <w:szCs w:val="21"/>
              </w:rPr>
            </w:r>
            <w:r/>
          </w:p>
        </w:tc>
      </w:tr>
      <w:tr>
        <w:trPr>
          <w:trHeight w:val="480"/>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zh-CN"/>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采购编号</w:t>
            </w:r>
            <w:r>
              <w:rPr>
                <w:rFonts w:hint="eastAsia" w:ascii="宋体" w:hAnsi="宋体" w:eastAsia="宋体" w:cs="宋体"/>
                <w:color w:val="000000"/>
                <w:sz w:val="21"/>
                <w:szCs w:val="21"/>
              </w:rPr>
            </w:r>
            <w:r/>
          </w:p>
        </w:tc>
        <w:tc>
          <w:tcPr>
            <w:tcW w:w="6345" w:type="dxa"/>
            <w:vAlign w:val="center"/>
            <w:textDirection w:val="lrTb"/>
            <w:noWrap w:val="false"/>
          </w:tcPr>
          <w:p>
            <w:pPr>
              <w:pStyle w:val="1004"/>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JSZC-320591-SZWK-G2024-0397号</w:t>
            </w:r>
            <w:r>
              <w:rPr>
                <w:rFonts w:hint="eastAsia" w:ascii="宋体" w:hAnsi="宋体" w:eastAsia="宋体" w:cs="宋体"/>
                <w:color w:val="000000"/>
                <w:sz w:val="21"/>
                <w:szCs w:val="21"/>
              </w:rPr>
            </w:r>
            <w:r/>
          </w:p>
        </w:tc>
      </w:tr>
      <w:tr>
        <w:trPr>
          <w:trHeight w:val="480"/>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zh-CN"/>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采购内容</w:t>
            </w:r>
            <w:r>
              <w:rPr>
                <w:rFonts w:hint="eastAsia" w:ascii="宋体" w:hAnsi="宋体" w:eastAsia="宋体" w:cs="宋体"/>
                <w:color w:val="000000"/>
                <w:sz w:val="21"/>
                <w:szCs w:val="21"/>
              </w:rPr>
            </w:r>
            <w:r/>
          </w:p>
        </w:tc>
        <w:tc>
          <w:tcPr>
            <w:tcW w:w="6345" w:type="dxa"/>
            <w:vAlign w:val="center"/>
            <w:textDirection w:val="lrTb"/>
            <w:noWrap w:val="false"/>
          </w:tcPr>
          <w:p>
            <w:pPr>
              <w:pStyle w:val="1004"/>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苏州工业园区产教融合实践中心国产化实践教学课程与套件</w:t>
            </w:r>
            <w:r>
              <w:rPr>
                <w:rFonts w:hint="eastAsia" w:ascii="宋体" w:hAnsi="宋体" w:eastAsia="宋体" w:cs="宋体"/>
                <w:color w:val="000000"/>
                <w:sz w:val="21"/>
                <w:szCs w:val="21"/>
              </w:rPr>
            </w:r>
            <w:r/>
          </w:p>
        </w:tc>
      </w:tr>
      <w:tr>
        <w:trPr>
          <w:trHeight w:val="480"/>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w:t>
            </w:r>
            <w:r>
              <w:rPr>
                <w:rFonts w:hint="eastAsia" w:ascii="宋体" w:hAnsi="宋体" w:eastAsia="宋体" w:cs="宋体"/>
                <w:color w:val="000000"/>
                <w:sz w:val="21"/>
                <w:szCs w:val="21"/>
                <w:lang w:val="zh-CN"/>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投标有效期</w:t>
            </w:r>
            <w:r>
              <w:rPr>
                <w:rFonts w:hint="eastAsia" w:ascii="宋体" w:hAnsi="宋体" w:eastAsia="宋体" w:cs="宋体"/>
                <w:color w:val="000000"/>
                <w:sz w:val="21"/>
                <w:szCs w:val="21"/>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九</w:t>
            </w:r>
            <w:r>
              <w:rPr>
                <w:rFonts w:hint="eastAsia" w:ascii="宋体" w:hAnsi="宋体" w:eastAsia="宋体" w:cs="宋体"/>
                <w:color w:val="000000"/>
                <w:sz w:val="21"/>
                <w:szCs w:val="21"/>
                <w:lang w:val="zh-CN"/>
              </w:rPr>
              <w:t xml:space="preserve">十天（日历日）</w:t>
            </w:r>
            <w:r>
              <w:rPr>
                <w:rFonts w:hint="eastAsia" w:ascii="宋体" w:hAnsi="宋体" w:eastAsia="宋体" w:cs="宋体"/>
                <w:color w:val="000000"/>
                <w:sz w:val="21"/>
                <w:szCs w:val="21"/>
              </w:rPr>
            </w:r>
            <w:r/>
          </w:p>
        </w:tc>
      </w:tr>
      <w:tr>
        <w:trPr>
          <w:trHeight w:val="693"/>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w:t>
            </w:r>
            <w:r>
              <w:rPr>
                <w:rFonts w:hint="eastAsia" w:ascii="宋体" w:hAnsi="宋体" w:eastAsia="宋体" w:cs="宋体"/>
                <w:color w:val="000000"/>
                <w:sz w:val="21"/>
                <w:szCs w:val="21"/>
                <w:lang w:val="zh-CN"/>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投标保证金</w:t>
            </w:r>
            <w:r>
              <w:rPr>
                <w:rFonts w:hint="eastAsia" w:ascii="宋体" w:hAnsi="宋体" w:eastAsia="宋体" w:cs="宋体"/>
                <w:color w:val="000000"/>
                <w:sz w:val="21"/>
                <w:szCs w:val="21"/>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rPr>
            </w:pPr>
            <w:r>
              <w:rPr>
                <w:rFonts w:hint="eastAsia" w:ascii="宋体" w:hAnsi="宋体" w:eastAsia="宋体" w:cs="宋体"/>
                <w:b/>
                <w:bCs/>
                <w:color w:val="000000"/>
                <w:sz w:val="21"/>
                <w:szCs w:val="21"/>
              </w:rPr>
              <w:t xml:space="preserve">无</w:t>
            </w:r>
            <w:r>
              <w:rPr>
                <w:rFonts w:hint="eastAsia" w:ascii="宋体" w:hAnsi="宋体" w:eastAsia="宋体" w:cs="宋体"/>
                <w:color w:val="000000"/>
              </w:rPr>
            </w:r>
            <w:r/>
          </w:p>
        </w:tc>
      </w:tr>
      <w:tr>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w:t>
            </w:r>
            <w:r>
              <w:rPr>
                <w:rFonts w:hint="eastAsia" w:ascii="宋体" w:hAnsi="宋体" w:eastAsia="宋体" w:cs="宋体"/>
                <w:color w:val="000000"/>
                <w:sz w:val="21"/>
                <w:szCs w:val="21"/>
                <w:lang w:val="zh-CN"/>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采购代理机构</w:t>
            </w:r>
            <w:r>
              <w:rPr>
                <w:rFonts w:hint="eastAsia" w:ascii="宋体" w:hAnsi="宋体" w:eastAsia="宋体" w:cs="宋体"/>
                <w:color w:val="000000"/>
                <w:sz w:val="21"/>
                <w:szCs w:val="21"/>
                <w:lang w:val="zh-CN"/>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苏州市卫康招投标咨询服务有限公司</w:t>
            </w:r>
            <w:r>
              <w:rPr>
                <w:rFonts w:hint="eastAsia" w:ascii="宋体" w:hAnsi="宋体" w:eastAsia="宋体" w:cs="宋体"/>
                <w:color w:val="000000"/>
                <w:sz w:val="21"/>
                <w:szCs w:val="21"/>
              </w:rPr>
            </w:r>
            <w:r/>
          </w:p>
          <w:p>
            <w:pPr>
              <w:pStyle w:val="1004"/>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地</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址：苏州市姑苏区干将西路1296号深业姑苏中心1幢17层</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邮编：</w:t>
            </w:r>
            <w:r>
              <w:rPr>
                <w:rFonts w:hint="eastAsia" w:ascii="宋体" w:hAnsi="宋体" w:eastAsia="宋体" w:cs="宋体"/>
                <w:color w:val="000000"/>
                <w:sz w:val="21"/>
                <w:szCs w:val="21"/>
              </w:rPr>
              <w:t xml:space="preserve">215005</w:t>
            </w:r>
            <w:r>
              <w:rPr>
                <w:rFonts w:hint="eastAsia" w:ascii="宋体" w:hAnsi="宋体" w:eastAsia="宋体" w:cs="宋体"/>
                <w:color w:val="000000"/>
                <w:sz w:val="21"/>
                <w:szCs w:val="21"/>
              </w:rPr>
            </w:r>
            <w:r/>
          </w:p>
          <w:p>
            <w:pPr>
              <w:pStyle w:val="1004"/>
              <w:jc w:val="both"/>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电话：0512-65158848-8019</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联系人：郇为凯、钱卫吉、李东 </w:t>
            </w:r>
            <w:r>
              <w:rPr>
                <w:rFonts w:hint="eastAsia" w:ascii="宋体" w:hAnsi="宋体" w:eastAsia="宋体" w:cs="宋体"/>
                <w:color w:val="000000"/>
                <w:sz w:val="21"/>
                <w:szCs w:val="21"/>
                <w:lang w:val="zh-CN"/>
              </w:rPr>
            </w:r>
            <w:r/>
          </w:p>
          <w:p>
            <w:pPr>
              <w:pStyle w:val="1004"/>
              <w:jc w:val="both"/>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传真</w:t>
            </w:r>
            <w:r>
              <w:rPr>
                <w:rFonts w:hint="eastAsia" w:ascii="宋体" w:hAnsi="宋体" w:eastAsia="宋体" w:cs="宋体"/>
                <w:color w:val="000000"/>
                <w:sz w:val="21"/>
                <w:szCs w:val="21"/>
              </w:rPr>
              <w:t xml:space="preserve">：0512-65153553</w:t>
            </w:r>
            <w:r>
              <w:rPr>
                <w:rFonts w:hint="eastAsia" w:ascii="宋体" w:hAnsi="宋体" w:eastAsia="宋体" w:cs="宋体"/>
                <w:color w:val="000000"/>
                <w:sz w:val="21"/>
                <w:szCs w:val="21"/>
                <w:lang w:val="zh-CN"/>
              </w:rPr>
            </w:r>
            <w:r/>
          </w:p>
        </w:tc>
      </w:tr>
      <w:tr>
        <w:trPr>
          <w:trHeight w:val="456"/>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报名方式</w:t>
            </w:r>
            <w:r>
              <w:rPr>
                <w:rFonts w:hint="eastAsia" w:ascii="宋体" w:hAnsi="宋体" w:eastAsia="宋体" w:cs="宋体"/>
                <w:color w:val="000000"/>
                <w:sz w:val="21"/>
                <w:szCs w:val="21"/>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网上报名</w:t>
            </w:r>
            <w:r>
              <w:rPr>
                <w:rFonts w:hint="eastAsia" w:ascii="宋体" w:hAnsi="宋体" w:eastAsia="宋体" w:cs="宋体"/>
                <w:color w:val="000000"/>
                <w:sz w:val="21"/>
                <w:szCs w:val="21"/>
                <w:lang w:val="zh-CN"/>
              </w:rPr>
            </w:r>
            <w:r/>
          </w:p>
        </w:tc>
      </w:tr>
      <w:tr>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8</w:t>
            </w:r>
            <w:r>
              <w:rPr>
                <w:rFonts w:hint="eastAsia" w:ascii="宋体" w:hAnsi="宋体" w:eastAsia="宋体" w:cs="宋体"/>
                <w:color w:val="000000"/>
                <w:sz w:val="21"/>
                <w:szCs w:val="21"/>
                <w:lang w:val="zh-CN"/>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招标文件获取时间、地点</w:t>
            </w:r>
            <w:r>
              <w:rPr>
                <w:rFonts w:hint="eastAsia" w:ascii="宋体" w:hAnsi="宋体" w:eastAsia="宋体" w:cs="宋体"/>
                <w:color w:val="000000"/>
                <w:sz w:val="21"/>
                <w:szCs w:val="21"/>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时间：自</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lang w:val="zh-CN"/>
              </w:rPr>
              <w:t xml:space="preserve">公告挂网之日起</w:t>
            </w:r>
            <w:r>
              <w:rPr>
                <w:rFonts w:hint="eastAsia" w:ascii="宋体" w:hAnsi="宋体" w:eastAsia="宋体" w:cs="宋体"/>
                <w:color w:val="000000"/>
                <w:sz w:val="21"/>
                <w:szCs w:val="21"/>
              </w:rPr>
              <w:t xml:space="preserve">至2024年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rPr>
              <w:t xml:space="preserve">10日</w:t>
            </w:r>
            <w:r>
              <w:rPr>
                <w:rFonts w:hint="eastAsia" w:ascii="宋体" w:hAnsi="宋体" w:eastAsia="宋体" w:cs="宋体"/>
                <w:color w:val="000000"/>
                <w:sz w:val="21"/>
                <w:szCs w:val="21"/>
                <w:lang w:val="zh-CN"/>
              </w:rPr>
            </w:r>
            <w:r/>
          </w:p>
          <w:p>
            <w:pPr>
              <w:pStyle w:val="1004"/>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地点：</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val="zh-CN"/>
              </w:rPr>
              <w:t xml:space="preserve">免费下载</w:t>
            </w:r>
            <w:r>
              <w:rPr>
                <w:rFonts w:hint="eastAsia" w:ascii="宋体" w:hAnsi="宋体" w:eastAsia="宋体" w:cs="宋体"/>
                <w:color w:val="000000"/>
                <w:sz w:val="21"/>
                <w:szCs w:val="21"/>
              </w:rPr>
            </w:r>
            <w:r/>
          </w:p>
        </w:tc>
      </w:tr>
      <w:tr>
        <w:trPr>
          <w:trHeight w:val="480"/>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投标文件份数</w:t>
            </w:r>
            <w:r>
              <w:rPr>
                <w:rFonts w:hint="eastAsia" w:ascii="宋体" w:hAnsi="宋体" w:eastAsia="宋体" w:cs="宋体"/>
                <w:color w:val="000000"/>
                <w:sz w:val="21"/>
                <w:szCs w:val="21"/>
                <w:lang w:val="zh-CN"/>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系统中上传一份电子投标文件。</w:t>
            </w:r>
            <w:r>
              <w:rPr>
                <w:rFonts w:hint="eastAsia" w:ascii="宋体" w:hAnsi="宋体" w:eastAsia="宋体" w:cs="宋体"/>
                <w:color w:val="000000"/>
                <w:sz w:val="21"/>
                <w:szCs w:val="21"/>
              </w:rPr>
            </w:r>
            <w:r/>
          </w:p>
        </w:tc>
      </w:tr>
      <w:tr>
        <w:trPr>
          <w:trHeight w:val="480"/>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投标时间</w:t>
            </w:r>
            <w:r>
              <w:rPr>
                <w:rFonts w:hint="eastAsia" w:ascii="宋体" w:hAnsi="宋体" w:eastAsia="宋体" w:cs="宋体"/>
                <w:color w:val="000000"/>
                <w:sz w:val="21"/>
                <w:szCs w:val="21"/>
                <w:lang w:val="zh-CN"/>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递交电子响应文件截止时间：2024年12月24日09:30前（北京时间）</w:t>
            </w:r>
            <w:r>
              <w:rPr>
                <w:rFonts w:hint="eastAsia" w:ascii="宋体" w:hAnsi="宋体" w:eastAsia="宋体" w:cs="宋体"/>
                <w:color w:val="000000"/>
                <w:sz w:val="21"/>
                <w:szCs w:val="21"/>
                <w:lang w:val="zh-CN"/>
              </w:rPr>
            </w:r>
            <w:r/>
          </w:p>
        </w:tc>
      </w:tr>
      <w:tr>
        <w:trPr>
          <w:trHeight w:val="440"/>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投标文件递交地点</w:t>
            </w:r>
            <w:r>
              <w:rPr>
                <w:rFonts w:hint="eastAsia" w:ascii="宋体" w:hAnsi="宋体" w:eastAsia="宋体" w:cs="宋体"/>
                <w:color w:val="000000"/>
                <w:sz w:val="21"/>
                <w:szCs w:val="21"/>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rPr>
            </w:r>
            <w:r/>
          </w:p>
        </w:tc>
      </w:tr>
      <w:tr>
        <w:trPr>
          <w:trHeight w:val="414"/>
        </w:trPr>
        <w:tc>
          <w:tcPr>
            <w:tcW w:w="791"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开标时间</w:t>
            </w:r>
            <w:r>
              <w:rPr>
                <w:rFonts w:hint="eastAsia" w:ascii="宋体" w:hAnsi="宋体" w:eastAsia="宋体" w:cs="宋体"/>
                <w:color w:val="000000"/>
                <w:sz w:val="21"/>
                <w:szCs w:val="21"/>
                <w:lang w:val="zh-CN"/>
              </w:rPr>
            </w:r>
            <w:r/>
          </w:p>
          <w:p>
            <w:pPr>
              <w:pStyle w:val="1004"/>
              <w:jc w:val="center"/>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地点</w:t>
            </w:r>
            <w:r>
              <w:rPr>
                <w:rFonts w:hint="eastAsia" w:ascii="宋体" w:hAnsi="宋体" w:eastAsia="宋体" w:cs="宋体"/>
                <w:color w:val="000000"/>
                <w:sz w:val="21"/>
                <w:szCs w:val="21"/>
              </w:rPr>
            </w:r>
            <w:r/>
          </w:p>
        </w:tc>
        <w:tc>
          <w:tcPr>
            <w:tcW w:w="6345" w:type="dxa"/>
            <w:vAlign w:val="center"/>
            <w:textDirection w:val="lrTb"/>
            <w:noWrap w:val="false"/>
          </w:tcPr>
          <w:p>
            <w:pPr>
              <w:pStyle w:val="1004"/>
              <w:jc w:val="both"/>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时间：2024年12月24日</w:t>
            </w:r>
            <w:r>
              <w:rPr>
                <w:rFonts w:hint="eastAsia" w:ascii="宋体" w:hAnsi="宋体" w:eastAsia="宋体" w:cs="宋体"/>
                <w:color w:val="000000"/>
                <w:sz w:val="21"/>
                <w:szCs w:val="21"/>
              </w:rPr>
              <w:t xml:space="preserve">09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lang w:val="zh-CN"/>
              </w:rPr>
              <w:t xml:space="preserve">（北京时间）</w:t>
            </w:r>
            <w:r>
              <w:rPr>
                <w:rFonts w:hint="eastAsia" w:ascii="宋体" w:hAnsi="宋体" w:eastAsia="宋体" w:cs="宋体"/>
                <w:color w:val="000000"/>
                <w:sz w:val="21"/>
                <w:szCs w:val="21"/>
                <w:lang w:val="zh-CN"/>
              </w:rPr>
            </w:r>
            <w:r/>
          </w:p>
          <w:p>
            <w:pPr>
              <w:pStyle w:val="1004"/>
              <w:jc w:val="both"/>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地点：</w:t>
            </w:r>
            <w:r>
              <w:rPr>
                <w:rFonts w:hint="eastAsia" w:ascii="宋体" w:hAnsi="宋体" w:eastAsia="宋体" w:cs="宋体"/>
                <w:color w:val="000000"/>
                <w:sz w:val="21"/>
                <w:szCs w:val="21"/>
                <w:lang w:val="zh-CN"/>
              </w:rPr>
              <w:t xml:space="preserve">苏州工业园区公共资源交易中心开标室（具体开标室见服务大厅显示屏）</w:t>
            </w:r>
            <w:r>
              <w:rPr>
                <w:rFonts w:hint="eastAsia" w:ascii="宋体" w:hAnsi="宋体" w:eastAsia="宋体" w:cs="宋体"/>
                <w:color w:val="000000"/>
                <w:sz w:val="21"/>
                <w:szCs w:val="21"/>
                <w:lang w:val="zh-CN"/>
              </w:rPr>
            </w:r>
            <w:r/>
          </w:p>
        </w:tc>
      </w:tr>
      <w:tr>
        <w:trPr>
          <w:trHeight w:val="343"/>
        </w:trPr>
        <w:tc>
          <w:tcPr>
            <w:tcW w:w="791" w:type="dxa"/>
            <w:vAlign w:val="center"/>
            <w:textDirection w:val="lrTb"/>
            <w:noWrap w:val="false"/>
          </w:tcPr>
          <w:p>
            <w:pPr>
              <w:pStyle w:val="1004"/>
              <w:jc w:val="center"/>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中标服务费</w:t>
            </w:r>
            <w:r>
              <w:rPr>
                <w:rFonts w:hint="eastAsia" w:ascii="宋体" w:hAnsi="宋体" w:eastAsia="宋体" w:cs="宋体"/>
                <w:color w:val="000000"/>
                <w:sz w:val="21"/>
                <w:szCs w:val="21"/>
                <w:lang w:val="zh-CN"/>
              </w:rPr>
            </w:r>
            <w:r/>
          </w:p>
        </w:tc>
        <w:tc>
          <w:tcPr>
            <w:tcW w:w="6345" w:type="dxa"/>
            <w:vAlign w:val="center"/>
            <w:textDirection w:val="lrTb"/>
            <w:noWrap w:val="false"/>
          </w:tcPr>
          <w:p>
            <w:pPr>
              <w:pStyle w:val="100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领取中标通知书时中标人向采购代理机构支付服务费，具体为按预算总金额的如下比例差额定率累进法计算服务费总收取额，领取中标通知书时中标人向采购代理机构一次性付清。</w:t>
            </w:r>
            <w:r>
              <w:rPr>
                <w:rFonts w:hint="eastAsia" w:ascii="宋体" w:hAnsi="宋体" w:eastAsia="宋体" w:cs="宋体"/>
                <w:color w:val="000000"/>
                <w:sz w:val="21"/>
                <w:szCs w:val="21"/>
              </w:rPr>
            </w:r>
            <w:r/>
          </w:p>
          <w:p>
            <w:pPr>
              <w:pStyle w:val="100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100万元（含）以下部分1.5%</w:t>
            </w:r>
            <w:r>
              <w:rPr>
                <w:rFonts w:hint="eastAsia" w:ascii="宋体" w:hAnsi="宋体" w:eastAsia="宋体" w:cs="宋体"/>
                <w:color w:val="000000"/>
                <w:sz w:val="21"/>
                <w:szCs w:val="21"/>
              </w:rPr>
            </w:r>
            <w:r/>
          </w:p>
          <w:p>
            <w:pPr>
              <w:pStyle w:val="100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500万元（含）部分1.1%</w:t>
            </w:r>
            <w:r>
              <w:rPr>
                <w:rFonts w:hint="eastAsia" w:ascii="宋体" w:hAnsi="宋体" w:eastAsia="宋体" w:cs="宋体"/>
                <w:color w:val="000000"/>
                <w:sz w:val="21"/>
                <w:szCs w:val="21"/>
              </w:rPr>
            </w:r>
            <w:r/>
          </w:p>
          <w:p>
            <w:pPr>
              <w:pStyle w:val="1004"/>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1000万元（含）部分0.8%</w:t>
            </w:r>
            <w:r>
              <w:rPr>
                <w:rFonts w:hint="eastAsia" w:ascii="宋体" w:hAnsi="宋体" w:eastAsia="宋体" w:cs="宋体"/>
                <w:color w:val="000000"/>
                <w:sz w:val="21"/>
                <w:szCs w:val="21"/>
              </w:rPr>
            </w:r>
            <w:r/>
          </w:p>
          <w:p>
            <w:pPr>
              <w:pStyle w:val="1004"/>
              <w:spacing w:line="400" w:lineRule="exact"/>
              <w:rPr>
                <w:rFonts w:hint="eastAsia" w:ascii="宋体" w:hAnsi="宋体" w:eastAsia="宋体" w:cs="宋体"/>
                <w:color w:val="000000"/>
              </w:rPr>
            </w:pPr>
            <w:r>
              <w:rPr>
                <w:rFonts w:hint="eastAsia" w:ascii="宋体" w:hAnsi="宋体" w:eastAsia="宋体" w:cs="宋体"/>
                <w:color w:val="000000"/>
                <w:sz w:val="21"/>
                <w:szCs w:val="21"/>
                <w:lang w:val="en-US" w:eastAsia="zh-CN"/>
              </w:rPr>
              <w:t xml:space="preserve">1000</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000万元（含）部分0.</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color w:val="000000"/>
              </w:rPr>
            </w:r>
            <w:r/>
          </w:p>
        </w:tc>
      </w:tr>
      <w:tr>
        <w:trPr>
          <w:trHeight w:val="426"/>
        </w:trPr>
        <w:tc>
          <w:tcPr>
            <w:tcW w:w="791" w:type="dxa"/>
            <w:vAlign w:val="center"/>
            <w:textDirection w:val="lrTb"/>
            <w:noWrap w:val="false"/>
          </w:tcPr>
          <w:p>
            <w:pPr>
              <w:pStyle w:val="1004"/>
              <w:jc w:val="center"/>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导致废标因素</w:t>
            </w:r>
            <w:r>
              <w:rPr>
                <w:rFonts w:hint="eastAsia" w:ascii="宋体" w:hAnsi="宋体" w:eastAsia="宋体" w:cs="宋体"/>
                <w:color w:val="000000"/>
                <w:sz w:val="21"/>
                <w:szCs w:val="21"/>
                <w:lang w:val="zh-CN"/>
              </w:rPr>
            </w:r>
            <w:r/>
          </w:p>
        </w:tc>
        <w:tc>
          <w:tcPr>
            <w:tcW w:w="6345" w:type="dxa"/>
            <w:vAlign w:val="center"/>
            <w:textDirection w:val="lrTb"/>
            <w:noWrap w:val="false"/>
          </w:tcPr>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出现下列情形之一的，为废标： </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（一）符合专业条件的供应商或者对招标文件作实质响应的供应商不足三家的； </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（二）出现影响采购公正的违法、违规行为的； </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（三）投标人的报价均超过了采购预算或者最高限价，采购人不能支付的； </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zh-CN"/>
              </w:rPr>
              <w:t xml:space="preserve">（四）因重大变故，采购任务取消的。</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426"/>
        </w:trPr>
        <w:tc>
          <w:tcPr>
            <w:tcW w:w="791" w:type="dxa"/>
            <w:vAlign w:val="center"/>
            <w:textDirection w:val="lrTb"/>
            <w:noWrap w:val="false"/>
          </w:tcPr>
          <w:p>
            <w:pPr>
              <w:pStyle w:val="1004"/>
              <w:jc w:val="center"/>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1620" w:type="dxa"/>
            <w:vAlign w:val="center"/>
            <w:textDirection w:val="lrTb"/>
            <w:noWrap w:val="false"/>
          </w:tcPr>
          <w:p>
            <w:pPr>
              <w:pStyle w:val="1004"/>
              <w:jc w:val="center"/>
              <w:spacing w:line="4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导致无效标</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因素</w:t>
            </w:r>
            <w:r>
              <w:rPr>
                <w:rFonts w:hint="eastAsia" w:ascii="宋体" w:hAnsi="宋体" w:eastAsia="宋体" w:cs="宋体"/>
                <w:color w:val="000000"/>
                <w:sz w:val="21"/>
                <w:szCs w:val="21"/>
                <w:lang w:val="zh-CN"/>
              </w:rPr>
            </w:r>
            <w:r/>
          </w:p>
        </w:tc>
        <w:tc>
          <w:tcPr>
            <w:tcW w:w="6345" w:type="dxa"/>
            <w:vAlign w:val="center"/>
            <w:textDirection w:val="lrTb"/>
            <w:noWrap w:val="false"/>
          </w:tcPr>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投标文件属下列情况之一的，在资格性、符合性检查时按照无效投标处理：</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（一）投标文件未按招标文件要求</w:t>
            </w:r>
            <w:r>
              <w:rPr>
                <w:rFonts w:hint="eastAsia" w:ascii="宋体" w:hAnsi="宋体" w:eastAsia="宋体" w:cs="宋体"/>
                <w:b/>
                <w:bCs/>
                <w:color w:val="000000"/>
                <w:sz w:val="21"/>
                <w:szCs w:val="21"/>
              </w:rPr>
              <w:t xml:space="preserve">签章</w:t>
            </w:r>
            <w:r>
              <w:rPr>
                <w:rFonts w:hint="eastAsia" w:ascii="宋体" w:hAnsi="宋体" w:eastAsia="宋体" w:cs="宋体"/>
                <w:b/>
                <w:bCs/>
                <w:color w:val="000000"/>
                <w:sz w:val="21"/>
                <w:szCs w:val="21"/>
                <w:lang w:val="zh-CN"/>
              </w:rPr>
              <w:t xml:space="preserve">的；</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（二）不具备招标文件中规定的资格要求的；</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（三）报价超过招标文件中规定的预算金额或者最高限价的；</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（四）投标文件含有采购人不能接受的附加条件的；</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（五）法律、法规和招标文件规定的其他无效情形；</w:t>
            </w:r>
            <w:r>
              <w:rPr>
                <w:rFonts w:hint="eastAsia" w:ascii="宋体" w:hAnsi="宋体" w:eastAsia="宋体" w:cs="宋体"/>
                <w:b/>
                <w:bCs/>
                <w:color w:val="000000"/>
                <w:sz w:val="21"/>
                <w:szCs w:val="21"/>
                <w:lang w:val="zh-CN"/>
              </w:rPr>
            </w:r>
            <w:r/>
          </w:p>
          <w:p>
            <w:pPr>
              <w:pStyle w:val="1004"/>
              <w:jc w:val="both"/>
              <w:spacing w:line="400" w:lineRule="exact"/>
              <w:rPr>
                <w:rFonts w:hint="eastAsia" w:ascii="宋体" w:hAnsi="宋体" w:eastAsia="宋体" w:cs="宋体"/>
                <w:color w:val="000000"/>
                <w:lang w:val="zh-CN"/>
              </w:rPr>
            </w:pP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rPr>
              <w:t xml:space="preserve">六</w:t>
            </w:r>
            <w:r>
              <w:rPr>
                <w:rFonts w:hint="eastAsia" w:ascii="宋体" w:hAnsi="宋体" w:eastAsia="宋体" w:cs="宋体"/>
                <w:b/>
                <w:bCs/>
                <w:color w:val="000000"/>
                <w:sz w:val="21"/>
                <w:szCs w:val="21"/>
                <w:lang w:val="zh-CN"/>
              </w:rPr>
              <w:t xml:space="preserve">）不同投标（响应）文件制作机器码一致，表明各投标（响应）文件在同一台电脑上制作，各供应商之间涉嫌串通投标，将作为无效投标处理。</w:t>
            </w:r>
            <w:r>
              <w:rPr>
                <w:rFonts w:hint="eastAsia" w:ascii="宋体" w:hAnsi="宋体" w:eastAsia="宋体" w:cs="宋体"/>
                <w:color w:val="000000"/>
                <w:lang w:val="zh-CN"/>
              </w:rPr>
            </w:r>
            <w:r/>
          </w:p>
        </w:tc>
      </w:tr>
    </w:tbl>
    <w:p>
      <w:pPr>
        <w:pStyle w:val="1004"/>
        <w:jc w:val="center"/>
        <w:rPr>
          <w:rFonts w:hint="eastAsia" w:ascii="宋体" w:hAnsi="宋体" w:eastAsia="宋体" w:cs="宋体"/>
          <w:color w:val="000000"/>
          <w:sz w:val="36"/>
          <w:szCs w:val="36"/>
        </w:rPr>
      </w:pPr>
      <w:r>
        <w:rPr>
          <w:rFonts w:hint="eastAsia" w:ascii="宋体" w:hAnsi="宋体" w:eastAsia="宋体" w:cs="宋体"/>
          <w:color w:val="000000"/>
        </w:rPr>
        <w:br w:type="page" w:clear="all"/>
      </w:r>
      <w:r>
        <w:rPr>
          <w:rFonts w:hint="eastAsia" w:ascii="宋体" w:hAnsi="宋体" w:eastAsia="宋体" w:cs="宋体"/>
          <w:b/>
          <w:color w:val="000000"/>
          <w:sz w:val="32"/>
          <w:szCs w:val="32"/>
        </w:rPr>
        <w:t xml:space="preserve">第一章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投标邀请函</w:t>
      </w:r>
      <w:bookmarkEnd w:id="0"/>
      <w:r>
        <w:rPr>
          <w:rFonts w:hint="eastAsia" w:ascii="宋体" w:hAnsi="宋体" w:eastAsia="宋体" w:cs="宋体"/>
          <w:color w:val="000000"/>
          <w:sz w:val="36"/>
          <w:szCs w:val="36"/>
        </w:rPr>
      </w:r>
      <w:r/>
    </w:p>
    <w:p>
      <w:pPr>
        <w:pStyle w:val="1004"/>
        <w:ind w:right="32"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受苏州工业园区服务外包职业学院之委托，苏州市卫康招投标咨询服务有限公司作为采购代理机构，对其所需的苏州工业园区产教融合实践中心国产化实践教学课程与套件进行国内公开招标。欢迎符合资格条件的供应商报名参加投标。</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1、项目编号：JSZC-320591-SZWK-G2024-0397号</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2、项目名称：苏州工业园区产教融合实践中心国产化实践教学课程与套件</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3、预算金额：1045</w:t>
      </w:r>
      <w:r>
        <w:rPr>
          <w:rFonts w:hint="eastAsia" w:ascii="宋体" w:hAnsi="宋体" w:eastAsia="宋体" w:cs="宋体"/>
          <w:color w:val="000000"/>
          <w:sz w:val="21"/>
          <w:szCs w:val="21"/>
          <w:lang w:val="en-US" w:eastAsia="zh-CN"/>
        </w:rPr>
        <w:t xml:space="preserve">.00</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p>
      <w:pPr>
        <w:pStyle w:val="1004"/>
        <w:ind w:firstLine="420"/>
        <w:jc w:val="both"/>
        <w:keepLines w:val="0"/>
        <w:keepNext w:val="0"/>
        <w:pageBreakBefore w:val="0"/>
        <w:spacing w:line="46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4、最高限价：</w:t>
      </w:r>
      <w:r>
        <w:rPr>
          <w:rFonts w:hint="eastAsia" w:ascii="宋体" w:hAnsi="宋体" w:eastAsia="宋体" w:cs="宋体"/>
          <w:color w:val="000000"/>
          <w:sz w:val="21"/>
          <w:szCs w:val="21"/>
          <w:lang w:val="en-US" w:eastAsia="zh-CN"/>
        </w:rPr>
        <w:t xml:space="preserve">1045.00</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lang w:eastAsia="zh-CN"/>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递交电子响应文件截止时间：</w:t>
      </w:r>
      <w:r>
        <w:rPr>
          <w:rFonts w:hint="eastAsia" w:ascii="宋体" w:hAnsi="宋体" w:eastAsia="宋体" w:cs="宋体"/>
          <w:color w:val="000000"/>
          <w:sz w:val="21"/>
          <w:szCs w:val="21"/>
          <w:lang w:eastAsia="zh-CN"/>
        </w:rPr>
        <w:t xml:space="preserve">2024年12月24日</w:t>
      </w:r>
      <w:r>
        <w:rPr>
          <w:rFonts w:hint="eastAsia" w:ascii="宋体" w:hAnsi="宋体" w:eastAsia="宋体" w:cs="宋体"/>
          <w:color w:val="000000"/>
          <w:sz w:val="21"/>
          <w:szCs w:val="21"/>
        </w:rPr>
        <w:t xml:space="preserve">09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30（北京时间）</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投标地点：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苏采云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系统</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6、开标时间：</w:t>
      </w:r>
      <w:r>
        <w:rPr>
          <w:rFonts w:hint="eastAsia" w:ascii="宋体" w:hAnsi="宋体" w:eastAsia="宋体" w:cs="宋体"/>
          <w:color w:val="000000"/>
          <w:sz w:val="21"/>
          <w:szCs w:val="21"/>
          <w:lang w:eastAsia="zh-CN"/>
        </w:rPr>
        <w:t xml:space="preserve">2024年12月24日</w:t>
      </w:r>
      <w:r>
        <w:rPr>
          <w:rFonts w:hint="eastAsia" w:ascii="宋体" w:hAnsi="宋体" w:eastAsia="宋体" w:cs="宋体"/>
          <w:color w:val="000000"/>
          <w:sz w:val="21"/>
          <w:szCs w:val="21"/>
        </w:rPr>
        <w:t xml:space="preserve">09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30（北京时间）</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7、开标地点：</w:t>
      </w:r>
      <w:r>
        <w:rPr>
          <w:rFonts w:hint="eastAsia" w:ascii="宋体" w:hAnsi="宋体" w:eastAsia="宋体" w:cs="宋体"/>
          <w:color w:val="000000"/>
          <w:sz w:val="21"/>
          <w:szCs w:val="21"/>
          <w:lang w:val="zh-CN"/>
        </w:rPr>
        <w:t xml:space="preserve">苏州工业园区公共资源交易中心开标室（具体开标室见服务大厅显示屏）</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8、联系单位：</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（1）采购人：苏州工业园区服务外包职业学院</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联系人：戚伟峰</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联系电话：</w:t>
      </w:r>
      <w:r>
        <w:rPr>
          <w:rFonts w:hint="eastAsia" w:ascii="宋体" w:hAnsi="宋体" w:eastAsia="宋体" w:cs="宋体"/>
          <w:color w:val="000000"/>
          <w:sz w:val="21"/>
          <w:szCs w:val="21"/>
        </w:rPr>
        <w:t xml:space="preserve">0512-62760758</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地址：苏州工业园区独墅湖科教创新区松涛街208号  </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（2）采购代理机构：苏州市卫康招投标咨询服务有限公司</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地址：苏州市姑苏区干将西路1296号深业姑苏中心1幢17层            </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邮编：215005，0512-65153553 （FAX）</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联系人：郇为凯、钱卫吉、李东 </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联系电话：0512-65158848-8019</w:t>
      </w:r>
      <w:r>
        <w:rPr>
          <w:rFonts w:hint="eastAsia" w:ascii="宋体" w:hAnsi="宋体" w:eastAsia="宋体" w:cs="宋体"/>
          <w:color w:val="000000"/>
          <w:sz w:val="21"/>
          <w:szCs w:val="21"/>
        </w:rPr>
      </w:r>
      <w:r/>
    </w:p>
    <w:p>
      <w:pPr>
        <w:pStyle w:val="1004"/>
        <w:ind w:right="32" w:firstLine="420"/>
        <w:jc w:val="both"/>
        <w:keepLines w:val="0"/>
        <w:keepNext w:val="0"/>
        <w:pageBreakBefore w:val="0"/>
        <w:spacing w:line="46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请投标单位获取本招标文件后，认真阅读招标文件进行必要的投标准备，并按招标文件的要求编制投标文件，并按“前附表”确定的时间、地点准时参加投标。</w:t>
      </w:r>
      <w:r>
        <w:rPr>
          <w:rFonts w:hint="eastAsia" w:ascii="宋体" w:hAnsi="宋体" w:eastAsia="宋体" w:cs="宋体"/>
          <w:color w:val="000000"/>
          <w:sz w:val="21"/>
          <w:szCs w:val="21"/>
          <w:lang w:eastAsia="zh-CN"/>
        </w:rPr>
      </w:r>
      <w:r/>
    </w:p>
    <w:p>
      <w:pPr>
        <w:pStyle w:val="1004"/>
        <w:jc w:val="center"/>
        <w:spacing w:line="400" w:lineRule="exact"/>
        <w:rPr>
          <w:rFonts w:hint="eastAsia" w:ascii="宋体" w:hAnsi="宋体" w:eastAsia="宋体" w:cs="宋体"/>
          <w:b/>
          <w:color w:val="000000"/>
          <w:sz w:val="36"/>
          <w:szCs w:val="36"/>
        </w:rPr>
      </w:pPr>
      <w:r/>
      <w:bookmarkStart w:id="1" w:name="_Toc13642113"/>
      <w:r/>
      <w:bookmarkStart w:id="2" w:name="_Toc142194256"/>
      <w:r>
        <w:rPr>
          <w:rFonts w:hint="eastAsia" w:ascii="宋体" w:hAnsi="宋体" w:eastAsia="宋体" w:cs="宋体"/>
          <w:b/>
          <w:color w:val="000000"/>
          <w:sz w:val="36"/>
          <w:szCs w:val="36"/>
        </w:rPr>
        <w:br w:type="page" w:clear="all"/>
      </w:r>
      <w:r>
        <w:rPr>
          <w:rFonts w:hint="eastAsia" w:ascii="宋体" w:hAnsi="宋体" w:eastAsia="宋体" w:cs="宋体"/>
          <w:b/>
          <w:color w:val="000000"/>
          <w:sz w:val="32"/>
          <w:szCs w:val="32"/>
        </w:rPr>
        <w:t xml:space="preserve">第二章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投标人须知</w:t>
      </w:r>
      <w:bookmarkEnd w:id="1"/>
      <w:r/>
      <w:bookmarkEnd w:id="2"/>
      <w:r>
        <w:rPr>
          <w:rFonts w:hint="eastAsia" w:ascii="宋体" w:hAnsi="宋体" w:eastAsia="宋体" w:cs="宋体"/>
          <w:b/>
          <w:color w:val="000000"/>
          <w:sz w:val="36"/>
          <w:szCs w:val="36"/>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一、说明和释义</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1、说明</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本招标文件仅适用于苏州市卫康招投标咨询服务有限公司组织的招标活动。</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本次招标活动及因本次招标产生的合同受中国法律制约和保护。</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本招标文件的解释权属于苏州市卫康招投标咨询服务有限公司。</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2、词语释义</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采购代理机构：具体组织实施招标活动的法人。</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投标人：经认定有资格响应招标，参加投标竞争的法人或其他组织和自然人。</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响应：投标人根据采购代理机构或采购代理机构发布的招标文件，编制投标文件并按规定投标的行为。</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2.4</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合同：采供</w:t>
      </w:r>
      <w:r>
        <w:rPr>
          <w:rFonts w:hint="eastAsia" w:ascii="宋体" w:hAnsi="宋体" w:eastAsia="宋体" w:cs="宋体"/>
          <w:color w:val="000000"/>
          <w:sz w:val="21"/>
          <w:szCs w:val="21"/>
        </w:rPr>
        <w:t xml:space="preserve">双</w:t>
      </w:r>
      <w:r>
        <w:rPr>
          <w:rFonts w:hint="eastAsia" w:ascii="宋体" w:hAnsi="宋体" w:eastAsia="宋体" w:cs="宋体"/>
          <w:color w:val="000000"/>
          <w:sz w:val="21"/>
          <w:szCs w:val="21"/>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2.5</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甲方（采购单位）：合同中明确规定的实际购买货物和服务的法人或其他组织和自然人（采购人） 。</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2.6</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乙方（供应商）：合同中规定的向采购单位提供货物和服务的法人或其他组织和自然人（中标人）。</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2.7</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服务：系指乙方按招标文件规定，应向采购人提供的一切</w:t>
      </w:r>
      <w:r>
        <w:rPr>
          <w:rFonts w:hint="eastAsia" w:ascii="宋体" w:hAnsi="宋体" w:eastAsia="宋体" w:cs="宋体"/>
          <w:color w:val="000000"/>
          <w:sz w:val="21"/>
          <w:szCs w:val="21"/>
        </w:rPr>
        <w:t xml:space="preserve">苏州工业园区产教融合实践中心国产化实践教学课程与套件</w:t>
      </w:r>
      <w:r>
        <w:rPr>
          <w:rFonts w:hint="eastAsia" w:ascii="宋体" w:hAnsi="宋体" w:eastAsia="宋体" w:cs="宋体"/>
          <w:color w:val="000000"/>
          <w:sz w:val="21"/>
          <w:szCs w:val="21"/>
          <w:lang w:val="zh-CN"/>
        </w:rPr>
        <w:t xml:space="preserve">及与服务有关的辅助服务，比如人员管理、培训、按国家法律法规及政策要求所必须完成的工作和合同中规定中标人应承担的其它所有义务。</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2.8 </w:t>
      </w:r>
      <w:r>
        <w:rPr>
          <w:rFonts w:hint="eastAsia" w:ascii="宋体" w:hAnsi="宋体" w:eastAsia="宋体" w:cs="宋体"/>
          <w:color w:val="000000"/>
          <w:sz w:val="21"/>
          <w:szCs w:val="21"/>
          <w:lang w:val="zh-CN"/>
        </w:rPr>
        <w:t xml:space="preserve">知识产权：指专利权、商标权、著作权等无形财产专有权的统称。</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2.9 </w:t>
      </w:r>
      <w:r>
        <w:rPr>
          <w:rFonts w:hint="eastAsia" w:ascii="宋体" w:hAnsi="宋体" w:eastAsia="宋体" w:cs="宋体"/>
          <w:color w:val="000000"/>
          <w:sz w:val="21"/>
          <w:szCs w:val="21"/>
          <w:lang w:val="zh-CN"/>
        </w:rPr>
        <w:t xml:space="preserve">天：日历日。</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2.10</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服务地点：合同中明确约定的乙方服务地点。</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lang w:val="zh-CN"/>
        </w:rPr>
        <w:t xml:space="preserve"> 合同价款：根据合同规定，乙方在正确地履行合同义务后甲方应支付乙方的价款。</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2.12</w:t>
      </w:r>
      <w:r>
        <w:rPr>
          <w:rFonts w:hint="eastAsia" w:ascii="宋体" w:hAnsi="宋体" w:eastAsia="宋体" w:cs="宋体"/>
          <w:color w:val="000000"/>
          <w:sz w:val="21"/>
          <w:szCs w:val="21"/>
          <w:lang w:val="zh-CN"/>
        </w:rPr>
        <w:t xml:space="preserve"> 不可抗力：不能预见、不能避免并且不能克服的客观情况。</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2.13 实质响应：满足有关本次采购标的、数量、质量、价款或者报酬、履行期限、履行地点和方式、违约责任和解决争议方法等要求。</w:t>
      </w:r>
      <w:r>
        <w:rPr>
          <w:rFonts w:hint="eastAsia" w:ascii="宋体" w:hAnsi="宋体" w:eastAsia="宋体" w:cs="宋体"/>
          <w:bCs/>
          <w:color w:val="000000"/>
          <w:sz w:val="21"/>
          <w:szCs w:val="21"/>
        </w:rPr>
      </w:r>
      <w:r/>
    </w:p>
    <w:p>
      <w:pPr>
        <w:pStyle w:val="1004"/>
        <w:ind w:firstLine="420"/>
        <w:keepLines w:val="0"/>
        <w:keepNext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2.14书面形式：指书面文字、合同书、信件和传真等可以有形地表现所载内容的形式。</w:t>
      </w:r>
      <w:r>
        <w:rPr>
          <w:rFonts w:hint="eastAsia" w:ascii="宋体" w:hAnsi="宋体" w:eastAsia="宋体" w:cs="宋体"/>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二、投标人</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3、合格投标人的资格条件</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具有独立承担民事责任的能力；</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具有良好的商业信誉和健全的财务会计制度；</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具有履行合同所必需的设备和专业技术能力；</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3.4</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有依法缴纳税收和社会保障资金的良好记录；</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3.5</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参加政府采购活动</w:t>
      </w:r>
      <w:r>
        <w:rPr>
          <w:rFonts w:hint="eastAsia" w:ascii="宋体" w:hAnsi="宋体" w:eastAsia="宋体" w:cs="宋体"/>
          <w:color w:val="000000"/>
          <w:sz w:val="21"/>
          <w:szCs w:val="21"/>
          <w:lang w:val="en-US" w:eastAsia="zh-CN"/>
        </w:rPr>
        <w:t xml:space="preserve">前</w:t>
      </w:r>
      <w:r>
        <w:rPr>
          <w:rFonts w:hint="eastAsia" w:ascii="宋体" w:hAnsi="宋体" w:eastAsia="宋体" w:cs="宋体"/>
          <w:color w:val="000000"/>
          <w:sz w:val="21"/>
          <w:szCs w:val="21"/>
          <w:lang w:val="zh-CN"/>
        </w:rPr>
        <w:t xml:space="preserve">三年内，在经营活动中没有重大违法记录；</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3.6</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法律、行政法规规定的其他条件。</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注：参加本项目的</w:t>
      </w:r>
      <w:r>
        <w:rPr>
          <w:rFonts w:hint="eastAsia" w:ascii="宋体" w:hAnsi="宋体" w:eastAsia="宋体" w:cs="宋体"/>
          <w:b/>
          <w:bCs/>
          <w:color w:val="000000"/>
          <w:sz w:val="21"/>
          <w:szCs w:val="21"/>
        </w:rPr>
        <w:t xml:space="preserve">投标人</w:t>
      </w:r>
      <w:r>
        <w:rPr>
          <w:rFonts w:hint="eastAsia" w:ascii="宋体" w:hAnsi="宋体" w:eastAsia="宋体" w:cs="宋体"/>
          <w:b/>
          <w:bCs/>
          <w:color w:val="000000"/>
          <w:sz w:val="21"/>
          <w:szCs w:val="21"/>
          <w:lang w:val="zh-CN"/>
        </w:rPr>
        <w:t xml:space="preserve">应当具备上述资格要求，投标文件中必须提供以下证明文件，否则</w:t>
      </w:r>
      <w:r>
        <w:rPr>
          <w:rFonts w:hint="eastAsia" w:ascii="宋体" w:hAnsi="宋体" w:eastAsia="宋体" w:cs="宋体"/>
          <w:b/>
          <w:bCs/>
          <w:color w:val="000000"/>
          <w:sz w:val="21"/>
          <w:szCs w:val="21"/>
        </w:rPr>
        <w:t xml:space="preserve">视为资格条件不符合：</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A、具有独立承担民事责任的能力证明，包括：法人或者其他组织的营业执照等证明文件，法人授权委托书（如有），自然人的身份证明。</w:t>
      </w:r>
      <w:r>
        <w:rPr>
          <w:rFonts w:hint="eastAsia" w:ascii="宋体" w:hAnsi="宋体" w:eastAsia="宋体" w:cs="宋体"/>
          <w:b/>
          <w:bCs/>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B、具有良好的商业信誉和健全的财务会计制度证明，包括：投标单位</w:t>
      </w:r>
      <w:r>
        <w:rPr>
          <w:rFonts w:hint="eastAsia" w:ascii="宋体" w:hAnsi="宋体" w:eastAsia="宋体" w:cs="宋体"/>
          <w:b/>
          <w:bCs/>
          <w:color w:val="000000"/>
          <w:sz w:val="21"/>
          <w:szCs w:val="21"/>
        </w:rPr>
        <w:t xml:space="preserve">2023</w:t>
      </w:r>
      <w:r>
        <w:rPr>
          <w:rFonts w:hint="eastAsia" w:ascii="宋体" w:hAnsi="宋体" w:eastAsia="宋体" w:cs="宋体"/>
          <w:b/>
          <w:bCs/>
          <w:color w:val="000000"/>
          <w:sz w:val="21"/>
          <w:szCs w:val="21"/>
          <w:lang w:val="zh-CN"/>
        </w:rPr>
        <w:t xml:space="preserve">年度经审计过的财务报告或投标单位基本开户银行出具的资信证明或财政部门认可的政府采购专业担保机构出具的投标担保函。</w:t>
      </w:r>
      <w:r>
        <w:rPr>
          <w:rFonts w:hint="eastAsia" w:ascii="宋体" w:hAnsi="宋体" w:eastAsia="宋体" w:cs="宋体"/>
          <w:b/>
          <w:bCs/>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C、履行合同所必备的设备和专业技术能力的证明材料（具体要求如下）：相关技术人员：本项目要求投标人至少有一名售后服务人员。</w:t>
      </w:r>
      <w:r>
        <w:rPr>
          <w:rFonts w:hint="eastAsia" w:ascii="宋体" w:hAnsi="宋体" w:eastAsia="宋体" w:cs="宋体"/>
          <w:b/>
          <w:bCs/>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D、有依法缴纳税收和社会保障资金的良好记录，包括：投标单位参加采购活动</w:t>
      </w:r>
      <w:r>
        <w:rPr>
          <w:rFonts w:hint="eastAsia" w:ascii="宋体" w:hAnsi="宋体" w:eastAsia="宋体" w:cs="宋体"/>
          <w:b/>
          <w:bCs/>
          <w:color w:val="000000"/>
          <w:sz w:val="21"/>
          <w:szCs w:val="21"/>
        </w:rPr>
        <w:t xml:space="preserve">最新一期</w:t>
      </w:r>
      <w:r>
        <w:rPr>
          <w:rFonts w:hint="eastAsia" w:ascii="宋体" w:hAnsi="宋体" w:eastAsia="宋体" w:cs="宋体"/>
          <w:b/>
          <w:bCs/>
          <w:color w:val="000000"/>
          <w:sz w:val="21"/>
          <w:szCs w:val="21"/>
          <w:lang w:val="zh-CN"/>
        </w:rPr>
        <w:t xml:space="preserve">缴纳增值税或企业所得税的凭据，依法免税或不需要缴纳的供应商，必须提供相应的证明文件；</w:t>
      </w:r>
      <w:r>
        <w:rPr>
          <w:rFonts w:hint="eastAsia" w:ascii="宋体" w:hAnsi="宋体" w:eastAsia="宋体" w:cs="宋体"/>
          <w:b/>
          <w:bCs/>
          <w:color w:val="000000"/>
          <w:sz w:val="21"/>
          <w:szCs w:val="21"/>
        </w:rPr>
        <w:t xml:space="preserve">最新一期缴纳</w:t>
      </w:r>
      <w:r>
        <w:rPr>
          <w:rFonts w:hint="eastAsia" w:ascii="宋体" w:hAnsi="宋体" w:eastAsia="宋体" w:cs="宋体"/>
          <w:b/>
          <w:bCs/>
          <w:color w:val="000000"/>
          <w:sz w:val="21"/>
          <w:szCs w:val="21"/>
          <w:lang w:val="zh-CN"/>
        </w:rPr>
        <w:t xml:space="preserve">社会保障资金</w:t>
      </w:r>
      <w:r>
        <w:rPr>
          <w:rFonts w:hint="eastAsia" w:ascii="宋体" w:hAnsi="宋体" w:eastAsia="宋体" w:cs="宋体"/>
          <w:b/>
          <w:bCs/>
          <w:color w:val="000000"/>
          <w:sz w:val="21"/>
          <w:szCs w:val="21"/>
        </w:rPr>
        <w:t xml:space="preserve">的证明材料（加盖社保部门公章）</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E、投标单位参加政府采购活动</w:t>
      </w:r>
      <w:r>
        <w:rPr>
          <w:rFonts w:hint="eastAsia" w:ascii="宋体" w:hAnsi="宋体" w:eastAsia="宋体" w:cs="宋体"/>
          <w:b/>
          <w:bCs/>
          <w:color w:val="000000"/>
          <w:sz w:val="21"/>
          <w:szCs w:val="21"/>
        </w:rPr>
        <w:t xml:space="preserve">近</w:t>
      </w:r>
      <w:r>
        <w:rPr>
          <w:rFonts w:hint="eastAsia" w:ascii="宋体" w:hAnsi="宋体" w:eastAsia="宋体" w:cs="宋体"/>
          <w:b/>
          <w:bCs/>
          <w:color w:val="000000"/>
          <w:sz w:val="21"/>
          <w:szCs w:val="21"/>
          <w:lang w:val="zh-CN"/>
        </w:rPr>
        <w:t xml:space="preserve">3年内在经营活动中没有重大违法记录的书面声明函。</w:t>
      </w:r>
      <w:r>
        <w:rPr>
          <w:rFonts w:hint="eastAsia" w:ascii="宋体" w:hAnsi="宋体" w:eastAsia="宋体" w:cs="宋体"/>
          <w:b/>
          <w:bCs/>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4、投标人代表</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指全权代表投标人参加投标活动并签署投标文件的人，如果投标人代表不是法定代表人，须持有《法人代表授权委托书》（详见统一格式）。 </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5、投标费用 </w:t>
      </w:r>
      <w:r>
        <w:rPr>
          <w:rFonts w:hint="eastAsia" w:ascii="宋体" w:hAnsi="宋体" w:eastAsia="宋体" w:cs="宋体"/>
          <w:b/>
          <w:bCs/>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5.1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无论投标过程中的做法和结果如何，投标人自行承担所有与参加投标有关的全部费用。</w:t>
      </w:r>
      <w:r>
        <w:rPr>
          <w:rFonts w:hint="eastAsia" w:ascii="宋体" w:hAnsi="宋体" w:eastAsia="宋体" w:cs="宋体"/>
          <w:color w:val="000000"/>
          <w:sz w:val="21"/>
          <w:szCs w:val="21"/>
        </w:rPr>
      </w:r>
      <w:r/>
    </w:p>
    <w:p>
      <w:pPr>
        <w:pStyle w:val="1004"/>
        <w:ind w:firstLine="422"/>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b/>
          <w:color w:val="000000"/>
          <w:sz w:val="21"/>
          <w:szCs w:val="21"/>
          <w:lang w:val="zh-CN"/>
        </w:rPr>
        <w:t xml:space="preserve">6、联合投标</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本次招标不接受联合投标。</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三、招标文件的说明</w:t>
      </w:r>
      <w:r>
        <w:rPr>
          <w:rFonts w:hint="eastAsia" w:ascii="宋体" w:hAnsi="宋体" w:eastAsia="宋体" w:cs="宋体"/>
          <w:b/>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7、招标文件</w:t>
      </w:r>
      <w:r>
        <w:rPr>
          <w:rFonts w:hint="eastAsia" w:ascii="宋体" w:hAnsi="宋体" w:eastAsia="宋体" w:cs="宋体"/>
          <w:b/>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招标文件由招标文件目录所列内容组成。投标人应详细阅读招标文件的全部内容，</w:t>
      </w:r>
      <w:r>
        <w:rPr>
          <w:rFonts w:hint="eastAsia" w:ascii="宋体" w:hAnsi="宋体" w:eastAsia="宋体" w:cs="宋体"/>
          <w:color w:val="000000"/>
          <w:sz w:val="21"/>
          <w:szCs w:val="21"/>
        </w:rPr>
        <w:t xml:space="preserve">如有残缺等问题应在购买招标文件后及时向采购代理机构提出，</w:t>
      </w:r>
      <w:r>
        <w:rPr>
          <w:rFonts w:hint="eastAsia" w:ascii="宋体" w:hAnsi="宋体" w:eastAsia="宋体" w:cs="宋体"/>
          <w:color w:val="000000"/>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8、招标文件的询问与澄清（</w:t>
      </w:r>
      <w:r>
        <w:rPr>
          <w:rFonts w:hint="eastAsia" w:ascii="宋体" w:hAnsi="宋体" w:eastAsia="宋体" w:cs="宋体"/>
          <w:b/>
          <w:bCs/>
          <w:color w:val="000000"/>
          <w:sz w:val="21"/>
          <w:szCs w:val="21"/>
        </w:rPr>
        <w:t xml:space="preserve">或更正</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8.1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投标人在收到招标文件后，若有问题需要询问，应于收到招标文件后按相关流程及时提出，采购代理机构将予以解答。</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8.2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采购人或者采购代理机构可以对已发出的招标文件进行必要的澄清或者修改，并发布澄清（</w:t>
      </w:r>
      <w:r>
        <w:rPr>
          <w:rFonts w:hint="eastAsia" w:ascii="宋体" w:hAnsi="宋体" w:eastAsia="宋体" w:cs="宋体"/>
          <w:color w:val="000000"/>
          <w:sz w:val="21"/>
          <w:szCs w:val="21"/>
        </w:rPr>
        <w:t xml:space="preserve">或更正</w:t>
      </w:r>
      <w:r>
        <w:rPr>
          <w:rFonts w:hint="eastAsia" w:ascii="宋体" w:hAnsi="宋体" w:eastAsia="宋体" w:cs="宋体"/>
          <w:color w:val="000000"/>
          <w:sz w:val="21"/>
          <w:szCs w:val="21"/>
          <w:lang w:val="zh-CN"/>
        </w:rPr>
        <w:t xml:space="preserve">）公告。澄清或者</w:t>
      </w:r>
      <w:r>
        <w:rPr>
          <w:rFonts w:hint="eastAsia" w:ascii="宋体" w:hAnsi="宋体" w:eastAsia="宋体" w:cs="宋体"/>
          <w:color w:val="000000"/>
          <w:sz w:val="21"/>
          <w:szCs w:val="21"/>
        </w:rPr>
        <w:t xml:space="preserve">更正</w:t>
      </w:r>
      <w:r>
        <w:rPr>
          <w:rFonts w:hint="eastAsia" w:ascii="宋体" w:hAnsi="宋体" w:eastAsia="宋体" w:cs="宋体"/>
          <w:color w:val="000000"/>
          <w:sz w:val="21"/>
          <w:szCs w:val="21"/>
          <w:lang w:val="zh-CN"/>
        </w:rPr>
        <w:t xml:space="preserve">的内容为招标文件的组成部分。</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8.3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8.4</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至招标文件获取截止时间，获取招标文件的潜在投标人不足3家的，采购人或采购代理机构可以顺延招标文件提供期限。</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9、招标文件的修改</w:t>
      </w:r>
      <w:r>
        <w:rPr>
          <w:rFonts w:hint="eastAsia" w:ascii="宋体" w:hAnsi="宋体" w:eastAsia="宋体" w:cs="宋体"/>
          <w:b/>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采购代理机构无论出于自己的考虑，还是出于对投标人提问的澄清，均可对招标文件用补充文件的方式进行修改。</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采购代理机构对招标文件的修改，将以</w:t>
      </w:r>
      <w:r>
        <w:rPr>
          <w:rFonts w:hint="eastAsia" w:ascii="宋体" w:hAnsi="宋体" w:eastAsia="宋体" w:cs="宋体"/>
          <w:color w:val="000000"/>
          <w:sz w:val="21"/>
          <w:szCs w:val="21"/>
        </w:rPr>
        <w:t xml:space="preserve">补充通知的形式发布</w:t>
      </w:r>
      <w:r>
        <w:rPr>
          <w:rFonts w:hint="eastAsia" w:ascii="宋体" w:hAnsi="宋体" w:eastAsia="宋体" w:cs="宋体"/>
          <w:color w:val="000000"/>
          <w:sz w:val="21"/>
          <w:szCs w:val="21"/>
          <w:lang w:val="zh-CN"/>
        </w:rPr>
        <w:t xml:space="preserve">。补充文件将作为招标文件的组成部分，对所有投标人有约束力。</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9.3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color w:val="000000"/>
          <w:sz w:val="21"/>
          <w:szCs w:val="21"/>
        </w:rPr>
        <w:t xml:space="preserve">发布补充通知</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10、质疑</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根据财政部94号令第十一条规定，提出质疑的供应商应当是参与所质疑项目采购活动的供应商。潜在供应商应当依法报名</w:t>
      </w:r>
      <w:r>
        <w:rPr>
          <w:rFonts w:hint="eastAsia" w:ascii="宋体" w:hAnsi="宋体" w:eastAsia="宋体" w:cs="宋体"/>
          <w:color w:val="000000"/>
          <w:sz w:val="21"/>
          <w:szCs w:val="21"/>
        </w:rPr>
        <w:t xml:space="preserve">获取</w:t>
      </w:r>
      <w:r>
        <w:rPr>
          <w:rFonts w:hint="eastAsia" w:ascii="宋体" w:hAnsi="宋体" w:eastAsia="宋体" w:cs="宋体"/>
          <w:color w:val="000000"/>
          <w:sz w:val="21"/>
          <w:szCs w:val="21"/>
          <w:lang w:val="zh-CN"/>
        </w:rPr>
        <w:t xml:space="preserve">本</w:t>
      </w:r>
      <w:r>
        <w:rPr>
          <w:rFonts w:hint="eastAsia" w:ascii="宋体" w:hAnsi="宋体" w:eastAsia="宋体" w:cs="宋体"/>
          <w:color w:val="000000"/>
          <w:sz w:val="21"/>
          <w:szCs w:val="21"/>
        </w:rPr>
        <w:t xml:space="preserve">招标文件</w:t>
      </w:r>
      <w:r>
        <w:rPr>
          <w:rFonts w:hint="eastAsia" w:ascii="宋体" w:hAnsi="宋体" w:eastAsia="宋体" w:cs="宋体"/>
          <w:color w:val="000000"/>
          <w:sz w:val="21"/>
          <w:szCs w:val="21"/>
          <w:lang w:val="zh-CN"/>
        </w:rPr>
        <w:t xml:space="preserve">后可以依法进行质疑。</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w:t>
      </w:r>
      <w:r>
        <w:rPr>
          <w:rFonts w:hint="eastAsia" w:ascii="宋体" w:hAnsi="宋体" w:eastAsia="宋体" w:cs="宋体"/>
          <w:color w:val="000000"/>
          <w:sz w:val="21"/>
          <w:szCs w:val="21"/>
        </w:rPr>
        <w:t xml:space="preserve">2 </w:t>
      </w:r>
      <w:r>
        <w:rPr>
          <w:rFonts w:hint="eastAsia" w:ascii="宋体" w:hAnsi="宋体" w:eastAsia="宋体" w:cs="宋体"/>
          <w:color w:val="000000"/>
          <w:sz w:val="21"/>
          <w:szCs w:val="21"/>
          <w:lang w:val="zh-CN"/>
        </w:rPr>
        <w:t xml:space="preserve">接受质疑函的方式：当场送达或邮寄方式。</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w:t>
      </w:r>
      <w:r>
        <w:rPr>
          <w:rFonts w:hint="eastAsia" w:ascii="宋体" w:hAnsi="宋体" w:eastAsia="宋体" w:cs="宋体"/>
          <w:color w:val="000000"/>
          <w:sz w:val="21"/>
          <w:szCs w:val="21"/>
        </w:rPr>
        <w:t xml:space="preserve">3 </w:t>
      </w:r>
      <w:r>
        <w:rPr>
          <w:rFonts w:hint="eastAsia" w:ascii="宋体" w:hAnsi="宋体" w:eastAsia="宋体" w:cs="宋体"/>
          <w:color w:val="000000"/>
          <w:sz w:val="21"/>
          <w:szCs w:val="21"/>
          <w:lang w:val="zh-CN"/>
        </w:rPr>
        <w:t xml:space="preserve">联系单位：苏州市卫康招投标咨询服务有限公司</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10.</w:t>
      </w:r>
      <w:r>
        <w:rPr>
          <w:rFonts w:hint="eastAsia" w:ascii="宋体" w:hAnsi="宋体" w:eastAsia="宋体" w:cs="宋体"/>
          <w:color w:val="000000"/>
          <w:sz w:val="21"/>
          <w:szCs w:val="21"/>
        </w:rPr>
        <w:t xml:space="preserve">4 </w:t>
      </w:r>
      <w:r>
        <w:rPr>
          <w:rFonts w:hint="eastAsia" w:ascii="宋体" w:hAnsi="宋体" w:eastAsia="宋体" w:cs="宋体"/>
          <w:color w:val="000000"/>
          <w:sz w:val="21"/>
          <w:szCs w:val="21"/>
          <w:lang w:val="zh-CN"/>
        </w:rPr>
        <w:t xml:space="preserve">联系电话：0512-65158848</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10.</w:t>
      </w:r>
      <w:r>
        <w:rPr>
          <w:rFonts w:hint="eastAsia" w:ascii="宋体" w:hAnsi="宋体" w:eastAsia="宋体" w:cs="宋体"/>
          <w:color w:val="000000"/>
          <w:sz w:val="21"/>
          <w:szCs w:val="21"/>
        </w:rPr>
        <w:t xml:space="preserve">5 </w:t>
      </w:r>
      <w:r>
        <w:rPr>
          <w:rFonts w:hint="eastAsia" w:ascii="宋体" w:hAnsi="宋体" w:eastAsia="宋体" w:cs="宋体"/>
          <w:color w:val="000000"/>
          <w:sz w:val="21"/>
          <w:szCs w:val="21"/>
          <w:lang w:val="zh-CN"/>
        </w:rPr>
        <w:t xml:space="preserve">通讯地址：</w:t>
      </w:r>
      <w:r>
        <w:rPr>
          <w:rFonts w:hint="eastAsia" w:ascii="宋体" w:hAnsi="宋体" w:eastAsia="宋体" w:cs="宋体"/>
          <w:color w:val="000000"/>
          <w:sz w:val="21"/>
          <w:szCs w:val="21"/>
        </w:rPr>
        <w:t xml:space="preserve">苏州市姑苏区干将西路1296号深业姑苏中心1幢17层 祝丽林</w:t>
      </w:r>
      <w:r>
        <w:rPr>
          <w:rFonts w:hint="eastAsia" w:ascii="宋体" w:hAnsi="宋体" w:eastAsia="宋体" w:cs="宋体"/>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四、投标文件说明</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11、提示与要求</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无论是否递交投标文件，投标人都应将招标文件及以后的所有通知、文件等视为保密文件。</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12、投标文件计量单位和使用文字</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12.1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投标文件中所使用的计量单位，除招标文件中有特殊要求外，均应使用中华人民共和国法定计量单位。</w:t>
      </w:r>
      <w:r>
        <w:rPr>
          <w:rFonts w:hint="eastAsia" w:ascii="宋体" w:hAnsi="宋体" w:eastAsia="宋体" w:cs="宋体"/>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12.2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13、投标文件的组成</w:t>
      </w:r>
      <w:r>
        <w:rPr>
          <w:rFonts w:hint="eastAsia" w:ascii="宋体" w:hAnsi="宋体" w:eastAsia="宋体" w:cs="宋体"/>
          <w:b/>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.1 封面</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.2 投标函</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.3 开标一览表</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 法定代表人授权书</w:t>
      </w:r>
      <w:r>
        <w:rPr>
          <w:rFonts w:hint="eastAsia" w:ascii="宋体" w:hAnsi="宋体" w:eastAsia="宋体" w:cs="宋体"/>
          <w:color w:val="000000"/>
          <w:sz w:val="21"/>
          <w:szCs w:val="21"/>
          <w:lang w:val="zh-CN"/>
        </w:rPr>
      </w:r>
      <w:r/>
    </w:p>
    <w:p>
      <w:pPr>
        <w:pStyle w:val="1004"/>
        <w:ind w:firstLine="422"/>
        <w:jc w:val="both"/>
        <w:keepLines w:val="0"/>
        <w:keepNext w:val="0"/>
        <w:pageBreakBefore w:val="0"/>
        <w:spacing w:line="440" w:lineRule="exact"/>
        <w:widowControl w:val="off"/>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13.5 </w:t>
      </w:r>
      <w:r>
        <w:rPr>
          <w:rFonts w:hint="eastAsia" w:ascii="宋体" w:hAnsi="宋体" w:eastAsia="宋体" w:cs="宋体"/>
          <w:b/>
          <w:bCs/>
          <w:color w:val="000000"/>
          <w:sz w:val="21"/>
          <w:szCs w:val="21"/>
          <w:lang w:val="zh-CN"/>
        </w:rPr>
        <w:t xml:space="preserve">资格证明</w:t>
      </w:r>
      <w:r>
        <w:rPr>
          <w:rFonts w:hint="eastAsia" w:ascii="宋体" w:hAnsi="宋体" w:eastAsia="宋体" w:cs="宋体"/>
          <w:b/>
          <w:bCs/>
          <w:color w:val="000000"/>
          <w:sz w:val="21"/>
          <w:szCs w:val="21"/>
        </w:rPr>
        <w:t xml:space="preserve">文件（如不提供或提供材料不符合要求则属于无效投标）</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lang w:val="zh-CN"/>
        </w:rPr>
      </w:r>
      <w:r/>
    </w:p>
    <w:p>
      <w:pPr>
        <w:pStyle w:val="1004"/>
        <w:ind w:firstLine="422"/>
        <w:jc w:val="both"/>
        <w:keepLines w:val="0"/>
        <w:keepNext w:val="0"/>
        <w:pageBreakBefore w:val="0"/>
        <w:spacing w:line="440" w:lineRule="exact"/>
        <w:widowControl w:val="off"/>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rPr>
        <w:t xml:space="preserve">13.5.1 </w:t>
      </w:r>
      <w:r>
        <w:rPr>
          <w:rFonts w:hint="eastAsia" w:ascii="宋体" w:hAnsi="宋体" w:eastAsia="宋体" w:cs="宋体"/>
          <w:b/>
          <w:bCs/>
          <w:color w:val="000000"/>
          <w:sz w:val="21"/>
          <w:szCs w:val="21"/>
          <w:lang w:val="zh-CN"/>
        </w:rPr>
        <w:t xml:space="preserve">企业营业执照副本复印件</w:t>
      </w:r>
      <w:r>
        <w:rPr>
          <w:rFonts w:hint="eastAsia" w:ascii="宋体" w:hAnsi="宋体" w:eastAsia="宋体" w:cs="宋体"/>
          <w:color w:val="000000"/>
          <w:sz w:val="21"/>
          <w:szCs w:val="21"/>
          <w:lang w:val="zh-CN"/>
        </w:rPr>
      </w:r>
      <w:r/>
    </w:p>
    <w:p>
      <w:pPr>
        <w:pStyle w:val="1004"/>
        <w:ind w:firstLine="422"/>
        <w:jc w:val="both"/>
        <w:keepLines w:val="0"/>
        <w:keepNext w:val="0"/>
        <w:pageBreakBefore w:val="0"/>
        <w:spacing w:line="440" w:lineRule="exact"/>
        <w:widowControl w:val="off"/>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rPr>
        <w:t xml:space="preserve">13.5.</w:t>
      </w:r>
      <w:r>
        <w:rPr>
          <w:rFonts w:hint="eastAsia" w:ascii="宋体" w:hAnsi="宋体" w:eastAsia="宋体" w:cs="宋体"/>
          <w:b/>
          <w:bCs/>
          <w:color w:val="000000"/>
          <w:sz w:val="21"/>
          <w:szCs w:val="21"/>
          <w:lang w:val="zh-CN"/>
        </w:rPr>
        <w:t xml:space="preserve">2</w:t>
      </w:r>
      <w:r>
        <w:rPr>
          <w:rFonts w:hint="eastAsia" w:ascii="宋体" w:hAnsi="宋体" w:eastAsia="宋体" w:cs="宋体"/>
          <w:b/>
          <w:bCs/>
          <w:color w:val="000000"/>
          <w:sz w:val="21"/>
          <w:szCs w:val="21"/>
        </w:rPr>
        <w:t xml:space="preserve"> </w:t>
      </w:r>
      <w:r>
        <w:rPr>
          <w:rFonts w:hint="eastAsia" w:ascii="宋体" w:hAnsi="宋体" w:eastAsia="宋体" w:cs="宋体"/>
          <w:b/>
          <w:bCs/>
          <w:color w:val="000000"/>
          <w:sz w:val="21"/>
          <w:szCs w:val="21"/>
          <w:lang w:val="zh-CN"/>
        </w:rPr>
        <w:t xml:space="preserve">授权委托书（如有），法人及代理人身份证复印件</w:t>
      </w:r>
      <w:r>
        <w:rPr>
          <w:rFonts w:hint="eastAsia" w:ascii="宋体" w:hAnsi="宋体" w:eastAsia="宋体" w:cs="宋体"/>
          <w:color w:val="000000"/>
          <w:sz w:val="21"/>
          <w:szCs w:val="21"/>
          <w:lang w:val="zh-CN"/>
        </w:rPr>
      </w:r>
      <w:r/>
    </w:p>
    <w:p>
      <w:pPr>
        <w:pStyle w:val="1004"/>
        <w:ind w:firstLine="422"/>
        <w:jc w:val="both"/>
        <w:keepLines w:val="0"/>
        <w:keepNext w:val="0"/>
        <w:pageBreakBefore w:val="0"/>
        <w:spacing w:line="440" w:lineRule="exact"/>
        <w:widowControl w:val="off"/>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13.5.</w:t>
      </w:r>
      <w:r>
        <w:rPr>
          <w:rFonts w:hint="eastAsia" w:ascii="宋体" w:hAnsi="宋体" w:eastAsia="宋体" w:cs="宋体"/>
          <w:b/>
          <w:bCs/>
          <w:color w:val="000000"/>
          <w:sz w:val="21"/>
          <w:szCs w:val="21"/>
          <w:lang w:val="zh-CN"/>
        </w:rPr>
        <w:t xml:space="preserve">3</w:t>
      </w:r>
      <w:r>
        <w:rPr>
          <w:rFonts w:hint="eastAsia" w:ascii="宋体" w:hAnsi="宋体" w:eastAsia="宋体" w:cs="宋体"/>
          <w:b/>
          <w:bCs/>
          <w:color w:val="000000"/>
          <w:sz w:val="21"/>
          <w:szCs w:val="21"/>
        </w:rPr>
        <w:t xml:space="preserve"> 投标人</w:t>
      </w:r>
      <w:r>
        <w:rPr>
          <w:rFonts w:hint="eastAsia" w:ascii="宋体" w:hAnsi="宋体" w:eastAsia="宋体" w:cs="宋体"/>
          <w:b/>
          <w:bCs/>
          <w:color w:val="000000"/>
          <w:sz w:val="21"/>
          <w:szCs w:val="21"/>
          <w:lang w:val="zh-CN"/>
        </w:rPr>
        <w:t xml:space="preserve">经审计过的</w:t>
      </w:r>
      <w:r>
        <w:rPr>
          <w:rFonts w:hint="eastAsia" w:ascii="宋体" w:hAnsi="宋体" w:eastAsia="宋体" w:cs="宋体"/>
          <w:b/>
          <w:bCs/>
          <w:color w:val="000000"/>
          <w:sz w:val="21"/>
          <w:szCs w:val="21"/>
        </w:rPr>
        <w:t xml:space="preserve">最新一期</w:t>
      </w:r>
      <w:r>
        <w:rPr>
          <w:rFonts w:hint="eastAsia" w:ascii="宋体" w:hAnsi="宋体" w:eastAsia="宋体" w:cs="宋体"/>
          <w:b/>
          <w:bCs/>
          <w:color w:val="000000"/>
          <w:sz w:val="21"/>
          <w:szCs w:val="21"/>
          <w:lang w:val="zh-CN"/>
        </w:rPr>
        <w:t xml:space="preserve">财务报告或</w:t>
      </w:r>
      <w:r>
        <w:rPr>
          <w:rFonts w:hint="eastAsia" w:ascii="宋体" w:hAnsi="宋体" w:eastAsia="宋体" w:cs="宋体"/>
          <w:b/>
          <w:bCs/>
          <w:color w:val="000000"/>
          <w:sz w:val="21"/>
          <w:szCs w:val="21"/>
        </w:rPr>
        <w:t xml:space="preserve">投标</w:t>
      </w:r>
      <w:r>
        <w:rPr>
          <w:rFonts w:hint="eastAsia" w:ascii="宋体" w:hAnsi="宋体" w:eastAsia="宋体" w:cs="宋体"/>
          <w:b/>
          <w:bCs/>
          <w:color w:val="000000"/>
          <w:sz w:val="21"/>
          <w:szCs w:val="21"/>
          <w:lang w:val="zh-CN"/>
        </w:rPr>
        <w:t xml:space="preserve">单位基本开户银行出具的资信证明</w:t>
      </w:r>
      <w:r>
        <w:rPr>
          <w:rFonts w:hint="eastAsia" w:ascii="宋体" w:hAnsi="宋体" w:eastAsia="宋体" w:cs="宋体"/>
          <w:b/>
          <w:bCs/>
          <w:color w:val="000000"/>
          <w:sz w:val="21"/>
          <w:szCs w:val="21"/>
          <w:lang w:val="zh-CN"/>
        </w:rPr>
      </w:r>
      <w:r/>
    </w:p>
    <w:p>
      <w:pPr>
        <w:pStyle w:val="1004"/>
        <w:ind w:firstLine="422"/>
        <w:jc w:val="both"/>
        <w:keepLines w:val="0"/>
        <w:keepNext w:val="0"/>
        <w:pageBreakBefore w:val="0"/>
        <w:spacing w:line="440" w:lineRule="exact"/>
        <w:widowControl w:val="off"/>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13.5.</w:t>
      </w:r>
      <w:r>
        <w:rPr>
          <w:rFonts w:hint="eastAsia" w:ascii="宋体" w:hAnsi="宋体" w:eastAsia="宋体" w:cs="宋体"/>
          <w:b/>
          <w:bCs/>
          <w:color w:val="000000"/>
          <w:sz w:val="21"/>
          <w:szCs w:val="21"/>
          <w:lang w:val="zh-CN"/>
        </w:rPr>
        <w:t xml:space="preserve">4</w:t>
      </w:r>
      <w:r>
        <w:rPr>
          <w:rFonts w:hint="eastAsia" w:ascii="宋体" w:hAnsi="宋体" w:eastAsia="宋体" w:cs="宋体"/>
          <w:b/>
          <w:bCs/>
          <w:color w:val="000000"/>
          <w:sz w:val="21"/>
          <w:szCs w:val="21"/>
        </w:rPr>
        <w:t xml:space="preserve"> </w:t>
      </w:r>
      <w:r>
        <w:rPr>
          <w:rFonts w:hint="eastAsia" w:ascii="宋体" w:hAnsi="宋体" w:eastAsia="宋体" w:cs="宋体"/>
          <w:b/>
          <w:bCs/>
          <w:color w:val="000000"/>
          <w:sz w:val="21"/>
          <w:szCs w:val="21"/>
          <w:lang w:val="zh-CN"/>
        </w:rPr>
        <w:t xml:space="preserve">符合履行合同所必备的设备和专业技术能力的</w:t>
      </w:r>
      <w:r>
        <w:rPr>
          <w:rFonts w:hint="eastAsia" w:ascii="宋体" w:hAnsi="宋体" w:eastAsia="宋体" w:cs="宋体"/>
          <w:b/>
          <w:bCs/>
          <w:color w:val="000000"/>
          <w:sz w:val="21"/>
          <w:szCs w:val="21"/>
        </w:rPr>
        <w:t xml:space="preserve">证明材料</w:t>
      </w:r>
      <w:r>
        <w:rPr>
          <w:rFonts w:hint="eastAsia" w:ascii="宋体" w:hAnsi="宋体" w:eastAsia="宋体" w:cs="宋体"/>
          <w:b/>
          <w:bCs/>
          <w:color w:val="000000"/>
          <w:sz w:val="21"/>
          <w:szCs w:val="21"/>
          <w:lang w:val="zh-CN"/>
        </w:rPr>
      </w:r>
      <w:r/>
    </w:p>
    <w:p>
      <w:pPr>
        <w:pStyle w:val="1004"/>
        <w:ind w:firstLine="422"/>
        <w:jc w:val="both"/>
        <w:keepLines w:val="0"/>
        <w:keepNext w:val="0"/>
        <w:pageBreakBefore w:val="0"/>
        <w:spacing w:line="440" w:lineRule="exact"/>
        <w:widowControl w:val="off"/>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rPr>
        <w:t xml:space="preserve">13.5.</w:t>
      </w:r>
      <w:r>
        <w:rPr>
          <w:rFonts w:hint="eastAsia" w:ascii="宋体" w:hAnsi="宋体" w:eastAsia="宋体" w:cs="宋体"/>
          <w:b/>
          <w:bCs/>
          <w:color w:val="000000"/>
          <w:sz w:val="21"/>
          <w:szCs w:val="21"/>
          <w:lang w:val="zh-CN"/>
        </w:rPr>
        <w:t xml:space="preserve">5</w:t>
      </w:r>
      <w:r>
        <w:rPr>
          <w:rFonts w:hint="eastAsia" w:ascii="宋体" w:hAnsi="宋体" w:eastAsia="宋体" w:cs="宋体"/>
          <w:b/>
          <w:bCs/>
          <w:color w:val="000000"/>
          <w:sz w:val="21"/>
          <w:szCs w:val="21"/>
        </w:rPr>
        <w:t xml:space="preserve"> 近三个月</w:t>
      </w:r>
      <w:r>
        <w:rPr>
          <w:rFonts w:hint="eastAsia" w:ascii="宋体" w:hAnsi="宋体" w:eastAsia="宋体" w:cs="宋体"/>
          <w:b/>
          <w:bCs/>
          <w:color w:val="000000"/>
          <w:sz w:val="21"/>
          <w:szCs w:val="21"/>
          <w:lang w:val="zh-CN"/>
        </w:rPr>
        <w:t xml:space="preserve">依法缴纳税收的凭据和依法缴纳社会保险的凭据复印件</w:t>
      </w:r>
      <w:r>
        <w:rPr>
          <w:rFonts w:hint="eastAsia" w:ascii="宋体" w:hAnsi="宋体" w:eastAsia="宋体" w:cs="宋体"/>
          <w:color w:val="000000"/>
          <w:sz w:val="21"/>
          <w:szCs w:val="21"/>
          <w:lang w:val="zh-CN"/>
        </w:rPr>
      </w:r>
      <w:r/>
    </w:p>
    <w:p>
      <w:pPr>
        <w:pStyle w:val="1004"/>
        <w:ind w:firstLine="422"/>
        <w:jc w:val="both"/>
        <w:keepLines w:val="0"/>
        <w:keepNext w:val="0"/>
        <w:pageBreakBefore w:val="0"/>
        <w:spacing w:line="440" w:lineRule="exact"/>
        <w:widowControl w:val="off"/>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13.5.</w:t>
      </w:r>
      <w:r>
        <w:rPr>
          <w:rFonts w:hint="eastAsia" w:ascii="宋体" w:hAnsi="宋体" w:eastAsia="宋体" w:cs="宋体"/>
          <w:b/>
          <w:bCs/>
          <w:color w:val="000000"/>
          <w:sz w:val="21"/>
          <w:szCs w:val="21"/>
          <w:lang w:val="zh-CN"/>
        </w:rPr>
        <w:t xml:space="preserve">6</w:t>
      </w:r>
      <w:r>
        <w:rPr>
          <w:rFonts w:hint="eastAsia" w:ascii="宋体" w:hAnsi="宋体" w:eastAsia="宋体" w:cs="宋体"/>
          <w:b/>
          <w:bCs/>
          <w:color w:val="000000"/>
          <w:sz w:val="21"/>
          <w:szCs w:val="21"/>
        </w:rPr>
        <w:t xml:space="preserve"> </w:t>
      </w:r>
      <w:r>
        <w:rPr>
          <w:rFonts w:hint="eastAsia" w:ascii="宋体" w:hAnsi="宋体" w:eastAsia="宋体" w:cs="宋体"/>
          <w:b/>
          <w:bCs/>
          <w:color w:val="000000"/>
          <w:sz w:val="21"/>
          <w:szCs w:val="21"/>
          <w:lang w:val="zh-CN"/>
        </w:rPr>
        <w:t xml:space="preserve">参加政府采购活动前3年内在经营活动中没有重大违法记录的书面声明</w:t>
      </w:r>
      <w:r>
        <w:rPr>
          <w:rFonts w:hint="eastAsia" w:ascii="宋体" w:hAnsi="宋体" w:eastAsia="宋体" w:cs="宋体"/>
          <w:b/>
          <w:bCs/>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13.6 偏离表</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w: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 服务方案介绍</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 近三年内具有同类项目业绩合同复印件</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w:t>
      </w: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val="zh-CN"/>
        </w:rPr>
        <w:t xml:space="preserve"> 拟投入项目成员表；</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w:t>
      </w:r>
      <w:r>
        <w:rPr>
          <w:rFonts w:hint="eastAsia" w:ascii="宋体" w:hAnsi="宋体" w:eastAsia="宋体" w:cs="宋体"/>
          <w:color w:val="000000"/>
          <w:sz w:val="21"/>
          <w:szCs w:val="21"/>
        </w:rPr>
        <w:t xml:space="preserve">10 </w:t>
      </w:r>
      <w:r>
        <w:rPr>
          <w:rFonts w:hint="eastAsia" w:ascii="宋体" w:hAnsi="宋体" w:eastAsia="宋体" w:cs="宋体"/>
          <w:color w:val="000000"/>
          <w:sz w:val="21"/>
          <w:szCs w:val="21"/>
          <w:lang w:val="zh-CN"/>
        </w:rPr>
        <w:t xml:space="preserve">对本次投标的详细说明（投标人视各自的情况自行编制）</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13.11 </w:t>
      </w:r>
      <w:r>
        <w:rPr>
          <w:rFonts w:hint="eastAsia" w:ascii="宋体" w:hAnsi="宋体" w:eastAsia="宋体" w:cs="宋体"/>
          <w:color w:val="000000"/>
          <w:sz w:val="21"/>
          <w:szCs w:val="21"/>
          <w:lang w:val="zh-CN"/>
        </w:rPr>
        <w:t xml:space="preserve">中小企业声明函（如属）</w:t>
      </w:r>
      <w:r>
        <w:rPr>
          <w:rFonts w:hint="eastAsia" w:ascii="宋体" w:hAnsi="宋体" w:eastAsia="宋体" w:cs="宋体"/>
          <w:color w:val="000000"/>
          <w:sz w:val="21"/>
          <w:szCs w:val="21"/>
        </w:rPr>
        <w:t xml:space="preserve">或</w:t>
      </w:r>
      <w:r>
        <w:rPr>
          <w:rFonts w:hint="eastAsia" w:ascii="宋体" w:hAnsi="宋体" w:eastAsia="宋体" w:cs="宋体"/>
          <w:color w:val="000000"/>
          <w:sz w:val="21"/>
          <w:szCs w:val="21"/>
          <w:lang w:val="zh-CN"/>
        </w:rPr>
        <w:t xml:space="preserve">残疾人福利性单位声明函（如属）</w:t>
      </w:r>
      <w:r>
        <w:rPr>
          <w:rFonts w:hint="eastAsia" w:ascii="宋体" w:hAnsi="宋体" w:eastAsia="宋体" w:cs="宋体"/>
          <w:color w:val="000000"/>
          <w:sz w:val="21"/>
          <w:szCs w:val="21"/>
        </w:rPr>
        <w:t xml:space="preserve">或监狱企业证明材料（如属）</w:t>
      </w:r>
      <w:r>
        <w:rPr>
          <w:rFonts w:hint="eastAsia" w:ascii="宋体" w:hAnsi="宋体" w:eastAsia="宋体" w:cs="宋体"/>
          <w:color w:val="000000"/>
          <w:sz w:val="21"/>
          <w:szCs w:val="21"/>
          <w:lang w:val="zh-CN"/>
        </w:rPr>
        <w:t xml:space="preserve">和《投标保证承诺书》</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13.12 </w:t>
      </w:r>
      <w:r>
        <w:rPr>
          <w:rFonts w:hint="eastAsia" w:ascii="宋体" w:hAnsi="宋体" w:eastAsia="宋体" w:cs="宋体"/>
          <w:color w:val="000000"/>
          <w:sz w:val="21"/>
          <w:szCs w:val="21"/>
          <w:lang w:val="zh-CN"/>
        </w:rPr>
        <w:t xml:space="preserve">对本次招标有关的及评分标准要求的其它证明材料。</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tabs>
          <w:tab w:val="left" w:pos="0"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注：投标人所提交的资料文件的完整与否，将直接影响投标人的投标文件是否有效或评分高低。</w:t>
      </w:r>
      <w:r>
        <w:rPr>
          <w:rFonts w:hint="eastAsia" w:ascii="宋体" w:hAnsi="宋体" w:eastAsia="宋体" w:cs="宋体"/>
          <w:b/>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1</w:t>
      </w:r>
      <w:r>
        <w:rPr>
          <w:rFonts w:hint="eastAsia" w:ascii="宋体" w:hAnsi="宋体" w:eastAsia="宋体" w:cs="宋体"/>
          <w:b/>
          <w:bCs/>
          <w:color w:val="000000"/>
          <w:sz w:val="21"/>
          <w:szCs w:val="21"/>
        </w:rPr>
        <w:t xml:space="preserve">4</w:t>
      </w:r>
      <w:r>
        <w:rPr>
          <w:rFonts w:hint="eastAsia" w:ascii="宋体" w:hAnsi="宋体" w:eastAsia="宋体" w:cs="宋体"/>
          <w:b/>
          <w:bCs/>
          <w:color w:val="000000"/>
          <w:sz w:val="21"/>
          <w:szCs w:val="21"/>
          <w:lang w:val="zh-CN"/>
        </w:rPr>
        <w:t xml:space="preserve">、投标保证金</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1</w:t>
      </w:r>
      <w:r>
        <w:rPr>
          <w:rFonts w:hint="eastAsia" w:ascii="宋体" w:hAnsi="宋体" w:eastAsia="宋体" w:cs="宋体"/>
          <w:b/>
          <w:bCs/>
          <w:color w:val="000000"/>
          <w:sz w:val="21"/>
          <w:szCs w:val="21"/>
        </w:rPr>
        <w:t xml:space="preserve">4</w:t>
      </w:r>
      <w:r>
        <w:rPr>
          <w:rFonts w:hint="eastAsia" w:ascii="宋体" w:hAnsi="宋体" w:eastAsia="宋体" w:cs="宋体"/>
          <w:b/>
          <w:bCs/>
          <w:color w:val="000000"/>
          <w:sz w:val="21"/>
          <w:szCs w:val="21"/>
          <w:lang w:val="zh-CN"/>
        </w:rPr>
        <w:t xml:space="preserve">.1</w:t>
      </w:r>
      <w:r>
        <w:rPr>
          <w:rFonts w:hint="eastAsia" w:ascii="宋体" w:hAnsi="宋体" w:eastAsia="宋体" w:cs="宋体"/>
          <w:b/>
          <w:bCs/>
          <w:color w:val="000000"/>
          <w:sz w:val="21"/>
          <w:szCs w:val="21"/>
        </w:rPr>
        <w:t xml:space="preserve"> </w:t>
      </w:r>
      <w:r>
        <w:rPr>
          <w:rFonts w:hint="eastAsia" w:ascii="宋体" w:hAnsi="宋体" w:eastAsia="宋体" w:cs="宋体"/>
          <w:b/>
          <w:bCs/>
          <w:color w:val="000000"/>
          <w:sz w:val="21"/>
          <w:szCs w:val="21"/>
          <w:lang w:val="zh-CN"/>
        </w:rPr>
        <w:t xml:space="preserve">本项目无投标保证金。</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lang w:val="zh-CN"/>
        </w:rPr>
        <w:t xml:space="preserve">1</w:t>
      </w:r>
      <w:r>
        <w:rPr>
          <w:rFonts w:hint="eastAsia" w:ascii="宋体" w:hAnsi="宋体" w:eastAsia="宋体" w:cs="宋体"/>
          <w:b/>
          <w:bCs/>
          <w:color w:val="000000"/>
          <w:sz w:val="21"/>
          <w:szCs w:val="21"/>
        </w:rPr>
        <w:t xml:space="preserve">5</w:t>
      </w:r>
      <w:r>
        <w:rPr>
          <w:rFonts w:hint="eastAsia" w:ascii="宋体" w:hAnsi="宋体" w:eastAsia="宋体" w:cs="宋体"/>
          <w:b/>
          <w:bCs/>
          <w:color w:val="000000"/>
          <w:sz w:val="21"/>
          <w:szCs w:val="21"/>
          <w:lang w:val="zh-CN"/>
        </w:rPr>
        <w:t xml:space="preserve">、投标文件的有效期</w:t>
      </w:r>
      <w:r>
        <w:rPr>
          <w:rFonts w:hint="eastAsia" w:ascii="宋体" w:hAnsi="宋体" w:eastAsia="宋体" w:cs="宋体"/>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自开标日起</w:t>
      </w: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zh-CN"/>
        </w:rPr>
        <w:t xml:space="preserve">天，投标书应保持有效。有效期短于这个规定期限的投标，将被拒绝。</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五、</w:t>
      </w:r>
      <w:r>
        <w:rPr>
          <w:rFonts w:hint="eastAsia" w:ascii="宋体" w:hAnsi="宋体" w:eastAsia="宋体" w:cs="宋体"/>
          <w:b/>
          <w:bCs/>
          <w:color w:val="000000"/>
          <w:sz w:val="21"/>
          <w:szCs w:val="21"/>
        </w:rPr>
        <w:t xml:space="preserve">投标</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color w:val="000000"/>
          <w:sz w:val="21"/>
          <w:szCs w:val="21"/>
        </w:rPr>
        <w:outlineLvl w:val="0"/>
      </w:pPr>
      <w:r>
        <w:rPr>
          <w:rFonts w:hint="eastAsia" w:ascii="宋体" w:hAnsi="宋体" w:eastAsia="宋体" w:cs="宋体"/>
          <w:b/>
          <w:color w:val="000000"/>
          <w:sz w:val="21"/>
          <w:szCs w:val="21"/>
        </w:rPr>
        <w:t xml:space="preserve">16、文件要求：</w:t>
      </w:r>
      <w:r>
        <w:rPr>
          <w:rFonts w:hint="eastAsia" w:ascii="宋体" w:hAnsi="宋体" w:eastAsia="宋体" w:cs="宋体"/>
          <w:b/>
          <w:color w:val="000000"/>
          <w:sz w:val="21"/>
          <w:szCs w:val="21"/>
        </w:rPr>
      </w:r>
      <w:r/>
    </w:p>
    <w:p>
      <w:pPr>
        <w:pStyle w:val="1004"/>
        <w:ind w:right="-161" w:firstLine="420"/>
        <w:keepLines w:val="0"/>
        <w:keepNext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本次投标采用电子投标。电子响应文件上传一份到系统，无须携带纸质投标文件。</w:t>
      </w:r>
      <w:r>
        <w:rPr>
          <w:rFonts w:hint="eastAsia" w:ascii="宋体" w:hAnsi="宋体" w:eastAsia="宋体" w:cs="宋体"/>
          <w:bCs/>
          <w:color w:val="000000"/>
          <w:sz w:val="21"/>
          <w:szCs w:val="21"/>
        </w:rPr>
      </w:r>
      <w:r/>
    </w:p>
    <w:p>
      <w:pPr>
        <w:pStyle w:val="1004"/>
        <w:ind w:firstLine="422"/>
        <w:keepLines w:val="0"/>
        <w:keepNext w:val="0"/>
        <w:pageBreakBefore w:val="0"/>
        <w:spacing w:line="440" w:lineRule="exact"/>
        <w:rPr>
          <w:rFonts w:hint="eastAsia" w:ascii="宋体" w:hAnsi="宋体" w:eastAsia="宋体" w:cs="宋体"/>
          <w:b/>
          <w:color w:val="000000"/>
          <w:sz w:val="21"/>
          <w:szCs w:val="21"/>
        </w:rPr>
        <w:outlineLvl w:val="0"/>
      </w:pPr>
      <w:r>
        <w:rPr>
          <w:rFonts w:hint="eastAsia" w:ascii="宋体" w:hAnsi="宋体" w:eastAsia="宋体" w:cs="宋体"/>
          <w:b/>
          <w:color w:val="000000"/>
          <w:sz w:val="21"/>
          <w:szCs w:val="21"/>
        </w:rPr>
        <w:t xml:space="preserve">17、电子投标（响应）文件的编制与提交</w:t>
      </w:r>
      <w:r>
        <w:rPr>
          <w:rFonts w:hint="eastAsia" w:ascii="宋体" w:hAnsi="宋体" w:eastAsia="宋体" w:cs="宋体"/>
          <w:b/>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17.1、电子投标（响应）文件制作：本项目采用电子网上招投标，请供应商插入CA 证书</w:t>
      </w:r>
      <w:r>
        <w:rPr>
          <w:rFonts w:hint="eastAsia" w:ascii="宋体" w:hAnsi="宋体" w:eastAsia="宋体" w:cs="宋体"/>
          <w:bCs/>
          <w:color w:val="000000"/>
          <w:sz w:val="21"/>
          <w:szCs w:val="21"/>
          <w:lang w:eastAsia="zh-CN"/>
        </w:rPr>
        <w:t xml:space="preserve">登录</w:t>
      </w:r>
      <w:r>
        <w:rPr>
          <w:rFonts w:hint="eastAsia" w:ascii="宋体" w:hAnsi="宋体" w:eastAsia="宋体" w:cs="宋体"/>
          <w:bCs/>
          <w:color w:val="000000"/>
          <w:sz w:val="21"/>
          <w:szCs w:val="21"/>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eastAsia="宋体" w:cs="宋体"/>
          <w:bCs/>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17.2、电子投标（响应</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文件递交：投标人应当按照《操作手册》指引，在投标（响应）文件提交截止时间前完成电子投标（响应）文件的上传，未按要求成功上传的投标（响应）文件视为未递交。投标人应</w:t>
      </w:r>
      <w:r>
        <w:rPr>
          <w:rFonts w:hint="eastAsia" w:ascii="宋体" w:hAnsi="宋体" w:eastAsia="宋体" w:cs="宋体"/>
          <w:bCs/>
          <w:color w:val="000000"/>
          <w:sz w:val="21"/>
          <w:szCs w:val="21"/>
          <w:lang w:eastAsia="zh-CN"/>
        </w:rPr>
        <w:t xml:space="preserve">充分考虑</w:t>
      </w:r>
      <w:r>
        <w:rPr>
          <w:rFonts w:hint="eastAsia" w:ascii="宋体" w:hAnsi="宋体" w:eastAsia="宋体" w:cs="宋体"/>
          <w:bCs/>
          <w:color w:val="000000"/>
          <w:sz w:val="21"/>
          <w:szCs w:val="21"/>
        </w:rPr>
        <w:t xml:space="preserve">网络环境、网络带宽等风险因素，如因投标人自身原因造成的电子投标（响应）文件上传不成功由投标人自行承担全部责任。</w:t>
      </w:r>
      <w:r>
        <w:rPr>
          <w:rFonts w:hint="eastAsia" w:ascii="宋体" w:hAnsi="宋体" w:eastAsia="宋体" w:cs="宋体"/>
          <w:bCs/>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17.4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bCs/>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17.5、电子投标文件中的资料应按采购文件的要求加盖投标人的电子签章或公章。</w:t>
      </w:r>
      <w:r>
        <w:rPr>
          <w:rFonts w:hint="eastAsia" w:ascii="宋体" w:hAnsi="宋体" w:eastAsia="宋体" w:cs="宋体"/>
          <w:bCs/>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17.6、未按照要求编制电子投标文件，未按照要求在电子投标文件上加盖电子签章的，均视为无效投标。</w:t>
      </w:r>
      <w:r>
        <w:rPr>
          <w:rFonts w:hint="eastAsia" w:ascii="宋体" w:hAnsi="宋体" w:eastAsia="宋体" w:cs="宋体"/>
          <w:bCs/>
          <w:color w:val="000000"/>
          <w:sz w:val="21"/>
          <w:szCs w:val="21"/>
        </w:rPr>
      </w:r>
      <w:r/>
    </w:p>
    <w:p>
      <w:pPr>
        <w:pStyle w:val="1004"/>
        <w:ind w:firstLine="422"/>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18、投标供应商需保持“苏采云”系统不见面开标大厅在线状态，并按要求在规定时间内进行响应</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ind w:firstLine="422"/>
        <w:jc w:val="both"/>
        <w:keepLines w:val="0"/>
        <w:keepNext w:val="0"/>
        <w:pageBreakBefore w:val="0"/>
        <w:spacing w:line="44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19、开标</w:t>
      </w:r>
      <w:r>
        <w:rPr>
          <w:rFonts w:hint="eastAsia" w:ascii="宋体" w:hAnsi="宋体" w:eastAsia="宋体" w:cs="宋体"/>
          <w:b/>
          <w:bCs/>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（2）线上参加（观看）开标（开启）会方式：登录“苏采云”系统，点击“开标大厅”，选择对应项目，点击进入不见面开标系统。</w:t>
      </w:r>
      <w:r>
        <w:rPr>
          <w:rFonts w:hint="eastAsia" w:ascii="宋体" w:hAnsi="宋体" w:eastAsia="宋体" w:cs="宋体"/>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eastAsia="宋体" w:cs="宋体"/>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（5）投标人在“苏采云”系统规定的时间内未成功解密电子投标文件的，投标无效。</w:t>
      </w:r>
      <w:r>
        <w:rPr>
          <w:rFonts w:hint="eastAsia" w:ascii="宋体" w:hAnsi="宋体" w:eastAsia="宋体" w:cs="宋体"/>
          <w:color w:val="000000"/>
          <w:sz w:val="21"/>
          <w:szCs w:val="21"/>
        </w:rPr>
      </w:r>
      <w:r/>
    </w:p>
    <w:p>
      <w:pPr>
        <w:pStyle w:val="1004"/>
        <w:ind w:firstLine="420"/>
        <w:jc w:val="both"/>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20、技术支持</w:t>
      </w:r>
      <w:r>
        <w:rPr>
          <w:rFonts w:hint="eastAsia" w:ascii="宋体" w:hAnsi="宋体" w:eastAsia="宋体" w:cs="宋体"/>
          <w:b/>
          <w:bCs/>
          <w:color w:val="000000"/>
          <w:sz w:val="21"/>
          <w:szCs w:val="21"/>
        </w:rPr>
      </w:r>
      <w:r/>
    </w:p>
    <w:p>
      <w:pPr>
        <w:pStyle w:val="1004"/>
        <w:ind w:right="-153" w:firstLine="420"/>
        <w:keepLines w:val="0"/>
        <w:keepNext w:val="0"/>
        <w:pageBreakBefore w:val="0"/>
        <w:spacing w:line="440" w:lineRule="exac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在网上报名过程中如有疑问，请及时联系：</w:t>
      </w:r>
      <w:r>
        <w:rPr>
          <w:rFonts w:hint="eastAsia" w:ascii="宋体" w:hAnsi="宋体" w:eastAsia="宋体" w:cs="宋体"/>
          <w:bCs/>
          <w:color w:val="000000"/>
          <w:sz w:val="21"/>
          <w:szCs w:val="21"/>
        </w:rPr>
      </w:r>
      <w:r/>
    </w:p>
    <w:p>
      <w:pPr>
        <w:pStyle w:val="1004"/>
        <w:ind w:right="-153" w:firstLine="420"/>
        <w:keepLines w:val="0"/>
        <w:keepNext w:val="0"/>
        <w:pageBreakBefore w:val="0"/>
        <w:spacing w:line="440" w:lineRule="exac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CA技术咨询服务电话：400-608-6099</w:t>
      </w:r>
      <w:r>
        <w:rPr>
          <w:rFonts w:hint="eastAsia" w:ascii="宋体" w:hAnsi="宋体" w:eastAsia="宋体" w:cs="宋体"/>
          <w:bCs/>
          <w:color w:val="000000"/>
          <w:sz w:val="21"/>
          <w:szCs w:val="21"/>
        </w:rPr>
      </w:r>
      <w:r/>
    </w:p>
    <w:p>
      <w:pPr>
        <w:pStyle w:val="1004"/>
        <w:ind w:right="-153" w:firstLine="420"/>
        <w:keepLines w:val="0"/>
        <w:keepNext w:val="0"/>
        <w:pageBreakBefore w:val="0"/>
        <w:spacing w:line="440" w:lineRule="exac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电子签章技术咨询服务电话：15380932027、15371015030、13675197356、13675197221</w:t>
      </w:r>
      <w:r>
        <w:rPr>
          <w:rFonts w:hint="eastAsia" w:ascii="宋体" w:hAnsi="宋体" w:eastAsia="宋体" w:cs="宋体"/>
          <w:bCs/>
          <w:color w:val="000000"/>
          <w:sz w:val="21"/>
          <w:szCs w:val="21"/>
        </w:rPr>
      </w:r>
      <w:r/>
    </w:p>
    <w:p>
      <w:pPr>
        <w:pStyle w:val="1004"/>
        <w:ind w:right="-153" w:firstLine="420"/>
        <w:keepLines w:val="0"/>
        <w:keepNext w:val="0"/>
        <w:pageBreakBefore w:val="0"/>
        <w:spacing w:line="440" w:lineRule="exac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系统使用指导与咨询：联系电话：13914088964；18261002950（不见面项目）QQ：3048755361、895706745。</w:t>
      </w:r>
      <w:r>
        <w:rPr>
          <w:rFonts w:hint="eastAsia" w:ascii="宋体" w:hAnsi="宋体" w:eastAsia="宋体" w:cs="宋体"/>
          <w:bCs/>
          <w:color w:val="000000"/>
          <w:sz w:val="21"/>
          <w:szCs w:val="21"/>
        </w:rPr>
      </w:r>
      <w:r/>
    </w:p>
    <w:p>
      <w:pPr>
        <w:pStyle w:val="1004"/>
        <w:ind w:right="-153" w:firstLine="422"/>
        <w:keepLines w:val="0"/>
        <w:keepNext w:val="0"/>
        <w:pageBreakBefore w:val="0"/>
        <w:spacing w:line="440" w:lineRule="exact"/>
        <w:rPr>
          <w:rFonts w:hint="eastAsia" w:ascii="宋体" w:hAnsi="宋体" w:eastAsia="宋体" w:cs="宋体"/>
          <w:b/>
          <w:color w:val="000000"/>
          <w:sz w:val="21"/>
          <w:szCs w:val="21"/>
        </w:rPr>
        <w:outlineLvl w:val="0"/>
      </w:pPr>
      <w:r>
        <w:rPr>
          <w:rFonts w:hint="eastAsia" w:ascii="宋体" w:hAnsi="宋体" w:eastAsia="宋体" w:cs="宋体"/>
          <w:b/>
          <w:color w:val="000000"/>
          <w:sz w:val="21"/>
          <w:szCs w:val="21"/>
        </w:rPr>
        <w:t xml:space="preserve">21、澄清</w:t>
      </w:r>
      <w:r>
        <w:rPr>
          <w:rFonts w:hint="eastAsia" w:ascii="宋体" w:hAnsi="宋体" w:eastAsia="宋体" w:cs="宋体"/>
          <w:b/>
          <w:color w:val="000000"/>
          <w:sz w:val="21"/>
          <w:szCs w:val="21"/>
        </w:rPr>
      </w:r>
      <w:r/>
    </w:p>
    <w:p>
      <w:pPr>
        <w:pStyle w:val="1004"/>
        <w:ind w:right="-153" w:firstLine="420"/>
        <w:keepLines w:val="0"/>
        <w:keepNext w:val="0"/>
        <w:pageBreakBefore w:val="0"/>
        <w:spacing w:line="440" w:lineRule="exac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1004"/>
        <w:ind w:firstLine="422"/>
        <w:keepLines w:val="0"/>
        <w:keepNext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六、评标</w:t>
      </w:r>
      <w:r>
        <w:rPr>
          <w:rFonts w:hint="eastAsia" w:ascii="宋体" w:hAnsi="宋体" w:eastAsia="宋体" w:cs="宋体"/>
          <w:b/>
          <w:color w:val="000000"/>
          <w:sz w:val="21"/>
          <w:szCs w:val="21"/>
        </w:rPr>
      </w:r>
      <w:r/>
    </w:p>
    <w:p>
      <w:pPr>
        <w:pStyle w:val="1004"/>
        <w:ind w:firstLine="422"/>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22、资格审查</w:t>
      </w:r>
      <w:r>
        <w:rPr>
          <w:rFonts w:hint="eastAsia" w:ascii="宋体" w:hAnsi="宋体" w:eastAsia="宋体" w:cs="宋体"/>
          <w:b/>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22.1</w:t>
      </w: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lang w:val="zh-CN"/>
        </w:rPr>
        <w:t xml:space="preserve">公开招标采购项目开标结束后，采购人依法对投标人的资格进行审查。</w:t>
      </w:r>
      <w:r>
        <w:rPr>
          <w:rFonts w:hint="eastAsia" w:ascii="宋体" w:hAnsi="宋体" w:eastAsia="宋体" w:cs="宋体"/>
          <w:b/>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22.2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2.2.1 </w:t>
      </w:r>
      <w:r>
        <w:rPr>
          <w:rFonts w:hint="eastAsia" w:ascii="宋体" w:hAnsi="宋体" w:eastAsia="宋体" w:cs="宋体"/>
          <w:color w:val="000000"/>
          <w:sz w:val="21"/>
          <w:szCs w:val="21"/>
          <w:lang w:val="zh-CN"/>
        </w:rPr>
        <w:t xml:space="preserve">查询时间：投标文件递交截止时间。</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查询渠道：统一登录“苏州政府采购交易管理平台”系统查询供应商的信用记录。“苏州政府采购交易管理平台”系统可一键获取“信用中国”、“信用江苏”及中国政府采购网上的信用信息。各县级市（区）分中心可通过当地交易系统与“苏州政府采购交易管理平台”信用查询接口实现对接。</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查询证据留存方式：对存在失信信息的供应商，采购人或者采购代理机构应填写《苏州市级政府采购供应商失信信息确认函》，由失信供应商签名确认。同时，采购代理机构工作人员应登录到来源网站页面进行复核并打印，作为证据留存。</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color w:val="000000"/>
          <w:sz w:val="21"/>
          <w:szCs w:val="21"/>
          <w:lang w:val="zh-CN"/>
        </w:rPr>
        <w:t xml:space="preserve">22.</w:t>
      </w:r>
      <w:r>
        <w:rPr>
          <w:rFonts w:hint="eastAsia" w:ascii="宋体" w:hAnsi="宋体" w:eastAsia="宋体" w:cs="宋体"/>
          <w:color w:val="000000"/>
          <w:sz w:val="21"/>
          <w:szCs w:val="21"/>
        </w:rPr>
        <w:t xml:space="preserve">3 </w:t>
      </w:r>
      <w:r>
        <w:rPr>
          <w:rFonts w:hint="eastAsia" w:ascii="宋体" w:hAnsi="宋体" w:eastAsia="宋体" w:cs="宋体"/>
          <w:color w:val="000000"/>
          <w:sz w:val="21"/>
          <w:szCs w:val="21"/>
          <w:lang w:val="zh-CN"/>
        </w:rPr>
        <w:t xml:space="preserve">经采购人或者采购代理机构审查供应商存在上述失信行为的，投标无效。</w:t>
      </w:r>
      <w:r>
        <w:rPr>
          <w:rFonts w:hint="eastAsia" w:ascii="宋体" w:hAnsi="宋体" w:eastAsia="宋体" w:cs="宋体"/>
          <w:b/>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22.</w:t>
      </w:r>
      <w:r>
        <w:rPr>
          <w:rFonts w:hint="eastAsia" w:ascii="宋体" w:hAnsi="宋体" w:eastAsia="宋体" w:cs="宋体"/>
          <w:color w:val="000000"/>
          <w:sz w:val="21"/>
          <w:szCs w:val="21"/>
        </w:rPr>
        <w:t xml:space="preserve">4 资格审查</w:t>
      </w:r>
      <w:r>
        <w:rPr>
          <w:rFonts w:hint="eastAsia" w:ascii="宋体" w:hAnsi="宋体" w:eastAsia="宋体" w:cs="宋体"/>
          <w:color w:val="000000"/>
          <w:sz w:val="21"/>
          <w:szCs w:val="21"/>
          <w:lang w:val="zh-CN"/>
        </w:rPr>
        <w:t xml:space="preserve">合格</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zh-CN"/>
        </w:rPr>
        <w:t xml:space="preserve">投标人不足3家的，不得评标。</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23、评标委员会</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评标委员会成员依法组建；</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评标委员会将对符合资格的投标人的投标文件进行符合性审查，以确定其是否满足招标文件的实质性要求。</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3 </w:t>
      </w:r>
      <w:r>
        <w:rPr>
          <w:rFonts w:hint="eastAsia" w:ascii="宋体" w:hAnsi="宋体" w:eastAsia="宋体" w:cs="宋体"/>
          <w:color w:val="000000"/>
          <w:sz w:val="21"/>
          <w:szCs w:val="21"/>
          <w:lang w:val="zh-CN"/>
        </w:rPr>
        <w:t xml:space="preserve">评标委员会负责具体的评标事务，并独立履行以下职责：</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审查、评价投标文件是否符合招标文件的商务、</w:t>
      </w:r>
      <w:r>
        <w:rPr>
          <w:rFonts w:hint="eastAsia" w:ascii="宋体" w:hAnsi="宋体" w:eastAsia="宋体" w:cs="宋体"/>
          <w:color w:val="000000"/>
          <w:sz w:val="21"/>
          <w:szCs w:val="21"/>
        </w:rPr>
        <w:t xml:space="preserve">服务方案</w:t>
      </w:r>
      <w:r>
        <w:rPr>
          <w:rFonts w:hint="eastAsia" w:ascii="宋体" w:hAnsi="宋体" w:eastAsia="宋体" w:cs="宋体"/>
          <w:color w:val="000000"/>
          <w:sz w:val="21"/>
          <w:szCs w:val="21"/>
          <w:lang w:val="zh-CN"/>
        </w:rPr>
        <w:t xml:space="preserve">等实质性要求；</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要求投标人对投标文件有关事项作出澄清或者说明；</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对投标文件进行比较和评价；</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.4</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确定中标人；</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.5</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向采购人、采购代理机构或者有关部门报告评标中发现的违法行为；</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4 </w:t>
      </w:r>
      <w:r>
        <w:rPr>
          <w:rFonts w:hint="eastAsia" w:ascii="宋体" w:hAnsi="宋体" w:eastAsia="宋体" w:cs="宋体"/>
          <w:color w:val="000000"/>
          <w:sz w:val="21"/>
          <w:szCs w:val="21"/>
          <w:lang w:val="zh-CN"/>
        </w:rPr>
        <w:t xml:space="preserve">评标委员会成员应当履行下列义务：</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遵纪守法，客观、公正、廉洁地履行职责；</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按照招标文件规定的评标办法和评标标准进行评标，对评审意见承担个人责任；</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对评标过程和结果，以及投标人的商业秘密保密；</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.4</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参与评标报告的起草；</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.5</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配合招标采购人答复投标人提出的质疑；</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.6</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配合有关部门的投诉处理工作。</w:t>
      </w:r>
      <w:r>
        <w:rPr>
          <w:rFonts w:hint="eastAsia" w:ascii="宋体" w:hAnsi="宋体" w:eastAsia="宋体" w:cs="宋体"/>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24、评标内容的保密</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在评标期间，采购代理机构将通过指定联络人与投标人进行联系。</w:t>
      </w:r>
      <w:r>
        <w:rPr>
          <w:rFonts w:hint="eastAsia" w:ascii="宋体" w:hAnsi="宋体" w:eastAsia="宋体" w:cs="宋体"/>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25、对投标文件初审</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25.1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初审内容：投标文件是否实质性响应招标文件的要求、内容是否完整、价格构成是否有计算错误及文件签署是否齐全等。</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25.2 </w:t>
      </w:r>
      <w:r>
        <w:rPr>
          <w:rFonts w:hint="eastAsia" w:ascii="宋体" w:hAnsi="宋体" w:eastAsia="宋体" w:cs="宋体"/>
          <w:color w:val="000000"/>
          <w:sz w:val="21"/>
          <w:szCs w:val="21"/>
          <w:lang w:val="zh-CN"/>
        </w:rPr>
        <w:t xml:space="preserve">投标文件有下列情况之一者将被认定为无效投标：</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.2.1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投标文件未按照本须知规定签署和盖章；</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2 </w:t>
      </w:r>
      <w:r>
        <w:rPr>
          <w:rFonts w:hint="eastAsia" w:ascii="宋体" w:hAnsi="宋体" w:eastAsia="宋体" w:cs="宋体"/>
          <w:color w:val="000000"/>
          <w:sz w:val="21"/>
          <w:szCs w:val="21"/>
          <w:lang w:val="zh-CN"/>
        </w:rPr>
        <w:t xml:space="preserve">投标人拒绝修正错误；</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3 </w:t>
      </w:r>
      <w:r>
        <w:rPr>
          <w:rFonts w:hint="eastAsia" w:ascii="宋体" w:hAnsi="宋体" w:eastAsia="宋体" w:cs="宋体"/>
          <w:color w:val="000000"/>
          <w:sz w:val="21"/>
          <w:szCs w:val="21"/>
          <w:lang w:val="zh-CN"/>
        </w:rPr>
        <w:t xml:space="preserve">投标人的报价是选择性的；</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4 </w:t>
      </w:r>
      <w:r>
        <w:rPr>
          <w:rFonts w:hint="eastAsia" w:ascii="宋体" w:hAnsi="宋体" w:eastAsia="宋体" w:cs="宋体"/>
          <w:color w:val="000000"/>
          <w:sz w:val="21"/>
          <w:szCs w:val="21"/>
          <w:lang w:val="zh-CN"/>
        </w:rPr>
        <w:t xml:space="preserve">投标人的报价只投了同一标段中部分内容；</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 </w:t>
      </w:r>
      <w:r>
        <w:rPr>
          <w:rFonts w:hint="eastAsia" w:ascii="宋体" w:hAnsi="宋体" w:eastAsia="宋体" w:cs="宋体"/>
          <w:color w:val="000000"/>
          <w:sz w:val="21"/>
          <w:szCs w:val="21"/>
          <w:lang w:val="zh-CN"/>
        </w:rPr>
        <w:t xml:space="preserve">投标人的投标文件中出现评标委员会认为不应雷同的；</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6 </w:t>
      </w:r>
      <w:r>
        <w:rPr>
          <w:rFonts w:hint="eastAsia" w:ascii="宋体" w:hAnsi="宋体" w:eastAsia="宋体" w:cs="宋体"/>
          <w:color w:val="000000"/>
          <w:sz w:val="21"/>
          <w:szCs w:val="21"/>
          <w:lang w:val="zh-CN"/>
        </w:rPr>
        <w:t xml:space="preserve">其他被评标委员会认定无效的情况。</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b/>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lang w:val="zh-CN"/>
        </w:rPr>
        <w:t xml:space="preserve">的权利或投标人的义务，也不得对其他实质性响应的投标人的竞争地位产生不公正影响。</w:t>
      </w:r>
      <w:r>
        <w:rPr>
          <w:rFonts w:hint="eastAsia" w:ascii="宋体" w:hAnsi="宋体" w:eastAsia="宋体" w:cs="宋体"/>
          <w:b/>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 </w:t>
      </w:r>
      <w:r>
        <w:rPr>
          <w:rFonts w:hint="eastAsia" w:ascii="宋体" w:hAnsi="宋体" w:eastAsia="宋体" w:cs="宋体"/>
          <w:color w:val="000000"/>
          <w:sz w:val="21"/>
          <w:szCs w:val="21"/>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5 </w:t>
      </w:r>
      <w:r>
        <w:rPr>
          <w:rFonts w:hint="eastAsia" w:ascii="宋体" w:hAnsi="宋体" w:eastAsia="宋体" w:cs="宋体"/>
          <w:color w:val="000000"/>
          <w:sz w:val="21"/>
          <w:szCs w:val="21"/>
          <w:lang w:val="zh-CN"/>
        </w:rPr>
        <w:t xml:space="preserve">投标文件报价出现前后不一致的，除招标文件另有规定外，按照下列规定修正：</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25.5.1 </w:t>
      </w:r>
      <w:r>
        <w:rPr>
          <w:rFonts w:hint="eastAsia" w:ascii="宋体" w:hAnsi="宋体" w:eastAsia="宋体" w:cs="宋体"/>
          <w:color w:val="000000"/>
          <w:sz w:val="21"/>
          <w:szCs w:val="21"/>
          <w:lang w:val="zh-CN"/>
        </w:rPr>
        <w:t xml:space="preserve">投标文件中开标一览表（报价表）内容与投标文件中相应内容不一致的，以开标一览表（报价表）为准；</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25.5.2 </w:t>
      </w:r>
      <w:r>
        <w:rPr>
          <w:rFonts w:hint="eastAsia" w:ascii="宋体" w:hAnsi="宋体" w:eastAsia="宋体" w:cs="宋体"/>
          <w:color w:val="000000"/>
          <w:sz w:val="21"/>
          <w:szCs w:val="21"/>
          <w:lang w:val="zh-CN"/>
        </w:rPr>
        <w:t xml:space="preserve">大写金额和小写金额不一致的，以大写金额为准；</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25.5.3 </w:t>
      </w:r>
      <w:r>
        <w:rPr>
          <w:rFonts w:hint="eastAsia" w:ascii="宋体" w:hAnsi="宋体" w:eastAsia="宋体" w:cs="宋体"/>
          <w:color w:val="000000"/>
          <w:sz w:val="21"/>
          <w:szCs w:val="21"/>
          <w:lang w:val="zh-CN"/>
        </w:rPr>
        <w:t xml:space="preserve">单价金额小数点或者百分比有明显错位的，以开标一览表的总价为准，并修改单价；</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25.5.4 </w:t>
      </w:r>
      <w:r>
        <w:rPr>
          <w:rFonts w:hint="eastAsia" w:ascii="宋体" w:hAnsi="宋体" w:eastAsia="宋体" w:cs="宋体"/>
          <w:color w:val="000000"/>
          <w:sz w:val="21"/>
          <w:szCs w:val="21"/>
          <w:lang w:val="zh-CN"/>
        </w:rPr>
        <w:t xml:space="preserve">总价金额与按单价汇总金额不一致的，以单价金额计算结果为准。</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同时出现两种以上不一致的，按照前款规定的顺序修正。修正后的报价按照本须知2</w:t>
      </w: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lang w:val="zh-CN"/>
        </w:rPr>
        <w:t xml:space="preserve">条规定经投标人确认后产生约束力，投标人不确认的，其投标无效。</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.5</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tabs>
          <w:tab w:val="left" w:pos="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6 </w:t>
      </w:r>
      <w:r>
        <w:rPr>
          <w:rFonts w:hint="eastAsia" w:ascii="宋体" w:hAnsi="宋体" w:eastAsia="宋体" w:cs="宋体"/>
          <w:color w:val="000000"/>
          <w:sz w:val="21"/>
          <w:szCs w:val="21"/>
          <w:lang w:val="zh-CN"/>
        </w:rPr>
        <w:t xml:space="preserve">除上述情形外，对投标文件的判定，只依据投标文件本身，不依靠开标后的任何外来证明。</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tabs>
          <w:tab w:val="left" w:pos="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7 </w:t>
      </w:r>
      <w:r>
        <w:rPr>
          <w:rFonts w:hint="eastAsia" w:ascii="宋体" w:hAnsi="宋体" w:eastAsia="宋体" w:cs="宋体"/>
          <w:color w:val="000000"/>
          <w:sz w:val="21"/>
          <w:szCs w:val="21"/>
          <w:lang w:val="zh-CN"/>
        </w:rPr>
        <w:t xml:space="preserve">采购代理机构将拒绝被确定为非实质性响应的投标，投标人不能通过修正或撤销不符之处而使其投标成为实质性响应的投标。</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8 </w:t>
      </w:r>
      <w:r>
        <w:rPr>
          <w:rFonts w:hint="eastAsia" w:ascii="宋体" w:hAnsi="宋体" w:eastAsia="宋体" w:cs="宋体"/>
          <w:color w:val="000000"/>
          <w:sz w:val="21"/>
          <w:szCs w:val="21"/>
          <w:lang w:val="zh-CN"/>
        </w:rPr>
        <w:t xml:space="preserve">对不同文字文本投标文件的解释发生异议的，以中文文本为准。</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26、废标</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26.1 在招标过程中，出现下列情况之一的，应予废标：</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26.1.1 </w:t>
      </w:r>
      <w:r>
        <w:rPr>
          <w:rFonts w:hint="eastAsia" w:ascii="宋体" w:hAnsi="宋体" w:eastAsia="宋体" w:cs="宋体"/>
          <w:color w:val="000000"/>
          <w:sz w:val="21"/>
          <w:szCs w:val="21"/>
          <w:lang w:val="zh-CN"/>
        </w:rPr>
        <w:t xml:space="preserve">符合专业条件的供应商或者对招标文件做实质响应的供应商不足三家的； </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26.1.2 </w:t>
      </w:r>
      <w:r>
        <w:rPr>
          <w:rFonts w:hint="eastAsia" w:ascii="宋体" w:hAnsi="宋体" w:eastAsia="宋体" w:cs="宋体"/>
          <w:color w:val="000000"/>
          <w:sz w:val="21"/>
          <w:szCs w:val="21"/>
          <w:lang w:val="zh-CN"/>
        </w:rPr>
        <w:t xml:space="preserve">出现影响采购公正的违法、违规行为的； </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26.1.3 </w:t>
      </w:r>
      <w:r>
        <w:rPr>
          <w:rFonts w:hint="eastAsia" w:ascii="宋体" w:hAnsi="宋体" w:eastAsia="宋体" w:cs="宋体"/>
          <w:color w:val="000000"/>
          <w:sz w:val="21"/>
          <w:szCs w:val="21"/>
          <w:lang w:val="zh-CN"/>
        </w:rPr>
        <w:t xml:space="preserve">投标人的报价均超过了采购预算或者最高限价，采购人不能支付的； </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26.1.4 </w:t>
      </w:r>
      <w:r>
        <w:rPr>
          <w:rFonts w:hint="eastAsia" w:ascii="宋体" w:hAnsi="宋体" w:eastAsia="宋体" w:cs="宋体"/>
          <w:color w:val="000000"/>
          <w:sz w:val="21"/>
          <w:szCs w:val="21"/>
          <w:lang w:val="zh-CN"/>
        </w:rPr>
        <w:t xml:space="preserve">因重大变故，采购任务取消的。 </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26.2 废标后，采购代理机构将发布废标公告。</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27、投标文件的评价和比较</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27.1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评标委员会将仅对按照</w:t>
      </w:r>
      <w:r>
        <w:rPr>
          <w:rFonts w:hint="eastAsia" w:ascii="宋体" w:hAnsi="宋体" w:eastAsia="宋体" w:cs="宋体"/>
          <w:color w:val="000000"/>
          <w:sz w:val="21"/>
          <w:szCs w:val="21"/>
        </w:rPr>
        <w:t xml:space="preserve">招标文件</w:t>
      </w:r>
      <w:r>
        <w:rPr>
          <w:rFonts w:hint="eastAsia" w:ascii="宋体" w:hAnsi="宋体" w:eastAsia="宋体" w:cs="宋体"/>
          <w:color w:val="000000"/>
          <w:sz w:val="21"/>
          <w:szCs w:val="21"/>
          <w:lang w:val="zh-CN"/>
        </w:rPr>
        <w:t xml:space="preserve">规定确定为实质上响应招标文件要求的投标文件进行商务和技术评估，综合比较与评价。</w:t>
      </w:r>
      <w:r>
        <w:rPr>
          <w:rFonts w:hint="eastAsia" w:ascii="宋体" w:hAnsi="宋体" w:eastAsia="宋体" w:cs="宋体"/>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27.2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评价和比较采用综合评分法，评标委员会严格按照招标文件的规定要求、条件、评分标准，对投标人所提供</w:t>
      </w:r>
      <w:r>
        <w:rPr>
          <w:rFonts w:hint="eastAsia" w:ascii="宋体" w:hAnsi="宋体" w:eastAsia="宋体" w:cs="宋体"/>
          <w:color w:val="000000"/>
          <w:sz w:val="21"/>
          <w:szCs w:val="21"/>
        </w:rPr>
        <w:t xml:space="preserve">保险</w:t>
      </w:r>
      <w:r>
        <w:rPr>
          <w:rFonts w:hint="eastAsia" w:ascii="宋体" w:hAnsi="宋体" w:eastAsia="宋体" w:cs="宋体"/>
          <w:color w:val="000000"/>
          <w:sz w:val="21"/>
          <w:szCs w:val="21"/>
          <w:lang w:val="zh-CN"/>
        </w:rPr>
        <w:t xml:space="preserve">服务的</w:t>
      </w:r>
      <w:r>
        <w:rPr>
          <w:rFonts w:hint="eastAsia" w:ascii="宋体" w:hAnsi="宋体" w:eastAsia="宋体" w:cs="宋体"/>
          <w:color w:val="000000"/>
          <w:sz w:val="21"/>
          <w:szCs w:val="21"/>
        </w:rPr>
        <w:t xml:space="preserve">科学</w:t>
      </w:r>
      <w:r>
        <w:rPr>
          <w:rFonts w:hint="eastAsia" w:ascii="宋体" w:hAnsi="宋体" w:eastAsia="宋体" w:cs="宋体"/>
          <w:color w:val="000000"/>
          <w:sz w:val="21"/>
          <w:szCs w:val="21"/>
          <w:lang w:val="zh-CN"/>
        </w:rPr>
        <w:t xml:space="preserve">性、可靠性、</w:t>
      </w:r>
      <w:r>
        <w:rPr>
          <w:rFonts w:hint="eastAsia" w:ascii="宋体" w:hAnsi="宋体" w:eastAsia="宋体" w:cs="宋体"/>
          <w:color w:val="000000"/>
          <w:sz w:val="21"/>
          <w:szCs w:val="21"/>
        </w:rPr>
        <w:t xml:space="preserve">履约</w:t>
      </w:r>
      <w:r>
        <w:rPr>
          <w:rFonts w:hint="eastAsia" w:ascii="宋体" w:hAnsi="宋体" w:eastAsia="宋体" w:cs="宋体"/>
          <w:color w:val="000000"/>
          <w:sz w:val="21"/>
          <w:szCs w:val="21"/>
          <w:lang w:val="zh-CN"/>
        </w:rPr>
        <w:t xml:space="preserve">服务承诺、质量保证承诺等实质性响应内容进行比较评价。</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27.3 最低的投标报价或最高的折扣比例是中标的重要条件，但不是唯一条件。</w:t>
      </w:r>
      <w:r>
        <w:rPr>
          <w:rFonts w:hint="eastAsia" w:ascii="宋体" w:hAnsi="宋体" w:eastAsia="宋体" w:cs="宋体"/>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七、授予合同</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28、中标人的确认</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28.1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评标委员会根据投标人资格审查情况，对投标文件进行评价和比较，按照评标办法和标准</w:t>
      </w:r>
      <w:r>
        <w:rPr>
          <w:rFonts w:hint="eastAsia" w:ascii="宋体" w:hAnsi="宋体" w:eastAsia="宋体" w:cs="宋体"/>
          <w:color w:val="000000"/>
          <w:sz w:val="21"/>
          <w:szCs w:val="21"/>
        </w:rPr>
        <w:t xml:space="preserve">推荐中标候选人，并根据采购人的委托及评审结果确定中标人</w:t>
      </w:r>
      <w:r>
        <w:rPr>
          <w:rFonts w:hint="eastAsia" w:ascii="宋体" w:hAnsi="宋体" w:eastAsia="宋体" w:cs="宋体"/>
          <w:color w:val="000000"/>
          <w:sz w:val="21"/>
          <w:szCs w:val="21"/>
          <w:lang w:val="zh-CN"/>
        </w:rPr>
        <w:t xml:space="preserve">。评标委员会有权评定中标人，同时也有权拒绝任何或所有投标人中标。</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28.2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w:t>
      </w:r>
      <w:r>
        <w:rPr>
          <w:rFonts w:hint="eastAsia" w:ascii="宋体" w:hAnsi="宋体" w:eastAsia="宋体" w:cs="宋体"/>
          <w:color w:val="000000"/>
          <w:sz w:val="21"/>
          <w:szCs w:val="21"/>
        </w:rPr>
        <w:t xml:space="preserve">超过</w:t>
      </w:r>
      <w:r>
        <w:rPr>
          <w:rFonts w:hint="eastAsia" w:ascii="宋体" w:hAnsi="宋体" w:eastAsia="宋体" w:cs="宋体"/>
          <w:color w:val="000000"/>
          <w:sz w:val="21"/>
          <w:szCs w:val="21"/>
          <w:lang w:val="zh-CN"/>
        </w:rPr>
        <w:t xml:space="preserve">期限向采购代理机构提出质疑，采购代理机构</w:t>
      </w:r>
      <w:r>
        <w:rPr>
          <w:rFonts w:hint="eastAsia" w:ascii="宋体" w:hAnsi="宋体" w:eastAsia="宋体" w:cs="宋体"/>
          <w:color w:val="000000"/>
          <w:sz w:val="21"/>
          <w:szCs w:val="21"/>
        </w:rPr>
        <w:t xml:space="preserve">将</w:t>
      </w:r>
      <w:r>
        <w:rPr>
          <w:rFonts w:hint="eastAsia" w:ascii="宋体" w:hAnsi="宋体" w:eastAsia="宋体" w:cs="宋体"/>
          <w:color w:val="000000"/>
          <w:sz w:val="21"/>
          <w:szCs w:val="21"/>
          <w:lang w:val="zh-CN"/>
        </w:rPr>
        <w:t xml:space="preserve">不予答复。</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29、合同授予标准</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29.1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采购代理机构将把合同授予按招标文件规定评选出的中标人。确定为中标人的必须具有实施本合同的能力和资源。</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29.2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在合同签订之前，如发现中标人提供的材料虚假或对标书所要求说明的情况故意隐瞒或虚报，则按政府采购程序取消其签约资格。</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30、中标通知书</w:t>
      </w:r>
      <w:r>
        <w:rPr>
          <w:rFonts w:hint="eastAsia" w:ascii="宋体" w:hAnsi="宋体" w:eastAsia="宋体" w:cs="宋体"/>
          <w:b/>
          <w:bCs/>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30.1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确定</w:t>
      </w:r>
      <w:r>
        <w:rPr>
          <w:rFonts w:hint="eastAsia" w:ascii="宋体" w:hAnsi="宋体" w:eastAsia="宋体" w:cs="宋体"/>
          <w:color w:val="000000"/>
          <w:sz w:val="21"/>
          <w:szCs w:val="21"/>
          <w:lang w:val="zh-CN"/>
        </w:rPr>
        <w:t xml:space="preserve">中标人后，采购代理机构将</w:t>
      </w:r>
      <w:r>
        <w:rPr>
          <w:rFonts w:hint="eastAsia" w:ascii="宋体" w:hAnsi="宋体" w:eastAsia="宋体" w:cs="宋体"/>
          <w:color w:val="000000"/>
          <w:sz w:val="21"/>
          <w:szCs w:val="21"/>
        </w:rPr>
        <w:t xml:space="preserve">在规定时间内</w:t>
      </w:r>
      <w:r>
        <w:rPr>
          <w:rFonts w:hint="eastAsia" w:ascii="宋体" w:hAnsi="宋体" w:eastAsia="宋体" w:cs="宋体"/>
          <w:color w:val="000000"/>
          <w:sz w:val="21"/>
          <w:szCs w:val="21"/>
          <w:lang w:val="zh-CN"/>
        </w:rPr>
        <w:t xml:space="preserve">以书面形式通知中标人其投标被接受。在中标通知书中明确中标人的中标</w:t>
      </w:r>
      <w:r>
        <w:rPr>
          <w:rFonts w:hint="eastAsia" w:ascii="宋体" w:hAnsi="宋体" w:eastAsia="宋体" w:cs="宋体"/>
          <w:color w:val="000000"/>
          <w:sz w:val="21"/>
          <w:szCs w:val="21"/>
        </w:rPr>
        <w:t xml:space="preserve">价格</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服务内容及标准</w:t>
      </w:r>
      <w:r>
        <w:rPr>
          <w:rFonts w:hint="eastAsia" w:ascii="宋体" w:hAnsi="宋体" w:eastAsia="宋体" w:cs="宋体"/>
          <w:color w:val="000000"/>
          <w:sz w:val="21"/>
          <w:szCs w:val="21"/>
          <w:lang w:val="zh-CN"/>
        </w:rPr>
        <w:t xml:space="preserve">和有关合同签订的日期和地点。</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30.2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中标通知书将成为合同的组成部分。</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lang w:val="zh-CN"/>
        </w:rPr>
        <w:t xml:space="preserve">30.3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采购代理机构对未中标人不承担解释未中标原因的义务。</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31、合同的签订</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31.1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中标人应按中标通知书中规定与采购人签订政府采购合同。</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31.2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签订的合同及合同条款应以招标文件和中标人的投标文件及其澄清文件为依据。</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31.3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中标人无正当理由不得放弃中标。</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八、其他事项</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32、中标服务费</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32.1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中标人应按前附表规定缴纳中标服务费。</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33、监督和公证</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34.1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政府有关监督部门将对招投标全过程进行监督。</w:t>
      </w:r>
      <w:r>
        <w:rPr>
          <w:rFonts w:hint="eastAsia" w:ascii="宋体" w:hAnsi="宋体" w:eastAsia="宋体" w:cs="宋体"/>
          <w:color w:val="000000"/>
          <w:sz w:val="21"/>
          <w:szCs w:val="21"/>
          <w:lang w:val="zh-CN"/>
        </w:rPr>
      </w:r>
      <w:r/>
    </w:p>
    <w:p>
      <w:pPr>
        <w:pStyle w:val="1004"/>
        <w:ind w:firstLine="420"/>
        <w:keepLines w:val="0"/>
        <w:keepNext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34.2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采购代理机构的</w:t>
      </w:r>
      <w:r>
        <w:rPr>
          <w:rFonts w:hint="eastAsia" w:ascii="宋体" w:hAnsi="宋体" w:eastAsia="宋体" w:cs="宋体"/>
          <w:color w:val="000000"/>
          <w:sz w:val="21"/>
          <w:szCs w:val="21"/>
        </w:rPr>
        <w:t xml:space="preserve">开标评标</w:t>
      </w:r>
      <w:r>
        <w:rPr>
          <w:rFonts w:hint="eastAsia" w:ascii="宋体" w:hAnsi="宋体" w:eastAsia="宋体" w:cs="宋体"/>
          <w:color w:val="000000"/>
          <w:sz w:val="21"/>
          <w:szCs w:val="21"/>
          <w:lang w:val="zh-CN"/>
        </w:rPr>
        <w:t xml:space="preserve">过程将</w:t>
      </w:r>
      <w:r>
        <w:rPr>
          <w:rFonts w:hint="eastAsia" w:ascii="宋体" w:hAnsi="宋体" w:eastAsia="宋体" w:cs="宋体"/>
          <w:color w:val="000000"/>
          <w:sz w:val="21"/>
          <w:szCs w:val="21"/>
        </w:rPr>
        <w:t xml:space="preserve">请</w:t>
      </w:r>
      <w:r>
        <w:rPr>
          <w:rFonts w:hint="eastAsia" w:ascii="宋体" w:hAnsi="宋体" w:eastAsia="宋体" w:cs="宋体"/>
          <w:color w:val="000000"/>
          <w:sz w:val="21"/>
          <w:szCs w:val="21"/>
          <w:lang w:val="zh-CN"/>
        </w:rPr>
        <w:t xml:space="preserve">公证机关进行公证。</w:t>
      </w:r>
      <w:r>
        <w:rPr>
          <w:rFonts w:hint="eastAsia" w:ascii="宋体" w:hAnsi="宋体" w:eastAsia="宋体" w:cs="宋体"/>
          <w:color w:val="000000"/>
          <w:sz w:val="21"/>
          <w:szCs w:val="21"/>
          <w:lang w:val="zh-CN"/>
        </w:rPr>
      </w:r>
      <w:r/>
    </w:p>
    <w:p>
      <w:pPr>
        <w:pStyle w:val="1004"/>
        <w:ind w:firstLine="422"/>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zh-CN"/>
        </w:rPr>
        <w:t xml:space="preserve">34、未尽事宜</w:t>
      </w:r>
      <w:r>
        <w:rPr>
          <w:rFonts w:hint="eastAsia" w:ascii="宋体" w:hAnsi="宋体" w:eastAsia="宋体" w:cs="宋体"/>
          <w:b/>
          <w:bCs/>
          <w:color w:val="000000"/>
          <w:sz w:val="21"/>
          <w:szCs w:val="21"/>
        </w:rPr>
      </w:r>
      <w:r/>
    </w:p>
    <w:p>
      <w:pPr>
        <w:pStyle w:val="1004"/>
        <w:ind w:firstLine="420"/>
        <w:keepLines w:val="0"/>
        <w:keepNext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34.1 </w:t>
      </w:r>
      <w:r>
        <w:rPr>
          <w:rFonts w:hint="eastAsia" w:ascii="宋体" w:hAnsi="宋体" w:eastAsia="宋体" w:cs="宋体"/>
          <w:color w:val="000000"/>
          <w:sz w:val="21"/>
          <w:szCs w:val="21"/>
          <w:lang w:val="zh-CN"/>
        </w:rPr>
        <w:t xml:space="preserve">按《中华人民共和国政府采购法》及其他有关政府采购的法律法规的规定执行。</w:t>
      </w:r>
      <w:r>
        <w:rPr>
          <w:rFonts w:hint="eastAsia" w:ascii="宋体" w:hAnsi="宋体" w:eastAsia="宋体" w:cs="宋体"/>
          <w:b/>
          <w:color w:val="000000"/>
          <w:sz w:val="21"/>
          <w:szCs w:val="21"/>
        </w:rPr>
      </w:r>
      <w:r/>
    </w:p>
    <w:p>
      <w:pPr>
        <w:pStyle w:val="1004"/>
        <w:jc w:val="both"/>
        <w:spacing w:line="40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04"/>
        <w:jc w:val="both"/>
        <w:spacing w:before="50" w:line="400" w:lineRule="exact"/>
        <w:rPr>
          <w:rFonts w:hint="eastAsia" w:ascii="宋体" w:hAnsi="宋体" w:eastAsia="宋体" w:cs="宋体"/>
          <w:b/>
          <w:color w:val="000000"/>
          <w:sz w:val="36"/>
          <w:szCs w:val="36"/>
        </w:rPr>
      </w:pPr>
      <w:r/>
      <w:bookmarkStart w:id="3" w:name="_Toc142194265"/>
      <w:r/>
      <w:bookmarkStart w:id="4" w:name="_Toc13642114"/>
      <w:r>
        <w:rPr>
          <w:rFonts w:hint="eastAsia" w:ascii="宋体" w:hAnsi="宋体" w:eastAsia="宋体" w:cs="宋体"/>
          <w:b/>
          <w:color w:val="000000"/>
          <w:sz w:val="36"/>
          <w:szCs w:val="36"/>
        </w:rPr>
      </w:r>
      <w:r/>
    </w:p>
    <w:p>
      <w:pPr>
        <w:pStyle w:val="1004"/>
        <w:jc w:val="center"/>
        <w:spacing w:before="50" w:line="400" w:lineRule="exact"/>
        <w:rPr>
          <w:rFonts w:hint="eastAsia" w:ascii="宋体" w:hAnsi="宋体" w:eastAsia="宋体" w:cs="宋体"/>
          <w:b/>
          <w:color w:val="000000"/>
          <w:sz w:val="36"/>
          <w:szCs w:val="36"/>
        </w:rPr>
      </w:pPr>
      <w:r>
        <w:rPr>
          <w:rFonts w:hint="eastAsia" w:ascii="宋体" w:hAnsi="宋体" w:eastAsia="宋体" w:cs="宋体"/>
          <w:b/>
          <w:color w:val="000000"/>
          <w:sz w:val="32"/>
          <w:szCs w:val="32"/>
        </w:rPr>
        <w:t xml:space="preserve">第三章  投标文件格式</w:t>
      </w:r>
      <w:bookmarkEnd w:id="3"/>
      <w:r/>
      <w:bookmarkEnd w:id="4"/>
      <w:r>
        <w:rPr>
          <w:rFonts w:hint="eastAsia" w:ascii="宋体" w:hAnsi="宋体" w:eastAsia="宋体" w:cs="宋体"/>
          <w:b/>
          <w:color w:val="000000"/>
          <w:sz w:val="36"/>
          <w:szCs w:val="36"/>
        </w:rPr>
      </w:r>
      <w:r/>
    </w:p>
    <w:p>
      <w:pPr>
        <w:pStyle w:val="1014"/>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1014"/>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说明：</w:t>
      </w:r>
      <w:r>
        <w:rPr>
          <w:rFonts w:hint="eastAsia" w:ascii="宋体" w:hAnsi="宋体" w:eastAsia="宋体" w:cs="宋体"/>
          <w:b/>
          <w:color w:val="000000"/>
          <w:sz w:val="21"/>
          <w:szCs w:val="21"/>
        </w:rPr>
      </w:r>
      <w:r/>
    </w:p>
    <w:p>
      <w:pPr>
        <w:pStyle w:val="1014"/>
        <w:ind w:firstLine="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对本章所有的投标书格式，投标人可根据自身情况进行补充和修改，但补充和修改不得造成与本格式内容有实质性的违背。</w:t>
      </w:r>
      <w:r>
        <w:rPr>
          <w:rFonts w:hint="eastAsia" w:ascii="宋体" w:hAnsi="宋体" w:eastAsia="宋体" w:cs="宋体"/>
          <w:color w:val="000000"/>
          <w:sz w:val="21"/>
          <w:szCs w:val="21"/>
        </w:rPr>
      </w:r>
      <w:r/>
    </w:p>
    <w:p>
      <w:pPr>
        <w:pStyle w:val="1007"/>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line="420" w:lineRule="exact"/>
        <w:rPr>
          <w:rFonts w:hint="eastAsia" w:ascii="宋体" w:hAnsi="宋体" w:eastAsia="宋体" w:cs="宋体"/>
          <w:b/>
          <w:bCs/>
          <w:color w:val="000000"/>
          <w:sz w:val="21"/>
          <w:szCs w:val="21"/>
        </w:rPr>
      </w:pPr>
      <w:r/>
      <w:bookmarkStart w:id="5" w:name="_Toc142194269"/>
      <w:r/>
      <w:bookmarkStart w:id="6" w:name="_Toc142194270"/>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格式1：封面</w:t>
      </w:r>
      <w:r>
        <w:rPr>
          <w:rFonts w:hint="eastAsia" w:ascii="宋体" w:hAnsi="宋体" w:eastAsia="宋体" w:cs="宋体"/>
          <w:b/>
          <w:bCs/>
          <w:color w:val="000000"/>
          <w:sz w:val="21"/>
          <w:szCs w:val="21"/>
        </w:rPr>
      </w:r>
      <w:r/>
    </w:p>
    <w:p>
      <w:pPr>
        <w:pStyle w:val="1004"/>
        <w:ind w:firstLine="482"/>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5"/>
        <w:jc w:val="center"/>
        <w:rPr>
          <w:rFonts w:hint="eastAsia" w:ascii="宋体" w:hAnsi="宋体" w:eastAsia="宋体" w:cs="宋体"/>
          <w:color w:val="000000"/>
          <w:sz w:val="54"/>
          <w:szCs w:val="54"/>
        </w:rPr>
      </w:pPr>
      <w:r>
        <w:rPr>
          <w:rFonts w:hint="eastAsia" w:ascii="宋体" w:hAnsi="宋体" w:eastAsia="宋体" w:cs="宋体"/>
          <w:color w:val="000000"/>
          <w:sz w:val="54"/>
          <w:szCs w:val="54"/>
        </w:rPr>
        <w:t xml:space="preserve">投 标 文 件</w:t>
      </w:r>
      <w:r>
        <w:rPr>
          <w:rFonts w:hint="eastAsia" w:ascii="宋体" w:hAnsi="宋体" w:eastAsia="宋体" w:cs="宋体"/>
          <w:color w:val="000000"/>
          <w:sz w:val="54"/>
          <w:szCs w:val="54"/>
        </w:rPr>
      </w:r>
      <w:r/>
    </w:p>
    <w:p>
      <w:pPr>
        <w:pStyle w:val="1035"/>
        <w:rPr>
          <w:rFonts w:hint="eastAsia" w:ascii="宋体" w:hAnsi="宋体" w:eastAsia="宋体" w:cs="宋体"/>
          <w:color w:val="000000"/>
          <w:sz w:val="31"/>
          <w:szCs w:val="31"/>
        </w:rPr>
      </w:pPr>
      <w:r>
        <w:rPr>
          <w:rFonts w:hint="eastAsia" w:ascii="宋体" w:hAnsi="宋体" w:eastAsia="宋体" w:cs="宋体"/>
          <w:color w:val="000000"/>
          <w:sz w:val="31"/>
          <w:szCs w:val="31"/>
        </w:rPr>
        <w:t xml:space="preserve"> </w:t>
      </w:r>
      <w:r>
        <w:rPr>
          <w:rFonts w:hint="eastAsia" w:ascii="宋体" w:hAnsi="宋体" w:eastAsia="宋体" w:cs="宋体"/>
          <w:color w:val="000000"/>
          <w:sz w:val="31"/>
          <w:szCs w:val="31"/>
        </w:rPr>
      </w:r>
      <w:r/>
    </w:p>
    <w:p>
      <w:pPr>
        <w:pStyle w:val="1035"/>
        <w:jc w:val="center"/>
        <w:rPr>
          <w:rFonts w:hint="eastAsia" w:ascii="宋体" w:hAnsi="宋体" w:eastAsia="宋体" w:cs="宋体"/>
          <w:color w:val="000000"/>
          <w:sz w:val="40"/>
          <w:szCs w:val="40"/>
        </w:rPr>
      </w:pPr>
      <w:r>
        <w:rPr>
          <w:rFonts w:hint="eastAsia" w:ascii="宋体" w:hAnsi="宋体" w:eastAsia="宋体" w:cs="宋体"/>
          <w:color w:val="000000"/>
          <w:sz w:val="40"/>
          <w:szCs w:val="40"/>
        </w:rPr>
        <w:t xml:space="preserve"> </w:t>
      </w:r>
      <w:r>
        <w:rPr>
          <w:rFonts w:hint="eastAsia" w:ascii="宋体" w:hAnsi="宋体" w:eastAsia="宋体" w:cs="宋体"/>
          <w:color w:val="000000"/>
          <w:sz w:val="40"/>
          <w:szCs w:val="40"/>
        </w:rPr>
      </w:r>
      <w:r/>
    </w:p>
    <w:p>
      <w:pPr>
        <w:pStyle w:val="1035"/>
        <w:rPr>
          <w:rFonts w:hint="eastAsia" w:ascii="宋体" w:hAnsi="宋体" w:eastAsia="宋体" w:cs="宋体"/>
          <w:color w:val="000000"/>
          <w:sz w:val="31"/>
          <w:szCs w:val="31"/>
        </w:rPr>
      </w:pPr>
      <w:r>
        <w:rPr>
          <w:rFonts w:hint="eastAsia" w:ascii="宋体" w:hAnsi="宋体" w:eastAsia="宋体" w:cs="宋体"/>
          <w:color w:val="000000"/>
          <w:sz w:val="31"/>
          <w:szCs w:val="31"/>
        </w:rPr>
        <w:t xml:space="preserve"> </w:t>
      </w:r>
      <w:r>
        <w:rPr>
          <w:rFonts w:hint="eastAsia" w:ascii="宋体" w:hAnsi="宋体" w:eastAsia="宋体" w:cs="宋体"/>
          <w:color w:val="000000"/>
          <w:sz w:val="31"/>
          <w:szCs w:val="31"/>
        </w:rPr>
      </w:r>
      <w:r/>
    </w:p>
    <w:p>
      <w:pPr>
        <w:pStyle w:val="1035"/>
        <w:ind w:left="2400"/>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项目名称：</w:t>
      </w:r>
      <w:r>
        <w:rPr>
          <w:rFonts w:hint="eastAsia" w:ascii="宋体" w:hAnsi="宋体" w:eastAsia="宋体" w:cs="宋体"/>
          <w:color w:val="000000"/>
          <w:sz w:val="36"/>
          <w:szCs w:val="36"/>
          <w:u w:val="single"/>
        </w:rPr>
        <w:t xml:space="preserve">            </w:t>
      </w:r>
      <w:r>
        <w:rPr>
          <w:rFonts w:hint="eastAsia" w:ascii="宋体" w:hAnsi="宋体" w:eastAsia="宋体" w:cs="宋体"/>
          <w:color w:val="000000"/>
          <w:sz w:val="36"/>
          <w:szCs w:val="36"/>
        </w:rPr>
      </w:r>
      <w:r/>
    </w:p>
    <w:p>
      <w:pPr>
        <w:pStyle w:val="1035"/>
        <w:ind w:left="2400"/>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项目编号：</w:t>
      </w:r>
      <w:r>
        <w:rPr>
          <w:rFonts w:hint="eastAsia" w:ascii="宋体" w:hAnsi="宋体" w:eastAsia="宋体" w:cs="宋体"/>
          <w:color w:val="000000"/>
          <w:sz w:val="36"/>
          <w:szCs w:val="36"/>
          <w:u w:val="single"/>
        </w:rPr>
        <w:t xml:space="preserve">            </w:t>
      </w:r>
      <w:r>
        <w:rPr>
          <w:rFonts w:hint="eastAsia" w:ascii="宋体" w:hAnsi="宋体" w:eastAsia="宋体" w:cs="宋体"/>
          <w:color w:val="000000"/>
          <w:sz w:val="36"/>
          <w:szCs w:val="36"/>
        </w:rPr>
      </w:r>
      <w:r/>
    </w:p>
    <w:p>
      <w:pPr>
        <w:pStyle w:val="1035"/>
        <w:ind w:left="2400"/>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标段名称：</w:t>
      </w:r>
      <w:r>
        <w:rPr>
          <w:rFonts w:hint="eastAsia" w:ascii="宋体" w:hAnsi="宋体" w:eastAsia="宋体" w:cs="宋体"/>
          <w:color w:val="000000"/>
          <w:sz w:val="36"/>
          <w:szCs w:val="36"/>
          <w:u w:val="single"/>
        </w:rPr>
        <w:t xml:space="preserve">            </w:t>
      </w:r>
      <w:r>
        <w:rPr>
          <w:rFonts w:hint="eastAsia" w:ascii="宋体" w:hAnsi="宋体" w:eastAsia="宋体" w:cs="宋体"/>
          <w:color w:val="000000"/>
          <w:sz w:val="36"/>
          <w:szCs w:val="36"/>
        </w:rPr>
      </w:r>
      <w:r/>
    </w:p>
    <w:p>
      <w:pPr>
        <w:pStyle w:val="1035"/>
        <w:ind w:left="2400"/>
        <w:spacing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标段编号：</w:t>
      </w:r>
      <w:r>
        <w:rPr>
          <w:rFonts w:hint="eastAsia" w:ascii="宋体" w:hAnsi="宋体" w:eastAsia="宋体" w:cs="宋体"/>
          <w:color w:val="000000"/>
          <w:sz w:val="36"/>
          <w:szCs w:val="36"/>
          <w:u w:val="single"/>
        </w:rPr>
        <w:t xml:space="preserve">            </w:t>
      </w:r>
      <w:r>
        <w:rPr>
          <w:rFonts w:hint="eastAsia" w:ascii="宋体" w:hAnsi="宋体" w:eastAsia="宋体" w:cs="宋体"/>
          <w:color w:val="000000"/>
          <w:sz w:val="36"/>
          <w:szCs w:val="36"/>
        </w:rPr>
      </w:r>
      <w:r/>
    </w:p>
    <w:p>
      <w:pPr>
        <w:pStyle w:val="1035"/>
        <w:jc w:val="center"/>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 </w:t>
      </w:r>
      <w:r>
        <w:rPr>
          <w:rFonts w:hint="eastAsia" w:ascii="宋体" w:hAnsi="宋体" w:eastAsia="宋体" w:cs="宋体"/>
          <w:color w:val="000000"/>
          <w:sz w:val="36"/>
          <w:szCs w:val="36"/>
        </w:rPr>
      </w:r>
      <w:r/>
    </w:p>
    <w:p>
      <w:pPr>
        <w:pStyle w:val="1035"/>
        <w:jc w:val="cente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35"/>
        <w:jc w:val="center"/>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供应商名称：</w:t>
      </w:r>
      <w:r>
        <w:rPr>
          <w:rFonts w:hint="eastAsia" w:ascii="宋体" w:hAnsi="宋体" w:eastAsia="宋体" w:cs="宋体"/>
          <w:color w:val="000000"/>
          <w:sz w:val="36"/>
          <w:szCs w:val="36"/>
          <w:u w:val="single"/>
        </w:rPr>
        <w:t xml:space="preserve">            </w:t>
      </w:r>
      <w:r>
        <w:rPr>
          <w:rFonts w:hint="eastAsia" w:ascii="宋体" w:hAnsi="宋体" w:eastAsia="宋体" w:cs="宋体"/>
          <w:color w:val="000000"/>
          <w:sz w:val="36"/>
          <w:szCs w:val="36"/>
        </w:rPr>
        <w:t xml:space="preserve">（盖章）</w:t>
      </w:r>
      <w:r>
        <w:rPr>
          <w:rFonts w:hint="eastAsia" w:ascii="宋体" w:hAnsi="宋体" w:eastAsia="宋体" w:cs="宋体"/>
          <w:color w:val="000000"/>
          <w:sz w:val="36"/>
          <w:szCs w:val="36"/>
        </w:rPr>
      </w:r>
      <w:r/>
    </w:p>
    <w:p>
      <w:pPr>
        <w:pStyle w:val="1035"/>
        <w:jc w:val="center"/>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日期：</w:t>
      </w:r>
      <w:r>
        <w:rPr>
          <w:rFonts w:hint="eastAsia" w:ascii="宋体" w:hAnsi="宋体" w:eastAsia="宋体" w:cs="宋体"/>
          <w:color w:val="000000"/>
          <w:sz w:val="36"/>
          <w:szCs w:val="36"/>
        </w:rPr>
      </w:r>
      <w:r/>
    </w:p>
    <w:p>
      <w:pPr>
        <w:pStyle w:val="1131"/>
        <w:ind w:firstLine="422"/>
        <w:rPr>
          <w:rFonts w:hint="eastAsia" w:ascii="宋体" w:hAnsi="宋体" w:eastAsia="宋体" w:cs="宋体"/>
          <w:b/>
          <w:bCs/>
          <w:color w:val="000000"/>
          <w:szCs w:val="21"/>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bCs/>
          <w:color w:val="000000"/>
          <w:szCs w:val="21"/>
        </w:rPr>
      </w:r>
      <w:r/>
    </w:p>
    <w:p>
      <w:pPr>
        <w:pStyle w:val="1131"/>
        <w:ind w:firstLine="0"/>
        <w:rPr>
          <w:rFonts w:hint="eastAsia" w:ascii="宋体" w:hAnsi="宋体" w:eastAsia="宋体" w:cs="宋体"/>
          <w:b/>
          <w:bCs/>
          <w:color w:val="000000"/>
          <w:szCs w:val="21"/>
        </w:rPr>
      </w:pPr>
      <w:r>
        <w:rPr>
          <w:rFonts w:hint="eastAsia" w:ascii="宋体" w:hAnsi="宋体" w:eastAsia="宋体" w:cs="宋体"/>
          <w:b/>
          <w:bCs/>
          <w:color w:val="000000"/>
          <w:szCs w:val="21"/>
        </w:rPr>
        <w:t xml:space="preserve">格式2：投标函</w:t>
      </w:r>
      <w:r>
        <w:rPr>
          <w:rFonts w:hint="eastAsia" w:ascii="宋体" w:hAnsi="宋体" w:eastAsia="宋体" w:cs="宋体"/>
          <w:b/>
          <w:bCs/>
          <w:color w:val="000000"/>
          <w:szCs w:val="21"/>
        </w:rPr>
      </w:r>
      <w:r/>
    </w:p>
    <w:p>
      <w:pPr>
        <w:pStyle w:val="1035"/>
        <w:ind w:firstLine="567"/>
        <w:jc w:val="center"/>
        <w:spacing w:line="500" w:lineRule="atLeast"/>
        <w:rPr>
          <w:rFonts w:hint="eastAsia" w:ascii="宋体" w:hAnsi="宋体" w:eastAsia="宋体" w:cs="宋体"/>
          <w:b/>
          <w:bCs/>
          <w:color w:val="000000"/>
          <w:sz w:val="40"/>
          <w:szCs w:val="40"/>
        </w:rPr>
      </w:pPr>
      <w:r>
        <w:rPr>
          <w:rFonts w:hint="eastAsia" w:ascii="宋体" w:hAnsi="宋体" w:eastAsia="宋体" w:cs="宋体"/>
          <w:b/>
          <w:bCs/>
          <w:color w:val="000000"/>
          <w:sz w:val="28"/>
          <w:szCs w:val="28"/>
        </w:rPr>
        <w:t xml:space="preserve">投 标 函</w:t>
      </w:r>
      <w:r>
        <w:rPr>
          <w:rFonts w:hint="eastAsia" w:ascii="宋体" w:hAnsi="宋体" w:eastAsia="宋体" w:cs="宋体"/>
          <w:b/>
          <w:bCs/>
          <w:color w:val="000000"/>
          <w:sz w:val="40"/>
          <w:szCs w:val="40"/>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我方</w:t>
      </w:r>
      <w:r>
        <w:rPr>
          <w:rFonts w:hint="eastAsia" w:ascii="宋体" w:hAnsi="宋体" w:eastAsia="宋体" w:cs="宋体"/>
          <w:color w:val="000000"/>
          <w:sz w:val="21"/>
          <w:szCs w:val="21"/>
        </w:rPr>
        <w:t xml:space="preserve">收到贵公司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rPr>
        <w:t xml:space="preserve">采购项目编号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号招标文件，经仔细阅读和研究，</w:t>
      </w:r>
      <w:r>
        <w:rPr>
          <w:rFonts w:hint="eastAsia" w:ascii="宋体" w:hAnsi="宋体" w:eastAsia="宋体" w:cs="宋体"/>
          <w:color w:val="000000"/>
          <w:sz w:val="21"/>
          <w:szCs w:val="21"/>
          <w:lang w:val="en-US" w:eastAsia="zh-CN"/>
        </w:rPr>
        <w:t xml:space="preserve">我方</w:t>
      </w:r>
      <w:r>
        <w:rPr>
          <w:rFonts w:hint="eastAsia" w:ascii="宋体" w:hAnsi="宋体" w:eastAsia="宋体" w:cs="宋体"/>
          <w:color w:val="000000"/>
          <w:sz w:val="21"/>
          <w:szCs w:val="21"/>
        </w:rPr>
        <w:t xml:space="preserve">决定参加投标。并向贵公司承诺：</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3、我方本项目投标文件的有效期限自提交投标文件截止之日起90天。如果我方在开标后规定的投标有效期内撤回投标，我方愿意承担一切责任。</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5、我方已审阅全部招标文件，包括招标文件的澄清和更正文件（如有）及有关附件，我们已完全理解招标文件并对招标文件不存在任何异议。</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6、我方愿意遵守招标公告及招标文件中所列的收费标准。</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7、我方承诺该项投标在开标后的全过程中保持有效，不</w:t>
      </w:r>
      <w:r>
        <w:rPr>
          <w:rFonts w:hint="eastAsia" w:ascii="宋体" w:hAnsi="宋体" w:eastAsia="宋体" w:cs="宋体"/>
          <w:color w:val="000000"/>
          <w:sz w:val="21"/>
          <w:szCs w:val="21"/>
          <w:lang w:eastAsia="zh-CN"/>
        </w:rPr>
        <w:t xml:space="preserve">做</w:t>
      </w:r>
      <w:r>
        <w:rPr>
          <w:rFonts w:hint="eastAsia" w:ascii="宋体" w:hAnsi="宋体" w:eastAsia="宋体" w:cs="宋体"/>
          <w:color w:val="000000"/>
          <w:sz w:val="21"/>
          <w:szCs w:val="21"/>
        </w:rPr>
        <w:t xml:space="preserve">任何更改和变动。</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所有有关标书的函电，请按下列地址联系：</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    位：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 系 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投标人（供应商）：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法定代表人或授权代理人：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（签字）</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Cs w:val="21"/>
        </w:rPr>
      </w:pPr>
      <w:r>
        <w:rPr>
          <w:rFonts w:hint="eastAsia" w:ascii="宋体" w:hAnsi="宋体" w:eastAsia="宋体" w:cs="宋体"/>
          <w:color w:val="000000"/>
          <w:sz w:val="21"/>
          <w:szCs w:val="21"/>
        </w:rPr>
        <w:t xml:space="preserve">日　　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t xml:space="preserve">格式3：法人授权委托书</w:t>
      </w: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5"/>
        <w:ind w:firstLine="567"/>
        <w:jc w:val="center"/>
        <w:spacing w:line="500" w:lineRule="atLeast"/>
        <w:rPr>
          <w:rFonts w:hint="eastAsia" w:ascii="宋体" w:hAnsi="宋体" w:eastAsia="宋体" w:cs="宋体"/>
          <w:b/>
          <w:bCs/>
          <w:color w:val="000000"/>
          <w:sz w:val="21"/>
          <w:szCs w:val="21"/>
        </w:rPr>
      </w:pPr>
      <w:r>
        <w:rPr>
          <w:rFonts w:hint="eastAsia" w:ascii="宋体" w:hAnsi="宋体" w:eastAsia="宋体" w:cs="宋体"/>
          <w:b/>
          <w:bCs/>
          <w:color w:val="000000"/>
          <w:sz w:val="28"/>
          <w:szCs w:val="28"/>
        </w:rPr>
        <w:t xml:space="preserve">法定代表人授权委托书</w:t>
      </w:r>
      <w:r>
        <w:rPr>
          <w:rFonts w:hint="eastAsia" w:ascii="宋体" w:hAnsi="宋体" w:eastAsia="宋体" w:cs="宋体"/>
          <w:b/>
          <w:bCs/>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（姓名+手机号码）为我公司代理人，以本公司的名义参加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（采购人名称）组织实施的编号为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号的招标（采购）活动。代理人在投标、开标、评标、合同订立和履行过程中所签署的一切文件和处理与这有关的一切事务，我均予以承认。</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rPr>
          <w:rFonts w:hint="eastAsia" w:ascii="宋体" w:hAnsi="宋体" w:eastAsia="宋体" w:cs="宋体"/>
          <w:color w:val="000000"/>
          <w:sz w:val="21"/>
          <w:szCs w:val="21"/>
        </w:rPr>
      </w:r>
      <w:r/>
    </w:p>
    <w:p>
      <w:pPr>
        <w:pStyle w:val="1035"/>
        <w:ind w:firstLine="482"/>
        <w:spacing w:line="40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投 标 人（盖章）：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35"/>
        <w:ind w:firstLine="482"/>
        <w:spacing w:line="40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法定代表人（签字或盖章）：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35"/>
        <w:ind w:firstLine="482"/>
        <w:spacing w:line="40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代理人（签字）：</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35"/>
        <w:ind w:firstLine="482"/>
        <w:spacing w:line="40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日 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ind w:firstLine="0"/>
        <w:rPr>
          <w:rFonts w:hint="eastAsia" w:ascii="宋体" w:hAnsi="宋体" w:eastAsia="宋体" w:cs="宋体"/>
          <w:b/>
          <w:bCs/>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Cs w:val="21"/>
        </w:rPr>
        <w:t xml:space="preserve">格式4：开标一览表</w:t>
      </w:r>
      <w:r>
        <w:rPr>
          <w:rFonts w:hint="eastAsia" w:ascii="宋体" w:hAnsi="宋体" w:eastAsia="宋体" w:cs="宋体"/>
          <w:b/>
          <w:bCs/>
          <w:color w:val="000000"/>
          <w:szCs w:val="21"/>
        </w:rPr>
      </w:r>
      <w:r/>
    </w:p>
    <w:p>
      <w:pPr>
        <w:pStyle w:val="1004"/>
        <w:jc w:val="center"/>
        <w:spacing w:before="100" w:beforeAutospacing="1" w:after="100" w:afterAutospacing="1" w:line="500" w:lineRule="atLeast"/>
        <w:rPr>
          <w:rFonts w:hint="eastAsia" w:ascii="宋体" w:hAnsi="宋体" w:eastAsia="宋体" w:cs="宋体"/>
          <w:color w:val="000000"/>
          <w:szCs w:val="21"/>
        </w:rPr>
      </w:pPr>
      <w:r>
        <w:rPr>
          <w:rFonts w:hint="eastAsia" w:ascii="宋体" w:hAnsi="宋体" w:eastAsia="宋体" w:cs="宋体"/>
          <w:b/>
          <w:bCs/>
          <w:color w:val="000000"/>
          <w:sz w:val="28"/>
          <w:szCs w:val="28"/>
        </w:rPr>
        <w:t xml:space="preserve">开  标 一 览  表</w:t>
      </w:r>
      <w:r>
        <w:rPr>
          <w:rFonts w:hint="eastAsia" w:ascii="宋体" w:hAnsi="宋体" w:eastAsia="宋体" w:cs="宋体"/>
          <w:color w:val="000000"/>
          <w:szCs w:val="21"/>
        </w:rPr>
      </w:r>
      <w:r/>
    </w:p>
    <w:p>
      <w:pPr>
        <w:pStyle w:val="1004"/>
        <w:spacing w:before="100" w:beforeAutospacing="1" w:after="100" w:after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spacing w:before="100" w:beforeAutospacing="1" w:after="100" w:after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trHeight w:val="841"/>
        </w:trPr>
        <w:tc>
          <w:tcPr>
            <w:tcW w:w="124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序号</w:t>
            </w:r>
            <w:r>
              <w:rPr>
                <w:rFonts w:hint="eastAsia" w:ascii="宋体" w:hAnsi="宋体" w:eastAsia="宋体" w:cs="宋体"/>
                <w:color w:val="000000"/>
                <w:spacing w:val="20"/>
                <w:sz w:val="21"/>
                <w:szCs w:val="21"/>
              </w:rPr>
            </w:r>
            <w:r/>
          </w:p>
        </w:tc>
        <w:tc>
          <w:tcPr>
            <w:tcW w:w="328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项目名称</w:t>
            </w:r>
            <w:r>
              <w:rPr>
                <w:rFonts w:hint="eastAsia" w:ascii="宋体" w:hAnsi="宋体" w:eastAsia="宋体" w:cs="宋体"/>
                <w:color w:val="000000"/>
                <w:spacing w:val="20"/>
                <w:sz w:val="21"/>
                <w:szCs w:val="21"/>
              </w:rPr>
            </w:r>
            <w:r/>
          </w:p>
        </w:tc>
        <w:tc>
          <w:tcPr>
            <w:tcW w:w="2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投标总价（元）</w:t>
            </w:r>
            <w:r>
              <w:rPr>
                <w:rFonts w:hint="eastAsia" w:ascii="宋体" w:hAnsi="宋体" w:eastAsia="宋体" w:cs="宋体"/>
                <w:color w:val="000000"/>
                <w:spacing w:val="20"/>
                <w:sz w:val="21"/>
                <w:szCs w:val="21"/>
              </w:rPr>
            </w:r>
            <w:r/>
          </w:p>
        </w:tc>
        <w:tc>
          <w:tcPr>
            <w:tcW w:w="1978"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备注</w:t>
            </w:r>
            <w:r>
              <w:rPr>
                <w:rFonts w:hint="eastAsia" w:ascii="宋体" w:hAnsi="宋体" w:eastAsia="宋体" w:cs="宋体"/>
                <w:color w:val="000000"/>
                <w:spacing w:val="20"/>
                <w:sz w:val="21"/>
                <w:szCs w:val="21"/>
              </w:rPr>
            </w:r>
            <w:r/>
          </w:p>
        </w:tc>
      </w:tr>
      <w:tr>
        <w:trPr>
          <w:trHeight w:val="874"/>
        </w:trPr>
        <w:tc>
          <w:tcPr>
            <w:tcW w:w="1247"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328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1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978"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651"/>
        </w:trPr>
        <w:tc>
          <w:tcPr>
            <w:gridSpan w:val="4"/>
            <w:tcW w:w="8525" w:type="dxa"/>
            <w:vAlign w:val="center"/>
            <w:textDirection w:val="lrTb"/>
            <w:noWrap w:val="false"/>
          </w:tcPr>
          <w:p>
            <w:pPr>
              <w:pStyle w:val="1004"/>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合计（人民币大写）：     小写：</w:t>
            </w:r>
            <w:r>
              <w:rPr>
                <w:rFonts w:hint="eastAsia" w:ascii="宋体" w:hAnsi="宋体" w:eastAsia="宋体" w:cs="宋体"/>
                <w:color w:val="000000"/>
                <w:spacing w:val="20"/>
                <w:sz w:val="21"/>
                <w:szCs w:val="21"/>
              </w:rPr>
            </w:r>
            <w:r/>
          </w:p>
        </w:tc>
      </w:tr>
    </w:tbl>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firstLine="422"/>
        <w:rPr>
          <w:rFonts w:hint="eastAsia" w:ascii="宋体" w:hAnsi="宋体" w:eastAsia="宋体" w:cs="宋体"/>
          <w:b/>
          <w:color w:val="000000"/>
          <w:sz w:val="21"/>
          <w:szCs w:val="21"/>
          <w:lang w:val="zh-CN"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color w:val="000000"/>
          <w:sz w:val="21"/>
          <w:szCs w:val="21"/>
          <w:lang w:val="zh-CN" w:bidi="en-US"/>
        </w:rPr>
        <w:t xml:space="preserve">注：本项目</w:t>
      </w:r>
      <w:r>
        <w:rPr>
          <w:rFonts w:hint="eastAsia" w:ascii="宋体" w:hAnsi="宋体" w:eastAsia="宋体" w:cs="宋体"/>
          <w:b/>
          <w:color w:val="000000"/>
          <w:sz w:val="21"/>
          <w:szCs w:val="21"/>
          <w:lang w:bidi="en-US"/>
        </w:rPr>
        <w:t xml:space="preserve">系统中</w:t>
      </w:r>
      <w:r>
        <w:rPr>
          <w:rFonts w:hint="eastAsia" w:ascii="宋体" w:hAnsi="宋体" w:eastAsia="宋体" w:cs="宋体"/>
          <w:b/>
          <w:color w:val="000000"/>
          <w:sz w:val="21"/>
          <w:szCs w:val="21"/>
          <w:lang w:val="zh-CN" w:bidi="en-US"/>
        </w:rPr>
        <w:t xml:space="preserve">开标一览表中只填写投标</w:t>
      </w:r>
      <w:r>
        <w:rPr>
          <w:rFonts w:hint="eastAsia" w:ascii="宋体" w:hAnsi="宋体" w:eastAsia="宋体" w:cs="宋体"/>
          <w:b/>
          <w:color w:val="000000"/>
          <w:sz w:val="21"/>
          <w:szCs w:val="21"/>
          <w:lang w:bidi="en-US"/>
        </w:rPr>
        <w:t xml:space="preserve">总价</w:t>
      </w:r>
      <w:r>
        <w:rPr>
          <w:rFonts w:hint="eastAsia" w:ascii="宋体" w:hAnsi="宋体" w:eastAsia="宋体" w:cs="宋体"/>
          <w:b/>
          <w:color w:val="000000"/>
          <w:sz w:val="21"/>
          <w:szCs w:val="21"/>
          <w:lang w:val="zh-CN" w:bidi="en-US"/>
        </w:rPr>
        <w:t xml:space="preserve">。</w:t>
      </w:r>
      <w:r>
        <w:rPr>
          <w:rFonts w:hint="eastAsia" w:ascii="宋体" w:hAnsi="宋体" w:eastAsia="宋体" w:cs="宋体"/>
          <w:b/>
          <w:color w:val="000000"/>
          <w:sz w:val="21"/>
          <w:szCs w:val="21"/>
          <w:lang w:val="zh-CN" w:bidi="en-US"/>
        </w:rPr>
      </w:r>
      <w:r/>
    </w:p>
    <w:p>
      <w:pPr>
        <w:pStyle w:val="1131"/>
        <w:ind w:firstLine="422"/>
        <w:rPr>
          <w:rFonts w:hint="eastAsia" w:ascii="宋体" w:hAnsi="宋体" w:eastAsia="宋体" w:cs="宋体"/>
          <w:b/>
          <w:bCs/>
          <w:color w:val="000000"/>
          <w:szCs w:val="21"/>
        </w:rPr>
      </w:pPr>
      <w:r>
        <w:rPr>
          <w:rFonts w:hint="eastAsia" w:ascii="宋体" w:hAnsi="宋体" w:eastAsia="宋体" w:cs="宋体"/>
          <w:b/>
          <w:bCs/>
          <w:color w:val="000000"/>
          <w:szCs w:val="21"/>
        </w:rPr>
        <w:t xml:space="preserve">格式5：分项报价表</w:t>
      </w:r>
      <w:r>
        <w:rPr>
          <w:rFonts w:hint="eastAsia" w:ascii="宋体" w:hAnsi="宋体" w:eastAsia="宋体" w:cs="宋体"/>
          <w:b/>
          <w:bCs/>
          <w:color w:val="000000"/>
          <w:szCs w:val="21"/>
        </w:rPr>
      </w:r>
      <w:r/>
    </w:p>
    <w:p>
      <w:pPr>
        <w:pStyle w:val="1004"/>
        <w:spacing w:before="100" w:beforeAutospacing="1" w:after="100" w:afterAutospacing="1"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spacing w:before="100" w:beforeAutospacing="1" w:after="100" w:afterAutospacing="1"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04"/>
        <w:jc w:val="center"/>
        <w:spacing w:before="100" w:beforeAutospacing="1" w:after="100" w:afterAutospacing="1" w:line="360" w:lineRule="auto"/>
        <w:rPr>
          <w:rFonts w:hint="eastAsia" w:ascii="宋体" w:hAnsi="宋体" w:eastAsia="宋体" w:cs="宋体"/>
          <w:color w:val="000000"/>
          <w:sz w:val="21"/>
          <w:szCs w:val="21"/>
        </w:rPr>
      </w:pPr>
      <w:r>
        <w:rPr>
          <w:rFonts w:hint="eastAsia" w:ascii="宋体" w:hAnsi="宋体" w:eastAsia="宋体" w:cs="宋体"/>
          <w:b/>
          <w:bCs/>
          <w:color w:val="000000"/>
          <w:szCs w:val="21"/>
        </w:rPr>
        <w:t xml:space="preserve">分项报价表</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6"/>
        <w:gridCol w:w="195"/>
        <w:gridCol w:w="1599"/>
        <w:gridCol w:w="1257"/>
        <w:gridCol w:w="933"/>
        <w:gridCol w:w="983"/>
        <w:gridCol w:w="1017"/>
        <w:gridCol w:w="1137"/>
        <w:gridCol w:w="777"/>
      </w:tblGrid>
      <w:tr>
        <w:trPr>
          <w:trHeight w:val="423"/>
        </w:trPr>
        <w:tc>
          <w:tcPr>
            <w:tcW w:w="626"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序号</w:t>
            </w:r>
            <w:r>
              <w:rPr>
                <w:rFonts w:hint="eastAsia" w:ascii="宋体" w:hAnsi="宋体" w:eastAsia="宋体" w:cs="宋体"/>
                <w:color w:val="000000"/>
                <w:spacing w:val="20"/>
                <w:sz w:val="21"/>
                <w:szCs w:val="21"/>
              </w:rPr>
            </w:r>
            <w:r/>
          </w:p>
        </w:tc>
        <w:tc>
          <w:tcPr>
            <w:gridSpan w:val="2"/>
            <w:tcW w:w="1794"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产品名称</w:t>
            </w:r>
            <w:r>
              <w:rPr>
                <w:rFonts w:hint="eastAsia" w:ascii="宋体" w:hAnsi="宋体" w:eastAsia="宋体" w:cs="宋体"/>
                <w:color w:val="000000"/>
                <w:spacing w:val="20"/>
                <w:sz w:val="21"/>
                <w:szCs w:val="21"/>
              </w:rPr>
            </w:r>
            <w:r/>
          </w:p>
        </w:tc>
        <w:tc>
          <w:tcPr>
            <w:tcW w:w="1257" w:type="dxa"/>
            <w:vAlign w:val="center"/>
            <w:textDirection w:val="lrTb"/>
            <w:noWrap w:val="false"/>
          </w:tcPr>
          <w:p>
            <w:pPr>
              <w:pStyle w:val="1004"/>
              <w:jc w:val="center"/>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规格型号（如有）</w:t>
            </w:r>
            <w:r>
              <w:rPr>
                <w:rFonts w:hint="eastAsia" w:ascii="宋体" w:hAnsi="宋体" w:eastAsia="宋体" w:cs="宋体"/>
                <w:color w:val="000000"/>
                <w:spacing w:val="20"/>
                <w:sz w:val="21"/>
                <w:szCs w:val="21"/>
              </w:rPr>
            </w:r>
            <w:r/>
          </w:p>
        </w:tc>
        <w:tc>
          <w:tcPr>
            <w:tcW w:w="933" w:type="dxa"/>
            <w:vAlign w:val="center"/>
            <w:textDirection w:val="lrTb"/>
            <w:noWrap w:val="false"/>
          </w:tcPr>
          <w:p>
            <w:pPr>
              <w:pStyle w:val="1004"/>
              <w:jc w:val="center"/>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数量</w:t>
            </w:r>
            <w:r>
              <w:rPr>
                <w:rFonts w:hint="eastAsia" w:ascii="宋体" w:hAnsi="宋体" w:eastAsia="宋体" w:cs="宋体"/>
                <w:color w:val="000000"/>
                <w:spacing w:val="20"/>
                <w:sz w:val="21"/>
                <w:szCs w:val="21"/>
              </w:rPr>
            </w:r>
            <w:r/>
          </w:p>
        </w:tc>
        <w:tc>
          <w:tcPr>
            <w:tcW w:w="983" w:type="dxa"/>
            <w:vAlign w:val="center"/>
            <w:textDirection w:val="lrTb"/>
            <w:noWrap w:val="false"/>
          </w:tcPr>
          <w:p>
            <w:pPr>
              <w:pStyle w:val="1004"/>
              <w:jc w:val="center"/>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单位</w:t>
            </w:r>
            <w:r>
              <w:rPr>
                <w:rFonts w:hint="eastAsia" w:ascii="宋体" w:hAnsi="宋体" w:eastAsia="宋体" w:cs="宋体"/>
                <w:color w:val="000000"/>
                <w:spacing w:val="20"/>
                <w:sz w:val="21"/>
                <w:szCs w:val="21"/>
              </w:rPr>
            </w:r>
            <w:r/>
          </w:p>
        </w:tc>
        <w:tc>
          <w:tcPr>
            <w:tcW w:w="1017" w:type="dxa"/>
            <w:vAlign w:val="center"/>
            <w:textDirection w:val="lrTb"/>
            <w:noWrap w:val="false"/>
          </w:tcPr>
          <w:p>
            <w:pPr>
              <w:pStyle w:val="1004"/>
              <w:jc w:val="center"/>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单价（元）</w:t>
            </w:r>
            <w:r>
              <w:rPr>
                <w:rFonts w:hint="eastAsia" w:ascii="宋体" w:hAnsi="宋体" w:eastAsia="宋体" w:cs="宋体"/>
                <w:color w:val="000000"/>
                <w:spacing w:val="20"/>
                <w:sz w:val="21"/>
                <w:szCs w:val="21"/>
              </w:rPr>
            </w:r>
            <w:r/>
          </w:p>
        </w:tc>
        <w:tc>
          <w:tcPr>
            <w:tcW w:w="1137" w:type="dxa"/>
            <w:vAlign w:val="center"/>
            <w:textDirection w:val="lrTb"/>
            <w:noWrap w:val="false"/>
          </w:tcPr>
          <w:p>
            <w:pPr>
              <w:pStyle w:val="1004"/>
              <w:jc w:val="center"/>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总价（元）</w:t>
            </w: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备注</w:t>
            </w: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gridSpan w:val="2"/>
            <w:tcW w:w="1794"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gridSpan w:val="2"/>
            <w:tcW w:w="1794"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gridSpan w:val="2"/>
            <w:tcW w:w="1794"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gridSpan w:val="2"/>
            <w:tcW w:w="1794"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gridSpan w:val="2"/>
            <w:tcW w:w="1794"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25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3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8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gridSpan w:val="2"/>
            <w:tcW w:w="1794"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25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3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8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gridSpan w:val="2"/>
            <w:tcW w:w="1794"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25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3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8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tcW w:w="626"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gridSpan w:val="2"/>
            <w:tcW w:w="1794"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25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3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98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01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1137" w:type="dxa"/>
            <w:vAlign w:val="top"/>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tcW w:w="777"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r>
      <w:tr>
        <w:trPr>
          <w:trHeight w:val="423"/>
        </w:trPr>
        <w:tc>
          <w:tcPr>
            <w:gridSpan w:val="2"/>
            <w:tcW w:w="821"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r>
            <w:r/>
          </w:p>
        </w:tc>
        <w:tc>
          <w:tcPr>
            <w:gridSpan w:val="7"/>
            <w:tcW w:w="7703" w:type="dxa"/>
            <w:vAlign w:val="center"/>
            <w:textDirection w:val="lrTb"/>
            <w:noWrap w:val="false"/>
          </w:tcPr>
          <w:p>
            <w:pPr>
              <w:pStyle w:val="1004"/>
              <w:jc w:val="center"/>
              <w:spacing w:line="360" w:lineRule="auto"/>
              <w:rPr>
                <w:rFonts w:hint="eastAsia" w:ascii="宋体" w:hAnsi="宋体" w:eastAsia="宋体" w:cs="宋体"/>
                <w:color w:val="000000"/>
                <w:spacing w:val="20"/>
                <w:sz w:val="21"/>
                <w:szCs w:val="21"/>
              </w:rPr>
            </w:pPr>
            <w:r>
              <w:rPr>
                <w:rFonts w:hint="eastAsia" w:ascii="宋体" w:hAnsi="宋体" w:eastAsia="宋体" w:cs="宋体"/>
                <w:color w:val="000000"/>
                <w:spacing w:val="20"/>
                <w:sz w:val="21"/>
                <w:szCs w:val="21"/>
              </w:rPr>
              <w:t xml:space="preserve">合计（人民币大写）：     小写：</w:t>
            </w:r>
            <w:r>
              <w:rPr>
                <w:rFonts w:hint="eastAsia" w:ascii="宋体" w:hAnsi="宋体" w:eastAsia="宋体" w:cs="宋体"/>
                <w:color w:val="000000"/>
                <w:spacing w:val="20"/>
                <w:sz w:val="21"/>
                <w:szCs w:val="21"/>
              </w:rPr>
            </w:r>
            <w:r/>
          </w:p>
        </w:tc>
      </w:tr>
    </w:tbl>
    <w:p>
      <w:pPr>
        <w:pStyle w:val="1131"/>
        <w:spacing w:line="360" w:lineRule="auto"/>
        <w:rPr>
          <w:rFonts w:hint="eastAsia" w:ascii="宋体" w:hAnsi="宋体" w:eastAsia="宋体" w:cs="宋体"/>
          <w:color w:val="000000"/>
          <w:szCs w:val="21"/>
          <w:lang w:bidi="en-US"/>
        </w:rPr>
      </w:pPr>
      <w:r>
        <w:rPr>
          <w:rFonts w:hint="eastAsia" w:ascii="宋体" w:hAnsi="宋体" w:eastAsia="宋体" w:cs="宋体"/>
          <w:color w:val="000000"/>
          <w:szCs w:val="21"/>
          <w:lang w:bidi="en-US"/>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131"/>
        <w:ind w:firstLine="422"/>
        <w:rPr>
          <w:rFonts w:hint="eastAsia" w:ascii="宋体" w:hAnsi="宋体" w:eastAsia="宋体" w:cs="宋体"/>
          <w:b/>
          <w:bCs/>
          <w:color w:val="000000"/>
          <w:szCs w:val="21"/>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bCs/>
          <w:color w:val="000000"/>
          <w:szCs w:val="21"/>
        </w:rPr>
      </w:r>
      <w:r/>
    </w:p>
    <w:p>
      <w:pPr>
        <w:pStyle w:val="1004"/>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格式6：</w:t>
      </w:r>
      <w:r>
        <w:rPr>
          <w:rFonts w:hint="eastAsia" w:ascii="宋体" w:hAnsi="宋体" w:eastAsia="宋体" w:cs="宋体"/>
          <w:b/>
          <w:bCs/>
          <w:color w:val="000000"/>
          <w:sz w:val="21"/>
          <w:szCs w:val="21"/>
        </w:rPr>
        <w:t xml:space="preserve">偏离表</w:t>
      </w:r>
      <w:r>
        <w:rPr>
          <w:rFonts w:hint="eastAsia" w:ascii="宋体" w:hAnsi="宋体" w:eastAsia="宋体" w:cs="宋体"/>
          <w:b/>
          <w:color w:val="000000"/>
          <w:sz w:val="21"/>
          <w:szCs w:val="21"/>
        </w:rPr>
      </w:r>
      <w:r/>
    </w:p>
    <w:p>
      <w:pPr>
        <w:pStyle w:val="1004"/>
        <w:ind w:firstLine="422"/>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技术或服务要求偏离表</w:t>
      </w:r>
      <w:r>
        <w:rPr>
          <w:rFonts w:hint="eastAsia" w:ascii="宋体" w:hAnsi="宋体" w:eastAsia="宋体" w:cs="宋体"/>
          <w:b/>
          <w:bCs/>
          <w:color w:val="000000"/>
          <w:sz w:val="21"/>
          <w:szCs w:val="21"/>
        </w:rPr>
      </w:r>
      <w:r/>
    </w:p>
    <w:p>
      <w:pPr>
        <w:pStyle w:val="1004"/>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招标</w:t>
      </w:r>
      <w:r>
        <w:rPr>
          <w:rFonts w:hint="eastAsia" w:ascii="宋体" w:hAnsi="宋体" w:eastAsia="宋体" w:cs="宋体"/>
          <w:color w:val="000000"/>
          <w:sz w:val="21"/>
          <w:szCs w:val="21"/>
          <w:lang w:val="zh-CN"/>
        </w:rPr>
        <w:t xml:space="preserve">编号：</w:t>
      </w:r>
      <w:r>
        <w:rPr>
          <w:rFonts w:hint="eastAsia" w:ascii="宋体" w:hAnsi="宋体" w:eastAsia="宋体" w:cs="宋体"/>
          <w:color w:val="000000"/>
          <w:sz w:val="21"/>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序号</w:t>
            </w:r>
            <w:r>
              <w:rPr>
                <w:rFonts w:hint="eastAsia" w:ascii="宋体" w:hAnsi="宋体" w:eastAsia="宋体" w:cs="宋体"/>
                <w:color w:val="000000"/>
                <w:sz w:val="21"/>
                <w:szCs w:val="21"/>
              </w:rPr>
            </w:r>
            <w:r/>
          </w:p>
        </w:tc>
        <w:tc>
          <w:tcPr>
            <w:tcW w:w="1956"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名称</w:t>
            </w:r>
            <w:r>
              <w:rPr>
                <w:rFonts w:hint="eastAsia" w:ascii="宋体" w:hAnsi="宋体" w:eastAsia="宋体" w:cs="宋体"/>
                <w:color w:val="000000"/>
                <w:sz w:val="21"/>
                <w:szCs w:val="21"/>
              </w:rPr>
            </w:r>
            <w:r/>
          </w:p>
        </w:tc>
        <w:tc>
          <w:tcPr>
            <w:tcW w:w="174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采购要求</w:t>
            </w:r>
            <w:r>
              <w:rPr>
                <w:rFonts w:hint="eastAsia" w:ascii="宋体" w:hAnsi="宋体" w:eastAsia="宋体" w:cs="宋体"/>
                <w:color w:val="000000"/>
                <w:sz w:val="21"/>
                <w:szCs w:val="21"/>
              </w:rPr>
            </w:r>
            <w:r/>
          </w:p>
        </w:tc>
        <w:tc>
          <w:tcPr>
            <w:tcW w:w="1981"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响应内容</w:t>
            </w:r>
            <w:r>
              <w:rPr>
                <w:rFonts w:hint="eastAsia" w:ascii="宋体" w:hAnsi="宋体" w:eastAsia="宋体" w:cs="宋体"/>
                <w:color w:val="000000"/>
                <w:sz w:val="21"/>
                <w:szCs w:val="21"/>
              </w:rPr>
            </w:r>
            <w:r/>
          </w:p>
        </w:tc>
        <w:tc>
          <w:tcPr>
            <w:tcW w:w="1973" w:type="dxa"/>
            <w:vAlign w:val="center"/>
            <w:textDirection w:val="lrTb"/>
            <w:noWrap w:val="false"/>
          </w:tcPr>
          <w:p>
            <w:pPr>
              <w:pStyle w:val="1004"/>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选择项（选符合、正偏离或负偏离）</w:t>
            </w:r>
            <w:r>
              <w:rPr>
                <w:rFonts w:hint="eastAsia" w:ascii="宋体" w:hAnsi="宋体" w:eastAsia="宋体" w:cs="宋体"/>
                <w:color w:val="000000"/>
                <w:sz w:val="21"/>
                <w:szCs w:val="21"/>
                <w:lang w:val="zh-CN"/>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04"/>
        <w:ind w:firstLine="422"/>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04"/>
        <w:ind w:firstLine="422"/>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商务条款偏离表</w:t>
      </w:r>
      <w:r>
        <w:rPr>
          <w:rFonts w:hint="eastAsia" w:ascii="宋体" w:hAnsi="宋体" w:eastAsia="宋体" w:cs="宋体"/>
          <w:b/>
          <w:bCs/>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w:t>
      </w:r>
      <w:r>
        <w:rPr>
          <w:rFonts w:hint="eastAsia" w:ascii="宋体" w:hAnsi="宋体" w:eastAsia="宋体" w:cs="宋体"/>
          <w:color w:val="000000"/>
          <w:sz w:val="21"/>
          <w:szCs w:val="21"/>
          <w:lang w:val="zh-CN"/>
        </w:rPr>
        <w:t xml:space="preserve">编号：          </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序号</w:t>
            </w:r>
            <w:r>
              <w:rPr>
                <w:rFonts w:hint="eastAsia" w:ascii="宋体" w:hAnsi="宋体" w:eastAsia="宋体" w:cs="宋体"/>
                <w:color w:val="000000"/>
                <w:sz w:val="21"/>
                <w:szCs w:val="21"/>
              </w:rPr>
            </w:r>
            <w:r/>
          </w:p>
        </w:tc>
        <w:tc>
          <w:tcPr>
            <w:tcW w:w="1956"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名称</w:t>
            </w:r>
            <w:r>
              <w:rPr>
                <w:rFonts w:hint="eastAsia" w:ascii="宋体" w:hAnsi="宋体" w:eastAsia="宋体" w:cs="宋体"/>
                <w:color w:val="000000"/>
                <w:sz w:val="21"/>
                <w:szCs w:val="21"/>
              </w:rPr>
            </w:r>
            <w:r/>
          </w:p>
        </w:tc>
        <w:tc>
          <w:tcPr>
            <w:tcW w:w="174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采购要求</w:t>
            </w:r>
            <w:r>
              <w:rPr>
                <w:rFonts w:hint="eastAsia" w:ascii="宋体" w:hAnsi="宋体" w:eastAsia="宋体" w:cs="宋体"/>
                <w:color w:val="000000"/>
                <w:sz w:val="21"/>
                <w:szCs w:val="21"/>
              </w:rPr>
            </w:r>
            <w:r/>
          </w:p>
        </w:tc>
        <w:tc>
          <w:tcPr>
            <w:tcW w:w="1981"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响应内容</w:t>
            </w:r>
            <w:r>
              <w:rPr>
                <w:rFonts w:hint="eastAsia" w:ascii="宋体" w:hAnsi="宋体" w:eastAsia="宋体" w:cs="宋体"/>
                <w:color w:val="000000"/>
                <w:sz w:val="21"/>
                <w:szCs w:val="21"/>
              </w:rPr>
            </w:r>
            <w:r/>
          </w:p>
        </w:tc>
        <w:tc>
          <w:tcPr>
            <w:tcW w:w="1973" w:type="dxa"/>
            <w:vAlign w:val="center"/>
            <w:textDirection w:val="lrTb"/>
            <w:noWrap w:val="false"/>
          </w:tcPr>
          <w:p>
            <w:pPr>
              <w:pStyle w:val="1004"/>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选择项（选符合、正偏离或负偏离）</w:t>
            </w:r>
            <w:r>
              <w:rPr>
                <w:rFonts w:hint="eastAsia" w:ascii="宋体" w:hAnsi="宋体" w:eastAsia="宋体" w:cs="宋体"/>
                <w:color w:val="000000"/>
                <w:sz w:val="21"/>
                <w:szCs w:val="21"/>
                <w:lang w:val="zh-CN"/>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hRule="exact"/>
        </w:trPr>
        <w:tc>
          <w:tcPr>
            <w:tcW w:w="78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6"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42"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1"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73" w:type="dxa"/>
            <w:vAlign w:val="top"/>
            <w:textDirection w:val="lrTb"/>
            <w:noWrap w:val="false"/>
          </w:tcPr>
          <w:p>
            <w:pPr>
              <w:pStyle w:val="1004"/>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131"/>
        <w:spacing w:line="360" w:lineRule="auto"/>
        <w:rPr>
          <w:rFonts w:hint="eastAsia" w:ascii="宋体" w:hAnsi="宋体" w:eastAsia="宋体" w:cs="宋体"/>
          <w:color w:val="000000"/>
          <w:szCs w:val="21"/>
          <w:lang w:bidi="en-US"/>
        </w:rPr>
      </w:pPr>
      <w:r>
        <w:rPr>
          <w:rFonts w:hint="eastAsia" w:ascii="宋体" w:hAnsi="宋体" w:eastAsia="宋体" w:cs="宋体"/>
          <w:color w:val="000000"/>
          <w:szCs w:val="21"/>
          <w:lang w:bidi="en-US"/>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004"/>
        <w:ind w:left="741" w:hanging="741"/>
        <w:spacing w:line="400" w:lineRule="exact"/>
        <w:tabs>
          <w:tab w:val="left" w:pos="13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left="741" w:hanging="741"/>
        <w:spacing w:line="400" w:lineRule="exact"/>
        <w:tabs>
          <w:tab w:val="left" w:pos="13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left="741" w:hanging="741"/>
        <w:spacing w:line="400" w:lineRule="exact"/>
        <w:tabs>
          <w:tab w:val="left" w:pos="13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21"/>
        <w:spacing w:line="400" w:lineRule="exact"/>
        <w:rPr>
          <w:rFonts w:hint="eastAsia" w:ascii="宋体" w:hAnsi="宋体" w:eastAsia="宋体" w:cs="宋体"/>
          <w:b/>
          <w:bCs/>
          <w:color w:val="000000"/>
          <w:sz w:val="21"/>
          <w:szCs w:val="21"/>
        </w:rPr>
      </w:pPr>
      <w:r/>
      <w:bookmarkEnd w:id="5"/>
      <w:r>
        <w:rPr>
          <w:rFonts w:hint="eastAsia" w:ascii="宋体" w:hAnsi="宋体" w:eastAsia="宋体" w:cs="宋体"/>
          <w:b/>
          <w:color w:val="000000"/>
          <w:sz w:val="21"/>
          <w:szCs w:val="21"/>
        </w:rPr>
        <w:t xml:space="preserve">格式7：项目组主要</w:t>
      </w:r>
      <w:r>
        <w:rPr>
          <w:rFonts w:hint="eastAsia" w:ascii="宋体" w:hAnsi="宋体" w:eastAsia="宋体" w:cs="宋体"/>
          <w:b/>
          <w:bCs/>
          <w:color w:val="000000"/>
          <w:sz w:val="21"/>
          <w:szCs w:val="21"/>
        </w:rPr>
        <w:t xml:space="preserve">人员一览表</w:t>
      </w:r>
      <w:r>
        <w:rPr>
          <w:rFonts w:hint="eastAsia" w:ascii="宋体" w:hAnsi="宋体" w:eastAsia="宋体" w:cs="宋体"/>
          <w:b/>
          <w:bCs/>
          <w:color w:val="000000"/>
          <w:sz w:val="21"/>
          <w:szCs w:val="21"/>
        </w:rPr>
      </w:r>
      <w:r/>
    </w:p>
    <w:p>
      <w:pPr>
        <w:pStyle w:val="1004"/>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123"/>
        <w:jc w:val="center"/>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1123"/>
        <w:jc w:val="center"/>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28"/>
          <w:szCs w:val="28"/>
        </w:rPr>
        <w:t xml:space="preserve">项目组人员一览表</w:t>
      </w:r>
      <w:r>
        <w:rPr>
          <w:rFonts w:hint="eastAsia" w:ascii="宋体" w:hAnsi="宋体" w:eastAsia="宋体" w:cs="宋体"/>
          <w:b/>
          <w:bCs/>
          <w:color w:val="000000"/>
          <w:sz w:val="30"/>
          <w:szCs w:val="30"/>
        </w:rPr>
      </w:r>
      <w:r/>
    </w:p>
    <w:tbl>
      <w:tblPr>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pStyle w:val="1004"/>
              <w:jc w:val="center"/>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rPr>
            </w:r>
            <w:r/>
          </w:p>
        </w:tc>
        <w:tc>
          <w:tcPr>
            <w:tcW w:w="1989" w:type="dxa"/>
            <w:vAlign w:val="center"/>
            <w:textDirection w:val="lrTb"/>
            <w:noWrap w:val="false"/>
          </w:tcPr>
          <w:p>
            <w:pPr>
              <w:pStyle w:val="1004"/>
              <w:jc w:val="center"/>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t xml:space="preserve">本项目拟任职务</w:t>
            </w:r>
            <w:r>
              <w:rPr>
                <w:rFonts w:hint="eastAsia" w:ascii="宋体" w:hAnsi="宋体" w:eastAsia="宋体" w:cs="宋体"/>
                <w:color w:val="000000"/>
                <w:sz w:val="21"/>
                <w:szCs w:val="21"/>
              </w:rPr>
            </w:r>
            <w:r/>
          </w:p>
        </w:tc>
        <w:tc>
          <w:tcPr>
            <w:tcW w:w="1171" w:type="dxa"/>
            <w:vAlign w:val="center"/>
            <w:textDirection w:val="lrTb"/>
            <w:noWrap w:val="false"/>
          </w:tcPr>
          <w:p>
            <w:pPr>
              <w:pStyle w:val="1004"/>
              <w:jc w:val="center"/>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t xml:space="preserve">技术职称</w:t>
            </w:r>
            <w:r>
              <w:rPr>
                <w:rFonts w:hint="eastAsia" w:ascii="宋体" w:hAnsi="宋体" w:eastAsia="宋体" w:cs="宋体"/>
                <w:color w:val="000000"/>
                <w:sz w:val="21"/>
                <w:szCs w:val="21"/>
              </w:rPr>
            </w:r>
            <w:r/>
          </w:p>
        </w:tc>
        <w:tc>
          <w:tcPr>
            <w:tcW w:w="867" w:type="dxa"/>
            <w:vAlign w:val="center"/>
            <w:textDirection w:val="lrTb"/>
            <w:noWrap w:val="false"/>
          </w:tcPr>
          <w:p>
            <w:pPr>
              <w:pStyle w:val="1004"/>
              <w:jc w:val="center"/>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t xml:space="preserve">年龄</w:t>
            </w:r>
            <w:r>
              <w:rPr>
                <w:rFonts w:hint="eastAsia" w:ascii="宋体" w:hAnsi="宋体" w:eastAsia="宋体" w:cs="宋体"/>
                <w:color w:val="000000"/>
                <w:sz w:val="21"/>
                <w:szCs w:val="21"/>
              </w:rPr>
            </w:r>
            <w:r/>
          </w:p>
        </w:tc>
        <w:tc>
          <w:tcPr>
            <w:tcW w:w="900" w:type="dxa"/>
            <w:vAlign w:val="center"/>
            <w:textDirection w:val="lrTb"/>
            <w:noWrap w:val="false"/>
          </w:tcPr>
          <w:p>
            <w:pPr>
              <w:pStyle w:val="1004"/>
              <w:jc w:val="center"/>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t xml:space="preserve">学历</w:t>
            </w:r>
            <w:r>
              <w:rPr>
                <w:rFonts w:hint="eastAsia" w:ascii="宋体" w:hAnsi="宋体" w:eastAsia="宋体" w:cs="宋体"/>
                <w:color w:val="000000"/>
                <w:sz w:val="21"/>
                <w:szCs w:val="21"/>
              </w:rPr>
            </w:r>
            <w:r/>
          </w:p>
        </w:tc>
        <w:tc>
          <w:tcPr>
            <w:tcW w:w="2556" w:type="dxa"/>
            <w:vAlign w:val="center"/>
            <w:textDirection w:val="lrTb"/>
            <w:noWrap w:val="false"/>
          </w:tcPr>
          <w:p>
            <w:pPr>
              <w:pStyle w:val="1004"/>
              <w:jc w:val="center"/>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t xml:space="preserve">主要资历及担任过的职务</w:t>
            </w:r>
            <w:r>
              <w:rPr>
                <w:rFonts w:hint="eastAsia" w:ascii="宋体" w:hAnsi="宋体" w:eastAsia="宋体" w:cs="宋体"/>
                <w:color w:val="000000"/>
                <w:sz w:val="21"/>
                <w:szCs w:val="21"/>
              </w:rPr>
            </w:r>
            <w:r/>
          </w:p>
        </w:tc>
      </w:tr>
      <w:tr>
        <w:trPr>
          <w:trHeight w:val="555"/>
        </w:trPr>
        <w:tc>
          <w:tcPr>
            <w:tcW w:w="1123"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989"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171"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867"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900"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2556"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r>
      <w:tr>
        <w:trPr>
          <w:trHeight w:val="555"/>
        </w:trPr>
        <w:tc>
          <w:tcPr>
            <w:tcW w:w="1123"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989"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171"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867"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900"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2556"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r>
      <w:tr>
        <w:trPr>
          <w:trHeight w:val="555"/>
        </w:trPr>
        <w:tc>
          <w:tcPr>
            <w:tcW w:w="1123"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989"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171"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867"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900"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2556"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r>
      <w:tr>
        <w:trPr>
          <w:trHeight w:val="555"/>
        </w:trPr>
        <w:tc>
          <w:tcPr>
            <w:tcW w:w="1123"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989"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171"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867"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900"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2556"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r>
      <w:tr>
        <w:trPr>
          <w:trHeight w:val="555"/>
        </w:trPr>
        <w:tc>
          <w:tcPr>
            <w:tcW w:w="1123"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989"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1171"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867"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900"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c>
          <w:tcPr>
            <w:tcW w:w="2556" w:type="dxa"/>
            <w:vAlign w:val="center"/>
            <w:textDirection w:val="lrTb"/>
            <w:noWrap w:val="false"/>
          </w:tcPr>
          <w:p>
            <w:pPr>
              <w:pStyle w:val="1004"/>
              <w:jc w:val="center"/>
              <w:spacing w:line="560" w:lineRule="exact"/>
              <w:widowControl w:val="off"/>
              <w:rPr>
                <w:rFonts w:hint="eastAsia" w:ascii="宋体" w:hAnsi="宋体" w:eastAsia="宋体" w:cs="宋体"/>
                <w:color w:val="000000"/>
                <w:sz w:val="21"/>
                <w:szCs w:val="21"/>
              </w:rPr>
              <w:framePr w:vAnchor="page" w:hAnchor="page" w:xAlign="center" w:y="286"/>
            </w:pPr>
            <w:r>
              <w:rPr>
                <w:rFonts w:hint="eastAsia" w:ascii="宋体" w:hAnsi="宋体" w:eastAsia="宋体" w:cs="宋体"/>
                <w:color w:val="000000"/>
                <w:sz w:val="21"/>
                <w:szCs w:val="21"/>
              </w:rPr>
            </w:r>
            <w:r/>
          </w:p>
        </w:tc>
      </w:tr>
    </w:tbl>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注：人员必须按本表承诺人员操作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不得随意更换。</w:t>
      </w:r>
      <w:r>
        <w:rPr>
          <w:rFonts w:hint="eastAsia" w:ascii="宋体" w:hAnsi="宋体" w:eastAsia="宋体" w:cs="宋体"/>
          <w:color w:val="000000"/>
          <w:sz w:val="21"/>
          <w:szCs w:val="21"/>
        </w:rPr>
      </w:r>
      <w:r/>
    </w:p>
    <w:p>
      <w:pPr>
        <w:pStyle w:val="1131"/>
        <w:spacing w:line="360" w:lineRule="auto"/>
        <w:rPr>
          <w:rFonts w:hint="eastAsia" w:ascii="宋体" w:hAnsi="宋体" w:eastAsia="宋体" w:cs="宋体"/>
          <w:color w:val="000000"/>
          <w:szCs w:val="21"/>
          <w:lang w:bidi="en-US"/>
        </w:rPr>
      </w:pPr>
      <w:r>
        <w:rPr>
          <w:rFonts w:hint="eastAsia" w:ascii="宋体" w:hAnsi="宋体" w:eastAsia="宋体" w:cs="宋体"/>
          <w:color w:val="000000"/>
          <w:szCs w:val="21"/>
          <w:lang w:bidi="en-US"/>
        </w:rPr>
      </w:r>
      <w:r/>
    </w:p>
    <w:p>
      <w:pPr>
        <w:pStyle w:val="1131"/>
        <w:spacing w:line="360" w:lineRule="auto"/>
        <w:rPr>
          <w:rFonts w:hint="eastAsia" w:ascii="宋体" w:hAnsi="宋体" w:eastAsia="宋体" w:cs="宋体"/>
          <w:color w:val="000000"/>
          <w:szCs w:val="21"/>
          <w:lang w:bidi="en-US"/>
        </w:rPr>
      </w:pPr>
      <w:r>
        <w:rPr>
          <w:rFonts w:hint="eastAsia" w:ascii="宋体" w:hAnsi="宋体" w:eastAsia="宋体" w:cs="宋体"/>
          <w:color w:val="000000"/>
          <w:szCs w:val="21"/>
          <w:lang w:bidi="en-US"/>
        </w:rPr>
      </w:r>
      <w:r/>
    </w:p>
    <w:p>
      <w:pPr>
        <w:pStyle w:val="1131"/>
        <w:spacing w:line="360" w:lineRule="auto"/>
        <w:rPr>
          <w:rFonts w:hint="eastAsia" w:ascii="宋体" w:hAnsi="宋体" w:eastAsia="宋体" w:cs="宋体"/>
          <w:color w:val="000000"/>
          <w:szCs w:val="21"/>
          <w:lang w:bidi="en-US"/>
        </w:rPr>
      </w:pPr>
      <w:r>
        <w:rPr>
          <w:rFonts w:hint="eastAsia" w:ascii="宋体" w:hAnsi="宋体" w:eastAsia="宋体" w:cs="宋体"/>
          <w:color w:val="000000"/>
          <w:szCs w:val="21"/>
          <w:lang w:bidi="en-US"/>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021"/>
        <w:spacing w:line="400" w:lineRule="exact"/>
        <w:rPr>
          <w:rFonts w:hint="eastAsia" w:ascii="宋体" w:hAnsi="宋体" w:eastAsia="宋体" w:cs="宋体"/>
          <w:b/>
          <w:bCs/>
          <w:color w:val="000000"/>
          <w:sz w:val="21"/>
          <w:szCs w:val="21"/>
        </w:rPr>
      </w:pPr>
      <w:r>
        <w:rPr>
          <w:rFonts w:hint="eastAsia" w:ascii="宋体" w:hAnsi="宋体" w:eastAsia="宋体" w:cs="宋体"/>
          <w:color w:val="000000"/>
          <w:szCs w:val="21"/>
        </w:rPr>
        <w:br w:type="page" w:clear="all"/>
      </w:r>
      <w:r>
        <w:rPr>
          <w:rFonts w:hint="eastAsia" w:ascii="宋体" w:hAnsi="宋体" w:eastAsia="宋体" w:cs="宋体"/>
          <w:b/>
          <w:color w:val="000000"/>
          <w:sz w:val="21"/>
          <w:szCs w:val="21"/>
        </w:rPr>
        <w:t xml:space="preserve">格式8：</w:t>
      </w:r>
      <w:r>
        <w:rPr>
          <w:rFonts w:hint="eastAsia" w:ascii="宋体" w:hAnsi="宋体" w:eastAsia="宋体" w:cs="宋体"/>
          <w:b/>
          <w:bCs/>
          <w:color w:val="000000"/>
          <w:sz w:val="21"/>
          <w:szCs w:val="21"/>
        </w:rPr>
        <w:t xml:space="preserve">资格证明文件</w:t>
      </w:r>
      <w:bookmarkEnd w:id="6"/>
      <w:r>
        <w:rPr>
          <w:rFonts w:hint="eastAsia" w:ascii="宋体" w:hAnsi="宋体" w:eastAsia="宋体" w:cs="宋体"/>
          <w:b/>
          <w:bCs/>
          <w:color w:val="000000"/>
          <w:sz w:val="21"/>
          <w:szCs w:val="21"/>
        </w:rPr>
      </w:r>
      <w:r/>
    </w:p>
    <w:p>
      <w:pPr>
        <w:pStyle w:val="1021"/>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21"/>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（1）关于资格文件的声明函</w:t>
      </w:r>
      <w:r>
        <w:rPr>
          <w:rFonts w:hint="eastAsia" w:ascii="宋体" w:hAnsi="宋体" w:eastAsia="宋体" w:cs="宋体"/>
          <w:b/>
          <w:bCs/>
          <w:color w:val="000000"/>
          <w:sz w:val="21"/>
          <w:szCs w:val="21"/>
        </w:rPr>
      </w:r>
      <w:r/>
    </w:p>
    <w:p>
      <w:pPr>
        <w:pStyle w:val="1014"/>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14"/>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关于资格文件的声明函</w:t>
      </w:r>
      <w:r>
        <w:rPr>
          <w:rFonts w:hint="eastAsia" w:ascii="宋体" w:hAnsi="宋体" w:eastAsia="宋体" w:cs="宋体"/>
          <w:b/>
          <w:bCs/>
          <w:color w:val="000000"/>
          <w:sz w:val="30"/>
          <w:szCs w:val="30"/>
        </w:rPr>
      </w:r>
      <w:r/>
    </w:p>
    <w:p>
      <w:pPr>
        <w:pStyle w:val="1014"/>
        <w:jc w:val="center"/>
        <w:rPr>
          <w:rFonts w:hint="eastAsia" w:ascii="宋体" w:hAnsi="宋体" w:eastAsia="宋体" w:cs="宋体"/>
          <w:color w:val="000000"/>
        </w:rPr>
      </w:pPr>
      <w:r>
        <w:rPr>
          <w:rFonts w:hint="eastAsia" w:ascii="宋体" w:hAnsi="宋体" w:eastAsia="宋体" w:cs="宋体"/>
          <w:color w:val="000000"/>
        </w:rPr>
      </w:r>
      <w:r/>
    </w:p>
    <w:p>
      <w:pPr>
        <w:pStyle w:val="1014"/>
        <w:jc w:val="center"/>
        <w:rPr>
          <w:rFonts w:hint="eastAsia" w:ascii="宋体" w:hAnsi="宋体" w:eastAsia="宋体" w:cs="宋体"/>
          <w:color w:val="000000"/>
        </w:rPr>
      </w:pPr>
      <w:r>
        <w:rPr>
          <w:rFonts w:hint="eastAsia" w:ascii="宋体" w:hAnsi="宋体" w:eastAsia="宋体" w:cs="宋体"/>
          <w:color w:val="000000"/>
        </w:rPr>
      </w:r>
      <w:r/>
    </w:p>
    <w:p>
      <w:pPr>
        <w:pStyle w:val="1123"/>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u w:val="single"/>
        </w:rPr>
        <w:t xml:space="preserve">苏州市卫康招投标咨询服务有限公司</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p>
      <w:pPr>
        <w:pStyle w:val="10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14"/>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本公司愿就由贵公司组织实施的编号为</w:t>
      </w:r>
      <w:r>
        <w:rPr>
          <w:rFonts w:hint="eastAsia" w:ascii="宋体" w:hAnsi="宋体" w:eastAsia="宋体" w:cs="宋体"/>
          <w:color w:val="000000"/>
          <w:sz w:val="21"/>
          <w:szCs w:val="21"/>
          <w:u w:val="single"/>
        </w:rPr>
        <w:t xml:space="preserve">JSZC-320591-SZWK-G2024-0397号</w:t>
      </w:r>
      <w:r>
        <w:rPr>
          <w:rFonts w:hint="eastAsia" w:ascii="宋体" w:hAnsi="宋体" w:eastAsia="宋体" w:cs="宋体"/>
          <w:color w:val="000000"/>
          <w:sz w:val="21"/>
          <w:szCs w:val="21"/>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rPr>
      </w:r>
      <w:r/>
    </w:p>
    <w:p>
      <w:pPr>
        <w:pStyle w:val="101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014"/>
        <w:ind w:firstLine="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14"/>
        <w:ind w:firstLine="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color w:val="000000"/>
        </w:rPr>
      </w:pPr>
      <w:r>
        <w:rPr>
          <w:rFonts w:hint="eastAsia" w:ascii="宋体" w:hAnsi="宋体" w:eastAsia="宋体" w:cs="宋体"/>
          <w:color w:val="000000"/>
        </w:rPr>
      </w:r>
      <w:r/>
    </w:p>
    <w:p>
      <w:pPr>
        <w:pStyle w:val="1014"/>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14"/>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14"/>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14"/>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14"/>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14"/>
        <w:ind w:firstLine="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14"/>
        <w:ind w:firstLine="0"/>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（2）</w:t>
      </w:r>
      <w:r>
        <w:rPr>
          <w:rFonts w:hint="eastAsia" w:ascii="宋体" w:hAnsi="宋体" w:eastAsia="宋体" w:cs="宋体"/>
          <w:b/>
          <w:color w:val="000000"/>
          <w:sz w:val="21"/>
          <w:szCs w:val="21"/>
        </w:rPr>
        <w:t xml:space="preserve">投标单位情况表</w:t>
      </w:r>
      <w:r>
        <w:rPr>
          <w:rFonts w:hint="eastAsia" w:ascii="宋体" w:hAnsi="宋体" w:eastAsia="宋体" w:cs="宋体"/>
          <w:b/>
          <w:color w:val="000000"/>
          <w:sz w:val="21"/>
          <w:szCs w:val="21"/>
        </w:rPr>
      </w:r>
      <w:r/>
    </w:p>
    <w:p>
      <w:pPr>
        <w:pStyle w:val="1014"/>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投标单位情况表</w:t>
      </w:r>
      <w:r>
        <w:rPr>
          <w:rFonts w:hint="eastAsia" w:ascii="宋体" w:hAnsi="宋体" w:eastAsia="宋体" w:cs="宋体"/>
          <w:b/>
          <w:bCs/>
          <w:color w:val="000000"/>
          <w:sz w:val="30"/>
          <w:szCs w:val="30"/>
        </w:rPr>
      </w:r>
      <w:r/>
    </w:p>
    <w:tbl>
      <w:tblPr>
        <w:tblW w:w="8533"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1713"/>
      </w:tblGrid>
      <w:tr>
        <w:trPr>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620"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企业法人</w:t>
            </w:r>
            <w:r>
              <w:rPr>
                <w:rFonts w:hint="eastAsia" w:ascii="宋体" w:hAnsi="宋体" w:eastAsia="宋体" w:cs="宋体"/>
                <w:color w:val="000000"/>
                <w:sz w:val="21"/>
                <w:szCs w:val="21"/>
              </w:rPr>
            </w:r>
            <w:r/>
          </w:p>
        </w:tc>
        <w:tc>
          <w:tcPr>
            <w:gridSpan w:val="2"/>
            <w:tcW w:w="2887"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639"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公司成立日期</w:t>
            </w:r>
            <w:r>
              <w:rPr>
                <w:rFonts w:hint="eastAsia" w:ascii="宋体" w:hAnsi="宋体" w:eastAsia="宋体" w:cs="宋体"/>
                <w:color w:val="000000"/>
                <w:sz w:val="21"/>
                <w:szCs w:val="21"/>
              </w:rPr>
            </w:r>
            <w:r/>
          </w:p>
        </w:tc>
        <w:tc>
          <w:tcPr>
            <w:tcW w:w="1713"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620"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总部地址</w:t>
            </w:r>
            <w:r>
              <w:rPr>
                <w:rFonts w:hint="eastAsia" w:ascii="宋体" w:hAnsi="宋体" w:eastAsia="宋体" w:cs="宋体"/>
                <w:color w:val="000000"/>
                <w:sz w:val="21"/>
                <w:szCs w:val="21"/>
              </w:rPr>
            </w:r>
            <w:r/>
          </w:p>
        </w:tc>
        <w:tc>
          <w:tcPr>
            <w:gridSpan w:val="5"/>
            <w:tcW w:w="6239"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620"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当地代表处地址</w:t>
            </w:r>
            <w:r>
              <w:rPr>
                <w:rFonts w:hint="eastAsia" w:ascii="宋体" w:hAnsi="宋体" w:eastAsia="宋体" w:cs="宋体"/>
                <w:color w:val="000000"/>
                <w:sz w:val="21"/>
                <w:szCs w:val="21"/>
              </w:rPr>
            </w:r>
            <w:r/>
          </w:p>
        </w:tc>
        <w:tc>
          <w:tcPr>
            <w:gridSpan w:val="5"/>
            <w:tcW w:w="6239"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620"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rPr>
            </w:r>
            <w:r/>
          </w:p>
        </w:tc>
        <w:tc>
          <w:tcPr>
            <w:tcW w:w="2385"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37"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gridSpan w:val="2"/>
            <w:tcW w:w="2517"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620"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传真</w:t>
            </w:r>
            <w:r>
              <w:rPr>
                <w:rFonts w:hint="eastAsia" w:ascii="宋体" w:hAnsi="宋体" w:eastAsia="宋体" w:cs="宋体"/>
                <w:color w:val="000000"/>
                <w:sz w:val="21"/>
                <w:szCs w:val="21"/>
              </w:rPr>
            </w:r>
            <w:r/>
          </w:p>
        </w:tc>
        <w:tc>
          <w:tcPr>
            <w:tcW w:w="2385"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37"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电子邮箱</w:t>
            </w:r>
            <w:r>
              <w:rPr>
                <w:rFonts w:hint="eastAsia" w:ascii="宋体" w:hAnsi="宋体" w:eastAsia="宋体" w:cs="宋体"/>
                <w:color w:val="000000"/>
                <w:sz w:val="21"/>
                <w:szCs w:val="21"/>
              </w:rPr>
            </w:r>
            <w:r/>
          </w:p>
        </w:tc>
        <w:tc>
          <w:tcPr>
            <w:gridSpan w:val="2"/>
            <w:tcW w:w="2517"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620"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w:t>
            </w:r>
            <w:r>
              <w:rPr>
                <w:rFonts w:hint="eastAsia" w:ascii="宋体" w:hAnsi="宋体" w:eastAsia="宋体" w:cs="宋体"/>
                <w:color w:val="000000"/>
                <w:sz w:val="21"/>
                <w:szCs w:val="21"/>
              </w:rPr>
            </w:r>
            <w:r/>
          </w:p>
        </w:tc>
        <w:tc>
          <w:tcPr>
            <w:tcW w:w="2385"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1337"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注册年份</w:t>
            </w:r>
            <w:r>
              <w:rPr>
                <w:rFonts w:hint="eastAsia" w:ascii="宋体" w:hAnsi="宋体" w:eastAsia="宋体" w:cs="宋体"/>
                <w:color w:val="000000"/>
                <w:sz w:val="21"/>
                <w:szCs w:val="21"/>
              </w:rPr>
            </w:r>
            <w:r/>
          </w:p>
        </w:tc>
        <w:tc>
          <w:tcPr>
            <w:gridSpan w:val="2"/>
            <w:tcW w:w="2517" w:type="dxa"/>
            <w:vAlign w:val="center"/>
            <w:textDirection w:val="lrTb"/>
            <w:noWrap w:val="false"/>
          </w:tcPr>
          <w:p>
            <w:pPr>
              <w:pStyle w:val="1014"/>
              <w:ind w:left="437"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620"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单位职工人数</w:t>
            </w:r>
            <w:r>
              <w:rPr>
                <w:rFonts w:hint="eastAsia" w:ascii="宋体" w:hAnsi="宋体" w:eastAsia="宋体" w:cs="宋体"/>
                <w:color w:val="000000"/>
                <w:sz w:val="21"/>
                <w:szCs w:val="21"/>
              </w:rPr>
            </w:r>
            <w:r/>
          </w:p>
        </w:tc>
        <w:tc>
          <w:tcPr>
            <w:tcW w:w="2385" w:type="dxa"/>
            <w:vAlign w:val="center"/>
            <w:textDirection w:val="lrTb"/>
            <w:noWrap w:val="false"/>
          </w:tcPr>
          <w:p>
            <w:pPr>
              <w:pStyle w:val="1014"/>
              <w:ind w:left="0" w:firstLine="126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gridSpan w:val="3"/>
            <w:tcW w:w="2141"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2023年总营业收入</w:t>
            </w:r>
            <w:r>
              <w:rPr>
                <w:rFonts w:hint="eastAsia" w:ascii="宋体" w:hAnsi="宋体" w:eastAsia="宋体" w:cs="宋体"/>
                <w:color w:val="000000"/>
                <w:sz w:val="21"/>
                <w:szCs w:val="21"/>
              </w:rPr>
            </w:r>
            <w:r/>
          </w:p>
        </w:tc>
        <w:tc>
          <w:tcPr>
            <w:tcW w:w="1713" w:type="dxa"/>
            <w:vAlign w:val="center"/>
            <w:textDirection w:val="lrTb"/>
            <w:noWrap w:val="false"/>
          </w:tcPr>
          <w:p>
            <w:pPr>
              <w:pStyle w:val="1014"/>
              <w:ind w:left="1112"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cantSplit/>
          <w:trHeight w:val="85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gridSpan w:val="6"/>
            <w:tcW w:w="7859"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企业或社会团体办公场所的面积：</w:t>
            </w:r>
            <w:r>
              <w:rPr>
                <w:rFonts w:hint="eastAsia" w:ascii="宋体" w:hAnsi="宋体" w:eastAsia="宋体" w:cs="宋体"/>
                <w:color w:val="000000"/>
                <w:sz w:val="21"/>
                <w:szCs w:val="21"/>
              </w:rPr>
            </w:r>
            <w:r/>
          </w:p>
        </w:tc>
      </w:tr>
      <w:tr>
        <w:trPr>
          <w:trHeight w:val="1978"/>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gridSpan w:val="6"/>
            <w:tcW w:w="7859"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主营范围</w:t>
            </w:r>
            <w:r>
              <w:rPr>
                <w:rFonts w:hint="eastAsia" w:ascii="宋体" w:hAnsi="宋体" w:eastAsia="宋体" w:cs="宋体"/>
                <w:color w:val="000000"/>
                <w:sz w:val="21"/>
                <w:szCs w:val="21"/>
              </w:rPr>
            </w:r>
            <w:r/>
          </w:p>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1、_____________________________________</w:t>
            </w:r>
            <w:r>
              <w:rPr>
                <w:rFonts w:hint="eastAsia" w:ascii="宋体" w:hAnsi="宋体" w:eastAsia="宋体" w:cs="宋体"/>
                <w:color w:val="000000"/>
                <w:sz w:val="21"/>
                <w:szCs w:val="21"/>
              </w:rPr>
            </w:r>
            <w:r/>
          </w:p>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____________________________________</w:t>
            </w:r>
            <w:r>
              <w:rPr>
                <w:rFonts w:hint="eastAsia" w:ascii="宋体" w:hAnsi="宋体" w:eastAsia="宋体" w:cs="宋体"/>
                <w:color w:val="000000"/>
                <w:sz w:val="21"/>
                <w:szCs w:val="21"/>
              </w:rPr>
            </w:r>
            <w:r/>
          </w:p>
        </w:tc>
      </w:tr>
      <w:tr>
        <w:trPr>
          <w:trHeight w:val="2130"/>
        </w:trPr>
        <w:tc>
          <w:tcPr>
            <w:tcW w:w="674" w:type="dxa"/>
            <w:vAlign w:val="center"/>
            <w:textDirection w:val="lrTb"/>
            <w:noWrap w:val="false"/>
          </w:tcPr>
          <w:p>
            <w:pPr>
              <w:pStyle w:val="1014"/>
              <w:ind w:firstLine="0"/>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gridSpan w:val="6"/>
            <w:tcW w:w="7859" w:type="dxa"/>
            <w:vAlign w:val="center"/>
            <w:textDirection w:val="lrTb"/>
            <w:noWrap w:val="false"/>
          </w:tcPr>
          <w:p>
            <w:pPr>
              <w:pStyle w:val="1014"/>
              <w:ind w:firstLine="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r>
    </w:tbl>
    <w:p>
      <w:pPr>
        <w:pStyle w:val="1131"/>
        <w:spacing w:line="360" w:lineRule="auto"/>
        <w:rPr>
          <w:rFonts w:hint="eastAsia" w:ascii="宋体" w:hAnsi="宋体" w:eastAsia="宋体" w:cs="宋体"/>
          <w:color w:val="000000"/>
          <w:szCs w:val="21"/>
          <w:lang w:bidi="en-US"/>
        </w:rPr>
      </w:pPr>
      <w:r>
        <w:rPr>
          <w:rFonts w:hint="eastAsia" w:ascii="宋体" w:hAnsi="宋体" w:eastAsia="宋体" w:cs="宋体"/>
          <w:color w:val="000000"/>
          <w:szCs w:val="21"/>
          <w:lang w:bidi="en-US"/>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014"/>
        <w:ind w:firstLine="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14"/>
        <w:ind w:firstLine="0"/>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t xml:space="preserve">格式</w:t>
      </w:r>
      <w:r>
        <w:rPr>
          <w:rFonts w:hint="eastAsia" w:ascii="宋体" w:hAnsi="宋体" w:eastAsia="宋体" w:cs="宋体"/>
          <w:b/>
          <w:bCs/>
          <w:color w:val="000000"/>
          <w:sz w:val="21"/>
          <w:szCs w:val="21"/>
        </w:rPr>
        <w:t xml:space="preserve">9：类似项目一览表</w:t>
      </w:r>
      <w:r>
        <w:rPr>
          <w:rFonts w:hint="eastAsia" w:ascii="宋体" w:hAnsi="宋体" w:eastAsia="宋体" w:cs="宋体"/>
          <w:b/>
          <w:bCs/>
          <w:color w:val="000000"/>
          <w:sz w:val="21"/>
          <w:szCs w:val="21"/>
        </w:rPr>
      </w:r>
      <w:r/>
    </w:p>
    <w:p>
      <w:pPr>
        <w:pStyle w:val="1004"/>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004"/>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004"/>
        <w:jc w:val="center"/>
        <w:rPr>
          <w:rFonts w:hint="eastAsia" w:ascii="宋体" w:hAnsi="宋体" w:eastAsia="宋体" w:cs="宋体"/>
          <w:b/>
          <w:color w:val="000000"/>
          <w:sz w:val="36"/>
          <w:szCs w:val="36"/>
        </w:rPr>
      </w:pPr>
      <w:r>
        <w:rPr>
          <w:rFonts w:hint="eastAsia" w:ascii="宋体" w:hAnsi="宋体" w:eastAsia="宋体" w:cs="宋体"/>
          <w:b/>
          <w:color w:val="000000"/>
          <w:sz w:val="28"/>
          <w:szCs w:val="28"/>
        </w:rPr>
        <w:t xml:space="preserve">类似项目一览表</w:t>
      </w:r>
      <w:r>
        <w:rPr>
          <w:rFonts w:hint="eastAsia" w:ascii="宋体" w:hAnsi="宋体" w:eastAsia="宋体" w:cs="宋体"/>
          <w:b/>
          <w:color w:val="000000"/>
          <w:sz w:val="36"/>
          <w:szCs w:val="36"/>
        </w:rPr>
      </w:r>
      <w:r/>
    </w:p>
    <w:tbl>
      <w:tblPr>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pStyle w:val="1004"/>
              <w:jc w:val="center"/>
              <w:rPr>
                <w:rFonts w:hint="eastAsia" w:ascii="宋体" w:hAnsi="宋体" w:eastAsia="宋体" w:cs="宋体"/>
                <w:b/>
                <w:color w:val="000000"/>
                <w:sz w:val="21"/>
                <w:szCs w:val="21"/>
              </w:rPr>
              <w:framePr w:vAnchor="text" w:hAnchor="page" w:x="1746" w:y="476"/>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1980" w:type="dxa"/>
            <w:vAlign w:val="center"/>
            <w:textDirection w:val="lrTb"/>
            <w:noWrap w:val="false"/>
          </w:tcPr>
          <w:p>
            <w:pPr>
              <w:pStyle w:val="1004"/>
              <w:jc w:val="center"/>
              <w:rPr>
                <w:rFonts w:hint="eastAsia" w:ascii="宋体" w:hAnsi="宋体" w:eastAsia="宋体" w:cs="宋体"/>
                <w:b/>
                <w:color w:val="000000"/>
                <w:sz w:val="21"/>
                <w:szCs w:val="21"/>
              </w:rPr>
              <w:framePr w:vAnchor="text" w:hAnchor="page" w:x="1746" w:y="476"/>
            </w:pPr>
            <w:r>
              <w:rPr>
                <w:rFonts w:hint="eastAsia" w:ascii="宋体" w:hAnsi="宋体" w:eastAsia="宋体" w:cs="宋体"/>
                <w:b/>
                <w:color w:val="000000"/>
                <w:sz w:val="21"/>
                <w:szCs w:val="21"/>
              </w:rPr>
              <w:t xml:space="preserve">项目名称</w:t>
            </w:r>
            <w:r>
              <w:rPr>
                <w:rFonts w:hint="eastAsia" w:ascii="宋体" w:hAnsi="宋体" w:eastAsia="宋体" w:cs="宋体"/>
                <w:b/>
                <w:color w:val="000000"/>
                <w:sz w:val="21"/>
                <w:szCs w:val="21"/>
              </w:rPr>
            </w:r>
            <w:r/>
          </w:p>
        </w:tc>
        <w:tc>
          <w:tcPr>
            <w:tcW w:w="1093" w:type="dxa"/>
            <w:vAlign w:val="center"/>
            <w:textDirection w:val="lrTb"/>
            <w:noWrap w:val="false"/>
          </w:tcPr>
          <w:p>
            <w:pPr>
              <w:pStyle w:val="1004"/>
              <w:jc w:val="center"/>
              <w:rPr>
                <w:rFonts w:hint="eastAsia" w:ascii="宋体" w:hAnsi="宋体" w:eastAsia="宋体" w:cs="宋体"/>
                <w:b/>
                <w:color w:val="000000"/>
                <w:sz w:val="21"/>
                <w:szCs w:val="21"/>
              </w:rPr>
              <w:framePr w:vAnchor="text" w:hAnchor="page" w:x="1746" w:y="476"/>
            </w:pPr>
            <w:r>
              <w:rPr>
                <w:rFonts w:hint="eastAsia" w:ascii="宋体" w:hAnsi="宋体" w:eastAsia="宋体" w:cs="宋体"/>
                <w:b/>
                <w:color w:val="000000"/>
                <w:sz w:val="21"/>
                <w:szCs w:val="21"/>
              </w:rPr>
              <w:t xml:space="preserve">项目时间</w:t>
            </w:r>
            <w:r>
              <w:rPr>
                <w:rFonts w:hint="eastAsia" w:ascii="宋体" w:hAnsi="宋体" w:eastAsia="宋体" w:cs="宋体"/>
                <w:b/>
                <w:color w:val="000000"/>
                <w:sz w:val="21"/>
                <w:szCs w:val="21"/>
              </w:rPr>
            </w:r>
            <w:r/>
          </w:p>
        </w:tc>
        <w:tc>
          <w:tcPr>
            <w:tcW w:w="1304" w:type="dxa"/>
            <w:vAlign w:val="center"/>
            <w:textDirection w:val="lrTb"/>
            <w:noWrap w:val="false"/>
          </w:tcPr>
          <w:p>
            <w:pPr>
              <w:pStyle w:val="1004"/>
              <w:jc w:val="center"/>
              <w:rPr>
                <w:rFonts w:hint="eastAsia" w:ascii="宋体" w:hAnsi="宋体" w:eastAsia="宋体" w:cs="宋体"/>
                <w:b/>
                <w:color w:val="000000"/>
                <w:sz w:val="21"/>
                <w:szCs w:val="21"/>
              </w:rPr>
              <w:framePr w:vAnchor="text" w:hAnchor="page" w:x="1746" w:y="476"/>
            </w:pPr>
            <w:r>
              <w:rPr>
                <w:rFonts w:hint="eastAsia" w:ascii="宋体" w:hAnsi="宋体" w:eastAsia="宋体" w:cs="宋体"/>
                <w:b/>
                <w:color w:val="000000"/>
                <w:sz w:val="21"/>
                <w:szCs w:val="21"/>
              </w:rPr>
              <w:t xml:space="preserve">项目规模</w:t>
            </w:r>
            <w:r>
              <w:rPr>
                <w:rFonts w:hint="eastAsia" w:ascii="宋体" w:hAnsi="宋体" w:eastAsia="宋体" w:cs="宋体"/>
                <w:b/>
                <w:color w:val="000000"/>
                <w:sz w:val="21"/>
                <w:szCs w:val="21"/>
              </w:rPr>
            </w:r>
            <w:r/>
          </w:p>
        </w:tc>
        <w:tc>
          <w:tcPr>
            <w:tcW w:w="1709" w:type="dxa"/>
            <w:vAlign w:val="center"/>
            <w:textDirection w:val="lrTb"/>
            <w:noWrap w:val="false"/>
          </w:tcPr>
          <w:p>
            <w:pPr>
              <w:pStyle w:val="1004"/>
              <w:jc w:val="center"/>
              <w:rPr>
                <w:rFonts w:hint="eastAsia" w:ascii="宋体" w:hAnsi="宋体" w:eastAsia="宋体" w:cs="宋体"/>
                <w:b/>
                <w:color w:val="000000"/>
                <w:sz w:val="21"/>
                <w:szCs w:val="21"/>
              </w:rPr>
              <w:framePr w:vAnchor="text" w:hAnchor="page" w:x="1746" w:y="476"/>
            </w:pPr>
            <w:r>
              <w:rPr>
                <w:rFonts w:hint="eastAsia" w:ascii="宋体" w:hAnsi="宋体" w:eastAsia="宋体" w:cs="宋体"/>
                <w:b/>
                <w:color w:val="000000"/>
                <w:sz w:val="21"/>
                <w:szCs w:val="21"/>
              </w:rPr>
              <w:t xml:space="preserve">业主单位</w:t>
            </w:r>
            <w:r>
              <w:rPr>
                <w:rFonts w:hint="eastAsia" w:ascii="宋体" w:hAnsi="宋体" w:eastAsia="宋体" w:cs="宋体"/>
                <w:b/>
                <w:color w:val="000000"/>
                <w:sz w:val="21"/>
                <w:szCs w:val="21"/>
              </w:rPr>
            </w:r>
            <w:r/>
          </w:p>
        </w:tc>
        <w:tc>
          <w:tcPr>
            <w:tcW w:w="1113" w:type="dxa"/>
            <w:vAlign w:val="center"/>
            <w:textDirection w:val="lrTb"/>
            <w:noWrap w:val="false"/>
          </w:tcPr>
          <w:p>
            <w:pPr>
              <w:pStyle w:val="1004"/>
              <w:jc w:val="center"/>
              <w:rPr>
                <w:rFonts w:hint="eastAsia" w:ascii="宋体" w:hAnsi="宋体" w:eastAsia="宋体" w:cs="宋体"/>
                <w:b/>
                <w:color w:val="000000"/>
                <w:sz w:val="21"/>
                <w:szCs w:val="21"/>
              </w:rPr>
              <w:framePr w:vAnchor="text" w:hAnchor="page" w:x="1746" w:y="476"/>
            </w:pPr>
            <w:r>
              <w:rPr>
                <w:rFonts w:hint="eastAsia" w:ascii="宋体" w:hAnsi="宋体" w:eastAsia="宋体" w:cs="宋体"/>
                <w:b/>
                <w:color w:val="000000"/>
                <w:sz w:val="21"/>
                <w:szCs w:val="21"/>
              </w:rPr>
              <w:t xml:space="preserve">备注</w:t>
            </w:r>
            <w:r>
              <w:rPr>
                <w:rFonts w:hint="eastAsia" w:ascii="宋体" w:hAnsi="宋体" w:eastAsia="宋体" w:cs="宋体"/>
                <w:b/>
                <w:color w:val="000000"/>
                <w:sz w:val="21"/>
                <w:szCs w:val="21"/>
              </w:rPr>
            </w:r>
            <w:r/>
          </w:p>
        </w:tc>
      </w:tr>
      <w:tr>
        <w:trPr>
          <w:trHeight w:val="567"/>
        </w:trPr>
        <w:tc>
          <w:tcPr>
            <w:tcW w:w="12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980"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09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304"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7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11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r>
      <w:tr>
        <w:trPr>
          <w:trHeight w:val="567"/>
        </w:trPr>
        <w:tc>
          <w:tcPr>
            <w:tcW w:w="12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980"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09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304"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7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11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r>
      <w:tr>
        <w:trPr>
          <w:trHeight w:val="567"/>
        </w:trPr>
        <w:tc>
          <w:tcPr>
            <w:tcW w:w="12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980"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09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304"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7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11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r>
      <w:tr>
        <w:trPr>
          <w:trHeight w:val="567"/>
        </w:trPr>
        <w:tc>
          <w:tcPr>
            <w:tcW w:w="12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980"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09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304"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7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11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r>
      <w:tr>
        <w:trPr>
          <w:trHeight w:val="567"/>
        </w:trPr>
        <w:tc>
          <w:tcPr>
            <w:tcW w:w="12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980"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09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304"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7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11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r>
      <w:tr>
        <w:trPr>
          <w:trHeight w:val="567"/>
        </w:trPr>
        <w:tc>
          <w:tcPr>
            <w:tcW w:w="12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980"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09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304"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7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11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r>
      <w:tr>
        <w:trPr>
          <w:trHeight w:val="567"/>
        </w:trPr>
        <w:tc>
          <w:tcPr>
            <w:tcW w:w="12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980"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09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304"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709"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c>
          <w:tcPr>
            <w:tcW w:w="1113" w:type="dxa"/>
            <w:vAlign w:val="center"/>
            <w:textDirection w:val="lrTb"/>
            <w:noWrap w:val="false"/>
          </w:tcPr>
          <w:p>
            <w:pPr>
              <w:pStyle w:val="1004"/>
              <w:jc w:val="center"/>
              <w:rPr>
                <w:rFonts w:hint="eastAsia" w:ascii="宋体" w:hAnsi="宋体" w:eastAsia="宋体" w:cs="宋体"/>
                <w:color w:val="000000"/>
                <w:sz w:val="21"/>
                <w:szCs w:val="21"/>
              </w:rPr>
              <w:framePr w:vAnchor="text" w:hAnchor="page" w:x="1746" w:y="476"/>
            </w:pPr>
            <w:r>
              <w:rPr>
                <w:rFonts w:hint="eastAsia" w:ascii="宋体" w:hAnsi="宋体" w:eastAsia="宋体" w:cs="宋体"/>
                <w:color w:val="000000"/>
                <w:sz w:val="21"/>
                <w:szCs w:val="21"/>
              </w:rPr>
            </w:r>
            <w:r/>
          </w:p>
        </w:tc>
      </w:tr>
    </w:tbl>
    <w:p>
      <w:pPr>
        <w:pStyle w:val="1004"/>
        <w:ind w:left="420" w:right="357" w:hanging="400"/>
        <w:spacing w:before="120"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04"/>
        <w:ind w:left="420" w:right="357" w:hanging="400"/>
        <w:spacing w:before="120"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14"/>
        <w:ind w:firstLine="0"/>
        <w:spacing w:line="400" w:lineRule="exact"/>
        <w:rPr>
          <w:rFonts w:hint="eastAsia" w:ascii="宋体" w:hAnsi="宋体" w:eastAsia="宋体" w:cs="宋体"/>
          <w:b/>
          <w:bCs/>
          <w:color w:val="000000"/>
          <w:sz w:val="21"/>
          <w:szCs w:val="21"/>
        </w:rPr>
      </w:pPr>
      <w:r/>
      <w:bookmarkStart w:id="7" w:name="_Toc13889376"/>
      <w:r/>
      <w:bookmarkStart w:id="8" w:name="_Toc142194271"/>
      <w:r/>
      <w:bookmarkStart w:id="9" w:name="_Toc13642116"/>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格式10：技术支持以及售后服务承诺</w:t>
      </w:r>
      <w:r>
        <w:rPr>
          <w:rFonts w:hint="eastAsia" w:ascii="宋体" w:hAnsi="宋体" w:eastAsia="宋体" w:cs="宋体"/>
          <w:b/>
          <w:bCs/>
          <w:color w:val="000000"/>
          <w:sz w:val="21"/>
          <w:szCs w:val="21"/>
        </w:rPr>
      </w:r>
      <w:r/>
    </w:p>
    <w:p>
      <w:pPr>
        <w:pStyle w:val="1004"/>
        <w:jc w:val="center"/>
        <w:spacing w:line="360" w:lineRule="auto"/>
        <w:tabs>
          <w:tab w:val="left" w:pos="1320" w:leader="none"/>
        </w:tabs>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004"/>
        <w:jc w:val="center"/>
        <w:spacing w:line="360" w:lineRule="auto"/>
        <w:tabs>
          <w:tab w:val="left" w:pos="1320" w:leader="none"/>
        </w:tabs>
        <w:rPr>
          <w:rFonts w:hint="eastAsia" w:ascii="宋体" w:hAnsi="宋体" w:eastAsia="宋体" w:cs="宋体"/>
          <w:b/>
          <w:color w:val="000000"/>
          <w:sz w:val="30"/>
          <w:szCs w:val="30"/>
        </w:rPr>
      </w:pPr>
      <w:r>
        <w:rPr>
          <w:rFonts w:hint="eastAsia" w:ascii="宋体" w:hAnsi="宋体" w:eastAsia="宋体" w:cs="宋体"/>
          <w:b/>
          <w:color w:val="000000"/>
          <w:sz w:val="28"/>
          <w:szCs w:val="28"/>
        </w:rPr>
        <w:t xml:space="preserve">技术支持以及售后服务承诺</w:t>
      </w:r>
      <w:r>
        <w:rPr>
          <w:rFonts w:hint="eastAsia" w:ascii="宋体" w:hAnsi="宋体" w:eastAsia="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pStyle w:val="1004"/>
              <w:jc w:val="center"/>
              <w:rPr>
                <w:rFonts w:hint="eastAsia" w:ascii="宋体" w:hAnsi="宋体" w:eastAsia="宋体" w:cs="宋体"/>
                <w:color w:val="000000"/>
                <w:sz w:val="21"/>
                <w:szCs w:val="21"/>
              </w:rPr>
            </w:pPr>
            <w:r/>
            <w:bookmarkEnd w:id="7"/>
            <w:r/>
            <w:bookmarkEnd w:id="8"/>
            <w:r/>
            <w:bookmarkEnd w:id="9"/>
            <w:r/>
            <w:bookmarkStart w:id="10" w:name="_Toc142194272"/>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949"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312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投标承诺</w:t>
            </w:r>
            <w:r>
              <w:rPr>
                <w:rFonts w:hint="eastAsia" w:ascii="宋体" w:hAnsi="宋体" w:eastAsia="宋体" w:cs="宋体"/>
                <w:color w:val="000000"/>
                <w:sz w:val="21"/>
                <w:szCs w:val="21"/>
              </w:rPr>
            </w:r>
            <w:r/>
          </w:p>
        </w:tc>
        <w:tc>
          <w:tcPr>
            <w:tcW w:w="156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rHeight w:val="850"/>
        </w:trPr>
        <w:tc>
          <w:tcPr>
            <w:tcW w:w="97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949"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服务响应时间</w:t>
            </w:r>
            <w:r>
              <w:rPr>
                <w:rFonts w:hint="eastAsia" w:ascii="宋体" w:hAnsi="宋体" w:eastAsia="宋体" w:cs="宋体"/>
                <w:color w:val="000000"/>
                <w:sz w:val="21"/>
                <w:szCs w:val="21"/>
              </w:rPr>
            </w:r>
            <w:r/>
          </w:p>
        </w:tc>
        <w:tc>
          <w:tcPr>
            <w:tcW w:w="312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6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97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949"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到达现场时间</w:t>
            </w:r>
            <w:r>
              <w:rPr>
                <w:rFonts w:hint="eastAsia" w:ascii="宋体" w:hAnsi="宋体" w:eastAsia="宋体" w:cs="宋体"/>
                <w:color w:val="000000"/>
                <w:sz w:val="21"/>
                <w:szCs w:val="21"/>
              </w:rPr>
            </w:r>
            <w:r/>
          </w:p>
        </w:tc>
        <w:tc>
          <w:tcPr>
            <w:tcW w:w="312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6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97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949"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解决问题时间</w:t>
            </w:r>
            <w:r>
              <w:rPr>
                <w:rFonts w:hint="eastAsia" w:ascii="宋体" w:hAnsi="宋体" w:eastAsia="宋体" w:cs="宋体"/>
                <w:color w:val="000000"/>
                <w:sz w:val="21"/>
                <w:szCs w:val="21"/>
              </w:rPr>
            </w:r>
            <w:r/>
          </w:p>
        </w:tc>
        <w:tc>
          <w:tcPr>
            <w:tcW w:w="312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6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50"/>
        </w:trPr>
        <w:tc>
          <w:tcPr>
            <w:tcW w:w="97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949"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免费质保期</w:t>
            </w:r>
            <w:r>
              <w:rPr>
                <w:rFonts w:hint="eastAsia" w:ascii="宋体" w:hAnsi="宋体" w:eastAsia="宋体" w:cs="宋体"/>
                <w:color w:val="000000"/>
                <w:sz w:val="21"/>
                <w:szCs w:val="21"/>
              </w:rPr>
            </w:r>
            <w:r/>
          </w:p>
        </w:tc>
        <w:tc>
          <w:tcPr>
            <w:tcW w:w="3123"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62" w:type="dxa"/>
            <w:vAlign w:val="center"/>
            <w:textDirection w:val="lrTb"/>
            <w:noWrap w:val="false"/>
          </w:tcPr>
          <w:p>
            <w:pPr>
              <w:pStyle w:val="100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131"/>
        <w:spacing w:line="360" w:lineRule="auto"/>
        <w:rPr>
          <w:rFonts w:hint="eastAsia" w:ascii="宋体" w:hAnsi="宋体" w:eastAsia="宋体" w:cs="宋体"/>
          <w:color w:val="000000"/>
          <w:szCs w:val="21"/>
          <w:lang w:bidi="en-US"/>
        </w:rPr>
      </w:pPr>
      <w:r>
        <w:rPr>
          <w:rFonts w:hint="eastAsia" w:ascii="宋体" w:hAnsi="宋体" w:eastAsia="宋体" w:cs="宋体"/>
          <w:color w:val="000000"/>
          <w:szCs w:val="21"/>
          <w:lang w:bidi="en-US"/>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bidi="en-US"/>
        </w:rPr>
        <w:t xml:space="preserve">响应单位（盖章）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color w:val="000000"/>
          <w:szCs w:val="21"/>
          <w:lang w:val="zh-CN" w:bidi="en-US"/>
        </w:rPr>
        <w:t xml:space="preserve">法定代表人或授权委托人：（签字或签章）</w:t>
      </w:r>
      <w:r>
        <w:rPr>
          <w:rFonts w:hint="eastAsia" w:ascii="宋体" w:hAnsi="宋体" w:eastAsia="宋体" w:cs="宋体"/>
          <w:b/>
          <w:bCs/>
          <w:color w:val="000000"/>
          <w:szCs w:val="21"/>
        </w:rPr>
      </w:r>
      <w:r/>
    </w:p>
    <w:p>
      <w:pPr>
        <w:pStyle w:val="1131"/>
        <w:spacing w:line="360" w:lineRule="auto"/>
        <w:rPr>
          <w:rFonts w:hint="eastAsia" w:ascii="宋体" w:hAnsi="宋体" w:eastAsia="宋体" w:cs="宋体"/>
          <w:b/>
          <w:bCs/>
          <w:color w:val="000000"/>
          <w:szCs w:val="21"/>
        </w:rPr>
      </w:pPr>
      <w:r>
        <w:rPr>
          <w:rFonts w:hint="eastAsia" w:ascii="宋体" w:hAnsi="宋体" w:eastAsia="宋体" w:cs="宋体"/>
          <w:bCs/>
          <w:color w:val="000000"/>
          <w:szCs w:val="21"/>
          <w:lang w:bidi="en-US"/>
        </w:rPr>
        <w:t xml:space="preserve">日期：</w:t>
      </w:r>
      <w:r>
        <w:rPr>
          <w:rFonts w:hint="eastAsia" w:ascii="宋体" w:hAnsi="宋体" w:eastAsia="宋体" w:cs="宋体"/>
          <w:b/>
          <w:bCs/>
          <w:color w:val="000000"/>
          <w:szCs w:val="21"/>
        </w:rPr>
      </w:r>
      <w:r/>
    </w:p>
    <w:p>
      <w:pPr>
        <w:pStyle w:val="1004"/>
        <w:spacing w:line="400" w:lineRule="exact"/>
        <w:rPr>
          <w:rFonts w:hint="eastAsia" w:ascii="宋体" w:hAnsi="宋体" w:eastAsia="宋体" w:cs="宋体"/>
          <w:color w:val="000000"/>
          <w:sz w:val="32"/>
          <w:szCs w:val="32"/>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格式11：中小企业声明函</w:t>
      </w:r>
      <w:r>
        <w:rPr>
          <w:rFonts w:hint="eastAsia" w:ascii="宋体" w:hAnsi="宋体" w:eastAsia="宋体" w:cs="宋体"/>
          <w:color w:val="000000"/>
          <w:sz w:val="32"/>
          <w:szCs w:val="32"/>
          <w:lang w:val="zh-CN"/>
        </w:rPr>
      </w:r>
      <w:r/>
    </w:p>
    <w:p>
      <w:pPr>
        <w:pStyle w:val="1004"/>
        <w:jc w:val="center"/>
        <w:spacing w:line="400" w:lineRule="exact"/>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r>
      <w:r/>
    </w:p>
    <w:p>
      <w:pPr>
        <w:pStyle w:val="1004"/>
        <w:jc w:val="center"/>
        <w:spacing w:line="400" w:lineRule="exact"/>
        <w:rPr>
          <w:rFonts w:hint="eastAsia" w:ascii="宋体" w:hAnsi="宋体" w:eastAsia="宋体" w:cs="宋体"/>
          <w:color w:val="000000"/>
          <w:sz w:val="32"/>
          <w:szCs w:val="32"/>
          <w:lang w:val="zh-CN"/>
        </w:rPr>
      </w:pPr>
      <w:r>
        <w:rPr>
          <w:rFonts w:hint="eastAsia" w:ascii="宋体" w:hAnsi="宋体" w:eastAsia="宋体" w:cs="宋体"/>
          <w:b/>
          <w:bCs/>
          <w:color w:val="000000"/>
          <w:sz w:val="28"/>
          <w:szCs w:val="28"/>
          <w:lang w:val="zh-CN"/>
        </w:rPr>
        <w:t xml:space="preserve">中小企业声明函</w:t>
      </w:r>
      <w:r>
        <w:rPr>
          <w:rFonts w:hint="eastAsia" w:ascii="宋体" w:hAnsi="宋体" w:eastAsia="宋体" w:cs="宋体"/>
          <w:color w:val="000000"/>
          <w:sz w:val="32"/>
          <w:szCs w:val="32"/>
          <w:lang w:val="zh-CN"/>
        </w:rPr>
      </w:r>
      <w:r/>
    </w:p>
    <w:p>
      <w:pPr>
        <w:pStyle w:val="1004"/>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本公司郑重声明， 根据《政府采购促进中小企业发展管理办法》（财库﹝2020﹞46 号） 的规定， 本公司参加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 的</w:t>
      </w:r>
      <w:r>
        <w:rPr>
          <w:rFonts w:hint="eastAsia" w:ascii="宋体" w:hAnsi="宋体" w:eastAsia="宋体" w:cs="宋体"/>
          <w:color w:val="000000"/>
          <w:sz w:val="21"/>
          <w:szCs w:val="21"/>
          <w:u w:val="single"/>
        </w:rPr>
        <w:t xml:space="preserve">苏州工业园区产教融合实践中心国产化实践教学课程与套件</w:t>
      </w:r>
      <w:r>
        <w:rPr>
          <w:rFonts w:hint="eastAsia" w:ascii="宋体" w:hAnsi="宋体" w:eastAsia="宋体" w:cs="宋体"/>
          <w:color w:val="000000"/>
          <w:sz w:val="21"/>
          <w:szCs w:val="21"/>
        </w:rPr>
        <w:t xml:space="preserve">采购活动，提供的货物全部由符合政策要求的中小企业制造。 具体情况如下：</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AI教育实验箱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人工智能教学及实验一体化软件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人工智能导论及实践实训软件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机器学习技术课程培训及实践实训软件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深度学习技术</w:t>
      </w:r>
      <w:r>
        <w:rPr>
          <w:rFonts w:hint="eastAsia" w:ascii="宋体" w:hAnsi="宋体" w:eastAsia="宋体" w:cs="宋体"/>
          <w:color w:val="000000"/>
          <w:sz w:val="21"/>
          <w:szCs w:val="21"/>
          <w:u w:val="single"/>
          <w:lang w:eastAsia="zh-CN"/>
        </w:rPr>
        <w:t xml:space="preserve">课程</w:t>
      </w:r>
      <w:r>
        <w:rPr>
          <w:rFonts w:hint="eastAsia" w:ascii="宋体" w:hAnsi="宋体" w:eastAsia="宋体" w:cs="宋体"/>
          <w:color w:val="000000"/>
          <w:sz w:val="21"/>
          <w:szCs w:val="21"/>
          <w:u w:val="single"/>
        </w:rPr>
        <w:t xml:space="preserve">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计算机视觉技术与应用课程培训及实践实训软件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语音识别技术与应用课程培训及实践实训软件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自然语言处理技术与应用课程培训及实践实训软件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实例分割应用综合案例实践课程及实训软件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人脸检测综合案例实践课程培训及实践实训软件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深度学习下的OCR技术综合案例实践课程培训及实践实训软件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文本情感分析和文本相似度应用综合案例实践课程培训及实践实训软件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基于知识库的问答系统综合案例实践软件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语音处理综合案例实践课程培训及实践实训软件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国产化AI框架开发高级工程师认证人课程培训及实践实训软件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大数据一体实验软件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数据采集与处理课程培训及实践实训软件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数据挖掘技术课程培训及实践实训软件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大数据流式计算课程培训及实践实训软件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数据可视化课程培训及实践实训软件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Hadoop大数据技术课程培训及实践实训软件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大数据工程师认证课程培训及实践软件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课程资源包</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金融风控数据预测软件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国产AI实训箱初级开发实践课程培训及实践实训软件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国产AI实训箱进阶应用开发实践课程培训及实践实训软件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大模型实训软件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大模型技术导论课程培训软件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生成式人工智能技术应用课程培训及实践实训软件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大模型技术原理课程培训及实践实训软件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实战大模型+智能编程课程培训及实践实训软件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实战大模型+数字媒体课程培训及实践实训软件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实训模块3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实训模块4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实训模块5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实训模块6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实训模块7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实训模块8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实训模块9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实训模块10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实训模块11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实训模块12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实训模块13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实训模块14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实训模块15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实训模块16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实训模块17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实训模块18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实训模块19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实训模块20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实训模块21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实训模块22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实训模块23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实训模块24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实训模块25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实训模块26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数通真机管理软件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数通工程师任职培训及实践实训软件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数通高级核心技术认证培训及实践实训软件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数通专家工程师认证实训软件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数通高级路由交换培训及实践实训软件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鸿蒙基础实验软件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移动应用开发基础</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鸿蒙</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移动应用开发进阶</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鸿蒙</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移动应用开发案例（鸿蒙） 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移动应用项目管理与开发实践（鸿蒙） 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鸿蒙设备开发基础培训及实践实训软件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分布式操作系统应用开发工程师认证课培训及实践实训软件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分布式操作系统设备开发工程师认证课培训及实践实训软件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分布式操作系统应用开发高级工程师认证课培训及实践实训软件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分布式操作系统设备开发高级工程师认证课培训及实践实训软件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《嵌入式系统与设计》</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鸿蒙</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《传感器原理及应用技术》</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鸿蒙</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《物联网识别技术》</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鸿蒙</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智能感知系统技术与应用培训及实践实训软件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计算平台部署与测试培训及实践实训软件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汽车视觉技术与应用培训及实践实训软件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鸿蒙实训套件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工程师认证开发板HM Nano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高级工程师认证开发板 HM Micro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鸿蒙智联场景应用实验箱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鸿蒙智能感知实训台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5G全网一站式训练软件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5G认证培训及实践实训软件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5G+AI分析挖掘实训软件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numPr>
          <w:ilvl w:val="0"/>
          <w:numId w:val="4"/>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5G无线技术及部署综合实训软件  </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工业</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 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 属</w:t>
      </w:r>
      <w:r>
        <w:rPr>
          <w:rFonts w:hint="eastAsia" w:ascii="宋体" w:hAnsi="宋体" w:eastAsia="宋体" w:cs="宋体"/>
          <w:color w:val="000000"/>
          <w:sz w:val="21"/>
          <w:szCs w:val="21"/>
          <w:u w:val="single"/>
        </w:rPr>
        <w:t xml:space="preserve">于（中型企业、小型企业、 微型企业）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 如有虚假，将依法承担相应责任。</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                 </w:t>
      </w:r>
      <w:r>
        <w:rPr>
          <w:rFonts w:hint="eastAsia" w:ascii="宋体" w:hAnsi="宋体" w:eastAsia="宋体" w:cs="宋体"/>
          <w:color w:val="000000"/>
          <w:sz w:val="21"/>
          <w:szCs w:val="21"/>
        </w:rPr>
      </w:r>
      <w:r/>
    </w:p>
    <w:p>
      <w:pPr>
        <w:pStyle w:val="1004"/>
        <w:ind w:firstLine="42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                 </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1004"/>
        <w:numPr>
          <w:ilvl w:val="0"/>
          <w:numId w:val="5"/>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2、中小企业划分标准详见工信部联企业〔2011〕300号通知中的《中小企业划型标准规定》。</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line="48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格式12：残疾人福利性单位声明函</w:t>
      </w:r>
      <w:r>
        <w:rPr>
          <w:rFonts w:hint="eastAsia" w:ascii="宋体" w:hAnsi="宋体" w:eastAsia="宋体" w:cs="宋体"/>
          <w:b/>
          <w:bCs/>
          <w:color w:val="000000"/>
          <w:sz w:val="21"/>
          <w:szCs w:val="21"/>
        </w:rPr>
      </w:r>
      <w:r/>
    </w:p>
    <w:p>
      <w:pPr>
        <w:pStyle w:val="1004"/>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jc w:val="center"/>
        <w:spacing w:line="480" w:lineRule="atLeast"/>
        <w:rPr>
          <w:rFonts w:hint="eastAsia" w:ascii="宋体" w:hAnsi="宋体" w:eastAsia="宋体" w:cs="宋体"/>
          <w:color w:val="000000"/>
          <w:sz w:val="21"/>
          <w:szCs w:val="21"/>
        </w:rPr>
      </w:pPr>
      <w:r>
        <w:rPr>
          <w:rFonts w:hint="eastAsia" w:ascii="宋体" w:hAnsi="宋体" w:eastAsia="宋体" w:cs="宋体"/>
          <w:b/>
          <w:bCs/>
          <w:color w:val="000000"/>
          <w:sz w:val="28"/>
          <w:szCs w:val="28"/>
        </w:rPr>
        <w:t xml:space="preserve">残疾人福利性单位声明函</w:t>
      </w:r>
      <w:r>
        <w:rPr>
          <w:rFonts w:hint="eastAsia" w:ascii="宋体" w:hAnsi="宋体" w:eastAsia="宋体" w:cs="宋体"/>
          <w:color w:val="000000"/>
          <w:sz w:val="21"/>
          <w:szCs w:val="21"/>
        </w:rPr>
      </w:r>
      <w:r/>
    </w:p>
    <w:p>
      <w:pPr>
        <w:pStyle w:val="1004"/>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1004"/>
        <w:ind w:firstLine="420"/>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rPr>
          <w:rFonts w:hint="eastAsia" w:ascii="宋体" w:hAnsi="宋体" w:eastAsia="宋体" w:cs="宋体"/>
          <w:color w:val="000000"/>
          <w:sz w:val="21"/>
          <w:szCs w:val="21"/>
        </w:rPr>
      </w:r>
      <w:r/>
    </w:p>
    <w:p>
      <w:pPr>
        <w:pStyle w:val="1004"/>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jc w:val="right"/>
        <w:spacing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单位名称（盖章）：</w:t>
      </w:r>
      <w:r>
        <w:rPr>
          <w:rFonts w:hint="eastAsia" w:ascii="宋体" w:hAnsi="宋体" w:eastAsia="宋体" w:cs="宋体"/>
          <w:color w:val="000000"/>
          <w:sz w:val="21"/>
          <w:szCs w:val="21"/>
        </w:rPr>
      </w:r>
      <w:r/>
    </w:p>
    <w:p>
      <w:pPr>
        <w:pStyle w:val="1004"/>
        <w:jc w:val="right"/>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  期：</w:t>
      </w: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格式13：响应保证承诺书</w:t>
      </w:r>
      <w:r>
        <w:rPr>
          <w:rFonts w:hint="eastAsia" w:ascii="宋体" w:hAnsi="宋体" w:eastAsia="宋体" w:cs="宋体"/>
          <w:b/>
          <w:bCs/>
          <w:color w:val="000000"/>
          <w:sz w:val="21"/>
          <w:szCs w:val="21"/>
        </w:rPr>
      </w:r>
      <w:r/>
    </w:p>
    <w:p>
      <w:pPr>
        <w:pStyle w:val="1004"/>
        <w:jc w:val="center"/>
        <w:spacing w:before="100" w:after="100" w:line="48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1004"/>
        <w:jc w:val="center"/>
        <w:spacing w:before="100" w:after="100" w:line="480" w:lineRule="atLeast"/>
        <w:rPr>
          <w:rFonts w:hint="eastAsia" w:ascii="宋体" w:hAnsi="宋体" w:eastAsia="宋体" w:cs="宋体"/>
          <w:color w:val="000000"/>
          <w:sz w:val="21"/>
          <w:szCs w:val="21"/>
        </w:rPr>
      </w:pPr>
      <w:r>
        <w:rPr>
          <w:rFonts w:hint="eastAsia" w:ascii="宋体" w:hAnsi="宋体" w:eastAsia="宋体" w:cs="宋体"/>
          <w:b/>
          <w:bCs/>
          <w:color w:val="000000"/>
          <w:sz w:val="28"/>
          <w:szCs w:val="28"/>
        </w:rPr>
        <w:t xml:space="preserve">响应保证承诺书</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苏州市卫康招投标咨询服务有限公司</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我单位自愿参加</w:t>
      </w:r>
      <w:r>
        <w:rPr>
          <w:rFonts w:hint="eastAsia" w:ascii="宋体" w:hAnsi="宋体" w:eastAsia="宋体" w:cs="宋体"/>
          <w:color w:val="000000"/>
          <w:sz w:val="21"/>
          <w:szCs w:val="21"/>
          <w:u w:val="single"/>
        </w:rPr>
        <w:t xml:space="preserve"> （项目名称和采购编号）</w:t>
      </w:r>
      <w:r>
        <w:rPr>
          <w:rFonts w:hint="eastAsia" w:ascii="宋体" w:hAnsi="宋体" w:eastAsia="宋体" w:cs="宋体"/>
          <w:color w:val="000000"/>
          <w:sz w:val="21"/>
          <w:szCs w:val="21"/>
        </w:rPr>
        <w:t xml:space="preserve">的投标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并做出如下承诺：</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一、除不可抗力外，我单位如果发生以下行为，将在行为发生的10个工作日内，向贵方支付本招标文件公布的预算金额的2%作为违约赔偿金。</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1.自投标截止时间至本项目发布中标公告为止，撤销投标；</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2.中标后不依法与采购人签订合同；</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3.中标后不按本招标文件规定向采购人提交履约保证金；</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4.中标后不按本招标文件规定向贵方缴纳采购代理费。</w:t>
      </w:r>
      <w:r>
        <w:rPr>
          <w:rFonts w:hint="eastAsia" w:ascii="宋体" w:hAnsi="宋体" w:eastAsia="宋体" w:cs="宋体"/>
          <w:color w:val="000000"/>
          <w:sz w:val="21"/>
          <w:szCs w:val="21"/>
        </w:rPr>
      </w:r>
      <w:r/>
    </w:p>
    <w:p>
      <w:pPr>
        <w:pStyle w:val="1004"/>
        <w:ind w:firstLine="420"/>
        <w:spacing w:before="100" w:after="100" w:line="4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二、我单位知晓上述行为的法律后果，承认本承诺书作为贵方要求我单位履行违约赔偿义务的依据作用。</w:t>
      </w:r>
      <w:r>
        <w:rPr>
          <w:rFonts w:hint="eastAsia" w:ascii="宋体" w:hAnsi="宋体" w:eastAsia="宋体" w:cs="宋体"/>
          <w:color w:val="000000"/>
          <w:sz w:val="21"/>
          <w:szCs w:val="21"/>
        </w:rPr>
      </w:r>
      <w:r/>
    </w:p>
    <w:p>
      <w:pPr>
        <w:pStyle w:val="1004"/>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（盖公章）</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电子邮件：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法定代表人或委托代理人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签字或签章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left="480"/>
        <w:spacing w:before="100" w:after="100" w:line="48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04"/>
        <w:jc w:val="center"/>
        <w:spacing w:line="360" w:lineRule="auto"/>
        <w:tabs>
          <w:tab w:val="left" w:pos="1320" w:leader="none"/>
        </w:tabs>
        <w:rPr>
          <w:rFonts w:hint="eastAsia" w:ascii="宋体" w:hAnsi="宋体" w:eastAsia="宋体" w:cs="宋体"/>
          <w:b/>
          <w:color w:val="000000"/>
          <w:sz w:val="36"/>
          <w:szCs w:val="36"/>
        </w:rPr>
      </w:pPr>
      <w:r>
        <w:rPr>
          <w:rFonts w:hint="eastAsia" w:ascii="宋体" w:hAnsi="宋体" w:eastAsia="宋体" w:cs="宋体"/>
          <w:b/>
          <w:color w:val="000000"/>
          <w:sz w:val="32"/>
          <w:szCs w:val="32"/>
        </w:rPr>
        <w:t xml:space="preserve">第四章  采购书</w:t>
      </w:r>
      <w:r>
        <w:rPr>
          <w:rFonts w:hint="eastAsia" w:ascii="宋体" w:hAnsi="宋体" w:eastAsia="宋体" w:cs="宋体"/>
          <w:b/>
          <w:color w:val="000000"/>
          <w:sz w:val="36"/>
          <w:szCs w:val="36"/>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受苏州工业园区服务外包职业学院的委托，苏州市卫康招投标咨询服务有限公司作为采购代理机构，就其拟采购的苏州工业园区产教融合实践中心国产化实践教学课程与套件进行国内公开招标。</w:t>
      </w:r>
      <w:r>
        <w:rPr>
          <w:rFonts w:hint="eastAsia" w:ascii="宋体" w:hAnsi="宋体" w:eastAsia="宋体" w:cs="宋体"/>
          <w:color w:val="000000"/>
          <w:sz w:val="21"/>
        </w:rPr>
        <w:t xml:space="preserve">欢迎符合招标公告资格条件的供应商前来报名参加投标。</w:t>
      </w:r>
      <w:r>
        <w:rPr>
          <w:rFonts w:hint="eastAsia" w:ascii="宋体" w:hAnsi="宋体" w:eastAsia="宋体" w:cs="宋体"/>
          <w:color w:val="000000"/>
          <w:sz w:val="21"/>
          <w:szCs w:val="21"/>
        </w:rPr>
      </w:r>
      <w:r/>
    </w:p>
    <w:p>
      <w:pPr>
        <w:pStyle w:val="1123"/>
        <w:ind w:firstLine="422"/>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一、项目编号：</w:t>
      </w:r>
      <w:r>
        <w:rPr>
          <w:rFonts w:hint="eastAsia" w:ascii="宋体" w:hAnsi="宋体" w:eastAsia="宋体" w:cs="宋体"/>
          <w:color w:val="000000"/>
          <w:sz w:val="21"/>
          <w:szCs w:val="21"/>
        </w:rPr>
        <w:t xml:space="preserve">JSZC-320591-SZWK-G2024-0397号</w:t>
      </w:r>
      <w:r>
        <w:rPr>
          <w:rFonts w:hint="eastAsia" w:ascii="宋体" w:hAnsi="宋体" w:eastAsia="宋体" w:cs="宋体"/>
          <w:b/>
          <w:bCs/>
          <w:color w:val="000000"/>
          <w:sz w:val="21"/>
          <w:szCs w:val="21"/>
        </w:rPr>
      </w:r>
      <w:r/>
    </w:p>
    <w:p>
      <w:pPr>
        <w:pStyle w:val="1123"/>
        <w:ind w:firstLine="422"/>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二、项目名称：</w:t>
      </w:r>
      <w:r>
        <w:rPr>
          <w:rFonts w:hint="eastAsia" w:ascii="宋体" w:hAnsi="宋体" w:eastAsia="宋体" w:cs="宋体"/>
          <w:color w:val="000000"/>
          <w:sz w:val="21"/>
          <w:szCs w:val="21"/>
        </w:rPr>
        <w:t xml:space="preserve">苏州工业园区产教融合实践中心国产化实践教学课程与套件</w:t>
      </w:r>
      <w:r>
        <w:rPr>
          <w:rFonts w:hint="eastAsia" w:ascii="宋体" w:hAnsi="宋体" w:eastAsia="宋体" w:cs="宋体"/>
          <w:b/>
          <w:bCs/>
          <w:color w:val="000000"/>
          <w:sz w:val="21"/>
          <w:szCs w:val="21"/>
        </w:rPr>
      </w:r>
      <w:r/>
    </w:p>
    <w:p>
      <w:pPr>
        <w:pStyle w:val="1123"/>
        <w:ind w:firstLine="422"/>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三、预算金额：</w:t>
      </w:r>
      <w:r>
        <w:rPr>
          <w:rFonts w:hint="eastAsia" w:ascii="宋体" w:hAnsi="宋体" w:eastAsia="宋体" w:cs="宋体"/>
          <w:b w:val="0"/>
          <w:bCs w:val="0"/>
          <w:i w:val="0"/>
          <w:iCs w:val="0"/>
          <w:color w:val="000000"/>
          <w:sz w:val="21"/>
          <w:szCs w:val="21"/>
          <w:lang w:val="en-US" w:eastAsia="zh-CN"/>
        </w:rPr>
        <w:t xml:space="preserve">1045.00</w:t>
      </w:r>
      <w:r>
        <w:rPr>
          <w:rFonts w:hint="eastAsia" w:ascii="宋体" w:hAnsi="宋体" w:eastAsia="宋体" w:cs="宋体"/>
          <w:b w:val="0"/>
          <w:bCs w:val="0"/>
          <w:i w:val="0"/>
          <w:iCs w:val="0"/>
          <w:color w:val="000000"/>
          <w:sz w:val="21"/>
          <w:szCs w:val="21"/>
        </w:rPr>
        <w:t xml:space="preserve">万元</w:t>
      </w:r>
      <w:r>
        <w:rPr>
          <w:rFonts w:hint="eastAsia" w:ascii="宋体" w:hAnsi="宋体" w:eastAsia="宋体" w:cs="宋体"/>
          <w:b/>
          <w:bCs/>
          <w:color w:val="000000"/>
          <w:sz w:val="21"/>
          <w:szCs w:val="21"/>
        </w:rPr>
      </w:r>
      <w:r/>
    </w:p>
    <w:p>
      <w:pPr>
        <w:pStyle w:val="1123"/>
        <w:ind w:firstLine="422"/>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四、建设要求：</w:t>
      </w:r>
      <w:r>
        <w:rPr>
          <w:rFonts w:hint="eastAsia" w:ascii="宋体" w:hAnsi="宋体" w:eastAsia="宋体" w:cs="宋体"/>
          <w:b/>
          <w:bCs/>
          <w:color w:val="000000"/>
          <w:sz w:val="21"/>
          <w:szCs w:val="21"/>
        </w:rPr>
      </w:r>
      <w:r/>
    </w:p>
    <w:p>
      <w:pPr>
        <w:pStyle w:val="1004"/>
        <w:ind w:firstLine="420"/>
        <w:jc w:val="both"/>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次项目的建设目标为学校国产化实训室建设，实训室建设涉及多个技术方向：AI及大模型教学及实验实训室建设、大数据及鸿蒙实训室建设、新一代数据通信技术实训室建设和国产化实训一体平台构建。采购内容用以支撑苏州工业园区产教融合实践中心的教学与科研活动。</w:t>
      </w:r>
      <w:r>
        <w:rPr>
          <w:rFonts w:hint="eastAsia" w:ascii="宋体" w:hAnsi="宋体" w:eastAsia="宋体" w:cs="宋体"/>
          <w:color w:val="000000"/>
          <w:sz w:val="21"/>
          <w:szCs w:val="21"/>
        </w:rPr>
      </w:r>
      <w:r/>
    </w:p>
    <w:p>
      <w:pPr>
        <w:pStyle w:val="1123"/>
        <w:ind w:firstLine="422"/>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五、采购需求：</w:t>
      </w:r>
      <w:r>
        <w:rPr>
          <w:rFonts w:hint="eastAsia" w:ascii="宋体" w:hAnsi="宋体" w:eastAsia="宋体" w:cs="宋体"/>
          <w:b/>
          <w:bCs/>
          <w:color w:val="000000"/>
          <w:sz w:val="21"/>
          <w:szCs w:val="21"/>
        </w:rPr>
      </w:r>
      <w:r/>
    </w:p>
    <w:p>
      <w:pPr>
        <w:pStyle w:val="1004"/>
        <w:ind w:firstLine="422"/>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（一）采购清单及配置要求</w:t>
      </w:r>
      <w:r>
        <w:rPr>
          <w:rFonts w:hint="eastAsia" w:ascii="宋体" w:hAnsi="宋体" w:eastAsia="宋体" w:cs="宋体"/>
          <w:b/>
          <w:bCs/>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3"/>
        <w:gridCol w:w="1167"/>
        <w:gridCol w:w="5950"/>
        <w:gridCol w:w="500"/>
        <w:gridCol w:w="506"/>
      </w:tblGrid>
      <w:tr>
        <w:trPr>
          <w:trHeight w:val="2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b/>
                <w:bCs/>
                <w:color w:val="000000"/>
                <w:sz w:val="20"/>
              </w:rPr>
            </w:pPr>
            <w:r>
              <w:rPr>
                <w:rFonts w:hint="eastAsia" w:ascii="宋体" w:hAnsi="宋体" w:eastAsia="宋体" w:cs="宋体"/>
                <w:b/>
                <w:bCs/>
                <w:color w:val="000000"/>
                <w:sz w:val="20"/>
              </w:rPr>
              <w:t xml:space="preserve">序号</w:t>
            </w:r>
            <w:r>
              <w:rPr>
                <w:rFonts w:hint="eastAsia" w:ascii="宋体" w:hAnsi="宋体" w:eastAsia="宋体" w:cs="宋体"/>
                <w:b/>
                <w:bCs/>
                <w:color w:val="000000"/>
                <w:sz w:val="20"/>
              </w:rPr>
            </w:r>
            <w:r/>
          </w:p>
        </w:tc>
        <w:tc>
          <w:tcPr>
            <w:tcBorders>
              <w:top w:val="singl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b/>
                <w:bCs/>
                <w:color w:val="000000"/>
                <w:sz w:val="20"/>
              </w:rPr>
            </w:pPr>
            <w:r>
              <w:rPr>
                <w:rFonts w:hint="eastAsia" w:ascii="宋体" w:hAnsi="宋体" w:eastAsia="宋体" w:cs="宋体"/>
                <w:b/>
                <w:bCs/>
                <w:color w:val="000000"/>
                <w:sz w:val="20"/>
              </w:rPr>
              <w:t xml:space="preserve">名称</w:t>
            </w:r>
            <w:r>
              <w:rPr>
                <w:rFonts w:hint="eastAsia" w:ascii="宋体" w:hAnsi="宋体" w:eastAsia="宋体" w:cs="宋体"/>
                <w:b/>
                <w:bCs/>
                <w:color w:val="000000"/>
                <w:sz w:val="20"/>
              </w:rPr>
            </w:r>
            <w:r/>
          </w:p>
        </w:tc>
        <w:tc>
          <w:tcPr>
            <w:tcBorders>
              <w:top w:val="singl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jc w:val="center"/>
              <w:rPr>
                <w:rFonts w:hint="eastAsia" w:ascii="宋体" w:hAnsi="宋体" w:eastAsia="宋体" w:cs="宋体"/>
                <w:b/>
                <w:bCs/>
                <w:color w:val="000000"/>
                <w:sz w:val="20"/>
              </w:rPr>
            </w:pPr>
            <w:r>
              <w:rPr>
                <w:rFonts w:hint="eastAsia" w:ascii="宋体" w:hAnsi="宋体" w:eastAsia="宋体" w:cs="宋体"/>
                <w:b/>
                <w:bCs/>
                <w:color w:val="000000"/>
                <w:sz w:val="20"/>
              </w:rPr>
              <w:t xml:space="preserve">技术参数</w:t>
            </w:r>
            <w:r>
              <w:rPr>
                <w:rFonts w:hint="eastAsia" w:ascii="宋体" w:hAnsi="宋体" w:eastAsia="宋体" w:cs="宋体"/>
                <w:b/>
                <w:bCs/>
                <w:color w:val="000000"/>
                <w:sz w:val="20"/>
              </w:rPr>
            </w:r>
            <w:r/>
          </w:p>
        </w:tc>
        <w:tc>
          <w:tcPr>
            <w:tcBorders>
              <w:top w:val="singl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b/>
                <w:bCs/>
                <w:color w:val="000000"/>
                <w:sz w:val="20"/>
              </w:rPr>
            </w:pPr>
            <w:r>
              <w:rPr>
                <w:rFonts w:hint="eastAsia" w:ascii="宋体" w:hAnsi="宋体" w:eastAsia="宋体" w:cs="宋体"/>
                <w:b/>
                <w:bCs/>
                <w:color w:val="000000"/>
                <w:sz w:val="20"/>
              </w:rPr>
              <w:t xml:space="preserve">单位</w:t>
            </w:r>
            <w:r>
              <w:rPr>
                <w:rFonts w:hint="eastAsia" w:ascii="宋体" w:hAnsi="宋体" w:eastAsia="宋体" w:cs="宋体"/>
                <w:b/>
                <w:bCs/>
                <w:color w:val="000000"/>
                <w:sz w:val="20"/>
              </w:rPr>
            </w:r>
            <w:r/>
          </w:p>
        </w:tc>
        <w:tc>
          <w:tcPr>
            <w:tcBorders>
              <w:top w:val="singl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b/>
                <w:bCs/>
                <w:color w:val="000000"/>
                <w:sz w:val="20"/>
              </w:rPr>
            </w:pPr>
            <w:r>
              <w:rPr>
                <w:rFonts w:hint="eastAsia" w:ascii="宋体" w:hAnsi="宋体" w:eastAsia="宋体" w:cs="宋体"/>
                <w:b/>
                <w:bCs/>
                <w:color w:val="000000"/>
                <w:sz w:val="20"/>
              </w:rPr>
              <w:t xml:space="preserve">数量</w:t>
            </w:r>
            <w:r>
              <w:rPr>
                <w:rFonts w:hint="eastAsia" w:ascii="宋体" w:hAnsi="宋体" w:eastAsia="宋体" w:cs="宋体"/>
                <w:b/>
                <w:bCs/>
                <w:color w:val="000000"/>
                <w:sz w:val="20"/>
              </w:rPr>
            </w:r>
            <w:r/>
          </w:p>
        </w:tc>
      </w:tr>
      <w:tr>
        <w:trPr>
          <w:trHeight w:val="26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AI教育实验箱</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1、设备整体尺寸不小于0.4m*0.3m*0.09m。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2、设备AI处理器提供至少1个AI Core，主频不低于500MHz，不少于2个处理器核，主频不低于 1.0GHz。</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3、设备主板提供AI算力不低于：半精度（FP16）：4TFLOPS，整数精度（INT8）：8TOPS。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4、设备支持LPDDR4X内存类型、位宽：64bit、容量不低于：4GB、速率不低于：4266Mbps、支持ECC。</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5、设备内置SPI Flash，容量不低于64MB，提供至少1个MicroSD卡接口，类型为SD3.0，向下兼容SD2.0标准。提供M.2Key-M连接器，可扩展M.2 2242/2280形态SSD，支持NVMe。</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6、设备支持多种规格的H.264、H.265视频编解码，支持不低于10路1080P 30fps的视频解码，不低于10路1080P 30fps的视频编码，适用于用户不同的视频处理需求。</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7、设备提供丰富的外设接口，满足多种产品形态开发需求。至少包括USB TypeA接口2个、USB TypeC接口1个、千兆网口1个。【需提供功能截图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★8、设备支持国产化操作系统、Ubuntu操作系统，支持国产化AI深度学习框架，支持CCE/CCE Compiler Tool编译工具。【需提供功能截图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9、设备整机采用铝合金面板机箱，整机集成不低于15寸高清显示屏、键盘、无线鼠标，标配防撞脚垫、橡胶/塑料把手，机箱内部支持摄像头、麦克风阵列、鼠标、实验道具等物品的收纳。</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10、设备配备不低于1080P USB免驱摄像头，附带夹具，可直接安装在屏幕上方使用。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11、设备配备麦克风环形阵列，支持远近场声源识别，拾音距离3.0M以上，支持Linux系统串口控制和直接读取音频，支持普通话和英语，支持多唤醒词，支持音频降噪、回声消除。</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12、设备提供图像风格迁移体验应用，支持使用相关图像卡通化模型对输入图片进行卡通化处理。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13、通过网站提供语音、图像与视频等多种数据分析与推理计算案例不低于45个，提供场景案例不低于4个，可供用户下载相关项目代码、技术手册。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14、设备预置计算机视觉算法应用，至少包含AI图片分类、目标检测、图像分割等应用，支持对输入的图像及视频内容进行识别。</w:t>
            </w:r>
            <w:r>
              <w:rPr>
                <w:rFonts w:hint="eastAsia" w:ascii="宋体" w:hAnsi="宋体" w:eastAsia="宋体" w:cs="宋体"/>
                <w:color w:val="000000"/>
                <w:sz w:val="20"/>
              </w:rPr>
              <w:br w:type="textWrapping" w:clear="all"/>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10</w:t>
            </w:r>
            <w:r>
              <w:rPr>
                <w:rFonts w:hint="eastAsia" w:ascii="宋体" w:hAnsi="宋体" w:eastAsia="宋体" w:cs="宋体"/>
                <w:color w:val="000000"/>
                <w:sz w:val="20"/>
              </w:rPr>
            </w:r>
            <w:r/>
          </w:p>
        </w:tc>
      </w:tr>
      <w:tr>
        <w:trPr>
          <w:trHeight w:val="495"/>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人工智能教学及实验一体化软件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基础实验模块：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平台架构</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1.整体架构为 B/S 架构，基于微服务架构进行服务器部署，支持Chrome等浏览器用户端访问。系统并发用户数≥100。</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2.平台能够通过建立多个资源库和一系列微服务对平台资源进行分类管理，并通过调用微服务的接口，以及不同的整合方式，以服务的形式展现给用户。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3.支持被学校已有教学平台集成，可向已有教学平台开放课程、实验等教学资源，学员可以在已有教学平台上，免</w:t>
            </w:r>
            <w:r>
              <w:rPr>
                <w:rFonts w:hint="eastAsia" w:ascii="宋体" w:hAnsi="宋体" w:eastAsia="宋体" w:cs="宋体"/>
                <w:color w:val="000000"/>
                <w:sz w:val="20"/>
                <w:lang w:eastAsia="zh-CN"/>
              </w:rPr>
              <w:t xml:space="preserve">登录</w:t>
            </w:r>
            <w:r>
              <w:rPr>
                <w:rFonts w:hint="eastAsia" w:ascii="宋体" w:hAnsi="宋体" w:eastAsia="宋体" w:cs="宋体"/>
                <w:color w:val="000000"/>
                <w:sz w:val="20"/>
              </w:rPr>
              <w:t xml:space="preserve">访问被集成的教学资源。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用户管理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1.支持管理员创建、删除、修改、查询学员账号，账号信息包含账号、姓名、学号/工号、组织信息、手机号、邮箱、备注说明等。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2.支持教师批量导入学员账号，批量重置学员账号密码。</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3.支持管理员创建、删除、修改、查询组织，并将学员加入到组织，可以通过组织对学员进行快速管理，最多可创建5级子组织。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4.支持创建组织结构，通过组织对学员进行快速管理，最多可创建5级子组织。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5.支持管理员创建、删除、修改、查询管理员、教师账号，账号信息包含账号、姓名、学号/工号、角色、管理范围（组织）、手机号、邮箱、备注说明等。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资源管理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★6.平台支持创建和管理：物理设备、模拟器、云实验、实验箱4类实验所需的实验资源【需提供功能截图】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7.支持创建和管理拓扑：支持创建、编辑、预览、删除、管理物理设备组的图形化逻辑拓扑。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通过关联拓扑快速创建物理设备实验所需的设备池、设备组资源，快捷纳管、访问、初始化物理设备资源。9.支持监控实验环境（容器或虚拟机），包括实验环境规格、实验环境模板、开始时间、实验时长、实验名称、关联账号等，并支持管理员强制下线实验环境。</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10.支持技术方向管理，并将实验资源关联到技术方向。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系统设置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11.支持对平台进行基础设置，包括首次登录是否强制修改密码、可登录次数、账号锁定时间、验证码有效期、账号有效期、账号初始密码等。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12.支持配置账号弱口令，学员及教师无法将账号密码设置为弱口令。</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13.支持自定义网站消息，包括Logo、网站名称、网站介绍、版权信息等。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日志管理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14.支持查询系统操作日志，包括操作名称、危险级别、操作员、时间、模块、操作对象、IP、结果、详情等。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15.支持查询系统安全日志，包括操作名称、危险级别、操作员、时间、模块、操作对象、IP、结果、详情等。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学员管理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1.支持教师创建、删除、修改、查询学员账号，账号信息包含账号、姓名、学号/工号、组织信息、手机号、邮箱、备注说明等。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2.支持教师批量导入学员账号，批量重置学员账号密码。</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班级管理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3.支持教师创建、编辑、预览、发布、查询、删除班级，班级中支持配置教师和学员，以及配置班级的标准实验、自主实验、课程、云账号等资源。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课程管理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1.支持创建、编辑、预览、发布、复制、删除课程，课程可按卡片式和列表式进行切换呈现。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2.支持对课程名称、课程学时、课程简介、课程目标、课程封面、目标学员等基本信息的编辑；支持章/节/小节3级课程目录结构，支持对课程目录进行修改与调序。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★3.支持课程创建添加图文、视频、实验、测一测等内容；支持不同的课程章节自定义不同的创课效果。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4.支持创建、编辑、删除课程库，支持通过课程库对课程进行分类管理。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课程素材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5.支持上传ppt、pdf、mp4、doc、excel等格式的课程素材；支持编辑、修改课程素材名称。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6.支持创建、编辑、删除素材库。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7.支持素材上传时选择不同素材库，通过素材库对课程素材进行分类管理。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8.支持创建、预览、发布、删除实验，支持按照实验名称、技术方向、实验类型、实验环境等检索实验。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9.支持物理设备、模拟器、云实验、实验箱4种类型实验的创建与管理。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10.支持不同类型实验启动不同实验环境及调取实验数据。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11.支持创建标准实验，标准实验包含实验手册，学员根据实验手册指导完成实验。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12.支持创建自主实验，自主实验不含实验手册，学员可以脱离实验手册，并自定义实验环境进行自主实验，培养学员实践探究能力。</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13.支持实验过程中，学员通过截屏和输入笔记生成实验报告。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14.支持实验结束，教师查看全部实验报告，并给实验报告评分。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实验预约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★15. 支持预约物理设备实验：教师可为指定班级或学员，设置物理设备实验资源、实验时间，自动生成实验预约日程，为学员拟定实训计划。对于已预约的实验自动生成实验任务，含预约名称、实验名称、设备池名称、预约目的等；支持实验任务延时、释放、分享，可便捷管理预约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16.支持即时查阅实验预约排期：含可预约时间、已预约时间、与他人预约冲突时间，可灵活调整实验预约排期；学员可按预约实验、日程进行实训。</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17.实验配置恢复：支持对已预约的实验进行物理设备“配置恢复”操作，完成实验配置初始化。</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18.支持查看历史预约任务与详情，支持按预约名称、班级、预约人等搜索查询。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19. 支持一键快捷预约实验。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实验素材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20.支持本地导入实验视频和资料，支持pdf、mp4、zip等格式；支持在线修改实验素材名称。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知识点管理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1.支持创建、删除、修改、查询知识点。</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2.支持将知识点和题目进行关联。</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题目管理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3.支持创建、删除、修改、预览题目，支持单选题、多选题、判断题、填空题、主观题5种题型，题目支持设置默认分值、关联知识点、正确答案、答案解析等。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4.支持创建、修改、删除、移动试题库，支持通过题库对题目进行归类管理。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5.支持在组卷时通过题库快速筛选定位试题，高效组卷。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理论试卷管理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6.支持创建、编辑、预览、复制和删除理论试卷；支持根据试卷名称、组卷类型、创建人等信息检索试卷。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7.支持锁定考试编辑权限，锁定后，仅创建者可编辑修改试卷。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8.支持创建、修改、删除、移动理论试卷库，支持通过试卷库对试卷进行归类管理。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9.支持在创建理论考试时，通过试卷库筛选定位试卷，快速关联试卷。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10.支持固定组卷，教师从题库中人工挑选题目组成试卷。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11.支持随机组卷，系统根据设置的题库、难度、知识点等规则，从题库中自动挑选题目组成试卷，包括分库抽题和多库混合式抽题两种模式。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12.支持灵活设置计分规则、题目顺序、及格分等。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实验试卷管理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13.支持创建、编辑、预览、复制和删除实验试卷；支持根据试卷名称、技术方向检索试卷。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14.支持锁定实验试卷编辑权限，锁定后，仅创建者可编辑修改实验试卷。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15.支持创建、修改、删除、移动实验试卷库，支持通过试卷库对试卷进行归类管理。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16. 支持两种实验试卷创建模式：富文本编辑模式和上传PDF文件模式。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理论考试管理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18.支持教师创建理论考试，可对考试名称、考试封面、考试简介、考试时间、考试时长、考试次数以及考试策略等进行设置。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19.支持创建理论考试时关联单份试卷或多份试卷，可进行标准化考试或A/B卷考试，满足不同考试场景需求。【需提供功能截图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20.支持教师设置考试防作弊措施，防作弊规则包括：题目乱序、答案乱序；支持内容不可复制、禁止使用F12，支持防切屏，支持设置最多允许切屏次数。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21.支持教师设置是否允许考生查看考试成绩、答题结果、答案解析等。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22.支持教师查看理论考试列表，可按照考试名称、发布状态、考试有效期等信息进行检索。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23.支持教师对考试进行批阅，可查看已交卷学员基本信息及历次考试记录，批阅结果系统自动核算；支持重新批阅。</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24.支持教师查看班级整体考试情况，包括应考人数、实考人数、参考率、及格率、最高分、最低分、平均分、平均次数、平均时长等信息；支持导出统计结果。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25.支持教师查看班级所有考生成绩详情，包括学员姓名、最高成绩、平均成绩、最近三次考试成绩；支持导出统计结果。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26.支持教师查看班级习题统计，包括每一道试题答题人次、正确人次、正确率以及答题详情；支持导出统计结果。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27.支持学生参加考试、查看考试结果、查看答案解析；支持系统自动评分。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28.支持考试倒计时功能，考生可提前交卷，也可以计时结束后自动交卷。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29.支持考试过程中开启全程防作弊：多次切屏后自动交卷，使用复制、F12按键时自动失效。</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30.支持考试过程中，考生通过答题卡快速定位试题；系统支持显示当前已答、未答和存疑题数。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实验考试管理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31.支持教师创建实验考试，可对考试名称、考试封面、编辑权限、考试简介、考试时间、考试时长、考试次数以及考试成绩等进行自定义设置。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32.支持为实验考试配置实验资源：含容器、虚拟机实验环境，及其关联的实验资源。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33.支持创建实验考试时，关联1份或多份试卷，以进行标准化考试或A/B卷考试，满足不同考试场景。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34.支持教师设置考试结果是否显示成绩。</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35.支持教师查看实验考试列表，可按照考试名称、技术方向、发布状态等信息进行检索。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36.支持教师查看班级整体考试情况，包括班级应考人数、实考人数、参考率、及格率、最高分、最低分、平均分、实验平均时长等信息；支持导出统计结果。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37.支持教师查看班级所有考生成绩详情，包括学员姓名、最佳成绩、平均成绩、最近三次考试成绩；支持导出统计结果。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38.支持教师根据考试查看考生成绩详情，包括学员姓名、账号、班级、已考次数、最高分、总分、考试结果、考试状态等信息；支持按学员姓名、账号、班级检索。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39.支持学生参加实验考试、查看考试结果；支持通过上传阅卷脚本实施自动化阅卷评分。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40.支持实验考试倒计时功能，考生可提前交卷，也可以计时结束后自动交卷。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41.支持在实验考试过程中，考生通过实验菜单快速定位试题。</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作业管理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42.支持课前课后作业设置，包括作业创建、预览、编辑、复制、发布、删除及关联课程等操作；支持编辑作业名称及封面、关联试卷，设置作业时间和作答次数。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43.支持教师查看作业列表，可按照作业名称、发布状态、作业有效期等信息进行检索。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44.支持教师对作业进行批阅，可查看已交卷学员基本信息及历次作业记录，批阅结果系统自动核算；支持重新批阅。</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45.支持教师查看学员作业统计，包括班级学员成绩详情和试题统计详情。</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46.支持教师查看学员作业累计成绩、最高分、平均分，以综合评估学员课业完成情况。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47.支持学生查看作业列表并在线答题，查看作业记录，包括作答提交时间、答题时长、得分、通过情况等；支持多次作答。</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证书管理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1.支持设置证书信息和发放规则，学员按要求完成学习或考试，可自动获得结课或结业证书。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2.支持创建、编辑、预览、发布、删除、撤销、管理证书。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3.支持查看班级学员获证情况与学习进度，可一键导出报表。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4.支持自动生成发证记录：可查看学员证书领取历史信息，包括账号、班级、认证名称、认证状态、获证时间等，可一键导出报表。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5.支持批量下载电子证书，支持单次下载多张证书。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课程教学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1.支持教学前台显示班级已关联的课程，包括课程封面、课程名称、课程简介、课程章节数等信息；从课程卡片可进入课程详情页；支持通过名称对课程进行搜索。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2.支持课程详情页展示课程名称、课程封面、课程目录、学习进度、关联资源统计等；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3.支持以目录树形式展示课程章节，支持章节目录展开与收起；支持展示课程章节已关联的课件类型：文档、视频、实验、图文、测验。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4.支持自动保存并展示课程进度，各章节学习进度实时更新，下次进入自动定位进入教学进度。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5.支持在教学过程中，依照创课模式不同章节采用不同教学方法（如演示法教学，情境式教学），增强教学和课堂互动效果。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6.支持在课程学习界面查看、发布和回复问答，添加、修改笔记，并支持上传图片。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7.支持对章节关联的测验在线作答，提交后反馈作答结果。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实验教学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8.支持教学前台显示班级已关联的实验，包括实验名称、实验简介、实验类型及难度、实验时长等信息；从实验卡片可进入实验操作界面；支持通过名称对实验进行搜索。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9.支持在实验界面查看实验手册、实验资料、实验视频等信息；支持指导书界面展开和收起；在实验操作区可查看实验拓扑图、切换实验桌面等。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 物理设备实验支持按预约任务与日程排期，进行有计划性的实训教学。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 支持通过拓扑一键登录物理网元设备并在物理设备实验过程中对拓扑中包含的物理设备组进行配置初始化操作，重启实验任务。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12.支持学员提交实验报告，实验报告可多次提交。</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13.支持实验计时，手动结束实验或实验计时结束后，实验界面关闭。</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14.支持学生查看自己的实验报告，实验记录包括：实验名称、所属课程、提交次数、批阅和通过状态、报告详情。</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15.实验页面支持桌面与字符切换、桌面全屏、复制粘贴、上传与下载文件，不同类型的实验支持不同的操作工具栏。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学情报表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1.支持查看学员、班级、课程、实验、题目、考试等综合统计信息。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2.支持以图形化界面，同时查看多个班级的班级学习时长、课程学习时长、实验学习时长等数据，进行学情分析总结。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3.支持按7天、近1月、近1年时间维度进行班级间学情对比。</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4.支持按照学习时长，查看学员排行榜、课程排行榜、实验排行榜。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AI本地实验模块：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实验环境管理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1、提供Python环境：支持python3.7或以上；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2、支持开源机器学习框架：numpy、sklearn、pandas、seaborn、missingno、scipy、statsmodels、xgboost等；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3、支持开源深度学习框架：Pytorch、Keras、TensorFlow、MindSpore；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4、支持计算机视觉框架：OpenCV、Pillow、scikit-image等；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5、支持自然语言处理框架：jieba、gensim、spacy、sklearn-crfsuite、nltk；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6、支持强化学习：gym；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7、支持语音识别框架：librosa、python-speech-features、hmmlearn</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8、支持网络框架：requests、urllib3、tornado、flask、beautifulsoup4；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9、支持可视化框架：matplotlib、graphviz、mglearn、tensorboard；</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10、支持数据库：pymysql；</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11、支持其他组件：certifi、chardet、Cython、future、gevent、h5py、ipython、ipywidgets、json5、jupyter、lxml、Markdown、networkx、pycurl、pydot、pyyaml、six、qtpy、zhconv。</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实验过程管理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1、支持实验指导与实验操作区同屏显示；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2、支持用户跟随实验指导书或实验视频练习与校对实验结果；支持脱离实验指导书自主练习；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3、支持用户在平台上对同一实验进行重复实训操作；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4、支持查看Markdown实验指导书；实验指导区支持查看文档实验指导书或实验指导视频；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5、支持用户在线交互式编程；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6、支持用户实验环境与实验数据完全独立；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7、支持实验记录数据持久化，用户再次进入实验可继续使用；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8、支持承载人工智能算法类、应用类、实践案例类、职业认证类、机器视觉与应用开发类课程资源；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9、支持用户进行自主实验，可选择实验时间、资源配置；10、支持管理员查看主机监控与服务监控信息；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11、支持多种算力模式进行实训，包含但不限于通用计算、GPU计算、NPU计算等主流算力场景。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课程实验功能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1、提供国产AI框架，支持利用国产AI框架进行国产AI算力数字图像基础实操；国产AI算力图像的灰度变换实操；国产AI算力图像几何变换实操等实验操作。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2、支持利用国产AI框架进行国产AI算力HOG方向梯度直方图实操、国产AI算力LBP局部二值模式实操、国产AI算力哈尔特征实操。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3、提供国产AI框架，支持利用国产AI框架进行语音预处理基础实操、单高斯模型参数求解实操、混合高斯模型参数求解实操等实验操作。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4、支持利用国产AI框架进行基于HMM-GMM的连续词识别实操、基于国产AI框架实现DNN-HMM的单字识别实操、基于国产AI框架实现Seq2Seq的连续字识别实操等实验操作。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5、提供国产AI框架，支持利用国产AI框架进行分词实操、词性标注实操-jieba、spacy和NLTK、命名实体识别实操。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6、支持利用国产AI框架进行TF-IDF关键词提取实操、TextRank关键词提取实操、One-Hot编码实操等实验操作。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云实验模块：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公有云账号管理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1、支持绑定公有云账号；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2、支持通过平台向绑定的公有云企业账号下的子账号批量拨款；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3、支持管理员对课程创建配额，在用户使用课程时自动拨款；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实验环境管理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1、支持用户直接从课程章节下进入实验；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2、支持通过桌面云形式进入页面平台实验操作区。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3、支持教师将自主实验分配给班级用户；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4、支持用户进行自主实验，可选择实验时间、资源配置；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5、支持查看Markdown实验指导书；实验指导区支持查看实验指导书或实验指导视频；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6、支持实验计时，用户点击实验结束后，平台自动释放实验资源，终止公有云计费；</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人工智能导论及实践实训软件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1、配套资源：课程须配置理论PPT和实验手册，具体数量为：不低于10份文档PPT和不低于5个实验；该课程配套的相关资源及实验均支持在实训平台上进行观看和实验操作。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课程内容包含但不限于以下知识点和实验：计算与人工智能概述、人工智能预备知识、机器学习、深度学习、智能感知、智能决策、智能机器人、知识图谱简介、目标检测简介、神经网络分类实操、猫狗分类实操、导诊机器人案例实操、基于neo4j的知识图谱实战、人脸检测工程实战、农产品分类案例实战；Python基本实操、监督学习算法实操、无监督学习算法实操、神经网络分类实操、猫狗分类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机器学习技术课程培训及实践实训软件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1、配套资源：课程须配置理论PPT和实验手册，具体数量为：不低于10份PPT和不低于10个实验，不低于1个引导视频；该课程配套的相关资源及实验均支持在实训平台上进行观看和实验操作。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机器学习简介、机器学习预备知识、机器学习算法、机器学习数学基础、回归算法、逻辑回归、朴素贝叶斯、KNN算法、决策树算法、支持向量机算法、集成算法、聚类算法、降维相关算法、关联算法；Python综合编程实操、Pandas实操、Python Numpy实操、Matplotlib、Seaborn实操、国产AI框架基本实操。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深度学习技术</w:t>
            </w:r>
            <w:r>
              <w:rPr>
                <w:rFonts w:hint="eastAsia" w:ascii="宋体" w:hAnsi="宋体" w:eastAsia="宋体" w:cs="宋体"/>
                <w:color w:val="000000"/>
                <w:sz w:val="20"/>
                <w:lang w:eastAsia="zh-CN"/>
              </w:rPr>
              <w:t xml:space="preserve">课程</w:t>
            </w:r>
            <w:r>
              <w:rPr>
                <w:rFonts w:hint="eastAsia" w:ascii="宋体" w:hAnsi="宋体" w:eastAsia="宋体" w:cs="宋体"/>
                <w:color w:val="000000"/>
                <w:sz w:val="20"/>
              </w:rPr>
              <w:t xml:space="preserve">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1、配套资源：课程须配置理论PPT和实验手册等，具体数量为：不低于5份PPT和不低于5个实验，不低于1个引导视频；该课程配套的相关资源及实验均支持在实训平台上进行观看和实验操作。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深度学习介绍、机器学习算法基础知识、深度学习算法基础知识、国产AI框架架构介绍、神经系统网络、优化器及正则化、卷积神经系统网络、循环神经系统网络、深度学习应用场景；基于国产AI框架的FNN手写数字识别实验、基于国产AI框架的FashionMnist图像分类实验、基于国产AI框架的汽车里程数预测实验、基于国产AI框架的优化器实验、基于国产AI框架的正则化实验。</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计算机视觉技术与应用课程培训及实践实训软件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1、配套资源：课程须配置理论PPT和实验手册，具体数量为：不低于15份PPT和不低于15个实验，不低于5个引导视频；该课程配套的相关资源及实验均支持在实训平台上进行观看和实验操作。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计算机视觉概览、数字图像基础、图像的灰度变换、图像的几何变换、形态学处理方法、图像滤波方法、SIFT尺度不变特征变换、HOG方向梯度直方图、LBP特征、HAAR特征、卷积神经网络、卷积神经网络的训练及调参过程、卷积神经系统网络经典网络架构、图像分割实验基础知识、对抗生成网络；国产AI算力数字图像基础实操、国产AI算力图像的灰度变换实操、国产AI算力图像几何变换实操、国产AI算力形态学处理方法实操、图像滤波方法介绍、国产AI算力图像滤波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语音识别技术与应用课程培训及实践实训软件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1、配套资源：课程须配置理论PPT和实验手册，具体数量为：不低于5份PPT和不低于5个实验，不低于1个引导视频；该课程配套的相关资源及实验均支持在实训平台上进行观看和实验操作。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语音处理基础、语音识别算法、单高斯模型、混合高斯模型、马尔科夫链、隐马尔科夫链模型、HMM-GMM语音识别算法、深度学习语音识别算法；语音预处理基础实操、单高斯模型参数求解实操、混合高斯模型参数求解实操、隐马尔科夫链求解词性标注实操、基于HMM-GMM的单字识别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自然语言处理技术与应用课程培训及实践实训软件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1、配套资源：课程须配置理论PPT和实验手册，具体数量为：不低于5份文档PPT和不低于15个实验，不低于5个引导视频；该课程配套的相关资源及实验均支持在实训平台上进行观看和实验操作。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自然语言处理、词法分析、句法分析以及语义分析、语言模型、关键词提取方法、词向量概念、概率图模型及其应用、TextCNN技术原理、RNN与LSTM模型、Seq2Seq模型；分词实操、词性标注实操-jieba、spacy和NLTK、命名实体识别实操、句法分析实操、基于国产AI框架构建语言模型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实例分割应用综合案例实践课程及实训软件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1、配套资源：课程须配置理论PPT和实验手册，具体数量为：不低于1份文档PPT和不低于5个实验，不低于5个视频；该课程配套的相关资源及实验均支持在实训平台上进行观看和实验操作。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2、包括但不限于以下知识点或实验：实例分割概览、图像中的特征与特征图、Mask R-CNN模型前身、Mask R-CNN模型；ResNet模型构建实操、FPN网络模型构建实操、RPN网络模型构建实操、head网络模型构建实操、Mask R-CNN模型训练实操。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人脸检测综合案例实践课程培训及实践实训软件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1、配套资源：课程须配置理论PPT和实验手册，具体数量为：不低于5份文档PPT和不低于5个实验，不低于5个视频；该课程配套的相关资源及实验均支持在实训平台上进行观看和实验操作。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人脸识别项目实践、MTCNN网络、RNet与ONet网络、FaceNet概述、FaceNet网络结构、FaceNet网络实训与部署；图像金字塔构建实操、PNet网络构建及可视化实操、RNet网络构建及可视化实操、 ONet网络构建及可视化实操、MTCNN网络构建及可视化实操、NMS非极大值抑制函数详解及可视化实操。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深度学习下的OCR技术综合案例实践课程培训及实践实训软件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1、配套资源：课程须配置理论PPT和实验手册，具体数量为：不低于5份文档PPT和不低于5个实验，不低于5个视频；该课程配套的相关资源及实验均支持在实训平台上进行观看和实验操作。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OCR技术概览、深度学习的OCR技术、文本区域检测CTPN算法、文本区域检测EAST算法、文本识别CRNN+CTC算法；文本区域检测CTPN实操、文本区域检测EAST实操、文本识别的数据准备实操、文本识别CNN+CTC实操、文本识别CRNN+CTC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文本情感分析和文本相似度应用综合案例实践课程培训及实践实训软件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1、配套资源：课程须配置理论PPT和实验手册，具体数量为：不低于5份文档PPT和不低于1个实验，不低于10个视频；该课程配套的相关资源及实验均支持在实训平台上进行观看和实验操作。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语言模型、词向量、循环神经网络、ELMo模型、Transformer模型、GPT模型、BERT模型、文本情感分析的方法、文本相似度计算的方法；基于深度学习的文本情感分析实操、基于深度学习的文本相似度计算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基于知识库的问答系统综合案例实践软件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1、配套资源：课程须配置理论PPT和实验手册，具体数量为：不低于5份文档PPT和不低于5个实验，不低于5个视频；该课程配套的相关资源及实验均支持在实训平台上进行观看和实验操作。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问答系统简介、问答系统方案设计、问答系统实体识别技术、问答系统语义匹配技术、问答系统BERT技术；国产AI算力命名实体识别-CRF实操、国产AI算力命名实体识别-BERT模型实操、基于BERT和知识库的问答系统构建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语音处理综合案例实践课程培训及实践实训软件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1、配套资源：课程须配置理论PPT和实验手册，具体数量为：不低于5份文档PPT和不低于1个实验，不低于10个视频；该课程配套的相关资源及实验均支持在实训平台上进行观看和实验操作。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2、包括但不限于以下知识点或实验：语音处理基础知识、语音识别流程、传统语音识别方法、深度学习算法；中文语音识别实践、音频处理实操、语音数字识别实操、语音生成实操。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国产化AI框架开发高级工程师认证人课程培训及实践实训软件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lang w:val="en-US" w:eastAsia="zh-CN"/>
              </w:rPr>
              <w:t xml:space="preserve">1</w:t>
            </w:r>
            <w:r>
              <w:rPr>
                <w:rFonts w:hint="eastAsia" w:ascii="宋体" w:hAnsi="宋体" w:eastAsia="宋体" w:cs="宋体"/>
                <w:color w:val="000000"/>
                <w:sz w:val="20"/>
              </w:rPr>
              <w:t xml:space="preserve">、配套资源：课程须配置1份课程大纲、不少于5个理论PPT、不少于1个实验手册、不少于1份试题；该课程配套的相关资源及实验均支持在实训平台上进行观看和实验操作。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包括但不限于以下知识点或实验：神经网络基础、国产AI框架简介与API详解、国产AI框架特性与应用、图像处理原理与应用、自然语言处理原理与应用等内容。通过课程学习，了解国产AI框架的架构与特性相关知识；理解国产AI框架网络迁移、分布式训练、端云侧推理与部署等相关特性；具备使用国产AI框架完成图像处理任务和自然语言处理任务的能力。</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大数据一体实验软件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课程实验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1.课程配套实验视频，视频至少可支持播放、暂停、全屏、变速播放等功能。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2.支持教师创建自有课程和实验，并关联对应的大数据实验环境进行自有课程实验。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3.支持桌面图形化和文本命令行两种实验模式，满足用户不同场景实验需求。【需提供功能截图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4.支持用户在实验过程中上传文件到平台，并在实验环境内读取操作文件，可查看上传的历史文件。【需提供功能截图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5.支持用户在Web SSH类实验中增加实验Tab页面，实现单个实验的多个shell界面对比操作。【需提供功能截图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4.提供平台上课程所需的大数据实验操作环境，包括但不限于Python、Scala、Hive、Hbase、Kafka、Flume、Sqoop、Spark、Storm、Flink。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6.支持AI实验环境，包括但不限于Tensorflow，Pandas，Matplotib，Seaborn，Scikit-learn，OpenCV。</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7.支持实验记录数据持久化，用户再次进入实验可继续使用。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★8.支持金融风控违约预测场景实训，可进行银行违约业务数据预处理、倾斜数据平衡化处理及结果可视化等实验操作。【需提供功能截图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9.支持通过绑定的公有云企业账号向子账号批量拨款，用户可使用桌面云环境完成相应课程实验，实验结束后支持一键清理子账号资源，支持回收子账号资金。【需提供功能截图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自主实验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1.支持用户脱离实验指导书，在自主实验模块选择实验环境后进行对应的实验操作。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2.支持用户选择常见的大数据组件进行自主实验，包括但不限于Scala、Hive、Hbase、Kafka、Flume、Sqoop、Spark、Storm、Flink。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★3.支持创建不同规格的实验环境，CPU、内存的配置支持至少4种规格：1核2G、2核4G、4核8G、8核16G。</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4.支持配置自主实验的实验时长，时长最高可配置10000分钟。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5.支持监控自主实验情况，管理员可以按照学员账号、姓名、实验名称检索容器或虚拟机实验环境。</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6.支持管理员对学员正在进行的容器或虚拟机实验环境进行下线操作。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7.支持用户对正在进行的实验进行延时操作；支持在完成实验后结束实验，并释放实验资源。</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数据采集与处理课程培训及实践实训软件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1、配套资料：配置《数据采集与处理》理论PPT、视频及实验手册。具体数量不少于：5份文档PPT，5个视频，5个实验手册；该课程配套的相关资源支持在平台上进行观看，支持实验操作。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2、包括但不限于以下知识点或实验：ETL简介、Flume技术原理、Sqoop技术原理、Logstash技术原理介绍与操作、Flume离线数据采集实验、Flume流数据采集实验 - 实时数据采集到Hbase、Sqoop数据迁移 - 数据写入Hive、Sqoop数据迁移 - 数据导出MySQL、Logstash数据采集到ES、Logstash实验 - Logstash插件使用。</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数据挖掘技术课程培训及实践实训软件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1、配套资料：配置《数据挖掘技术》理论PPT、视频及实验手册。具体数量不少于：5份文档PPT，5个视频，5个实验手册；该课程配套的相关资源支持在平台上进行观看，支持实验操作。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2、包括但不限于以下知识点或实验：数据挖掘介绍、Python编程基础、数据预处理与特征提取、模型优化与评估、数据挖掘算法模型 - 回归算法、数据挖掘算法模型 - 分类算法、数据挖掘算法模型 - 聚类技术及其应用、Numpy操作指导实操、数据加载实验实操、数据预处理实验实操、特征选择实操、降维算法实操、模型评估实操。</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大数据流式计算课程培训及实践实训软件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1、配套资料：配置《大数据流式计算》理论PPT、视频及实验手册。具体数量不少于：20份文档PPT，20个视频，10个实验手册；该课程配套的相关资源支持在平台上进行观看，支持实验操作。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流式计算引擎概述、Kafka分布式消息系统、Spark计算引擎、Flink计算引擎、afka写入与读取、窗口函数、订单实时统计分析、延迟数据处理与输出模式、Flink环境验证与并发、Flink流处理API及窗口、单词计数与网民统计。</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数据可视化课程培训及实践实训软件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1、配套资料：配置《数据可视化》理论PPT、视频及实验手册。具体数量不少于：10份文档PPT，10个视频，10个实验手册；该课程配套的相关资源支持在平台上进行观看，支持实验操作。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2、包括但不限于以下知识点或实验：可视化基础、数据准备、Matplotlib可视化介绍、Matplotlib数据可视化、Pyecharts可视化、数据准备实操、Matplotlib绘图基础、Matplotlib使用进阶、Pyecharts绘图基础、Pyecharts常用图表 - 折线图、饼图、Pyecharts常用图表 - 散点图、仪表盘、Pyecharts常用图表 - 非直角坐标系图表、Pyecharts常用图表 - K线图、热力图、水球图、河流图、Pyecharts基本图表与叠加图表。</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Hadoop大数据技术课程培训及实践实训软件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1、配套资料：配置《Hadoop大数据技术》理论PPT、视频及实验手册。具体数量不少于：10份文档PPT，10个视频，15个实验手册；该课程配套的相关资源支持在平台上进行观看，支持实验操作。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2、包括但不限于以下知识点或实验：Hadoop与大数据概述、HDFS分布式文件系统、MapReduce分布式批处理和Yarn资源调度系统、HBase分布式NoSQL数据库、HDFS实验操作、HDFS Java API实验操作、MapReduce实验操作、HBase实验操作、HBase JavaAPI、Hive数据仓库、Hive宽表开发。</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大数据工程师认证课程培训及实践软件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lang w:val="en-US" w:eastAsia="zh-CN"/>
              </w:rPr>
              <w:t xml:space="preserve">1</w:t>
            </w:r>
            <w:r>
              <w:rPr>
                <w:rFonts w:hint="eastAsia" w:ascii="宋体" w:hAnsi="宋体" w:eastAsia="宋体" w:cs="宋体"/>
                <w:color w:val="000000"/>
                <w:sz w:val="20"/>
              </w:rPr>
              <w:t xml:space="preserve">、配套资源：配置《大数据工程师认证》理论PPT、视频及实验手册。具体数量不少于：10份文档PPT，45个视频，10个实验手册；该课程配套的相关资源支持在平台上进行观看，支持实验操作。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包括但不限于以下知识点或实验：大数据发展趋势、HDFS分布式文件系统和Zookeeper、HBase分布式数据库和Hive分布式数据仓库、ClickHouse联机分析数据库管理系统、MapReduce和Yarn技术原理、Spark基于内存的分布式计算和Flink流批一体分布式实时处理引擎、Flume海量日志聚合和Kafka分布式消息订阅系统、ElasticSearch分布式全文检索服务、大数据平台MRS、数据治理中心。</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金融风控数据预测实战培训及实践软件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1、配套资料：配置《金融风控数据预测实战》理论PPT、视频及实验手册。具体数量不少于：5份文档PPT，5个视频，5个实验手册；该课程配套的相关资源支持在平台上进行观看，支持实验操作。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金融风控违约检测概述、金融数据预处理、金融风控Python数据预处理基础、金融风控大数据存储、金融风控大数据分析框架、金融分类技术及应用、PCA降维、金融风控违约检测实战。</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24</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国产AI实训箱初级开发实践课程培训及实践实训软件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 具体数量为：不低于10份文档PPT和不低于10个实验。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实训箱简介、实训箱快速构建推理应用、图片分类应用开发实践、目标检测应用开发实践、图像分割应用开发实践、OCR应用开发实践、黑白图像上色开发实践、图像增强开发实践、图片风格迁移开发实践、媒体数据处理（视频编码）开发实践。</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25</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国产AI实训箱进阶应用开发实践课程培训及实践实训软件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1、配套资源：课程须配置理论PPT和实验手册</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 具体数量为：不低于5份文档PPT和不低于5个实验。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2、包括但不限于以下知识点或实验：软硬件全栈方案介绍、SDK及应用开发指南、基于BERT模型的文本分类应用、基于YOLO v5的安全帽识别项目案例、手部检测应用开发实践、手部关键点检测应用开发实践。</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26</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大模型教学实训软件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课程实验功能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1.轻松部署：支持基于容器化或虚拟化技术部署。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 OpenAI API集成：支持低代码集成兼容OpenAI的大模型API服务。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3.支持在图形界面与模型进行交互式多功能对话。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★4.支持开发、管理基于大语言模型的自定义思维链式应用。【需提供功能截图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5.支持快速构建自定义文档知识库。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6.支持低代码开发基于大语言模型的对话式应用。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7.支持实时调试和测试正在开发的对话式应用。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8.支持低代码快速调用大语言模型能力。</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9.支持低代码快速调用向量数据库。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10.支持低代码快速通过应用内容检索策略、优化提示词来提升RAG检索效果。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11.支持低代码快速调用Embedding模型能力。</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12.支持低代码快速调用内存、缓存组件。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13.支持低代码快速加载docx、pdf等数据文件。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14.支持低代码快速设计提示词工程模板并供调用。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15.支持低代码快速调用文本分词器。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16.支持低代码快速调用计算器、磁盘文件读写等工具能力。</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★17.支持低代码实现完整的检索增强（RAG）业务流。实验环境管理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18.支持从课程进入平台实验操作区。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19.支持查看Markdown实验指导书；支持查看1</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5个文档实验指导书；支持1</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3个实验指导视频；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20.实训产品部署及运行需要基于国产化技术的算力硬件平台。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21.支持用户结束实验，生成并提交实验报告，实验报告包含实验时长、实验过程截图等。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22.支持教师查看学生提交的实验报告，并对实验报告进行评分。</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27</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大模型技术导论课程培训软件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1、配套资料：配置《大模型技术导论》理论PPT和实验手册。具体数量不少于：10份文档PPT，10个视频Mooc；该课程配套的相关资源支持在平台上进行观看。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2、包括但不限于以下知识点或实验：大模型的应用前景、大模型技术前置知识、大模型技术基本原理、大模型技术应用及相关行业案例。</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28</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生成式人工智能技术应用课程培训及实践实训软件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1、配套资料：配置《生成式人工智能技术应用》理论PPT和实验手册。具体数量不少于：10份文档PPT，5个实验手册，4个视频Mooc；该课程配套的相关资源支持在平台上进行观看，支持实验操作。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2、包括但不限于以下知识点或实验：生成式人工智能概论、提示词工程、生成式人工智能应用风险与挑战、提示词工程行业应用案例与实践。 </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29</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大模型技术原理课程培训及实践实训软件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1、配套资料：配置《大模型技术原理》理论PPT和实验手册。具体数量不少于：15份文档PPT，10个视频Mooc；该课程配套的相关资源支持在平台上进行观看。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大模型技术前置知识—深度学习、大模型技术前置知识—自然语言处理、大语言模型原理结构、Transformer模型解析、大语言模型训练数据处理、大语言模型评测、多模态大模型概论。</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30</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实战大模型+智能编程课程培训及实践实训软件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1、配套资料：配置《软件技术领域生成式人工智能应用实训课程》课程资源。具体数量不少于：10份文档PPT，10份教案，8个视频mooc，10份实训手册；该课程配套的相关资源支持在平台上进行观看。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2、包括但不限于以下知识点或实验：大模型自动编写小游戏、大模型办公自动化、SQL自动化编程、Web应用自动化编程、数据处理自动化编程、智能体协作开发、游戏项目开发综合实战</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31</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实战大模型+数字媒体课程培训及实践实训软件</w:t>
            </w:r>
            <w:r>
              <w:rPr>
                <w:rFonts w:hint="eastAsia" w:ascii="宋体" w:hAnsi="宋体" w:eastAsia="宋体" w:cs="宋体"/>
                <w:color w:val="000000"/>
                <w:sz w:val="20"/>
              </w:rPr>
            </w:r>
            <w:r/>
          </w:p>
        </w:tc>
        <w:tc>
          <w:tcPr>
            <w:shd w:val="clear" w:color="auto" w:fill="ffffff"/>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1、配套资料：配置《数字媒体领域生成式人工智能应用实训课程》课程资源。具体数量不少于：8份文档PPT，8份教案，8个视频mooc，8份实训手册；该课程配套的相关资源支持在平台上进行观看。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2、包括但不限于以下知识点或实验：文生图国潮插画生成、图生图局部重绘、图生图涂鸦重绘、LoRA使用与图像放大实践、ControlNet综合实践、海报设计综合实践、服装设计综合实践、室内设计综合实践</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1.交换容量≥80Gbps，包转发率≥40Mpps；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2.提供1*10GE光+2*GE Combo接口，8*GE电+1*GE Combo接口，整机高度≤1U；</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3.所有业务板卡支持直接热插拔；</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4.支持L2TP二层隧道功能；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5.CPU、NP芯片均采用国产化自研芯片；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6.支持IPSec算法加密；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7.支持DHCP server/client/relay，PPPoE server/client，NAT，子接口管理等；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8.支持5G组网；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18</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SFP+，支持1个扩展插槽，扩展槽支持2*40GE光、2*25GE或8*10GE光、8*10GE电及2*100GE光子卡；支持POE+供电；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12</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12</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1.支持802.11ax标准，支持2.4GHz/5GHz双频段同时工作；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2.总空间流数≥4；整机速率≥1.7Gbps；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3.提供1个10/100/1000Mbps自适应以太口；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4.支持智能天线，蓝牙串口运维管理；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5.支持Leader AP，无需WAC可小型组网；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6.支持WPA3；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7.支持AP本地转发（又称直接转发）时，应用识别和QOS分类，针对业界常用的Skypes、QQ、微信等应用，能显著提升语音质量；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8.支持telemetry，配合服务器可以高速采集Wi-Fi的数据；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12</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1.交换容量≥672Gbps，包转发率≥171Mpps；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Guard等安全特性，提供权威第三方测试报告；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1.交换容量≥672Gbps，包转发率≥207Mpps；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2.提供48个10/100/1000BASE-T以太网端口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Guard等安全特性，提供权威第三方测试报告；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1.交换容量≥80Gbps，包转发率≥40Mpps；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2.提供1*10GE光+2*GE Combo接口，8*GE电+1*GE Combo接口，整机高度≤1U；</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3.所有业务板卡支持直接热插拔；</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4.支持L2TP二层隧道功能；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5.CPU、NP芯片均采用国产化自研芯片；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6.支持IPSec算法加密；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7.支持DHCP server/client/relay，PPPoE server/client，NAT，子接口管理等；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8.支持5G组网；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30</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18</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SFP+，支持1个扩展插槽，扩展槽支持2*40GE光、2*25GE或8*10GE光、8*10GE电及2*100GE光子卡；支持POE+供电；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12</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1.交换容量≥672Gbps，包转发率≥171Mpps；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Guard等安全特性，提供权威第三方测试报告；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1.交换容量≥672Gbps，包转发率≥207Mpps；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2.提供48个10/100/1000BASE-T以太网端口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1.交换容量≥80Gbps，包转发率≥40Mpps；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2.提供1*10GE光+2*GE Combo接口，8*GE电+1*GE Combo接口，整机高度≤1U；</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3.所有业务板卡支持直接热插拔；</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4.支持L2TP二层隧道功能；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5.CPU、NP芯片均采用国产化自研芯片；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6.支持IPSec算法加密；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7.支持DHCP server/client/relay，PPPoE server/client，NAT，子接口管理等；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8.支持5G组网；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25</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15</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SFP+，支持1个扩展插槽，扩展槽支持2*40GE光、2*25GE或8*10GE光、8*10GE电及2*100GE光子卡；支持POE+供电；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10</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1.支持802.11ax标准，支持2.4GHz/5GHz双频段同时工作；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2.总空间流数≥4；整机速率≥1.7Gbps；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3.提供1个10/100/1000Mbps自适应以太口；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4.支持智能天线，蓝牙串口运维管理；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5.支持Leader AP，无需WAC可小型组网；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6.支持WPA3；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7.支持AP本地转发（又称直接转发）时，应用识别和QOS分类，针对业界常用的Skypes、QQ、微信等应用，能显著提升语音质量；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8.支持telemetry，配合服务器可以高速采集Wi-Fi的数据；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10</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1.防火墙吞吐量≥2.5Gbps，最大并发连接数≥300万，每秒新建连接数≥8万，IPS吞吐量≥1.8Gbps，IPSec VPN吞吐量≥2.1Gbps；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2.提供千兆Combo接口≥8，千兆电口≥2，万兆光口≥2；</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3.采用国产化自研操作系统、国产化自研芯片；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4.支持可识别应用层协议数量≥6000种，系统预定义IPS签名数量≥8000，URL识别能力和URL地址识别库，云端URL识别库≥1.2亿；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5.支持NAT地址复用技术，可实现单个公网IP地址的无限制端口转换，可有效解决地址短缺问题；</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6.支持最大100层的病毒压缩文件检测和阻断；</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7.支持三元组NAT smart-fullcone；</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8.支持IPv6协议栈、IPV6穿越技术、IPV6路由协议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9.实配：冗余电源，三年威胁防护，三年原厂质保；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1.交换容量≥672Gbps，包转发率≥171Mpps；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Guard等安全特性，提供权威第三方测试报告；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1.交换容量≥672Gbps，包转发率≥207Mpps；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2.提供48个10/100/1000BASE-T以太网端口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实训模块19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1.交换容量≥85Tbps，支持包转发率≥12600Mpps；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2.支持50GE/25GE/10GE/GE/FE/CPOS/E1等接口类型；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3.支持动态下发EVPN VPWS over SRv6 TE policy功能</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4.支持SRv6 Policy多SID-LIST负载分担功能；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5.FLexE接口支持1G时隙粒度；</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7.支持全面的快速重路由FRR功能：IP/IPv6/LDP/TE/VPN/VPNv6 FRR，倒换时间均≤50ms;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8.支持MACSec加密技术</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提供权威第三方检测报告；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9.实配：8端口千兆电接口板，三年原厂质保；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1.交换容量≥80Gbps，包转发率≥40Mpps；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2.提供1*10GE光+2*GE Combo接口，8*GE电+1*GE Combo接口，整机高度≤1U；</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3.所有业务板卡支持直接热插拔；</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4.支持L2TP二层隧道功能；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5.CPU、NP芯片均采用国产化自研芯片；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6.支持IPSec算法加密；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7.支持DHCP server/client/relay，PPPoE server/client，NAT，子接口管理等；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8.支持5G组网；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3</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SFP+，支持1个扩展插槽，扩展槽支持2*40GE光、2*25GE或8*10GE光、8*10GE电及2*100GE光子卡；支持POE+供电；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1.交换容量≥1.28Tbps，包转发率≥426Mpps；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 个 10M/100M/1GE Base-T 以太网端口，4个10GE SFP+，支持1个扩展插槽，扩展槽支持2*40GE光、2*25GE或8*10GE光、8*10GE电及2*100GE光子卡；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3.支持MAC表项≥256K，ARP表项规格≥128k，IPv4 路由表≥512K，IPv6 路由表≥64K；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5.支持静态路由、RIP v1/v2、OSPF、BGP、ISIS、RIPng、OSPFv3、ISISv6、BGP4+；</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6.支持DHCPv6 Snooping，IP Source Guard，SAVI等安全特性；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7.支持上行端口缓存1M，下行端口缓存200M；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1.支持802.11ax标准，支持2.4GHz/5GHz双频段同时工作；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2.总空间流数≥4；整机速率≥1.7Gbps；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3.提供1个10/100/1000Mbps自适应以太口；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4.支持智能天线，蓝牙串口运维管理；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5.支持Leader AP，无需WAC可小型组网；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6.支持WPA3；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7.支持AP本地转发（又称直接转发）时，应用识别和QOS分类，针对业界常用的Skypes、QQ、微信等应用，能显著提升语音质量；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8.支持telemetry，配合服务器可以高速采集Wi-Fi的数据；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1.交换容量≥672Gbps，包转发率≥171Mpps；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路由表≥8K，IPv6 路由表≥3K；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6.支持防ARP攻击、DOS攻击、ICMP防攻击、CPU保护</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9.实配：冗余电源，三年原厂质保；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1.交换容量≥672Gbps，包转发率≥171Mpps；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2.提供24个10/100/1000BASE-T以太网端口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实训模块26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1.交换容量≥672Gbps，包转发率≥207Mpps；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2.提供48个10/100/1000BASE-T以太网端口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4个万兆SFP+,2个12GE专用堆叠口；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3.支持MAC表项≥32K，IPv4 路由表≥4K，IPv6 路由表≥1K；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4.采用国产化自研芯片；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5.支持可信启动，数字签名功能；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6.支持IP Source Guard等安全特性；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7.支持静态路由、RIP、OSPF、RIPng、OSPFv3；</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8.支持Telemetry技术，配合网络分析组件通过智能故障识别算法对网络数据进行分析，精准展现网络实时状态，并能及时有效地定界故障以及定位故障发生原因；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9.实配：三年原厂质保；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10.最终用户注册信息为苏州工业园区服务外包职业学院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数通真机管理软件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提供一站式的实训管理模块，通过该模块统一管理所有物理实训设备，支持用户轻松接入、访问实训资源，支持实训资源的可视化管理。简化实训室管理及维护工作量，优化实验体验，提升实训管理效率。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实验资源管理功能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1、支持将多个设备添加到同一设备组中。</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2、支持将多个设备组划分到同一设备池中进行管理。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图形化拓扑及自定义编排功能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1、支持创建管理图形化拓扑：支持创建、编辑、预览、删除、管理物理设备组的图形化逻辑拓扑。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管理拓扑：支持灵活创建、调整网络节点设备及各网络设备在网络中的连接方式与布局。特殊权限账号支持灵活创建、修改、删除拓扑，及调整拓扑设备的连接方式与布局，其他管理员账号可查看、关联、引用拓扑；支持根据拓扑名称、技术方向筛选查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3、查看拓扑：可进行拓扑图的放大、缩小；支持调出导航视图，以特定角度查看拓扑图的完整性。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4、支持拖拽方式建立设备连线。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5、支持通过关联拓扑快速创建物理设备实验所需的设备池、设备组资源，支持编辑设备信息，包括设备名称、协议类型、设备IP等。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6、支持通过拓扑一键登录物理网元设备。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实验预约和共享功能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1、支持预约物理设备实验，教师可为指定班级或学员，设置物理设备实验资源、设置实验时间，自动生成实验预约日程，为学员拟定实训计划。</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2、支持即时查阅实验预约排期，含可预约时间、已预约时间、与他人预约冲突时间，灵活调整实验预约排期；学员可按日程指定时间进行实训。</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3、支持一次性预约和周期性批量预约实验任务：重复周期支持选择1</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7天。</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4、已预约的实验自动生成实验任务，含预约名称、实验名称、设备池名称、预约目的等；支持灵活操作实验任务，便捷管理预约实验。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★5、实验任务共享：支持一键共享实验任务，可快速将实验任务共享给班级其他成员并同时进行操作，提高资源应用效率。【需提供功能截图】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6、实验任务延时：支持一键延长实验任务时长，可便捷设置与管理实验时长。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7、实验任务释放：支持一键释放实验任务资源，可快捷重新预约该实验任务。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8、支持查看历史预约任务与详情，支持按预约名称、班级、预约人等搜索查询。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9、支持通过实验课程卡片，一键快捷预约实验。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真机设备连接功能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1、支持连接基于HTTP和HTTPS协议Web界面管理的网元，主流NCE网元可选择开启基于预约自动重置密码功能，用户可安全登录。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2、支持浏览器无客户端直连基于SSH和Telnet协议的命令行界面管理的网元，带宽消耗极低，操作便捷。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3、支持连接基于RDP远程访问协议的网元。</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4、支持用户通过公网环境跨地域的进行设备远程访问。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实验环境一键还原功能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1、支持一键式批量完成网元的配置清除及预配置初始化2、支持基于单个网元进行配置清除及预配置初始化</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数通工程师任职培训及实践实训软件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 </w:t>
            </w:r>
            <w:r>
              <w:rPr>
                <w:rFonts w:hint="eastAsia" w:ascii="宋体" w:hAnsi="宋体" w:eastAsia="宋体" w:cs="宋体"/>
                <w:color w:val="000000"/>
                <w:sz w:val="20"/>
                <w:lang w:val="en-US" w:eastAsia="zh-CN"/>
              </w:rPr>
              <w:t xml:space="preserve">1</w:t>
            </w:r>
            <w:r>
              <w:rPr>
                <w:rFonts w:hint="eastAsia" w:ascii="宋体" w:hAnsi="宋体" w:eastAsia="宋体" w:cs="宋体"/>
                <w:color w:val="000000"/>
                <w:sz w:val="20"/>
              </w:rPr>
              <w:t xml:space="preserve">、配套资源：课程须配置理论PPT、实验手册和视频，具体数量不少于20份理论课件、10份实验手册、120个视频；该课程配套的相关资源支持在平台上进行查看。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课程须包含以下知识点：数据通信网络基础、网络参考模型、VRP系统基础、网络层协议与IP编址、IP路由基础、OSPF基础、以太网交换基础、VLAN原理与配置、生成树协议、实现VLAN之间的通信、以太网链路聚合与交换机堆叠、ACL原理与配置、AAA原理与配置、网络地址转换基础、网络服务与应用、WLAN概述、广域网技术基础、网络管理与运维、IPv6基础、SDN与NFV基础、网络编程与自动化、园区网典型组网架构及案例实践。</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33"/>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数通高级核心技术认证培训及实践实训软件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lang w:val="en-US" w:eastAsia="zh-CN"/>
              </w:rPr>
              <w:t xml:space="preserve">1</w:t>
            </w:r>
            <w:r>
              <w:rPr>
                <w:rFonts w:hint="eastAsia" w:ascii="宋体" w:hAnsi="宋体" w:eastAsia="宋体" w:cs="宋体"/>
                <w:color w:val="000000"/>
                <w:sz w:val="20"/>
              </w:rPr>
              <w:t xml:space="preserve">、配套资源：课程须配置理论PPT、实验手册和视频，具体数量不少于30份理论课件、15份实验手册、200个视频；该课程配套的相关资源支持在平台上进行查看。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、课程须包含以下知识点：认识网络设备、IP路由基础、OSPF基础、OSPF路由计算、OSPF特殊区域及其他特性、IS-I</w:t>
            </w:r>
            <w:r>
              <w:rPr>
                <w:rFonts w:hint="eastAsia" w:ascii="宋体" w:hAnsi="宋体" w:eastAsia="宋体" w:cs="宋体"/>
                <w:color w:val="000000"/>
                <w:sz w:val="20"/>
              </w:rPr>
              <w:t xml:space="preserve">S原理与配置、BGP基础、BGP路径属性与路由反射器、BGP路由优选、BGP EVPN基础、路由策略与路由控制、流量过滤与转发路径控制、园区网典型技术应用概述、RSTP原理与配置、MSTP原理与配置、交换机堆叠与集群、IP组播基础、IGMP原理与配置、PIM原理与配置、IPv6概述、ICMPv6和NDP、IPv6地址配置、防火墙技术、网络设备安全特性、VPN技术概述、VRF基本概念及应用、BFD原理与应用、VRRP原理与配置、DHCP原理与配置、网络管理协议介绍、大型WLAN组网部署、企业数通解决方案概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数通专家工程师认证实训软件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课程内容包含但不限于以下知识点和实验：IGP高级特性、BGP高级特性、IPv4路由技术实验、网络安全技术、MPLS原理与配置、MPLS LDP原理与配置、</w:t>
            </w:r>
            <w:r>
              <w:rPr>
                <w:rFonts w:hint="eastAsia" w:ascii="宋体" w:hAnsi="宋体" w:eastAsia="宋体" w:cs="宋体"/>
                <w:color w:val="000000"/>
                <w:sz w:val="20"/>
              </w:rPr>
              <w:t xml:space="preserve">MPLS VPN原理与配置、MPLS VPN 部署与应用、MPLS、VPN实验、MPLS L3VPN跨域、MPLS VPN 部署与应用、EVPN原理与配置、EVPN实验、IPv6路由、IPv6路由技术实验、IPv6网络演进趋势、QoS基本原理、网络运维、网络故障排除、网络割接、企业网络全景概述、企业园区网络综述、VXLAN与园区网络虚拟化、VXLAN实验、网络准入控制、业务随行、大中型虚拟化园区网络设计、虚拟化园区网络部署指南、虚拟化园区网络部署实验、中小型云管理园区网络设计、园区网络智能运维、广域互联方案</w:t>
            </w:r>
            <w:r>
              <w:rPr>
                <w:rFonts w:hint="eastAsia" w:ascii="宋体" w:hAnsi="宋体" w:eastAsia="宋体" w:cs="宋体"/>
                <w:color w:val="000000"/>
                <w:sz w:val="20"/>
              </w:rPr>
              <w:t xml:space="preserve">与技术概述、广域互联关键技术详解、SD-WAN解决方案与规划设计、广域互联网络部署实验、广域IP承载网络概述、企业广域承载网络架构与典型技术应用、Segment Routing简介、SR-MPLS实验、SRv6原理与配置、SRv6实验、企业广域承载网络设计、IPv6+关键技术与演进趋势、网络编程自动化概述、SSH原理与实践、SSH实验、NETCONF YANG原理与实践、NETCONF实验、Telemetry原理与实践、OPS原理与实践、OPS实验、RESTful原理与实践、开放API介绍、业务开放可编程。</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数通高级路由交换培训及实践实训软件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1、配套资源：课程须配置理论PPT、实验手册，具体数量不少于10份理论课件、5份实验手册；该课程配套的相关资源支持在平台上进行查看。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、课程须包含以下知识点：IGP高级特性、BGP高级特性、IPv6路由、以太网高级技术、MPLS技术、网络运维、网络故障排除、网络割接。</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鸿蒙基础实验软件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1.平台需提供分布式操作系统实验设备配套电路图</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包含：核心开发板、环境监测扩展板、交通信号扩展板、Wi-Fi扩展板</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2.平台需提供原始代码下载能力。</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3.平台文档可提供实验文档缩略图预览查看、全屏查看。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4.平台文档可提供支持文档页面滚动查看，文档页面输入页码快速查看。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5.实验文档查看可提供护眼模式功能。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6.实验模块可提供倒计时、延时服务。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7.平台需提供不少于基于STM32的嵌入式系统展示实验、嵌入式Linux开发平台搭建实验、STM32开发环境搭建实验、STM32 CubeMX软件的使用实验、轻量级的物联网操作系统 环境以及移植准备、轻量级的物联网操作系统 移植开发实验、 GPIO口控制LED实验、TFT屏显示实验、基于定时器中断的LED灯控制实验、 智能照明控制实验等相关10个以上例程代码包等；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★8、平台需提供操作系统实验软件工具集与参考，包含串口工具、编译环境工具、虚拟机相关工具。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9、平台需支持查看设备上报数据日志（含设备状态、设备名称，设备上报时间支持年月日时分秒）。</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10、平台需支持设备下发控制设备状态，且设备状态变化对应开关不同状态。</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3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移动应用开发基础</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鸿蒙</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1、配套资源要求：本课程需配置《移动应用开发基础》</w:t>
            </w:r>
            <w:r>
              <w:rPr>
                <w:rFonts w:hint="eastAsia" w:ascii="宋体" w:hAnsi="宋体" w:eastAsia="宋体" w:cs="宋体"/>
                <w:color w:val="000000"/>
                <w:sz w:val="20"/>
                <w:lang w:eastAsia="zh-CN"/>
              </w:rPr>
              <w:t xml:space="preserve">课程</w:t>
            </w:r>
            <w:r>
              <w:rPr>
                <w:rFonts w:hint="eastAsia" w:ascii="宋体" w:hAnsi="宋体" w:eastAsia="宋体" w:cs="宋体"/>
                <w:color w:val="000000"/>
                <w:sz w:val="20"/>
              </w:rPr>
              <w:t xml:space="preserve">大纲、理论PPT和实验手册；具体数量至少为：1份课程大纲，12份文档PPT，650页ppt内容，12个实验，60个课时包含30个理论课时和30个实验课时；该课程配套的相关资源支持在平台上进行查看。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2、知识点要求：应用基础开发概述、开发工具介绍、程序设计、声明式开发、语言、应用模型、综合实践。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基础课程概述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开发环境搭建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二、开发工具介绍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三、程序设计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基本语法（一）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基本语法（二）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面向对象编程（一）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面向对象编程（二）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数据结构</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算法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三、声明式开发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状态管理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渲染控制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UI开发（一）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UI开发（二）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自定义组件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四、语言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基础类库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五、应用模型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Stage模型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六、综合实践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购物商城</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3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移动应用开发进阶</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鸿蒙</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1、配套资源要求：本课程需配置《移动应用开发进阶》</w:t>
            </w:r>
            <w:r>
              <w:rPr>
                <w:rFonts w:hint="eastAsia" w:ascii="宋体" w:hAnsi="宋体" w:eastAsia="宋体" w:cs="宋体"/>
                <w:color w:val="000000"/>
                <w:sz w:val="20"/>
                <w:lang w:eastAsia="zh-CN"/>
              </w:rPr>
              <w:t xml:space="preserve">课程</w:t>
            </w:r>
            <w:r>
              <w:rPr>
                <w:rFonts w:hint="eastAsia" w:ascii="宋体" w:hAnsi="宋体" w:eastAsia="宋体" w:cs="宋体"/>
                <w:color w:val="000000"/>
                <w:sz w:val="20"/>
              </w:rPr>
              <w:t xml:space="preserve">大纲、理论PPT和实验手册；具体数量至少为：1份课程大纲，10份文档PPT，400页ppt内容，8个实验，45个课时包含27个理论课时和18个实验课时；该课程配套的相关资源支持在平台上进行查看。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2、知识点要求：应用开发进阶概述、UI开发高级技能、功能开发进阶技能、面向实战开发技能。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进阶课程概述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编译替换full-SDK</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二、UI开发高级技能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动画设计与Canvas绘图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一次开发，多端部署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元服务与服务卡片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三、功能开发进阶技能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数据存储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网络与通信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多媒体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后台任务管理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设备管理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面向实战开发技能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Native API</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高级开发理论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综合实验</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9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移动应用开发案例（鸿蒙） 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1、配套资源要求：本课程需配置《移动应用开发案例 </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鸿蒙</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》课程课程大纲、理论PPT和实验手册；具体数量至少为：1份课程大纲，8份文档PPT，300页ppt内容，8个实验，40个课时包含10个理论课时和30个实验课时；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2、知识点要求：移动应用开发概述、鸿蒙移动应用典型场景案例；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一、移动应用开发概述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移动应用开发概述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二、鸿蒙移动应用典型场景案例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天气类移动应用开发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教育类移动应用开发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电商类移动应用开发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多媒体类应用开发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读写类移动应用开发</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9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移动应用项目管理与开发实践（鸿蒙） 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1、配套资源要求：本课程需配置《移动应用项目管理与开发实践（鸿蒙</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w:t>
            </w:r>
            <w:r>
              <w:rPr>
                <w:rFonts w:hint="eastAsia" w:ascii="宋体" w:hAnsi="宋体" w:eastAsia="宋体" w:cs="宋体"/>
                <w:color w:val="000000"/>
                <w:sz w:val="20"/>
                <w:lang w:eastAsia="zh-CN"/>
              </w:rPr>
              <w:t xml:space="preserve">课程</w:t>
            </w:r>
            <w:r>
              <w:rPr>
                <w:rFonts w:hint="eastAsia" w:ascii="宋体" w:hAnsi="宋体" w:eastAsia="宋体" w:cs="宋体"/>
                <w:color w:val="000000"/>
                <w:sz w:val="20"/>
              </w:rPr>
              <w:t xml:space="preserve">大纲、理论PPT和实验手册，该课程配套的相关资源支持在平台上进行查看；具体数量至少为：1份课程大纲，4份文档PPT，80页ppt内容，8个实验，20个课时包含2个理论课时和18个实验课时；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2、知识点要求：移动应用项目管理概述、移动应用项目分析与设计、移动应用项目管理开发、移动应用项目管理测试验收。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一、移动应用项目管理概述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移动应用项目管理概述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二、移动应用项目分析与设计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移动应用项目分析与设计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三、移动应用项目管理开发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敏捷开发项目管理概述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四、移动应用项目管理测试验收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项目管理测试概述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项目管理测试概述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鸿蒙应用发布、上架与迭代</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鸿蒙设备开发基础培训及实践实训软件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1、配套资源要求：本课程需配置《基于分布式操作系统设备开发基础》</w:t>
            </w:r>
            <w:r>
              <w:rPr>
                <w:rFonts w:hint="eastAsia" w:ascii="宋体" w:hAnsi="宋体" w:eastAsia="宋体" w:cs="宋体"/>
                <w:color w:val="000000"/>
                <w:sz w:val="20"/>
                <w:lang w:eastAsia="zh-CN"/>
              </w:rPr>
              <w:t xml:space="preserve">课程</w:t>
            </w:r>
            <w:r>
              <w:rPr>
                <w:rFonts w:hint="eastAsia" w:ascii="宋体" w:hAnsi="宋体" w:eastAsia="宋体" w:cs="宋体"/>
                <w:color w:val="000000"/>
                <w:sz w:val="20"/>
              </w:rPr>
              <w:t xml:space="preserve">大纲、理论PPT和实验手册；具体数量至少为：1份课程大纲，10份文档PPT，500页ppt内容，10个实验，36个课时包含18个理论课时和18个实验课时；该课程配套的相关资源支持在平台上进行查看和操作。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2、知识点要求：鸿蒙操作系统概述、鸿蒙设备开发入门述、鸿蒙操作系统内核、硬件驱动、鸿蒙操作系统移植、鸿蒙操作系统云端互通。</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一、鸿蒙操作系统概述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关键技术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二、鸿蒙设备开发入门述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设备开发入门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三、鸿蒙操作系统内核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内核概述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任务管理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内存管理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中断和时间</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任务同步与通信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双向链表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Linux 内核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四、硬件驱动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硬件驱动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五、鸿蒙操作系统移植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支持的移植平台介绍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系统移植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六、鸿蒙操作系统云端互通</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 中间件及物联网平台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分布式操作系统应用开发工程师认证课培训及实践实训软件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lang w:val="en-US" w:eastAsia="zh-CN"/>
              </w:rPr>
              <w:t xml:space="preserve">1</w:t>
            </w:r>
            <w:r>
              <w:rPr>
                <w:rFonts w:hint="eastAsia" w:ascii="宋体" w:hAnsi="宋体" w:eastAsia="宋体" w:cs="宋体"/>
                <w:color w:val="000000"/>
                <w:sz w:val="20"/>
              </w:rPr>
              <w:t xml:space="preserve">、配套资源要求：课程至少配置5份理论课件（450页ppt内容）和2份实验手册，80个视频，1份试题，35个课时包含12个理论课时和23实验课时；该课程配套的相关资源支持在平台上进行查看。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、知识点要求：鸿蒙介绍、应用开发入门、Ability开发、ArkTS语法、声明式开发范式组件、类Web开发范式基础、类Web开发范式组件、综合实验-蒙鸡小娱、模拟试题讲解。</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3</w:t>
            </w:r>
            <w:r>
              <w:rPr>
                <w:rFonts w:hint="eastAsia" w:ascii="宋体" w:hAnsi="宋体" w:eastAsia="宋体" w:cs="宋体"/>
                <w:color w:val="000000"/>
                <w:sz w:val="20"/>
              </w:rPr>
              <w:t xml:space="preserve">、课程大纲：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一、鸿蒙介绍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鸿蒙简介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设计理念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 技术架构</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 部件化架构设计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 技术特性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 系统安全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原子化服务介绍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二、应用开发入门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集成开发环境</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调试工具介绍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快速入门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工程结构</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三、Ability开发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Stage模型概述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UIAbility开发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UIAbility开发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FormExtension</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四、语法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基础语法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组件定义装饰器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动态管理装饰器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状态管理装饰器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状态管理装饰器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渲染控制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使用限制与扩展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五、声明式开发范式组件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基础组件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容器组件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媒体组件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六、类Web开发范式基础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JS UI框架说明</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开发基础语法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构建用户界面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七、类Web开发范式组件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容器组件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基础组件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八、综合实验-蒙鸡小娱</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登录模块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数据模型模块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应用界面模块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分布式操作系统设备开发工程师认证课培训及实践实训软件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1、配套资源要求：课程至少配置5份理论课件（220页ppt内容）和4份实验手册，35个视频，1份试题，30个课时包含15个理论课时和15个实验课时；该课程配套的相关资源均支持在平台上进行查看。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、知识点要求：OpenHarmony介绍、设备开发入门、轻量系统内核基础、轻量系统驱动开发、碰一碰场景开发、综合实验。</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3</w:t>
            </w:r>
            <w:r>
              <w:rPr>
                <w:rFonts w:hint="eastAsia" w:ascii="宋体" w:hAnsi="宋体" w:eastAsia="宋体" w:cs="宋体"/>
                <w:color w:val="000000"/>
                <w:sz w:val="20"/>
              </w:rPr>
              <w:t xml:space="preserve">、课程大纲：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一、OpenHarmony介绍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OpenHarmony简介与设计理念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OpenHarmony技术架构与特性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二、设备开发入门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集成开发环境</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OpenHarmony源码与编译构建子系统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三、轻量系统内核基础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轻量级的物联网操作系统-M内核概述与基础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四、轻量系统驱动开发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五、碰一碰场景开发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碰一碰场景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WLAN组件与公共基础库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六、综合实验</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分布式操作系统应用开发高级工程师认证课培训及实践实训软件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1、配套资源要求：课程需至少配置8份理论课件（350页ppt内容）和2份实验手册，70个视频，1份试题，40个课时包含14个理论课时和26个实验课时；该课程配套的相关资源均支持在平台上进行查看。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、知识点要求：系统及应用场景介绍、开发框架高级组件、分布式关键技术、服务卡片、应用设计介绍、一次开发多端部署、功能开发、工程调测、综合实验</w:t>
            </w:r>
            <w:r>
              <w:rPr>
                <w:rFonts w:hint="eastAsia" w:ascii="宋体" w:hAnsi="宋体" w:eastAsia="宋体" w:cs="宋体"/>
                <w:color w:val="000000"/>
                <w:sz w:val="20"/>
                <w:lang w:eastAsia="zh-CN"/>
              </w:rPr>
              <w:t xml:space="preserve">讲解</w:t>
            </w:r>
            <w:r>
              <w:rPr>
                <w:rFonts w:hint="eastAsia" w:ascii="宋体" w:hAnsi="宋体" w:eastAsia="宋体" w:cs="宋体"/>
                <w:color w:val="000000"/>
                <w:sz w:val="20"/>
              </w:rPr>
              <w:t xml:space="preserve">、模拟题讲解。</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3</w:t>
            </w:r>
            <w:r>
              <w:rPr>
                <w:rFonts w:hint="eastAsia" w:ascii="宋体" w:hAnsi="宋体" w:eastAsia="宋体" w:cs="宋体"/>
                <w:color w:val="000000"/>
                <w:sz w:val="20"/>
              </w:rPr>
              <w:t xml:space="preserve">、课程大纲：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一、系统及应用场景介绍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 Connect解决方案</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OpenHarmony生态组成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二、开发框架高级组件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类Web开发范式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声明式开发范式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实验：鸿蒙应用开发实验环境搭建指南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实验：开发框架高级组件</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类Web开发范式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实验：开发框架高级组件</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声明式开发范式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三、分布式关键技术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流转</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分布式数据管理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分布式案例分析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实验：分布式文字编辑功能实验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四、服务卡片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服务卡片概述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服务卡片开发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其他可选功能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实验：图库应用服务卡片开发实验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五、应用设计介绍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通用设计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设备差异化设计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设计工具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六、一次开发多端部署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一次开发多端部署解决方案</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多窗口交互</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动态布局</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Ability动态部署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实验：一次开发多端部署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七、功能开发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AI能力概述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鸿蒙常用AI能力介绍与开发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其他功能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实验：设备参数语音播报功能开发实验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八、工程调测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工程管理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应用/服务调试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实验：应用调试实验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九、综合实验讲解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十、模拟题讲解</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分布式操作系统设备开发高级工程师认证课培训及实践实训软件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1、配套资源要求：课程至少配置8份理论课件（250页ppt内容）和4份实验手册，60个视频，1份试题，35个课时包含15个理论课时和20实验课时；该课程配套的相关资源支持在平台上进行查看。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、知识点要求：系统及应用场景介绍、方舟开发框架高级组件、分布式关键技术、服务卡片、应用设计介绍、一次开发多端部署、功能开发、工程调测、综合实验讲解、模拟题讲解。</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3</w:t>
            </w:r>
            <w:r>
              <w:rPr>
                <w:rFonts w:hint="eastAsia" w:ascii="宋体" w:hAnsi="宋体" w:eastAsia="宋体" w:cs="宋体"/>
                <w:color w:val="000000"/>
                <w:sz w:val="20"/>
              </w:rPr>
              <w:t xml:space="preserve">、课程大纲：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一、系统及应用场景介绍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鸿蒙特性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鸿蒙 Connect解决方案</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OpenHarmony生态组成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二、编译构建与启动恢复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编译构建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启动恢复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实验：实验环境搭建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实验：编译构建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三、轻量级的物联网操作系统-A内核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基础内核基本能力</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基础内核通信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扩展组件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实验：轻量级的物联网操作系统_A内核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四、HDF驱动开发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驱动开发框架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HDF驱动开发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实验：HDF驱动开发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五、系统移植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移植概述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移植准备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内核移植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驱动移植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部件移植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六、应用安装部署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准备工作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安装应用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实验：应用安装部署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七、工程调测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内核调测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性能分析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实验：工程调测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八、子系统能力介绍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OpenHarmony子系统概述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AI子系统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OTA升级子系统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XTS子系统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九、综合实验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十、实验手册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十一</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模拟试题讲解</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9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《嵌入式系统与设计》</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鸿蒙</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嵌入式系统与设计》课程理论PPT和实验手册，具体数量至少为：1份课程大纲，20份文档PPT，850页ppt内容，10个实验，40个课时包含20个理论课时和20个实验课时；该课程配套的相关资源及实验支持在平台上进行查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2、知识点要求：初识嵌入式系统、体验Linux系统、STM32及 轻量级的物联网操作</w:t>
            </w:r>
            <w:r>
              <w:rPr>
                <w:rFonts w:hint="eastAsia" w:ascii="宋体" w:hAnsi="宋体" w:eastAsia="宋体" w:cs="宋体"/>
                <w:color w:val="000000"/>
                <w:sz w:val="20"/>
                <w:lang w:eastAsia="zh-CN"/>
              </w:rPr>
              <w:t xml:space="preserve">系统</w:t>
            </w:r>
            <w:r>
              <w:rPr>
                <w:rFonts w:hint="eastAsia" w:ascii="宋体" w:hAnsi="宋体" w:eastAsia="宋体" w:cs="宋体"/>
                <w:color w:val="000000"/>
                <w:sz w:val="20"/>
              </w:rPr>
              <w:t xml:space="preserve">的基本操作、基于STM32的实时温度监测系统设计、基于STM32的智能声控灯系统设计。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一、初识嵌入式系统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认知嵌入式系统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嵌入式微处理器与硬件接口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嵌入式操作系统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二、体验Linux系统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构建嵌入式Linux系统开发环境</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嵌入式Linux常用工具</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认识Bootloader</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认识内核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认识文件系统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三、STM32及 轻量级的物联网</w:t>
            </w:r>
            <w:r>
              <w:rPr>
                <w:rFonts w:hint="eastAsia" w:ascii="宋体" w:hAnsi="宋体" w:eastAsia="宋体" w:cs="宋体"/>
                <w:color w:val="000000"/>
                <w:sz w:val="20"/>
                <w:lang w:eastAsia="zh-CN"/>
              </w:rPr>
              <w:t xml:space="preserve">操作系统</w:t>
            </w:r>
            <w:r>
              <w:rPr>
                <w:rFonts w:hint="eastAsia" w:ascii="宋体" w:hAnsi="宋体" w:eastAsia="宋体" w:cs="宋体"/>
                <w:color w:val="000000"/>
                <w:sz w:val="20"/>
              </w:rPr>
              <w:t xml:space="preserve">的基本操作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熟悉STM32单片机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STM32 CubeMX 软件使用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认识轻量级的物联网操作系统操作系统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轻量级的物联网</w:t>
            </w:r>
            <w:r>
              <w:rPr>
                <w:rFonts w:hint="eastAsia" w:ascii="宋体" w:hAnsi="宋体" w:eastAsia="宋体" w:cs="宋体"/>
                <w:color w:val="000000"/>
                <w:sz w:val="20"/>
                <w:lang w:eastAsia="zh-CN"/>
              </w:rPr>
              <w:t xml:space="preserve">操作系统</w:t>
            </w:r>
            <w:r>
              <w:rPr>
                <w:rFonts w:hint="eastAsia" w:ascii="宋体" w:hAnsi="宋体" w:eastAsia="宋体" w:cs="宋体"/>
                <w:color w:val="000000"/>
                <w:sz w:val="20"/>
              </w:rPr>
              <w:t xml:space="preserve">移植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四、基于STM32的实时温度监测系统设计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温度监测系统整体方案设计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LED指示灯的控制与设计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温度的显示器件及应用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定时器与中断系统的应用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温度监测系统的功能实现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五、基于STM32的智能声控灯系统设计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声控灯照明系统整体方案设计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智能家居照明电路设计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语音识别模块设计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声控灯系统整体功能测试与实现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79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《传感器原理及应用技术》</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鸿蒙</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1、配套资源要求：本课程需配置《传感器原理与应用技术》</w:t>
            </w:r>
            <w:r>
              <w:rPr>
                <w:rFonts w:hint="eastAsia" w:ascii="宋体" w:hAnsi="宋体" w:eastAsia="宋体" w:cs="宋体"/>
                <w:color w:val="000000"/>
                <w:sz w:val="20"/>
                <w:lang w:eastAsia="zh-CN"/>
              </w:rPr>
              <w:t xml:space="preserve">课程</w:t>
            </w:r>
            <w:r>
              <w:rPr>
                <w:rFonts w:hint="eastAsia" w:ascii="宋体" w:hAnsi="宋体" w:eastAsia="宋体" w:cs="宋体"/>
                <w:color w:val="000000"/>
                <w:sz w:val="20"/>
              </w:rPr>
              <w:t xml:space="preserve">大纲、理论PPT和实验手册，具体数量至少为：1份课程大纲，20份文档PPT，850页ppt内容，10个实验，45个课时包含25个理论课时和20个实验课时；该课程配套的相关资源支持在平台上进行查看和操作。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2、知识点要求：智慧交通系统、智慧农业系统、智慧矿山系统、智慧园区系统、智慧家居系统。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一、智慧交通系统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智慧交通系统概述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传感器的认知</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红外传感器理论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超声波距离传感器理论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二、智慧农业系统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智慧农业系统概述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半导体集成温度传感器理论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热电阻温度传感器理论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大气压强传感器理论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温湿度传感器理论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二氧化碳传感器理论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电子围栏理论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光强传感器理论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三、智慧矿山系统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智慧矿山系统概述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气体传感器理论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门磁传感器理论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四、智慧园区系统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智慧园区系统概述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火焰传感器理论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光电开关传感器理论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震动开关传感器理论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五、智慧家居系统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智慧家居系统概述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人体红外传感器理论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智能门禁理论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声敏传感器理论</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4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《物联网识别技术》</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鸿蒙</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需配置《物联网识别技术》理论PPT和实验手册，具体数量至少为：1份课程大纲，25份文档PPT，850页ppt内容，8个实验，45个课时包含25个理论课时和20个实验课时；该课程配套的相关资源及实验支持在平台上进行查看和实验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2、知识点要求：物流包裹识别系统、门禁控制系统、智能交通管理系统、无人超市管理系统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一、物流包裹识别系统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认识自动识别技术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物流包裹识别系统概述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条码识别技术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一维码原理及应用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物流包裹标识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二、门禁控制系统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门禁控制系统概述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RFID系统概述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RFID工作原理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RFID电子标签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RFID阅读器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RFID防碰撞的机制分析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低频卡芯片认识与阅读器设计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高频卡芯片认识与阅读器设计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生物识别技术原理及应用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门禁控制系统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三、智能交通管理系统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智慧交通管理系统概述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车牌识别原理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电子车牌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ETC系统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智慧交通管理系统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四、无人超市管理系统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无人超市管理系统概述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EPC追溯系统与编码</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二维码原理及应用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扫码支付</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“闪付”及NFC技术原理</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智能感知系统技术与应用培训及实践实训软件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1.1、课程采用理实一体教学模式，选择主流硬件完成智能感知技术的集成与应用。课程不少于40课时，其中理论5课时，实验35课时；不少于20个文档ppt（550页ppt内容）和20个实验。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1.2、课程紧密围绕智能感知实训台，讲解多种摄像头和雷达的标定过程及应用案例，</w:t>
            </w:r>
            <w:r>
              <w:rPr>
                <w:rFonts w:hint="eastAsia" w:ascii="宋体" w:hAnsi="宋体" w:eastAsia="宋体" w:cs="宋体"/>
                <w:color w:val="000000"/>
                <w:sz w:val="20"/>
                <w:lang w:eastAsia="zh-CN"/>
              </w:rPr>
              <w:t xml:space="preserve">综合考查学生</w:t>
            </w:r>
            <w:r>
              <w:rPr>
                <w:rFonts w:hint="eastAsia" w:ascii="宋体" w:hAnsi="宋体" w:eastAsia="宋体" w:cs="宋体"/>
                <w:color w:val="000000"/>
                <w:sz w:val="20"/>
              </w:rPr>
              <w:t xml:space="preserve">对不同交通场景环境感知传感器的选择、安装、标定、测试及应用能力。</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1.3、课程资源须部署在实训平台上，提供课程大纲。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2、知识点要求：智能感知技术简介、车辆避障项目案例实践、车辆行人识别项目案例实践、车辆车道线检测项目案例实践、其他车载感知硬件拓展。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一、智能感知技术简介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智能感知技术概述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碰撞预警系统概述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实验环境搭建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视频获取与解码</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二、车辆避障项目案例实践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单线激光雷达数据滤波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单线激光雷达测距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单目摄像头标定</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单目摄像头识别</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单目摄像头测距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三、车辆行人识别项目案例实践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毫米波雷达数据滤波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毫米波雷达测距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双目摄像头数据抽取</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双目摄像头标定</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双目摄像头测距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双目摄像头行人识别</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四、车辆行人识别项目案例实践</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数据标注方法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数据预处理方法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算法训练方法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双目摄像头车道线检测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五、其他车载感知硬件拓展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鱼眼摄像头标定</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鱼眼摄像头校正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红外摄像头数据采集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融合传感器技术</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计算平台部署与测试培训及实践实训软件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1.1.课程采用理实一体教学模式，基于智能感知实训台完成计算平台部署及测试任务。课程不少于30课时，其中理论4课时，实验26课时；不少于10个文档ppt（300页ppt内容）和8个实验。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1.2、课程结合智能感知实训台，着重讲解实训台核心计算单元的环境部署流程，最终运行案例测试平台效果。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1.3、课程资源须部署在实训平台上，提供课程大纲。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2、知识点要求：计算平台理论基础与前置准备、计算平台环境搭建与测试、智能感知实训台视觉分析实践案例。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一、计算平台理论基础与前置准备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计算平台概述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智能感知实训台基本组成介绍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Linux与Ubuntu系统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Shell文件管理与文本操作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Shell进程管理与其他操作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二、计算平台环境搭建与测试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智能感知实训台实验环境搭建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智能感知实训台模型转换与测试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三、智能感知实训台视觉分析实践案例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基于智能感知实训台的路牌识别任务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基于智能感知实训台的车辆分割任务</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78</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汽车视觉技术与应用培训及实践实训软件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课程需采用理实一体教学模式，由浅入深的讲解机器视觉技术理论知识以及在车路协同场景中的应用。课程总课时不少于30课时，其中理论不少于4课时，实验不少于26课时；不少于12分文档ppt（不少于380页ppt内容）和不少于12个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1.2、课程内容应由浅入深，分为初阶、中阶、高阶三个部分，包括图像基础操作、传统图像处理方法以及基于深度学习的图像分析方法，课程案例应包含交通场景元素。</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1.3、课程资源须部署在实训平台上，提供课程大纲。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2、知识点要求：机器视觉概述及初阶处理方法、机器视觉中阶处理方法及应用案例。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3、课程大纲：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一、机器视觉概述及初阶处理方法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机器视觉概述及初阶处理方法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图像处理基础方法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图像灰度变换方法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图像几何变换方法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图像形态学处理方法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图像滤波方法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二、机器视觉中阶处理方法及应用案例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SIFT特征提取方法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HOG特征提取方法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LBP特征提取方法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HAAR特征提取方法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卷积神经网络介绍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基于深度学习的图像识别任务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基于深度学习的目标检测任务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基于深度学习的图像分割任务</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79</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鸿蒙实训套件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通用底座：</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1.通用底座能支持轻量级的物联网操作系统-A内核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2.具备至少1路RS232串口、1个 USB 串口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可用于代码调试、1个有源蜂鸣器、1个10M/100M/1000M以太网接口、1个电源开关、1个 SDIO Wi-Fi模块；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3.具备至少1个温湿度传感器接口、3个pwm接口，用于接RGB呼吸灯、1个ADC接口、2个2×20P，2.54mm间距的排针，多个IO接口，1个12V电源；</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4.提供1个RGB接口的7寸显示屏，显示屏支持触控，可展示Logo，实验数据，实验效果；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5.提供1个复位功能按键，可用于复位 MPU ，提供3个功能按钮。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应用扩展板：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1.提供环境监测和交通信号灯场景扩展板；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2.扩展板须提供红、黄、绿3颗LED指示灯，1个蜂鸣器，1个功能自定义按键，须包含光照强度、温湿度等多种传感器；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3.至少支持LED指示灯控制、温湿度传感器数据展示、蜂鸣器控制等多种应用实验。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配件：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1.配套工具套件应含TypeC数据线2根；</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2.所有器件有独立槽位，方便运输；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3.配套实验工具箱，实验工具箱须为铝合金框架，内置抗震海绵。</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40</w:t>
            </w:r>
            <w:r>
              <w:rPr>
                <w:rFonts w:hint="eastAsia" w:ascii="宋体" w:hAnsi="宋体" w:eastAsia="宋体" w:cs="宋体"/>
                <w:color w:val="000000"/>
                <w:sz w:val="20"/>
              </w:rPr>
            </w:r>
            <w:r/>
          </w:p>
        </w:tc>
      </w:tr>
      <w:tr>
        <w:trPr>
          <w:trHeight w:val="53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80</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工程师认证开发板HM Nano</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含E53_基础板、智慧农业扩展板，配件：传感器底板、水泵、排线、水管、螺丝刀、螺丝钉、数据线</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40</w:t>
            </w:r>
            <w:r>
              <w:rPr>
                <w:rFonts w:hint="eastAsia" w:ascii="宋体" w:hAnsi="宋体" w:eastAsia="宋体" w:cs="宋体"/>
                <w:color w:val="000000"/>
                <w:sz w:val="20"/>
              </w:rPr>
            </w:r>
            <w:r/>
          </w:p>
        </w:tc>
      </w:tr>
      <w:tr>
        <w:trPr>
          <w:trHeight w:val="53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81</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高级工程师认证开发板 HM Micro</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含开发主板，案例扩展板：智慧路灯、智慧烟感、智慧农业、人体红外、智慧井盖</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套</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40</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82</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鸿蒙智联场景应用实验箱</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物联网主板（含核心板模块）：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1、物联网开发板须高度集成多功能物联网开发核心主板，含主流微控制处理主系统；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2、支持物联网实时操作系统；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3、具备至少1个LPWAN通信模块接口，1组支持4类应用场景扩展板的接口，1个电源模块，1个SPI接口的TFT液晶彩屏，1个板载交互模块接口（2个交互模块），支持无外接烧写器烧录代码；【需提供功能截图】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4、支持DC-005供电方式，预留一个电源输出口，提供防静电亚克力支撑板+铜柱固定；</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5、内嵌通讯模组，支持NB-IoT网络，支持运营商物联网Nano SIM卡。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智慧工业扩展板：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1、扩展板至少可支持产线温度监测、工位状态监测、智能电机、工业接口场景等常见智慧工业实训案例；【实训案例对应实物照片证明】</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2、扩展板至少具备1个485单总线接口、1个SPI接口、1个I2C接口、1组集成接口（1个UART接口、5个IO端口）；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3、至少配备1个温湿度传感器模块1个射频识别模块、提供防静电亚克力支撑板固定；</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4、支持外接1个指纹模组模块、1个电机（电机可调速）、1个光电开关模块、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5、扩展板必须与开发主板兼容使用。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智慧家居扩展板：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扩展板至少可支持智能门禁场景、指纹识别场景、智能窗帘场景、室内温湿度监测场景、智能照明场景、语音播报场景、人体感应、光线采集场景、气体检测场景等常见智慧家居实训案例；2、控制板至少具备1个SPI接口、1个I2C接口、1组集成接口（1个UART接口、7个IO端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3、至少配备1个室内温湿度传感器、1个语音播放控制器、1个人体感应传感器、1个触摸开关、1个光线采集器；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4、支持外接传感器1个门禁状态传感器、1个窗帘开关控制电机、1个家居照明模块、1个喇叭、1个指纹模组，提供防静电亚克力支撑板固定；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5、扩展板必须与开发主板兼容使用。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智慧交通扩展板：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★1、扩展板至少可支持自感路灯场景、车流计数场景、轨交到站播报场景、光线采集场景、闯红灯报警等常见智慧交通实训案例；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2、具备1个SPI接口、1个I2C接口、1组集成接口（3个IO端口）；</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3、至少配备1个语音播放控制器、1个光线采集器 、1个闯红灯检测、1组交通灯模块、车位检测模块；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4、板外配置1个路灯控制器、1个车流检测传感器、1个喇叭；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5、扩展板必须与开发主板兼容使用。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智慧农业扩展板：</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1、扩展板至少可支持电子围栏场景、智能灌溉场景、气压检测场景、光线采集场景、二氧化碳检测场景等常见智慧农业实训案例；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2、至少具备1个I2C接口、1组集成接口（1个UART接口、4个IO端口）</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3、至少配备1个二氧化碳传感器、1个温湿度传感器、1个气压传感器、1个光线采集器 ；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4、板外配置1个电子围栏模块、1个智能灌溉电机模块；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5、扩展板必须与开发主板兼容使用。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实验工具套件箱：</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1、实验工具箱须为铝合金框架；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2、所有器件应固定在亚克力板上，内置抗震海绵，可方便运输；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3、实验箱应含Type-C数据线2根，12V电源线1根，1个WiFi模块，1个NFC模块、NB-IoT天线1根。</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20</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83</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鸿蒙智能感知实训台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一、产品主要功能</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1、设备需具备国产高性能计算平台，包含从单目摄像头、双目摄像头、鱼眼摄像头、红外摄像头、激光雷达、毫米波雷达等传感器，并具备从传感器获取数据功能；【需提供功能截图】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★2、设备需包含智能车机模拟系统，配备国产操作系统，具备以图形化界面操作形式进行算法处理，同时能在智能车机模拟系统上显示各实验相关的算法代码及结果；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3、设备要求智能车机模拟系统提供设备管理中心和视频中心，可支持实时管理和查看摄像头采集的视频；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4、设备要求可支持对多种类型摄像头，并且摄像头的数据均可进行上报；</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5、双目摄像头可通过智能车机</w:t>
            </w:r>
            <w:r>
              <w:rPr>
                <w:rFonts w:hint="eastAsia" w:ascii="宋体" w:hAnsi="宋体" w:eastAsia="宋体" w:cs="宋体"/>
                <w:color w:val="000000"/>
                <w:sz w:val="20"/>
                <w:lang w:eastAsia="zh-CN"/>
              </w:rPr>
              <w:t xml:space="preserve">模拟系统</w:t>
            </w:r>
            <w:r>
              <w:rPr>
                <w:rFonts w:hint="eastAsia" w:ascii="宋体" w:hAnsi="宋体" w:eastAsia="宋体" w:cs="宋体"/>
                <w:color w:val="000000"/>
                <w:sz w:val="20"/>
              </w:rPr>
              <w:t xml:space="preserve">进行可视化展示；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6、需提供摄像头和雷达算法代码包，并支持自主修改、二次开发；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7、设备需提供智能车机模拟系统及配套的国产高性能计算平台实验环境，且国产高性能计算平台支持与PC端进行操作实验；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8、需支持国产高性能平台相关烧录工具软件进行烧录，平台需提供对应操作手册；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9、需支持高性能计算平台远程登录工具软件；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10、需支持常用数据标注方法如Labelme；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11、需支持常用计算机视觉库OpenCV，完成数据处理相关任务；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12、需支持业界主流AI应用框架Pytorch、TensorFlow等；</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13、需支持国产AI应用开源框架，并且完成模型转换实验；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14、需支持计算机视觉常见算法如YOLO算法编译；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15、需支持适配高性能计算平台模型转换；</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16、需支持OCR（即光学字符识别）应用推理；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17、通过算法训练，支持实现计算机视觉图像检测功能及推理应用；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18、需支持计算机视觉主流任务图像分割。</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二、主要子部件规格</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1.单目摄像头：RTMP协议/有线联网，焦距</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=2.8mm，数量*1，图像分辨率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=1080P，帧率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=20fps；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2.鱼眼摄像头：RTMP协议/有线联网，焦距</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=1.6mm，数量*4，图像分辨率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=1080P，帧率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=20fps；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3.红外摄像头：RTMP协议/有线联网，焦距</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=2.8mm，数量*1，图像分辨率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=720P，帧率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=20fps；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4.双目摄像头：USB3.0，数量*1，图像分辨率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=1080P，帧率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=20fps；</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5.毫米波雷达：水平视角：远距不低于±9°、短距不低于45°</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垂直视角：不低于±3°；测距：远距不低于2m</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75m、短距不低于0.6m</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30m，测距精度远距±0.5m、短距±0.3m；最大目标数：不少于32个；</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6.激光雷达：测距范围：0.15m-6m；扫描角度0-360；俯仰角度±1.5°；测距分辨率&lt;0.5mm/&lt;实际距离的1%；测量频率</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=8000HZ；扫描频率：5.5HZ；</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7.环境感知计算平台：AI算力：半精度（FP16）：4 TFLOPS </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整数精度（INT8）：8 TOPS；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8.鸿蒙智能车机模拟系统：机身内存（ROM）不小于</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64GB；运行内存（RAM）不小于</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t xml:space="preserve">4 GB；屏幕分辨率不小于：1920x1200；国产操作系统；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实训台架：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1、实验台架设有底轮，可方便运输；</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2、台架内含使用手册、保修卡、拓扑图等说明材料及车道线模型、标定板等实验材料；</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3、各传感器需要设有独立点位，并做防静电环保。</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实训台架尺寸：尺寸：1000*650*1577mm</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公差：±3mm</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台</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6</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84</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5G全网一站式训练软件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一、网络规划模块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（一）无线规划实验：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1、支持根据规划任务，完成覆盖估算和容量规划；支持编辑覆盖估算参数；支持编辑容量规划参数；至少支持四个场景规划。</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    2、支持使用勘测工具，完成点位选取、现场勘察、塔桅选取等宏站勘察操作，填写勘察报告，设计宏站工程施工图纸。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    3、支持使用勘测工具，完成室分站现场勘察操作，填写勘察报告，支持设计室分站工程施工图纸。</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    4、支持参照《工业和信息化部关于印发信息通信建设工程预算定额、工程费用定额及工程概预算编制规程的通知》，完成工程概预算编制。</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（二）承载网规划实验：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1、支持根据规划任务，完成承载网环带宽与接入数量估算。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（三）核心网规划实验：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1、支持根据规划任务，完成核心网网元数量估算。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二、网络运维部署模块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（一）5G网络架构部署实验：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1、支持园区、城区、楼宇、交通等场景网络运维部署实验。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2、支持模拟SA独立组网，支持单基站、双基站的拓扑查看。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3、遵循基站实际部署场景，以网络部署、硬件的安装、上电、软调、运维、业务调测为基础，同时结合教学场景，进行步骤化实验；支持网元拓扑与硬件安装、软件调试模块联动。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4、支持3GPP R15协议标准的FR1频段，包括N1、N3、N8、N41、N77、N78、N79，以及FR2频段，包括N257、N258</w:t>
            </w:r>
            <w:r>
              <w:rPr>
                <w:rFonts w:hint="eastAsia" w:ascii="宋体" w:hAnsi="宋体" w:eastAsia="宋体" w:cs="宋体"/>
                <w:color w:val="000000"/>
                <w:sz w:val="20"/>
                <w:lang w:eastAsia="zh-CN"/>
              </w:rPr>
              <w:t xml:space="preserve">。</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5、支持多种空中接口带宽，包括20MHz、40MHz、60MHz、80MHz、100MHz。</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（二）5G基站硬件维护实验：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1、支持宏站硬件安装配置，包括BBU、主控板、基带板、电源板、AAU、HAAU、RRU、GNSS天线、光模块等基站模块的硬件安装、拆卸、上电等维护操作。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2、支持室分站硬件安装配置，包括BBU、主控板、基带板、电源板、射频单元、GNSS天线、光模块等基站模块的硬件安装、拆卸、上电等维护操作。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3、支持宏站场景单基站、宏站场景双基站、室分场景单基站、室分场景双基站的硬件部署，其中宏站场景每gNodeB支持不少于3个小区数，室分场景每gNodeB支持不少于6个小区数。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通过网元硬件安装、连线完成硬件拓扑设计，线缆包括传输光纤、CPRI光纤、超柔馈线、电源线；支持实现对基站单板的维护操作，功能包括复位单板、查询单板信息、显示CPU占用率、查询活动告警、闭塞单板、解闭单板。【需提供功能截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5、支持模拟硬件的不同状态，指示灯随着软硬件配置同步响应，呈现正常运行、故障、告警等不同状态。</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6、支持实景查看5G基站室外和室内的真实设备布置情况，包括通信铁塔、室外机柜、室内机柜；支持查看2D设备视图和3D设备视图。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（三）5G基站软件调测实验：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1、内置业界主流基站同源、核心网同源模拟调测系统，支持至少4个核心网网元MML命令配置，支持5G宏站、室分站的命令配置。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模拟业界主流设备远程管理平台的MML命令功能与操作页面，包括命令检索、命令辅助、命令执行、脚本编译、报文生成与操作、历史命令查看与操作、帮助文档查看。3、支持模拟业界主流设备远程管理平台的告警功能与操作页面，包括当前告警、告警日志、历史告警的告警运维，其中可对告警进行确定、反确定、清除、过滤、刷新等操作；支持查看告警详情信息，包括告警名称、ID、级别、告警源、MO对象、定位信息、清除状态、确认状态、发生时间。</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4、支持模拟业界主流设备远程管理平台的信令跟踪管理功能与操作页面，包括NG接口、Xn接口、Uu接口以及不少于10项业务数据跟踪；支持查看信令和信元。</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5、支持告警、信令与软硬件配置联动，遵循真实网络配置逻辑。</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6、支持对核心网及基站配置进行网元备份和恢复。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7、支持查看设备面板，基站设备及链路状态不少于10种。</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8、支持查看主拓扑图，支持在拓扑图中的基站节点上，可快速进入同步网元告警、查询告警/事件、MML命令、设备维护、查看工程状态、查看属性等操作。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9、支持性能指标查看，不少于50个；支持自定义性能指标创建，不少于20个。</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10、支持存量管理，查看基站中处于在线状态的机柜、机框、单板、版本等详细属性参数。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11、支持DHCP配置管理；支持通过MML命令查询远端维护通道自动建立结果信息。</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12、支持查看网元报表。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13、支持NR小区失效检测及恢复，支持预设KPI门限，包括RRC建立请求次数、RRC建立成功率、业务建立尝试次数、业务建立成功次数、业务释放次数、异常释放次数，并返回高于门限的基站详细参数。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14、支持软件管理专家，创建基站版本升级项目、创建升级批次，选择所需要升级的网元，完成基站版本升级操作。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15、支持查看基站参数，包括全局参数、设备参数、传输参数、无线参数；支持查看终端参数；支持参数修改与软件配置联动。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★16、基站软件调试，MML命令数量不少于400条。17、支持系统管理配置，包括版本管理、时间管理、License配置、应用管理、文件管理。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18、支持设备管理配置，包括基站维护配置、单板维护配置、射频维护管理、时钟维护配置、载波资源管理。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19、支持告警管理配置，包括查询活动告警、查询告警体制、设置告警级别、设置告警屏蔽标志、设置告警过滤参数。</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20、支持传输管理配置，包括传输层管理、物理层管理、链路层管理、传输算法管理、维护通道管理、性能测试。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21、支持gNodeB功能管理，包括gNodeB功能对象管理、gNBCU管理、gNBDU管理。</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22、核心网软件调试，AMF、SMF、NRF、UPF、UDM等网元MML命令数量合计不少于400条。</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23、支持AMF网元平台服务管理配置、业务服务管理配置。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24、支持SMF网元平台服务管理配置、业务服务管理配置。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25、支持NRF网元平台服务管理命令查看、业务服务管理命令查看。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26、支持UPF网元平台服务管理配置、用户面服务管理配置。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27、支持UDM网元操作维护系统配置、PGW Web LMT配置。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28、支持承载网软件调试，支持开启、关闭承载网在端到端网络配置逻辑中的判断。</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29、支持承载网设备管理配置，包括插槽连线示意图、Ethernet接口配置。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30、支持承载网基础配置下发，包括选择网元、选择链路、下发配置。</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31、支持承载网动态Tunnel配置，包括动态隧道基本属性、网元列表、工作隧道、工作隧道路由约束、计算路径、下发配置；支持显示隧道列表，包括业务名称、出接口类型、运行状态、源网元、宿网元、创建时间、修改时间。</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32、支持承载网静态L3VPN业务配置，包括业务接入接口、VRF、用户侧静态路由配置、端到端连通状态判断。</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33、支持模拟端到端网络故障，包括设备类故障、注册类故障、会话类故障、业务类故障；支持通过硬件安装、无线软件调试、承载网软件调试、核心网软件调试、UE与基站距离调整等操作，清除网络端到端故障。</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（四）5G无线网络覆盖分析实验：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1、支持基站无线网络覆盖的查看，根据AAU、RRU、HAAU及pRRU等射频模块配置情况显示不同的无线网络覆盖；支持根据不同信号强度显示不同颜色的覆盖区域。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2、支持信号覆盖区域与硬件射频单元联动，信号覆盖强度与无线MML命令配置联动。</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3、支持查看5G宏站场景的波束覆盖图、扇形覆盖图；支持查看5G室分站场景的网络覆盖图。</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4、支持通过设置终端的移动速率、移动方向，可视化展示站内/站间切换过程；支持查看网络信号详细信息，包括小区信息、小区覆盖、UE接收电平值、上传下载速率。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5、支持无线链路预算。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6、支持频点频率换算。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（五）5G无线业务模拟实验：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1、支持终端进行开关机、语音通话、短信业务模拟；支持终端进行上传下载业务、不同码率在线视频播放业务模拟。</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2、支持终端在不同移动速度情况下的业务模拟，支持实时查看终端的上传下载速率。</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3、支持查看终端工程模式。</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三、网络测试优化模块</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（一）网络测试工具操作实验：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1、内置模拟的路测工具，进行现网路测模拟。 </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（二）宏站单基站网络测试验证实验：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1、支持使用模拟的路测工具，进行宏站单基站CQT测试和DT测试，支持LOG导出。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2、支持编写宏站单基站网络测试验证报告。</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（三）室分站单基站网络测试验证实验：</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1、支持使用模拟的路测工具，进行室分单基站CQT测试和DT测试，支持LOG导出。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（四）网格优化测试：</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1、支持使用模拟的路测工具，进行网格优化测试，支持LOG导出。</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2、支持编写网格优化测试报告。</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85</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5G认证培训及实践实训软件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1、配套资源要求：本课程须配置理论PPT和视频，具体数量不少于6份理论PPT和75个视频；该课程配套的相关资源支持在平台上进行查看。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lang w:val="en-US" w:eastAsia="zh-CN"/>
              </w:rPr>
              <w:t xml:space="preserve">2</w:t>
            </w:r>
            <w:r>
              <w:rPr>
                <w:rFonts w:hint="eastAsia" w:ascii="宋体" w:hAnsi="宋体" w:eastAsia="宋体" w:cs="宋体"/>
                <w:color w:val="000000"/>
                <w:sz w:val="20"/>
              </w:rPr>
              <w:t xml:space="preserve">、包含但不限于以下知识点：5G无线网络原理概述、5G基站概述、5G基站基本操作、5G基站设备调测、5G无线网络基础特性概述、RF工具介绍及操作指导、5G网络测试及问题分析。</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28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86</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5G+AI分析挖掘实训软件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1、配套资源要求：本课程须配置理论PPT、实验手册和视频，具体数量不少于4份理论PPT，3份实验手册和25个视频；该课程配套的相关资源支持在平台上进行查看。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2、包含但不限于以下知识点或实验：5G+AI分析与挖掘概述、AI数据分析与挖掘前置知识、AI数据分析思维与挖掘流程、5G网络质差用户识别的AI实战、基于AI的5G虚拟栅格异频切换。</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r>
        <w:trPr>
          <w:trHeight w:val="520"/>
        </w:trPr>
        <w:tc>
          <w:tcPr>
            <w:tcBorders>
              <w:top w:val="none" w:color="000000" w:sz="4" w:space="0"/>
              <w:left w:val="single" w:color="000000" w:sz="4" w:space="0"/>
              <w:bottom w:val="single" w:color="000000" w:sz="4" w:space="0"/>
              <w:right w:val="single" w:color="000000" w:sz="4" w:space="0"/>
            </w:tcBorders>
            <w:tcW w:w="483"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87</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1167"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5G无线技术及部署综合实训软件</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950" w:type="dxa"/>
            <w:vAlign w:val="center"/>
            <w:textDirection w:val="lrTb"/>
            <w:noWrap w:val="false"/>
          </w:tcPr>
          <w:p>
            <w:pPr>
              <w:pStyle w:val="1004"/>
              <w:rPr>
                <w:rFonts w:hint="eastAsia" w:ascii="宋体" w:hAnsi="宋体" w:eastAsia="宋体" w:cs="宋体"/>
                <w:color w:val="000000"/>
                <w:sz w:val="20"/>
              </w:rPr>
            </w:pPr>
            <w:r>
              <w:rPr>
                <w:rFonts w:hint="eastAsia" w:ascii="宋体" w:hAnsi="宋体" w:eastAsia="宋体" w:cs="宋体"/>
                <w:color w:val="000000"/>
                <w:sz w:val="20"/>
              </w:rPr>
              <w:t xml:space="preserve">1、配套资源要求：本课程须配置理论PPT、实验手册和视频，具体数量不少于3份理论PPT，25份实验手册和100个视频；该课程配套的相关资源支持在平台上进行查看。</w:t>
            </w:r>
            <w:r>
              <w:rPr>
                <w:rFonts w:hint="eastAsia" w:ascii="宋体" w:hAnsi="宋体" w:eastAsia="宋体" w:cs="宋体"/>
                <w:color w:val="000000"/>
                <w:sz w:val="20"/>
              </w:rPr>
              <w:br w:type="textWrapping" w:clear="all"/>
            </w:r>
            <w:r>
              <w:rPr>
                <w:rFonts w:hint="eastAsia" w:ascii="宋体" w:hAnsi="宋体" w:eastAsia="宋体" w:cs="宋体"/>
                <w:color w:val="000000"/>
                <w:sz w:val="20"/>
              </w:rPr>
              <w:t xml:space="preserve">2、包含但不限于以下知识点或实验：5G基站初始数据配置、5G宏站站型开通实训、5G室分站站型开通实训、5G基站操作维护介绍、5G基站操作维护实训、5G宏站基本故障介绍、5G宏站故障处理实训、5G室分站点故障处理实训、5G基站综合实训。</w:t>
            </w:r>
            <w:r>
              <w:rPr>
                <w:rFonts w:hint="eastAsia" w:ascii="宋体" w:hAnsi="宋体" w:eastAsia="宋体" w:cs="宋体"/>
                <w:color w:val="000000"/>
                <w:sz w:val="20"/>
              </w:rPr>
            </w:r>
            <w:r/>
          </w:p>
        </w:tc>
        <w:tc>
          <w:tcPr>
            <w:tcBorders>
              <w:top w:val="none" w:color="000000" w:sz="4" w:space="0"/>
              <w:left w:val="none" w:color="000000" w:sz="4" w:space="0"/>
              <w:bottom w:val="single" w:color="000000" w:sz="4" w:space="0"/>
              <w:right w:val="single" w:color="000000" w:sz="4" w:space="0"/>
            </w:tcBorders>
            <w:tcW w:w="500" w:type="dxa"/>
            <w:vAlign w:val="center"/>
            <w:textDirection w:val="lrTb"/>
            <w:noWrap w:val="false"/>
          </w:tcPr>
          <w:p>
            <w:pPr>
              <w:pStyle w:val="1004"/>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506" w:type="dxa"/>
            <w:vAlign w:val="center"/>
            <w:textDirection w:val="lrTb"/>
            <w:noWrap w:val="false"/>
          </w:tcPr>
          <w:p>
            <w:pPr>
              <w:pStyle w:val="1004"/>
              <w:jc w:val="center"/>
              <w:rPr>
                <w:rFonts w:hint="eastAsia" w:ascii="宋体" w:hAnsi="宋体" w:eastAsia="宋体" w:cs="宋体"/>
                <w:color w:val="000000"/>
                <w:sz w:val="20"/>
              </w:rPr>
            </w:pPr>
            <w:r>
              <w:rPr>
                <w:rFonts w:hint="eastAsia" w:ascii="宋体" w:hAnsi="宋体" w:eastAsia="宋体" w:cs="宋体"/>
                <w:color w:val="000000"/>
                <w:sz w:val="20"/>
              </w:rPr>
              <w:t xml:space="preserve">1</w:t>
            </w:r>
            <w:r>
              <w:rPr>
                <w:rFonts w:hint="eastAsia" w:ascii="宋体" w:hAnsi="宋体" w:eastAsia="宋体" w:cs="宋体"/>
                <w:color w:val="000000"/>
                <w:sz w:val="20"/>
              </w:rPr>
            </w:r>
            <w:r/>
          </w:p>
        </w:tc>
      </w:tr>
    </w:tbl>
    <w:p>
      <w:pPr>
        <w:pStyle w:val="1004"/>
        <w:ind w:firstLine="422"/>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w:t>
      </w:r>
      <w:r>
        <w:rPr>
          <w:rFonts w:hint="eastAsia" w:ascii="宋体" w:hAnsi="宋体" w:eastAsia="宋体" w:cs="宋体"/>
          <w:b/>
          <w:bCs/>
          <w:color w:val="000000"/>
          <w:sz w:val="21"/>
          <w:szCs w:val="21"/>
        </w:rPr>
      </w:r>
      <w:r/>
    </w:p>
    <w:p>
      <w:pPr>
        <w:pStyle w:val="1004"/>
        <w:ind w:firstLine="422"/>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1、本次不采购进口产品。</w:t>
      </w:r>
      <w:r>
        <w:rPr>
          <w:rFonts w:hint="eastAsia" w:ascii="宋体" w:hAnsi="宋体" w:eastAsia="宋体" w:cs="宋体"/>
          <w:b/>
          <w:bCs/>
          <w:color w:val="000000"/>
          <w:sz w:val="21"/>
          <w:szCs w:val="21"/>
        </w:rPr>
      </w:r>
      <w:r/>
    </w:p>
    <w:p>
      <w:pPr>
        <w:pStyle w:val="1004"/>
        <w:ind w:firstLine="422"/>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2、本项目确定核心产品为：人工智能教学及实验一体化软件。</w:t>
      </w:r>
      <w:r>
        <w:rPr>
          <w:rFonts w:hint="eastAsia" w:ascii="宋体" w:hAnsi="宋体" w:eastAsia="宋体" w:cs="宋体"/>
          <w:b/>
          <w:bCs/>
          <w:color w:val="000000"/>
          <w:sz w:val="21"/>
          <w:szCs w:val="21"/>
        </w:rPr>
      </w:r>
      <w:r/>
    </w:p>
    <w:p>
      <w:pPr>
        <w:pStyle w:val="1004"/>
        <w:ind w:firstLine="422"/>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（二）技术服务要求</w:t>
      </w:r>
      <w:r>
        <w:rPr>
          <w:rFonts w:hint="eastAsia" w:ascii="宋体" w:hAnsi="宋体" w:eastAsia="宋体" w:cs="宋体"/>
          <w:b/>
          <w:bCs/>
          <w:color w:val="000000"/>
          <w:sz w:val="21"/>
          <w:szCs w:val="21"/>
        </w:rPr>
      </w:r>
      <w:r/>
    </w:p>
    <w:p>
      <w:pPr>
        <w:pStyle w:val="1004"/>
        <w:spacing w:line="0" w:lineRule="atLeast"/>
        <w:rPr>
          <w:rFonts w:hint="eastAsia" w:ascii="宋体" w:hAnsi="宋体" w:eastAsia="宋体" w:cs="宋体"/>
          <w:b/>
          <w:bCs/>
          <w:i/>
          <w:color w:val="000000"/>
          <w:szCs w:val="21"/>
          <w:u w:val="single"/>
        </w:rPr>
      </w:pPr>
      <w:r>
        <w:rPr>
          <w:rFonts w:hint="eastAsia" w:ascii="宋体" w:hAnsi="宋体" w:eastAsia="宋体" w:cs="宋体"/>
          <w:b/>
          <w:bCs/>
          <w:i/>
          <w:color w:val="000000"/>
          <w:szCs w:val="24"/>
          <w:u w:val="single"/>
        </w:rPr>
        <w:t xml:space="preserve">其中</w:t>
      </w:r>
      <w:r>
        <w:rPr>
          <w:rFonts w:hint="eastAsia" w:ascii="宋体" w:hAnsi="宋体" w:eastAsia="宋体" w:cs="宋体"/>
          <w:b/>
          <w:bCs/>
          <w:i/>
          <w:color w:val="000000"/>
          <w:szCs w:val="21"/>
          <w:u w:val="single"/>
        </w:rPr>
        <w:t xml:space="preserve">斜体且有下划线部分为实质性要求。</w:t>
      </w:r>
      <w:r>
        <w:rPr>
          <w:rFonts w:hint="eastAsia" w:ascii="宋体" w:hAnsi="宋体" w:eastAsia="宋体" w:cs="宋体"/>
          <w:b/>
          <w:bCs/>
          <w:i/>
          <w:color w:val="000000"/>
          <w:szCs w:val="21"/>
          <w:u w:val="single"/>
        </w:rPr>
      </w:r>
      <w:r/>
    </w:p>
    <w:p>
      <w:pPr>
        <w:pStyle w:val="1004"/>
        <w:ind w:firstLine="482"/>
        <w:spacing w:line="0" w:lineRule="atLeast"/>
        <w:rPr>
          <w:rFonts w:hint="eastAsia" w:ascii="宋体" w:hAnsi="宋体" w:eastAsia="宋体" w:cs="宋体"/>
          <w:b/>
          <w:i/>
          <w:iCs/>
          <w:color w:val="000000"/>
          <w:szCs w:val="24"/>
          <w:u w:val="single"/>
        </w:rPr>
      </w:pPr>
      <w:r>
        <w:rPr>
          <w:rFonts w:hint="eastAsia" w:ascii="宋体" w:hAnsi="宋体" w:eastAsia="宋体" w:cs="宋体"/>
          <w:b/>
          <w:i/>
          <w:iCs/>
          <w:color w:val="000000"/>
          <w:szCs w:val="24"/>
          <w:u w:val="single"/>
        </w:rPr>
        <w:t xml:space="preserve">1、投标方所提供产品必须是相应制造厂商生产并提供的原装合格产品，本项目不接受针对该项目要求特定开发的产品投标。</w:t>
      </w:r>
      <w:r>
        <w:rPr>
          <w:rFonts w:hint="eastAsia" w:ascii="宋体" w:hAnsi="宋体" w:eastAsia="宋体" w:cs="宋体"/>
          <w:b/>
          <w:i/>
          <w:iCs/>
          <w:color w:val="000000"/>
          <w:szCs w:val="24"/>
          <w:u w:val="single"/>
        </w:rPr>
      </w:r>
      <w:r/>
    </w:p>
    <w:p>
      <w:pPr>
        <w:pStyle w:val="1004"/>
        <w:ind w:firstLine="482"/>
        <w:spacing w:line="0" w:lineRule="atLeast"/>
        <w:rPr>
          <w:rFonts w:hint="eastAsia" w:ascii="宋体" w:hAnsi="宋体" w:eastAsia="宋体" w:cs="宋体"/>
          <w:b/>
          <w:i/>
          <w:iCs/>
          <w:color w:val="000000"/>
          <w:szCs w:val="24"/>
          <w:u w:val="single"/>
        </w:rPr>
      </w:pPr>
      <w:r>
        <w:rPr>
          <w:rFonts w:hint="eastAsia" w:ascii="宋体" w:hAnsi="宋体" w:eastAsia="宋体" w:cs="宋体"/>
          <w:b/>
          <w:i/>
          <w:iCs/>
          <w:color w:val="000000"/>
          <w:szCs w:val="24"/>
          <w:u w:val="single"/>
        </w:rPr>
        <w:t xml:space="preserve">2、实训软件提供三年质保服务，实训软件质保服务包括bug修复、课程内容更新等，以及具备后期根据客户需求进行定制开发能力的保障。</w:t>
      </w:r>
      <w:r>
        <w:rPr>
          <w:rFonts w:hint="eastAsia" w:ascii="宋体" w:hAnsi="宋体" w:eastAsia="宋体" w:cs="宋体"/>
          <w:b/>
          <w:i/>
          <w:iCs/>
          <w:color w:val="000000"/>
          <w:szCs w:val="24"/>
          <w:u w:val="single"/>
        </w:rPr>
      </w:r>
      <w:r/>
    </w:p>
    <w:p>
      <w:pPr>
        <w:pStyle w:val="1004"/>
        <w:ind w:firstLine="482"/>
        <w:spacing w:line="0" w:lineRule="atLeast"/>
        <w:rPr>
          <w:rFonts w:hint="eastAsia" w:ascii="宋体" w:hAnsi="宋体" w:eastAsia="宋体" w:cs="宋体"/>
          <w:b/>
          <w:i/>
          <w:iCs/>
          <w:color w:val="000000"/>
          <w:szCs w:val="24"/>
          <w:u w:val="single"/>
        </w:rPr>
      </w:pPr>
      <w:r>
        <w:rPr>
          <w:rFonts w:hint="eastAsia" w:ascii="宋体" w:hAnsi="宋体" w:eastAsia="宋体" w:cs="宋体"/>
          <w:b/>
          <w:i/>
          <w:iCs/>
          <w:color w:val="000000"/>
          <w:szCs w:val="24"/>
          <w:u w:val="single"/>
        </w:rPr>
        <w:t xml:space="preserve">3、中标方须在合同签订前 3个工作日内联系业主按照投标文件视频演示内容进行产品现场测试。不提供现场测试或测试内容与投标文件视频演示部分不符的，业主有权终止采购合同签订等后续事宜。</w:t>
      </w:r>
      <w:r>
        <w:rPr>
          <w:rFonts w:hint="eastAsia" w:ascii="宋体" w:hAnsi="宋体" w:eastAsia="宋体" w:cs="宋体"/>
          <w:b/>
          <w:i/>
          <w:iCs/>
          <w:color w:val="000000"/>
          <w:szCs w:val="24"/>
          <w:u w:val="single"/>
        </w:rPr>
      </w:r>
      <w:r/>
    </w:p>
    <w:p>
      <w:pPr>
        <w:pStyle w:val="1004"/>
        <w:ind w:firstLine="482"/>
        <w:spacing w:line="0" w:lineRule="atLeast"/>
        <w:rPr>
          <w:rFonts w:hint="eastAsia" w:ascii="宋体" w:hAnsi="宋体" w:eastAsia="宋体" w:cs="宋体"/>
          <w:b/>
          <w:i/>
          <w:iCs/>
          <w:color w:val="000000"/>
          <w:szCs w:val="24"/>
          <w:u w:val="single"/>
        </w:rPr>
      </w:pPr>
      <w:r>
        <w:rPr>
          <w:rFonts w:hint="eastAsia" w:ascii="宋体" w:hAnsi="宋体" w:eastAsia="宋体" w:cs="宋体"/>
          <w:b/>
          <w:i/>
          <w:iCs/>
          <w:color w:val="000000"/>
          <w:szCs w:val="24"/>
          <w:u w:val="single"/>
        </w:rPr>
        <w:t xml:space="preserve">4、考虑教学实训兼容性，所采购的人工智能教学及实验一体化软件、大数据一体实验软件、大模型实训</w:t>
      </w:r>
      <w:r>
        <w:rPr>
          <w:rFonts w:hint="eastAsia" w:ascii="宋体" w:hAnsi="宋体" w:eastAsia="宋体" w:cs="宋体"/>
          <w:b/>
          <w:i/>
          <w:iCs/>
          <w:color w:val="000000"/>
          <w:szCs w:val="24"/>
          <w:u w:val="single"/>
          <w:lang w:eastAsia="zh-CN"/>
        </w:rPr>
        <w:t xml:space="preserve">软件</w:t>
      </w:r>
      <w:r>
        <w:rPr>
          <w:rFonts w:hint="eastAsia" w:ascii="宋体" w:hAnsi="宋体" w:eastAsia="宋体" w:cs="宋体"/>
          <w:b/>
          <w:i/>
          <w:iCs/>
          <w:color w:val="000000"/>
          <w:szCs w:val="24"/>
          <w:u w:val="single"/>
        </w:rPr>
        <w:t xml:space="preserve">、数通真机管理软件、鸿蒙基础实验软件需兼容部署在同一个平台。</w:t>
      </w:r>
      <w:r>
        <w:rPr>
          <w:rFonts w:hint="eastAsia" w:ascii="宋体" w:hAnsi="宋体" w:eastAsia="宋体" w:cs="宋体"/>
          <w:b/>
          <w:i/>
          <w:iCs/>
          <w:color w:val="000000"/>
          <w:szCs w:val="24"/>
          <w:u w:val="single"/>
        </w:rPr>
      </w:r>
      <w:r/>
    </w:p>
    <w:p>
      <w:pPr>
        <w:pStyle w:val="1004"/>
        <w:ind w:firstLine="482"/>
        <w:spacing w:line="0" w:lineRule="atLeast"/>
        <w:rPr>
          <w:rFonts w:hint="eastAsia" w:ascii="宋体" w:hAnsi="宋体" w:eastAsia="宋体" w:cs="宋体"/>
          <w:b/>
          <w:i/>
          <w:iCs/>
          <w:color w:val="000000"/>
          <w:szCs w:val="24"/>
          <w:u w:val="single"/>
        </w:rPr>
      </w:pPr>
      <w:r>
        <w:rPr>
          <w:rFonts w:hint="eastAsia" w:ascii="宋体" w:hAnsi="宋体" w:eastAsia="宋体" w:cs="宋体"/>
          <w:b/>
          <w:i/>
          <w:iCs/>
          <w:color w:val="000000"/>
          <w:szCs w:val="24"/>
          <w:u w:val="single"/>
        </w:rPr>
        <w:t xml:space="preserve">投标人须针对以上内容提供承诺函并加盖公章，否则将作无效投标处理。</w:t>
      </w:r>
      <w:r>
        <w:rPr>
          <w:rFonts w:hint="eastAsia" w:ascii="宋体" w:hAnsi="宋体" w:eastAsia="宋体" w:cs="宋体"/>
          <w:b/>
          <w:i/>
          <w:iCs/>
          <w:color w:val="000000"/>
          <w:szCs w:val="24"/>
          <w:u w:val="single"/>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项目团队要求：需提供本项目的详细工作进度安排和项目组人员配备方案。为保证本项目建设过程中，沟通和协调的便利，供应商须指定一名项目负责人。项目建设过程中一旦出现问题，项目负责人应该能及时赶到现场。</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现场人员接受甲方统一管理，必须遵守甲方安全操作规范。</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2、项目实施要求</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（1）项目进度要求</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自采购合同签订之日起30天内完成硬件供货，90天内完成项目所有服务内容并上线试运行，试运行周期为1个月。</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（2）交货及安装要求</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供应商保证其提供的设备中所有预装和为本项目安装的软件为具有合法版权或使用权的正版软件且无质量瑕疵，且为该产品的当前最新版本或最适合用户的版本。 </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在供应商的设备安装工程师到来之前，由用户确保机房和其它安装场地配备符合货物安装的要求设施。 </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派遣有经验的设备原厂商技术人员组成工作小组到现场实施技术服务，包括设备安装、软硬件的调试和调优服务、现场培训等。并且提供工作小组成员名单及联系方式（包括电话、手机、传真及电子邮件等），设备安装调试的主要目标是使采购设备能够正常运行，确保与之</w:t>
      </w:r>
      <w:r>
        <w:rPr>
          <w:rFonts w:hint="eastAsia" w:ascii="宋体" w:hAnsi="宋体" w:eastAsia="宋体" w:cs="宋体"/>
          <w:color w:val="000000"/>
          <w:sz w:val="21"/>
          <w:szCs w:val="21"/>
          <w:lang w:eastAsia="zh-CN"/>
        </w:rPr>
        <w:t xml:space="preserve">相连</w:t>
      </w:r>
      <w:r>
        <w:rPr>
          <w:rFonts w:hint="eastAsia" w:ascii="宋体" w:hAnsi="宋体" w:eastAsia="宋体" w:cs="宋体"/>
          <w:color w:val="000000"/>
          <w:sz w:val="21"/>
          <w:szCs w:val="21"/>
        </w:rPr>
        <w:t xml:space="preserve">的全部设备正常联通、设备上安装的软件正常运行并能支持其他相关软件的正常运行。 </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设备原厂商在安装设备之前，应先对用户的相关人员进行现场培训，并在用户相关技术人员的监督下进行安装、检测和排除故障。供应商和设备原厂商不得在现场安装未经用户批准的任何设备。</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（3）服务人员要求</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服务项目组织是项目实施的基础，针对本项目实行项目负责制。项目组织结构设计的思路是运用项目管理的概念，采用矩阵式的组织形式，以人事命令的形式任命项目经理并约定其</w:t>
      </w:r>
      <w:r>
        <w:rPr>
          <w:rFonts w:hint="eastAsia" w:ascii="宋体" w:hAnsi="宋体" w:eastAsia="宋体" w:cs="宋体"/>
          <w:color w:val="000000"/>
          <w:sz w:val="21"/>
          <w:szCs w:val="21"/>
          <w:lang w:eastAsia="zh-CN"/>
        </w:rPr>
        <w:t xml:space="preserve">权利和义务</w:t>
      </w:r>
      <w:r>
        <w:rPr>
          <w:rFonts w:hint="eastAsia" w:ascii="宋体" w:hAnsi="宋体" w:eastAsia="宋体" w:cs="宋体"/>
          <w:color w:val="000000"/>
          <w:sz w:val="21"/>
          <w:szCs w:val="21"/>
        </w:rPr>
        <w:t xml:space="preserve">，以保证项目目标的实现。项目经理根据需要向职能部门和专业所协调配备所需的人力资源，形成临时性项目部，在执行项目的进度目标时，受项目经理领导，职能部室负责对员工进行技术培训，同时控制本专业的质量。</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针对以前的项目经验，为了使项目组的资源能够有效地控制，各部门的责任主要负责人被赋予相应的权限，在职责范围内使各种资源在项目组中</w:t>
      </w:r>
      <w:r>
        <w:rPr>
          <w:rFonts w:hint="eastAsia" w:ascii="宋体" w:hAnsi="宋体" w:eastAsia="宋体" w:cs="宋体"/>
          <w:color w:val="000000"/>
          <w:sz w:val="21"/>
          <w:szCs w:val="21"/>
          <w:lang w:eastAsia="zh-CN"/>
        </w:rPr>
        <w:t xml:space="preserve">得到更好的</w:t>
      </w:r>
      <w:r>
        <w:rPr>
          <w:rFonts w:hint="eastAsia" w:ascii="宋体" w:hAnsi="宋体" w:eastAsia="宋体" w:cs="宋体"/>
          <w:color w:val="000000"/>
          <w:sz w:val="21"/>
          <w:szCs w:val="21"/>
        </w:rPr>
        <w:t xml:space="preserve">利用。</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1472"/>
        <w:gridCol w:w="4716"/>
        <w:gridCol w:w="1248"/>
      </w:tblGrid>
      <w:tr>
        <w:trPr>
          <w:trHeight w:val="567"/>
        </w:trPr>
        <w:tc>
          <w:tcPr>
            <w:tcW w:w="1170"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472"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项目职务</w:t>
            </w:r>
            <w:r>
              <w:rPr>
                <w:rFonts w:hint="eastAsia" w:ascii="宋体" w:hAnsi="宋体" w:eastAsia="宋体" w:cs="宋体"/>
                <w:color w:val="000000"/>
                <w:sz w:val="21"/>
                <w:szCs w:val="21"/>
              </w:rPr>
            </w:r>
            <w:r/>
          </w:p>
        </w:tc>
        <w:tc>
          <w:tcPr>
            <w:tcW w:w="4716"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岗位职责</w:t>
            </w:r>
            <w:r>
              <w:rPr>
                <w:rFonts w:hint="eastAsia" w:ascii="宋体" w:hAnsi="宋体" w:eastAsia="宋体" w:cs="宋体"/>
                <w:color w:val="000000"/>
                <w:sz w:val="21"/>
                <w:szCs w:val="21"/>
              </w:rPr>
            </w:r>
            <w:r/>
          </w:p>
        </w:tc>
        <w:tc>
          <w:tcPr>
            <w:tcW w:w="1248"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人员数量</w:t>
            </w:r>
            <w:r>
              <w:rPr>
                <w:rFonts w:hint="eastAsia" w:ascii="宋体" w:hAnsi="宋体" w:eastAsia="宋体" w:cs="宋体"/>
                <w:color w:val="000000"/>
                <w:sz w:val="21"/>
                <w:szCs w:val="21"/>
              </w:rPr>
            </w:r>
            <w:r/>
          </w:p>
        </w:tc>
      </w:tr>
      <w:tr>
        <w:trPr>
          <w:trHeight w:val="567"/>
        </w:trPr>
        <w:tc>
          <w:tcPr>
            <w:tcW w:w="1170"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472" w:type="dxa"/>
            <w:vAlign w:val="center"/>
            <w:textDirection w:val="lrTb"/>
            <w:noWrap w:val="false"/>
          </w:tcPr>
          <w:p>
            <w:pPr>
              <w:pStyle w:val="1004"/>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项目经理（PM）</w:t>
            </w:r>
            <w:r>
              <w:rPr>
                <w:rFonts w:hint="eastAsia" w:ascii="宋体" w:hAnsi="宋体" w:eastAsia="宋体" w:cs="宋体"/>
                <w:color w:val="000000"/>
                <w:sz w:val="21"/>
                <w:szCs w:val="21"/>
              </w:rPr>
            </w:r>
            <w:r/>
          </w:p>
        </w:tc>
        <w:tc>
          <w:tcPr>
            <w:tcW w:w="4716" w:type="dxa"/>
            <w:vAlign w:val="center"/>
            <w:textDirection w:val="lrTb"/>
            <w:noWrap w:val="false"/>
          </w:tcPr>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贯彻国家、采购方及公司各项法规、规定及各项规章制度，与公司签订项目管理目标责任状，本项目的第一责任人；</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适时沟通，确立项目目标，建立组织机构，编制计划，负责项目全面管理；</w:t>
            </w:r>
            <w:r>
              <w:rPr>
                <w:rFonts w:hint="eastAsia" w:ascii="宋体" w:hAnsi="宋体" w:eastAsia="宋体" w:cs="宋体"/>
                <w:color w:val="000000"/>
                <w:sz w:val="21"/>
                <w:szCs w:val="21"/>
              </w:rPr>
            </w:r>
            <w:r/>
          </w:p>
        </w:tc>
        <w:tc>
          <w:tcPr>
            <w:tcW w:w="1248"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w:t>
            </w:r>
            <w:r>
              <w:rPr>
                <w:rFonts w:hint="eastAsia" w:ascii="宋体" w:hAnsi="宋体" w:eastAsia="宋体" w:cs="宋体"/>
                <w:color w:val="000000"/>
                <w:sz w:val="21"/>
                <w:szCs w:val="21"/>
              </w:rPr>
            </w:r>
            <w:r/>
          </w:p>
        </w:tc>
      </w:tr>
      <w:tr>
        <w:trPr>
          <w:trHeight w:val="567"/>
        </w:trPr>
        <w:tc>
          <w:tcPr>
            <w:tcW w:w="1170"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472" w:type="dxa"/>
            <w:vAlign w:val="center"/>
            <w:textDirection w:val="lrTb"/>
            <w:noWrap w:val="false"/>
          </w:tcPr>
          <w:p>
            <w:pPr>
              <w:pStyle w:val="1004"/>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技术负责人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TM</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4716" w:type="dxa"/>
            <w:vAlign w:val="center"/>
            <w:textDirection w:val="lrTb"/>
            <w:noWrap w:val="false"/>
          </w:tcPr>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对项目集成技术、方案总负责；</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适时跟相关责任人沟通技术问题；</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主导技术准备工作，为项目经理出谋划策。</w:t>
            </w:r>
            <w:r>
              <w:rPr>
                <w:rFonts w:hint="eastAsia" w:ascii="宋体" w:hAnsi="宋体" w:eastAsia="宋体" w:cs="宋体"/>
                <w:color w:val="000000"/>
                <w:sz w:val="21"/>
                <w:szCs w:val="21"/>
              </w:rPr>
            </w:r>
            <w:r/>
          </w:p>
        </w:tc>
        <w:tc>
          <w:tcPr>
            <w:tcW w:w="1248"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w:t>
            </w:r>
            <w:r>
              <w:rPr>
                <w:rFonts w:hint="eastAsia" w:ascii="宋体" w:hAnsi="宋体" w:eastAsia="宋体" w:cs="宋体"/>
                <w:color w:val="000000"/>
                <w:sz w:val="21"/>
                <w:szCs w:val="21"/>
              </w:rPr>
            </w:r>
            <w:r/>
          </w:p>
        </w:tc>
      </w:tr>
      <w:tr>
        <w:trPr>
          <w:trHeight w:val="567"/>
        </w:trPr>
        <w:tc>
          <w:tcPr>
            <w:tcW w:w="1170"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472" w:type="dxa"/>
            <w:vAlign w:val="center"/>
            <w:textDirection w:val="lrTb"/>
            <w:noWrap w:val="false"/>
          </w:tcPr>
          <w:p>
            <w:pPr>
              <w:pStyle w:val="1004"/>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 施 组及技术支持组</w:t>
            </w:r>
            <w:r>
              <w:rPr>
                <w:rFonts w:hint="eastAsia" w:ascii="宋体" w:hAnsi="宋体" w:eastAsia="宋体" w:cs="宋体"/>
                <w:color w:val="000000"/>
                <w:sz w:val="21"/>
                <w:szCs w:val="21"/>
              </w:rPr>
            </w:r>
            <w:r/>
          </w:p>
        </w:tc>
        <w:tc>
          <w:tcPr>
            <w:tcW w:w="4716" w:type="dxa"/>
            <w:vAlign w:val="center"/>
            <w:textDirection w:val="lrTb"/>
            <w:noWrap w:val="false"/>
          </w:tcPr>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负责硬件调试；</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负责方案实施； </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负责业务迁移及测试；</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负责现场技术的保障工作；</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负责系统调试，系统性能、功能测试；</w:t>
            </w:r>
            <w:r>
              <w:rPr>
                <w:rFonts w:hint="eastAsia" w:ascii="宋体" w:hAnsi="宋体" w:eastAsia="宋体" w:cs="宋体"/>
                <w:color w:val="000000"/>
                <w:sz w:val="21"/>
                <w:szCs w:val="21"/>
              </w:rPr>
            </w:r>
            <w:r/>
          </w:p>
          <w:p>
            <w:pPr>
              <w:pStyle w:val="1004"/>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 负责技术文档记录、编写、提交。</w:t>
            </w:r>
            <w:r>
              <w:rPr>
                <w:rFonts w:hint="eastAsia" w:ascii="宋体" w:hAnsi="宋体" w:eastAsia="宋体" w:cs="宋体"/>
                <w:color w:val="000000"/>
                <w:sz w:val="21"/>
                <w:szCs w:val="21"/>
              </w:rPr>
            </w:r>
            <w:r/>
          </w:p>
        </w:tc>
        <w:tc>
          <w:tcPr>
            <w:tcW w:w="1248" w:type="dxa"/>
            <w:vAlign w:val="center"/>
            <w:textDirection w:val="lrTb"/>
            <w:noWrap w:val="false"/>
          </w:tcPr>
          <w:p>
            <w:pPr>
              <w:pStyle w:val="1004"/>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不少于2人</w:t>
            </w:r>
            <w:r>
              <w:rPr>
                <w:rFonts w:hint="eastAsia" w:ascii="宋体" w:hAnsi="宋体" w:eastAsia="宋体" w:cs="宋体"/>
                <w:color w:val="000000"/>
                <w:sz w:val="21"/>
                <w:szCs w:val="21"/>
              </w:rPr>
            </w:r>
            <w:r/>
          </w:p>
        </w:tc>
      </w:tr>
    </w:tbl>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4、验收标准</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装前验收：安装开始前，中标单位工程师和采购单位的代表根据中标单位提供的设备进行确认。一旦清单与招标要求不符或发现缺损、不实，中标单位须立即予以更换，有关费用全部由中标单位承担，并自行承担后果。 </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验收标准：响应单位所提供服务应满足采购文件要求和响应文件中所</w:t>
      </w:r>
      <w:r>
        <w:rPr>
          <w:rFonts w:hint="eastAsia" w:ascii="宋体" w:hAnsi="宋体" w:eastAsia="宋体" w:cs="宋体"/>
          <w:color w:val="000000"/>
          <w:sz w:val="21"/>
          <w:szCs w:val="21"/>
          <w:lang w:eastAsia="zh-CN"/>
        </w:rPr>
        <w:t xml:space="preserve">作</w:t>
      </w:r>
      <w:r>
        <w:rPr>
          <w:rFonts w:hint="eastAsia" w:ascii="宋体" w:hAnsi="宋体" w:eastAsia="宋体" w:cs="宋体"/>
          <w:color w:val="000000"/>
          <w:sz w:val="21"/>
          <w:szCs w:val="21"/>
        </w:rPr>
        <w:t xml:space="preserve">的承诺。在正式进入服务期前，响应单位应向采购人提出交付使用的验收申请，由采购人组织关于交付使用的验收、形成验收意见并出具书面验收合格报告。</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5、质量保证及售后服务</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本次项目所有软硬件设备将严格按照招标需求提供维保服务。</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供应商在保修期内更换的任何零配件，必须是其原产品厂家生产的或是经其认可的。所有的替代零配件必须是新的未使用和未经修复的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除非用户提供书面许可，不可使用其他替代配件。 </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故障共享：供应商无偿提供用户所有货物在全世界范围内的实例分析和故障解决文档共享，并形成定期通报制度。</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详细阐述技术服务提供商在质量保证期内的技术支持和售后服务的内容、方式与范围，技术支持及售后服务内容应包括但不限于下述内容：升级服务、巡检服务、性能调优、故障排除和故障排除所需的备件更换（含备件本身）等。 </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在质量保证期内，支持软硬件部分为客户提供7*24小时问题统一受理平台且提供5*8小时远程问题处理服务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就有关设备或网络的技术咨询及问题，进行远程技术支持和处理。要求应在 2 小时内做出实质性反应，及时解决系统运行中的问题。  </w:t>
      </w:r>
      <w:r>
        <w:rPr>
          <w:rFonts w:hint="eastAsia" w:ascii="宋体" w:hAnsi="宋体" w:eastAsia="宋体" w:cs="宋体"/>
          <w:color w:val="000000"/>
          <w:sz w:val="21"/>
          <w:szCs w:val="21"/>
        </w:rPr>
      </w:r>
      <w:r/>
    </w:p>
    <w:p>
      <w:pPr>
        <w:pStyle w:val="1004"/>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供应商须认真理解上述售后服务要求，详细列出售后服务方案和系统应急方案。</w:t>
      </w:r>
      <w:r>
        <w:rPr>
          <w:rFonts w:hint="eastAsia" w:ascii="宋体" w:hAnsi="宋体" w:eastAsia="宋体" w:cs="宋体"/>
          <w:color w:val="000000"/>
          <w:sz w:val="21"/>
          <w:szCs w:val="21"/>
        </w:rPr>
      </w:r>
      <w:r/>
    </w:p>
    <w:p>
      <w:pPr>
        <w:pStyle w:val="1004"/>
        <w:ind w:firstLine="422"/>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五、综合说明：</w:t>
      </w:r>
      <w:r>
        <w:rPr>
          <w:rFonts w:hint="eastAsia" w:ascii="宋体" w:hAnsi="宋体" w:eastAsia="宋体" w:cs="宋体"/>
          <w:b/>
          <w:bCs/>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1、知识产权的要求</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（1）本项目全部知识产权均归采购人所有（独有），未经采购人书面同意，无论是否被采购人所采用中标人均不得对外发布。</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（2）采购人提供的资料文件，中标人具有保密义务。</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（3）中标人为本项目而引用、收集其他社会上的文件、资料所涉及的知识产权费用和法律纠纷由中标人自行负责，由此而引起的法律纠纷以及费用须由中标人全部承担。</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2、若因国家法规、政策变动导致本项目无法执行，则合同自动终止，合同双方互不追究任何责任。</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bookmarkEnd w:id="10"/>
      <w:r/>
      <w:bookmarkStart w:id="11" w:name="_Toc13642118"/>
      <w:r/>
      <w:bookmarkStart w:id="12" w:name="_Toc142194273"/>
      <w:r/>
      <w:bookmarkStart w:id="13" w:name="_Toc13889378"/>
      <w:r>
        <w:rPr>
          <w:rFonts w:hint="eastAsia" w:ascii="宋体" w:hAnsi="宋体" w:eastAsia="宋体" w:cs="宋体"/>
          <w:color w:val="000000"/>
          <w:sz w:val="21"/>
          <w:szCs w:val="21"/>
        </w:rPr>
        <w:t xml:space="preserve">3、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4、单位负责人为同一人或者存在直接控股、管理关系的不同供应商，不得参加同一合同项下的政府采购活动。</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5、为本项目提供整体设计、规范编制或者项目管理、监理、监测等服务的供应商，不得再参加该采购项目的其他采购活动。</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6、采购项目需要落实的政府采购政策：</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根据财政部、工业和信息化部关于印发《政府采购促进中小企业发展管理办法》的规定执行。 </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 根据财政部、司法部《关于政府采购支持监狱企业发展有关问题的通知》（财库〔2014〕68号）的规定执行。 </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根据财政部、民政部、中国残疾人联合会《关于促进残疾人就业政府采购政策的通知》（财库〔2017〕141号）的规定执行。 </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6.4苏州市财政局《关于贯彻执行绿色采购、促进残疾人就业和支持监狱企业发展有关政策的通知（苏财购〔2020〕10号）》。</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6.5财库</w:t>
      </w:r>
      <w:r>
        <w:rPr>
          <w:rFonts w:hint="eastAsia" w:ascii="宋体" w:hAnsi="宋体" w:eastAsia="宋体" w:cs="宋体"/>
          <w:color w:val="000000"/>
          <w:sz w:val="21"/>
          <w:szCs w:val="21"/>
          <w:lang w:eastAsia="zh-CN"/>
        </w:rPr>
        <w:t xml:space="preserve">〔2022〕19号</w:t>
      </w:r>
      <w:r>
        <w:rPr>
          <w:rFonts w:hint="eastAsia" w:ascii="宋体" w:hAnsi="宋体" w:eastAsia="宋体" w:cs="宋体"/>
          <w:color w:val="000000"/>
          <w:sz w:val="21"/>
          <w:szCs w:val="21"/>
        </w:rPr>
        <w:t xml:space="preserve">关于进一步加大政府采购支持中小企业力度的通知。</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6.6苏财购</w:t>
      </w:r>
      <w:r>
        <w:rPr>
          <w:rFonts w:hint="eastAsia" w:ascii="宋体" w:hAnsi="宋体" w:eastAsia="宋体" w:cs="宋体"/>
          <w:color w:val="000000"/>
          <w:sz w:val="21"/>
          <w:szCs w:val="21"/>
          <w:lang w:eastAsia="zh-CN"/>
        </w:rPr>
        <w:t xml:space="preserve">〔2022〕16号</w:t>
      </w:r>
      <w:r>
        <w:rPr>
          <w:rFonts w:hint="eastAsia" w:ascii="宋体" w:hAnsi="宋体" w:eastAsia="宋体" w:cs="宋体"/>
          <w:color w:val="000000"/>
          <w:sz w:val="21"/>
          <w:szCs w:val="21"/>
        </w:rPr>
        <w:t xml:space="preserve">关于印发《苏州市政府采购促进中小企业发展实施意见》的通知</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6.7 绿色采购</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本次采购标的物不属于《节能产品政府采购品目清单》中优先采购范围内的产品。</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本次采购标的物不属于《环保标志产品政府采购品目清单》中优先采购范围内的产品</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sz w:val="21"/>
          <w:szCs w:val="21"/>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color w:val="000000"/>
          <w:sz w:val="21"/>
          <w:szCs w:val="21"/>
          <w:lang w:val="en-US" w:eastAsia="zh-CN"/>
        </w:rPr>
      </w:r>
      <w:r/>
    </w:p>
    <w:p>
      <w:pPr>
        <w:pStyle w:val="1123"/>
        <w:ind w:firstLine="420"/>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凡涉及招标文件的补充说明和修改，均以采购代理机构在网上发布的内容为准。</w:t>
      </w:r>
      <w:r>
        <w:rPr>
          <w:rFonts w:hint="eastAsia" w:ascii="宋体" w:hAnsi="宋体" w:eastAsia="宋体" w:cs="宋体"/>
          <w:color w:val="000000"/>
          <w:sz w:val="21"/>
          <w:szCs w:val="21"/>
        </w:rPr>
      </w:r>
      <w:r/>
    </w:p>
    <w:p>
      <w:pPr>
        <w:pStyle w:val="1004"/>
        <w:jc w:val="center"/>
        <w:spacing w:line="400" w:lineRule="exact"/>
        <w:rPr>
          <w:rFonts w:hint="eastAsia" w:ascii="宋体" w:hAnsi="宋体" w:eastAsia="宋体" w:cs="宋体"/>
          <w:color w:val="000000"/>
          <w:sz w:val="36"/>
          <w:szCs w:val="36"/>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32"/>
          <w:szCs w:val="32"/>
        </w:rPr>
        <w:t xml:space="preserve">第五章  合同主要条款</w:t>
      </w:r>
      <w:r>
        <w:rPr>
          <w:rFonts w:hint="eastAsia" w:ascii="宋体" w:hAnsi="宋体" w:eastAsia="宋体" w:cs="宋体"/>
          <w:color w:val="000000"/>
          <w:sz w:val="36"/>
          <w:szCs w:val="36"/>
        </w:rPr>
      </w:r>
      <w:r/>
    </w:p>
    <w:p>
      <w:pPr>
        <w:pStyle w:val="1004"/>
        <w:ind w:firstLine="630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63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合同编号：</w:t>
      </w:r>
      <w:r>
        <w:rPr>
          <w:rFonts w:hint="eastAsia" w:ascii="宋体" w:hAnsi="宋体" w:eastAsia="宋体" w:cs="宋体"/>
          <w:color w:val="000000"/>
          <w:sz w:val="21"/>
          <w:szCs w:val="21"/>
        </w:rPr>
      </w:r>
      <w:r/>
    </w:p>
    <w:p>
      <w:pPr>
        <w:pStyle w:val="1004"/>
        <w:ind w:firstLine="630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                                （以下简称甲方）</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                                （以下简称乙方）     </w:t>
      </w:r>
      <w:r>
        <w:rPr>
          <w:rFonts w:hint="eastAsia" w:ascii="宋体" w:hAnsi="宋体" w:eastAsia="宋体" w:cs="宋体"/>
          <w:color w:val="000000"/>
          <w:sz w:val="21"/>
          <w:szCs w:val="21"/>
        </w:rPr>
      </w:r>
      <w:r/>
    </w:p>
    <w:p>
      <w:pPr>
        <w:pStyle w:val="1004"/>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p>
      <w:pPr>
        <w:pStyle w:val="1004"/>
        <w:ind w:firstLine="420"/>
        <w:jc w:val="both"/>
        <w:spacing w:line="420" w:lineRule="exact"/>
        <w:rPr>
          <w:rFonts w:hint="eastAsia" w:ascii="宋体" w:hAnsi="宋体" w:eastAsia="宋体" w:cs="宋体"/>
          <w:color w:val="000000"/>
          <w:sz w:val="21"/>
          <w:szCs w:val="21"/>
        </w:rPr>
      </w:pPr>
      <w:r/>
      <w:bookmarkEnd w:id="11"/>
      <w:r/>
      <w:bookmarkEnd w:id="12"/>
      <w:r/>
      <w:bookmarkEnd w:id="13"/>
      <w:r/>
      <w:bookmarkStart w:id="14" w:name="_Toc142194275"/>
      <w:r/>
      <w:bookmarkStart w:id="15" w:name="_Toc142194276"/>
      <w:r>
        <w:rPr>
          <w:rFonts w:hint="eastAsia" w:ascii="宋体" w:hAnsi="宋体" w:eastAsia="宋体" w:cs="宋体"/>
          <w:color w:val="000000"/>
          <w:sz w:val="21"/>
          <w:szCs w:val="21"/>
        </w:rPr>
      </w:r>
      <w:r/>
    </w:p>
    <w:p>
      <w:pPr>
        <w:pStyle w:val="1004"/>
        <w:ind w:firstLine="420"/>
        <w:jc w:val="both"/>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项目编号为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的招标文件及该文件的响应文件和中标通知书，甲乙双方就苏州工业园区产教融合实践中心国产化实践教学课程与套件，签订本合同书。</w:t>
      </w:r>
      <w:r>
        <w:rPr>
          <w:rFonts w:hint="eastAsia" w:ascii="宋体" w:hAnsi="宋体" w:eastAsia="宋体" w:cs="宋体"/>
          <w:color w:val="000000"/>
          <w:sz w:val="21"/>
          <w:szCs w:val="21"/>
        </w:rPr>
      </w:r>
      <w:r/>
    </w:p>
    <w:p>
      <w:pPr>
        <w:pStyle w:val="1004"/>
        <w:ind w:firstLine="422"/>
        <w:spacing w:line="440" w:lineRule="exact"/>
        <w:rPr>
          <w:rFonts w:hint="eastAsia" w:ascii="宋体" w:hAnsi="宋体" w:eastAsia="宋体" w:cs="宋体"/>
          <w:b/>
          <w:bCs/>
          <w:color w:val="000000"/>
          <w:sz w:val="21"/>
          <w:szCs w:val="21"/>
        </w:rPr>
      </w:pPr>
      <w:r/>
      <w:bookmarkStart w:id="16" w:name="_Toc13543224"/>
      <w:r>
        <w:rPr>
          <w:rFonts w:hint="eastAsia" w:ascii="宋体" w:hAnsi="宋体" w:eastAsia="宋体" w:cs="宋体"/>
          <w:b/>
          <w:bCs/>
          <w:color w:val="000000"/>
          <w:sz w:val="21"/>
          <w:szCs w:val="21"/>
        </w:rPr>
        <w:t xml:space="preserve">第一部分 合同一般条款</w:t>
      </w:r>
      <w:r>
        <w:rPr>
          <w:rFonts w:hint="eastAsia" w:ascii="宋体" w:hAnsi="宋体" w:eastAsia="宋体" w:cs="宋体"/>
          <w:b/>
          <w:bCs/>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一、合同文件</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  合同文件适用法律</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适用于合同文件的法律是中华人民共和国现行法律、法规及甲方所在地的地方性法规。</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合同文件组成和解释顺序</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合同文件的组成和解释顺序如下：</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 合同的特殊性条款</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 合同的一般性条款</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2.1.3 洽商、变更等明确双方权利义务的纪要、协议</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 中标通知书、投标书和招标文件</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2.1.5 有关图纸</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2.1.6 标准、规范和其它有关技术资料、技术要求</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 合同的特殊性条款的效力优于合同的一般性条款的效力</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 合同文件使用文字</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合同文件使用中文书写、解释和说明</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二、标的物的一般条款</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完整物权</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对于出卖的标的物，乙方应当拥有完整物权，并且乙方负有保证第三人不得向甲方主张任何权利（包括知识产权）的义务。</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  质量保证</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乙方应保证</w:t>
      </w:r>
      <w:r>
        <w:rPr>
          <w:rFonts w:hint="eastAsia" w:ascii="宋体" w:hAnsi="宋体" w:eastAsia="宋体" w:cs="宋体"/>
          <w:color w:val="000000"/>
          <w:sz w:val="21"/>
          <w:szCs w:val="21"/>
          <w:lang w:eastAsia="zh-CN"/>
        </w:rPr>
        <w:t xml:space="preserve">所提</w:t>
      </w:r>
      <w:r>
        <w:rPr>
          <w:rFonts w:hint="eastAsia" w:ascii="宋体" w:hAnsi="宋体" w:eastAsia="宋体" w:cs="宋体"/>
          <w:color w:val="000000"/>
          <w:sz w:val="21"/>
          <w:szCs w:val="21"/>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  除合同特殊条款规定外，合同条款中标的物的质量保证期均自标的物通过最终验收之日起计算，且质量保证期不低于</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  包装</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  伴随服务</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乙方除应履行按期按量交付合格标的物的义务之外，还应提供下列服务。</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7.1.1 标的物的现场安装、启动、调试、监督；</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7.1.2 提供标的物组装和一般维修所必须的工具；</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7.1.3 在合同规定的期限内对所提供标的物实行运行监督、维修服务的前提条件是该服务并不能免除乙方在质量保证期内所承担的义务；</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7.1.4 对甲方技术人员的技术指导或培训。</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除合同另有规定之外，伴随服务的费用均已含在合同价款中，甲方不再另行进行支付。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三、标的物的交付、检验和验收</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  标的物的交付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标的物的所有权自标的物交付时转移。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 乙方应当按照约定的期限和约定的地点交付标的物。</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 乙方应当按照约定或者交易习惯向甲方交付提取标的物单证以外的有关单证和资料。</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  检验和验收</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验收期限自标的物交付之日起三十天内。特殊情况需延长的，双方应在合同的特殊条款中约定。</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9.4 如双方对验收结果有分歧，则以苏州市技术质量监督局的检验结果为准，检验费用由有过失的一方支付。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四、对标的物提出异议的时间和办法</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  对标的物提出异议的时间和办法 </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甲方在验收过程中，应当于双方约定的检验期间内将标的物的数量或质量不符合约定的情形及处理方式以书面形式通知乙方。</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  如甲方在验收期满后既不出具验收合格证明又未提出书面异议的视为乙方所交标的物符合合同规定。</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  乙方应在收到甲方书面异议后七天内负责处理问题，否则将视为默认甲方提出的异议和处理意见。</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五、合同价款和支付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合同价款和支付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 本合同的结算货币为人民币，单位元。</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乙方应按照双方签订的合同规定交货并在合同特殊条款规定的期限内持下列单据结算货款。</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11.2.1 合格的销售发票；</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11.2.2 甲方盖章签收后的送货回单和验收合格证明。</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 甲方应按合同特殊条款规定的期限和方式付款。</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 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六、违约责任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违约责任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甲方违约责任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  在合同生效后，非乙方质量原因甲方要求退货的，应向乙方偿付合同总价款的5%，作为违约金，违约金不足以补偿损失的，乙方有权要求甲方补足。</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  甲方违反合同规定，拒绝接收乙方交付的合格标的物，应当承担乙方由此造成的损失。</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乙方违约责任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不可抗力</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15.1  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  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七、索赔</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  索赔</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甲方有权根据当地产品质量检验机构或其它有权部门出具的检验证书向乙方提出索赔。</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在本合同规定的检验期和质量保证期内，如果乙方对甲方提出的索赔或差异有责任，则乙方应按甲方同意的下列一种或多种方式解决索赔事宜：</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  根据标的物的低劣程度、损坏程度以及甲方遭受损失的数额，经双方协商确定降低标的物的价格。</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16.4  甲方提出索赔的书面材料应报</w:t>
      </w:r>
      <w:r>
        <w:rPr>
          <w:rFonts w:hint="eastAsia" w:ascii="宋体" w:hAnsi="宋体" w:eastAsia="宋体" w:cs="宋体"/>
          <w:color w:val="000000"/>
          <w:sz w:val="21"/>
          <w:szCs w:val="21"/>
          <w:lang w:val="en-US" w:eastAsia="zh-CN"/>
        </w:rPr>
        <w:t xml:space="preserve">管理</w:t>
      </w:r>
      <w:r>
        <w:rPr>
          <w:rFonts w:hint="eastAsia" w:ascii="宋体" w:hAnsi="宋体" w:eastAsia="宋体" w:cs="宋体"/>
          <w:color w:val="000000"/>
          <w:sz w:val="21"/>
          <w:szCs w:val="21"/>
        </w:rPr>
        <w:t xml:space="preserve">部门。乙方同意的索赔方案应报</w:t>
      </w:r>
      <w:r>
        <w:rPr>
          <w:rFonts w:hint="eastAsia" w:ascii="宋体" w:hAnsi="宋体" w:eastAsia="宋体" w:cs="宋体"/>
          <w:color w:val="000000"/>
          <w:sz w:val="21"/>
          <w:szCs w:val="21"/>
          <w:lang w:val="en-US" w:eastAsia="zh-CN"/>
        </w:rPr>
        <w:t xml:space="preserve">管理部门</w:t>
      </w:r>
      <w:r>
        <w:rPr>
          <w:rFonts w:hint="eastAsia" w:ascii="宋体" w:hAnsi="宋体" w:eastAsia="宋体" w:cs="宋体"/>
          <w:color w:val="000000"/>
          <w:sz w:val="21"/>
          <w:szCs w:val="21"/>
        </w:rPr>
        <w:t xml:space="preserve">审核。</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八、合同的解除和转让</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  合同的解除</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 甲方和乙方协商一致，可以解除合同；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 有下列情形之一，合同一方可以解除合同：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17.2.1 因不可抗力致使不能实现合同目的，未受不可抗力影响的一方有权解除合同；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17.2.2 因合同一方违约导致合同不能履行，另一方有权解除合同；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17.3 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  合同的转让</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合同的部分和全部都不得转让。</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十、合同的生效</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  合同的生效</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本合同在双方签字盖章后生效。</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十一、争议解决</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  争议解决</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甲乙双方因合同发生争议，应在招标方的主持下进行调解，协商不成，任何一方可以向甲方所在地人民法院起诉。</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十二、附则</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合同份数。</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lang w:val="en-US" w:eastAsia="zh-CN"/>
        </w:rPr>
        <w:t xml:space="preserve">六</w:t>
      </w:r>
      <w:r>
        <w:rPr>
          <w:rFonts w:hint="eastAsia" w:ascii="宋体" w:hAnsi="宋体" w:eastAsia="宋体" w:cs="宋体"/>
          <w:color w:val="000000"/>
          <w:sz w:val="21"/>
          <w:szCs w:val="21"/>
        </w:rPr>
        <w:t xml:space="preserve">份，甲方</w:t>
      </w:r>
      <w:r>
        <w:rPr>
          <w:rFonts w:hint="eastAsia" w:ascii="宋体" w:hAnsi="宋体" w:eastAsia="宋体" w:cs="宋体"/>
          <w:color w:val="000000"/>
          <w:sz w:val="21"/>
          <w:szCs w:val="21"/>
          <w:lang w:val="en-US" w:eastAsia="zh-CN"/>
        </w:rPr>
        <w:t xml:space="preserve">四</w:t>
      </w:r>
      <w:r>
        <w:rPr>
          <w:rFonts w:hint="eastAsia" w:ascii="宋体" w:hAnsi="宋体" w:eastAsia="宋体" w:cs="宋体"/>
          <w:color w:val="000000"/>
          <w:sz w:val="21"/>
          <w:szCs w:val="21"/>
        </w:rPr>
        <w:t xml:space="preserve">份，乙方一份，采购代理机构一份。</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  未尽事宜</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本合同未尽事宜应按《中华人民共和国民法典》、《中华人民共和国产品质量法》、《中华人民共和国政府采购法》之规定解释。</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04"/>
        <w:ind w:firstLine="422"/>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第二部分 合同特殊条款</w:t>
      </w:r>
      <w:r>
        <w:rPr>
          <w:rFonts w:hint="eastAsia" w:ascii="宋体" w:hAnsi="宋体" w:eastAsia="宋体" w:cs="宋体"/>
          <w:b/>
          <w:bCs/>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一、合同内容：</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1、乙方负责完成甲方的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，详见《标的物清单》。</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2、下列文件为本合同不可分割部分：</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①招标文件；</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②乙方中标的投标书；</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③乙方在招投标过程中所作的其他承诺、声明、书面澄清等；</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④中标通知书。</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二、价格与支付：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1、合同价格按此次中标价格执行，合同总金额为人民币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元，投标总价一次报定，</w:t>
      </w:r>
      <w:r>
        <w:rPr>
          <w:rFonts w:hint="eastAsia" w:ascii="宋体" w:hAnsi="宋体" w:eastAsia="宋体" w:cs="宋体"/>
          <w:color w:val="000000"/>
          <w:sz w:val="21"/>
          <w:szCs w:val="21"/>
          <w:lang w:val="zh-CN"/>
        </w:rPr>
        <w:t xml:space="preserve">包括完成该项工作所需全部的货物、材料、附配件及其人工、机械、运输费用（包括搬运上楼）、装卸、测试、仓储、保险、劳保、协助对设备安装和调试、售后服务、各种税费及政策性文件规定及合同包含的所有风险、责任等各项应有费用，乙方所派的人员、交通、食宿、加班、培训、验收合格交付使用前及质保期间的一切费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2、履约保证金</w:t>
      </w:r>
      <w:r>
        <w:rPr>
          <w:rFonts w:hint="eastAsia" w:ascii="宋体" w:hAnsi="宋体" w:eastAsia="宋体" w:cs="宋体"/>
          <w:color w:val="000000"/>
          <w:sz w:val="21"/>
          <w:szCs w:val="21"/>
          <w:highlight w:val="none"/>
          <w:lang w:val="en-US" w:eastAsia="zh-CN"/>
        </w:rPr>
      </w:r>
      <w:r/>
    </w:p>
    <w:p>
      <w:pPr>
        <w:pStyle w:val="1004"/>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应在本合同签订后十个工作日内，向甲方一次性交纳履约保证金，履约保证金按照合同总金额的5%收取。或采用银行保函形式，向甲方提供合同总金额10%的银行履约保函，有效期为出具之日起生效，至质保期结束后30天失效。</w:t>
      </w:r>
      <w:r>
        <w:rPr>
          <w:rFonts w:hint="eastAsia" w:ascii="宋体" w:hAnsi="宋体" w:eastAsia="宋体" w:cs="宋体"/>
          <w:color w:val="000000"/>
          <w:sz w:val="21"/>
          <w:szCs w:val="21"/>
          <w:highlight w:val="none"/>
          <w:lang w:val="en-US" w:eastAsia="zh-CN"/>
        </w:rPr>
      </w:r>
      <w:r/>
    </w:p>
    <w:p>
      <w:pPr>
        <w:pStyle w:val="1004"/>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（2）如果乙方未能履行合同规定的任何义务，甲方有权从履约保证金或银行履约保函中取得补偿。</w:t>
      </w:r>
      <w:r>
        <w:rPr>
          <w:rFonts w:hint="eastAsia" w:ascii="宋体" w:hAnsi="宋体" w:eastAsia="宋体" w:cs="宋体"/>
          <w:color w:val="000000"/>
          <w:sz w:val="21"/>
          <w:szCs w:val="21"/>
          <w:highlight w:val="none"/>
          <w:lang w:val="en-US" w:eastAsia="zh-CN"/>
        </w:rPr>
      </w:r>
      <w:r/>
    </w:p>
    <w:p>
      <w:pPr>
        <w:pStyle w:val="1004"/>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（3）履约保证金（无息）将在质保期满后7个工作日内全额退回。</w:t>
      </w:r>
      <w:r>
        <w:rPr>
          <w:rFonts w:hint="eastAsia" w:ascii="宋体" w:hAnsi="宋体" w:eastAsia="宋体" w:cs="宋体"/>
          <w:color w:val="000000"/>
          <w:sz w:val="21"/>
          <w:szCs w:val="21"/>
          <w:highlight w:val="none"/>
          <w:lang w:val="en-US" w:eastAsia="zh-CN"/>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、付款步骤：</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（1）合同签订生效后，甲方向乙方支付合同金额30%的预付款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预付款将从第1笔（期）待支付的进度款款项中扣除（乙方出具相应金额的银行保函，如不需要预付款可不提供）</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所提供的货物全部安装调试完毕，且经</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验收合格后通知</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开具发票，</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在收到发票后三十个工作日内支付至合同金额的</w:t>
      </w:r>
      <w:r>
        <w:rPr>
          <w:rFonts w:hint="eastAsia" w:ascii="宋体" w:hAnsi="宋体" w:eastAsia="宋体" w:cs="宋体"/>
          <w:color w:val="000000"/>
          <w:sz w:val="21"/>
          <w:szCs w:val="21"/>
          <w:lang w:val="en-US" w:eastAsia="zh-CN"/>
        </w:rPr>
        <w:t xml:space="preserve">80</w:t>
      </w:r>
      <w:r>
        <w:rPr>
          <w:rFonts w:hint="eastAsia" w:ascii="宋体" w:hAnsi="宋体" w:eastAsia="宋体" w:cs="宋体"/>
          <w:color w:val="000000"/>
          <w:sz w:val="21"/>
          <w:szCs w:val="21"/>
        </w:rPr>
        <w:t xml:space="preserve">％；经甲方组织的整个项目验收合格，且经园区审计部门审计，甲方支付至审计结果的 95%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剩余5%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无息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余款在免费质保期满后七个工作日内付清。</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货款结算时，需提供以下资料：</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注：A、合格的发票。</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B、乙方提出的支付申请书和由甲乙双方及采购代理机构签章的《政府采购合同履行验收报告》。</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项目实施完成后，将按如下方式进行最终审计：</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（1）以审定结果为本项目价款结算依据；</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竣工审计按照园区财政投资建设项目的相关规定，项目采购人和成交供应商均应无条件同意配合，并承诺不就此提出任何异议。竣工结算审计后，如果</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结算核减金额超过送审总价的7％，则其结算审计费用的浮动部分中，超过7％部分按核减造价4％计算确定的审计费用由成交供应商承担，项目采购人在合同款中代扣代付。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付款方式：银行转账、银行汇票或转账支票，具体支付方式甲方有权根据财务安排自主选择。</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乙方开户银行名称、地址、账号为：</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户名：</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账号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三、质量与验收：</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1、乙方应按照标书的有关规定提供合格设备；</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2、设备质量出现问题，乙方负责包修、包退、包换，费用由乙方承担；</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3、设备的验收包括：数量、外观、质量、性能、质保单、包装和乙方承诺的其它指标。</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4、验收标准：根据标书要求及有关规定由招标代理机构、采购方到场，并按国家标准进行验收通过。</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5、乙方交付验收时应先用书面、电传等方式通告甲方及招标方；</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四、售后服务：</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按照招标文件和乙方在投标书中承诺的服务执行。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五、违约责任：</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按招标文件的规定执行。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六、合同生效及其它：</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1、本合同在双方签字盖章后生效。</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4、应当维护国家利益和社会公共利益，合同履行过程中出现危害国家利益和社会公共利益问题的，甲方有权立即终止合同。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5、如合同继续履行将损害国家利益和社会公共利益，甲方有权变更、中止或者终止、解除合同。</w:t>
      </w:r>
      <w:r>
        <w:rPr>
          <w:rFonts w:hint="eastAsia" w:ascii="宋体" w:hAnsi="宋体" w:eastAsia="宋体" w:cs="宋体"/>
          <w:color w:val="000000"/>
          <w:sz w:val="21"/>
          <w:szCs w:val="21"/>
        </w:rPr>
      </w:r>
      <w:r/>
    </w:p>
    <w:p>
      <w:pPr>
        <w:pStyle w:val="1004"/>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6、甲方和乙方签订补充合同的采购金额不得超过原合同采购金额的百分之十。</w:t>
      </w:r>
      <w:r>
        <w:rPr>
          <w:rFonts w:hint="eastAsia" w:ascii="宋体" w:hAnsi="宋体" w:eastAsia="宋体" w:cs="宋体"/>
          <w:color w:val="000000"/>
          <w:sz w:val="21"/>
          <w:szCs w:val="21"/>
        </w:rPr>
      </w:r>
      <w:r/>
    </w:p>
    <w:p>
      <w:pPr>
        <w:pStyle w:val="1004"/>
        <w:ind w:firstLine="420"/>
        <w:jc w:val="both"/>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7、小型、微型企业不得分包或转包给大型、中型企业，中型企业不得分包或转包给大型企业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04"/>
        <w:jc w:val="center"/>
        <w:spacing w:line="400" w:lineRule="exact"/>
        <w:rPr>
          <w:rFonts w:hint="eastAsia" w:ascii="宋体" w:hAnsi="宋体" w:eastAsia="宋体" w:cs="宋体"/>
          <w:color w:val="000000"/>
          <w:sz w:val="36"/>
          <w:szCs w:val="36"/>
        </w:rPr>
      </w:pPr>
      <w:r/>
      <w:bookmarkEnd w:id="16"/>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第六章</w:t>
      </w: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 xml:space="preserve">评标方法与评分标准</w:t>
      </w:r>
      <w:r>
        <w:rPr>
          <w:rFonts w:hint="eastAsia" w:ascii="宋体" w:hAnsi="宋体" w:eastAsia="宋体" w:cs="宋体"/>
          <w:color w:val="000000"/>
          <w:sz w:val="36"/>
          <w:szCs w:val="36"/>
        </w:rPr>
      </w:r>
      <w:r/>
    </w:p>
    <w:p>
      <w:pPr>
        <w:pStyle w:val="1004"/>
        <w:ind w:firstLine="422"/>
        <w:jc w:val="center"/>
        <w:keepLines w:val="0"/>
        <w:keepNext w:val="0"/>
        <w:pageBreakBefore w:val="0"/>
        <w:spacing w:line="460" w:lineRule="exact"/>
        <w:widowControl/>
        <w:rPr>
          <w:rFonts w:hint="eastAsia" w:ascii="宋体" w:hAnsi="宋体" w:eastAsia="宋体" w:cs="宋体"/>
          <w:b/>
          <w:color w:val="000000"/>
          <w:sz w:val="21"/>
          <w:szCs w:val="21"/>
        </w:rPr>
      </w:pPr>
      <w:r/>
      <w:bookmarkStart w:id="17" w:name="_Toc142194274"/>
      <w:r>
        <w:rPr>
          <w:rFonts w:hint="eastAsia" w:ascii="宋体" w:hAnsi="宋体" w:eastAsia="宋体" w:cs="宋体"/>
          <w:b/>
          <w:color w:val="000000"/>
          <w:sz w:val="21"/>
          <w:szCs w:val="21"/>
        </w:rPr>
      </w:r>
      <w:r/>
    </w:p>
    <w:p>
      <w:pPr>
        <w:pStyle w:val="1004"/>
        <w:ind w:firstLine="422"/>
        <w:keepLines w:val="0"/>
        <w:keepNext w:val="0"/>
        <w:pageBreakBefore w:val="0"/>
        <w:spacing w:line="460" w:lineRule="exact"/>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一、评标办法</w:t>
      </w:r>
      <w:bookmarkEnd w:id="17"/>
      <w:r>
        <w:rPr>
          <w:rFonts w:hint="eastAsia" w:ascii="宋体" w:hAnsi="宋体" w:eastAsia="宋体" w:cs="宋体"/>
          <w:b/>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次招标评标采用综合评分法，即在满足招标文件实质性要求前提下，按照招标文件中规定的评分标准和各项因素进行综合评审后，以评标总得分最高的投标人作为中标候选人。评审因素及各比重如下：价格分值占总分值的比重为45%（权重），技术与质量及其它占55%（权重）。（保留小数点后2位）</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hint="eastAsia" w:ascii="宋体" w:hAnsi="宋体" w:eastAsia="宋体" w:cs="宋体"/>
          <w:color w:val="000000"/>
          <w:sz w:val="21"/>
          <w:szCs w:val="21"/>
        </w:rPr>
      </w:r>
      <w:r/>
    </w:p>
    <w:p>
      <w:pPr>
        <w:pStyle w:val="1004"/>
        <w:ind w:firstLine="422"/>
        <w:keepLines w:val="0"/>
        <w:keepNext w:val="0"/>
        <w:pageBreakBefore w:val="0"/>
        <w:spacing w:line="460" w:lineRule="exact"/>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二、评分标准</w:t>
      </w:r>
      <w:bookmarkEnd w:id="14"/>
      <w:r>
        <w:rPr>
          <w:rFonts w:hint="eastAsia" w:ascii="宋体" w:hAnsi="宋体" w:eastAsia="宋体" w:cs="宋体"/>
          <w:b/>
          <w:color w:val="000000"/>
          <w:sz w:val="21"/>
          <w:szCs w:val="21"/>
        </w:rPr>
      </w:r>
      <w:r/>
    </w:p>
    <w:p>
      <w:pPr>
        <w:pStyle w:val="1004"/>
        <w:ind w:firstLine="422"/>
        <w:keepLines w:val="0"/>
        <w:keepNext w:val="0"/>
        <w:pageBreakBefore w:val="0"/>
        <w:spacing w:line="460" w:lineRule="exact"/>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（一）投标报价（45分）</w:t>
      </w:r>
      <w:r>
        <w:rPr>
          <w:rFonts w:hint="eastAsia" w:ascii="宋体" w:hAnsi="宋体" w:eastAsia="宋体" w:cs="宋体"/>
          <w:b/>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1、价格分采用低价优先法计算，即满足招标文件要求且投标价格最低的投标报价为评标基准价，其价格分为满分。其他投标人的价格分统一按照下列公式计算：（保留小数点后二位）</w:t>
      </w:r>
      <w:r>
        <w:rPr>
          <w:rFonts w:hint="eastAsia" w:ascii="宋体" w:hAnsi="宋体" w:eastAsia="宋体" w:cs="宋体"/>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报价得分=（评标基准价/投标报价）*价格权值45（本次招标价格权值为45%）</w:t>
      </w:r>
      <w:r>
        <w:rPr>
          <w:rFonts w:hint="eastAsia" w:ascii="宋体" w:hAnsi="宋体" w:eastAsia="宋体" w:cs="宋体"/>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2、针对小微企业、监狱企业及残疾人企业的评审：</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bookmarkEnd w:id="15"/>
      <w:r>
        <w:rPr>
          <w:rFonts w:hint="eastAsia" w:ascii="宋体" w:hAnsi="宋体" w:eastAsia="宋体" w:cs="宋体"/>
          <w:color w:val="000000"/>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eastAsia="宋体" w:cs="宋体"/>
          <w:b/>
          <w:bCs/>
          <w:color w:val="000000"/>
          <w:sz w:val="21"/>
          <w:szCs w:val="21"/>
        </w:rPr>
        <w:t xml:space="preserve">20%</w:t>
      </w:r>
      <w:r>
        <w:rPr>
          <w:rFonts w:hint="eastAsia" w:ascii="宋体" w:hAnsi="宋体" w:eastAsia="宋体" w:cs="宋体"/>
          <w:color w:val="000000"/>
          <w:sz w:val="21"/>
          <w:szCs w:val="21"/>
        </w:rPr>
        <w:t xml:space="preserve">的扣除，用扣除后的价格参与评审。如扣除后的价格为最低价的，则作为评审基准价，若最后中标，中标价格则以实际投标报价为准。残疾人企业或监狱企业属于小型、微型企业的，不重复享受政策。</w:t>
      </w:r>
      <w:r>
        <w:rPr>
          <w:rFonts w:hint="eastAsia" w:ascii="宋体" w:hAnsi="宋体" w:eastAsia="宋体" w:cs="宋体"/>
          <w:color w:val="000000"/>
          <w:sz w:val="21"/>
          <w:szCs w:val="21"/>
        </w:rPr>
      </w:r>
      <w:r/>
    </w:p>
    <w:p>
      <w:pPr>
        <w:pStyle w:val="1004"/>
        <w:ind w:firstLine="422"/>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（2）本项目为非专门面向中小企业采购项目，所属行业为工业，</w:t>
      </w:r>
      <w:r>
        <w:rPr>
          <w:rFonts w:hint="eastAsia" w:ascii="宋体" w:hAnsi="宋体" w:eastAsia="宋体" w:cs="宋体"/>
          <w:color w:val="000000"/>
          <w:sz w:val="21"/>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ascii="宋体" w:hAnsi="宋体" w:eastAsia="宋体" w:cs="宋体"/>
          <w:color w:val="000000"/>
          <w:sz w:val="21"/>
          <w:szCs w:val="21"/>
          <w:lang w:eastAsia="zh-CN"/>
        </w:rPr>
        <w:t xml:space="preserve">中华人民共和国政府采购法</w:t>
      </w:r>
      <w:r>
        <w:rPr>
          <w:rFonts w:hint="eastAsia" w:ascii="宋体" w:hAnsi="宋体" w:eastAsia="宋体" w:cs="宋体"/>
          <w:color w:val="000000"/>
          <w:sz w:val="21"/>
          <w:szCs w:val="21"/>
        </w:rPr>
        <w:t xml:space="preserve">》第七十七条第一款的规定追究法律责任。在响应文件中未提供相关材料、资料的，不享受评审优惠政策。</w:t>
      </w:r>
      <w:r>
        <w:rPr>
          <w:rFonts w:hint="eastAsia" w:ascii="宋体" w:hAnsi="宋体" w:eastAsia="宋体" w:cs="宋体"/>
          <w:color w:val="000000"/>
          <w:sz w:val="21"/>
          <w:szCs w:val="21"/>
        </w:rPr>
      </w:r>
      <w:r/>
    </w:p>
    <w:p>
      <w:pPr>
        <w:pStyle w:val="1004"/>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（二）技术与质量及其它（55分）</w:t>
      </w:r>
      <w:r>
        <w:rPr>
          <w:rFonts w:hint="eastAsia" w:ascii="宋体" w:hAnsi="宋体" w:eastAsia="宋体" w:cs="宋体"/>
          <w:b/>
          <w:bCs/>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项目需求理解方案（3分）</w:t>
      </w:r>
      <w:r>
        <w:rPr>
          <w:rFonts w:hint="eastAsia" w:ascii="宋体" w:hAnsi="宋体" w:eastAsia="宋体" w:cs="宋体"/>
          <w:b/>
          <w:bCs/>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提供完善的项目需求分析方案，项目需求分析内容完整详细、逻辑清晰、合理性、实用性强得3分；方案内容较为完整详细、逻辑较清晰、合理性、实用性较强得2分；方案内容简单不完整、逻辑不清晰、缺乏合理性、实用性得1分；未提供方案的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项目系统架构方案（3分）</w:t>
      </w:r>
      <w:r>
        <w:rPr>
          <w:rFonts w:hint="eastAsia" w:ascii="宋体" w:hAnsi="宋体" w:eastAsia="宋体" w:cs="宋体"/>
          <w:b/>
          <w:bCs/>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提供完善的项目系统架构方案，项目系统架构方案内容完整详细、逻辑清晰、架构合理性、实用性强得3分；方案内容较为完整详细、逻辑较清晰、架构合理性、实用性较强得2分；方案内容简单不完整、逻辑不清晰、架构缺乏合理性、实用性得1分；未提供方案的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AI及大模型教学及实验实训室建设方案（5分）</w:t>
      </w:r>
      <w:r>
        <w:rPr>
          <w:rFonts w:hint="eastAsia" w:ascii="宋体" w:hAnsi="宋体" w:eastAsia="宋体" w:cs="宋体"/>
          <w:b/>
          <w:bCs/>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提供完善的AI及大模型教学及实验实训室建设方案，建设方案内容完整详细、逻辑清晰、可行性、合理性、实用性强得5分；方案内容较为完整详细、逻辑较清晰、可行性、合理性、实用性较强得3分；方案内容简单不完整、逻辑不清晰、缺乏可行性、合理性、实用性得1分；未提供方案的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大数据及鸿蒙实训室建设方案（5分）</w:t>
      </w:r>
      <w:r>
        <w:rPr>
          <w:rFonts w:hint="eastAsia" w:ascii="宋体" w:hAnsi="宋体" w:eastAsia="宋体" w:cs="宋体"/>
          <w:b/>
          <w:bCs/>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提供完善的大数据及鸿蒙实训室建设，建设方案内容完整详细、逻辑清晰、可行性、合理性、实用性强得5分；方案内容较为完整详细、逻辑较清晰、可行性、合理性、实用性较强得3分；方案内容简单不完整、逻辑不清晰、缺乏可行性、合理性、实用性得1分；未提供方案的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新一代数据通信技术实训室建设方案（5分）</w:t>
      </w:r>
      <w:r>
        <w:rPr>
          <w:rFonts w:hint="eastAsia" w:ascii="宋体" w:hAnsi="宋体" w:eastAsia="宋体" w:cs="宋体"/>
          <w:b/>
          <w:bCs/>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提供完善的新一代数据通信技术实训室建设方案，建设方案分析内容完整详细、逻辑清晰、可行性、合理性、实用性强得5分；方案内容较为完整详细、逻辑较清晰、可行性、合理性、实用性较强得3分；方案内容简单不完整、逻辑不清晰、缺乏可行性、合理性、实用性得1分；未提供方案的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国产化实训一体平台建设方案（5分）</w:t>
      </w:r>
      <w:r>
        <w:rPr>
          <w:rFonts w:hint="eastAsia" w:ascii="宋体" w:hAnsi="宋体" w:eastAsia="宋体" w:cs="宋体"/>
          <w:b/>
          <w:bCs/>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提供完善的教学实训平台融合建设方案，建设方案内容完整详细、逻辑清晰、可行性、合理性、实用性强得5分；方案内容较为完整详细、逻辑较清晰、可行性、合理性、实用性较强得3分；方案内容简单不完整、逻辑不清晰、缺乏可行性、合理性、实用性得1分；未提供方案的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rPr>
        <w:t xml:space="preserve">项目售后方案（3分）</w:t>
      </w:r>
      <w:r>
        <w:rPr>
          <w:rFonts w:hint="eastAsia" w:ascii="宋体" w:hAnsi="宋体" w:eastAsia="宋体" w:cs="宋体"/>
          <w:b/>
          <w:bCs/>
          <w:color w:val="000000"/>
          <w:sz w:val="21"/>
          <w:szCs w:val="21"/>
        </w:rPr>
      </w:r>
      <w:r/>
    </w:p>
    <w:p>
      <w:pPr>
        <w:pStyle w:val="1092"/>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针对本项目提供售后服务方案，包括但不限于售后服务、保障人员及保障团队、保障内容等的描述和说明。方案合理、专业性强、可行性高的得3分；方案较合理完整、可行性较高的得2分；方案不合理、专业性不强、可行性不高的1分；未提供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8、</w:t>
      </w:r>
      <w:r>
        <w:rPr>
          <w:rFonts w:hint="eastAsia" w:ascii="宋体" w:hAnsi="宋体" w:eastAsia="宋体" w:cs="宋体"/>
          <w:b/>
          <w:bCs/>
          <w:color w:val="000000"/>
          <w:sz w:val="21"/>
          <w:szCs w:val="21"/>
        </w:rPr>
        <w:t xml:space="preserve">项目培训方案（2分）</w:t>
      </w:r>
      <w:r>
        <w:rPr>
          <w:rFonts w:hint="eastAsia" w:ascii="宋体" w:hAnsi="宋体" w:eastAsia="宋体" w:cs="宋体"/>
          <w:b/>
          <w:bCs/>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根据培训要求，并针对本次项目提供培训时间、培训人数、培训授课计划、培训讲师资质、预期培训效果等服务内容提供培训方案，优于招标文件要求得2分，符合招标文件要求的得1分，方案内容简单不完整、逻辑不清晰、架构缺乏合理性、实用性得0.5分，不符合项目需求或未提供的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9、</w:t>
      </w:r>
      <w:r>
        <w:rPr>
          <w:rFonts w:hint="eastAsia" w:ascii="宋体" w:hAnsi="宋体" w:eastAsia="宋体" w:cs="宋体"/>
          <w:b/>
          <w:bCs/>
          <w:color w:val="000000"/>
          <w:sz w:val="21"/>
          <w:szCs w:val="21"/>
        </w:rPr>
        <w:t xml:space="preserve">技术参数、性能等符合性比较（10分）</w:t>
      </w:r>
      <w:r>
        <w:rPr>
          <w:rFonts w:hint="eastAsia" w:ascii="宋体" w:hAnsi="宋体" w:eastAsia="宋体" w:cs="宋体"/>
          <w:b/>
          <w:bCs/>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带“★”条款为重要技术指标，有一项负偏离扣1分；带“★”条款指标须在投标文件中提供技术支持资料，未提供技术支持资料的，视为负偏离；其余不带“★”参数为基础参数，按具体参数要求响应，有1项负偏离扣0.5分，扣完为止。响应单位必须如实写明所投产品的品牌、型号，技术参数，同时按产品技术要求对所投产品进行响应，并在技术偏离表中逐条给予说明，评委参照产品技术参数指标对各响应单位所提供的产品性能、产品质量等情况进行打分。技术参数的偏离不得改变该产品的性能和使用，否则视为非实质性响应采购文件要求。</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10、</w:t>
      </w:r>
      <w:r>
        <w:rPr>
          <w:rFonts w:hint="eastAsia" w:ascii="宋体" w:hAnsi="宋体" w:eastAsia="宋体" w:cs="宋体"/>
          <w:b/>
          <w:bCs/>
          <w:color w:val="000000"/>
          <w:sz w:val="21"/>
          <w:szCs w:val="21"/>
        </w:rPr>
        <w:t xml:space="preserve">产品功能演示（10分）</w:t>
      </w:r>
      <w:r>
        <w:rPr>
          <w:rFonts w:hint="eastAsia" w:ascii="宋体" w:hAnsi="宋体" w:eastAsia="宋体" w:cs="宋体"/>
          <w:b/>
          <w:bCs/>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本项目演示需按照招标文件的要求提供以下功能演示的视频，时间不超过15分钟。总共6条功能点，每条分别演示、分别评分：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对于AI教育实验箱有如下演示 ： </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演示点1：设备提供黑白图像上色体验应用，支持使用相关图像上色模型对输入的黑白图片进行上色推理；提供雨天图像增强体验应用，可将雨天的图像清晰化处理。（2分）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对人工智能教学及实验一体化软件有如下演示：</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演示点2：支持自动生成证书管理可视化数据：含认证学员数、已获证学员数、未获证学员数、认证项目、获证率等；支持按班级、学员、认证状态等条件快速搜索查询。（2分）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演示点3：支持手动发证：支持教师上传证书模板数据，生成可下载的电子证书；教师自主下载并打印后，可为学员颁发（纸质）证书。（1分）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对鸿蒙基础实验软件有如下演示：</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演示点4：平台需支持查看设备名称、图标、数据实时状态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且不同设备的图标样式会存在差异。（1分）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对于5G全网一站式训练软件要求演示如下： </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演示点5：支持查看自定义指标数据，可根据基站名称、小区名称、指标名称、历史周期、日期范围生成性能指标数据，一次数据生成不少于170000条，可导出。（2分）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对鸿蒙智能感知实训台有如下演示：</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演示点6：单目摄像头需支持完成标定、测距、障碍物检测等实验； 鱼眼摄像头需支持完成标定、校正等基础实验；双目摄像头需支持完成标定、测距、行人识别、行人测距、车道线识别等实验；（2分）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演示点1、2、5、6每个点2分；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演示点3、4每点分值1分。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界面清晰、内容完整的，该项得满分；演示内容有缺失或者不进行演示，该项不得分。演示使用真实运行环境及实际操作演示所制作成的演示得对应分值，使用DEMO演示、播放PPT、系统静态截图、宣传视频等均不得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11、</w:t>
      </w:r>
      <w:r>
        <w:rPr>
          <w:rFonts w:hint="eastAsia" w:ascii="宋体" w:hAnsi="宋体" w:eastAsia="宋体" w:cs="宋体"/>
          <w:b/>
          <w:bCs/>
          <w:color w:val="000000"/>
          <w:sz w:val="21"/>
          <w:szCs w:val="21"/>
        </w:rPr>
        <w:t xml:space="preserve">产品先进性（1分）</w:t>
      </w:r>
      <w:r>
        <w:rPr>
          <w:rFonts w:hint="eastAsia" w:ascii="宋体" w:hAnsi="宋体" w:eastAsia="宋体" w:cs="宋体"/>
          <w:b/>
          <w:bCs/>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提供5G全网一站式训练软件和人工智能教学及实验一体化软件取得国家版权局登记的计算机软件著作权登记证书，每提供一个证书得0.5分，最高1分。</w:t>
      </w:r>
      <w:r>
        <w:rPr>
          <w:rFonts w:hint="eastAsia" w:ascii="宋体" w:hAnsi="宋体" w:eastAsia="宋体" w:cs="宋体"/>
          <w:color w:val="000000"/>
          <w:sz w:val="21"/>
          <w:szCs w:val="21"/>
        </w:rPr>
      </w:r>
      <w:r/>
    </w:p>
    <w:p>
      <w:pPr>
        <w:pStyle w:val="1092"/>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12、</w:t>
      </w:r>
      <w:r>
        <w:rPr>
          <w:rFonts w:hint="eastAsia" w:ascii="宋体" w:hAnsi="宋体" w:eastAsia="宋体" w:cs="宋体"/>
          <w:b/>
          <w:bCs/>
          <w:color w:val="000000"/>
          <w:sz w:val="21"/>
          <w:szCs w:val="21"/>
        </w:rPr>
        <w:t xml:space="preserve">项目组人员（2分）</w:t>
      </w:r>
      <w:r>
        <w:rPr>
          <w:rFonts w:hint="eastAsia" w:ascii="宋体" w:hAnsi="宋体" w:eastAsia="宋体" w:cs="宋体"/>
          <w:b/>
          <w:bCs/>
          <w:color w:val="000000"/>
          <w:sz w:val="21"/>
          <w:szCs w:val="21"/>
        </w:rPr>
      </w:r>
      <w:r/>
    </w:p>
    <w:p>
      <w:pPr>
        <w:pStyle w:val="1004"/>
        <w:numPr>
          <w:ilvl w:val="0"/>
          <w:numId w:val="0"/>
        </w:numPr>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项目负责人具有高级工程师、高级信息系统项目管理师证书，每提供一个证书得0.5分，最高1分；</w:t>
      </w:r>
      <w:r>
        <w:rPr>
          <w:rFonts w:hint="eastAsia" w:ascii="宋体" w:hAnsi="宋体" w:eastAsia="宋体" w:cs="宋体"/>
          <w:color w:val="000000"/>
          <w:sz w:val="21"/>
          <w:szCs w:val="21"/>
        </w:rPr>
      </w:r>
      <w:r/>
    </w:p>
    <w:p>
      <w:pPr>
        <w:pStyle w:val="1004"/>
        <w:numPr>
          <w:ilvl w:val="0"/>
          <w:numId w:val="0"/>
        </w:numPr>
        <w:ind w:firstLine="420"/>
        <w:keepLines w:val="0"/>
        <w:keepNext w:val="0"/>
        <w:pageBreakBefore w:val="0"/>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（2）项目组成员（除项目负责人）具有高级信创集成项目管理师证书的，每提供1个的0.5分，最高1分</w:t>
      </w:r>
      <w:r>
        <w:rPr>
          <w:rFonts w:hint="eastAsia" w:ascii="宋体" w:hAnsi="宋体" w:eastAsia="宋体" w:cs="宋体"/>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注：（1）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（2）项人员需提供证书复印件及</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为其缴纳的最近一期社保证明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004"/>
        <w:numPr>
          <w:ilvl w:val="0"/>
          <w:numId w:val="0"/>
        </w:numPr>
        <w:ind w:firstLine="422"/>
        <w:keepLines w:val="0"/>
        <w:keepNext w:val="0"/>
        <w:pageBreakBefore w:val="0"/>
        <w:spacing w:line="4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13、</w:t>
      </w:r>
      <w:r>
        <w:rPr>
          <w:rFonts w:hint="eastAsia" w:ascii="宋体" w:hAnsi="宋体" w:eastAsia="宋体" w:cs="宋体"/>
          <w:b/>
          <w:bCs/>
          <w:color w:val="000000"/>
          <w:sz w:val="21"/>
          <w:szCs w:val="21"/>
        </w:rPr>
        <w:t xml:space="preserve">体系认证（1分）</w:t>
      </w:r>
      <w:r>
        <w:rPr>
          <w:rFonts w:hint="eastAsia" w:ascii="宋体" w:hAnsi="宋体" w:eastAsia="宋体" w:cs="宋体"/>
          <w:b/>
          <w:bCs/>
          <w:color w:val="000000"/>
          <w:sz w:val="21"/>
          <w:szCs w:val="21"/>
        </w:rPr>
      </w:r>
      <w:r/>
    </w:p>
    <w:p>
      <w:pPr>
        <w:pStyle w:val="1004"/>
        <w:ind w:firstLine="420"/>
        <w:keepLines w:val="0"/>
        <w:keepNext w:val="0"/>
        <w:pageBreakBefore w:val="0"/>
        <w:spacing w:line="460" w:lineRule="exact"/>
        <w:widowControl/>
        <w:rPr>
          <w:rFonts w:hint="eastAsia" w:ascii="宋体" w:hAnsi="宋体" w:eastAsia="宋体" w:cs="宋体"/>
          <w:color w:val="000000"/>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具有有效期内的信息安全管理体系认证证书、信息技术服务管理体系认证证书，有一个得0.5分，最高1分。响应文件中提供证书复印件及证书在中国国家认证认可监督管理委员会网站上查询的有效状态的清晰页面截图，否则不得分。</w:t>
      </w:r>
      <w:r>
        <w:rPr>
          <w:rFonts w:hint="eastAsia" w:ascii="宋体" w:hAnsi="宋体" w:eastAsia="宋体" w:cs="宋体"/>
          <w:color w:val="000000"/>
        </w:rPr>
      </w:r>
      <w:r/>
    </w:p>
    <w:p>
      <w:pPr>
        <w:pStyle w:val="1004"/>
        <w:ind w:right="420"/>
        <w:jc w:val="right"/>
        <w:spacing w:line="360" w:lineRule="auto"/>
        <w:tabs>
          <w:tab w:val="left" w:pos="36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（全文完）</w:t>
      </w:r>
      <w:r/>
    </w:p>
    <w:sectPr>
      <w:footerReference w:type="default" r:id="rId13"/>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新宋体">
    <w:panose1 w:val="02010609030101010101"/>
  </w:font>
  <w:font w:name="Symbol">
    <w:panose1 w:val="05050102010706020507"/>
  </w:font>
  <w:font w:name="Time New Romes">
    <w:panose1 w:val="020B0503020202020204"/>
  </w:font>
  <w:font w:name="仿宋">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4"/>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4"/>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4"/>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-113664</wp:posOffset>
              </wp:positionH>
              <wp:positionV relativeFrom="paragraph">
                <wp:posOffset>-68579</wp:posOffset>
              </wp:positionV>
              <wp:extent cx="819785" cy="3835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9785" cy="3835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text;margin-left:-8.9pt;mso-position-horizontal:absolute;mso-position-vertical-relative:text;margin-top:-5.4pt;mso-position-vertical:absolute;width:64.5pt;height:30.2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lang w:val="en-US" w:eastAsia="zh-CN"/>
      </w:rPr>
      <w:t xml:space="preserve">    </w:t>
    </w:r>
    <w:r>
      <w:rPr>
        <w:rFonts w:hint="eastAsia" w:ascii="宋体" w:hAnsi="宋体" w:eastAsia="宋体" w:cs="宋体"/>
      </w:rPr>
      <w:t xml:space="preserve">苏州卫康招标文件</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编号：JSZC-320591-SZWK-G2024-0397号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7"/>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15"/>
      <w:isLgl w:val="false"/>
      <w:suff w:val="tab"/>
      <w:lvlText w:val=""/>
      <w:lvlJc w:val="left"/>
      <w:pPr>
        <w:pStyle w:val="1004"/>
        <w:ind w:left="360" w:hanging="360"/>
        <w:tabs>
          <w:tab w:val="num" w:pos="360" w:leader="none"/>
        </w:tabs>
      </w:pPr>
    </w:lvl>
    <w:lvl w:ilvl="1">
      <w:start w:val="1"/>
      <w:numFmt w:val="decimal"/>
      <w:isLgl w:val="false"/>
      <w:suff w:val="tab"/>
      <w:lvlText w:val="%1.%2"/>
      <w:lvlJc w:val="left"/>
      <w:pPr>
        <w:pStyle w:val="1004"/>
        <w:ind w:left="1012" w:hanging="750"/>
        <w:tabs>
          <w:tab w:val="num" w:pos="1012" w:leader="none"/>
        </w:tabs>
      </w:pPr>
    </w:lvl>
    <w:lvl w:ilvl="2">
      <w:start w:val="1"/>
      <w:numFmt w:val="decimal"/>
      <w:isLgl w:val="false"/>
      <w:suff w:val="tab"/>
      <w:lvlText w:val="%1.%2.%3"/>
      <w:lvlJc w:val="left"/>
      <w:pPr>
        <w:pStyle w:val="1004"/>
        <w:ind w:left="1274" w:hanging="750"/>
        <w:tabs>
          <w:tab w:val="num" w:pos="1274" w:leader="none"/>
        </w:tabs>
      </w:pPr>
    </w:lvl>
    <w:lvl w:ilvl="3">
      <w:start w:val="1"/>
      <w:numFmt w:val="decimal"/>
      <w:isLgl w:val="false"/>
      <w:suff w:val="tab"/>
      <w:lvlText w:val="%1.%2.%3.%4"/>
      <w:lvlJc w:val="left"/>
      <w:pPr>
        <w:pStyle w:val="1004"/>
        <w:ind w:left="1536" w:hanging="750"/>
        <w:tabs>
          <w:tab w:val="num" w:pos="1536" w:leader="none"/>
        </w:tabs>
      </w:pPr>
    </w:lvl>
    <w:lvl w:ilvl="4">
      <w:start w:val="1"/>
      <w:numFmt w:val="decimal"/>
      <w:isLgl w:val="false"/>
      <w:suff w:val="tab"/>
      <w:lvlText w:val="%1.%2.%3.%4.%5"/>
      <w:lvlJc w:val="left"/>
      <w:pPr>
        <w:pStyle w:val="1004"/>
        <w:ind w:left="1798" w:hanging="750"/>
        <w:tabs>
          <w:tab w:val="num" w:pos="1798" w:leader="none"/>
        </w:tabs>
      </w:pPr>
    </w:lvl>
    <w:lvl w:ilvl="5">
      <w:start w:val="1"/>
      <w:numFmt w:val="decimal"/>
      <w:isLgl w:val="false"/>
      <w:suff w:val="tab"/>
      <w:lvlText w:val="%1.%2.%3.%4.%5.%6"/>
      <w:lvlJc w:val="left"/>
      <w:pPr>
        <w:pStyle w:val="1004"/>
        <w:ind w:left="2060" w:hanging="750"/>
        <w:tabs>
          <w:tab w:val="num" w:pos="2060" w:leader="none"/>
        </w:tabs>
      </w:pPr>
    </w:lvl>
    <w:lvl w:ilvl="6">
      <w:start w:val="1"/>
      <w:numFmt w:val="decimal"/>
      <w:isLgl w:val="false"/>
      <w:suff w:val="tab"/>
      <w:lvlText w:val="%1.%2.%3.%4.%5.%6.%7"/>
      <w:lvlJc w:val="left"/>
      <w:pPr>
        <w:pStyle w:val="1004"/>
        <w:ind w:left="2322" w:hanging="750"/>
        <w:tabs>
          <w:tab w:val="num" w:pos="2322" w:leader="none"/>
        </w:tabs>
      </w:pPr>
    </w:lvl>
    <w:lvl w:ilvl="7">
      <w:start w:val="1"/>
      <w:numFmt w:val="decimal"/>
      <w:isLgl w:val="false"/>
      <w:suff w:val="tab"/>
      <w:lvlText w:val="%1.%2.%3.%4.%5.%6.%7.%8"/>
      <w:lvlJc w:val="left"/>
      <w:pPr>
        <w:pStyle w:val="1004"/>
        <w:ind w:left="2584" w:hanging="750"/>
        <w:tabs>
          <w:tab w:val="num" w:pos="2584" w:leader="none"/>
        </w:tabs>
      </w:pPr>
    </w:lvl>
    <w:lvl w:ilvl="8">
      <w:start w:val="1"/>
      <w:numFmt w:val="decimal"/>
      <w:isLgl w:val="false"/>
      <w:suff w:val="tab"/>
      <w:lvlText w:val="%1.%2.%3.%4.%5.%6.%7.%8.%9"/>
      <w:lvlJc w:val="left"/>
      <w:pPr>
        <w:pStyle w:val="1004"/>
        <w:ind w:left="2846" w:hanging="750"/>
        <w:tabs>
          <w:tab w:val="num" w:pos="2846" w:leader="none"/>
        </w:tabs>
      </w:pPr>
    </w:lvl>
  </w:abstractNum>
  <w:abstractNum w:abstractNumId="2">
    <w:multiLevelType w:val="hybridMultilevel"/>
    <w:lvl w:ilvl="0">
      <w:start w:val="1"/>
      <w:numFmt w:val="decimal"/>
      <w:isLgl w:val="false"/>
      <w:suff w:val="space"/>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
      <w:lvlJc w:val="left"/>
      <w:pPr>
        <w:pStyle w:val="1004"/>
        <w:ind w:left="0" w:firstLine="0"/>
      </w:pPr>
      <w:rPr>
        <w:rFonts w:ascii="Arial" w:hAnsi="Arial" w:eastAsia="黑体"/>
        <w:b w:val="0"/>
        <w:i w:val="0"/>
        <w:sz w:val="36"/>
        <w:szCs w:val="36"/>
      </w:rPr>
    </w:lvl>
    <w:lvl w:ilvl="1">
      <w:start w:val="1"/>
      <w:numFmt w:val="decimal"/>
      <w:isLgl w:val="false"/>
      <w:suff w:val="nothing"/>
      <w:lvlText w:val="%1.%2  "/>
      <w:lvlJc w:val="left"/>
      <w:pPr>
        <w:pStyle w:val="1004"/>
        <w:ind w:left="0" w:firstLine="0"/>
      </w:pPr>
      <w:rPr>
        <w:rFonts w:ascii="Arial" w:hAnsi="Arial"/>
        <w:b w:val="0"/>
        <w:i w:val="0"/>
        <w:sz w:val="30"/>
        <w:szCs w:val="30"/>
      </w:rPr>
    </w:lvl>
    <w:lvl w:ilvl="2">
      <w:start w:val="1"/>
      <w:numFmt w:val="decimal"/>
      <w:isLgl w:val="false"/>
      <w:suff w:val="nothing"/>
      <w:lvlText w:val="%1.%2.%3  "/>
      <w:lvlJc w:val="left"/>
      <w:pPr>
        <w:pStyle w:val="1004"/>
        <w:ind w:left="0" w:firstLine="0"/>
      </w:pPr>
      <w:rPr>
        <w:rFonts w:ascii="Arial" w:hAnsi="Arial"/>
        <w:b w:val="0"/>
        <w:i w:val="0"/>
        <w:sz w:val="24"/>
        <w:szCs w:val="24"/>
      </w:rPr>
    </w:lvl>
    <w:lvl w:ilvl="3">
      <w:start w:val="1"/>
      <w:numFmt w:val="decimal"/>
      <w:isLgl w:val="false"/>
      <w:suff w:val="nothing"/>
      <w:lvlText w:val="%1.%2.%3.%4  "/>
      <w:lvlJc w:val="left"/>
      <w:pPr>
        <w:pStyle w:val="1004"/>
        <w:ind w:left="0" w:firstLine="0"/>
      </w:pPr>
      <w:rPr>
        <w:rFonts w:ascii="Arial" w:hAnsi="Arial"/>
        <w:b w:val="0"/>
        <w:i w:val="0"/>
        <w:sz w:val="21"/>
        <w:szCs w:val="21"/>
      </w:rPr>
    </w:lvl>
    <w:lvl w:ilvl="4">
      <w:start w:val="1"/>
      <w:numFmt w:val="decimal"/>
      <w:isLgl w:val="false"/>
      <w:suff w:val="tab"/>
      <w:lvlText w:val="%5."/>
      <w:lvlJc w:val="left"/>
      <w:pPr>
        <w:pStyle w:val="1004"/>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1004"/>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1004"/>
        <w:ind w:left="1134" w:hanging="312"/>
        <w:tabs>
          <w:tab w:val="num" w:pos="1134" w:leader="none"/>
        </w:tabs>
      </w:pPr>
      <w:rPr>
        <w:rFonts w:ascii="Arial" w:hAnsi="Arial"/>
        <w:b w:val="0"/>
        <w:i w:val="0"/>
        <w:sz w:val="21"/>
        <w:szCs w:val="21"/>
      </w:rPr>
    </w:lvl>
    <w:lvl w:ilvl="7">
      <w:start w:val="1"/>
      <w:numFmt w:val="decimal"/>
      <w:pStyle w:val="1142"/>
      <w:isLgl w:val="false"/>
      <w:suff w:val="space"/>
      <w:lvlText w:val="图%8"/>
      <w:lvlJc w:val="center"/>
      <w:pPr>
        <w:pStyle w:val="1004"/>
        <w:ind w:left="0" w:firstLine="0"/>
      </w:pPr>
      <w:rPr>
        <w:rFonts w:ascii="Arial" w:hAnsi="Arial" w:eastAsia="黑体"/>
        <w:b w:val="0"/>
        <w:i w:val="0"/>
        <w:sz w:val="18"/>
        <w:szCs w:val="18"/>
      </w:rPr>
    </w:lvl>
    <w:lvl w:ilvl="8">
      <w:start w:val="1"/>
      <w:numFmt w:val="decimal"/>
      <w:pStyle w:val="1090"/>
      <w:isLgl w:val="false"/>
      <w:suff w:val="space"/>
      <w:lvlText w:val="表%9"/>
      <w:lvlJc w:val="center"/>
      <w:pPr>
        <w:pStyle w:val="1004"/>
        <w:ind w:left="0" w:firstLine="0"/>
      </w:pPr>
      <w:rPr>
        <w:rFonts w:ascii="Arial" w:hAnsi="Arial" w:eastAsia="黑体"/>
        <w:b w:val="0"/>
        <w:i w:val="0"/>
        <w:sz w:val="18"/>
        <w:szCs w:val="18"/>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4"/>
    <w:next w:val="1004"/>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4"/>
    <w:next w:val="1004"/>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paragraph" w:styleId="831">
    <w:name w:val="Heading 3"/>
    <w:basedOn w:val="1004"/>
    <w:next w:val="1004"/>
    <w:link w:val="832"/>
    <w:uiPriority w:val="9"/>
    <w:unhideWhenUsed/>
    <w:qFormat/>
    <w:pPr>
      <w:keepLines/>
      <w:keepNext/>
      <w:spacing w:before="320" w:after="200"/>
      <w:outlineLvl w:val="2"/>
    </w:pPr>
    <w:rPr>
      <w:rFonts w:ascii="Arial" w:hAnsi="Arial" w:eastAsia="Arial" w:cs="Arial"/>
      <w:sz w:val="30"/>
      <w:szCs w:val="30"/>
    </w:rPr>
  </w:style>
  <w:style w:type="character" w:styleId="832">
    <w:name w:val="Heading 3 Char"/>
    <w:link w:val="831"/>
    <w:uiPriority w:val="9"/>
    <w:rPr>
      <w:rFonts w:ascii="Arial" w:hAnsi="Arial" w:eastAsia="Arial" w:cs="Arial"/>
      <w:sz w:val="30"/>
      <w:szCs w:val="30"/>
    </w:rPr>
  </w:style>
  <w:style w:type="paragraph" w:styleId="833">
    <w:name w:val="Heading 4"/>
    <w:basedOn w:val="1004"/>
    <w:next w:val="1004"/>
    <w:link w:val="834"/>
    <w:uiPriority w:val="9"/>
    <w:unhideWhenUsed/>
    <w:qFormat/>
    <w:pPr>
      <w:keepLines/>
      <w:keepNext/>
      <w:spacing w:before="320" w:after="200"/>
      <w:outlineLvl w:val="3"/>
    </w:pPr>
    <w:rPr>
      <w:rFonts w:ascii="Arial" w:hAnsi="Arial" w:eastAsia="Arial" w:cs="Arial"/>
      <w:b/>
      <w:bCs/>
      <w:sz w:val="26"/>
      <w:szCs w:val="26"/>
    </w:rPr>
  </w:style>
  <w:style w:type="character" w:styleId="834">
    <w:name w:val="Heading 4 Char"/>
    <w:link w:val="833"/>
    <w:uiPriority w:val="9"/>
    <w:rPr>
      <w:rFonts w:ascii="Arial" w:hAnsi="Arial" w:eastAsia="Arial" w:cs="Arial"/>
      <w:b/>
      <w:bCs/>
      <w:sz w:val="26"/>
      <w:szCs w:val="26"/>
    </w:rPr>
  </w:style>
  <w:style w:type="paragraph" w:styleId="835">
    <w:name w:val="Heading 5"/>
    <w:basedOn w:val="1004"/>
    <w:next w:val="1004"/>
    <w:link w:val="836"/>
    <w:uiPriority w:val="9"/>
    <w:unhideWhenUsed/>
    <w:qFormat/>
    <w:pPr>
      <w:keepLines/>
      <w:keepNext/>
      <w:spacing w:before="320" w:after="200"/>
      <w:outlineLvl w:val="4"/>
    </w:pPr>
    <w:rPr>
      <w:rFonts w:ascii="Arial" w:hAnsi="Arial" w:eastAsia="Arial" w:cs="Arial"/>
      <w:b/>
      <w:bCs/>
      <w:sz w:val="24"/>
      <w:szCs w:val="24"/>
    </w:rPr>
  </w:style>
  <w:style w:type="character" w:styleId="836">
    <w:name w:val="Heading 5 Char"/>
    <w:link w:val="835"/>
    <w:uiPriority w:val="9"/>
    <w:rPr>
      <w:rFonts w:ascii="Arial" w:hAnsi="Arial" w:eastAsia="Arial" w:cs="Arial"/>
      <w:b/>
      <w:bCs/>
      <w:sz w:val="24"/>
      <w:szCs w:val="24"/>
    </w:rPr>
  </w:style>
  <w:style w:type="paragraph" w:styleId="837">
    <w:name w:val="Heading 6"/>
    <w:basedOn w:val="1004"/>
    <w:next w:val="1004"/>
    <w:link w:val="838"/>
    <w:uiPriority w:val="9"/>
    <w:unhideWhenUsed/>
    <w:qFormat/>
    <w:pPr>
      <w:keepLines/>
      <w:keepNext/>
      <w:spacing w:before="320" w:after="200"/>
      <w:outlineLvl w:val="5"/>
    </w:pPr>
    <w:rPr>
      <w:rFonts w:ascii="Arial" w:hAnsi="Arial" w:eastAsia="Arial" w:cs="Arial"/>
      <w:b/>
      <w:bCs/>
      <w:sz w:val="22"/>
      <w:szCs w:val="22"/>
    </w:rPr>
  </w:style>
  <w:style w:type="character" w:styleId="838">
    <w:name w:val="Heading 6 Char"/>
    <w:link w:val="837"/>
    <w:uiPriority w:val="9"/>
    <w:rPr>
      <w:rFonts w:ascii="Arial" w:hAnsi="Arial" w:eastAsia="Arial" w:cs="Arial"/>
      <w:b/>
      <w:bCs/>
      <w:sz w:val="22"/>
      <w:szCs w:val="22"/>
    </w:rPr>
  </w:style>
  <w:style w:type="paragraph" w:styleId="839">
    <w:name w:val="Heading 7"/>
    <w:basedOn w:val="1004"/>
    <w:next w:val="1004"/>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Heading 7 Char"/>
    <w:link w:val="839"/>
    <w:uiPriority w:val="9"/>
    <w:rPr>
      <w:rFonts w:ascii="Arial" w:hAnsi="Arial" w:eastAsia="Arial" w:cs="Arial"/>
      <w:b/>
      <w:bCs/>
      <w:i/>
      <w:iCs/>
      <w:sz w:val="22"/>
      <w:szCs w:val="22"/>
    </w:rPr>
  </w:style>
  <w:style w:type="paragraph" w:styleId="841">
    <w:name w:val="Heading 8"/>
    <w:basedOn w:val="1004"/>
    <w:next w:val="1004"/>
    <w:link w:val="842"/>
    <w:uiPriority w:val="9"/>
    <w:unhideWhenUsed/>
    <w:qFormat/>
    <w:pPr>
      <w:keepLines/>
      <w:keepNext/>
      <w:spacing w:before="320" w:after="200"/>
      <w:outlineLvl w:val="7"/>
    </w:pPr>
    <w:rPr>
      <w:rFonts w:ascii="Arial" w:hAnsi="Arial" w:eastAsia="Arial" w:cs="Arial"/>
      <w:i/>
      <w:iCs/>
      <w:sz w:val="22"/>
      <w:szCs w:val="22"/>
    </w:rPr>
  </w:style>
  <w:style w:type="character" w:styleId="842">
    <w:name w:val="Heading 8 Char"/>
    <w:link w:val="841"/>
    <w:uiPriority w:val="9"/>
    <w:rPr>
      <w:rFonts w:ascii="Arial" w:hAnsi="Arial" w:eastAsia="Arial" w:cs="Arial"/>
      <w:i/>
      <w:iCs/>
      <w:sz w:val="22"/>
      <w:szCs w:val="22"/>
    </w:rPr>
  </w:style>
  <w:style w:type="paragraph" w:styleId="843">
    <w:name w:val="Heading 9"/>
    <w:basedOn w:val="1004"/>
    <w:next w:val="1004"/>
    <w:link w:val="844"/>
    <w:uiPriority w:val="9"/>
    <w:unhideWhenUsed/>
    <w:qFormat/>
    <w:pPr>
      <w:keepLines/>
      <w:keepNext/>
      <w:spacing w:before="320" w:after="200"/>
      <w:outlineLvl w:val="8"/>
    </w:pPr>
    <w:rPr>
      <w:rFonts w:ascii="Arial" w:hAnsi="Arial" w:eastAsia="Arial" w:cs="Arial"/>
      <w:i/>
      <w:iCs/>
      <w:sz w:val="21"/>
      <w:szCs w:val="21"/>
    </w:rPr>
  </w:style>
  <w:style w:type="character" w:styleId="844">
    <w:name w:val="Heading 9 Char"/>
    <w:link w:val="843"/>
    <w:uiPriority w:val="9"/>
    <w:rPr>
      <w:rFonts w:ascii="Arial" w:hAnsi="Arial" w:eastAsia="Arial" w:cs="Arial"/>
      <w:i/>
      <w:iCs/>
      <w:sz w:val="21"/>
      <w:szCs w:val="21"/>
    </w:r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3"/>
    <w:link w:val="1004"/>
    <w:qFormat/>
    <w:rPr>
      <w:sz w:val="24"/>
      <w:lang w:val="en-US" w:eastAsia="zh-CN" w:bidi="ar-SA"/>
    </w:rPr>
  </w:style>
  <w:style w:type="paragraph" w:styleId="1005">
    <w:name w:val="标题 1"/>
    <w:basedOn w:val="1004"/>
    <w:next w:val="1004"/>
    <w:link w:val="1004"/>
    <w:qFormat/>
    <w:pPr>
      <w:keepLines/>
      <w:keepNext/>
      <w:spacing w:before="340" w:beforeAutospacing="0" w:after="330" w:afterAutospacing="0" w:line="576" w:lineRule="auto"/>
      <w:outlineLvl w:val="0"/>
    </w:pPr>
    <w:rPr>
      <w:rFonts w:eastAsia="楷体_GB2312"/>
      <w:b/>
      <w:sz w:val="44"/>
    </w:rPr>
  </w:style>
  <w:style w:type="paragraph" w:styleId="1006">
    <w:name w:val="标题 2"/>
    <w:basedOn w:val="1004"/>
    <w:next w:val="1004"/>
    <w:link w:val="1004"/>
    <w:qFormat/>
    <w:pPr>
      <w:jc w:val="center"/>
      <w:keepLines/>
      <w:keepNext/>
      <w:widowControl w:val="off"/>
      <w:outlineLvl w:val="1"/>
    </w:pPr>
    <w:rPr>
      <w:rFonts w:ascii="宋体" w:hAnsi="宋体" w:eastAsia="楷体_GB2312"/>
      <w:b/>
      <w:sz w:val="44"/>
    </w:rPr>
  </w:style>
  <w:style w:type="paragraph" w:styleId="1007">
    <w:name w:val="标题 3"/>
    <w:basedOn w:val="1004"/>
    <w:next w:val="1004"/>
    <w:link w:val="1004"/>
    <w:qFormat/>
    <w:pPr>
      <w:jc w:val="both"/>
      <w:keepLines/>
      <w:keepNext/>
      <w:spacing w:before="260" w:beforeAutospacing="0" w:after="260" w:afterAutospacing="0" w:line="413" w:lineRule="auto"/>
      <w:widowControl w:val="off"/>
      <w:outlineLvl w:val="2"/>
    </w:pPr>
    <w:rPr>
      <w:b/>
      <w:sz w:val="32"/>
    </w:rPr>
  </w:style>
  <w:style w:type="paragraph" w:styleId="1008">
    <w:name w:val="标题 4"/>
    <w:basedOn w:val="1004"/>
    <w:next w:val="1014"/>
    <w:link w:val="1004"/>
    <w:qFormat/>
    <w:pPr>
      <w:keepLines/>
      <w:keepNext/>
      <w:spacing w:before="280" w:after="290" w:line="372" w:lineRule="auto"/>
      <w:outlineLvl w:val="3"/>
    </w:pPr>
    <w:rPr>
      <w:rFonts w:ascii="Arial" w:hAnsi="Arial" w:eastAsia="黑体"/>
      <w:b/>
      <w:bCs/>
      <w:sz w:val="28"/>
      <w:szCs w:val="28"/>
    </w:rPr>
  </w:style>
  <w:style w:type="paragraph" w:styleId="1009">
    <w:name w:val="标题 5"/>
    <w:basedOn w:val="1004"/>
    <w:next w:val="1004"/>
    <w:link w:val="1004"/>
    <w:qFormat/>
    <w:pPr>
      <w:jc w:val="both"/>
      <w:keepNext/>
      <w:widowControl w:val="off"/>
      <w:outlineLvl w:val="4"/>
    </w:pPr>
    <w:rPr>
      <w:rFonts w:hint="eastAsia" w:ascii="宋体" w:hAnsi="宋体"/>
      <w:color w:val="000000"/>
      <w:sz w:val="28"/>
    </w:rPr>
  </w:style>
  <w:style w:type="paragraph" w:styleId="1010">
    <w:name w:val="标题 6"/>
    <w:basedOn w:val="1004"/>
    <w:next w:val="1004"/>
    <w:link w:val="1004"/>
    <w:qFormat/>
    <w:pPr>
      <w:jc w:val="both"/>
      <w:keepNext/>
      <w:widowControl w:val="off"/>
      <w:outlineLvl w:val="5"/>
    </w:pPr>
    <w:rPr>
      <w:rFonts w:hint="eastAsia" w:ascii="宋体" w:hAnsi="宋体"/>
      <w:sz w:val="28"/>
    </w:rPr>
  </w:style>
  <w:style w:type="character" w:styleId="1011">
    <w:name w:val="默认段落字体"/>
    <w:next w:val="1011"/>
    <w:link w:val="1004"/>
  </w:style>
  <w:style w:type="table" w:styleId="1012">
    <w:name w:val="普通表格"/>
    <w:next w:val="1012"/>
    <w:link w:val="1004"/>
    <w:semiHidden/>
    <w:tblPr/>
  </w:style>
  <w:style w:type="paragraph" w:styleId="1013">
    <w:name w:val="正文1"/>
    <w:basedOn w:val="1004"/>
    <w:next w:val="1004"/>
    <w:link w:val="1004"/>
    <w:qFormat/>
    <w:pPr>
      <w:ind w:left="420" w:firstLine="527"/>
      <w:jc w:val="both"/>
      <w:spacing w:before="120" w:line="360" w:lineRule="auto"/>
      <w:widowControl w:val="off"/>
    </w:pPr>
    <w:rPr>
      <w:rFonts w:ascii="宋体" w:hAnsi="宋体"/>
    </w:rPr>
  </w:style>
  <w:style w:type="paragraph" w:styleId="1014">
    <w:name w:val="正文缩进"/>
    <w:basedOn w:val="1004"/>
    <w:next w:val="1004"/>
    <w:link w:val="1004"/>
    <w:pPr>
      <w:ind w:firstLine="420"/>
      <w:jc w:val="left"/>
    </w:pPr>
    <w:rPr>
      <w:rFonts w:eastAsia="楷体_GB2312"/>
      <w:sz w:val="24"/>
    </w:rPr>
  </w:style>
  <w:style w:type="paragraph" w:styleId="1015">
    <w:name w:val="文档结构图"/>
    <w:basedOn w:val="1004"/>
    <w:next w:val="1015"/>
    <w:link w:val="1004"/>
    <w:pPr>
      <w:shd w:val="clear" w:color="auto" w:fill="000080"/>
    </w:pPr>
  </w:style>
  <w:style w:type="paragraph" w:styleId="1016">
    <w:name w:val="批注文字"/>
    <w:basedOn w:val="1004"/>
    <w:next w:val="1016"/>
    <w:link w:val="1017"/>
  </w:style>
  <w:style w:type="character" w:styleId="1017">
    <w:name w:val="批注文字 字符"/>
    <w:next w:val="1017"/>
    <w:link w:val="1016"/>
    <w:rPr>
      <w:sz w:val="24"/>
    </w:rPr>
  </w:style>
  <w:style w:type="paragraph" w:styleId="1018">
    <w:name w:val="正文文本"/>
    <w:basedOn w:val="1004"/>
    <w:next w:val="1018"/>
    <w:link w:val="1004"/>
    <w:rPr>
      <w:sz w:val="24"/>
    </w:rPr>
  </w:style>
  <w:style w:type="paragraph" w:styleId="1019">
    <w:name w:val="正文文本缩进"/>
    <w:basedOn w:val="1004"/>
    <w:next w:val="1019"/>
    <w:link w:val="1004"/>
    <w:pPr>
      <w:ind w:firstLine="425"/>
      <w:spacing w:line="360" w:lineRule="auto"/>
    </w:pPr>
    <w:rPr>
      <w:sz w:val="24"/>
    </w:rPr>
  </w:style>
  <w:style w:type="paragraph" w:styleId="1020">
    <w:name w:val="文本块"/>
    <w:basedOn w:val="1004"/>
    <w:next w:val="1020"/>
    <w:link w:val="1004"/>
    <w:pPr>
      <w:ind w:left="630" w:right="-609" w:firstLine="420"/>
      <w:spacing w:line="360" w:lineRule="auto"/>
    </w:pPr>
    <w:rPr>
      <w:rFonts w:hint="eastAsia" w:ascii="仿宋_GB2312" w:eastAsia="仿宋_GB2312"/>
    </w:rPr>
  </w:style>
  <w:style w:type="paragraph" w:styleId="1021">
    <w:name w:val="纯文本"/>
    <w:basedOn w:val="1004"/>
    <w:next w:val="1021"/>
    <w:link w:val="1022"/>
    <w:rPr>
      <w:rFonts w:ascii="宋体" w:hAnsi="Courier New" w:eastAsia="楷体_GB2312"/>
      <w:sz w:val="26"/>
    </w:rPr>
  </w:style>
  <w:style w:type="character" w:styleId="1022">
    <w:name w:val="纯文本 字符"/>
    <w:next w:val="1022"/>
    <w:link w:val="1021"/>
    <w:rPr>
      <w:rFonts w:ascii="宋体" w:hAnsi="Courier New" w:eastAsia="楷体_GB2312"/>
      <w:sz w:val="26"/>
    </w:rPr>
  </w:style>
  <w:style w:type="paragraph" w:styleId="1023">
    <w:name w:val="日期"/>
    <w:basedOn w:val="1004"/>
    <w:next w:val="1004"/>
    <w:link w:val="1004"/>
    <w:rPr>
      <w:rFonts w:ascii="宋体" w:hAnsi="宋体" w:eastAsia="楷体_GB2312"/>
      <w:sz w:val="24"/>
    </w:rPr>
  </w:style>
  <w:style w:type="paragraph" w:styleId="1024">
    <w:name w:val="正文文本缩进 2"/>
    <w:basedOn w:val="1004"/>
    <w:next w:val="1024"/>
    <w:link w:val="1004"/>
    <w:pPr>
      <w:ind w:left="420"/>
      <w:spacing w:after="120" w:afterAutospacing="0" w:line="480" w:lineRule="auto"/>
    </w:pPr>
  </w:style>
  <w:style w:type="paragraph" w:styleId="1025">
    <w:name w:val="批注框文本"/>
    <w:basedOn w:val="1004"/>
    <w:next w:val="1025"/>
    <w:link w:val="1026"/>
    <w:rPr>
      <w:sz w:val="18"/>
    </w:rPr>
  </w:style>
  <w:style w:type="character" w:styleId="1026">
    <w:name w:val="批注框文本 字符"/>
    <w:next w:val="1026"/>
    <w:link w:val="1025"/>
    <w:rPr>
      <w:sz w:val="18"/>
    </w:rPr>
  </w:style>
  <w:style w:type="paragraph" w:styleId="1027">
    <w:name w:val="页脚"/>
    <w:basedOn w:val="1004"/>
    <w:next w:val="1027"/>
    <w:link w:val="1028"/>
    <w:pPr>
      <w:jc w:val="left"/>
      <w:tabs>
        <w:tab w:val="center" w:pos="4153" w:leader="none"/>
        <w:tab w:val="right" w:pos="8306" w:leader="none"/>
      </w:tabs>
    </w:pPr>
    <w:rPr>
      <w:rFonts w:eastAsia="楷体_GB2312"/>
      <w:sz w:val="18"/>
    </w:rPr>
  </w:style>
  <w:style w:type="character" w:styleId="1028">
    <w:name w:val="页脚 字符"/>
    <w:next w:val="1028"/>
    <w:link w:val="1027"/>
    <w:uiPriority w:val="99"/>
    <w:rPr>
      <w:rFonts w:eastAsia="楷体_GB2312"/>
      <w:sz w:val="18"/>
    </w:rPr>
  </w:style>
  <w:style w:type="paragraph" w:styleId="1029">
    <w:name w:val="页眉"/>
    <w:basedOn w:val="1004"/>
    <w:next w:val="1029"/>
    <w:link w:val="1030"/>
    <w:pPr>
      <w:jc w:val="center"/>
      <w:tabs>
        <w:tab w:val="center" w:pos="4153" w:leader="none"/>
        <w:tab w:val="right" w:pos="8306" w:leader="none"/>
      </w:tabs>
      <w:pBdr>
        <w:bottom w:val="single" w:color="000000" w:sz="6" w:space="1"/>
      </w:pBdr>
    </w:pPr>
    <w:rPr>
      <w:rFonts w:eastAsia="楷体_GB2312"/>
      <w:sz w:val="18"/>
    </w:rPr>
  </w:style>
  <w:style w:type="character" w:styleId="1030">
    <w:name w:val="页眉 字符"/>
    <w:next w:val="1030"/>
    <w:link w:val="1029"/>
    <w:uiPriority w:val="99"/>
    <w:rPr>
      <w:rFonts w:eastAsia="楷体_GB2312"/>
      <w:sz w:val="18"/>
    </w:rPr>
  </w:style>
  <w:style w:type="paragraph" w:styleId="1031">
    <w:name w:val="目录 1"/>
    <w:basedOn w:val="1004"/>
    <w:next w:val="1004"/>
    <w:link w:val="1004"/>
    <w:pPr>
      <w:jc w:val="left"/>
    </w:pPr>
    <w:rPr>
      <w:rFonts w:eastAsia="楷体_GB2312"/>
      <w:sz w:val="24"/>
    </w:rPr>
  </w:style>
  <w:style w:type="paragraph" w:styleId="1032">
    <w:name w:val="正文文本缩进 3"/>
    <w:basedOn w:val="1004"/>
    <w:next w:val="1032"/>
    <w:link w:val="1004"/>
    <w:pPr>
      <w:ind w:left="420"/>
      <w:spacing w:after="120" w:afterAutospacing="0"/>
    </w:pPr>
    <w:rPr>
      <w:sz w:val="16"/>
    </w:rPr>
  </w:style>
  <w:style w:type="paragraph" w:styleId="1033">
    <w:name w:val="图表目录"/>
    <w:basedOn w:val="1004"/>
    <w:next w:val="1004"/>
    <w:link w:val="1004"/>
    <w:pPr>
      <w:ind w:left="840" w:hanging="420"/>
    </w:pPr>
    <w:rPr>
      <w:szCs w:val="24"/>
    </w:rPr>
  </w:style>
  <w:style w:type="paragraph" w:styleId="1034">
    <w:name w:val="正文文本 2"/>
    <w:basedOn w:val="1004"/>
    <w:next w:val="1034"/>
    <w:link w:val="1004"/>
    <w:pPr>
      <w:spacing w:after="120" w:afterAutospacing="0" w:line="480" w:lineRule="auto"/>
    </w:pPr>
  </w:style>
  <w:style w:type="paragraph" w:styleId="1035">
    <w:name w:val="普通(网站)"/>
    <w:basedOn w:val="1004"/>
    <w:next w:val="1035"/>
    <w:link w:val="1004"/>
    <w:pPr>
      <w:jc w:val="left"/>
      <w:spacing w:before="100" w:beforeAutospacing="1" w:after="100" w:afterAutospacing="1"/>
      <w:widowControl/>
    </w:pPr>
    <w:rPr>
      <w:rFonts w:ascii="宋体" w:hAnsi="宋体"/>
      <w:sz w:val="24"/>
    </w:rPr>
  </w:style>
  <w:style w:type="paragraph" w:styleId="1036">
    <w:name w:val="索引 1"/>
    <w:basedOn w:val="1004"/>
    <w:next w:val="1004"/>
    <w:link w:val="1004"/>
    <w:pPr>
      <w:jc w:val="both"/>
      <w:widowControl w:val="off"/>
    </w:pPr>
    <w:rPr>
      <w:rFonts w:eastAsia="楷体_GB2312"/>
      <w:sz w:val="28"/>
    </w:rPr>
  </w:style>
  <w:style w:type="paragraph" w:styleId="1037">
    <w:name w:val="索引 2"/>
    <w:basedOn w:val="1004"/>
    <w:next w:val="1004"/>
    <w:link w:val="1004"/>
    <w:pPr>
      <w:ind w:left="420"/>
      <w:jc w:val="both"/>
      <w:widowControl w:val="off"/>
    </w:pPr>
    <w:rPr>
      <w:rFonts w:eastAsia="楷体_GB2312"/>
      <w:sz w:val="28"/>
    </w:rPr>
  </w:style>
  <w:style w:type="paragraph" w:styleId="1038">
    <w:name w:val="批注主题"/>
    <w:basedOn w:val="1016"/>
    <w:next w:val="1016"/>
    <w:link w:val="1039"/>
    <w:rPr>
      <w:b/>
      <w:bCs/>
    </w:rPr>
  </w:style>
  <w:style w:type="character" w:styleId="1039">
    <w:name w:val="批注主题 字符"/>
    <w:next w:val="1039"/>
    <w:link w:val="1038"/>
    <w:rPr>
      <w:b/>
      <w:bCs/>
      <w:sz w:val="24"/>
    </w:rPr>
  </w:style>
  <w:style w:type="paragraph" w:styleId="1040">
    <w:name w:val="正文首行缩进 2"/>
    <w:basedOn w:val="1019"/>
    <w:next w:val="1040"/>
    <w:link w:val="1004"/>
    <w:pPr>
      <w:ind w:left="420" w:firstLine="210"/>
      <w:jc w:val="both"/>
      <w:spacing w:after="120" w:line="240" w:lineRule="auto"/>
      <w:widowControl w:val="off"/>
    </w:pPr>
    <w:rPr>
      <w:rFonts w:eastAsia="仿宋_GB2312"/>
      <w:sz w:val="30"/>
    </w:rPr>
  </w:style>
  <w:style w:type="table" w:styleId="1041">
    <w:name w:val="网格型"/>
    <w:next w:val="1041"/>
    <w:link w:val="1004"/>
    <w:qFormat/>
    <w:rPr>
      <w:lang w:val="en-US" w:eastAsia="zh-CN" w:bidi="ar-SA"/>
    </w:rPr>
    <w:tblPr/>
  </w:style>
  <w:style w:type="character" w:styleId="1042">
    <w:name w:val="页码"/>
    <w:next w:val="1042"/>
    <w:link w:val="1004"/>
  </w:style>
  <w:style w:type="character" w:styleId="1043">
    <w:name w:val="已访问的超链接"/>
    <w:next w:val="1043"/>
    <w:link w:val="1004"/>
    <w:uiPriority w:val="99"/>
    <w:rPr>
      <w:color w:val="800080"/>
      <w:u w:val="single"/>
    </w:rPr>
  </w:style>
  <w:style w:type="character" w:styleId="1044">
    <w:name w:val="超链接"/>
    <w:next w:val="1044"/>
    <w:link w:val="1004"/>
    <w:uiPriority w:val="99"/>
    <w:rPr>
      <w:color w:val="0000ff"/>
      <w:u w:val="single"/>
    </w:rPr>
  </w:style>
  <w:style w:type="character" w:styleId="1045">
    <w:name w:val="批注引用"/>
    <w:next w:val="1045"/>
    <w:link w:val="1004"/>
    <w:rPr>
      <w:sz w:val="21"/>
      <w:szCs w:val="21"/>
    </w:rPr>
  </w:style>
  <w:style w:type="character" w:styleId="1046">
    <w:name w:val="font91"/>
    <w:next w:val="1046"/>
    <w:link w:val="1004"/>
    <w:rPr>
      <w:rFonts w:hint="eastAsia" w:ascii="宋体" w:hAnsi="宋体" w:eastAsia="宋体" w:cs="宋体"/>
      <w:i w:val="0"/>
      <w:color w:val="ff0000"/>
      <w:sz w:val="22"/>
      <w:szCs w:val="22"/>
      <w:u w:val="none"/>
    </w:rPr>
  </w:style>
  <w:style w:type="character" w:styleId="1047">
    <w:name w:val="aa1 l01 style8"/>
    <w:next w:val="1047"/>
    <w:link w:val="1004"/>
  </w:style>
  <w:style w:type="character" w:styleId="1048">
    <w:name w:val="font11"/>
    <w:next w:val="1048"/>
    <w:link w:val="1004"/>
    <w:rPr>
      <w:rFonts w:ascii="宋体" w:hAnsi="宋体" w:eastAsia="宋体" w:cs="宋体"/>
      <w:i w:val="0"/>
      <w:color w:val="000000"/>
      <w:sz w:val="28"/>
      <w:szCs w:val="28"/>
      <w:u w:val="none"/>
    </w:rPr>
  </w:style>
  <w:style w:type="character" w:styleId="1049">
    <w:name w:val="font31"/>
    <w:next w:val="1049"/>
    <w:link w:val="1004"/>
    <w:rPr>
      <w:rFonts w:ascii="微软雅黑" w:hAnsi="微软雅黑" w:eastAsia="微软雅黑" w:cs="微软雅黑"/>
      <w:i w:val="0"/>
      <w:color w:val="000000"/>
      <w:sz w:val="20"/>
      <w:szCs w:val="20"/>
      <w:u w:val="none"/>
    </w:rPr>
  </w:style>
  <w:style w:type="character" w:styleId="1050">
    <w:name w:val="font21"/>
    <w:next w:val="1050"/>
    <w:link w:val="1004"/>
    <w:rPr>
      <w:rFonts w:ascii="Times New Roman" w:hAnsi="Times New Roman" w:cs="Times New Roman"/>
      <w:i w:val="0"/>
      <w:color w:val="000000"/>
      <w:sz w:val="20"/>
      <w:szCs w:val="20"/>
      <w:u w:val="none"/>
    </w:rPr>
  </w:style>
  <w:style w:type="character" w:styleId="1051">
    <w:name w:val="font51"/>
    <w:next w:val="1051"/>
    <w:link w:val="1004"/>
    <w:rPr>
      <w:rFonts w:hint="eastAsia" w:ascii="宋体" w:hAnsi="宋体" w:eastAsia="宋体" w:cs="宋体"/>
      <w:i w:val="0"/>
      <w:color w:val="000000"/>
      <w:sz w:val="22"/>
      <w:szCs w:val="22"/>
      <w:u w:val="none"/>
    </w:rPr>
  </w:style>
  <w:style w:type="character" w:styleId="1052">
    <w:name w:val="styl81"/>
    <w:next w:val="1052"/>
    <w:link w:val="1004"/>
    <w:rPr>
      <w:sz w:val="21"/>
      <w:szCs w:val="21"/>
    </w:rPr>
  </w:style>
  <w:style w:type="character" w:styleId="1053">
    <w:name w:val="无间隔 字符"/>
    <w:next w:val="1053"/>
    <w:link w:val="1054"/>
    <w:uiPriority w:val="1"/>
    <w:rPr>
      <w:sz w:val="22"/>
      <w:szCs w:val="22"/>
      <w:lang w:val="en-US" w:eastAsia="zh-CN" w:bidi="ar-SA"/>
    </w:rPr>
  </w:style>
  <w:style w:type="paragraph" w:styleId="1054">
    <w:name w:val="无间隔"/>
    <w:next w:val="1054"/>
    <w:link w:val="1053"/>
    <w:uiPriority w:val="1"/>
    <w:qFormat/>
    <w:rPr>
      <w:sz w:val="22"/>
      <w:szCs w:val="22"/>
      <w:lang w:val="en-US" w:eastAsia="zh-CN" w:bidi="ar-SA"/>
    </w:rPr>
  </w:style>
  <w:style w:type="character" w:styleId="1055">
    <w:name w:val="样式一"/>
    <w:next w:val="1055"/>
    <w:link w:val="1004"/>
    <w:rPr>
      <w:rFonts w:ascii="宋体" w:hAnsi="宋体"/>
      <w:b/>
      <w:bCs/>
      <w:color w:val="000000"/>
      <w:sz w:val="36"/>
    </w:rPr>
  </w:style>
  <w:style w:type="character" w:styleId="1056">
    <w:name w:val="样式二"/>
    <w:next w:val="1056"/>
    <w:link w:val="1004"/>
  </w:style>
  <w:style w:type="character" w:styleId="1057">
    <w:name w:val="p141"/>
    <w:next w:val="1057"/>
    <w:link w:val="1004"/>
    <w:rPr>
      <w:sz w:val="21"/>
      <w:szCs w:val="21"/>
    </w:rPr>
  </w:style>
  <w:style w:type="character" w:styleId="1058">
    <w:name w:val="fontstyle01"/>
    <w:next w:val="1058"/>
    <w:link w:val="1004"/>
    <w:rPr>
      <w:rFonts w:ascii="仿宋" w:hAnsi="仿宋" w:eastAsia="仿宋" w:cs="仿宋"/>
      <w:b w:val="0"/>
      <w:i w:val="0"/>
      <w:color w:val="000000"/>
      <w:sz w:val="32"/>
      <w:szCs w:val="32"/>
    </w:rPr>
  </w:style>
  <w:style w:type="character" w:styleId="1059">
    <w:name w:val="font71"/>
    <w:next w:val="1059"/>
    <w:link w:val="1004"/>
    <w:rPr>
      <w:rFonts w:hint="eastAsia" w:ascii="宋体" w:hAnsi="宋体" w:eastAsia="宋体" w:cs="宋体"/>
      <w:i w:val="0"/>
      <w:color w:val="000000"/>
      <w:sz w:val="28"/>
      <w:szCs w:val="28"/>
      <w:u w:val="none"/>
    </w:rPr>
  </w:style>
  <w:style w:type="paragraph" w:styleId="1060">
    <w:name w:val="纯文本21"/>
    <w:basedOn w:val="1004"/>
    <w:next w:val="1060"/>
    <w:link w:val="1004"/>
    <w:qFormat/>
    <w:rPr>
      <w:rFonts w:ascii="宋体" w:hAnsi="Courier New"/>
      <w:sz w:val="26"/>
      <w:szCs w:val="20"/>
    </w:rPr>
  </w:style>
  <w:style w:type="paragraph" w:styleId="1061">
    <w:name w:val="xl30"/>
    <w:basedOn w:val="1004"/>
    <w:next w:val="1061"/>
    <w:link w:val="1004"/>
    <w:pPr>
      <w:jc w:val="center"/>
      <w:spacing w:before="100" w:beforeAutospacing="1" w:after="100" w:afterAutospacing="1"/>
    </w:pPr>
    <w:rPr>
      <w:rFonts w:ascii="宋体" w:hAnsi="宋体"/>
      <w:b/>
      <w:bCs/>
      <w:sz w:val="28"/>
      <w:szCs w:val="28"/>
    </w:rPr>
  </w:style>
  <w:style w:type="paragraph" w:styleId="1062">
    <w:name w:val="正文（首行不缩进）"/>
    <w:basedOn w:val="1004"/>
    <w:next w:val="1062"/>
    <w:link w:val="1004"/>
    <w:pPr>
      <w:spacing w:line="360" w:lineRule="auto"/>
      <w:widowControl w:val="off"/>
    </w:pPr>
    <w:rPr>
      <w:sz w:val="21"/>
      <w:szCs w:val="21"/>
    </w:rPr>
  </w:style>
  <w:style w:type="paragraph" w:styleId="1063">
    <w:name w:val="xl66"/>
    <w:basedOn w:val="1004"/>
    <w:next w:val="1063"/>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18"/>
      <w:szCs w:val="18"/>
    </w:rPr>
  </w:style>
  <w:style w:type="paragraph" w:styleId="1064">
    <w:name w:val="xl80"/>
    <w:basedOn w:val="1004"/>
    <w:next w:val="1064"/>
    <w:link w:val="1004"/>
    <w:pPr>
      <w:spacing w:before="100" w:beforeAutospacing="1" w:after="100" w:afterAutospacing="1"/>
      <w:shd w:val="clear" w:color="000000" w:fill="bdd7ee"/>
      <w:pBdr>
        <w:top w:val="single" w:color="000000" w:sz="4" w:space="0"/>
        <w:left w:val="single" w:color="000000" w:sz="4" w:space="0"/>
        <w:right w:val="single" w:color="000000" w:sz="4" w:space="0"/>
      </w:pBdr>
    </w:pPr>
    <w:rPr>
      <w:rFonts w:ascii="新宋体" w:hAnsi="新宋体" w:eastAsia="新宋体" w:cs="宋体"/>
      <w:sz w:val="20"/>
    </w:rPr>
  </w:style>
  <w:style w:type="paragraph" w:styleId="1065">
    <w:name w:val="NRSection"/>
    <w:basedOn w:val="1004"/>
    <w:next w:val="1065"/>
    <w:link w:val="1004"/>
    <w:pPr>
      <w:outlineLvl w:val="4"/>
    </w:pPr>
    <w:rPr>
      <w:b/>
    </w:rPr>
  </w:style>
  <w:style w:type="paragraph" w:styleId="1066">
    <w:name w:val="xl79"/>
    <w:basedOn w:val="1004"/>
    <w:next w:val="1066"/>
    <w:link w:val="1004"/>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67">
    <w:name w:val="xl72"/>
    <w:basedOn w:val="1004"/>
    <w:next w:val="1067"/>
    <w:link w:val="1004"/>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68">
    <w:name w:val="xl31"/>
    <w:basedOn w:val="1004"/>
    <w:next w:val="1068"/>
    <w:link w:val="1004"/>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69">
    <w:name w:val="font10"/>
    <w:basedOn w:val="1004"/>
    <w:next w:val="1069"/>
    <w:link w:val="1004"/>
    <w:pPr>
      <w:spacing w:before="100" w:beforeAutospacing="1" w:after="100" w:afterAutospacing="1"/>
    </w:pPr>
    <w:rPr>
      <w:b/>
      <w:bCs/>
      <w:sz w:val="20"/>
    </w:rPr>
  </w:style>
  <w:style w:type="paragraph" w:styleId="1070">
    <w:name w:val="正文文本 Char Char"/>
    <w:basedOn w:val="1004"/>
    <w:next w:val="1070"/>
    <w:link w:val="1004"/>
    <w:pPr>
      <w:jc w:val="center"/>
    </w:pPr>
  </w:style>
  <w:style w:type="paragraph" w:styleId="1071">
    <w:name w:val="xl73"/>
    <w:basedOn w:val="1004"/>
    <w:next w:val="1071"/>
    <w:link w:val="100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18"/>
      <w:szCs w:val="18"/>
    </w:rPr>
  </w:style>
  <w:style w:type="paragraph" w:styleId="1072">
    <w:name w:val=" Char Char Char Char Char Char"/>
    <w:basedOn w:val="1015"/>
    <w:next w:val="1072"/>
    <w:link w:val="1004"/>
    <w:pPr>
      <w:jc w:val="both"/>
      <w:spacing w:line="360" w:lineRule="auto"/>
      <w:widowControl w:val="off"/>
    </w:pPr>
    <w:rPr>
      <w:rFonts w:ascii="Tahoma" w:hAnsi="Tahoma"/>
    </w:rPr>
  </w:style>
  <w:style w:type="paragraph" w:styleId="1073">
    <w:name w:val="p0"/>
    <w:next w:val="1073"/>
    <w:link w:val="1004"/>
    <w:qFormat/>
    <w:pPr>
      <w:jc w:val="both"/>
    </w:pPr>
    <w:rPr>
      <w:rFonts w:cs="宋体"/>
      <w:sz w:val="21"/>
      <w:szCs w:val="21"/>
      <w:lang w:val="en-US" w:eastAsia="zh-CN" w:bidi="ar-SA"/>
    </w:rPr>
  </w:style>
  <w:style w:type="paragraph" w:styleId="1074">
    <w:name w:val="xl29"/>
    <w:basedOn w:val="1004"/>
    <w:next w:val="1074"/>
    <w:link w:val="1004"/>
    <w:pPr>
      <w:spacing w:before="100" w:beforeAutospacing="1" w:after="100" w:afterAutospacing="1"/>
      <w:pBdr>
        <w:top w:val="single" w:color="000000" w:sz="4" w:space="0"/>
      </w:pBdr>
    </w:pPr>
    <w:rPr>
      <w:rFonts w:ascii="宋体" w:hAnsi="宋体"/>
      <w:sz w:val="20"/>
    </w:rPr>
  </w:style>
  <w:style w:type="paragraph" w:styleId="1075">
    <w:name w:val="font9"/>
    <w:basedOn w:val="1004"/>
    <w:next w:val="1075"/>
    <w:link w:val="1004"/>
    <w:pPr>
      <w:spacing w:before="100" w:beforeAutospacing="1" w:after="100" w:afterAutospacing="1"/>
    </w:pPr>
    <w:rPr>
      <w:sz w:val="20"/>
    </w:rPr>
  </w:style>
  <w:style w:type="paragraph" w:styleId="1076">
    <w:name w:val="段"/>
    <w:next w:val="1004"/>
    <w:link w:val="1004"/>
    <w:uiPriority w:val="99"/>
    <w:qFormat/>
    <w:pPr>
      <w:ind w:firstLine="200"/>
      <w:jc w:val="both"/>
    </w:pPr>
    <w:rPr>
      <w:rFonts w:ascii="宋体"/>
      <w:sz w:val="21"/>
      <w:lang w:val="en-US" w:eastAsia="zh-CN" w:bidi="ar-SA"/>
    </w:rPr>
  </w:style>
  <w:style w:type="paragraph" w:styleId="1077">
    <w:name w:val="xl81"/>
    <w:basedOn w:val="1004"/>
    <w:next w:val="1077"/>
    <w:link w:val="1004"/>
    <w:pPr>
      <w:spacing w:before="100" w:beforeAutospacing="1" w:after="100" w:afterAutospacing="1"/>
      <w:pBdr>
        <w:top w:val="single" w:color="000000" w:sz="4" w:space="0"/>
        <w:left w:val="single" w:color="000000" w:sz="4" w:space="0"/>
        <w:right w:val="single" w:color="000000" w:sz="4" w:space="0"/>
      </w:pBdr>
    </w:pPr>
    <w:rPr>
      <w:rFonts w:ascii="新宋体" w:hAnsi="新宋体" w:eastAsia="新宋体" w:cs="宋体"/>
      <w:sz w:val="20"/>
    </w:rPr>
  </w:style>
  <w:style w:type="paragraph" w:styleId="1078">
    <w:name w:val="表格文本"/>
    <w:next w:val="1078"/>
    <w:link w:val="1004"/>
    <w:pPr>
      <w:tabs>
        <w:tab w:val="decimal" w:pos="0" w:leader="none"/>
      </w:tabs>
    </w:pPr>
    <w:rPr>
      <w:rFonts w:ascii="Arial" w:hAnsi="Arial"/>
      <w:sz w:val="21"/>
      <w:szCs w:val="21"/>
      <w:lang w:val="en-US" w:eastAsia="zh-CN" w:bidi="ar-SA"/>
    </w:rPr>
  </w:style>
  <w:style w:type="paragraph" w:styleId="1079">
    <w:name w:val="xl75"/>
    <w:basedOn w:val="1004"/>
    <w:next w:val="1079"/>
    <w:link w:val="100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0">
    <w:name w:val="xl68"/>
    <w:basedOn w:val="1004"/>
    <w:next w:val="1080"/>
    <w:link w:val="1004"/>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81">
    <w:name w:val="文档标题"/>
    <w:basedOn w:val="1004"/>
    <w:next w:val="1081"/>
    <w:link w:val="1004"/>
    <w:pPr>
      <w:jc w:val="center"/>
      <w:spacing w:before="300" w:after="300" w:line="360" w:lineRule="auto"/>
      <w:widowControl w:val="off"/>
      <w:tabs>
        <w:tab w:val="left" w:pos="0" w:leader="none"/>
      </w:tabs>
    </w:pPr>
    <w:rPr>
      <w:rFonts w:ascii="Arial" w:hAnsi="Arial" w:eastAsia="黑体"/>
      <w:sz w:val="36"/>
      <w:szCs w:val="36"/>
    </w:rPr>
  </w:style>
  <w:style w:type="paragraph" w:styleId="1082">
    <w:name w:val="xl36"/>
    <w:basedOn w:val="1004"/>
    <w:next w:val="1082"/>
    <w:link w:val="1004"/>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83">
    <w:name w:val="xl24"/>
    <w:basedOn w:val="1004"/>
    <w:next w:val="1083"/>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84">
    <w:name w:val="xl25"/>
    <w:basedOn w:val="1004"/>
    <w:next w:val="1084"/>
    <w:link w:val="100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5">
    <w:name w:val="文章总标题"/>
    <w:basedOn w:val="1004"/>
    <w:next w:val="1004"/>
    <w:link w:val="1004"/>
    <w:pPr>
      <w:jc w:val="center"/>
      <w:spacing w:before="566" w:after="544" w:line="566" w:lineRule="atLeast"/>
    </w:pPr>
    <w:rPr>
      <w:rFonts w:ascii="Arial" w:eastAsia="黑体"/>
      <w:color w:val="000000"/>
      <w:sz w:val="54"/>
    </w:rPr>
  </w:style>
  <w:style w:type="paragraph" w:styleId="1086">
    <w:name w:val="编写建议"/>
    <w:basedOn w:val="1004"/>
    <w:next w:val="1086"/>
    <w:link w:val="1004"/>
    <w:pPr>
      <w:ind w:firstLine="420"/>
      <w:spacing w:line="360" w:lineRule="auto"/>
      <w:widowControl w:val="off"/>
    </w:pPr>
    <w:rPr>
      <w:rFonts w:ascii="Arial" w:hAnsi="Arial" w:cs="Arial"/>
      <w:i/>
      <w:color w:val="0000ff"/>
      <w:sz w:val="21"/>
      <w:szCs w:val="21"/>
    </w:rPr>
  </w:style>
  <w:style w:type="paragraph" w:styleId="1087">
    <w:name w:val="xl77"/>
    <w:basedOn w:val="1004"/>
    <w:next w:val="1087"/>
    <w:link w:val="1004"/>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88">
    <w:name w:val="默认段落字体 Para Char Char Char Char Char Char Char Char Char1 Char Char Char Char"/>
    <w:basedOn w:val="1004"/>
    <w:next w:val="1088"/>
    <w:link w:val="1004"/>
    <w:pPr>
      <w:jc w:val="both"/>
      <w:widowControl w:val="off"/>
    </w:pPr>
    <w:rPr>
      <w:rFonts w:ascii="Tahoma" w:hAnsi="Tahoma"/>
    </w:rPr>
  </w:style>
  <w:style w:type="paragraph" w:styleId="1089">
    <w:name w:val="Z文"/>
    <w:next w:val="1089"/>
    <w:link w:val="1004"/>
    <w:qFormat/>
    <w:pPr>
      <w:ind w:firstLine="200"/>
      <w:jc w:val="both"/>
      <w:spacing w:line="360" w:lineRule="auto"/>
      <w:widowControl w:val="off"/>
    </w:pPr>
    <w:rPr>
      <w:rFonts w:ascii="Time New Romes" w:hAnsi="Time New Romes" w:eastAsia="仿宋"/>
      <w:sz w:val="24"/>
      <w:szCs w:val="22"/>
      <w:lang w:val="en-US" w:eastAsia="zh-CN" w:bidi="ar-SA"/>
    </w:rPr>
  </w:style>
  <w:style w:type="paragraph" w:styleId="1090">
    <w:name w:val="表格题注"/>
    <w:next w:val="1004"/>
    <w:link w:val="1004"/>
    <w:pPr>
      <w:numPr>
        <w:ilvl w:val="8"/>
        <w:numId w:val="1"/>
      </w:numPr>
      <w:ind w:left="1089" w:hanging="369"/>
      <w:jc w:val="center"/>
      <w:keepLines/>
    </w:pPr>
    <w:rPr>
      <w:rFonts w:ascii="Arial" w:hAnsi="Arial"/>
      <w:sz w:val="18"/>
      <w:szCs w:val="18"/>
      <w:lang w:val="en-US" w:eastAsia="zh-CN" w:bidi="ar-SA"/>
    </w:rPr>
  </w:style>
  <w:style w:type="paragraph" w:styleId="1091">
    <w:name w:val="_Style 12"/>
    <w:basedOn w:val="1015"/>
    <w:next w:val="1091"/>
    <w:link w:val="1004"/>
    <w:pPr>
      <w:jc w:val="both"/>
      <w:spacing w:line="360" w:lineRule="auto"/>
      <w:widowControl w:val="off"/>
    </w:pPr>
    <w:rPr>
      <w:sz w:val="21"/>
    </w:rPr>
  </w:style>
  <w:style w:type="paragraph" w:styleId="1092">
    <w:name w:val="Plain Text1"/>
    <w:basedOn w:val="1004"/>
    <w:next w:val="1092"/>
    <w:link w:val="1004"/>
    <w:qFormat/>
    <w:rPr>
      <w:rFonts w:ascii="宋体" w:hAnsi="Courier New" w:eastAsia="楷体_GB2312"/>
      <w:sz w:val="26"/>
      <w:szCs w:val="20"/>
    </w:rPr>
  </w:style>
  <w:style w:type="paragraph" w:styleId="1093">
    <w:name w:val="纯文本2"/>
    <w:basedOn w:val="1004"/>
    <w:next w:val="1093"/>
    <w:link w:val="1004"/>
    <w:rPr>
      <w:rFonts w:ascii="宋体" w:hAnsi="Courier New" w:eastAsia="楷体_GB2312"/>
      <w:sz w:val="26"/>
    </w:rPr>
  </w:style>
  <w:style w:type="paragraph" w:styleId="1094">
    <w:name w:val="xl63"/>
    <w:basedOn w:val="1004"/>
    <w:next w:val="1094"/>
    <w:link w:val="1004"/>
    <w:pPr>
      <w:jc w:val="center"/>
      <w:spacing w:before="100" w:beforeAutospacing="1" w:after="100" w:afterAutospacing="1"/>
    </w:pPr>
    <w:rPr>
      <w:rFonts w:ascii="宋体" w:hAnsi="宋体" w:cs="宋体"/>
      <w:szCs w:val="24"/>
    </w:rPr>
  </w:style>
  <w:style w:type="paragraph" w:styleId="1095">
    <w:name w:val="图样式"/>
    <w:basedOn w:val="1004"/>
    <w:next w:val="1095"/>
    <w:link w:val="1004"/>
    <w:pPr>
      <w:jc w:val="center"/>
      <w:keepNext/>
      <w:spacing w:before="80" w:after="80" w:line="360" w:lineRule="auto"/>
    </w:pPr>
    <w:rPr>
      <w:sz w:val="21"/>
      <w:szCs w:val="21"/>
    </w:rPr>
  </w:style>
  <w:style w:type="paragraph" w:styleId="1096">
    <w:name w:val=" Char Char Char1 Char Char Char Char"/>
    <w:basedOn w:val="1004"/>
    <w:next w:val="1096"/>
    <w:link w:val="1004"/>
    <w:pPr>
      <w:spacing w:after="160" w:line="240" w:lineRule="exact"/>
    </w:pPr>
  </w:style>
  <w:style w:type="paragraph" w:styleId="1097">
    <w:name w:val="Plain Text"/>
    <w:basedOn w:val="1004"/>
    <w:next w:val="1097"/>
    <w:link w:val="1004"/>
    <w:rPr>
      <w:rFonts w:ascii="宋体" w:hAnsi="Courier New" w:eastAsia="楷体_GB2312"/>
      <w:sz w:val="26"/>
    </w:rPr>
  </w:style>
  <w:style w:type="paragraph" w:styleId="1098">
    <w:name w:val="xl70"/>
    <w:basedOn w:val="1004"/>
    <w:next w:val="1098"/>
    <w:link w:val="100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99">
    <w:name w:val="H-TextFormat"/>
    <w:next w:val="1099"/>
    <w:link w:val="1004"/>
    <w:rPr>
      <w:rFonts w:ascii="Arial" w:hAnsi="Arial"/>
      <w:sz w:val="22"/>
      <w:lang w:val="en-GB" w:eastAsia="en-US" w:bidi="ar-SA"/>
    </w:rPr>
  </w:style>
  <w:style w:type="paragraph" w:styleId="1100">
    <w:name w:val="注示文本"/>
    <w:basedOn w:val="1004"/>
    <w:next w:val="1100"/>
    <w:link w:val="1004"/>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101">
    <w:name w:val=" Char Char Char Char Char Char Char Char Char1 Char"/>
    <w:basedOn w:val="1015"/>
    <w:next w:val="1101"/>
    <w:link w:val="1004"/>
    <w:pPr>
      <w:jc w:val="both"/>
      <w:spacing w:line="360" w:lineRule="auto"/>
      <w:widowControl w:val="off"/>
    </w:pPr>
    <w:rPr>
      <w:rFonts w:ascii="Tahoma" w:hAnsi="Tahoma"/>
      <w:szCs w:val="24"/>
    </w:rPr>
  </w:style>
  <w:style w:type="paragraph" w:styleId="1102">
    <w:name w:val="font6"/>
    <w:basedOn w:val="1004"/>
    <w:next w:val="1102"/>
    <w:link w:val="1004"/>
    <w:pPr>
      <w:spacing w:before="100" w:beforeAutospacing="1" w:after="100" w:afterAutospacing="1"/>
    </w:pPr>
    <w:rPr>
      <w:rFonts w:hint="eastAsia" w:ascii="宋体" w:hAnsi="宋体"/>
      <w:sz w:val="20"/>
    </w:rPr>
  </w:style>
  <w:style w:type="paragraph" w:styleId="1103">
    <w:name w:val="Char"/>
    <w:basedOn w:val="1004"/>
    <w:next w:val="1103"/>
    <w:link w:val="1004"/>
    <w:pPr>
      <w:ind w:firstLine="200"/>
      <w:jc w:val="both"/>
      <w:spacing w:line="360" w:lineRule="auto"/>
      <w:widowControl w:val="off"/>
    </w:pPr>
    <w:rPr>
      <w:rFonts w:ascii="Tahoma" w:hAnsi="Tahoma"/>
    </w:rPr>
  </w:style>
  <w:style w:type="paragraph" w:styleId="1104">
    <w:name w:val="xl71"/>
    <w:basedOn w:val="1004"/>
    <w:next w:val="1104"/>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5">
    <w:name w:val="xl64"/>
    <w:basedOn w:val="1004"/>
    <w:next w:val="1105"/>
    <w:link w:val="1004"/>
    <w:pPr>
      <w:spacing w:before="100" w:beforeAutospacing="1" w:after="100" w:afterAutospacing="1"/>
    </w:pPr>
    <w:rPr>
      <w:rFonts w:ascii="宋体" w:hAnsi="宋体" w:cs="宋体"/>
      <w:sz w:val="18"/>
      <w:szCs w:val="18"/>
    </w:rPr>
  </w:style>
  <w:style w:type="paragraph" w:styleId="1106">
    <w:name w:val="xl69"/>
    <w:basedOn w:val="1004"/>
    <w:next w:val="1106"/>
    <w:link w:val="1004"/>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7">
    <w:name w:val="xl76"/>
    <w:basedOn w:val="1004"/>
    <w:next w:val="1107"/>
    <w:link w:val="100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8">
    <w:name w:val="xl33"/>
    <w:basedOn w:val="1004"/>
    <w:next w:val="1108"/>
    <w:link w:val="1004"/>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09">
    <w:name w:val="xl32"/>
    <w:basedOn w:val="1004"/>
    <w:next w:val="1109"/>
    <w:link w:val="1004"/>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10">
    <w:name w:val="xl27"/>
    <w:basedOn w:val="1004"/>
    <w:next w:val="1110"/>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11">
    <w:name w:val="xl35"/>
    <w:basedOn w:val="1004"/>
    <w:next w:val="1111"/>
    <w:link w:val="1004"/>
    <w:pPr>
      <w:jc w:val="right"/>
      <w:spacing w:before="100" w:beforeAutospacing="1" w:after="100" w:afterAutospacing="1"/>
    </w:pPr>
    <w:rPr>
      <w:rFonts w:ascii="宋体" w:hAnsi="宋体"/>
      <w:sz w:val="18"/>
    </w:rPr>
  </w:style>
  <w:style w:type="paragraph" w:styleId="1112">
    <w:name w:val="样式 正文首行缩进 2 + 左侧:  1.5 字符 首行缩进:  2 字符2"/>
    <w:next w:val="1004"/>
    <w:link w:val="1004"/>
    <w:qFormat/>
    <w:pPr>
      <w:ind w:firstLine="480"/>
      <w:jc w:val="both"/>
      <w:spacing w:line="360" w:lineRule="auto"/>
      <w:widowControl w:val="off"/>
    </w:pPr>
    <w:rPr>
      <w:rFonts w:ascii="宋体" w:hAnsi="宋体"/>
      <w:sz w:val="24"/>
      <w:szCs w:val="21"/>
      <w:lang w:val="en-US" w:eastAsia="zh-CN" w:bidi="ar-SA"/>
    </w:rPr>
  </w:style>
  <w:style w:type="paragraph" w:styleId="1113">
    <w:name w:val="Table Paragraph"/>
    <w:next w:val="1113"/>
    <w:link w:val="1004"/>
    <w:uiPriority w:val="1"/>
    <w:qFormat/>
    <w:pPr>
      <w:jc w:val="both"/>
      <w:widowControl w:val="off"/>
    </w:pPr>
    <w:rPr>
      <w:sz w:val="24"/>
      <w:lang w:val="en-US" w:eastAsia="zh-CN" w:bidi="ar-SA"/>
    </w:rPr>
  </w:style>
  <w:style w:type="paragraph" w:styleId="1114">
    <w:name w:val="xl34"/>
    <w:basedOn w:val="1004"/>
    <w:next w:val="1114"/>
    <w:link w:val="1004"/>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15">
    <w:name w:val=" Char"/>
    <w:basedOn w:val="1004"/>
    <w:next w:val="1115"/>
    <w:link w:val="1004"/>
    <w:pPr>
      <w:numPr>
        <w:ilvl w:val="0"/>
        <w:numId w:val="2"/>
      </w:numPr>
      <w:jc w:val="both"/>
      <w:widowControl w:val="off"/>
      <w:tabs>
        <w:tab w:val="left" w:pos="360" w:leader="none"/>
      </w:tabs>
    </w:pPr>
    <w:rPr>
      <w:szCs w:val="24"/>
    </w:rPr>
  </w:style>
  <w:style w:type="paragraph" w:styleId="1116">
    <w:name w:val="xl78"/>
    <w:basedOn w:val="1004"/>
    <w:next w:val="1116"/>
    <w:link w:val="100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7">
    <w:name w:val="xl28"/>
    <w:basedOn w:val="1004"/>
    <w:next w:val="1117"/>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8">
    <w:name w:val="xl26"/>
    <w:basedOn w:val="1004"/>
    <w:next w:val="1118"/>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9">
    <w:name w:val="列表段落"/>
    <w:basedOn w:val="1004"/>
    <w:next w:val="1119"/>
    <w:link w:val="1004"/>
    <w:uiPriority w:val="34"/>
    <w:qFormat/>
    <w:pPr>
      <w:ind w:firstLine="420"/>
      <w:jc w:val="both"/>
      <w:widowControl w:val="off"/>
    </w:pPr>
    <w:rPr>
      <w:rFonts w:ascii="Calibri" w:hAnsi="Calibri" w:eastAsia="宋体" w:cs="Times New Roman"/>
      <w:sz w:val="21"/>
      <w:szCs w:val="22"/>
    </w:rPr>
  </w:style>
  <w:style w:type="paragraph" w:styleId="1120">
    <w:name w:val=" Char1 Char Char Char"/>
    <w:basedOn w:val="1004"/>
    <w:next w:val="1120"/>
    <w:link w:val="1004"/>
    <w:pPr>
      <w:jc w:val="both"/>
      <w:widowControl w:val="off"/>
    </w:pPr>
    <w:rPr>
      <w:rFonts w:ascii="Tahoma" w:hAnsi="Tahoma"/>
    </w:rPr>
  </w:style>
  <w:style w:type="paragraph" w:styleId="1121">
    <w:name w:val=" Char Char Char"/>
    <w:basedOn w:val="1004"/>
    <w:next w:val="1121"/>
    <w:link w:val="1004"/>
    <w:pPr>
      <w:numPr>
        <w:ilvl w:val="0"/>
        <w:numId w:val="2"/>
      </w:numPr>
      <w:jc w:val="both"/>
      <w:widowControl w:val="off"/>
      <w:tabs>
        <w:tab w:val="left" w:pos="840" w:leader="none"/>
      </w:tabs>
    </w:pPr>
  </w:style>
  <w:style w:type="paragraph" w:styleId="1122">
    <w:name w:val="font8"/>
    <w:basedOn w:val="1004"/>
    <w:next w:val="1122"/>
    <w:link w:val="1004"/>
    <w:pPr>
      <w:spacing w:before="100" w:beforeAutospacing="1" w:after="100" w:afterAutospacing="1"/>
    </w:pPr>
    <w:rPr>
      <w:rFonts w:hint="eastAsia" w:ascii="宋体" w:hAnsi="宋体"/>
      <w:b/>
      <w:bCs/>
      <w:sz w:val="20"/>
    </w:rPr>
  </w:style>
  <w:style w:type="paragraph" w:styleId="1123">
    <w:name w:val="纯文本1"/>
    <w:basedOn w:val="1004"/>
    <w:next w:val="1123"/>
    <w:link w:val="1004"/>
    <w:rPr>
      <w:rFonts w:ascii="宋体" w:hAnsi="Courier New" w:eastAsia="楷体_GB2312"/>
      <w:sz w:val="26"/>
    </w:rPr>
  </w:style>
  <w:style w:type="paragraph" w:styleId="1124">
    <w:name w:val="msonormal"/>
    <w:basedOn w:val="1004"/>
    <w:next w:val="1124"/>
    <w:link w:val="1004"/>
    <w:pPr>
      <w:spacing w:before="100" w:beforeAutospacing="1" w:after="100" w:afterAutospacing="1"/>
    </w:pPr>
    <w:rPr>
      <w:rFonts w:ascii="宋体" w:hAnsi="宋体" w:cs="宋体"/>
      <w:szCs w:val="24"/>
    </w:rPr>
  </w:style>
  <w:style w:type="paragraph" w:styleId="1125">
    <w:name w:val="图"/>
    <w:basedOn w:val="1004"/>
    <w:next w:val="1125"/>
    <w:link w:val="1004"/>
    <w:pPr>
      <w:jc w:val="center"/>
      <w:keepNext/>
      <w:spacing w:before="60" w:after="60" w:line="300" w:lineRule="auto"/>
      <w:widowControl w:val="off"/>
    </w:pPr>
    <w:rPr>
      <w:spacing w:val="20"/>
    </w:rPr>
  </w:style>
  <w:style w:type="paragraph" w:styleId="1126">
    <w:name w:val="xl74"/>
    <w:basedOn w:val="1004"/>
    <w:next w:val="1126"/>
    <w:link w:val="1004"/>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27">
    <w:name w:val="表头文本"/>
    <w:next w:val="1127"/>
    <w:link w:val="1004"/>
    <w:pPr>
      <w:jc w:val="center"/>
    </w:pPr>
    <w:rPr>
      <w:rFonts w:ascii="Arial" w:hAnsi="Arial"/>
      <w:b/>
      <w:sz w:val="21"/>
      <w:szCs w:val="21"/>
      <w:lang w:val="en-US" w:eastAsia="zh-CN" w:bidi="ar-SA"/>
    </w:rPr>
  </w:style>
  <w:style w:type="paragraph" w:styleId="1128">
    <w:name w:val="xl22"/>
    <w:basedOn w:val="1004"/>
    <w:next w:val="1128"/>
    <w:link w:val="1004"/>
    <w:pPr>
      <w:jc w:val="center"/>
      <w:spacing w:before="100" w:beforeAutospacing="1" w:after="100" w:afterAutospacing="1"/>
    </w:pPr>
    <w:rPr>
      <w:rFonts w:ascii="宋体" w:hAnsi="宋体"/>
      <w:sz w:val="20"/>
    </w:rPr>
  </w:style>
  <w:style w:type="paragraph" w:styleId="1129">
    <w:name w:val="font7"/>
    <w:basedOn w:val="1004"/>
    <w:next w:val="1129"/>
    <w:link w:val="1004"/>
    <w:pPr>
      <w:spacing w:before="100" w:beforeAutospacing="1" w:after="100" w:afterAutospacing="1"/>
    </w:pPr>
    <w:rPr>
      <w:sz w:val="20"/>
    </w:rPr>
  </w:style>
  <w:style w:type="paragraph" w:styleId="1130">
    <w:name w:val="font5"/>
    <w:basedOn w:val="1004"/>
    <w:next w:val="1130"/>
    <w:link w:val="1004"/>
    <w:pPr>
      <w:spacing w:before="100" w:beforeAutospacing="1" w:after="100" w:afterAutospacing="1"/>
    </w:pPr>
    <w:rPr>
      <w:rFonts w:hint="eastAsia" w:ascii="宋体" w:hAnsi="宋体"/>
      <w:sz w:val="18"/>
    </w:rPr>
  </w:style>
  <w:style w:type="paragraph" w:styleId="1131">
    <w:name w:val="_Style 91"/>
    <w:next w:val="1131"/>
    <w:link w:val="1004"/>
    <w:uiPriority w:val="99"/>
    <w:qFormat/>
    <w:pPr>
      <w:ind w:firstLine="420"/>
      <w:jc w:val="both"/>
      <w:widowControl w:val="off"/>
    </w:pPr>
    <w:rPr>
      <w:sz w:val="21"/>
      <w:szCs w:val="22"/>
      <w:lang w:val="en-US" w:eastAsia="zh-CN" w:bidi="ar-SA"/>
    </w:rPr>
  </w:style>
  <w:style w:type="paragraph" w:styleId="1132">
    <w:name w:val="修订"/>
    <w:next w:val="1132"/>
    <w:link w:val="1004"/>
    <w:uiPriority w:val="99"/>
    <w:unhideWhenUsed/>
    <w:rPr>
      <w:sz w:val="24"/>
      <w:lang w:val="en-US" w:eastAsia="zh-CN" w:bidi="ar-SA"/>
    </w:rPr>
  </w:style>
  <w:style w:type="paragraph" w:styleId="1133">
    <w:name w:val="注示头"/>
    <w:basedOn w:val="1004"/>
    <w:next w:val="1133"/>
    <w:link w:val="1004"/>
    <w:pPr>
      <w:jc w:val="both"/>
      <w:spacing w:line="360" w:lineRule="auto"/>
      <w:widowControl w:val="off"/>
      <w:pBdr>
        <w:top w:val="single" w:color="000000" w:sz="4" w:space="1"/>
      </w:pBdr>
    </w:pPr>
    <w:rPr>
      <w:rFonts w:ascii="Arial" w:hAnsi="Arial" w:eastAsia="黑体"/>
      <w:sz w:val="18"/>
      <w:szCs w:val="21"/>
    </w:rPr>
  </w:style>
  <w:style w:type="paragraph" w:styleId="1134">
    <w:name w:val="xl23"/>
    <w:basedOn w:val="1004"/>
    <w:next w:val="1134"/>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5">
    <w:name w:val="List Paragraph"/>
    <w:basedOn w:val="1004"/>
    <w:next w:val="1135"/>
    <w:link w:val="1004"/>
    <w:pPr>
      <w:ind w:firstLine="420"/>
      <w:jc w:val="both"/>
      <w:widowControl w:val="off"/>
    </w:pPr>
    <w:rPr>
      <w:rFonts w:ascii="Calibri" w:hAnsi="Calibri"/>
      <w:sz w:val="21"/>
      <w:szCs w:val="22"/>
    </w:rPr>
  </w:style>
  <w:style w:type="paragraph" w:styleId="1136">
    <w:name w:val="_Style 5"/>
    <w:basedOn w:val="1015"/>
    <w:next w:val="1136"/>
    <w:link w:val="1004"/>
    <w:pPr>
      <w:spacing w:line="360" w:lineRule="auto"/>
    </w:pPr>
    <w:rPr>
      <w:szCs w:val="24"/>
    </w:rPr>
  </w:style>
  <w:style w:type="paragraph" w:styleId="1137">
    <w:name w:val="Char Char Char"/>
    <w:basedOn w:val="1004"/>
    <w:next w:val="1137"/>
    <w:link w:val="1004"/>
    <w:pPr>
      <w:numPr>
        <w:ilvl w:val="0"/>
        <w:numId w:val="3"/>
      </w:numPr>
      <w:jc w:val="both"/>
      <w:widowControl w:val="off"/>
      <w:tabs>
        <w:tab w:val="left" w:pos="840" w:leader="none"/>
      </w:tabs>
    </w:pPr>
  </w:style>
  <w:style w:type="paragraph" w:styleId="1138">
    <w:name w:val="纯文本3"/>
    <w:basedOn w:val="1004"/>
    <w:next w:val="1138"/>
    <w:link w:val="1004"/>
    <w:qFormat/>
    <w:rPr>
      <w:rFonts w:ascii="宋体" w:hAnsi="Courier New" w:eastAsia="楷体_GB2312"/>
      <w:sz w:val="26"/>
      <w:szCs w:val="20"/>
    </w:rPr>
  </w:style>
  <w:style w:type="paragraph" w:styleId="1139">
    <w:name w:val="Default Paragraph Font Para Char"/>
    <w:basedOn w:val="1004"/>
    <w:next w:val="1139"/>
    <w:link w:val="1004"/>
    <w:pPr>
      <w:spacing w:after="160" w:line="240" w:lineRule="exact"/>
    </w:pPr>
    <w:rPr>
      <w:rFonts w:ascii="Verdana" w:hAnsi="Verdana"/>
      <w:sz w:val="20"/>
      <w:lang w:eastAsia="en-US"/>
    </w:rPr>
  </w:style>
  <w:style w:type="paragraph" w:styleId="1140">
    <w:name w:val=" Char1"/>
    <w:basedOn w:val="1004"/>
    <w:next w:val="1140"/>
    <w:link w:val="1004"/>
    <w:pPr>
      <w:numPr>
        <w:ilvl w:val="0"/>
        <w:numId w:val="2"/>
      </w:numPr>
      <w:jc w:val="both"/>
      <w:widowControl w:val="off"/>
      <w:tabs>
        <w:tab w:val="left" w:pos="360" w:leader="none"/>
      </w:tabs>
    </w:pPr>
  </w:style>
  <w:style w:type="paragraph" w:styleId="1141">
    <w:name w:val="首行缩进"/>
    <w:basedOn w:val="1004"/>
    <w:next w:val="1141"/>
    <w:link w:val="1004"/>
    <w:qFormat/>
    <w:pPr>
      <w:ind w:firstLine="480"/>
    </w:pPr>
    <w:rPr>
      <w:lang w:val="zh-CN"/>
    </w:rPr>
  </w:style>
  <w:style w:type="paragraph" w:styleId="1142">
    <w:name w:val="插图题注"/>
    <w:next w:val="1004"/>
    <w:link w:val="1004"/>
    <w:pPr>
      <w:numPr>
        <w:ilvl w:val="7"/>
        <w:numId w:val="1"/>
      </w:numPr>
      <w:ind w:left="1089" w:hanging="369"/>
      <w:jc w:val="center"/>
    </w:pPr>
    <w:rPr>
      <w:rFonts w:ascii="Arial" w:hAnsi="Arial"/>
      <w:sz w:val="18"/>
      <w:szCs w:val="18"/>
      <w:lang w:val="en-US" w:eastAsia="zh-CN" w:bidi="ar-SA"/>
    </w:rPr>
  </w:style>
  <w:style w:type="paragraph" w:styleId="1143">
    <w:name w:val="xl65"/>
    <w:basedOn w:val="1004"/>
    <w:next w:val="1143"/>
    <w:link w:val="100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20"/>
    </w:rPr>
  </w:style>
  <w:style w:type="paragraph" w:styleId="1144">
    <w:name w:val="xl67"/>
    <w:basedOn w:val="1004"/>
    <w:next w:val="1144"/>
    <w:link w:val="1004"/>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table" w:styleId="1145">
    <w:name w:val="表样式"/>
    <w:basedOn w:val="1012"/>
    <w:next w:val="1145"/>
    <w:link w:val="1004"/>
    <w:pPr>
      <w:jc w:val="both"/>
    </w:pPr>
    <w:rPr>
      <w:sz w:val="18"/>
      <w:szCs w:val="18"/>
    </w:rPr>
    <w:tblPr/>
  </w:style>
  <w:style w:type="character" w:styleId="1146" w:default="1">
    <w:name w:val="Default Paragraph Font"/>
    <w:uiPriority w:val="1"/>
    <w:semiHidden/>
    <w:unhideWhenUsed/>
  </w:style>
  <w:style w:type="numbering" w:styleId="1147" w:default="1">
    <w:name w:val="No List"/>
    <w:uiPriority w:val="99"/>
    <w:semiHidden/>
    <w:unhideWhenUsed/>
  </w:style>
  <w:style w:type="table" w:styleId="11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郇为凯</cp:lastModifiedBy>
  <cp:revision>6</cp:revision>
  <dcterms:created xsi:type="dcterms:W3CDTF">2024-11-18T01:02:00Z</dcterms:created>
  <dcterms:modified xsi:type="dcterms:W3CDTF">2024-12-02T08:06:46Z</dcterms:modified>
</cp:coreProperties>
</file>